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F2" w:rsidRPr="00A817A6" w:rsidRDefault="00953DF2" w:rsidP="00953DF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2D3DBB" w:rsidRDefault="00486062" w:rsidP="00ED7F33">
      <w:pPr>
        <w:spacing w:line="360" w:lineRule="auto"/>
        <w:jc w:val="center"/>
        <w:rPr>
          <w:rFonts w:ascii="Arial" w:hAnsi="Arial" w:cs="Arial"/>
          <w:w w:val="140"/>
          <w:sz w:val="20"/>
          <w:szCs w:val="20"/>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53DF2">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953DF2">
        <w:rPr>
          <w:rFonts w:ascii="Arial" w:hAnsi="Arial" w:cs="Arial"/>
          <w:sz w:val="22"/>
          <w:szCs w:val="22"/>
        </w:rPr>
        <w:t>– 1ª instancia – 09 de marzo de 2017</w:t>
      </w:r>
    </w:p>
    <w:p w:rsidR="00953DF2" w:rsidRPr="002060F5" w:rsidRDefault="00953DF2"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B76D1E">
        <w:rPr>
          <w:rFonts w:ascii="Arial" w:hAnsi="Arial" w:cs="Arial"/>
          <w:sz w:val="22"/>
        </w:rPr>
        <w:t>Promiscuo del Circuito de La Virginia</w:t>
      </w:r>
    </w:p>
    <w:p w:rsidR="00A00766" w:rsidRPr="00A00766" w:rsidRDefault="00A00766" w:rsidP="00E522AC">
      <w:pPr>
        <w:pStyle w:val="Corpsdetexte"/>
        <w:tabs>
          <w:tab w:val="clear" w:pos="3540"/>
          <w:tab w:val="left" w:pos="3686"/>
        </w:tabs>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E522AC">
        <w:rPr>
          <w:rFonts w:ascii="Arial" w:hAnsi="Arial" w:cs="Arial"/>
          <w:sz w:val="22"/>
          <w:szCs w:val="22"/>
        </w:rPr>
        <w:t xml:space="preserve">            </w:t>
      </w:r>
      <w:r w:rsidRPr="00A00766">
        <w:rPr>
          <w:rFonts w:ascii="Arial" w:hAnsi="Arial" w:cs="Arial"/>
          <w:sz w:val="22"/>
          <w:szCs w:val="22"/>
        </w:rPr>
        <w:t xml:space="preserve">: </w:t>
      </w:r>
      <w:r w:rsidR="00E522AC">
        <w:rPr>
          <w:rFonts w:ascii="Arial" w:hAnsi="Arial" w:cs="Arial"/>
          <w:sz w:val="22"/>
          <w:szCs w:val="22"/>
        </w:rPr>
        <w:t>Procuraduría General de la Nación</w:t>
      </w:r>
      <w:r w:rsidR="00612C75">
        <w:rPr>
          <w:rFonts w:ascii="Arial" w:hAnsi="Arial" w:cs="Arial"/>
          <w:sz w:val="22"/>
          <w:szCs w:val="22"/>
        </w:rPr>
        <w:t xml:space="preserve">, </w:t>
      </w:r>
      <w:r w:rsidRPr="00A00766">
        <w:rPr>
          <w:rFonts w:ascii="Arial" w:hAnsi="Arial" w:cs="Arial"/>
          <w:sz w:val="22"/>
          <w:szCs w:val="22"/>
        </w:rPr>
        <w:t xml:space="preserve">Regional </w:t>
      </w:r>
      <w:r w:rsidR="00B76D1E">
        <w:rPr>
          <w:rFonts w:ascii="Arial" w:hAnsi="Arial" w:cs="Arial"/>
          <w:sz w:val="22"/>
          <w:szCs w:val="22"/>
        </w:rPr>
        <w:t xml:space="preserve">Tolima </w:t>
      </w:r>
      <w:r w:rsidRPr="00A00766">
        <w:rPr>
          <w:rFonts w:ascii="Arial" w:hAnsi="Arial" w:cs="Arial"/>
          <w:sz w:val="22"/>
          <w:szCs w:val="22"/>
        </w:rPr>
        <w:t>y</w:t>
      </w:r>
      <w:r w:rsidR="006D38F6">
        <w:rPr>
          <w:rFonts w:ascii="Arial" w:hAnsi="Arial" w:cs="Arial"/>
          <w:sz w:val="22"/>
          <w:szCs w:val="22"/>
        </w:rPr>
        <w:t>/</w:t>
      </w:r>
      <w:r w:rsidRPr="00A00766">
        <w:rPr>
          <w:rFonts w:ascii="Arial" w:hAnsi="Arial" w:cs="Arial"/>
          <w:sz w:val="22"/>
          <w:szCs w:val="22"/>
        </w:rPr>
        <w:t>o</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w:t>
      </w:r>
      <w:r w:rsidR="00B76D1E">
        <w:rPr>
          <w:rFonts w:ascii="Arial" w:hAnsi="Arial" w:cs="Arial"/>
          <w:sz w:val="22"/>
        </w:rPr>
        <w:t>00189</w:t>
      </w:r>
      <w:r w:rsidR="00D27466">
        <w:rPr>
          <w:rFonts w:ascii="Arial" w:hAnsi="Arial" w:cs="Arial"/>
          <w:sz w:val="22"/>
        </w:rPr>
        <w:t>-</w:t>
      </w:r>
      <w:r w:rsidR="0041111B">
        <w:rPr>
          <w:rFonts w:ascii="Arial" w:hAnsi="Arial" w:cs="Arial"/>
          <w:sz w:val="22"/>
        </w:rPr>
        <w:t>00</w:t>
      </w:r>
      <w:r w:rsidR="00E522AC">
        <w:rPr>
          <w:rFonts w:ascii="Arial" w:hAnsi="Arial" w:cs="Arial"/>
          <w:sz w:val="22"/>
        </w:rPr>
        <w:t xml:space="preserve"> (Interno No.</w:t>
      </w:r>
      <w:r w:rsidR="00B76D1E">
        <w:rPr>
          <w:rFonts w:ascii="Arial" w:hAnsi="Arial" w:cs="Arial"/>
          <w:sz w:val="22"/>
        </w:rPr>
        <w:t>189</w:t>
      </w:r>
      <w:r w:rsidR="00E522AC">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804710" w:rsidRDefault="00804710" w:rsidP="00804710">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119 de 09-03-2017</w:t>
      </w:r>
    </w:p>
    <w:p w:rsidR="00953DF2" w:rsidRPr="002D3DBB" w:rsidRDefault="00953DF2" w:rsidP="00804710">
      <w:pPr>
        <w:spacing w:line="360" w:lineRule="auto"/>
        <w:ind w:left="708" w:firstLine="708"/>
        <w:rPr>
          <w:rFonts w:ascii="Arial" w:hAnsi="Arial"/>
          <w:sz w:val="6"/>
          <w:szCs w:val="6"/>
        </w:rPr>
      </w:pPr>
    </w:p>
    <w:p w:rsidR="00953DF2" w:rsidRPr="002D3DBB" w:rsidRDefault="00953DF2" w:rsidP="002D3DBB">
      <w:pPr>
        <w:pStyle w:val="Corpsdetexte"/>
        <w:spacing w:line="240" w:lineRule="auto"/>
        <w:ind w:left="1416" w:hanging="1416"/>
        <w:rPr>
          <w:rFonts w:ascii="Arial" w:hAnsi="Arial" w:cs="Arial"/>
          <w:bCs/>
          <w:sz w:val="22"/>
          <w:szCs w:val="22"/>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2D3DBB" w:rsidRPr="002D3DBB">
        <w:rPr>
          <w:rFonts w:ascii="Arial" w:hAnsi="Arial" w:cs="Arial"/>
          <w:b/>
          <w:bCs/>
          <w:iCs/>
          <w:sz w:val="22"/>
          <w:szCs w:val="21"/>
          <w:lang w:val="es-CO"/>
        </w:rPr>
        <w:t xml:space="preserve">DEBIDO PROCESO / TUTELA CONTRA PROVIDENCIA JUDICIAL / RECHAZO DE ACCIÓN POPULAR / CARÁCTER RESIDUAL DE LA ACCIÓN DE TUTELA / NO SE AGOTARON LOS RECURSOS / </w:t>
      </w:r>
      <w:r w:rsidR="002D3DBB" w:rsidRPr="002D3DBB">
        <w:rPr>
          <w:rFonts w:ascii="Arial" w:hAnsi="Arial" w:cs="Arial"/>
          <w:b/>
          <w:bCs/>
          <w:iCs/>
          <w:sz w:val="22"/>
          <w:szCs w:val="21"/>
          <w:lang w:val="es-419"/>
        </w:rPr>
        <w:t xml:space="preserve">IMPROCEDENCIA. </w:t>
      </w:r>
      <w:r w:rsidR="002D3DBB" w:rsidRPr="002D3DBB">
        <w:rPr>
          <w:rFonts w:ascii="Arial" w:hAnsi="Arial" w:cs="Arial"/>
          <w:bCs/>
          <w:iCs/>
          <w:sz w:val="22"/>
          <w:szCs w:val="21"/>
          <w:lang w:val="es-419"/>
        </w:rPr>
        <w:t>“</w:t>
      </w:r>
      <w:r w:rsidR="002D3DBB" w:rsidRPr="002D3DBB">
        <w:rPr>
          <w:rFonts w:ascii="Arial" w:hAnsi="Arial" w:cs="Arial"/>
          <w:bCs/>
          <w:iCs/>
          <w:sz w:val="22"/>
          <w:szCs w:val="21"/>
          <w:lang w:val="es-ES"/>
        </w:rPr>
        <w:t xml:space="preserve">Conforme al acervo probatorio el accionado </w:t>
      </w:r>
      <w:r w:rsidR="002D3DBB" w:rsidRPr="002D3DBB">
        <w:rPr>
          <w:rFonts w:ascii="Arial" w:hAnsi="Arial" w:cs="Arial"/>
          <w:bCs/>
          <w:iCs/>
          <w:sz w:val="22"/>
          <w:szCs w:val="21"/>
          <w:lang w:val="es-CO"/>
        </w:rPr>
        <w:t xml:space="preserve">con auto del 19-01-2017 inadmitió el petitorio popular y concedió un término de tres días al accionante para que lo subsanara (Folio 16 del disco compacto visible a folio 19, ib.), </w:t>
      </w:r>
      <w:proofErr w:type="gramStart"/>
      <w:r w:rsidR="002D3DBB" w:rsidRPr="002D3DBB">
        <w:rPr>
          <w:rFonts w:ascii="Arial" w:hAnsi="Arial" w:cs="Arial"/>
          <w:bCs/>
          <w:iCs/>
          <w:sz w:val="22"/>
          <w:szCs w:val="21"/>
          <w:lang w:val="es-CO"/>
        </w:rPr>
        <w:t>luego</w:t>
      </w:r>
      <w:proofErr w:type="gramEnd"/>
      <w:r w:rsidR="002D3DBB" w:rsidRPr="002D3DBB">
        <w:rPr>
          <w:rFonts w:ascii="Arial" w:hAnsi="Arial" w:cs="Arial"/>
          <w:bCs/>
          <w:iCs/>
          <w:sz w:val="22"/>
          <w:szCs w:val="21"/>
          <w:lang w:val="es-CO"/>
        </w:rPr>
        <w:t xml:space="preserve"> con proveído del 07-02-2017, mantuvo incólume su decisión y negó la alzada presentada (Folio 19 del disco compacto visible a folio 19, ib.), y finalmente con providencia del 22-02-2017 rechazó la acción porque no fue subsanada, notificado por estado del 23-02-2017 (Folio 22 del disco compacto visible a folio 19, ib.), sin que fuera recurrida (Folio 20, ib.). </w:t>
      </w:r>
      <w:r w:rsidR="002D3DBB" w:rsidRPr="002D3DBB">
        <w:rPr>
          <w:rFonts w:ascii="Arial" w:hAnsi="Arial" w:cs="Arial"/>
          <w:bCs/>
          <w:iCs/>
          <w:sz w:val="22"/>
          <w:szCs w:val="21"/>
          <w:lang w:val="es-ES"/>
        </w:rPr>
        <w:t xml:space="preserve">En ese orden de ideas, se tiene que el accionante pretermitió agotar el recurso de </w:t>
      </w:r>
      <w:r w:rsidR="002D3DBB" w:rsidRPr="002D3DBB">
        <w:rPr>
          <w:rFonts w:ascii="Arial" w:hAnsi="Arial" w:cs="Arial"/>
          <w:bCs/>
          <w:iCs/>
          <w:sz w:val="22"/>
          <w:szCs w:val="21"/>
          <w:u w:val="single"/>
          <w:lang w:val="es-ES"/>
        </w:rPr>
        <w:t>reposición (Artículo 36, Ley 472)</w:t>
      </w:r>
      <w:r w:rsidR="002D3DBB" w:rsidRPr="002D3DBB">
        <w:rPr>
          <w:rFonts w:ascii="Arial" w:hAnsi="Arial" w:cs="Arial"/>
          <w:bCs/>
          <w:iCs/>
          <w:sz w:val="22"/>
          <w:szCs w:val="21"/>
          <w:lang w:val="es-ES"/>
        </w:rPr>
        <w:t>, frente al proveído que rechazó la acción popular, cuando ese era el mecanismo ordinario y expedito que tenía para procurar que el estrado judicial accionado reconsiderara aquella determinación. Evidente, entonces, es la falta de agotamiento del supuesto de subsidiariedad, como ha explicado la CC, que reiteradamente ha referido que la acción de tutela mal puede implementarse como medio para sustituir los mecanismos ordinarios de defensa, cuando por negligencia, descuido o incuria no fueron utilizados. También se advierte que el presente amparo constitucional es prematuro porque se promovió antes de que quedara ejecutoriado el proveído que rechazó la acción popular (27-02-2017), es decir, cuando el asunto aún se estaba tramitando</w:t>
      </w:r>
      <w:r w:rsidR="002D3DBB" w:rsidRPr="002D3DBB">
        <w:rPr>
          <w:rFonts w:ascii="Arial" w:hAnsi="Arial" w:cs="Arial"/>
          <w:bCs/>
          <w:iCs/>
          <w:sz w:val="22"/>
          <w:szCs w:val="21"/>
          <w:lang w:val="es-CO"/>
        </w:rPr>
        <w:t>.</w:t>
      </w:r>
      <w:r w:rsidR="002D3DBB" w:rsidRPr="002D3DBB">
        <w:rPr>
          <w:rFonts w:ascii="Arial" w:hAnsi="Arial" w:cs="Arial"/>
          <w:bCs/>
          <w:iCs/>
          <w:sz w:val="22"/>
          <w:szCs w:val="21"/>
          <w:lang w:val="es-ES"/>
        </w:rPr>
        <w:t xml:space="preserve"> Así lo ha dispuesto la jurisprudencia de la CC, criterio también expuesto por la CSJ. Ha dicho la CC que la acción de tutela no se puede implementar como mecanismo alternativo o paralelo para resolver problemas jurídicos que deben ser resueltos al interior del trámite ordinario. En ese contexto, la presente acción de tutela es improcedente toda vez que se incumple con uno de los siete (7) requisitos generales de procedibilidad, como lo es el de la subsidiariedad, pues no se formuló el recurso ordinario y el proceso aún se estaba tramitando.”.</w:t>
      </w:r>
    </w:p>
    <w:p w:rsidR="00804710" w:rsidRDefault="00804710" w:rsidP="00804710">
      <w:pPr>
        <w:pBdr>
          <w:bottom w:val="double" w:sz="6" w:space="1" w:color="auto"/>
        </w:pBdr>
        <w:spacing w:line="360" w:lineRule="auto"/>
        <w:jc w:val="center"/>
        <w:rPr>
          <w:rFonts w:ascii="Arial" w:hAnsi="Arial" w:cs="Arial"/>
          <w:b/>
          <w:bCs/>
          <w:sz w:val="22"/>
          <w:szCs w:val="22"/>
        </w:rPr>
      </w:pPr>
    </w:p>
    <w:p w:rsidR="00804710" w:rsidRPr="002D3DBB" w:rsidRDefault="00804710" w:rsidP="00804710">
      <w:pPr>
        <w:spacing w:line="360" w:lineRule="auto"/>
        <w:jc w:val="center"/>
        <w:rPr>
          <w:rFonts w:ascii="Arial" w:hAnsi="Arial" w:cs="Arial"/>
          <w:b/>
          <w:bCs/>
          <w:sz w:val="6"/>
          <w:szCs w:val="6"/>
        </w:rPr>
      </w:pPr>
    </w:p>
    <w:p w:rsidR="00804710" w:rsidRPr="00303E85" w:rsidRDefault="00804710" w:rsidP="00804710">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nueve </w:t>
      </w:r>
      <w:r w:rsidRPr="00303E85">
        <w:rPr>
          <w:rFonts w:ascii="Arial" w:hAnsi="Arial" w:cs="Arial"/>
          <w:iCs/>
          <w:smallCaps/>
          <w:sz w:val="28"/>
          <w:szCs w:val="28"/>
          <w:lang w:val="es-CO"/>
        </w:rPr>
        <w:t>(</w:t>
      </w:r>
      <w:r>
        <w:rPr>
          <w:rFonts w:ascii="Arial" w:hAnsi="Arial" w:cs="Arial"/>
          <w:iCs/>
          <w:smallCaps/>
          <w:sz w:val="28"/>
          <w:szCs w:val="28"/>
          <w:lang w:val="es-CO"/>
        </w:rPr>
        <w:t>9</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marzo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2D3DBB" w:rsidRPr="002D3DBB" w:rsidRDefault="002D3DBB" w:rsidP="002D3DBB">
      <w:pPr>
        <w:pStyle w:val="Corpsdetexte"/>
        <w:spacing w:line="240" w:lineRule="auto"/>
        <w:rPr>
          <w:rFonts w:ascii="Arial" w:hAnsi="Arial"/>
          <w:sz w:val="16"/>
          <w:szCs w:val="16"/>
        </w:rPr>
      </w:pPr>
    </w:p>
    <w:p w:rsidR="00104367" w:rsidRDefault="0069231C" w:rsidP="00104367">
      <w:pPr>
        <w:pStyle w:val="Corpsdetexte"/>
        <w:spacing w:line="360" w:lineRule="auto"/>
        <w:rPr>
          <w:rFonts w:ascii="Arial" w:hAnsi="Arial"/>
          <w:szCs w:val="24"/>
        </w:rPr>
      </w:pPr>
      <w:r>
        <w:rPr>
          <w:rFonts w:ascii="Arial" w:hAnsi="Arial"/>
          <w:szCs w:val="24"/>
        </w:rPr>
        <w:t xml:space="preserve">Los </w:t>
      </w:r>
      <w:r w:rsidR="008907D4">
        <w:rPr>
          <w:rFonts w:ascii="Arial" w:hAnsi="Arial"/>
          <w:szCs w:val="24"/>
        </w:rPr>
        <w:t>amparo</w:t>
      </w:r>
      <w:r>
        <w:rPr>
          <w:rFonts w:ascii="Arial" w:hAnsi="Arial"/>
          <w:szCs w:val="24"/>
        </w:rPr>
        <w:t>s</w:t>
      </w:r>
      <w:r w:rsidR="008907D4">
        <w:rPr>
          <w:rFonts w:ascii="Arial" w:hAnsi="Arial"/>
          <w:szCs w:val="24"/>
        </w:rPr>
        <w:t xml:space="preserve"> constitucional</w:t>
      </w:r>
      <w:r>
        <w:rPr>
          <w:rFonts w:ascii="Arial" w:hAnsi="Arial"/>
          <w:szCs w:val="24"/>
        </w:rPr>
        <w:t>es</w:t>
      </w:r>
      <w:r w:rsidR="008907D4">
        <w:rPr>
          <w:rFonts w:ascii="Arial" w:hAnsi="Arial"/>
          <w:szCs w:val="24"/>
        </w:rPr>
        <w:t xml:space="preserve">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 xml:space="preserve">evidencien </w:t>
      </w:r>
      <w:r w:rsidR="00104367" w:rsidRPr="00F9418E">
        <w:rPr>
          <w:rFonts w:ascii="Arial" w:hAnsi="Arial"/>
          <w:szCs w:val="24"/>
        </w:rPr>
        <w:t>causales de nulidad que la</w:t>
      </w:r>
      <w:r w:rsidR="00104367">
        <w:rPr>
          <w:rFonts w:ascii="Arial" w:hAnsi="Arial"/>
          <w:szCs w:val="24"/>
        </w:rPr>
        <w:t>s</w:t>
      </w:r>
      <w:r w:rsidR="00104367" w:rsidRPr="00F9418E">
        <w:rPr>
          <w:rFonts w:ascii="Arial" w:hAnsi="Arial"/>
          <w:szCs w:val="24"/>
        </w:rPr>
        <w:t xml:space="preserve"> invaliden.</w:t>
      </w: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B76D1E" w:rsidRPr="00DD0773" w:rsidRDefault="00B76D1E" w:rsidP="00B76D1E">
      <w:pPr>
        <w:spacing w:line="360" w:lineRule="auto"/>
        <w:jc w:val="both"/>
        <w:rPr>
          <w:rFonts w:ascii="Arial" w:hAnsi="Arial" w:cs="Arial"/>
        </w:rPr>
      </w:pPr>
      <w:r w:rsidRPr="00DD0773">
        <w:rPr>
          <w:rFonts w:ascii="Arial" w:hAnsi="Arial" w:cs="Arial"/>
        </w:rPr>
        <w:t xml:space="preserve">Relató el actor que presentó </w:t>
      </w:r>
      <w:r>
        <w:rPr>
          <w:rFonts w:ascii="Arial" w:hAnsi="Arial" w:cs="Arial"/>
        </w:rPr>
        <w:t>la acción popular radicada al No.2015-00192</w:t>
      </w:r>
      <w:r w:rsidRPr="00DD0773">
        <w:rPr>
          <w:rFonts w:ascii="Arial" w:hAnsi="Arial" w:cs="Arial"/>
        </w:rPr>
        <w:t>-00</w:t>
      </w:r>
      <w:r>
        <w:rPr>
          <w:rFonts w:ascii="Arial" w:hAnsi="Arial" w:cs="Arial"/>
        </w:rPr>
        <w:t xml:space="preserve">, y que el juzgado accionado le exigió requisitos no contemplados en el artículo 18 de la Ley 472 </w:t>
      </w:r>
      <w:r w:rsidRPr="00DD0773">
        <w:rPr>
          <w:rFonts w:ascii="Arial" w:hAnsi="Arial" w:cs="Arial"/>
        </w:rPr>
        <w:t xml:space="preserve">(Folio 1, este cuaderno). </w:t>
      </w:r>
    </w:p>
    <w:p w:rsidR="002B0607" w:rsidRPr="008907D4" w:rsidRDefault="002B0607" w:rsidP="0099045D">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2F2C09" w:rsidRDefault="00C40C3D"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w:t>
      </w:r>
      <w:r w:rsidR="002F2C09">
        <w:rPr>
          <w:rFonts w:ascii="Arial" w:hAnsi="Arial" w:cs="Arial"/>
          <w:spacing w:val="-3"/>
          <w:lang w:val="es-ES_tradnl"/>
        </w:rPr>
        <w:t xml:space="preserve">onsidera que se le vulneran </w:t>
      </w:r>
      <w:r w:rsidR="00612C75">
        <w:rPr>
          <w:rFonts w:ascii="Arial" w:hAnsi="Arial" w:cs="Arial"/>
          <w:spacing w:val="-3"/>
          <w:lang w:val="es-ES_tradnl"/>
        </w:rPr>
        <w:t xml:space="preserve">las </w:t>
      </w:r>
      <w:r w:rsidR="00EA458D" w:rsidRPr="00EA458D">
        <w:rPr>
          <w:rFonts w:ascii="Arial" w:hAnsi="Arial" w:cs="Arial"/>
          <w:i/>
          <w:spacing w:val="-3"/>
          <w:sz w:val="22"/>
          <w:lang w:val="es-ES_tradnl"/>
        </w:rPr>
        <w:t xml:space="preserve">“(…) </w:t>
      </w:r>
      <w:r w:rsidR="00D669DC" w:rsidRPr="00EA458D">
        <w:rPr>
          <w:rFonts w:ascii="Arial" w:hAnsi="Arial" w:cs="Arial"/>
          <w:i/>
          <w:spacing w:val="-3"/>
          <w:sz w:val="22"/>
          <w:lang w:val="es-ES_tradnl"/>
        </w:rPr>
        <w:t xml:space="preserve">garantías procesales </w:t>
      </w:r>
      <w:r w:rsidR="00EA458D" w:rsidRPr="00EA458D">
        <w:rPr>
          <w:rFonts w:ascii="Arial" w:hAnsi="Arial" w:cs="Arial"/>
          <w:i/>
          <w:spacing w:val="-3"/>
          <w:sz w:val="22"/>
          <w:lang w:val="es-ES_tradnl"/>
        </w:rPr>
        <w:t>(…)”</w:t>
      </w:r>
      <w:r w:rsidR="00EA458D" w:rsidRPr="00EA458D">
        <w:rPr>
          <w:rFonts w:ascii="Arial" w:hAnsi="Arial" w:cs="Arial"/>
          <w:spacing w:val="-3"/>
          <w:sz w:val="22"/>
          <w:lang w:val="es-ES_tradnl"/>
        </w:rPr>
        <w:t xml:space="preserve"> </w:t>
      </w:r>
      <w:r w:rsidR="008907D4">
        <w:rPr>
          <w:rFonts w:ascii="Arial" w:hAnsi="Arial" w:cs="Arial"/>
          <w:spacing w:val="-3"/>
          <w:lang w:val="es-ES_tradnl"/>
        </w:rPr>
        <w:t>(Folio</w:t>
      </w:r>
      <w:r w:rsidR="0069231C">
        <w:rPr>
          <w:rFonts w:ascii="Arial" w:hAnsi="Arial" w:cs="Arial"/>
          <w:spacing w:val="-3"/>
          <w:lang w:val="es-ES_tradnl"/>
        </w:rPr>
        <w:t xml:space="preserve"> </w:t>
      </w:r>
      <w:r w:rsidR="00EA458D">
        <w:rPr>
          <w:rFonts w:ascii="Arial" w:hAnsi="Arial" w:cs="Arial"/>
          <w:spacing w:val="-3"/>
          <w:lang w:val="es-ES_tradnl"/>
        </w:rPr>
        <w:t>2</w:t>
      </w:r>
      <w:r w:rsidR="009F507B">
        <w:rPr>
          <w:rFonts w:ascii="Arial" w:hAnsi="Arial" w:cs="Arial"/>
          <w:spacing w:val="-3"/>
          <w:lang w:val="es-ES_tradnl"/>
        </w:rPr>
        <w:t>, este cuaderno)</w:t>
      </w:r>
      <w:r w:rsidR="00D669DC">
        <w:rPr>
          <w:rFonts w:ascii="Arial" w:hAnsi="Arial" w:cs="Arial"/>
          <w:spacing w:val="-3"/>
          <w:lang w:val="es-ES_tradnl"/>
        </w:rPr>
        <w:t>.</w:t>
      </w:r>
    </w:p>
    <w:p w:rsidR="00C40C3D" w:rsidRDefault="00C40C3D"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C40C3D">
        <w:rPr>
          <w:rFonts w:ascii="Arial" w:hAnsi="Arial" w:cs="Arial"/>
        </w:rPr>
        <w:t xml:space="preserve">: </w:t>
      </w:r>
      <w:r w:rsidR="00755277">
        <w:rPr>
          <w:rFonts w:ascii="Arial" w:hAnsi="Arial" w:cs="Arial"/>
        </w:rPr>
        <w:t xml:space="preserve">(i) </w:t>
      </w:r>
      <w:r w:rsidR="00C40C3D">
        <w:rPr>
          <w:rFonts w:ascii="Arial" w:hAnsi="Arial" w:cs="Arial"/>
        </w:rPr>
        <w:t xml:space="preserve">Se ordene al accionado admitir </w:t>
      </w:r>
      <w:r w:rsidR="00EA458D">
        <w:rPr>
          <w:rFonts w:ascii="Arial" w:hAnsi="Arial" w:cs="Arial"/>
        </w:rPr>
        <w:t>la acci</w:t>
      </w:r>
      <w:r w:rsidR="00872A3C">
        <w:rPr>
          <w:rFonts w:ascii="Arial" w:hAnsi="Arial" w:cs="Arial"/>
        </w:rPr>
        <w:t>ón</w:t>
      </w:r>
      <w:r w:rsidR="00F71E1E">
        <w:rPr>
          <w:rFonts w:ascii="Arial" w:hAnsi="Arial" w:cs="Arial"/>
        </w:rPr>
        <w:t xml:space="preserve"> popular</w:t>
      </w:r>
      <w:r w:rsidR="00C40C3D">
        <w:rPr>
          <w:rFonts w:ascii="Arial" w:hAnsi="Arial" w:cs="Arial"/>
        </w:rPr>
        <w:t xml:space="preserve">, sin exigir requisitos inexistentes en la Ley 472; y, (ii) </w:t>
      </w:r>
      <w:r w:rsidR="00C40C3D">
        <w:rPr>
          <w:rFonts w:ascii="Arial" w:hAnsi="Arial" w:cs="Arial"/>
          <w:lang w:val="es-CO"/>
        </w:rPr>
        <w:t xml:space="preserve">Se disponga realizar una vigilancia judicial y administrativa en su contra </w:t>
      </w:r>
      <w:r w:rsidR="00612C75">
        <w:rPr>
          <w:rFonts w:ascii="Arial" w:hAnsi="Arial" w:cs="Arial"/>
          <w:spacing w:val="-3"/>
          <w:lang w:val="es-ES_tradnl"/>
        </w:rPr>
        <w:t xml:space="preserve">(Folio </w:t>
      </w:r>
      <w:r w:rsidR="00EA458D">
        <w:rPr>
          <w:rFonts w:ascii="Arial" w:hAnsi="Arial" w:cs="Arial"/>
          <w:spacing w:val="-3"/>
          <w:lang w:val="es-ES_tradnl"/>
        </w:rPr>
        <w:t>2</w:t>
      </w:r>
      <w:r w:rsidR="00D669DC">
        <w:rPr>
          <w:rFonts w:ascii="Arial" w:hAnsi="Arial" w:cs="Arial"/>
          <w:spacing w:val="-3"/>
          <w:lang w:val="es-ES_tradnl"/>
        </w:rPr>
        <w:t>, este cuaderno).</w:t>
      </w:r>
    </w:p>
    <w:p w:rsidR="00251CEC" w:rsidRDefault="00251CEC"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C40C3D">
        <w:rPr>
          <w:rFonts w:ascii="Arial" w:hAnsi="Arial"/>
        </w:rPr>
        <w:t>27</w:t>
      </w:r>
      <w:r w:rsidR="0069231C">
        <w:rPr>
          <w:rFonts w:ascii="Arial" w:hAnsi="Arial"/>
        </w:rPr>
        <w:t>-</w:t>
      </w:r>
      <w:r w:rsidR="00EA458D">
        <w:rPr>
          <w:rFonts w:ascii="Arial" w:hAnsi="Arial"/>
        </w:rPr>
        <w:t>0</w:t>
      </w:r>
      <w:r w:rsidR="00BB4CEF">
        <w:rPr>
          <w:rFonts w:ascii="Arial" w:hAnsi="Arial"/>
        </w:rPr>
        <w:t>2</w:t>
      </w:r>
      <w:r w:rsidR="00EA458D">
        <w:rPr>
          <w:rFonts w:ascii="Arial" w:hAnsi="Arial"/>
        </w:rPr>
        <w:t xml:space="preserve">-2017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EA458D">
        <w:rPr>
          <w:rFonts w:ascii="Arial" w:hAnsi="Arial" w:cs="Arial"/>
          <w:color w:val="000000"/>
        </w:rPr>
        <w:t xml:space="preserve">día hábil siguiente </w:t>
      </w:r>
      <w:r w:rsidR="0069231C">
        <w:rPr>
          <w:rFonts w:ascii="Arial" w:hAnsi="Arial" w:cs="Arial"/>
          <w:color w:val="000000"/>
        </w:rPr>
        <w:t xml:space="preserve">se </w:t>
      </w:r>
      <w:r w:rsidR="00612C75">
        <w:rPr>
          <w:rFonts w:ascii="Arial" w:hAnsi="Arial" w:cs="Arial"/>
          <w:color w:val="000000"/>
        </w:rPr>
        <w:t>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AD08E7">
        <w:rPr>
          <w:rFonts w:ascii="Arial" w:hAnsi="Arial"/>
        </w:rPr>
        <w:t xml:space="preserve"> </w:t>
      </w:r>
      <w:r w:rsidR="00C40C3D">
        <w:rPr>
          <w:rFonts w:ascii="Arial" w:hAnsi="Arial"/>
        </w:rPr>
        <w:t>5</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C40C3D">
        <w:rPr>
          <w:rFonts w:ascii="Arial" w:hAnsi="Arial" w:cs="Arial"/>
          <w:color w:val="000000"/>
        </w:rPr>
        <w:t>6 y 7</w:t>
      </w:r>
      <w:r w:rsidR="00BB4CEF">
        <w:rPr>
          <w:rFonts w:ascii="Arial" w:hAnsi="Arial" w:cs="Arial"/>
          <w:color w:val="000000"/>
        </w:rPr>
        <w:t>,</w:t>
      </w:r>
      <w:r w:rsidR="004B1EB8" w:rsidRPr="004B019A">
        <w:rPr>
          <w:rFonts w:ascii="Arial" w:hAnsi="Arial" w:cs="Arial"/>
          <w:color w:val="000000"/>
        </w:rPr>
        <w:t xml:space="preserve"> </w:t>
      </w:r>
      <w:r w:rsidR="00755277">
        <w:rPr>
          <w:rFonts w:ascii="Arial" w:hAnsi="Arial" w:cs="Arial"/>
          <w:color w:val="000000"/>
        </w:rPr>
        <w:t>ibídem</w:t>
      </w:r>
      <w:r w:rsidR="00AD08E7">
        <w:rPr>
          <w:rFonts w:ascii="Arial" w:hAnsi="Arial" w:cs="Arial"/>
          <w:color w:val="000000"/>
        </w:rPr>
        <w:t>)</w:t>
      </w:r>
      <w:r w:rsidR="004B1EB8" w:rsidRPr="004B019A">
        <w:rPr>
          <w:rFonts w:ascii="Arial" w:hAnsi="Arial" w:cs="Arial"/>
          <w:color w:val="000000"/>
        </w:rPr>
        <w:t>.</w:t>
      </w:r>
      <w:r w:rsidR="00AD08E7">
        <w:rPr>
          <w:rFonts w:ascii="Arial" w:hAnsi="Arial" w:cs="Arial"/>
        </w:rPr>
        <w:t xml:space="preserve"> </w:t>
      </w:r>
      <w:r w:rsidR="00C937BE">
        <w:rPr>
          <w:rFonts w:ascii="Arial" w:hAnsi="Arial" w:cs="Arial"/>
        </w:rPr>
        <w:t xml:space="preserve">Contestó </w:t>
      </w:r>
      <w:r w:rsidR="00AD08E7">
        <w:rPr>
          <w:rFonts w:ascii="Arial" w:hAnsi="Arial" w:cs="Arial"/>
        </w:rPr>
        <w:t xml:space="preserve">la </w:t>
      </w:r>
      <w:r w:rsidR="00C40C3D">
        <w:rPr>
          <w:rFonts w:ascii="Arial" w:hAnsi="Arial" w:cs="Arial"/>
        </w:rPr>
        <w:t xml:space="preserve">Defensoría del Pueblo Regional Tolima </w:t>
      </w:r>
      <w:r w:rsidR="00AD08E7">
        <w:rPr>
          <w:rFonts w:ascii="Arial" w:hAnsi="Arial" w:cs="Arial"/>
        </w:rPr>
        <w:t>(Fo</w:t>
      </w:r>
      <w:r w:rsidR="00A8468C">
        <w:rPr>
          <w:rFonts w:ascii="Arial" w:hAnsi="Arial" w:cs="Arial"/>
        </w:rPr>
        <w:t xml:space="preserve">lios </w:t>
      </w:r>
      <w:r w:rsidR="00C40C3D">
        <w:rPr>
          <w:rFonts w:ascii="Arial" w:hAnsi="Arial" w:cs="Arial"/>
        </w:rPr>
        <w:t>8 a 10</w:t>
      </w:r>
      <w:r w:rsidR="00A8468C">
        <w:rPr>
          <w:rFonts w:ascii="Arial" w:hAnsi="Arial" w:cs="Arial"/>
        </w:rPr>
        <w:t>, ibídem)</w:t>
      </w:r>
      <w:r w:rsidR="00C937BE">
        <w:rPr>
          <w:rFonts w:ascii="Arial" w:hAnsi="Arial" w:cs="Arial"/>
        </w:rPr>
        <w:t xml:space="preserve">. No se tendrá en cuenta los escritos de la Alcaldía y de la Personería de Ibagué toda vez que carecen del poder concedido a los abogados que los redactaron (Folios 14, 15 y 17, ib.). </w:t>
      </w:r>
      <w:r w:rsidR="00755277">
        <w:rPr>
          <w:rFonts w:ascii="Arial" w:hAnsi="Arial" w:cs="Arial"/>
        </w:rPr>
        <w:t xml:space="preserve">El Juzgado accionado arrimó las copias requeridas (Folios </w:t>
      </w:r>
      <w:r w:rsidR="00C937BE">
        <w:rPr>
          <w:rFonts w:ascii="Arial" w:hAnsi="Arial" w:cs="Arial"/>
        </w:rPr>
        <w:t>19</w:t>
      </w:r>
      <w:r w:rsidR="00254082">
        <w:rPr>
          <w:rFonts w:ascii="Arial" w:hAnsi="Arial" w:cs="Arial"/>
        </w:rPr>
        <w:t xml:space="preserve"> y 20</w:t>
      </w:r>
      <w:r w:rsidR="00755277">
        <w:rPr>
          <w:rFonts w:ascii="Arial" w:hAnsi="Arial" w:cs="Arial"/>
        </w:rPr>
        <w:t>, ib.)</w:t>
      </w:r>
      <w:r w:rsidR="00254082">
        <w:rPr>
          <w:rFonts w:ascii="Arial" w:hAnsi="Arial" w:cs="Arial"/>
        </w:rPr>
        <w:t xml:space="preserve"> (La respuesta visible a folios 12 y 13, ib., corresponde a una acción popular diferente)</w:t>
      </w:r>
      <w:r w:rsidR="00755277">
        <w:rPr>
          <w:rFonts w:ascii="Arial" w:hAnsi="Arial" w:cs="Arial"/>
        </w:rPr>
        <w:t>.</w:t>
      </w:r>
    </w:p>
    <w:p w:rsidR="00B41B34" w:rsidRPr="00804710"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4B7598" w:rsidRDefault="006F4450" w:rsidP="00730CA7">
      <w:pPr>
        <w:pStyle w:val="Corpsdetexte"/>
        <w:spacing w:line="360" w:lineRule="auto"/>
        <w:rPr>
          <w:rFonts w:ascii="Arial" w:hAnsi="Arial"/>
          <w:sz w:val="20"/>
          <w:szCs w:val="24"/>
        </w:rPr>
      </w:pPr>
    </w:p>
    <w:p w:rsidR="00DC2991" w:rsidRDefault="00C937BE" w:rsidP="00DC2991">
      <w:pPr>
        <w:spacing w:line="360" w:lineRule="auto"/>
        <w:jc w:val="both"/>
        <w:rPr>
          <w:rFonts w:ascii="Arial" w:hAnsi="Arial"/>
        </w:rPr>
      </w:pPr>
      <w:r>
        <w:rPr>
          <w:rFonts w:ascii="Arial" w:hAnsi="Arial"/>
        </w:rPr>
        <w:t xml:space="preserve">El Defensor del Pueblo Regional Tolima </w:t>
      </w:r>
      <w:r w:rsidR="00725509">
        <w:rPr>
          <w:rFonts w:ascii="Arial" w:hAnsi="Arial"/>
        </w:rPr>
        <w:t xml:space="preserve">refirió que en sus registros no obra petición alguna del actor </w:t>
      </w:r>
      <w:proofErr w:type="gramStart"/>
      <w:r w:rsidR="00725509">
        <w:rPr>
          <w:rFonts w:ascii="Arial" w:hAnsi="Arial"/>
        </w:rPr>
        <w:t>relacionada</w:t>
      </w:r>
      <w:proofErr w:type="gramEnd"/>
      <w:r w:rsidR="00725509">
        <w:rPr>
          <w:rFonts w:ascii="Arial" w:hAnsi="Arial"/>
        </w:rPr>
        <w:t xml:space="preserve"> con la situación expuesta en la tutela y que el petitorio carece de fundamento alguno en su contra, por lo tanto,</w:t>
      </w:r>
      <w:r w:rsidR="00725509">
        <w:rPr>
          <w:rFonts w:ascii="Arial" w:hAnsi="Arial" w:cs="Arial"/>
        </w:rPr>
        <w:t xml:space="preserve"> </w:t>
      </w:r>
      <w:r>
        <w:rPr>
          <w:rFonts w:ascii="Arial" w:hAnsi="Arial"/>
        </w:rPr>
        <w:t xml:space="preserve">solicitó rechazar el amparo y disponer su desvinculación. </w:t>
      </w:r>
      <w:r w:rsidR="005B1E94" w:rsidRPr="007D3EFE">
        <w:rPr>
          <w:rFonts w:ascii="Arial" w:hAnsi="Arial" w:cs="Arial"/>
        </w:rPr>
        <w:t>(</w:t>
      </w:r>
      <w:r w:rsidR="00CB01AF">
        <w:rPr>
          <w:rFonts w:ascii="Arial" w:hAnsi="Arial" w:cs="Arial"/>
        </w:rPr>
        <w:t>Folios 8 a 10, ib</w:t>
      </w:r>
      <w:r w:rsidR="005B1E94" w:rsidRPr="007D3EFE">
        <w:rPr>
          <w:rFonts w:ascii="Arial" w:hAnsi="Arial" w:cs="Arial"/>
        </w:rPr>
        <w:t>.).</w:t>
      </w:r>
      <w:r w:rsidR="005B1E94">
        <w:rPr>
          <w:rFonts w:ascii="Arial" w:hAnsi="Arial" w:cs="Arial"/>
        </w:rPr>
        <w:t xml:space="preserve"> </w:t>
      </w:r>
    </w:p>
    <w:p w:rsidR="00930478" w:rsidRPr="004B7598" w:rsidRDefault="00DC2991" w:rsidP="00AE621B">
      <w:pPr>
        <w:spacing w:line="360" w:lineRule="auto"/>
        <w:jc w:val="both"/>
        <w:rPr>
          <w:rFonts w:ascii="Arial" w:hAnsi="Arial"/>
          <w:sz w:val="20"/>
        </w:rPr>
      </w:pPr>
      <w:r w:rsidRPr="00FD594D">
        <w:rPr>
          <w:rFonts w:ascii="Arial" w:hAnsi="Arial"/>
        </w:rPr>
        <w:t xml:space="preserve"> </w:t>
      </w:r>
    </w:p>
    <w:p w:rsidR="00CF429F" w:rsidRDefault="005764A9" w:rsidP="00CF429F">
      <w:pPr>
        <w:pStyle w:val="Corpsdetexte"/>
        <w:numPr>
          <w:ilvl w:val="0"/>
          <w:numId w:val="18"/>
        </w:numPr>
        <w:spacing w:line="360" w:lineRule="auto"/>
        <w:rPr>
          <w:rFonts w:ascii="Arial" w:hAnsi="Arial"/>
          <w:szCs w:val="24"/>
        </w:rPr>
      </w:pPr>
      <w:r>
        <w:rPr>
          <w:rFonts w:ascii="Arial" w:hAnsi="Arial"/>
          <w:szCs w:val="24"/>
        </w:rPr>
        <w:t xml:space="preserve">     </w:t>
      </w:r>
      <w:r w:rsidR="00CF429F" w:rsidRPr="006F4450">
        <w:rPr>
          <w:rFonts w:ascii="Arial" w:hAnsi="Arial"/>
          <w:szCs w:val="24"/>
        </w:rPr>
        <w:t>LA FUNDAMENTACIÓN JURÍDICA PARA DECIDIR</w:t>
      </w:r>
    </w:p>
    <w:p w:rsidR="006232EF" w:rsidRPr="004B7598" w:rsidRDefault="006232EF" w:rsidP="006232EF">
      <w:pPr>
        <w:pStyle w:val="Corpsdetexte"/>
        <w:spacing w:line="360" w:lineRule="auto"/>
        <w:ind w:left="400"/>
        <w:rPr>
          <w:rFonts w:ascii="Arial" w:hAnsi="Arial"/>
          <w:sz w:val="20"/>
          <w:szCs w:val="24"/>
        </w:rPr>
      </w:pPr>
    </w:p>
    <w:p w:rsidR="00730CA7" w:rsidRPr="00254082" w:rsidRDefault="00CF429F" w:rsidP="001306F0">
      <w:pPr>
        <w:pStyle w:val="Corpsdetexte"/>
        <w:numPr>
          <w:ilvl w:val="1"/>
          <w:numId w:val="18"/>
        </w:numPr>
        <w:tabs>
          <w:tab w:val="clear" w:pos="0"/>
          <w:tab w:val="clear" w:pos="708"/>
          <w:tab w:val="left" w:pos="709"/>
        </w:tabs>
        <w:spacing w:line="360" w:lineRule="auto"/>
        <w:ind w:left="709" w:hanging="709"/>
        <w:rPr>
          <w:rFonts w:ascii="Arial" w:hAnsi="Arial" w:cs="Arial"/>
          <w:szCs w:val="24"/>
        </w:rPr>
      </w:pPr>
      <w:r w:rsidRPr="00254082">
        <w:rPr>
          <w:rFonts w:ascii="Arial" w:hAnsi="Arial"/>
          <w:smallCaps/>
          <w:szCs w:val="24"/>
        </w:rPr>
        <w:t>La competencia</w:t>
      </w:r>
      <w:r w:rsidR="005764A9" w:rsidRPr="00254082">
        <w:rPr>
          <w:rFonts w:ascii="Arial" w:hAnsi="Arial"/>
          <w:smallCaps/>
          <w:szCs w:val="24"/>
        </w:rPr>
        <w:t xml:space="preserve">. </w:t>
      </w:r>
      <w:r w:rsidR="005427D5" w:rsidRPr="00254082">
        <w:rPr>
          <w:rFonts w:ascii="Arial" w:hAnsi="Arial" w:cs="Arial"/>
          <w:szCs w:val="24"/>
        </w:rPr>
        <w:t>Este Tribunal es competente para conocer la</w:t>
      </w:r>
      <w:r w:rsidR="00A15670" w:rsidRPr="00254082">
        <w:rPr>
          <w:rFonts w:ascii="Arial" w:hAnsi="Arial" w:cs="Arial"/>
          <w:szCs w:val="24"/>
        </w:rPr>
        <w:t>s</w:t>
      </w:r>
      <w:r w:rsidR="005427D5" w:rsidRPr="00254082">
        <w:rPr>
          <w:rFonts w:ascii="Arial" w:hAnsi="Arial" w:cs="Arial"/>
          <w:szCs w:val="24"/>
        </w:rPr>
        <w:t xml:space="preserve"> </w:t>
      </w:r>
      <w:r w:rsidR="00A15670" w:rsidRPr="00254082">
        <w:rPr>
          <w:rFonts w:ascii="Arial" w:hAnsi="Arial" w:cs="Arial"/>
          <w:szCs w:val="24"/>
        </w:rPr>
        <w:t xml:space="preserve">acciones </w:t>
      </w:r>
      <w:r w:rsidR="005427D5" w:rsidRPr="00254082">
        <w:rPr>
          <w:rFonts w:ascii="Arial" w:hAnsi="Arial" w:cs="Arial"/>
          <w:szCs w:val="24"/>
        </w:rPr>
        <w:t xml:space="preserve">en razón a que es el superior jerárquico del </w:t>
      </w:r>
      <w:r w:rsidR="0041111B" w:rsidRPr="00254082">
        <w:rPr>
          <w:rFonts w:ascii="Arial" w:hAnsi="Arial" w:cs="Arial"/>
          <w:color w:val="000000"/>
          <w:szCs w:val="24"/>
        </w:rPr>
        <w:t xml:space="preserve">Juzgado </w:t>
      </w:r>
      <w:r w:rsidR="00CB01AF">
        <w:rPr>
          <w:rFonts w:ascii="Arial" w:hAnsi="Arial" w:cs="Arial"/>
          <w:color w:val="000000"/>
          <w:szCs w:val="24"/>
        </w:rPr>
        <w:t>Promiscuo del</w:t>
      </w:r>
      <w:r w:rsidR="0041111B" w:rsidRPr="00254082">
        <w:rPr>
          <w:rFonts w:ascii="Arial" w:hAnsi="Arial" w:cs="Arial"/>
          <w:color w:val="000000"/>
          <w:szCs w:val="24"/>
        </w:rPr>
        <w:t xml:space="preserve"> Circuito de </w:t>
      </w:r>
      <w:r w:rsidR="00CB01AF">
        <w:rPr>
          <w:rFonts w:ascii="Arial" w:hAnsi="Arial" w:cs="Arial"/>
          <w:color w:val="000000"/>
          <w:szCs w:val="24"/>
        </w:rPr>
        <w:t>La Virginia, R.</w:t>
      </w:r>
      <w:r w:rsidR="00C843CF" w:rsidRPr="00254082">
        <w:rPr>
          <w:rFonts w:ascii="Arial" w:hAnsi="Arial" w:cs="Arial"/>
          <w:color w:val="000000"/>
          <w:szCs w:val="24"/>
        </w:rPr>
        <w:t xml:space="preserve"> </w:t>
      </w:r>
    </w:p>
    <w:p w:rsidR="00254082" w:rsidRPr="00254082" w:rsidRDefault="00254082" w:rsidP="00254082">
      <w:pPr>
        <w:pStyle w:val="Corpsdetexte"/>
        <w:spacing w:line="360" w:lineRule="auto"/>
        <w:ind w:left="720"/>
        <w:rPr>
          <w:rFonts w:ascii="Arial" w:hAnsi="Arial" w:cs="Arial"/>
          <w:szCs w:val="24"/>
        </w:rPr>
      </w:pPr>
    </w:p>
    <w:p w:rsidR="00885A62" w:rsidRPr="002D3DBB" w:rsidRDefault="005764A9" w:rsidP="00254082">
      <w:pPr>
        <w:pStyle w:val="Corpsdetexte"/>
        <w:numPr>
          <w:ilvl w:val="1"/>
          <w:numId w:val="18"/>
        </w:numPr>
        <w:spacing w:line="360" w:lineRule="auto"/>
        <w:rPr>
          <w:rFonts w:ascii="Arial" w:hAnsi="Arial" w:cs="Arial"/>
          <w:szCs w:val="24"/>
        </w:rPr>
      </w:pPr>
      <w:r w:rsidRPr="002D3DBB">
        <w:rPr>
          <w:rFonts w:ascii="Arial" w:hAnsi="Arial"/>
          <w:smallCaps/>
          <w:szCs w:val="24"/>
        </w:rPr>
        <w:lastRenderedPageBreak/>
        <w:t xml:space="preserve">La legitimación en la causa. </w:t>
      </w:r>
      <w:r w:rsidRPr="002D3DBB">
        <w:rPr>
          <w:rFonts w:ascii="Arial" w:hAnsi="Arial" w:cs="Arial"/>
          <w:szCs w:val="24"/>
        </w:rPr>
        <w:t>S</w:t>
      </w:r>
      <w:r w:rsidR="00885A62" w:rsidRPr="002D3DBB">
        <w:rPr>
          <w:rFonts w:ascii="Arial" w:hAnsi="Arial" w:cs="Arial"/>
          <w:szCs w:val="24"/>
        </w:rPr>
        <w:t xml:space="preserve">e cumple por activa dado </w:t>
      </w:r>
      <w:r w:rsidR="00B02716" w:rsidRPr="002D3DBB">
        <w:rPr>
          <w:rFonts w:ascii="Arial" w:hAnsi="Arial" w:cs="Arial"/>
          <w:szCs w:val="24"/>
        </w:rPr>
        <w:t xml:space="preserve">que </w:t>
      </w:r>
      <w:r w:rsidR="00D33789" w:rsidRPr="002D3DBB">
        <w:rPr>
          <w:rFonts w:ascii="Arial" w:hAnsi="Arial" w:cs="Arial"/>
          <w:szCs w:val="24"/>
        </w:rPr>
        <w:t xml:space="preserve">el actor </w:t>
      </w:r>
      <w:r w:rsidR="00B02716" w:rsidRPr="002D3DBB">
        <w:rPr>
          <w:rFonts w:ascii="Arial" w:hAnsi="Arial" w:cs="Arial"/>
          <w:szCs w:val="24"/>
        </w:rPr>
        <w:t xml:space="preserve">promovió </w:t>
      </w:r>
      <w:r w:rsidR="0021559F" w:rsidRPr="002D3DBB">
        <w:rPr>
          <w:rFonts w:ascii="Arial" w:hAnsi="Arial" w:cs="Arial"/>
          <w:szCs w:val="24"/>
        </w:rPr>
        <w:t>la</w:t>
      </w:r>
      <w:r w:rsidR="005B1E94" w:rsidRPr="002D3DBB">
        <w:rPr>
          <w:rFonts w:ascii="Arial" w:hAnsi="Arial" w:cs="Arial"/>
          <w:szCs w:val="24"/>
        </w:rPr>
        <w:t xml:space="preserve"> acción</w:t>
      </w:r>
      <w:r w:rsidR="0021559F" w:rsidRPr="002D3DBB">
        <w:rPr>
          <w:rFonts w:ascii="Arial" w:hAnsi="Arial" w:cs="Arial"/>
          <w:szCs w:val="24"/>
        </w:rPr>
        <w:t xml:space="preserve"> popular </w:t>
      </w:r>
      <w:r w:rsidR="005C50E4" w:rsidRPr="002D3DBB">
        <w:rPr>
          <w:rFonts w:ascii="Arial" w:hAnsi="Arial" w:cs="Arial"/>
          <w:szCs w:val="24"/>
        </w:rPr>
        <w:t xml:space="preserve">donde </w:t>
      </w:r>
      <w:r w:rsidR="00885A62" w:rsidRPr="002D3DBB">
        <w:rPr>
          <w:rFonts w:ascii="Arial" w:hAnsi="Arial" w:cs="Arial"/>
          <w:szCs w:val="24"/>
        </w:rPr>
        <w:t xml:space="preserve">se reprocha la falta al debido proceso. </w:t>
      </w:r>
      <w:r w:rsidR="0021559F" w:rsidRPr="002D3DBB">
        <w:rPr>
          <w:rFonts w:ascii="Arial" w:hAnsi="Arial" w:cs="Arial"/>
          <w:szCs w:val="24"/>
        </w:rPr>
        <w:t xml:space="preserve">Y por pasiva, </w:t>
      </w:r>
      <w:r w:rsidR="00D33789" w:rsidRPr="002D3DBB">
        <w:rPr>
          <w:rFonts w:ascii="Arial" w:hAnsi="Arial" w:cs="Arial"/>
          <w:szCs w:val="24"/>
        </w:rPr>
        <w:t xml:space="preserve">porque </w:t>
      </w:r>
      <w:r w:rsidR="00885A62" w:rsidRPr="002D3DBB">
        <w:rPr>
          <w:rFonts w:ascii="Arial" w:hAnsi="Arial" w:cs="Arial"/>
          <w:szCs w:val="24"/>
        </w:rPr>
        <w:t xml:space="preserve">el </w:t>
      </w:r>
      <w:r w:rsidR="00677AA0" w:rsidRPr="002D3DBB">
        <w:rPr>
          <w:rFonts w:ascii="Arial" w:hAnsi="Arial" w:cs="Arial"/>
          <w:szCs w:val="24"/>
        </w:rPr>
        <w:t>accionado</w:t>
      </w:r>
      <w:r w:rsidRPr="002D3DBB">
        <w:rPr>
          <w:rFonts w:ascii="Arial" w:hAnsi="Arial" w:cs="Arial"/>
          <w:szCs w:val="24"/>
        </w:rPr>
        <w:t xml:space="preserve"> </w:t>
      </w:r>
      <w:r w:rsidR="00D33789" w:rsidRPr="002D3DBB">
        <w:rPr>
          <w:rFonts w:ascii="Arial" w:hAnsi="Arial" w:cs="Arial"/>
          <w:szCs w:val="24"/>
        </w:rPr>
        <w:t xml:space="preserve">es la </w:t>
      </w:r>
      <w:r w:rsidR="00885A62" w:rsidRPr="002D3DBB">
        <w:rPr>
          <w:rFonts w:ascii="Arial" w:hAnsi="Arial" w:cs="Arial"/>
          <w:szCs w:val="24"/>
        </w:rPr>
        <w:t xml:space="preserve">autoridad judicial que conoce </w:t>
      </w:r>
      <w:r w:rsidR="005B1E94" w:rsidRPr="002D3DBB">
        <w:rPr>
          <w:rFonts w:ascii="Arial" w:hAnsi="Arial" w:cs="Arial"/>
          <w:szCs w:val="24"/>
        </w:rPr>
        <w:t>el</w:t>
      </w:r>
      <w:r w:rsidR="0021559F" w:rsidRPr="002D3DBB">
        <w:rPr>
          <w:rFonts w:ascii="Arial" w:hAnsi="Arial" w:cs="Arial"/>
          <w:szCs w:val="24"/>
        </w:rPr>
        <w:t xml:space="preserve"> juicio</w:t>
      </w:r>
      <w:r w:rsidR="00885A62" w:rsidRPr="002D3DBB">
        <w:rPr>
          <w:rFonts w:ascii="Arial" w:hAnsi="Arial" w:cs="Arial"/>
          <w:szCs w:val="24"/>
        </w:rPr>
        <w:t>.</w:t>
      </w:r>
    </w:p>
    <w:p w:rsidR="00254082" w:rsidRDefault="00254082" w:rsidP="00092082">
      <w:pPr>
        <w:pStyle w:val="Corpsdetexte"/>
        <w:spacing w:line="360" w:lineRule="auto"/>
        <w:ind w:left="720"/>
        <w:rPr>
          <w:rFonts w:ascii="Arial" w:hAnsi="Arial" w:cs="Arial"/>
          <w:szCs w:val="24"/>
        </w:rPr>
      </w:pPr>
    </w:p>
    <w:p w:rsidR="005764A9" w:rsidRDefault="005764A9" w:rsidP="0047188F">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¿El Juzgado accionado, ha vulnerado o amenazado los derechos fundamentales del accionante con ocasión del trámite surtido en la acci</w:t>
      </w:r>
      <w:r w:rsidR="00FD3794">
        <w:rPr>
          <w:rFonts w:ascii="Arial" w:hAnsi="Arial" w:cs="Arial"/>
        </w:rPr>
        <w:t>ón</w:t>
      </w:r>
      <w:r w:rsidRPr="005764A9">
        <w:rPr>
          <w:rFonts w:ascii="Arial" w:hAnsi="Arial" w:cs="Arial"/>
        </w:rPr>
        <w:t xml:space="preserve"> popular, según lo expuesto en </w:t>
      </w:r>
      <w:r w:rsidR="00FD3794">
        <w:rPr>
          <w:rFonts w:ascii="Arial" w:hAnsi="Arial" w:cs="Arial"/>
        </w:rPr>
        <w:t>e</w:t>
      </w:r>
      <w:r w:rsidRPr="005764A9">
        <w:rPr>
          <w:rFonts w:ascii="Arial" w:hAnsi="Arial" w:cs="Arial"/>
        </w:rPr>
        <w:t xml:space="preserve">l escrito de tutela?   </w:t>
      </w:r>
    </w:p>
    <w:p w:rsidR="005764A9" w:rsidRDefault="005764A9" w:rsidP="005764A9">
      <w:pPr>
        <w:pStyle w:val="Paragraphedeliste"/>
        <w:rPr>
          <w:rFonts w:ascii="Arial" w:hAnsi="Arial" w:cs="Arial"/>
        </w:rPr>
      </w:pPr>
    </w:p>
    <w:p w:rsidR="005764A9" w:rsidRDefault="005764A9" w:rsidP="005764A9">
      <w:pPr>
        <w:pStyle w:val="Corpsdetexte"/>
        <w:numPr>
          <w:ilvl w:val="0"/>
          <w:numId w:val="18"/>
        </w:numPr>
        <w:spacing w:line="360" w:lineRule="auto"/>
        <w:rPr>
          <w:rFonts w:ascii="Arial" w:hAnsi="Arial"/>
          <w:szCs w:val="24"/>
        </w:rPr>
      </w:pPr>
      <w:r>
        <w:rPr>
          <w:rFonts w:ascii="Arial" w:hAnsi="Arial"/>
          <w:szCs w:val="24"/>
        </w:rPr>
        <w:t xml:space="preserve">   </w:t>
      </w:r>
      <w:r w:rsidRPr="006F4450">
        <w:rPr>
          <w:rFonts w:ascii="Arial" w:hAnsi="Arial"/>
          <w:szCs w:val="24"/>
        </w:rPr>
        <w:t xml:space="preserve">LA </w:t>
      </w:r>
      <w:r>
        <w:rPr>
          <w:rFonts w:ascii="Arial" w:hAnsi="Arial"/>
          <w:szCs w:val="24"/>
        </w:rPr>
        <w:t>RESOLUCIÓN DEL PROBLEMA JURÍDICO</w:t>
      </w:r>
    </w:p>
    <w:p w:rsidR="005764A9" w:rsidRPr="005764A9" w:rsidRDefault="005764A9" w:rsidP="00885A62">
      <w:pPr>
        <w:pStyle w:val="Corpsdetexte"/>
        <w:spacing w:line="360" w:lineRule="auto"/>
        <w:rPr>
          <w:rFonts w:ascii="Arial" w:hAnsi="Arial"/>
          <w:smallCaps/>
          <w:szCs w:val="24"/>
        </w:rPr>
      </w:pPr>
    </w:p>
    <w:p w:rsidR="00755277" w:rsidRPr="007D3EFE" w:rsidRDefault="00755277" w:rsidP="00755277">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7D3EFE">
        <w:rPr>
          <w:rFonts w:ascii="Arial" w:hAnsi="Arial" w:cs="Arial"/>
          <w:smallCaps/>
          <w:szCs w:val="24"/>
        </w:rPr>
        <w:t>Las sub-reglas de análisis en la procedibilidad frente a decisiones judiciales</w:t>
      </w:r>
    </w:p>
    <w:p w:rsidR="00755277" w:rsidRPr="007D3EFE" w:rsidRDefault="00755277" w:rsidP="00755277">
      <w:pPr>
        <w:pStyle w:val="Corpsdetexte"/>
        <w:spacing w:line="360" w:lineRule="auto"/>
        <w:rPr>
          <w:rFonts w:ascii="Arial" w:hAnsi="Arial" w:cs="Arial"/>
          <w:szCs w:val="24"/>
        </w:rPr>
      </w:pPr>
    </w:p>
    <w:p w:rsidR="00755277" w:rsidRPr="007D3EFE" w:rsidRDefault="00755277" w:rsidP="00755277">
      <w:pPr>
        <w:pStyle w:val="Corpsdetexte"/>
        <w:spacing w:line="360" w:lineRule="auto"/>
        <w:rPr>
          <w:rFonts w:ascii="Arial" w:hAnsi="Arial" w:cs="Arial"/>
          <w:szCs w:val="24"/>
        </w:rPr>
      </w:pPr>
      <w:r w:rsidRPr="007D3EFE">
        <w:rPr>
          <w:rFonts w:ascii="Arial" w:hAnsi="Arial" w:cs="Arial"/>
          <w:szCs w:val="24"/>
        </w:rPr>
        <w:t>Desde de la sentencia C-543 de 1992,  se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D3EFE">
        <w:rPr>
          <w:rStyle w:val="Appelnotedebasdep"/>
          <w:rFonts w:ascii="Arial" w:hAnsi="Arial" w:cs="Arial"/>
          <w:szCs w:val="24"/>
        </w:rPr>
        <w:footnoteReference w:id="1"/>
      </w:r>
      <w:r w:rsidRPr="007D3EFE">
        <w:rPr>
          <w:rFonts w:ascii="Arial" w:hAnsi="Arial" w:cs="Arial"/>
          <w:szCs w:val="24"/>
        </w:rPr>
        <w:t>, básicamente sustituyó la expresión “vías de hecho” por la de “causales genéricas de procedibilidad” y ensanchó las causales especiales, pasando de cuatro (4) a ocho (8). En el mismo sentido Quiroga N.</w:t>
      </w:r>
      <w:r w:rsidRPr="007D3EFE">
        <w:rPr>
          <w:rStyle w:val="Appelnotedebasdep"/>
          <w:rFonts w:ascii="Arial" w:hAnsi="Arial" w:cs="Arial"/>
          <w:szCs w:val="24"/>
        </w:rPr>
        <w:footnoteReference w:id="2"/>
      </w:r>
      <w:r w:rsidRPr="007D3EFE">
        <w:rPr>
          <w:rFonts w:ascii="Arial" w:hAnsi="Arial" w:cs="Arial"/>
          <w:szCs w:val="24"/>
        </w:rPr>
        <w:t>.</w:t>
      </w:r>
    </w:p>
    <w:p w:rsidR="00755277" w:rsidRPr="007D3EFE" w:rsidRDefault="00755277" w:rsidP="00755277">
      <w:pPr>
        <w:pStyle w:val="Corpsdetexte"/>
        <w:spacing w:line="360" w:lineRule="auto"/>
        <w:rPr>
          <w:rFonts w:ascii="Arial" w:hAnsi="Arial" w:cs="Arial"/>
          <w:szCs w:val="24"/>
        </w:rPr>
      </w:pPr>
    </w:p>
    <w:p w:rsidR="00755277" w:rsidRPr="007D3EFE" w:rsidRDefault="00755277" w:rsidP="00755277">
      <w:pPr>
        <w:pStyle w:val="Corpsdetexte"/>
        <w:spacing w:line="360" w:lineRule="auto"/>
        <w:rPr>
          <w:rFonts w:ascii="Arial" w:hAnsi="Arial" w:cs="Arial"/>
          <w:szCs w:val="24"/>
        </w:rPr>
      </w:pPr>
      <w:r w:rsidRPr="007D3EFE">
        <w:rPr>
          <w:rFonts w:ascii="Arial" w:hAnsi="Arial" w:cs="Arial"/>
          <w:szCs w:val="24"/>
        </w:rPr>
        <w:t xml:space="preserve">Ahora, en frente del examen que se reclama en sede constitucional, resulta de mayúscula </w:t>
      </w:r>
    </w:p>
    <w:p w:rsidR="00254082" w:rsidRDefault="00755277" w:rsidP="00755277">
      <w:pPr>
        <w:pStyle w:val="Corpsdetexte"/>
        <w:spacing w:line="360" w:lineRule="auto"/>
        <w:rPr>
          <w:rFonts w:ascii="Arial" w:hAnsi="Arial" w:cs="Arial"/>
          <w:szCs w:val="24"/>
        </w:rPr>
      </w:pPr>
      <w:r w:rsidRPr="007D3EFE">
        <w:rPr>
          <w:rFonts w:ascii="Arial" w:hAnsi="Arial" w:cs="Arial"/>
          <w:szCs w:val="24"/>
        </w:rPr>
        <w:t xml:space="preserve">trascendencia, precisar que </w:t>
      </w:r>
      <w:r w:rsidRPr="007D3EFE">
        <w:rPr>
          <w:rFonts w:ascii="Arial" w:hAnsi="Arial" w:cs="Arial"/>
          <w:szCs w:val="24"/>
          <w:u w:val="single"/>
        </w:rPr>
        <w:t>se trata de un juicio de validez y no de corrección</w:t>
      </w:r>
      <w:r w:rsidRPr="007D3EFE">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D3EFE">
        <w:rPr>
          <w:rStyle w:val="Appelnotedebasdep"/>
          <w:rFonts w:ascii="Arial" w:hAnsi="Arial" w:cs="Arial"/>
          <w:szCs w:val="24"/>
        </w:rPr>
        <w:footnoteReference w:id="3"/>
      </w:r>
      <w:r w:rsidRPr="007D3EFE">
        <w:rPr>
          <w:rFonts w:ascii="Arial" w:hAnsi="Arial" w:cs="Arial"/>
          <w:szCs w:val="24"/>
        </w:rPr>
        <w:t>.</w:t>
      </w:r>
    </w:p>
    <w:p w:rsidR="00254082" w:rsidRDefault="00254082" w:rsidP="00755277">
      <w:pPr>
        <w:pStyle w:val="Corpsdetexte"/>
        <w:spacing w:line="360" w:lineRule="auto"/>
        <w:rPr>
          <w:rFonts w:ascii="Arial" w:hAnsi="Arial" w:cs="Arial"/>
          <w:szCs w:val="24"/>
        </w:rPr>
      </w:pPr>
    </w:p>
    <w:p w:rsidR="00755277" w:rsidRPr="007D3EFE" w:rsidRDefault="00755277" w:rsidP="00755277">
      <w:pPr>
        <w:pStyle w:val="Corpsdetexte"/>
        <w:spacing w:line="360" w:lineRule="auto"/>
        <w:rPr>
          <w:rFonts w:ascii="Arial" w:hAnsi="Arial" w:cs="Arial"/>
          <w:szCs w:val="24"/>
        </w:rPr>
      </w:pPr>
      <w:r w:rsidRPr="007D3EFE">
        <w:rPr>
          <w:rFonts w:ascii="Arial" w:hAnsi="Arial" w:cs="Arial"/>
          <w:szCs w:val="24"/>
        </w:rPr>
        <w:t>Los requisitos generales de procedibilidad, explicados en amplitud en la sentencia C-590 de 2005</w:t>
      </w:r>
      <w:r w:rsidRPr="007D3EFE">
        <w:rPr>
          <w:rStyle w:val="Appelnotedebasdep"/>
          <w:rFonts w:ascii="Arial" w:hAnsi="Arial" w:cs="Arial"/>
          <w:szCs w:val="24"/>
        </w:rPr>
        <w:footnoteReference w:id="4"/>
      </w:r>
      <w:r w:rsidRPr="007D3EFE">
        <w:rPr>
          <w:rFonts w:ascii="Arial" w:hAnsi="Arial" w:cs="Arial"/>
          <w:szCs w:val="24"/>
        </w:rPr>
        <w:t xml:space="preserve"> y reiterados en la consolidada línea jurisprudencial de la CC</w:t>
      </w:r>
      <w:r w:rsidRPr="007D3EFE">
        <w:rPr>
          <w:rStyle w:val="Appelnotedebasdep"/>
          <w:rFonts w:ascii="Arial" w:hAnsi="Arial" w:cs="Arial"/>
          <w:szCs w:val="24"/>
        </w:rPr>
        <w:footnoteReference w:id="5"/>
      </w:r>
      <w:r w:rsidRPr="007D3EFE">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proofErr w:type="gramStart"/>
      <w:r w:rsidRPr="007D3EFE">
        <w:rPr>
          <w:rFonts w:ascii="Arial" w:hAnsi="Arial" w:cs="Arial"/>
          <w:szCs w:val="24"/>
        </w:rPr>
        <w:lastRenderedPageBreak/>
        <w:t>generadores</w:t>
      </w:r>
      <w:proofErr w:type="gramEnd"/>
      <w:r w:rsidRPr="007D3EFE">
        <w:rPr>
          <w:rFonts w:ascii="Arial" w:hAnsi="Arial" w:cs="Arial"/>
          <w:szCs w:val="24"/>
        </w:rPr>
        <w:t xml:space="preserve"> de la vulneración y que; (vi) De ser posible, los hubiere alegado en el proceso judicial en las oportunidades debidas; (vii) Que no se trate de tutela contra tutela</w:t>
      </w:r>
      <w:r w:rsidRPr="007D3EFE">
        <w:rPr>
          <w:rStyle w:val="Appelnotedebasdep"/>
          <w:rFonts w:ascii="Arial" w:hAnsi="Arial" w:cs="Arial"/>
          <w:szCs w:val="24"/>
        </w:rPr>
        <w:footnoteReference w:id="6"/>
      </w:r>
      <w:r w:rsidRPr="007D3EFE">
        <w:rPr>
          <w:rFonts w:ascii="Arial" w:hAnsi="Arial" w:cs="Arial"/>
          <w:szCs w:val="24"/>
        </w:rPr>
        <w:t>.</w:t>
      </w:r>
    </w:p>
    <w:p w:rsidR="00755277" w:rsidRPr="007D3EFE" w:rsidRDefault="00755277" w:rsidP="00755277">
      <w:pPr>
        <w:pStyle w:val="Corpsdetexte"/>
        <w:spacing w:line="360" w:lineRule="auto"/>
        <w:rPr>
          <w:rFonts w:ascii="Arial" w:hAnsi="Arial" w:cs="Arial"/>
          <w:sz w:val="20"/>
          <w:szCs w:val="24"/>
        </w:rPr>
      </w:pPr>
    </w:p>
    <w:p w:rsidR="00755277" w:rsidRPr="007D3EFE" w:rsidRDefault="00755277" w:rsidP="00755277">
      <w:pPr>
        <w:pStyle w:val="Corpsdetexte"/>
        <w:spacing w:line="360" w:lineRule="auto"/>
        <w:rPr>
          <w:rFonts w:ascii="Arial" w:hAnsi="Arial" w:cs="Arial"/>
          <w:szCs w:val="24"/>
        </w:rPr>
      </w:pPr>
      <w:r w:rsidRPr="007D3EFE">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7D3EFE">
        <w:rPr>
          <w:rFonts w:ascii="Arial" w:hAnsi="Arial" w:cs="Arial"/>
          <w:szCs w:val="24"/>
          <w:vertAlign w:val="superscript"/>
        </w:rPr>
        <w:footnoteReference w:id="7"/>
      </w:r>
      <w:r w:rsidRPr="007D3EFE">
        <w:rPr>
          <w:rFonts w:ascii="Arial" w:hAnsi="Arial" w:cs="Arial"/>
          <w:szCs w:val="24"/>
        </w:rPr>
        <w:t xml:space="preserve"> y Quinche R.</w:t>
      </w:r>
      <w:r w:rsidRPr="007D3EFE">
        <w:rPr>
          <w:rStyle w:val="Appelnotedebasdep"/>
          <w:rFonts w:ascii="Arial" w:hAnsi="Arial" w:cs="Arial"/>
          <w:szCs w:val="24"/>
        </w:rPr>
        <w:footnoteReference w:id="8"/>
      </w:r>
      <w:r w:rsidRPr="007D3EFE">
        <w:rPr>
          <w:rFonts w:ascii="Arial" w:hAnsi="Arial" w:cs="Arial"/>
          <w:szCs w:val="24"/>
        </w:rPr>
        <w:t>.</w:t>
      </w:r>
    </w:p>
    <w:p w:rsidR="00D10AEC" w:rsidRDefault="00D10AEC" w:rsidP="00D10AEC">
      <w:pPr>
        <w:pStyle w:val="Corpsdetexte"/>
        <w:spacing w:line="360" w:lineRule="auto"/>
        <w:rPr>
          <w:rFonts w:ascii="Arial" w:hAnsi="Arial" w:cs="Arial"/>
          <w:sz w:val="20"/>
          <w:szCs w:val="24"/>
        </w:rPr>
      </w:pPr>
    </w:p>
    <w:p w:rsidR="00D10AEC" w:rsidRPr="003353DD" w:rsidRDefault="00D10AEC" w:rsidP="000466C3">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0466C3">
        <w:rPr>
          <w:rFonts w:ascii="Arial" w:hAnsi="Arial"/>
          <w:smallCaps/>
          <w:szCs w:val="24"/>
        </w:rPr>
        <w:t>El carácter subsidiario de la acción de tutela</w:t>
      </w:r>
      <w:r w:rsidRPr="003353DD">
        <w:rPr>
          <w:rFonts w:ascii="Arial" w:hAnsi="Arial" w:cs="Arial"/>
          <w:szCs w:val="24"/>
        </w:rPr>
        <w:tab/>
      </w:r>
    </w:p>
    <w:p w:rsidR="00D10AEC" w:rsidRPr="004B7598" w:rsidRDefault="00D10AEC" w:rsidP="00D10AEC">
      <w:pPr>
        <w:pStyle w:val="Corpsdetexte"/>
        <w:tabs>
          <w:tab w:val="clear" w:pos="0"/>
        </w:tabs>
        <w:spacing w:line="360" w:lineRule="auto"/>
        <w:rPr>
          <w:rFonts w:ascii="Arial" w:hAnsi="Arial" w:cs="Arial"/>
          <w:sz w:val="20"/>
          <w:szCs w:val="24"/>
        </w:rPr>
      </w:pPr>
    </w:p>
    <w:p w:rsidR="00092082" w:rsidRPr="007D3EFE" w:rsidRDefault="00092082" w:rsidP="00092082">
      <w:pPr>
        <w:pStyle w:val="Corpsdetexte"/>
        <w:tabs>
          <w:tab w:val="clear" w:pos="0"/>
        </w:tabs>
        <w:spacing w:line="360" w:lineRule="auto"/>
        <w:rPr>
          <w:rFonts w:ascii="Arial" w:hAnsi="Arial" w:cs="Arial"/>
          <w:sz w:val="22"/>
          <w:szCs w:val="22"/>
        </w:rPr>
      </w:pPr>
      <w:r w:rsidRPr="007D3EFE">
        <w:rPr>
          <w:rFonts w:ascii="Arial" w:hAnsi="Arial" w:cs="Arial"/>
          <w:szCs w:val="24"/>
        </w:rPr>
        <w:t xml:space="preserve">La acción de tutela, se halla prescrita en el artículo 86 de la CP, definiendo la regla general sobre la procedencia de la acción, al consagrar en el inciso 3° que </w:t>
      </w:r>
      <w:r w:rsidRPr="007D3EFE">
        <w:rPr>
          <w:rFonts w:ascii="Arial" w:hAnsi="Arial" w:cs="Arial"/>
          <w:i/>
          <w:sz w:val="22"/>
          <w:szCs w:val="22"/>
        </w:rPr>
        <w:t>“Esta acción solo procederá cuando el afectado no disponga de otro medio de defensa judicial, salvo que aquella se utilice como mecanismo transitorio para evitar un perjuicio irremediable”.</w:t>
      </w:r>
      <w:r w:rsidRPr="007D3EFE">
        <w:rPr>
          <w:rFonts w:ascii="Arial" w:hAnsi="Arial" w:cs="Arial"/>
          <w:sz w:val="22"/>
          <w:szCs w:val="22"/>
        </w:rPr>
        <w:t xml:space="preserve"> </w:t>
      </w:r>
    </w:p>
    <w:p w:rsidR="00092082" w:rsidRPr="00962082" w:rsidRDefault="00092082" w:rsidP="00092082">
      <w:pPr>
        <w:pStyle w:val="Sansinterligne"/>
        <w:spacing w:line="360" w:lineRule="auto"/>
        <w:ind w:left="567" w:right="618"/>
        <w:jc w:val="center"/>
        <w:rPr>
          <w:rFonts w:ascii="Arial" w:hAnsi="Arial" w:cs="Arial"/>
          <w:sz w:val="20"/>
        </w:rPr>
      </w:pPr>
    </w:p>
    <w:p w:rsidR="00092082" w:rsidRDefault="00092082" w:rsidP="00092082">
      <w:pPr>
        <w:pStyle w:val="Corpsdetexte"/>
        <w:tabs>
          <w:tab w:val="clear" w:pos="0"/>
        </w:tabs>
        <w:spacing w:line="360" w:lineRule="auto"/>
        <w:rPr>
          <w:rFonts w:ascii="Arial" w:hAnsi="Arial" w:cs="Arial"/>
          <w:i/>
          <w:sz w:val="22"/>
          <w:szCs w:val="22"/>
        </w:rPr>
      </w:pPr>
      <w:r w:rsidRPr="007D3EFE">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D3EFE">
        <w:rPr>
          <w:rFonts w:ascii="Arial" w:hAnsi="Arial" w:cs="Arial"/>
          <w:i/>
          <w:szCs w:val="24"/>
        </w:rPr>
        <w:t>:</w:t>
      </w:r>
      <w:r w:rsidRPr="007D3EFE">
        <w:rPr>
          <w:rFonts w:ascii="Arial" w:hAnsi="Arial" w:cs="Arial"/>
          <w:i/>
        </w:rPr>
        <w:t xml:space="preserve"> </w:t>
      </w:r>
      <w:r w:rsidRPr="007D3EFE">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00254082">
        <w:rPr>
          <w:rFonts w:ascii="Arial" w:hAnsi="Arial" w:cs="Arial"/>
          <w:i/>
          <w:sz w:val="22"/>
          <w:szCs w:val="22"/>
        </w:rPr>
        <w:t>.</w:t>
      </w:r>
    </w:p>
    <w:p w:rsidR="00254082" w:rsidRPr="007D3EFE" w:rsidRDefault="00254082" w:rsidP="00092082">
      <w:pPr>
        <w:pStyle w:val="Corpsdetexte"/>
        <w:tabs>
          <w:tab w:val="clear" w:pos="0"/>
        </w:tabs>
        <w:spacing w:line="360" w:lineRule="auto"/>
        <w:rPr>
          <w:rFonts w:ascii="Arial" w:hAnsi="Arial" w:cs="Arial"/>
          <w:i/>
          <w:sz w:val="22"/>
          <w:szCs w:val="22"/>
        </w:rPr>
      </w:pPr>
    </w:p>
    <w:p w:rsidR="00092082" w:rsidRPr="007D3EFE" w:rsidRDefault="00092082" w:rsidP="00092082">
      <w:pPr>
        <w:pStyle w:val="Corpsdetexte"/>
        <w:tabs>
          <w:tab w:val="clear" w:pos="0"/>
        </w:tabs>
        <w:spacing w:line="360" w:lineRule="auto"/>
        <w:rPr>
          <w:rFonts w:ascii="Arial" w:hAnsi="Arial" w:cs="Arial"/>
        </w:rPr>
      </w:pPr>
      <w:r w:rsidRPr="007D3EFE">
        <w:rPr>
          <w:rFonts w:ascii="Arial" w:hAnsi="Arial" w:cs="Arial"/>
          <w:szCs w:val="22"/>
        </w:rPr>
        <w:t>En el mismo sentido, ha sido constante la doctrina jurisprudencial del Alto Tribunal Constitucional</w:t>
      </w:r>
      <w:r w:rsidRPr="007D3EFE">
        <w:rPr>
          <w:rFonts w:ascii="Arial" w:hAnsi="Arial" w:cs="Arial"/>
        </w:rPr>
        <w:t xml:space="preserve">  y es que </w:t>
      </w:r>
      <w:r w:rsidRPr="007D3EFE">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D3EFE">
        <w:rPr>
          <w:rFonts w:ascii="Arial" w:hAnsi="Arial" w:cs="Arial"/>
        </w:rPr>
        <w:t xml:space="preserve">: </w:t>
      </w:r>
      <w:r w:rsidRPr="007D3EFE">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D3EFE">
        <w:rPr>
          <w:rFonts w:ascii="Arial" w:hAnsi="Arial" w:cs="Arial"/>
          <w:sz w:val="22"/>
          <w:szCs w:val="22"/>
        </w:rPr>
        <w:t>.</w:t>
      </w:r>
      <w:r w:rsidRPr="007D3EFE">
        <w:rPr>
          <w:rFonts w:ascii="Arial" w:hAnsi="Arial" w:cs="Arial"/>
          <w:szCs w:val="24"/>
        </w:rPr>
        <w:t xml:space="preserve"> Además, la Corte</w:t>
      </w:r>
      <w:r w:rsidRPr="007D3EFE">
        <w:rPr>
          <w:rStyle w:val="Appelnotedebasdep"/>
          <w:rFonts w:ascii="Arial" w:hAnsi="Arial" w:cs="Arial"/>
        </w:rPr>
        <w:footnoteReference w:id="9"/>
      </w:r>
      <w:r w:rsidRPr="007D3EFE">
        <w:rPr>
          <w:rFonts w:ascii="Arial" w:hAnsi="Arial" w:cs="Arial"/>
          <w:szCs w:val="24"/>
        </w:rPr>
        <w:t xml:space="preserve"> ha sido reiterativa en su criterio. </w:t>
      </w:r>
      <w:r w:rsidRPr="007D3EFE">
        <w:rPr>
          <w:rFonts w:ascii="Arial" w:hAnsi="Arial" w:cs="Arial"/>
        </w:rPr>
        <w:lastRenderedPageBreak/>
        <w:t>También la CSJ</w:t>
      </w:r>
      <w:r w:rsidRPr="007D3EFE">
        <w:rPr>
          <w:rStyle w:val="Appelnotedebasdep"/>
          <w:rFonts w:ascii="Arial" w:hAnsi="Arial" w:cs="Arial"/>
        </w:rPr>
        <w:footnoteReference w:id="10"/>
      </w:r>
      <w:r w:rsidRPr="007D3EFE">
        <w:rPr>
          <w:rFonts w:ascii="Arial" w:hAnsi="Arial" w:cs="Arial"/>
        </w:rPr>
        <w:t xml:space="preserve"> se ha referido al tema</w:t>
      </w:r>
      <w:r>
        <w:rPr>
          <w:rFonts w:ascii="Arial" w:hAnsi="Arial" w:cs="Arial"/>
        </w:rPr>
        <w:t xml:space="preserve"> y</w:t>
      </w:r>
      <w:r w:rsidRPr="007D3EFE">
        <w:rPr>
          <w:rFonts w:ascii="Arial" w:hAnsi="Arial" w:cs="Arial"/>
        </w:rPr>
        <w:t xml:space="preserve"> </w:t>
      </w:r>
      <w:proofErr w:type="spellStart"/>
      <w:r w:rsidRPr="007D3EFE">
        <w:rPr>
          <w:rFonts w:ascii="Arial" w:hAnsi="Arial" w:cs="Arial"/>
        </w:rPr>
        <w:t>prohija</w:t>
      </w:r>
      <w:proofErr w:type="spellEnd"/>
      <w:r w:rsidRPr="007D3EFE">
        <w:rPr>
          <w:rFonts w:ascii="Arial" w:hAnsi="Arial" w:cs="Arial"/>
        </w:rPr>
        <w:t xml:space="preserve"> la improcedencia de la tutela por aplicación del principio de subsidiariedad.</w:t>
      </w:r>
    </w:p>
    <w:p w:rsidR="001C19B2" w:rsidRPr="00092082" w:rsidRDefault="001C19B2" w:rsidP="00511FE0">
      <w:pPr>
        <w:pStyle w:val="Corpsdetexte"/>
        <w:tabs>
          <w:tab w:val="clear" w:pos="0"/>
        </w:tabs>
        <w:spacing w:line="360" w:lineRule="auto"/>
        <w:rPr>
          <w:rFonts w:ascii="Arial" w:hAnsi="Arial" w:cs="Arial"/>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AB5BDE" w:rsidRPr="00424EC5" w:rsidRDefault="00AB5BDE" w:rsidP="00AB5BDE">
      <w:pPr>
        <w:pStyle w:val="Corpsdetexte"/>
        <w:spacing w:line="360" w:lineRule="auto"/>
        <w:ind w:left="585"/>
        <w:rPr>
          <w:rFonts w:ascii="Arial" w:hAnsi="Arial"/>
          <w:sz w:val="20"/>
          <w:szCs w:val="24"/>
        </w:rPr>
      </w:pPr>
    </w:p>
    <w:p w:rsidR="00D10AEC" w:rsidRDefault="00D10AEC" w:rsidP="00D10AEC">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D10AEC" w:rsidRPr="00D54497" w:rsidRDefault="00D10AEC" w:rsidP="00D10AEC">
      <w:pPr>
        <w:spacing w:line="360" w:lineRule="auto"/>
        <w:jc w:val="both"/>
        <w:rPr>
          <w:rFonts w:ascii="Arial" w:hAnsi="Arial" w:cs="Arial"/>
          <w:sz w:val="20"/>
          <w:lang w:val="es-ES_tradnl"/>
        </w:rPr>
      </w:pPr>
    </w:p>
    <w:p w:rsidR="00C12FC5" w:rsidRPr="002128C2" w:rsidRDefault="00C12FC5" w:rsidP="00C12FC5">
      <w:pPr>
        <w:pStyle w:val="Corpsdetexte"/>
        <w:spacing w:line="360" w:lineRule="auto"/>
        <w:rPr>
          <w:rFonts w:ascii="Arial" w:hAnsi="Arial" w:cs="Arial"/>
          <w:szCs w:val="24"/>
        </w:rPr>
      </w:pPr>
      <w:r>
        <w:rPr>
          <w:rFonts w:ascii="Arial" w:hAnsi="Arial" w:cs="Arial"/>
          <w:szCs w:val="24"/>
        </w:rPr>
        <w:t xml:space="preserve">Se </w:t>
      </w:r>
      <w:r w:rsidRPr="002128C2">
        <w:rPr>
          <w:rFonts w:ascii="Arial" w:hAnsi="Arial" w:cs="Arial"/>
          <w:szCs w:val="24"/>
        </w:rPr>
        <w:t xml:space="preserve">duele el actor </w:t>
      </w:r>
      <w:r>
        <w:rPr>
          <w:rFonts w:ascii="Arial" w:hAnsi="Arial" w:cs="Arial"/>
          <w:szCs w:val="24"/>
        </w:rPr>
        <w:t>de que el juzgado, para poder admitir la acción popular que presentó, le haya exigido cumplir con requisitos que la Ley 472 no contempla</w:t>
      </w:r>
      <w:r w:rsidRPr="002128C2">
        <w:rPr>
          <w:rFonts w:ascii="Arial" w:hAnsi="Arial" w:cs="Arial"/>
          <w:szCs w:val="24"/>
        </w:rPr>
        <w:t xml:space="preserve">. </w:t>
      </w:r>
    </w:p>
    <w:p w:rsidR="00677AA0" w:rsidRDefault="00677AA0" w:rsidP="00AA2028">
      <w:pPr>
        <w:widowControl/>
        <w:spacing w:line="360" w:lineRule="auto"/>
        <w:jc w:val="both"/>
        <w:rPr>
          <w:rFonts w:ascii="Arial" w:hAnsi="Arial" w:cs="Arial"/>
        </w:rPr>
      </w:pPr>
      <w:r>
        <w:rPr>
          <w:rFonts w:ascii="Arial" w:hAnsi="Arial" w:cs="Arial"/>
        </w:rPr>
        <w:t xml:space="preserve"> </w:t>
      </w:r>
    </w:p>
    <w:p w:rsidR="00C12FC5" w:rsidRDefault="00677AA0" w:rsidP="00AA2028">
      <w:pPr>
        <w:widowControl/>
        <w:spacing w:line="360" w:lineRule="auto"/>
        <w:jc w:val="both"/>
        <w:rPr>
          <w:rFonts w:ascii="Arial" w:hAnsi="Arial"/>
          <w:lang w:val="es-CO"/>
        </w:rPr>
      </w:pPr>
      <w:r>
        <w:rPr>
          <w:rFonts w:ascii="Arial" w:hAnsi="Arial" w:cs="Arial"/>
        </w:rPr>
        <w:t>C</w:t>
      </w:r>
      <w:r w:rsidR="00D10AEC" w:rsidRPr="003E0E8A">
        <w:rPr>
          <w:rFonts w:ascii="Arial" w:hAnsi="Arial" w:cs="Arial"/>
        </w:rPr>
        <w:t xml:space="preserve">onforme al acervo probatorio </w:t>
      </w:r>
      <w:r w:rsidR="00D10AEC">
        <w:rPr>
          <w:rFonts w:ascii="Arial" w:hAnsi="Arial" w:cs="Arial"/>
        </w:rPr>
        <w:t xml:space="preserve">el accionado </w:t>
      </w:r>
      <w:r w:rsidR="006F667A">
        <w:rPr>
          <w:rFonts w:ascii="Arial" w:hAnsi="Arial" w:cs="Arial"/>
          <w:lang w:val="es-CO"/>
        </w:rPr>
        <w:t>con auto</w:t>
      </w:r>
      <w:r w:rsidR="00D10AEC" w:rsidRPr="00F54A43">
        <w:rPr>
          <w:rFonts w:ascii="Arial" w:hAnsi="Arial" w:cs="Arial"/>
          <w:lang w:val="es-CO"/>
        </w:rPr>
        <w:t xml:space="preserve"> </w:t>
      </w:r>
      <w:r w:rsidR="00C94C61">
        <w:rPr>
          <w:rFonts w:ascii="Arial" w:hAnsi="Arial" w:cs="Arial"/>
          <w:lang w:val="es-CO"/>
        </w:rPr>
        <w:t xml:space="preserve">del </w:t>
      </w:r>
      <w:r w:rsidR="00C12FC5">
        <w:rPr>
          <w:rFonts w:ascii="Arial" w:hAnsi="Arial"/>
          <w:lang w:val="es-CO"/>
        </w:rPr>
        <w:t>19-01</w:t>
      </w:r>
      <w:r w:rsidR="00AA2028">
        <w:rPr>
          <w:rFonts w:ascii="Arial" w:hAnsi="Arial"/>
          <w:lang w:val="es-CO"/>
        </w:rPr>
        <w:t>-201</w:t>
      </w:r>
      <w:r w:rsidR="00B64E7A">
        <w:rPr>
          <w:rFonts w:ascii="Arial" w:hAnsi="Arial"/>
          <w:lang w:val="es-CO"/>
        </w:rPr>
        <w:t xml:space="preserve">7 </w:t>
      </w:r>
      <w:r w:rsidR="00C12FC5">
        <w:rPr>
          <w:rFonts w:ascii="Arial" w:hAnsi="Arial"/>
          <w:lang w:val="es-CO"/>
        </w:rPr>
        <w:t xml:space="preserve">inadmitió el petitorio popular y </w:t>
      </w:r>
      <w:r w:rsidR="005E61BE">
        <w:rPr>
          <w:rFonts w:ascii="Arial" w:hAnsi="Arial"/>
          <w:lang w:val="es-CO"/>
        </w:rPr>
        <w:t xml:space="preserve">concedió un término de </w:t>
      </w:r>
      <w:r w:rsidR="00C12FC5">
        <w:rPr>
          <w:rFonts w:ascii="Arial" w:hAnsi="Arial"/>
          <w:lang w:val="es-CO"/>
        </w:rPr>
        <w:t>tres días al accionante para que lo subsanara</w:t>
      </w:r>
      <w:r w:rsidR="005E61BE">
        <w:rPr>
          <w:rFonts w:ascii="Arial" w:hAnsi="Arial"/>
          <w:lang w:val="es-CO"/>
        </w:rPr>
        <w:t xml:space="preserve"> (Folio 16 del disco compacto visible a folio 19, ib.), luego con proveído del 07-02-2017, mantuvo incólume su decisión y negó la alzada presentada (Folio 19 del disco compacto visible a folio 19, ib.), y finalmente con providencia del 22-02-2017 rechazó la acción porque no fue subsanada, </w:t>
      </w:r>
      <w:r w:rsidR="00804710">
        <w:rPr>
          <w:rFonts w:ascii="Arial" w:hAnsi="Arial"/>
          <w:lang w:val="es-CO"/>
        </w:rPr>
        <w:t>notificado</w:t>
      </w:r>
      <w:r w:rsidR="005E61BE">
        <w:rPr>
          <w:rFonts w:ascii="Arial" w:hAnsi="Arial"/>
          <w:lang w:val="es-CO"/>
        </w:rPr>
        <w:t xml:space="preserve"> por estado del 23-02-2017 (Folio 22 del disco compacto visible a folio 19, ib.), sin que fuera recurrida (Folio 20, ib.).</w:t>
      </w:r>
    </w:p>
    <w:p w:rsidR="00C12FC5" w:rsidRDefault="00C12FC5" w:rsidP="00AA2028">
      <w:pPr>
        <w:widowControl/>
        <w:spacing w:line="360" w:lineRule="auto"/>
        <w:jc w:val="both"/>
        <w:rPr>
          <w:rFonts w:ascii="Arial" w:hAnsi="Arial"/>
          <w:lang w:val="es-CO"/>
        </w:rPr>
      </w:pPr>
    </w:p>
    <w:p w:rsidR="005E61BE" w:rsidRDefault="005E61BE" w:rsidP="005E61BE">
      <w:pPr>
        <w:spacing w:line="360" w:lineRule="auto"/>
        <w:jc w:val="both"/>
        <w:rPr>
          <w:rFonts w:ascii="Arial" w:hAnsi="Arial" w:cs="Arial"/>
          <w:sz w:val="22"/>
          <w:szCs w:val="22"/>
        </w:rPr>
      </w:pPr>
      <w:r w:rsidRPr="00DD0773">
        <w:rPr>
          <w:rFonts w:ascii="Arial" w:hAnsi="Arial" w:cs="Arial"/>
          <w:lang w:val="es-ES_tradnl"/>
        </w:rPr>
        <w:t xml:space="preserve">En ese orden de ideas, se tiene que el accionante pretermitió agotar el recurso de </w:t>
      </w:r>
      <w:r w:rsidRPr="00DD0773">
        <w:rPr>
          <w:rFonts w:ascii="Arial" w:hAnsi="Arial" w:cs="Arial"/>
          <w:u w:val="single"/>
          <w:lang w:val="es-ES_tradnl"/>
        </w:rPr>
        <w:t>reposición (Artículo 36, Ley 472)</w:t>
      </w:r>
      <w:r w:rsidRPr="00DD0773">
        <w:rPr>
          <w:rFonts w:ascii="Arial" w:hAnsi="Arial" w:cs="Arial"/>
          <w:lang w:val="es-ES_tradnl"/>
        </w:rPr>
        <w:t xml:space="preserve">, frente </w:t>
      </w:r>
      <w:r>
        <w:rPr>
          <w:rFonts w:ascii="Arial" w:hAnsi="Arial" w:cs="Arial"/>
          <w:lang w:val="es-ES_tradnl"/>
        </w:rPr>
        <w:t xml:space="preserve">al </w:t>
      </w:r>
      <w:r w:rsidRPr="00DD0773">
        <w:rPr>
          <w:rFonts w:ascii="Arial" w:hAnsi="Arial" w:cs="Arial"/>
          <w:lang w:val="es-ES_tradnl"/>
        </w:rPr>
        <w:t xml:space="preserve">proveído que </w:t>
      </w:r>
      <w:r>
        <w:rPr>
          <w:rFonts w:ascii="Arial" w:hAnsi="Arial" w:cs="Arial"/>
          <w:lang w:val="es-ES_tradnl"/>
        </w:rPr>
        <w:t>rechazó la acción popular</w:t>
      </w:r>
      <w:r w:rsidRPr="00DD0773">
        <w:rPr>
          <w:rFonts w:ascii="Arial" w:hAnsi="Arial" w:cs="Arial"/>
          <w:lang w:val="es-ES_tradnl"/>
        </w:rPr>
        <w:t>, cuando ese era el mecanismo ordinario y expedito que tenía para procurar que el estrado judicial accionado reconsiderara aquella determinaci</w:t>
      </w:r>
      <w:r>
        <w:rPr>
          <w:rFonts w:ascii="Arial" w:hAnsi="Arial" w:cs="Arial"/>
          <w:lang w:val="es-ES_tradnl"/>
        </w:rPr>
        <w:t>ón</w:t>
      </w:r>
      <w:r w:rsidRPr="00DD0773">
        <w:rPr>
          <w:rFonts w:ascii="Arial" w:hAnsi="Arial" w:cs="Arial"/>
          <w:lang w:val="es-ES_tradnl"/>
        </w:rPr>
        <w:t>.</w:t>
      </w:r>
      <w:r>
        <w:rPr>
          <w:rFonts w:ascii="Arial" w:hAnsi="Arial" w:cs="Arial"/>
          <w:lang w:val="es-ES_tradnl"/>
        </w:rPr>
        <w:t xml:space="preserve"> </w:t>
      </w:r>
      <w:r w:rsidRPr="00DD0773">
        <w:rPr>
          <w:rFonts w:ascii="Arial" w:hAnsi="Arial" w:cs="Arial"/>
          <w:lang w:val="es-ES_tradnl"/>
        </w:rPr>
        <w:t xml:space="preserve">Evidente, entonces, es la falta de agotamiento del supuesto de subsidiariedad, como ha explicado </w:t>
      </w:r>
      <w:r w:rsidRPr="00DD0773">
        <w:rPr>
          <w:rFonts w:ascii="Arial" w:hAnsi="Arial" w:cs="Arial"/>
        </w:rPr>
        <w:t>la CC, que reiteradamente ha referido que la acción de tutela mal puede implementarse como medio para sustituir los mecanismos ordinarios de defensa, cuando por negligencia, descuido o incuria no fueron utilizados</w:t>
      </w:r>
      <w:r w:rsidRPr="00DD0773">
        <w:rPr>
          <w:rStyle w:val="Appelnotedebasdep"/>
          <w:rFonts w:ascii="Arial" w:hAnsi="Arial" w:cs="Arial"/>
          <w:sz w:val="22"/>
          <w:szCs w:val="22"/>
        </w:rPr>
        <w:footnoteReference w:id="11"/>
      </w:r>
      <w:r w:rsidRPr="00DD0773">
        <w:rPr>
          <w:rFonts w:ascii="Arial" w:hAnsi="Arial" w:cs="Arial"/>
          <w:sz w:val="22"/>
          <w:szCs w:val="22"/>
        </w:rPr>
        <w:t>.</w:t>
      </w:r>
      <w:r>
        <w:rPr>
          <w:rFonts w:ascii="Arial" w:hAnsi="Arial" w:cs="Arial"/>
          <w:sz w:val="22"/>
          <w:szCs w:val="22"/>
        </w:rPr>
        <w:t xml:space="preserve"> </w:t>
      </w:r>
    </w:p>
    <w:p w:rsidR="005E61BE" w:rsidRDefault="005E61BE" w:rsidP="005E61BE">
      <w:pPr>
        <w:spacing w:line="360" w:lineRule="auto"/>
        <w:jc w:val="both"/>
        <w:rPr>
          <w:rFonts w:ascii="Arial" w:hAnsi="Arial" w:cs="Arial"/>
          <w:sz w:val="22"/>
          <w:szCs w:val="22"/>
        </w:rPr>
      </w:pPr>
    </w:p>
    <w:p w:rsidR="00D82BF1" w:rsidRDefault="00D82BF1" w:rsidP="005E61BE">
      <w:pPr>
        <w:spacing w:line="360" w:lineRule="auto"/>
        <w:jc w:val="both"/>
        <w:rPr>
          <w:rFonts w:ascii="Arial" w:hAnsi="Arial" w:cs="Arial"/>
        </w:rPr>
      </w:pPr>
      <w:r>
        <w:rPr>
          <w:rFonts w:ascii="Arial" w:hAnsi="Arial" w:cs="Arial"/>
        </w:rPr>
        <w:t xml:space="preserve">Cabe </w:t>
      </w:r>
      <w:r w:rsidRPr="00DD0773">
        <w:rPr>
          <w:rFonts w:ascii="Arial" w:hAnsi="Arial" w:cs="Arial"/>
        </w:rPr>
        <w:t xml:space="preserve">acotar que nada se arguyó y menos </w:t>
      </w:r>
      <w:r>
        <w:rPr>
          <w:rFonts w:ascii="Arial" w:hAnsi="Arial" w:cs="Arial"/>
        </w:rPr>
        <w:t xml:space="preserve">se </w:t>
      </w:r>
      <w:r w:rsidRPr="00DD0773">
        <w:rPr>
          <w:rFonts w:ascii="Arial" w:hAnsi="Arial" w:cs="Arial"/>
        </w:rPr>
        <w:t xml:space="preserve">acreditó por parte del accionante, de forma que pudiera estimarse </w:t>
      </w:r>
      <w:r w:rsidRPr="00DD0773">
        <w:rPr>
          <w:rFonts w:ascii="Arial" w:hAnsi="Arial" w:cs="Arial"/>
          <w:bCs/>
          <w:szCs w:val="22"/>
          <w:lang w:val="es-CO"/>
        </w:rPr>
        <w:t>que es una persona que requiere de protección reforzada</w:t>
      </w:r>
      <w:r w:rsidRPr="00DD0773">
        <w:rPr>
          <w:rStyle w:val="Appelnotedebasdep"/>
          <w:rFonts w:ascii="Arial" w:hAnsi="Arial" w:cs="Arial"/>
          <w:bCs/>
          <w:szCs w:val="22"/>
          <w:lang w:val="es-CO"/>
        </w:rPr>
        <w:footnoteReference w:id="12"/>
      </w:r>
      <w:r w:rsidRPr="00DD0773">
        <w:rPr>
          <w:rFonts w:ascii="Arial" w:hAnsi="Arial" w:cs="Arial"/>
          <w:bCs/>
          <w:szCs w:val="22"/>
          <w:lang w:val="es-CO"/>
        </w:rPr>
        <w:t xml:space="preserve"> o que estaba en una situación de imposibilidad para recurrir el mencionado auto</w:t>
      </w:r>
      <w:r w:rsidRPr="00DD0773">
        <w:rPr>
          <w:rStyle w:val="Appelnotedebasdep"/>
          <w:rFonts w:ascii="Arial" w:hAnsi="Arial" w:cs="Arial"/>
          <w:bCs/>
          <w:szCs w:val="22"/>
          <w:lang w:val="es-CO"/>
        </w:rPr>
        <w:footnoteReference w:id="13"/>
      </w:r>
      <w:r w:rsidRPr="00DD0773">
        <w:rPr>
          <w:rFonts w:ascii="Arial" w:hAnsi="Arial" w:cs="Arial"/>
          <w:bCs/>
          <w:szCs w:val="22"/>
          <w:lang w:val="es-CO"/>
        </w:rPr>
        <w:t xml:space="preserve">, de tal modo que amerite un análisis flexible del requisito de procedibilidad echado de menos, </w:t>
      </w:r>
      <w:r w:rsidRPr="00DD0773">
        <w:rPr>
          <w:rFonts w:ascii="Arial" w:hAnsi="Arial" w:cs="Arial"/>
        </w:rPr>
        <w:t>por ende solo a la parte le es imputable tal descuido.</w:t>
      </w:r>
    </w:p>
    <w:p w:rsidR="00D82BF1" w:rsidRDefault="00D82BF1" w:rsidP="005E61BE">
      <w:pPr>
        <w:spacing w:line="360" w:lineRule="auto"/>
        <w:jc w:val="both"/>
        <w:rPr>
          <w:rFonts w:ascii="Arial" w:hAnsi="Arial" w:cs="Arial"/>
          <w:sz w:val="22"/>
          <w:szCs w:val="22"/>
        </w:rPr>
      </w:pPr>
    </w:p>
    <w:p w:rsidR="00D82BF1" w:rsidRDefault="005E61BE" w:rsidP="00D82BF1">
      <w:pPr>
        <w:spacing w:line="360" w:lineRule="auto"/>
        <w:ind w:right="51"/>
        <w:jc w:val="both"/>
        <w:rPr>
          <w:rFonts w:ascii="Arial" w:hAnsi="Arial" w:cs="Arial"/>
        </w:rPr>
      </w:pPr>
      <w:r>
        <w:rPr>
          <w:rFonts w:ascii="Arial" w:hAnsi="Arial" w:cs="Arial"/>
        </w:rPr>
        <w:t xml:space="preserve">También se advierte que el presente </w:t>
      </w:r>
      <w:r w:rsidRPr="00A80FCC">
        <w:rPr>
          <w:rFonts w:ascii="Arial" w:hAnsi="Arial" w:cs="Arial"/>
        </w:rPr>
        <w:t xml:space="preserve">amparo </w:t>
      </w:r>
      <w:r>
        <w:rPr>
          <w:rFonts w:ascii="Arial" w:hAnsi="Arial" w:cs="Arial"/>
        </w:rPr>
        <w:t xml:space="preserve">constitucional es </w:t>
      </w:r>
      <w:r w:rsidRPr="00A80FCC">
        <w:rPr>
          <w:rFonts w:ascii="Arial" w:hAnsi="Arial" w:cs="Arial"/>
        </w:rPr>
        <w:t xml:space="preserve">prematuro porque </w:t>
      </w:r>
      <w:r>
        <w:rPr>
          <w:rFonts w:ascii="Arial" w:hAnsi="Arial" w:cs="Arial"/>
        </w:rPr>
        <w:t>se promovió antes de que quedara ejecutoriado el proveído que rechazó la acción popular</w:t>
      </w:r>
      <w:r w:rsidR="00D82BF1">
        <w:rPr>
          <w:rFonts w:ascii="Arial" w:hAnsi="Arial" w:cs="Arial"/>
        </w:rPr>
        <w:t xml:space="preserve"> (27-02-2017)</w:t>
      </w:r>
      <w:r>
        <w:rPr>
          <w:rFonts w:ascii="Arial" w:hAnsi="Arial" w:cs="Arial"/>
        </w:rPr>
        <w:t xml:space="preserve">, es decir, </w:t>
      </w:r>
      <w:r w:rsidR="00D82BF1">
        <w:rPr>
          <w:rFonts w:ascii="Arial" w:hAnsi="Arial" w:cs="Arial"/>
        </w:rPr>
        <w:t xml:space="preserve">cuando el </w:t>
      </w:r>
      <w:r>
        <w:rPr>
          <w:rFonts w:ascii="Arial" w:hAnsi="Arial" w:cs="Arial"/>
        </w:rPr>
        <w:t xml:space="preserve">asunto </w:t>
      </w:r>
      <w:r w:rsidRPr="00A80FCC">
        <w:rPr>
          <w:rFonts w:ascii="Arial" w:hAnsi="Arial" w:cs="Arial"/>
        </w:rPr>
        <w:t xml:space="preserve">aún </w:t>
      </w:r>
      <w:r w:rsidR="00D82BF1">
        <w:rPr>
          <w:rFonts w:ascii="Arial" w:hAnsi="Arial" w:cs="Arial"/>
        </w:rPr>
        <w:t>se estaba tramitando</w:t>
      </w:r>
      <w:r w:rsidRPr="00A80FCC">
        <w:rPr>
          <w:rFonts w:ascii="Arial" w:hAnsi="Arial" w:cs="Arial"/>
          <w:lang w:val="es-CO"/>
        </w:rPr>
        <w:t>.</w:t>
      </w:r>
      <w:r w:rsidRPr="00A80FCC">
        <w:rPr>
          <w:rFonts w:ascii="Arial" w:hAnsi="Arial" w:cs="Arial"/>
        </w:rPr>
        <w:t xml:space="preserve"> Así lo ha dispuesto la jurisprudencia de la </w:t>
      </w:r>
      <w:r>
        <w:rPr>
          <w:rFonts w:ascii="Arial" w:hAnsi="Arial" w:cs="Arial"/>
        </w:rPr>
        <w:t>CC</w:t>
      </w:r>
      <w:r w:rsidRPr="00A80FCC">
        <w:rPr>
          <w:rStyle w:val="Appelnotedebasdep"/>
          <w:rFonts w:ascii="Arial" w:hAnsi="Arial"/>
        </w:rPr>
        <w:footnoteReference w:id="14"/>
      </w:r>
      <w:r w:rsidRPr="00A80FCC">
        <w:rPr>
          <w:rFonts w:ascii="Arial" w:hAnsi="Arial" w:cs="Arial"/>
        </w:rPr>
        <w:t>, criterio también expuesto por la CSJ</w:t>
      </w:r>
      <w:r w:rsidRPr="00A80FCC">
        <w:rPr>
          <w:rStyle w:val="Appelnotedebasdep"/>
          <w:rFonts w:ascii="Arial" w:hAnsi="Arial"/>
        </w:rPr>
        <w:footnoteReference w:id="15"/>
      </w:r>
      <w:r w:rsidRPr="00A80FCC">
        <w:rPr>
          <w:rFonts w:ascii="Arial" w:hAnsi="Arial" w:cs="Arial"/>
        </w:rPr>
        <w:t>.</w:t>
      </w:r>
      <w:r w:rsidR="00D82BF1">
        <w:rPr>
          <w:rFonts w:ascii="Arial" w:hAnsi="Arial" w:cs="Arial"/>
        </w:rPr>
        <w:t xml:space="preserve"> Ha dicho la CC que la </w:t>
      </w:r>
      <w:r w:rsidR="00D82BF1" w:rsidRPr="00A80FCC">
        <w:rPr>
          <w:rFonts w:ascii="Arial" w:hAnsi="Arial" w:cs="Arial"/>
        </w:rPr>
        <w:t xml:space="preserve">acción de tutela no </w:t>
      </w:r>
      <w:r w:rsidR="00D82BF1">
        <w:rPr>
          <w:rFonts w:ascii="Arial" w:hAnsi="Arial" w:cs="Arial"/>
        </w:rPr>
        <w:t>se puede implementar</w:t>
      </w:r>
      <w:r w:rsidR="00D82BF1" w:rsidRPr="00A80FCC">
        <w:rPr>
          <w:rFonts w:ascii="Arial" w:hAnsi="Arial" w:cs="Arial"/>
        </w:rPr>
        <w:t xml:space="preserve"> como </w:t>
      </w:r>
      <w:r w:rsidR="00D82BF1" w:rsidRPr="00A80FCC">
        <w:rPr>
          <w:rFonts w:ascii="Arial" w:hAnsi="Arial" w:cs="Arial"/>
          <w:shd w:val="clear" w:color="auto" w:fill="FFFFFF"/>
        </w:rPr>
        <w:t>mecanismo alternativo o paralelo para resolver</w:t>
      </w:r>
      <w:r w:rsidR="00D82BF1">
        <w:rPr>
          <w:rFonts w:ascii="Arial" w:hAnsi="Arial" w:cs="Arial"/>
          <w:shd w:val="clear" w:color="auto" w:fill="FFFFFF"/>
        </w:rPr>
        <w:t xml:space="preserve"> </w:t>
      </w:r>
      <w:r w:rsidR="00D82BF1" w:rsidRPr="00A80FCC">
        <w:rPr>
          <w:rFonts w:ascii="Arial" w:hAnsi="Arial" w:cs="Arial"/>
          <w:shd w:val="clear" w:color="auto" w:fill="FFFFFF"/>
        </w:rPr>
        <w:t>problemas jurídicos que deben ser resueltos al interior del trámite ordinario</w:t>
      </w:r>
      <w:r w:rsidR="00D82BF1" w:rsidRPr="00A80FCC">
        <w:rPr>
          <w:rStyle w:val="Appelnotedebasdep"/>
          <w:rFonts w:ascii="Arial" w:hAnsi="Arial" w:cs="Arial"/>
        </w:rPr>
        <w:footnoteReference w:id="16"/>
      </w:r>
      <w:r w:rsidR="00D82BF1" w:rsidRPr="00A80FCC">
        <w:rPr>
          <w:rFonts w:ascii="Arial" w:hAnsi="Arial" w:cs="Arial"/>
        </w:rPr>
        <w:t xml:space="preserve">. </w:t>
      </w:r>
    </w:p>
    <w:p w:rsidR="00804710" w:rsidRDefault="00804710" w:rsidP="00D82BF1">
      <w:pPr>
        <w:spacing w:line="360" w:lineRule="auto"/>
        <w:ind w:right="51"/>
        <w:jc w:val="both"/>
        <w:rPr>
          <w:rFonts w:ascii="Arial" w:hAnsi="Arial" w:cs="Arial"/>
        </w:rPr>
      </w:pPr>
    </w:p>
    <w:p w:rsidR="005E61BE" w:rsidRDefault="005E61BE" w:rsidP="005E61BE">
      <w:pPr>
        <w:spacing w:line="360" w:lineRule="auto"/>
        <w:ind w:right="51"/>
        <w:jc w:val="both"/>
        <w:rPr>
          <w:rFonts w:ascii="Arial" w:hAnsi="Arial" w:cs="Arial"/>
        </w:rPr>
      </w:pPr>
      <w:r w:rsidRPr="00DD0773">
        <w:rPr>
          <w:rFonts w:ascii="Arial" w:hAnsi="Arial" w:cs="Arial"/>
          <w:lang w:val="es-ES_tradnl"/>
        </w:rPr>
        <w:t>En ese contexto, la presente acción de tutela es improcedente toda vez que se incumple con uno de los siete (7) requisitos generales de procedibilidad, como lo es el de la subsidiariedad, pues no se formuló el recurso ordinario</w:t>
      </w:r>
      <w:r w:rsidR="00D82BF1">
        <w:rPr>
          <w:rFonts w:ascii="Arial" w:hAnsi="Arial" w:cs="Arial"/>
          <w:lang w:val="es-ES_tradnl"/>
        </w:rPr>
        <w:t xml:space="preserve"> y el proceso aún se estaba tramitando</w:t>
      </w:r>
      <w:r w:rsidRPr="00DD0773">
        <w:rPr>
          <w:rFonts w:ascii="Arial" w:hAnsi="Arial" w:cs="Arial"/>
        </w:rPr>
        <w:t>.</w:t>
      </w:r>
    </w:p>
    <w:p w:rsidR="00804710" w:rsidRPr="00DD0773" w:rsidRDefault="00804710" w:rsidP="005E61BE">
      <w:pPr>
        <w:spacing w:line="360" w:lineRule="auto"/>
        <w:ind w:right="51"/>
        <w:jc w:val="both"/>
        <w:rPr>
          <w:rFonts w:ascii="Arial" w:hAnsi="Arial" w:cs="Arial"/>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4B7598" w:rsidRDefault="00511FE0" w:rsidP="00424EC5">
      <w:pPr>
        <w:pStyle w:val="Corpsdetexte"/>
        <w:spacing w:line="360" w:lineRule="auto"/>
        <w:rPr>
          <w:rFonts w:ascii="Arial" w:hAnsi="Arial" w:cs="Arial"/>
          <w:sz w:val="20"/>
          <w:szCs w:val="24"/>
          <w:lang w:val="es-ES"/>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 xml:space="preserve">Con </w:t>
      </w:r>
      <w:r w:rsidR="00511FE0">
        <w:rPr>
          <w:rFonts w:ascii="Arial" w:hAnsi="Arial" w:cs="Arial"/>
          <w:szCs w:val="24"/>
          <w:lang w:val="es-ES"/>
        </w:rPr>
        <w:t xml:space="preserve"> </w:t>
      </w:r>
      <w:r w:rsidRPr="00842D42">
        <w:rPr>
          <w:rFonts w:ascii="Arial" w:hAnsi="Arial" w:cs="Arial"/>
          <w:szCs w:val="24"/>
          <w:lang w:val="es-ES"/>
        </w:rPr>
        <w:t xml:space="preserve">fundamento </w:t>
      </w:r>
      <w:r w:rsidR="00511FE0">
        <w:rPr>
          <w:rFonts w:ascii="Arial" w:hAnsi="Arial" w:cs="Arial"/>
          <w:szCs w:val="24"/>
          <w:lang w:val="es-ES"/>
        </w:rPr>
        <w:t xml:space="preserve"> </w:t>
      </w:r>
      <w:r w:rsidRPr="00842D42">
        <w:rPr>
          <w:rFonts w:ascii="Arial" w:hAnsi="Arial" w:cs="Arial"/>
          <w:szCs w:val="24"/>
          <w:lang w:val="es-ES"/>
        </w:rPr>
        <w:t xml:space="preserve">en </w:t>
      </w:r>
      <w:r w:rsidR="00511FE0">
        <w:rPr>
          <w:rFonts w:ascii="Arial" w:hAnsi="Arial" w:cs="Arial"/>
          <w:szCs w:val="24"/>
          <w:lang w:val="es-ES"/>
        </w:rPr>
        <w:t xml:space="preserve"> </w:t>
      </w:r>
      <w:r w:rsidRPr="00842D42">
        <w:rPr>
          <w:rFonts w:ascii="Arial" w:hAnsi="Arial" w:cs="Arial"/>
          <w:szCs w:val="24"/>
          <w:lang w:val="es-ES"/>
        </w:rPr>
        <w:t xml:space="preserve">las </w:t>
      </w:r>
      <w:r w:rsidR="00511FE0">
        <w:rPr>
          <w:rFonts w:ascii="Arial" w:hAnsi="Arial" w:cs="Arial"/>
          <w:szCs w:val="24"/>
          <w:lang w:val="es-ES"/>
        </w:rPr>
        <w:t xml:space="preserve"> </w:t>
      </w:r>
      <w:r w:rsidRPr="00842D42">
        <w:rPr>
          <w:rFonts w:ascii="Arial" w:hAnsi="Arial" w:cs="Arial"/>
          <w:szCs w:val="24"/>
          <w:lang w:val="es-ES"/>
        </w:rPr>
        <w:t xml:space="preserve">consideraciones </w:t>
      </w:r>
      <w:r w:rsidR="00511FE0">
        <w:rPr>
          <w:rFonts w:ascii="Arial" w:hAnsi="Arial" w:cs="Arial"/>
          <w:szCs w:val="24"/>
          <w:lang w:val="es-ES"/>
        </w:rPr>
        <w:t xml:space="preserve"> </w:t>
      </w:r>
      <w:r w:rsidRPr="00842D42">
        <w:rPr>
          <w:rFonts w:ascii="Arial" w:hAnsi="Arial" w:cs="Arial"/>
          <w:szCs w:val="24"/>
          <w:lang w:val="es-ES"/>
        </w:rPr>
        <w:t>expuestas</w:t>
      </w:r>
      <w:r w:rsidR="00092082">
        <w:rPr>
          <w:rFonts w:ascii="Arial" w:hAnsi="Arial" w:cs="Arial"/>
          <w:szCs w:val="24"/>
          <w:lang w:val="es-ES"/>
        </w:rPr>
        <w:t xml:space="preserve"> s</w:t>
      </w:r>
      <w:r w:rsidR="00357C99">
        <w:rPr>
          <w:rFonts w:ascii="Arial" w:hAnsi="Arial" w:cs="Arial"/>
          <w:szCs w:val="24"/>
          <w:lang w:val="es-ES"/>
        </w:rPr>
        <w:t xml:space="preserve">e </w:t>
      </w:r>
      <w:r w:rsidR="00511FE0">
        <w:rPr>
          <w:rFonts w:ascii="Arial" w:hAnsi="Arial" w:cs="Arial"/>
          <w:szCs w:val="24"/>
          <w:lang w:val="es-ES"/>
        </w:rPr>
        <w:t xml:space="preserve"> </w:t>
      </w:r>
      <w:r w:rsidR="00AA2028">
        <w:rPr>
          <w:rFonts w:ascii="Arial" w:hAnsi="Arial" w:cs="Arial"/>
          <w:szCs w:val="24"/>
          <w:lang w:val="es-ES"/>
        </w:rPr>
        <w:t xml:space="preserve">declarará </w:t>
      </w:r>
      <w:r w:rsidR="00511FE0">
        <w:rPr>
          <w:rFonts w:ascii="Arial" w:hAnsi="Arial" w:cs="Arial"/>
          <w:szCs w:val="24"/>
          <w:lang w:val="es-ES"/>
        </w:rPr>
        <w:t xml:space="preserve"> </w:t>
      </w:r>
      <w:r w:rsidR="00AA2028">
        <w:rPr>
          <w:rFonts w:ascii="Arial" w:hAnsi="Arial" w:cs="Arial"/>
          <w:szCs w:val="24"/>
          <w:lang w:val="es-ES"/>
        </w:rPr>
        <w:t xml:space="preserve">improcedente </w:t>
      </w:r>
      <w:r w:rsidR="00511FE0">
        <w:rPr>
          <w:rFonts w:ascii="Arial" w:hAnsi="Arial" w:cs="Arial"/>
          <w:szCs w:val="24"/>
          <w:lang w:val="es-ES"/>
        </w:rPr>
        <w:t xml:space="preserve"> </w:t>
      </w:r>
      <w:r w:rsidR="00AA2028">
        <w:rPr>
          <w:rFonts w:ascii="Arial" w:hAnsi="Arial" w:cs="Arial"/>
          <w:szCs w:val="24"/>
          <w:lang w:val="es-ES"/>
        </w:rPr>
        <w:t>el amparo constitucional</w:t>
      </w:r>
      <w:r w:rsidR="00092082">
        <w:rPr>
          <w:rFonts w:ascii="Arial" w:hAnsi="Arial" w:cs="Arial"/>
          <w:szCs w:val="24"/>
          <w:lang w:val="es-ES"/>
        </w:rPr>
        <w:t xml:space="preserve"> frente al despacho judicial accionado porque </w:t>
      </w:r>
      <w:r w:rsidR="00AA2028">
        <w:rPr>
          <w:rFonts w:ascii="Arial" w:hAnsi="Arial" w:cs="Arial"/>
          <w:szCs w:val="24"/>
          <w:lang w:val="es-ES"/>
        </w:rPr>
        <w:t>está incumplido el presupuesto de la subsidiariedad</w:t>
      </w:r>
      <w:r w:rsidR="00092082">
        <w:rPr>
          <w:rFonts w:ascii="Arial" w:hAnsi="Arial" w:cs="Arial"/>
          <w:szCs w:val="24"/>
          <w:lang w:val="es-ES"/>
        </w:rPr>
        <w:t>, también respecto de los litisconsortes vinculados en razón a que carecen de legitimación</w:t>
      </w:r>
      <w:r w:rsidR="00B1322D">
        <w:rPr>
          <w:rFonts w:ascii="Arial" w:hAnsi="Arial" w:cs="Arial"/>
          <w:szCs w:val="24"/>
          <w:lang w:val="es-ES"/>
        </w:rPr>
        <w:t>.</w:t>
      </w:r>
    </w:p>
    <w:p w:rsidR="00C86CC1" w:rsidRPr="00424EC5" w:rsidRDefault="00C86CC1" w:rsidP="00502EC8">
      <w:pPr>
        <w:pStyle w:val="Corpsdetexte"/>
        <w:tabs>
          <w:tab w:val="clear" w:pos="708"/>
        </w:tabs>
        <w:spacing w:line="360" w:lineRule="auto"/>
        <w:rPr>
          <w:rFonts w:ascii="Arial" w:hAnsi="Arial" w:cs="Arial"/>
          <w:sz w:val="20"/>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3F6C16" w:rsidRDefault="00FF5B57" w:rsidP="00FF5B57">
      <w:pPr>
        <w:tabs>
          <w:tab w:val="left" w:pos="-720"/>
        </w:tabs>
        <w:suppressAutoHyphens/>
        <w:spacing w:line="360" w:lineRule="auto"/>
        <w:jc w:val="both"/>
        <w:rPr>
          <w:rFonts w:ascii="Arial" w:hAnsi="Arial" w:cs="Arial"/>
          <w:sz w:val="4"/>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804710" w:rsidRPr="00A30437" w:rsidRDefault="00804710" w:rsidP="00FF5B57">
      <w:pPr>
        <w:pStyle w:val="Corpsdetexte"/>
        <w:spacing w:line="360" w:lineRule="auto"/>
        <w:jc w:val="center"/>
        <w:rPr>
          <w:rFonts w:ascii="Arial" w:hAnsi="Arial" w:cs="Arial"/>
          <w:bCs/>
          <w:smallCaps/>
          <w:szCs w:val="24"/>
        </w:rPr>
      </w:pPr>
    </w:p>
    <w:p w:rsidR="00357C99"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Pr="00C86CC1">
        <w:rPr>
          <w:rFonts w:ascii="Arial" w:hAnsi="Arial" w:cs="Arial"/>
        </w:rPr>
        <w:t xml:space="preserve"> </w:t>
      </w:r>
      <w:r w:rsidR="00AA2028">
        <w:rPr>
          <w:rFonts w:ascii="Arial" w:hAnsi="Arial" w:cs="Arial"/>
        </w:rPr>
        <w:t xml:space="preserve">la </w:t>
      </w:r>
      <w:r w:rsidR="00AE6C59" w:rsidRPr="00C86CC1">
        <w:rPr>
          <w:rFonts w:ascii="Arial" w:hAnsi="Arial" w:cs="Arial"/>
        </w:rPr>
        <w:t>tutela</w:t>
      </w:r>
      <w:r w:rsidRPr="00C86CC1">
        <w:rPr>
          <w:rFonts w:ascii="Arial" w:hAnsi="Arial" w:cs="Arial"/>
        </w:rPr>
        <w:t xml:space="preserve"> </w:t>
      </w:r>
      <w:r w:rsidR="00AE6C59" w:rsidRPr="00C86CC1">
        <w:rPr>
          <w:rFonts w:ascii="Arial" w:hAnsi="Arial" w:cs="Arial"/>
        </w:rPr>
        <w:t>propuesta</w:t>
      </w:r>
      <w:r w:rsidRPr="00C86CC1">
        <w:rPr>
          <w:rFonts w:ascii="Arial" w:hAnsi="Arial" w:cs="Arial"/>
        </w:rPr>
        <w:t xml:space="preserve"> </w:t>
      </w:r>
      <w:r w:rsidR="00AA2028">
        <w:rPr>
          <w:rFonts w:ascii="Arial" w:hAnsi="Arial" w:cs="Arial"/>
        </w:rPr>
        <w:t xml:space="preserve">por el señor Javier Elías </w:t>
      </w:r>
      <w:r w:rsidR="00AA2028" w:rsidRPr="00A71827">
        <w:rPr>
          <w:rFonts w:ascii="Arial" w:hAnsi="Arial" w:cs="Arial"/>
        </w:rPr>
        <w:t xml:space="preserve">Arias Idárraga contra el </w:t>
      </w:r>
      <w:r w:rsidR="00E5393F">
        <w:rPr>
          <w:rFonts w:ascii="Arial" w:hAnsi="Arial" w:cs="Arial"/>
        </w:rPr>
        <w:t xml:space="preserve">Juzgado </w:t>
      </w:r>
      <w:r w:rsidR="00D82BF1">
        <w:rPr>
          <w:rFonts w:ascii="Arial" w:hAnsi="Arial" w:cs="Arial"/>
        </w:rPr>
        <w:t>Promiscuo del Circuito de La Virginia, R.</w:t>
      </w:r>
    </w:p>
    <w:p w:rsidR="00804710" w:rsidRPr="00C86CC1" w:rsidRDefault="00804710" w:rsidP="00804710">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804710" w:rsidRPr="00804710" w:rsidRDefault="00804710" w:rsidP="0080471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804710" w:rsidRDefault="00804710" w:rsidP="00804710">
      <w:pPr>
        <w:pStyle w:val="Corpsdetexte"/>
        <w:tabs>
          <w:tab w:val="clear" w:pos="708"/>
        </w:tabs>
        <w:spacing w:line="360" w:lineRule="auto"/>
        <w:rPr>
          <w:rFonts w:ascii="Arial" w:hAnsi="Arial" w:cs="Arial"/>
          <w:szCs w:val="24"/>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254082" w:rsidRDefault="00626C89" w:rsidP="00FF5B57">
      <w:pPr>
        <w:pStyle w:val="Paragraphedeliste"/>
        <w:widowControl/>
        <w:autoSpaceDE/>
        <w:autoSpaceDN/>
        <w:adjustRightInd/>
        <w:spacing w:line="360" w:lineRule="auto"/>
        <w:ind w:left="360" w:right="51"/>
        <w:contextualSpacing/>
        <w:jc w:val="both"/>
        <w:rPr>
          <w:rFonts w:ascii="Arial" w:hAnsi="Arial"/>
          <w:sz w:val="2"/>
        </w:rPr>
      </w:pPr>
    </w:p>
    <w:p w:rsidR="00804710" w:rsidRPr="00953DF2" w:rsidRDefault="00804710" w:rsidP="00417DA5">
      <w:pPr>
        <w:pStyle w:val="Corpsdetexte"/>
        <w:spacing w:line="360" w:lineRule="auto"/>
        <w:jc w:val="center"/>
        <w:rPr>
          <w:rFonts w:ascii="Arial" w:hAnsi="Arial"/>
          <w:smallCaps/>
          <w:sz w:val="16"/>
          <w:szCs w:val="24"/>
          <w:lang w:val="es-CO"/>
        </w:rPr>
      </w:pPr>
    </w:p>
    <w:p w:rsidR="00B30152" w:rsidRDefault="00126266" w:rsidP="00417DA5">
      <w:pPr>
        <w:pStyle w:val="Corpsdetex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4B7598" w:rsidRDefault="004B7598" w:rsidP="00804710">
      <w:pPr>
        <w:pStyle w:val="Corpsdetexte"/>
        <w:spacing w:line="360" w:lineRule="auto"/>
        <w:jc w:val="center"/>
        <w:rPr>
          <w:rFonts w:ascii="Arial" w:hAnsi="Arial"/>
          <w:smallCaps/>
          <w:szCs w:val="24"/>
          <w:lang w:val="en-US"/>
        </w:rPr>
      </w:pPr>
    </w:p>
    <w:p w:rsidR="00804710" w:rsidRPr="00804710" w:rsidRDefault="00804710" w:rsidP="00804710">
      <w:pPr>
        <w:pStyle w:val="Corpsdetexte"/>
        <w:spacing w:line="360" w:lineRule="auto"/>
        <w:jc w:val="center"/>
        <w:rPr>
          <w:rFonts w:ascii="Arial" w:hAnsi="Arial"/>
          <w:smallCaps/>
          <w:szCs w:val="24"/>
          <w:lang w:val="en-US"/>
        </w:rPr>
      </w:pPr>
    </w:p>
    <w:p w:rsidR="004B7598" w:rsidRPr="00804710" w:rsidRDefault="004B7598" w:rsidP="00804710">
      <w:pPr>
        <w:pStyle w:val="Corpsdetexte"/>
        <w:spacing w:line="360" w:lineRule="auto"/>
        <w:jc w:val="center"/>
        <w:rPr>
          <w:rFonts w:ascii="Arial" w:hAnsi="Arial"/>
          <w:szCs w:val="24"/>
          <w:lang w:val="en-US"/>
        </w:rPr>
      </w:pPr>
    </w:p>
    <w:p w:rsidR="00951517" w:rsidRPr="0069231C" w:rsidRDefault="00951517" w:rsidP="0080471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80471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804710" w:rsidRDefault="00804710" w:rsidP="00804710">
      <w:pPr>
        <w:pStyle w:val="Corpsdetexte"/>
        <w:spacing w:line="360" w:lineRule="auto"/>
        <w:jc w:val="center"/>
        <w:rPr>
          <w:rFonts w:ascii="Arial" w:hAnsi="Arial"/>
          <w:smallCaps/>
          <w:szCs w:val="24"/>
          <w:lang w:val="en-US"/>
        </w:rPr>
      </w:pPr>
    </w:p>
    <w:p w:rsidR="00804710" w:rsidRPr="00804710" w:rsidRDefault="00804710" w:rsidP="00804710">
      <w:pPr>
        <w:pStyle w:val="Corpsdetexte"/>
        <w:spacing w:line="360" w:lineRule="auto"/>
        <w:jc w:val="center"/>
        <w:rPr>
          <w:rFonts w:ascii="Arial" w:hAnsi="Arial"/>
          <w:smallCaps/>
          <w:szCs w:val="24"/>
          <w:lang w:val="en-US"/>
        </w:rPr>
      </w:pPr>
    </w:p>
    <w:p w:rsidR="00804710" w:rsidRPr="00804710" w:rsidRDefault="00804710" w:rsidP="00804710">
      <w:pPr>
        <w:pStyle w:val="Corpsdetexte"/>
        <w:spacing w:line="360" w:lineRule="auto"/>
        <w:jc w:val="center"/>
        <w:rPr>
          <w:rFonts w:ascii="Arial" w:hAnsi="Arial"/>
          <w:szCs w:val="24"/>
          <w:lang w:val="en-US"/>
        </w:rPr>
      </w:pPr>
    </w:p>
    <w:p w:rsidR="00951517" w:rsidRPr="0069231C" w:rsidRDefault="00951517" w:rsidP="0080471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80471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bookmarkStart w:id="0" w:name="_GoBack"/>
      <w:bookmarkEnd w:id="0"/>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254082">
        <w:rPr>
          <w:rFonts w:ascii="Arial" w:hAnsi="Arial" w:cs="Arial"/>
          <w:w w:val="150"/>
          <w:sz w:val="18"/>
          <w:lang w:val="en-GB"/>
        </w:rPr>
        <w:t xml:space="preserve"> </w:t>
      </w:r>
    </w:p>
    <w:sectPr w:rsidR="00E5393F" w:rsidSect="00804710">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97" w:rsidRDefault="00AA1797" w:rsidP="0099045D">
      <w:r>
        <w:separator/>
      </w:r>
    </w:p>
  </w:endnote>
  <w:endnote w:type="continuationSeparator" w:id="0">
    <w:p w:rsidR="00AA1797" w:rsidRDefault="00AA179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97" w:rsidRDefault="00AA1797" w:rsidP="0099045D">
      <w:r>
        <w:separator/>
      </w:r>
    </w:p>
  </w:footnote>
  <w:footnote w:type="continuationSeparator" w:id="0">
    <w:p w:rsidR="00AA1797" w:rsidRDefault="00AA1797" w:rsidP="0099045D">
      <w:r>
        <w:continuationSeparator/>
      </w:r>
    </w:p>
  </w:footnote>
  <w:footnote w:id="1">
    <w:p w:rsidR="00755277" w:rsidRPr="00E17BD7" w:rsidRDefault="00755277" w:rsidP="00755277">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Temis SA, Bogotá, 2013, p.103.</w:t>
      </w:r>
    </w:p>
  </w:footnote>
  <w:footnote w:id="2">
    <w:p w:rsidR="00755277" w:rsidRPr="00E17BD7" w:rsidRDefault="00755277" w:rsidP="00755277">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755277" w:rsidRPr="00953DF2" w:rsidRDefault="00755277" w:rsidP="0075527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953DF2">
        <w:rPr>
          <w:rFonts w:asciiTheme="minorHAnsi" w:hAnsiTheme="minorHAnsi" w:cstheme="minorHAnsi"/>
          <w:lang w:val="fr-FR"/>
        </w:rPr>
        <w:t xml:space="preserve"> CC. T-917 de 2011.</w:t>
      </w:r>
    </w:p>
  </w:footnote>
  <w:footnote w:id="4">
    <w:p w:rsidR="00755277" w:rsidRPr="00953DF2" w:rsidRDefault="00755277" w:rsidP="0075527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953DF2">
        <w:rPr>
          <w:rFonts w:asciiTheme="minorHAnsi" w:hAnsiTheme="minorHAnsi" w:cstheme="minorHAnsi"/>
          <w:lang w:val="fr-FR"/>
        </w:rPr>
        <w:t xml:space="preserve"> CC. C-590 de 2005.</w:t>
      </w:r>
    </w:p>
  </w:footnote>
  <w:footnote w:id="5">
    <w:p w:rsidR="00755277" w:rsidRPr="00953DF2" w:rsidRDefault="00755277" w:rsidP="00755277">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953DF2">
        <w:rPr>
          <w:rFonts w:asciiTheme="minorHAnsi" w:hAnsiTheme="minorHAnsi" w:cstheme="minorHAnsi"/>
          <w:lang w:val="fr-FR"/>
        </w:rPr>
        <w:t xml:space="preserve"> CC. </w:t>
      </w:r>
      <w:r w:rsidRPr="00953DF2">
        <w:rPr>
          <w:rFonts w:asciiTheme="minorHAnsi" w:hAnsiTheme="minorHAnsi" w:cstheme="minorHAnsi"/>
          <w:bCs/>
          <w:lang w:val="fr-FR"/>
        </w:rPr>
        <w:t>T-107 de 2016</w:t>
      </w:r>
      <w:r w:rsidRPr="00953DF2">
        <w:rPr>
          <w:rFonts w:asciiTheme="minorHAnsi" w:hAnsiTheme="minorHAnsi" w:cstheme="minorHAnsi"/>
          <w:lang w:val="fr-FR"/>
        </w:rPr>
        <w:t xml:space="preserve"> y T-064 de 2015, entre otras.</w:t>
      </w:r>
    </w:p>
  </w:footnote>
  <w:footnote w:id="6">
    <w:p w:rsidR="00755277" w:rsidRPr="00953DF2" w:rsidRDefault="00755277" w:rsidP="00755277">
      <w:pPr>
        <w:pStyle w:val="Notedebasdepage"/>
        <w:rPr>
          <w:rFonts w:asciiTheme="minorHAnsi" w:hAnsiTheme="minorHAnsi" w:cstheme="minorHAnsi"/>
          <w:lang w:val="fr-FR"/>
        </w:rPr>
      </w:pPr>
      <w:r w:rsidRPr="00F72E96">
        <w:rPr>
          <w:rStyle w:val="Appelnotedebasdep"/>
          <w:rFonts w:asciiTheme="minorHAnsi" w:hAnsiTheme="minorHAnsi" w:cstheme="minorHAnsi"/>
        </w:rPr>
        <w:footnoteRef/>
      </w:r>
      <w:r w:rsidRPr="00953DF2">
        <w:rPr>
          <w:rFonts w:asciiTheme="minorHAnsi" w:hAnsiTheme="minorHAnsi" w:cstheme="minorHAnsi"/>
          <w:lang w:val="fr-FR"/>
        </w:rPr>
        <w:t xml:space="preserve"> CC. T-307 de 2015.</w:t>
      </w:r>
    </w:p>
  </w:footnote>
  <w:footnote w:id="7">
    <w:p w:rsidR="00755277" w:rsidRPr="00F72E96" w:rsidRDefault="00755277" w:rsidP="00755277">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8">
    <w:p w:rsidR="00755277" w:rsidRPr="00F72E96" w:rsidRDefault="00755277" w:rsidP="00755277">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w:t>
      </w:r>
      <w:r>
        <w:rPr>
          <w:rFonts w:asciiTheme="minorHAnsi" w:hAnsiTheme="minorHAnsi" w:cstheme="minorHAnsi"/>
        </w:rPr>
        <w:t>.</w:t>
      </w:r>
      <w:r w:rsidRPr="00F72E96">
        <w:rPr>
          <w:rFonts w:asciiTheme="minorHAnsi" w:hAnsiTheme="minorHAnsi" w:cstheme="minorHAnsi"/>
        </w:rPr>
        <w:t>, Manuel F</w:t>
      </w:r>
      <w:r>
        <w:rPr>
          <w:rFonts w:asciiTheme="minorHAnsi" w:hAnsiTheme="minorHAnsi" w:cstheme="minorHAnsi"/>
        </w:rPr>
        <w:t>.</w:t>
      </w:r>
      <w:r w:rsidRPr="00F72E96">
        <w:rPr>
          <w:rFonts w:asciiTheme="minorHAnsi" w:hAnsiTheme="minorHAnsi" w:cstheme="minorHAnsi"/>
        </w:rPr>
        <w:t xml:space="preserve"> La acción de tutela, el amparo en Colombia, Bogotá DC, 2011, p.233-285.</w:t>
      </w:r>
    </w:p>
  </w:footnote>
  <w:footnote w:id="9">
    <w:p w:rsidR="00092082" w:rsidRPr="00F72E96" w:rsidRDefault="00092082" w:rsidP="00092082">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C</w:t>
      </w:r>
      <w:r>
        <w:rPr>
          <w:rFonts w:asciiTheme="minorHAnsi" w:hAnsiTheme="minorHAnsi" w:cstheme="minorHAnsi"/>
          <w:lang w:val="es-CO"/>
        </w:rPr>
        <w:t xml:space="preserve">C. T-037 de 2016 y T-120 de </w:t>
      </w:r>
      <w:r>
        <w:rPr>
          <w:rFonts w:asciiTheme="minorHAnsi" w:hAnsiTheme="minorHAnsi" w:cstheme="minorHAnsi"/>
        </w:rPr>
        <w:t>2016, entre otras</w:t>
      </w:r>
      <w:r w:rsidRPr="00F72E96">
        <w:rPr>
          <w:rFonts w:asciiTheme="minorHAnsi" w:hAnsiTheme="minorHAnsi" w:cstheme="minorHAnsi"/>
        </w:rPr>
        <w:t>.</w:t>
      </w:r>
    </w:p>
  </w:footnote>
  <w:footnote w:id="10">
    <w:p w:rsidR="00092082" w:rsidRPr="00F72E96" w:rsidRDefault="00092082" w:rsidP="00092082">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Pr="00F72E96">
        <w:rPr>
          <w:rFonts w:asciiTheme="minorHAnsi" w:hAnsiTheme="minorHAnsi" w:cstheme="minorHAnsi"/>
        </w:rPr>
        <w:t>Sala Civil. STC6121-2015</w:t>
      </w:r>
      <w:r>
        <w:rPr>
          <w:rFonts w:asciiTheme="minorHAnsi" w:hAnsiTheme="minorHAnsi" w:cstheme="minorHAnsi"/>
        </w:rPr>
        <w:t xml:space="preserve"> y STC3931-2016, entre otras</w:t>
      </w:r>
      <w:r w:rsidRPr="00F72E96">
        <w:rPr>
          <w:rFonts w:asciiTheme="minorHAnsi" w:hAnsiTheme="minorHAnsi" w:cstheme="minorHAnsi"/>
        </w:rPr>
        <w:t>.</w:t>
      </w:r>
    </w:p>
  </w:footnote>
  <w:footnote w:id="11">
    <w:p w:rsidR="005E61BE" w:rsidRPr="00953DF2" w:rsidRDefault="005E61BE" w:rsidP="005E61BE">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953DF2">
        <w:rPr>
          <w:rFonts w:asciiTheme="minorHAnsi" w:hAnsiTheme="minorHAnsi" w:cstheme="minorHAnsi"/>
          <w:lang w:val="fr-FR"/>
        </w:rPr>
        <w:t xml:space="preserve"> CC.  T-396 de  26-06-2014.</w:t>
      </w:r>
    </w:p>
  </w:footnote>
  <w:footnote w:id="12">
    <w:p w:rsidR="00D82BF1" w:rsidRPr="00953DF2" w:rsidRDefault="00D82BF1" w:rsidP="00D82BF1">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953DF2">
        <w:rPr>
          <w:rFonts w:asciiTheme="minorHAnsi" w:hAnsiTheme="minorHAnsi" w:cstheme="minorHAnsi"/>
          <w:lang w:val="fr-FR"/>
        </w:rPr>
        <w:t xml:space="preserve"> CC.  T-093 de  05-03-2015.</w:t>
      </w:r>
    </w:p>
  </w:footnote>
  <w:footnote w:id="13">
    <w:p w:rsidR="00D82BF1" w:rsidRPr="00953DF2" w:rsidRDefault="00D82BF1" w:rsidP="00D82BF1">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953DF2">
        <w:rPr>
          <w:rFonts w:asciiTheme="minorHAnsi" w:hAnsiTheme="minorHAnsi" w:cstheme="minorHAnsi"/>
          <w:lang w:val="fr-FR"/>
        </w:rPr>
        <w:t xml:space="preserve"> CC.  T-214 de. 01-04-2014.</w:t>
      </w:r>
    </w:p>
  </w:footnote>
  <w:footnote w:id="14">
    <w:p w:rsidR="005E61BE" w:rsidRDefault="005E61BE" w:rsidP="005E61BE">
      <w:pPr>
        <w:pStyle w:val="Notedebasdepage"/>
        <w:jc w:val="both"/>
        <w:rPr>
          <w:rFonts w:ascii="Calibri" w:hAnsi="Calibri"/>
          <w:lang w:val="es-CO"/>
        </w:rPr>
      </w:pPr>
      <w:r>
        <w:rPr>
          <w:rStyle w:val="Appelnotedebasdep"/>
          <w:rFonts w:ascii="Calibri" w:hAnsi="Calibri"/>
        </w:rPr>
        <w:footnoteRef/>
      </w:r>
      <w:r w:rsidRPr="00953DF2">
        <w:rPr>
          <w:rFonts w:ascii="Calibri" w:hAnsi="Calibri"/>
          <w:lang w:val="fr-FR"/>
        </w:rPr>
        <w:t xml:space="preserve"> CC. </w:t>
      </w:r>
      <w:r w:rsidRPr="00953DF2">
        <w:rPr>
          <w:rFonts w:ascii="Calibri" w:hAnsi="Calibri" w:cs="Arial"/>
          <w:lang w:val="fr-FR"/>
        </w:rPr>
        <w:t>T-103 de 2014.</w:t>
      </w:r>
      <w:r w:rsidRPr="00953DF2">
        <w:rPr>
          <w:rFonts w:ascii="Calibri" w:hAnsi="Calibri"/>
          <w:lang w:val="fr-FR"/>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5">
    <w:p w:rsidR="005E61BE" w:rsidRDefault="005E61BE" w:rsidP="005E61BE">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Pr>
          <w:rFonts w:ascii="Calibri" w:hAnsi="Calibri" w:cs="Calibri"/>
          <w:lang w:val="es-CO"/>
        </w:rPr>
        <w:t xml:space="preserve">, </w:t>
      </w:r>
      <w:r>
        <w:rPr>
          <w:rFonts w:ascii="Calibri" w:hAnsi="Calibri" w:cs="Calibri"/>
        </w:rPr>
        <w:t>Sala Civil.  Providencia STC3950-2016.</w:t>
      </w:r>
    </w:p>
  </w:footnote>
  <w:footnote w:id="16">
    <w:p w:rsidR="00D82BF1" w:rsidRDefault="00D82BF1" w:rsidP="00D82BF1">
      <w:pPr>
        <w:pStyle w:val="Notedebasdepage"/>
        <w:jc w:val="both"/>
      </w:pPr>
      <w:r>
        <w:rPr>
          <w:rStyle w:val="Appelnotedebasdep"/>
          <w:rFonts w:asciiTheme="minorHAnsi" w:hAnsiTheme="minorHAnsi" w:cs="Calibri"/>
        </w:rPr>
        <w:footnoteRef/>
      </w:r>
      <w:r>
        <w:rPr>
          <w:rFonts w:asciiTheme="minorHAnsi" w:hAnsiTheme="minorHAnsi" w:cs="Calibri"/>
        </w:rPr>
        <w:t xml:space="preserve"> CC. T-103 de 2014, citada en la </w:t>
      </w:r>
      <w:r>
        <w:rPr>
          <w:rFonts w:asciiTheme="minorHAnsi" w:hAnsiTheme="minorHAnsi" w:cs="Calibri"/>
          <w:bCs/>
        </w:rPr>
        <w:t>SU-297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2D3DBB">
      <w:rPr>
        <w:rFonts w:ascii="Calibri" w:hAnsi="Calibri" w:cs="Calibri"/>
        <w:i/>
        <w:noProof/>
        <w:sz w:val="20"/>
      </w:rPr>
      <w:t>7</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41111B">
      <w:rPr>
        <w:rFonts w:ascii="Calibri" w:hAnsi="Calibri" w:cs="Calibri"/>
        <w:i/>
        <w:sz w:val="20"/>
        <w:szCs w:val="22"/>
      </w:rPr>
      <w:t>2017-</w:t>
    </w:r>
    <w:r w:rsidR="00B76D1E">
      <w:rPr>
        <w:rFonts w:ascii="Calibri" w:hAnsi="Calibri" w:cs="Calibri"/>
        <w:i/>
        <w:sz w:val="20"/>
        <w:szCs w:val="22"/>
      </w:rPr>
      <w:t>00189</w:t>
    </w:r>
    <w:r w:rsidR="0041111B">
      <w:rPr>
        <w:rFonts w:ascii="Calibri" w:hAnsi="Calibri" w:cs="Calibri"/>
        <w:i/>
        <w:sz w:val="20"/>
        <w:szCs w:val="22"/>
      </w:rPr>
      <w:t>-00</w:t>
    </w:r>
    <w:r w:rsidR="007229B8">
      <w:rPr>
        <w:rFonts w:ascii="Calibri" w:hAnsi="Calibri" w:cs="Calibri"/>
        <w:i/>
        <w:sz w:val="20"/>
        <w:szCs w:val="22"/>
      </w:rPr>
      <w:t xml:space="preserve"> </w:t>
    </w:r>
    <w:r w:rsidR="00F12CF0">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5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5CCE"/>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2"/>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492"/>
    <w:rsid w:val="00152548"/>
    <w:rsid w:val="001528F3"/>
    <w:rsid w:val="00153377"/>
    <w:rsid w:val="001537AB"/>
    <w:rsid w:val="001537F8"/>
    <w:rsid w:val="001542B7"/>
    <w:rsid w:val="00155454"/>
    <w:rsid w:val="001556E9"/>
    <w:rsid w:val="00155AA8"/>
    <w:rsid w:val="001567C5"/>
    <w:rsid w:val="00156A18"/>
    <w:rsid w:val="00156B1A"/>
    <w:rsid w:val="0015704E"/>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31A"/>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A8"/>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EC"/>
    <w:rsid w:val="00251F84"/>
    <w:rsid w:val="002520E9"/>
    <w:rsid w:val="002526A9"/>
    <w:rsid w:val="002526F2"/>
    <w:rsid w:val="00252B82"/>
    <w:rsid w:val="00252D94"/>
    <w:rsid w:val="00253420"/>
    <w:rsid w:val="00253966"/>
    <w:rsid w:val="00253B16"/>
    <w:rsid w:val="00254082"/>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3DB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9E9"/>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12F"/>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4EA"/>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5E9A"/>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A7C"/>
    <w:rsid w:val="00434CF1"/>
    <w:rsid w:val="00435CD3"/>
    <w:rsid w:val="004360F4"/>
    <w:rsid w:val="004361F0"/>
    <w:rsid w:val="0043677C"/>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77800"/>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6A3"/>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169"/>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616"/>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1E9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1BE"/>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6DF3"/>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B7893"/>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8F6"/>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67A"/>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509"/>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5277"/>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0F"/>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710"/>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C"/>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DF2"/>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5ED9"/>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482"/>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666"/>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68C"/>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797"/>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8E7"/>
    <w:rsid w:val="00AD0A3A"/>
    <w:rsid w:val="00AD0FC0"/>
    <w:rsid w:val="00AD1B6C"/>
    <w:rsid w:val="00AD202E"/>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6D1E"/>
    <w:rsid w:val="00B77690"/>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61D"/>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FC5"/>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C3D"/>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37BE"/>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1AF"/>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69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04E1"/>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2BF1"/>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0A"/>
    <w:rsid w:val="00E50EE6"/>
    <w:rsid w:val="00E51143"/>
    <w:rsid w:val="00E511D6"/>
    <w:rsid w:val="00E5171F"/>
    <w:rsid w:val="00E522AC"/>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3C11"/>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CF0"/>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794"/>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99AE-5DA4-49AF-AF10-8AD3B87A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2149</Words>
  <Characters>11822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2017-03-09T12:14:00Z</cp:lastPrinted>
  <dcterms:created xsi:type="dcterms:W3CDTF">2017-03-08T14:14:00Z</dcterms:created>
  <dcterms:modified xsi:type="dcterms:W3CDTF">2017-05-11T01:04:00Z</dcterms:modified>
</cp:coreProperties>
</file>