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D3" w:rsidRPr="00A817A6" w:rsidRDefault="002C4ED3" w:rsidP="002C4ED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1660B5" w:rsidRDefault="00486062" w:rsidP="00ED7F33">
      <w:pPr>
        <w:spacing w:line="360" w:lineRule="auto"/>
        <w:jc w:val="center"/>
        <w:rPr>
          <w:rFonts w:ascii="Arial" w:hAnsi="Arial" w:cs="Arial"/>
          <w:w w:val="140"/>
          <w:sz w:val="6"/>
          <w:szCs w:val="6"/>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2C4ED3">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2C4ED3">
        <w:rPr>
          <w:rFonts w:ascii="Arial" w:hAnsi="Arial" w:cs="Arial"/>
          <w:sz w:val="22"/>
          <w:szCs w:val="22"/>
        </w:rPr>
        <w:t>– 1ª instancia – 29 de marzo de 2017</w:t>
      </w:r>
    </w:p>
    <w:p w:rsidR="002C4ED3" w:rsidRPr="002060F5" w:rsidRDefault="002C4ED3"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xml:space="preserve">: Acción de Tutela – Declara improcedente la acción </w:t>
      </w:r>
      <w:r>
        <w:rPr>
          <w:rFonts w:ascii="Arial" w:hAnsi="Arial" w:cs="Arial"/>
          <w:sz w:val="22"/>
          <w:szCs w:val="22"/>
        </w:rPr>
        <w:tab/>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E45E01">
        <w:rPr>
          <w:rFonts w:ascii="Arial" w:hAnsi="Arial" w:cs="Arial"/>
          <w:sz w:val="22"/>
        </w:rPr>
        <w:t xml:space="preserve">Promiscuo del </w:t>
      </w:r>
      <w:r w:rsidR="0041111B">
        <w:rPr>
          <w:rFonts w:ascii="Arial" w:hAnsi="Arial" w:cs="Arial"/>
          <w:sz w:val="22"/>
        </w:rPr>
        <w:t>Circuito de</w:t>
      </w:r>
      <w:r w:rsidR="00E45E01">
        <w:rPr>
          <w:rFonts w:ascii="Arial" w:hAnsi="Arial" w:cs="Arial"/>
          <w:sz w:val="22"/>
        </w:rPr>
        <w:t xml:space="preserve"> </w:t>
      </w:r>
      <w:r w:rsidR="009D5231">
        <w:rPr>
          <w:rFonts w:ascii="Arial" w:hAnsi="Arial" w:cs="Arial"/>
          <w:sz w:val="22"/>
        </w:rPr>
        <w:t>L</w:t>
      </w:r>
      <w:r w:rsidR="00E45E01">
        <w:rPr>
          <w:rFonts w:ascii="Arial" w:hAnsi="Arial" w:cs="Arial"/>
          <w:sz w:val="22"/>
        </w:rPr>
        <w:t>a Virginia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E45E01">
        <w:rPr>
          <w:rFonts w:ascii="Arial" w:hAnsi="Arial" w:cs="Arial"/>
          <w:sz w:val="22"/>
          <w:szCs w:val="22"/>
        </w:rPr>
        <w:t xml:space="preserve">Procuraduría General de la Nación </w:t>
      </w:r>
      <w:r w:rsidRPr="00A00766">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E45E01">
        <w:rPr>
          <w:rFonts w:ascii="Arial" w:hAnsi="Arial" w:cs="Arial"/>
          <w:sz w:val="22"/>
        </w:rPr>
        <w:t>234</w:t>
      </w:r>
      <w:r w:rsidR="00D27466">
        <w:rPr>
          <w:rFonts w:ascii="Arial" w:hAnsi="Arial" w:cs="Arial"/>
          <w:sz w:val="22"/>
        </w:rPr>
        <w:t>-</w:t>
      </w:r>
      <w:r w:rsidR="0041111B">
        <w:rPr>
          <w:rFonts w:ascii="Arial" w:hAnsi="Arial" w:cs="Arial"/>
          <w:sz w:val="22"/>
        </w:rPr>
        <w:t>00</w:t>
      </w:r>
      <w:r w:rsidR="00E45E01">
        <w:rPr>
          <w:rFonts w:ascii="Arial" w:hAnsi="Arial" w:cs="Arial"/>
          <w:sz w:val="22"/>
        </w:rPr>
        <w:t>, 2017-00237</w:t>
      </w:r>
      <w:r w:rsidR="00B60C39">
        <w:rPr>
          <w:rFonts w:ascii="Arial" w:hAnsi="Arial" w:cs="Arial"/>
          <w:sz w:val="22"/>
        </w:rPr>
        <w:t xml:space="preserve"> y 2017-00</w:t>
      </w:r>
      <w:r w:rsidR="00E45E01">
        <w:rPr>
          <w:rFonts w:ascii="Arial" w:hAnsi="Arial" w:cs="Arial"/>
          <w:sz w:val="22"/>
        </w:rPr>
        <w:t>240</w:t>
      </w:r>
      <w:r w:rsidR="00B60C39">
        <w:rPr>
          <w:rFonts w:ascii="Arial" w:hAnsi="Arial" w:cs="Arial"/>
          <w:sz w:val="22"/>
        </w:rPr>
        <w:t>-00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9D5231" w:rsidP="009D5231">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164 de 29-03-2017</w:t>
      </w:r>
    </w:p>
    <w:p w:rsidR="002C4ED3" w:rsidRPr="001660B5" w:rsidRDefault="002C4ED3" w:rsidP="009D5231">
      <w:pPr>
        <w:tabs>
          <w:tab w:val="left" w:pos="851"/>
          <w:tab w:val="left" w:pos="1416"/>
        </w:tabs>
        <w:spacing w:line="360" w:lineRule="auto"/>
        <w:rPr>
          <w:rFonts w:ascii="Arial" w:eastAsia="Arial" w:hAnsi="Arial" w:cs="Arial"/>
          <w:sz w:val="6"/>
          <w:szCs w:val="6"/>
        </w:rPr>
      </w:pPr>
    </w:p>
    <w:p w:rsidR="002C4ED3" w:rsidRPr="001660B5" w:rsidRDefault="002C4ED3" w:rsidP="001660B5">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1660B5" w:rsidRPr="001660B5">
        <w:rPr>
          <w:rFonts w:ascii="Arial" w:hAnsi="Arial" w:cs="Arial"/>
          <w:b/>
          <w:bCs/>
          <w:iCs/>
          <w:sz w:val="22"/>
          <w:szCs w:val="21"/>
          <w:lang w:val="es-CO"/>
        </w:rPr>
        <w:t xml:space="preserve">DEBIDO PROCESO / TUTELA CONTRA PROVIDENCIA JUDICIAL / RECHAZO DE ACCIONES POPULARES / CARÁCTER RESIDUAL DE LA ACCIÓN DE TUTELA  / </w:t>
      </w:r>
      <w:r w:rsidR="001660B5" w:rsidRPr="001660B5">
        <w:rPr>
          <w:rFonts w:ascii="Arial" w:hAnsi="Arial" w:cs="Arial"/>
          <w:b/>
          <w:bCs/>
          <w:iCs/>
          <w:sz w:val="22"/>
          <w:szCs w:val="21"/>
          <w:lang w:val="es-419"/>
        </w:rPr>
        <w:t xml:space="preserve">IMPROCEDENCIA. </w:t>
      </w:r>
      <w:r w:rsidR="001660B5" w:rsidRPr="001660B5">
        <w:rPr>
          <w:rFonts w:ascii="Arial" w:hAnsi="Arial" w:cs="Arial"/>
          <w:bCs/>
          <w:iCs/>
          <w:sz w:val="22"/>
          <w:szCs w:val="21"/>
          <w:lang w:val="es-419"/>
        </w:rPr>
        <w:t>“</w:t>
      </w:r>
      <w:r w:rsidR="001660B5" w:rsidRPr="001660B5">
        <w:rPr>
          <w:rFonts w:ascii="Arial" w:hAnsi="Arial" w:cs="Arial"/>
          <w:bCs/>
          <w:iCs/>
          <w:sz w:val="22"/>
          <w:szCs w:val="21"/>
          <w:lang w:val="es-ES"/>
        </w:rPr>
        <w:t xml:space="preserve">El actor se duele porque el Juzgado demandado rechazó las acciones populares exigiéndole requisitos inexistentes en el artículo 18 de la Ley 472. Conforme al acervo probatorio el Juzgado </w:t>
      </w:r>
      <w:r w:rsidR="001660B5" w:rsidRPr="001660B5">
        <w:rPr>
          <w:rFonts w:ascii="Arial" w:hAnsi="Arial" w:cs="Arial"/>
          <w:bCs/>
          <w:iCs/>
          <w:sz w:val="22"/>
          <w:szCs w:val="21"/>
          <w:lang w:val="es-CO"/>
        </w:rPr>
        <w:t xml:space="preserve">con sendos proveídos del 20-02-2017 inadmitió las acciones populares </w:t>
      </w:r>
      <w:proofErr w:type="spellStart"/>
      <w:r w:rsidR="001660B5" w:rsidRPr="001660B5">
        <w:rPr>
          <w:rFonts w:ascii="Arial" w:hAnsi="Arial" w:cs="Arial"/>
          <w:bCs/>
          <w:iCs/>
          <w:sz w:val="22"/>
          <w:szCs w:val="21"/>
          <w:lang w:val="es-CO"/>
        </w:rPr>
        <w:t>Nos.2017</w:t>
      </w:r>
      <w:proofErr w:type="spellEnd"/>
      <w:r w:rsidR="001660B5" w:rsidRPr="001660B5">
        <w:rPr>
          <w:rFonts w:ascii="Arial" w:hAnsi="Arial" w:cs="Arial"/>
          <w:bCs/>
          <w:iCs/>
          <w:sz w:val="22"/>
          <w:szCs w:val="21"/>
          <w:lang w:val="es-CO"/>
        </w:rPr>
        <w:t xml:space="preserve">-00061-00 y 2017-00073-00 (Disco compacto obrante a folio 16, de este cuaderno); con autos del 28-02-2017 no repuso sus decisiones y declaró inadmisibles las apelaciones presentadas (Disco compacto obrante a folio 16, ibídem), y el 13-03-2017 las rechazó porque no fueron subsanadas (Disco compacto obrante a folio 16, ib.), decisiones notificadas con fijación en estado el 14-03-2017 (Disco compacto obrante a folio 16, ib.). En cuanto a la acción popular </w:t>
      </w:r>
      <w:proofErr w:type="spellStart"/>
      <w:r w:rsidR="001660B5" w:rsidRPr="001660B5">
        <w:rPr>
          <w:rFonts w:ascii="Arial" w:hAnsi="Arial" w:cs="Arial"/>
          <w:bCs/>
          <w:iCs/>
          <w:sz w:val="22"/>
          <w:szCs w:val="21"/>
          <w:lang w:val="es-CO"/>
        </w:rPr>
        <w:t>No.2017</w:t>
      </w:r>
      <w:proofErr w:type="spellEnd"/>
      <w:r w:rsidR="001660B5" w:rsidRPr="001660B5">
        <w:rPr>
          <w:rFonts w:ascii="Arial" w:hAnsi="Arial" w:cs="Arial"/>
          <w:bCs/>
          <w:iCs/>
          <w:sz w:val="22"/>
          <w:szCs w:val="21"/>
          <w:lang w:val="es-CO"/>
        </w:rPr>
        <w:t xml:space="preserve">-00084-00, también se inadmitió con auto del 20-02-2017, pero se rechazó con providencia del 28-02-2017 (Disco compacto obrante a folio 16, ib.), notificada con el estado del 01-03-2017 y debidamente ejecutoriada el 07-03-2017, sin que </w:t>
      </w:r>
      <w:bookmarkStart w:id="0" w:name="_GoBack"/>
      <w:bookmarkEnd w:id="0"/>
      <w:r w:rsidR="001660B5" w:rsidRPr="001660B5">
        <w:rPr>
          <w:rFonts w:ascii="Arial" w:hAnsi="Arial" w:cs="Arial"/>
          <w:bCs/>
          <w:iCs/>
          <w:sz w:val="22"/>
          <w:szCs w:val="21"/>
          <w:lang w:val="es-CO"/>
        </w:rPr>
        <w:t xml:space="preserve">haya sido recurrida (Disco compacto obrante a folio 16, ib.). </w:t>
      </w:r>
      <w:r w:rsidR="001660B5" w:rsidRPr="001660B5">
        <w:rPr>
          <w:rFonts w:ascii="Arial" w:hAnsi="Arial" w:cs="Arial"/>
          <w:bCs/>
          <w:iCs/>
          <w:sz w:val="22"/>
          <w:szCs w:val="21"/>
          <w:lang w:val="es-ES"/>
        </w:rPr>
        <w:t xml:space="preserve">En ese orden de ideas, se tiene que la promoción de los amparos radicados a los Nos. 2017-00234-00 y 2017-00237-00 fue prematura, porque los juicios </w:t>
      </w:r>
      <w:proofErr w:type="spellStart"/>
      <w:r w:rsidR="001660B5" w:rsidRPr="001660B5">
        <w:rPr>
          <w:rFonts w:ascii="Arial" w:hAnsi="Arial" w:cs="Arial"/>
          <w:bCs/>
          <w:iCs/>
          <w:sz w:val="22"/>
          <w:szCs w:val="21"/>
          <w:lang w:val="es-ES"/>
        </w:rPr>
        <w:t>Nos.2017</w:t>
      </w:r>
      <w:proofErr w:type="spellEnd"/>
      <w:r w:rsidR="001660B5" w:rsidRPr="001660B5">
        <w:rPr>
          <w:rFonts w:ascii="Arial" w:hAnsi="Arial" w:cs="Arial"/>
          <w:bCs/>
          <w:iCs/>
          <w:sz w:val="22"/>
          <w:szCs w:val="21"/>
          <w:lang w:val="es-ES"/>
        </w:rPr>
        <w:t>-00061-00 y 2017-00073-00 aún se encontraban en trámite, pues los autos que los rechazaron aún no habían cobrado ejecutoria y podían ser recurridos por el actor, por manera que es evidente su improcedencia. Así lo ha dispuesto la jurisprudencia de la CC, criterio también expuesto por la CSJ. Evidente, entonces, es la falta de agotamiento del supuesto de subsidiariedad, como ha explicado la CC, que reiteradamente ha referido que la acción de tutela mal puede implementarse como medio para sustituir los mecanismos ordinarios de defensa, cuando por negligencia, descuido o incuria no fueron utilizados, o cuando el asunto está pendiente de resolverse. (…) En ese contexto, el presente amparo es improcedente toda vez que se incumple con uno de los siete (7) requisitos generales de procedibilidad, como lo es el de la subsidiariedad, pues no se formuló el recurso ordinario en relación al proceso 2017-00084 y los radicados 2017-00061 y 2017-00073 aún se están tramitando.”.</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Pr="001660B5" w:rsidRDefault="009D5231" w:rsidP="009D5231">
      <w:pPr>
        <w:spacing w:line="360" w:lineRule="auto"/>
        <w:jc w:val="center"/>
        <w:rPr>
          <w:rFonts w:ascii="Arial" w:hAnsi="Arial" w:cs="Arial"/>
          <w:b/>
          <w:bCs/>
          <w:sz w:val="6"/>
          <w:szCs w:val="6"/>
        </w:rPr>
      </w:pPr>
    </w:p>
    <w:p w:rsidR="009D5231" w:rsidRDefault="009D5231" w:rsidP="009D5231">
      <w:pPr>
        <w:spacing w:line="360" w:lineRule="auto"/>
        <w:jc w:val="center"/>
        <w:rPr>
          <w:rFonts w:ascii="Arial" w:hAnsi="Arial" w:cs="Arial"/>
          <w:sz w:val="28"/>
        </w:rPr>
      </w:pPr>
      <w:r>
        <w:rPr>
          <w:rFonts w:ascii="Arial" w:eastAsia="Arial" w:hAnsi="Arial" w:cs="Arial"/>
          <w:smallCaps/>
          <w:sz w:val="28"/>
        </w:rPr>
        <w:t>Pereira, R., veintinueve (29) de marzo de dos mil diecisiete (2017)</w:t>
      </w:r>
      <w:r>
        <w:rPr>
          <w:rFonts w:ascii="Arial" w:eastAsia="Arial" w:hAnsi="Arial" w:cs="Arial"/>
          <w:sz w:val="28"/>
        </w:rPr>
        <w:t>.</w:t>
      </w:r>
    </w:p>
    <w:p w:rsidR="000147A2" w:rsidRPr="008907D4" w:rsidRDefault="000147A2" w:rsidP="001660B5">
      <w:pPr>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1660B5">
      <w:pPr>
        <w:pStyle w:val="Corpsdetexte"/>
        <w:spacing w:line="24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895EFD" w:rsidP="004B1EB8">
      <w:pPr>
        <w:spacing w:line="360" w:lineRule="auto"/>
        <w:jc w:val="both"/>
        <w:rPr>
          <w:rFonts w:ascii="Arial" w:hAnsi="Arial" w:cs="Arial"/>
        </w:rPr>
      </w:pPr>
      <w:r>
        <w:rPr>
          <w:rFonts w:ascii="Arial" w:hAnsi="Arial" w:cs="Arial"/>
        </w:rPr>
        <w:t xml:space="preserve">Manifestó </w:t>
      </w:r>
      <w:r w:rsidR="00104367">
        <w:rPr>
          <w:rFonts w:ascii="Arial" w:hAnsi="Arial" w:cs="Arial"/>
        </w:rPr>
        <w:t xml:space="preserve">el actor </w:t>
      </w:r>
      <w:r w:rsidR="0041111B">
        <w:rPr>
          <w:rFonts w:ascii="Arial" w:hAnsi="Arial" w:cs="Arial"/>
        </w:rPr>
        <w:t xml:space="preserve">que </w:t>
      </w:r>
      <w:r w:rsidR="00952098">
        <w:rPr>
          <w:rFonts w:ascii="Arial" w:hAnsi="Arial" w:cs="Arial"/>
        </w:rPr>
        <w:t xml:space="preserve">tramita ante </w:t>
      </w:r>
      <w:r w:rsidR="00104367">
        <w:rPr>
          <w:rFonts w:ascii="Arial" w:hAnsi="Arial" w:cs="Arial"/>
        </w:rPr>
        <w:t xml:space="preserve">el </w:t>
      </w:r>
      <w:r w:rsidR="0041111B">
        <w:rPr>
          <w:rFonts w:ascii="Arial" w:hAnsi="Arial" w:cs="Arial"/>
        </w:rPr>
        <w:t xml:space="preserve">juzgado </w:t>
      </w:r>
      <w:r w:rsidR="008B6A3C">
        <w:rPr>
          <w:rFonts w:ascii="Arial" w:hAnsi="Arial" w:cs="Arial"/>
        </w:rPr>
        <w:t>demandado</w:t>
      </w:r>
      <w:r w:rsidR="00104367">
        <w:rPr>
          <w:rFonts w:ascii="Arial" w:hAnsi="Arial" w:cs="Arial"/>
        </w:rPr>
        <w:t xml:space="preserve"> </w:t>
      </w:r>
      <w:r w:rsidR="007D0ECC">
        <w:rPr>
          <w:rFonts w:ascii="Arial" w:hAnsi="Arial" w:cs="Arial"/>
        </w:rPr>
        <w:t>las acciones</w:t>
      </w:r>
      <w:r w:rsidR="00EA458D">
        <w:rPr>
          <w:rFonts w:ascii="Arial" w:hAnsi="Arial" w:cs="Arial"/>
        </w:rPr>
        <w:t xml:space="preserve"> popular</w:t>
      </w:r>
      <w:r w:rsidR="007D0ECC">
        <w:rPr>
          <w:rFonts w:ascii="Arial" w:hAnsi="Arial" w:cs="Arial"/>
        </w:rPr>
        <w:t>es</w:t>
      </w:r>
      <w:r w:rsidR="00EA458D">
        <w:rPr>
          <w:rFonts w:ascii="Arial" w:hAnsi="Arial" w:cs="Arial"/>
        </w:rPr>
        <w:t xml:space="preserve"> radicad</w:t>
      </w:r>
      <w:r w:rsidR="007D0ECC">
        <w:rPr>
          <w:rFonts w:ascii="Arial" w:hAnsi="Arial" w:cs="Arial"/>
        </w:rPr>
        <w:t>as</w:t>
      </w:r>
      <w:r w:rsidR="00612C75">
        <w:rPr>
          <w:rFonts w:ascii="Arial" w:hAnsi="Arial" w:cs="Arial"/>
        </w:rPr>
        <w:t xml:space="preserve"> a</w:t>
      </w:r>
      <w:r w:rsidR="007D0ECC">
        <w:rPr>
          <w:rFonts w:ascii="Arial" w:hAnsi="Arial" w:cs="Arial"/>
        </w:rPr>
        <w:t xml:space="preserve"> los </w:t>
      </w:r>
      <w:r w:rsidR="00612C75">
        <w:rPr>
          <w:rFonts w:ascii="Arial" w:hAnsi="Arial" w:cs="Arial"/>
        </w:rPr>
        <w:t>No</w:t>
      </w:r>
      <w:r w:rsidR="007D0ECC">
        <w:rPr>
          <w:rFonts w:ascii="Arial" w:hAnsi="Arial" w:cs="Arial"/>
        </w:rPr>
        <w:t>s</w:t>
      </w:r>
      <w:r w:rsidR="00A319E9">
        <w:rPr>
          <w:rFonts w:ascii="Arial" w:hAnsi="Arial" w:cs="Arial"/>
        </w:rPr>
        <w:t>.</w:t>
      </w:r>
      <w:r w:rsidR="0041111B">
        <w:rPr>
          <w:rFonts w:ascii="Arial" w:hAnsi="Arial" w:cs="Arial"/>
        </w:rPr>
        <w:t>201</w:t>
      </w:r>
      <w:r w:rsidR="00B60C39">
        <w:rPr>
          <w:rFonts w:ascii="Arial" w:hAnsi="Arial" w:cs="Arial"/>
        </w:rPr>
        <w:t>7</w:t>
      </w:r>
      <w:r w:rsidR="0041111B">
        <w:rPr>
          <w:rFonts w:ascii="Arial" w:hAnsi="Arial" w:cs="Arial"/>
        </w:rPr>
        <w:t>-00</w:t>
      </w:r>
      <w:r w:rsidR="00A319E9">
        <w:rPr>
          <w:rFonts w:ascii="Arial" w:hAnsi="Arial" w:cs="Arial"/>
        </w:rPr>
        <w:t>0</w:t>
      </w:r>
      <w:r w:rsidR="00E45E01">
        <w:rPr>
          <w:rFonts w:ascii="Arial" w:hAnsi="Arial" w:cs="Arial"/>
        </w:rPr>
        <w:t>61, 2017-00073</w:t>
      </w:r>
      <w:r w:rsidR="007D0ECC">
        <w:rPr>
          <w:rFonts w:ascii="Arial" w:hAnsi="Arial" w:cs="Arial"/>
        </w:rPr>
        <w:t xml:space="preserve"> y 2017-000</w:t>
      </w:r>
      <w:r w:rsidR="00E45E01">
        <w:rPr>
          <w:rFonts w:ascii="Arial" w:hAnsi="Arial" w:cs="Arial"/>
        </w:rPr>
        <w:t>84</w:t>
      </w:r>
      <w:r w:rsidR="00104367">
        <w:rPr>
          <w:rFonts w:ascii="Arial" w:hAnsi="Arial" w:cs="Arial"/>
        </w:rPr>
        <w:t xml:space="preserve">, </w:t>
      </w:r>
      <w:r w:rsidR="00952098">
        <w:rPr>
          <w:rFonts w:ascii="Arial" w:hAnsi="Arial" w:cs="Arial"/>
        </w:rPr>
        <w:t>donde</w:t>
      </w:r>
      <w:r w:rsidR="00484C7C">
        <w:rPr>
          <w:rFonts w:ascii="Arial" w:hAnsi="Arial" w:cs="Arial"/>
        </w:rPr>
        <w:t xml:space="preserve"> le</w:t>
      </w:r>
      <w:r w:rsidR="00952098">
        <w:rPr>
          <w:rFonts w:ascii="Arial" w:hAnsi="Arial" w:cs="Arial"/>
        </w:rPr>
        <w:t xml:space="preserve"> exige</w:t>
      </w:r>
      <w:r w:rsidR="0030086B">
        <w:rPr>
          <w:rFonts w:ascii="Arial" w:hAnsi="Arial" w:cs="Arial"/>
        </w:rPr>
        <w:t>n</w:t>
      </w:r>
      <w:r w:rsidR="00E45E01">
        <w:rPr>
          <w:rFonts w:ascii="Arial" w:hAnsi="Arial" w:cs="Arial"/>
        </w:rPr>
        <w:t xml:space="preserve"> requisitos</w:t>
      </w:r>
      <w:r w:rsidR="00B32B3A">
        <w:rPr>
          <w:rFonts w:ascii="Arial" w:hAnsi="Arial" w:cs="Arial"/>
        </w:rPr>
        <w:t xml:space="preserve"> inexistentes en </w:t>
      </w:r>
      <w:r w:rsidR="00E45E01">
        <w:rPr>
          <w:rFonts w:ascii="Arial" w:hAnsi="Arial" w:cs="Arial"/>
        </w:rPr>
        <w:t>el artículo 18 de la Ley 472</w:t>
      </w:r>
      <w:r w:rsidR="00602945">
        <w:rPr>
          <w:rFonts w:ascii="Arial" w:hAnsi="Arial" w:cs="Arial"/>
        </w:rPr>
        <w:t xml:space="preserve">, impidiéndole </w:t>
      </w:r>
      <w:r>
        <w:rPr>
          <w:rFonts w:ascii="Arial" w:hAnsi="Arial" w:cs="Arial"/>
        </w:rPr>
        <w:t xml:space="preserve">acceder </w:t>
      </w:r>
      <w:r w:rsidR="00602945">
        <w:rPr>
          <w:rFonts w:ascii="Arial" w:hAnsi="Arial" w:cs="Arial"/>
        </w:rPr>
        <w:t xml:space="preserve">a la Administración de </w:t>
      </w:r>
      <w:r>
        <w:rPr>
          <w:rFonts w:ascii="Arial" w:hAnsi="Arial" w:cs="Arial"/>
        </w:rPr>
        <w:t>Justicia</w:t>
      </w:r>
      <w:r w:rsidR="00F336DF">
        <w:rPr>
          <w:rFonts w:ascii="Arial" w:hAnsi="Arial" w:cs="Arial"/>
        </w:rPr>
        <w:t xml:space="preserve"> </w:t>
      </w:r>
      <w:r w:rsidR="004B1EB8" w:rsidRPr="00AF753A">
        <w:rPr>
          <w:rFonts w:ascii="Arial" w:hAnsi="Arial" w:cs="Arial"/>
        </w:rPr>
        <w:t>(Folio</w:t>
      </w:r>
      <w:r w:rsidR="00F71E1E">
        <w:rPr>
          <w:rFonts w:ascii="Arial" w:hAnsi="Arial" w:cs="Arial"/>
        </w:rPr>
        <w:t>s</w:t>
      </w:r>
      <w:r w:rsidR="004B1EB8">
        <w:rPr>
          <w:rFonts w:ascii="Arial" w:hAnsi="Arial" w:cs="Arial"/>
        </w:rPr>
        <w:t xml:space="preserve"> 1</w:t>
      </w:r>
      <w:r w:rsidR="00E45E01">
        <w:rPr>
          <w:rFonts w:ascii="Arial" w:hAnsi="Arial" w:cs="Arial"/>
        </w:rPr>
        <w:t>, 3</w:t>
      </w:r>
      <w:r w:rsidR="00F71E1E">
        <w:rPr>
          <w:rFonts w:ascii="Arial" w:hAnsi="Arial" w:cs="Arial"/>
        </w:rPr>
        <w:t xml:space="preserve"> y </w:t>
      </w:r>
      <w:r w:rsidR="00E45E01">
        <w:rPr>
          <w:rFonts w:ascii="Arial" w:hAnsi="Arial" w:cs="Arial"/>
        </w:rPr>
        <w:t>5</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Pr>
          <w:rFonts w:ascii="Arial" w:hAnsi="Arial" w:cs="Arial"/>
          <w:spacing w:val="-3"/>
          <w:lang w:val="es-ES_tradnl"/>
        </w:rPr>
        <w:t xml:space="preserve">(Folios </w:t>
      </w:r>
      <w:r w:rsidR="00895EFD">
        <w:rPr>
          <w:rFonts w:ascii="Arial" w:hAnsi="Arial" w:cs="Arial"/>
          <w:spacing w:val="-3"/>
          <w:lang w:val="es-ES_tradnl"/>
        </w:rPr>
        <w:t>1, 3</w:t>
      </w:r>
      <w:r>
        <w:rPr>
          <w:rFonts w:ascii="Arial" w:hAnsi="Arial" w:cs="Arial"/>
          <w:spacing w:val="-3"/>
          <w:lang w:val="es-ES_tradnl"/>
        </w:rPr>
        <w:t xml:space="preserve"> y 5,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se ordene al accionado </w:t>
      </w:r>
      <w:r w:rsidR="00EA458D">
        <w:rPr>
          <w:rFonts w:ascii="Arial" w:hAnsi="Arial" w:cs="Arial"/>
        </w:rPr>
        <w:t>admitir la</w:t>
      </w:r>
      <w:r w:rsidR="00F01271">
        <w:rPr>
          <w:rFonts w:ascii="Arial" w:hAnsi="Arial" w:cs="Arial"/>
        </w:rPr>
        <w:t xml:space="preserve"> acción p</w:t>
      </w:r>
      <w:r w:rsidR="00F71E1E">
        <w:rPr>
          <w:rFonts w:ascii="Arial" w:hAnsi="Arial" w:cs="Arial"/>
        </w:rPr>
        <w:t>opular</w:t>
      </w:r>
      <w:r w:rsidR="00895EFD">
        <w:rPr>
          <w:rFonts w:ascii="Arial" w:hAnsi="Arial" w:cs="Arial"/>
        </w:rPr>
        <w:t xml:space="preserve"> y ordenar </w:t>
      </w:r>
      <w:r w:rsidR="005B3F38">
        <w:rPr>
          <w:rFonts w:ascii="Arial" w:hAnsi="Arial" w:cs="Arial"/>
        </w:rPr>
        <w:t xml:space="preserve">la </w:t>
      </w:r>
      <w:r w:rsidR="00895EFD">
        <w:rPr>
          <w:rFonts w:ascii="Arial" w:hAnsi="Arial" w:cs="Arial"/>
        </w:rPr>
        <w:t>vigilancia administrativa</w:t>
      </w:r>
      <w:r w:rsidR="00F71E1E">
        <w:rPr>
          <w:rFonts w:ascii="Arial" w:hAnsi="Arial" w:cs="Arial"/>
        </w:rPr>
        <w:t>,</w:t>
      </w:r>
      <w:r w:rsidR="00EA458D">
        <w:rPr>
          <w:rFonts w:ascii="Arial" w:hAnsi="Arial" w:cs="Arial"/>
        </w:rPr>
        <w:t xml:space="preserve"> </w:t>
      </w:r>
      <w:r w:rsidR="00612C75">
        <w:rPr>
          <w:rFonts w:ascii="Arial" w:hAnsi="Arial" w:cs="Arial"/>
          <w:spacing w:val="-3"/>
          <w:lang w:val="es-ES_tradnl"/>
        </w:rPr>
        <w:t>(Folio</w:t>
      </w:r>
      <w:r w:rsidR="00BB4CEF">
        <w:rPr>
          <w:rFonts w:ascii="Arial" w:hAnsi="Arial" w:cs="Arial"/>
          <w:spacing w:val="-3"/>
          <w:lang w:val="es-ES_tradnl"/>
        </w:rPr>
        <w:t>s</w:t>
      </w:r>
      <w:r w:rsidR="005B3F38">
        <w:rPr>
          <w:rFonts w:ascii="Arial" w:hAnsi="Arial" w:cs="Arial"/>
          <w:spacing w:val="-3"/>
          <w:lang w:val="es-ES_tradnl"/>
        </w:rPr>
        <w:t xml:space="preserve"> 1, 3</w:t>
      </w:r>
      <w:r w:rsidR="00BB4CEF">
        <w:rPr>
          <w:rFonts w:ascii="Arial" w:hAnsi="Arial" w:cs="Arial"/>
          <w:spacing w:val="-3"/>
          <w:lang w:val="es-ES_tradnl"/>
        </w:rPr>
        <w:t xml:space="preserve"> y 5</w:t>
      </w:r>
      <w:r w:rsidR="00D669DC">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1660B5" w:rsidRDefault="001660B5" w:rsidP="001660B5">
      <w:pPr>
        <w:pStyle w:val="Sansinterligne"/>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5B3F38">
        <w:rPr>
          <w:rFonts w:ascii="Arial" w:hAnsi="Arial"/>
        </w:rPr>
        <w:t>14</w:t>
      </w:r>
      <w:r w:rsidR="0069231C">
        <w:rPr>
          <w:rFonts w:ascii="Arial" w:hAnsi="Arial"/>
        </w:rPr>
        <w:t>-</w:t>
      </w:r>
      <w:r w:rsidR="00EA458D">
        <w:rPr>
          <w:rFonts w:ascii="Arial" w:hAnsi="Arial"/>
        </w:rPr>
        <w:t>0</w:t>
      </w:r>
      <w:r w:rsidR="005B3F38">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asign</w:t>
      </w:r>
      <w:r w:rsidR="00CF0ADC">
        <w:rPr>
          <w:rFonts w:ascii="Arial" w:hAnsi="Arial"/>
        </w:rPr>
        <w:t>aron</w:t>
      </w:r>
      <w:r w:rsidR="00612C75">
        <w:rPr>
          <w:rFonts w:ascii="Arial" w:hAnsi="Arial"/>
        </w:rPr>
        <w:t xml:space="preserve"> </w:t>
      </w:r>
      <w:r w:rsidRPr="00D55E5A">
        <w:rPr>
          <w:rFonts w:ascii="Arial" w:hAnsi="Arial"/>
        </w:rPr>
        <w:t>a este Despacho</w:t>
      </w:r>
      <w:r w:rsidR="00CF0ADC">
        <w:rPr>
          <w:rFonts w:ascii="Arial" w:hAnsi="Arial"/>
        </w:rPr>
        <w:t xml:space="preserve"> las acciones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5B3F38">
        <w:rPr>
          <w:rFonts w:ascii="Arial" w:hAnsi="Arial" w:cs="Arial"/>
          <w:color w:val="000000"/>
        </w:rPr>
        <w:t>16-03-2017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admitieron</w:t>
      </w:r>
      <w:r w:rsidR="007D0ECC">
        <w:rPr>
          <w:rFonts w:ascii="Arial" w:hAnsi="Arial" w:cs="Arial"/>
          <w:color w:val="000000"/>
        </w:rPr>
        <w:t xml:space="preserve"> y acumularon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BB4CEF">
        <w:rPr>
          <w:rFonts w:ascii="Arial" w:hAnsi="Arial"/>
        </w:rPr>
        <w:t>8 a 9</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s 10 a 11,</w:t>
      </w:r>
      <w:r w:rsidR="004B1EB8" w:rsidRPr="004B019A">
        <w:rPr>
          <w:rFonts w:ascii="Arial" w:hAnsi="Arial" w:cs="Arial"/>
          <w:color w:val="000000"/>
        </w:rPr>
        <w:t xml:space="preserve"> </w:t>
      </w:r>
      <w:r w:rsidR="00F332AF">
        <w:rPr>
          <w:rFonts w:ascii="Arial" w:hAnsi="Arial" w:cs="Arial"/>
          <w:color w:val="000000"/>
        </w:rPr>
        <w:t>ib</w:t>
      </w:r>
      <w:r w:rsidR="00E532E4">
        <w:rPr>
          <w:rFonts w:ascii="Arial" w:hAnsi="Arial" w:cs="Arial"/>
          <w:color w:val="000000"/>
        </w:rPr>
        <w:t>.</w:t>
      </w:r>
      <w:r w:rsidR="004B1EB8" w:rsidRPr="004B019A">
        <w:rPr>
          <w:rFonts w:ascii="Arial" w:hAnsi="Arial" w:cs="Arial"/>
          <w:color w:val="000000"/>
        </w:rPr>
        <w:t xml:space="preserve">). </w:t>
      </w:r>
      <w:r w:rsidR="00EA458D">
        <w:rPr>
          <w:rFonts w:ascii="Arial" w:hAnsi="Arial" w:cs="Arial"/>
          <w:color w:val="000000"/>
        </w:rPr>
        <w:t>Contestaron la Procuraduría General de la Nación, Regional Risaralda (Folio</w:t>
      </w:r>
      <w:r w:rsidR="00612C75">
        <w:rPr>
          <w:rFonts w:ascii="Arial" w:hAnsi="Arial" w:cs="Arial"/>
          <w:color w:val="000000"/>
        </w:rPr>
        <w:t xml:space="preserve"> </w:t>
      </w:r>
      <w:r w:rsidR="00EA458D">
        <w:rPr>
          <w:rFonts w:ascii="Arial" w:hAnsi="Arial" w:cs="Arial"/>
          <w:color w:val="000000"/>
        </w:rPr>
        <w:t>1</w:t>
      </w:r>
      <w:r w:rsidR="00BB4CEF">
        <w:rPr>
          <w:rFonts w:ascii="Arial" w:hAnsi="Arial" w:cs="Arial"/>
          <w:color w:val="000000"/>
        </w:rPr>
        <w:t>2</w:t>
      </w:r>
      <w:r w:rsidR="00612C75">
        <w:rPr>
          <w:rFonts w:ascii="Arial" w:hAnsi="Arial" w:cs="Arial"/>
          <w:color w:val="000000"/>
        </w:rPr>
        <w:t>, ib</w:t>
      </w:r>
      <w:r w:rsidR="00E532E4">
        <w:rPr>
          <w:rFonts w:ascii="Arial" w:hAnsi="Arial" w:cs="Arial"/>
          <w:color w:val="000000"/>
        </w:rPr>
        <w:t>ídem</w:t>
      </w:r>
      <w:r w:rsidR="00612C75">
        <w:rPr>
          <w:rFonts w:ascii="Arial" w:hAnsi="Arial" w:cs="Arial"/>
          <w:color w:val="000000"/>
        </w:rPr>
        <w:t>.)</w:t>
      </w:r>
      <w:r w:rsidR="00827F4A">
        <w:rPr>
          <w:rFonts w:ascii="Arial" w:hAnsi="Arial" w:cs="Arial"/>
        </w:rPr>
        <w:t>.</w:t>
      </w:r>
      <w:r w:rsidR="00612C75">
        <w:rPr>
          <w:rFonts w:ascii="Arial" w:hAnsi="Arial" w:cs="Arial"/>
        </w:rPr>
        <w:t xml:space="preserve"> El Juzgado accionado (Folio </w:t>
      </w:r>
      <w:r w:rsidR="00EA458D">
        <w:rPr>
          <w:rFonts w:ascii="Arial" w:hAnsi="Arial" w:cs="Arial"/>
        </w:rPr>
        <w:t>1</w:t>
      </w:r>
      <w:r w:rsidR="00BB4CEF">
        <w:rPr>
          <w:rFonts w:ascii="Arial" w:hAnsi="Arial" w:cs="Arial"/>
        </w:rPr>
        <w:t>5</w:t>
      </w:r>
      <w:r w:rsidR="00612C75">
        <w:rPr>
          <w:rFonts w:ascii="Arial" w:hAnsi="Arial" w:cs="Arial"/>
        </w:rPr>
        <w:t>, ib.)</w:t>
      </w:r>
      <w:r w:rsidR="00BB4CEF">
        <w:rPr>
          <w:rFonts w:ascii="Arial" w:hAnsi="Arial" w:cs="Arial"/>
        </w:rPr>
        <w:t xml:space="preserve">. La </w:t>
      </w:r>
      <w:r w:rsidR="00E532E4">
        <w:rPr>
          <w:rFonts w:ascii="Arial" w:hAnsi="Arial" w:cs="Arial"/>
        </w:rPr>
        <w:t>Alcaldía de La Virginia</w:t>
      </w:r>
      <w:r w:rsidR="00BB4CEF">
        <w:rPr>
          <w:rFonts w:ascii="Arial" w:hAnsi="Arial" w:cs="Arial"/>
        </w:rPr>
        <w:t xml:space="preserve"> (Folio</w:t>
      </w:r>
      <w:r w:rsidR="00E532E4">
        <w:rPr>
          <w:rFonts w:ascii="Arial" w:hAnsi="Arial" w:cs="Arial"/>
        </w:rPr>
        <w:t xml:space="preserve"> 17, ib.</w:t>
      </w:r>
      <w:r w:rsidR="00BB4CEF">
        <w:rPr>
          <w:rFonts w:ascii="Arial" w:hAnsi="Arial" w:cs="Arial"/>
        </w:rPr>
        <w:t>)</w:t>
      </w:r>
      <w:r w:rsidR="00A20436">
        <w:rPr>
          <w:rFonts w:ascii="Arial" w:hAnsi="Arial" w:cs="Arial"/>
        </w:rPr>
        <w:t xml:space="preserve"> y </w:t>
      </w:r>
      <w:r w:rsidR="00E532E4">
        <w:rPr>
          <w:rFonts w:ascii="Arial" w:hAnsi="Arial" w:cs="Arial"/>
        </w:rPr>
        <w:t>el Consejo Seccional de la Judicatura de Risaralda</w:t>
      </w:r>
      <w:r w:rsidR="00A20436">
        <w:rPr>
          <w:rFonts w:ascii="Arial" w:hAnsi="Arial" w:cs="Arial"/>
        </w:rPr>
        <w:t xml:space="preserve"> (Folio</w:t>
      </w:r>
      <w:r w:rsidR="00E532E4">
        <w:rPr>
          <w:rFonts w:ascii="Arial" w:hAnsi="Arial" w:cs="Arial"/>
        </w:rPr>
        <w:t xml:space="preserve"> 19</w:t>
      </w:r>
      <w:r w:rsidR="00A20436">
        <w:rPr>
          <w:rFonts w:ascii="Arial" w:hAnsi="Arial" w:cs="Arial"/>
        </w:rPr>
        <w:t>, ib.)</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E81814" w:rsidRDefault="00A20436" w:rsidP="00DC2991">
      <w:pPr>
        <w:spacing w:line="360" w:lineRule="auto"/>
        <w:jc w:val="both"/>
        <w:rPr>
          <w:rFonts w:ascii="Arial" w:hAnsi="Arial"/>
        </w:rPr>
      </w:pPr>
      <w:r>
        <w:rPr>
          <w:rFonts w:ascii="Arial" w:hAnsi="Arial"/>
        </w:rPr>
        <w:t>La Procuraduría General de la Nación, Regional Risaralda, adujo que la situación alegada es ajena a su función, y en consecuencia, solicitó su desvinculación</w:t>
      </w:r>
      <w:r w:rsidRPr="00FD594D">
        <w:rPr>
          <w:rFonts w:ascii="Arial" w:hAnsi="Arial"/>
        </w:rPr>
        <w:t xml:space="preserve"> (Folio </w:t>
      </w:r>
      <w:r>
        <w:rPr>
          <w:rFonts w:ascii="Arial" w:hAnsi="Arial"/>
        </w:rPr>
        <w:t xml:space="preserve">12, </w:t>
      </w:r>
      <w:r w:rsidRPr="00FD594D">
        <w:rPr>
          <w:rFonts w:ascii="Arial" w:hAnsi="Arial"/>
        </w:rPr>
        <w:t>ib.).</w:t>
      </w:r>
      <w:r w:rsidR="00E532E4">
        <w:rPr>
          <w:rFonts w:ascii="Arial" w:hAnsi="Arial"/>
        </w:rPr>
        <w:t xml:space="preserve"> El Juzgado Promiscuo del Circuito de la Virginia,</w:t>
      </w:r>
      <w:r w:rsidR="00297FEC">
        <w:rPr>
          <w:rFonts w:ascii="Arial" w:hAnsi="Arial"/>
        </w:rPr>
        <w:t xml:space="preserve"> </w:t>
      </w:r>
      <w:r w:rsidR="00CF0ADC">
        <w:rPr>
          <w:rFonts w:ascii="Arial" w:hAnsi="Arial"/>
        </w:rPr>
        <w:t xml:space="preserve">relató el trámite dado a las acciones populares y se opuso a las pretensiones </w:t>
      </w:r>
      <w:r w:rsidR="002F3D91">
        <w:rPr>
          <w:rFonts w:ascii="Arial" w:hAnsi="Arial"/>
        </w:rPr>
        <w:t xml:space="preserve">(Folio 15, ibídem). La Alcaldía de La Virginia </w:t>
      </w:r>
      <w:r w:rsidR="00E81814">
        <w:rPr>
          <w:rFonts w:ascii="Arial" w:hAnsi="Arial"/>
        </w:rPr>
        <w:t xml:space="preserve">indicó </w:t>
      </w:r>
      <w:r w:rsidR="00E532E4">
        <w:rPr>
          <w:rFonts w:ascii="Arial" w:hAnsi="Arial"/>
        </w:rPr>
        <w:t>que las peticiones del actor son inminentemente procedimentales</w:t>
      </w:r>
      <w:r w:rsidR="00E81814">
        <w:rPr>
          <w:rFonts w:ascii="Arial" w:hAnsi="Arial"/>
        </w:rPr>
        <w:t xml:space="preserve"> y</w:t>
      </w:r>
      <w:r w:rsidR="00E532E4">
        <w:rPr>
          <w:rFonts w:ascii="Arial" w:hAnsi="Arial"/>
        </w:rPr>
        <w:t xml:space="preserve"> no evidencia negación de justicia ni vulneración de derechos</w:t>
      </w:r>
      <w:r w:rsidR="00E81814">
        <w:rPr>
          <w:rFonts w:ascii="Arial" w:hAnsi="Arial"/>
        </w:rPr>
        <w:t xml:space="preserve"> (Folio 17, ib.). El </w:t>
      </w:r>
      <w:r w:rsidR="00CF0ADC">
        <w:rPr>
          <w:rFonts w:ascii="Arial" w:hAnsi="Arial"/>
        </w:rPr>
        <w:t xml:space="preserve">CSJ </w:t>
      </w:r>
      <w:r w:rsidR="00E81814">
        <w:rPr>
          <w:rFonts w:ascii="Arial" w:hAnsi="Arial"/>
        </w:rPr>
        <w:t xml:space="preserve">Seccional Risaralda </w:t>
      </w:r>
      <w:r w:rsidR="00CF0ADC">
        <w:rPr>
          <w:rFonts w:ascii="Arial" w:hAnsi="Arial"/>
        </w:rPr>
        <w:t>informó que el accionante no ha solicitado la vigilancia administrativa a las acciones populares relacionadas en el amparo</w:t>
      </w:r>
      <w:r w:rsidR="00E81814">
        <w:rPr>
          <w:rFonts w:ascii="Arial" w:hAnsi="Arial"/>
        </w:rPr>
        <w:t xml:space="preserve"> y </w:t>
      </w:r>
      <w:r w:rsidR="00CF0ADC">
        <w:rPr>
          <w:rFonts w:ascii="Arial" w:hAnsi="Arial"/>
        </w:rPr>
        <w:t xml:space="preserve">que </w:t>
      </w:r>
      <w:r w:rsidR="00E81814">
        <w:rPr>
          <w:rFonts w:ascii="Arial" w:hAnsi="Arial"/>
        </w:rPr>
        <w:t xml:space="preserve">los hechos </w:t>
      </w:r>
      <w:r w:rsidR="00CF0ADC">
        <w:rPr>
          <w:rFonts w:ascii="Arial" w:hAnsi="Arial"/>
        </w:rPr>
        <w:t>relatados son ajeno</w:t>
      </w:r>
      <w:r w:rsidR="00E81814">
        <w:rPr>
          <w:rFonts w:ascii="Arial" w:hAnsi="Arial"/>
        </w:rPr>
        <w:t>s a esa Corporación</w:t>
      </w:r>
      <w:r w:rsidR="00CF0ADC">
        <w:rPr>
          <w:rFonts w:ascii="Arial" w:hAnsi="Arial"/>
        </w:rPr>
        <w:t>; pidió su desvinculación</w:t>
      </w:r>
      <w:r w:rsidR="00E81814">
        <w:rPr>
          <w:rFonts w:ascii="Arial" w:hAnsi="Arial"/>
        </w:rPr>
        <w:t xml:space="preserve"> (Folio 19, </w:t>
      </w:r>
      <w:r w:rsidR="00CF0ADC">
        <w:rPr>
          <w:rFonts w:ascii="Arial" w:hAnsi="Arial"/>
        </w:rPr>
        <w:t>ib.</w:t>
      </w:r>
      <w:r w:rsidR="00E81814">
        <w:rPr>
          <w:rFonts w:ascii="Arial" w:hAnsi="Arial"/>
        </w:rPr>
        <w:t>).</w:t>
      </w:r>
    </w:p>
    <w:p w:rsidR="00930478" w:rsidRDefault="00DC2991" w:rsidP="00AE621B">
      <w:pPr>
        <w:spacing w:line="360" w:lineRule="auto"/>
        <w:jc w:val="both"/>
        <w:rPr>
          <w:rFonts w:ascii="Arial" w:hAnsi="Arial"/>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lastRenderedPageBreak/>
        <w:t xml:space="preserve">     </w:t>
      </w:r>
      <w:r w:rsidR="00CF429F" w:rsidRPr="006F4450">
        <w:rPr>
          <w:rFonts w:ascii="Arial" w:hAnsi="Arial"/>
          <w:szCs w:val="24"/>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gado Promiscuo del Circuito de L</w:t>
      </w:r>
      <w:r w:rsidR="00E45E01">
        <w:rPr>
          <w:rFonts w:ascii="Arial" w:hAnsi="Arial" w:cs="Arial"/>
          <w:color w:val="000000"/>
          <w:szCs w:val="24"/>
        </w:rPr>
        <w:t>a Virginia</w:t>
      </w:r>
      <w:r w:rsidR="00D33789" w:rsidRPr="005764A9">
        <w:rPr>
          <w:rFonts w:ascii="Arial" w:hAnsi="Arial" w:cs="Arial"/>
          <w:color w:val="000000"/>
          <w:szCs w:val="24"/>
        </w:rPr>
        <w:t>.</w:t>
      </w:r>
    </w:p>
    <w:p w:rsidR="00730CA7" w:rsidRPr="004B7598"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885A62"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t xml:space="preserve">La legitimación en la causa. </w:t>
      </w: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21559F" w:rsidRPr="005764A9">
        <w:rPr>
          <w:rFonts w:ascii="Arial" w:hAnsi="Arial" w:cs="Arial"/>
          <w:szCs w:val="24"/>
        </w:rPr>
        <w:t xml:space="preserve">las acciones populares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677AA0">
        <w:rPr>
          <w:rFonts w:ascii="Arial" w:hAnsi="Arial" w:cs="Arial"/>
          <w:szCs w:val="24"/>
        </w:rPr>
        <w:t>accionado</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21559F" w:rsidRPr="005764A9">
        <w:rPr>
          <w:rFonts w:ascii="Arial" w:hAnsi="Arial" w:cs="Arial"/>
          <w:szCs w:val="24"/>
        </w:rPr>
        <w:t>los juicios</w:t>
      </w:r>
      <w:r w:rsidR="00885A62" w:rsidRPr="005764A9">
        <w:rPr>
          <w:rFonts w:ascii="Arial" w:hAnsi="Arial" w:cs="Arial"/>
          <w:szCs w:val="24"/>
        </w:rPr>
        <w:t>.</w:t>
      </w:r>
    </w:p>
    <w:p w:rsidR="005764A9"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 xml:space="preserve">¿El Juzgado accionado, ha vulnerado o amenazado los derechos fundamentales del accionante con ocasión del trámite surtido en las acciones populares, según lo expuesto en los escritos de tutela?   </w:t>
      </w:r>
    </w:p>
    <w:p w:rsidR="005764A9" w:rsidRDefault="005764A9" w:rsidP="005764A9">
      <w:pPr>
        <w:pStyle w:val="Paragraphedeliste"/>
        <w:rPr>
          <w:rFonts w:ascii="Arial" w:hAnsi="Arial" w:cs="Arial"/>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5764A9" w:rsidRDefault="005764A9" w:rsidP="00885A62">
      <w:pPr>
        <w:pStyle w:val="Corpsdetexte"/>
        <w:spacing w:line="360" w:lineRule="auto"/>
        <w:rPr>
          <w:rFonts w:ascii="Arial" w:hAnsi="Arial"/>
          <w:smallCaps/>
          <w:szCs w:val="24"/>
        </w:rPr>
      </w:pPr>
    </w:p>
    <w:p w:rsidR="00CF0ADC" w:rsidRPr="00C323F1" w:rsidRDefault="00CF0ADC" w:rsidP="00CF0ADC">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pacing w:val="0"/>
          <w:szCs w:val="24"/>
          <w:lang w:val="es-ES"/>
        </w:rPr>
      </w:pPr>
      <w:r w:rsidRPr="00C323F1">
        <w:rPr>
          <w:rFonts w:ascii="Arial" w:hAnsi="Arial" w:cs="Verdana"/>
          <w:spacing w:val="0"/>
          <w:szCs w:val="24"/>
          <w:lang w:val="es-ES"/>
        </w:rPr>
        <w:t>Las sub-reglas de análisis en la procedibilidad frente a decisiones judiciales</w:t>
      </w:r>
    </w:p>
    <w:p w:rsidR="00CF0ADC" w:rsidRPr="00DC6BEA"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DC6BEA">
        <w:rPr>
          <w:rFonts w:ascii="Arial" w:hAnsi="Arial" w:cs="Arial"/>
          <w:szCs w:val="24"/>
        </w:rPr>
        <w:t xml:space="preserve">Desde la sentencia  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1"/>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2"/>
      </w:r>
      <w:r w:rsidRPr="00DC6BEA">
        <w:rPr>
          <w:rFonts w:ascii="Arial" w:hAnsi="Arial" w:cs="Arial"/>
          <w:szCs w:val="24"/>
        </w:rPr>
        <w:t>.</w:t>
      </w:r>
    </w:p>
    <w:p w:rsidR="00CF0ADC" w:rsidRPr="004B7598" w:rsidRDefault="00CF0ADC" w:rsidP="00CF0ADC">
      <w:pPr>
        <w:pStyle w:val="Corpsdetexte"/>
        <w:spacing w:line="360" w:lineRule="auto"/>
        <w:rPr>
          <w:rFonts w:ascii="Arial" w:hAnsi="Arial" w:cs="Arial"/>
          <w:sz w:val="20"/>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CF0ADC" w:rsidRPr="004B7598" w:rsidRDefault="00CF0ADC" w:rsidP="00CF0ADC">
      <w:pPr>
        <w:pStyle w:val="Corpsdetexte"/>
        <w:spacing w:line="360" w:lineRule="auto"/>
        <w:rPr>
          <w:rFonts w:ascii="Arial" w:hAnsi="Arial" w:cs="Arial"/>
          <w:sz w:val="20"/>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w:t>
      </w:r>
      <w:r w:rsidRPr="00907C22">
        <w:rPr>
          <w:rFonts w:ascii="Arial" w:hAnsi="Arial"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CF0ADC" w:rsidRPr="004B7598" w:rsidRDefault="00CF0ADC" w:rsidP="001660B5">
      <w:pPr>
        <w:pStyle w:val="Corpsdetexte"/>
        <w:spacing w:line="240" w:lineRule="auto"/>
        <w:rPr>
          <w:rFonts w:ascii="Arial" w:hAnsi="Arial" w:cs="Arial"/>
          <w:sz w:val="20"/>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CF0ADC" w:rsidRDefault="00CF0ADC" w:rsidP="00CF0ADC">
      <w:pPr>
        <w:pStyle w:val="Corpsdetexte"/>
        <w:spacing w:line="360" w:lineRule="auto"/>
        <w:rPr>
          <w:rFonts w:ascii="Arial" w:hAnsi="Arial" w:cs="Arial"/>
          <w:sz w:val="20"/>
          <w:szCs w:val="24"/>
        </w:rPr>
      </w:pPr>
    </w:p>
    <w:p w:rsidR="00CF0ADC" w:rsidRPr="003353DD" w:rsidRDefault="00CF0ADC" w:rsidP="00CF0ADC">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CF0ADC" w:rsidRPr="004B7598" w:rsidRDefault="00CF0ADC" w:rsidP="001660B5">
      <w:pPr>
        <w:pStyle w:val="Corpsdetexte"/>
        <w:tabs>
          <w:tab w:val="clear" w:pos="0"/>
        </w:tabs>
        <w:spacing w:line="240" w:lineRule="auto"/>
        <w:rPr>
          <w:rFonts w:ascii="Arial" w:hAnsi="Arial" w:cs="Arial"/>
          <w:sz w:val="20"/>
          <w:szCs w:val="24"/>
        </w:rPr>
      </w:pPr>
    </w:p>
    <w:p w:rsidR="00CF0ADC" w:rsidRDefault="00CF0ADC" w:rsidP="00CF0AD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CF0ADC" w:rsidRPr="004B7598" w:rsidRDefault="00CF0ADC" w:rsidP="001660B5">
      <w:pPr>
        <w:pStyle w:val="Corpsdetexte"/>
        <w:tabs>
          <w:tab w:val="clear" w:pos="0"/>
        </w:tabs>
        <w:spacing w:line="240" w:lineRule="auto"/>
        <w:rPr>
          <w:rFonts w:ascii="Arial" w:hAnsi="Arial" w:cs="Arial"/>
          <w:sz w:val="20"/>
          <w:szCs w:val="24"/>
          <w:u w:val="single"/>
        </w:rPr>
      </w:pPr>
    </w:p>
    <w:p w:rsidR="00CF0ADC" w:rsidRDefault="00CF0ADC" w:rsidP="00CF0AD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CF0ADC" w:rsidRPr="00511FE0" w:rsidRDefault="00CF0ADC" w:rsidP="001660B5">
      <w:pPr>
        <w:widowControl/>
        <w:autoSpaceDE/>
        <w:adjustRightInd/>
        <w:jc w:val="both"/>
        <w:rPr>
          <w:rFonts w:ascii="Arial" w:hAnsi="Arial" w:cs="Arial"/>
          <w:sz w:val="20"/>
          <w:szCs w:val="22"/>
          <w:lang w:val="es-ES_tradnl"/>
        </w:rPr>
      </w:pPr>
    </w:p>
    <w:p w:rsidR="00CF0ADC" w:rsidRDefault="00CF0ADC" w:rsidP="00CF0ADC">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vertAlign w:val="superscript"/>
        </w:rPr>
        <w:t>-</w:t>
      </w:r>
      <w:r>
        <w:rPr>
          <w:rStyle w:val="Appelnotedebasdep"/>
          <w:rFonts w:ascii="Arial" w:hAnsi="Arial"/>
          <w:szCs w:val="24"/>
        </w:rPr>
        <w:footnoteReference w:id="13"/>
      </w:r>
      <w:r>
        <w:rPr>
          <w:rFonts w:ascii="Arial" w:hAnsi="Arial" w:cs="Arial"/>
          <w:szCs w:val="24"/>
          <w:vertAlign w:val="superscript"/>
        </w:rPr>
        <w:t>-</w:t>
      </w:r>
      <w:r>
        <w:rPr>
          <w:rStyle w:val="Appelnotedebasdep"/>
          <w:rFonts w:ascii="Arial" w:hAnsi="Arial"/>
          <w:szCs w:val="24"/>
        </w:rPr>
        <w:lastRenderedPageBreak/>
        <w:footnoteReference w:id="14"/>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5"/>
      </w:r>
      <w:r>
        <w:rPr>
          <w:rFonts w:ascii="Arial" w:hAnsi="Arial" w:cs="Arial"/>
          <w:vertAlign w:val="superscript"/>
        </w:rPr>
        <w:t>-</w:t>
      </w:r>
      <w:r>
        <w:rPr>
          <w:rStyle w:val="Appelnotedebasdep"/>
          <w:rFonts w:ascii="Arial" w:hAnsi="Arial"/>
        </w:rPr>
        <w:footnoteReference w:id="16"/>
      </w:r>
      <w:r>
        <w:rPr>
          <w:rFonts w:ascii="Arial" w:hAnsi="Arial" w:cs="Arial"/>
          <w:vertAlign w:val="superscript"/>
        </w:rPr>
        <w:t>-</w:t>
      </w:r>
      <w:r>
        <w:rPr>
          <w:rStyle w:val="Appelnotedebasdep"/>
          <w:rFonts w:ascii="Arial" w:hAnsi="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Default="00AB5BDE" w:rsidP="001660B5">
      <w:pPr>
        <w:pStyle w:val="Corpsdetexte"/>
        <w:spacing w:line="240" w:lineRule="auto"/>
        <w:rPr>
          <w:rFonts w:ascii="Arial" w:hAnsi="Arial"/>
          <w:sz w:val="20"/>
          <w:szCs w:val="24"/>
        </w:rPr>
      </w:pPr>
    </w:p>
    <w:p w:rsidR="0012509F" w:rsidRPr="0012509F" w:rsidRDefault="0012509F" w:rsidP="0012509F">
      <w:pPr>
        <w:pStyle w:val="Corpsdetexte"/>
        <w:numPr>
          <w:ilvl w:val="1"/>
          <w:numId w:val="18"/>
        </w:numPr>
        <w:spacing w:line="360" w:lineRule="auto"/>
        <w:rPr>
          <w:rFonts w:ascii="Arial" w:hAnsi="Arial"/>
          <w:smallCaps/>
          <w:szCs w:val="24"/>
        </w:rPr>
      </w:pPr>
      <w:r w:rsidRPr="0012509F">
        <w:rPr>
          <w:rFonts w:ascii="Arial" w:hAnsi="Arial"/>
          <w:smallCaps/>
          <w:szCs w:val="24"/>
        </w:rPr>
        <w:t xml:space="preserve">La subsidiariedad </w:t>
      </w:r>
    </w:p>
    <w:p w:rsidR="0012509F" w:rsidRPr="001660B5" w:rsidRDefault="0012509F" w:rsidP="001660B5">
      <w:pPr>
        <w:jc w:val="both"/>
        <w:rPr>
          <w:rFonts w:ascii="Arial" w:hAnsi="Arial" w:cs="Arial"/>
          <w:lang w:val="fr-FR"/>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1660B5">
      <w:pPr>
        <w:jc w:val="both"/>
        <w:rPr>
          <w:rFonts w:ascii="Arial" w:hAnsi="Arial" w:cs="Arial"/>
          <w:sz w:val="20"/>
          <w:lang w:val="es-ES_tradnl"/>
        </w:rPr>
      </w:pPr>
    </w:p>
    <w:p w:rsidR="00677AA0" w:rsidRDefault="00677AA0" w:rsidP="00AA2028">
      <w:pPr>
        <w:widowControl/>
        <w:spacing w:line="360" w:lineRule="auto"/>
        <w:jc w:val="both"/>
        <w:rPr>
          <w:rFonts w:ascii="Arial" w:hAnsi="Arial" w:cs="Arial"/>
        </w:rPr>
      </w:pPr>
      <w:r>
        <w:rPr>
          <w:rFonts w:ascii="Arial" w:hAnsi="Arial" w:cs="Arial"/>
        </w:rPr>
        <w:t xml:space="preserve">El actor se duele porque </w:t>
      </w:r>
      <w:r w:rsidR="008B6A3C">
        <w:rPr>
          <w:rFonts w:ascii="Arial" w:hAnsi="Arial" w:cs="Arial"/>
        </w:rPr>
        <w:t>el Juzgado demandado</w:t>
      </w:r>
      <w:r>
        <w:rPr>
          <w:rFonts w:ascii="Arial" w:hAnsi="Arial" w:cs="Arial"/>
        </w:rPr>
        <w:t xml:space="preserve"> rechazó las acciones populares </w:t>
      </w:r>
      <w:r w:rsidR="00C10055">
        <w:rPr>
          <w:rFonts w:ascii="Arial" w:hAnsi="Arial" w:cs="Arial"/>
        </w:rPr>
        <w:t xml:space="preserve">exigiéndole requisitos </w:t>
      </w:r>
      <w:r w:rsidR="00484C7C">
        <w:rPr>
          <w:rFonts w:ascii="Arial" w:hAnsi="Arial" w:cs="Arial"/>
        </w:rPr>
        <w:t xml:space="preserve">inexistentes </w:t>
      </w:r>
      <w:r w:rsidR="00C10055">
        <w:rPr>
          <w:rFonts w:ascii="Arial" w:hAnsi="Arial" w:cs="Arial"/>
        </w:rPr>
        <w:t>en el artículo 18 de la Ley 472.</w:t>
      </w:r>
      <w:r>
        <w:rPr>
          <w:rFonts w:ascii="Arial" w:hAnsi="Arial" w:cs="Arial"/>
        </w:rPr>
        <w:t xml:space="preserve"> </w:t>
      </w:r>
    </w:p>
    <w:p w:rsidR="001660B5" w:rsidRDefault="001660B5" w:rsidP="001660B5">
      <w:pPr>
        <w:widowControl/>
        <w:jc w:val="both"/>
        <w:rPr>
          <w:rFonts w:ascii="Arial" w:hAnsi="Arial" w:cs="Arial"/>
        </w:rPr>
      </w:pPr>
    </w:p>
    <w:p w:rsidR="00037259"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al acervo probatorio </w:t>
      </w:r>
      <w:r w:rsidR="00DC1FFF">
        <w:rPr>
          <w:rFonts w:ascii="Arial" w:hAnsi="Arial" w:cs="Arial"/>
        </w:rPr>
        <w:t xml:space="preserve">el Juzgado </w:t>
      </w:r>
      <w:r w:rsidR="00D10AEC" w:rsidRPr="00F54A43">
        <w:rPr>
          <w:rFonts w:ascii="Arial" w:hAnsi="Arial" w:cs="Arial"/>
          <w:lang w:val="es-CO"/>
        </w:rPr>
        <w:t xml:space="preserve">con </w:t>
      </w:r>
      <w:r w:rsidR="00DC1FFF">
        <w:rPr>
          <w:rFonts w:ascii="Arial" w:hAnsi="Arial" w:cs="Arial"/>
          <w:lang w:val="es-CO"/>
        </w:rPr>
        <w:t xml:space="preserve">sendos </w:t>
      </w:r>
      <w:r w:rsidR="00D10AEC" w:rsidRPr="00F54A43">
        <w:rPr>
          <w:rFonts w:ascii="Arial" w:hAnsi="Arial" w:cs="Arial"/>
          <w:lang w:val="es-CO"/>
        </w:rPr>
        <w:t>proveído</w:t>
      </w:r>
      <w:r w:rsidR="00B64E7A">
        <w:rPr>
          <w:rFonts w:ascii="Arial" w:hAnsi="Arial" w:cs="Arial"/>
          <w:lang w:val="es-CO"/>
        </w:rPr>
        <w:t>s</w:t>
      </w:r>
      <w:r w:rsidR="00D10AEC" w:rsidRPr="00F54A43">
        <w:rPr>
          <w:rFonts w:ascii="Arial" w:hAnsi="Arial" w:cs="Arial"/>
          <w:lang w:val="es-CO"/>
        </w:rPr>
        <w:t xml:space="preserve"> </w:t>
      </w:r>
      <w:r w:rsidR="00C94C61">
        <w:rPr>
          <w:rFonts w:ascii="Arial" w:hAnsi="Arial" w:cs="Arial"/>
          <w:lang w:val="es-CO"/>
        </w:rPr>
        <w:t xml:space="preserve">del </w:t>
      </w:r>
      <w:r w:rsidR="00D33789">
        <w:rPr>
          <w:rFonts w:ascii="Arial" w:hAnsi="Arial"/>
          <w:lang w:val="es-CO"/>
        </w:rPr>
        <w:t>2</w:t>
      </w:r>
      <w:r w:rsidR="00B64E7A">
        <w:rPr>
          <w:rFonts w:ascii="Arial" w:hAnsi="Arial"/>
          <w:lang w:val="es-CO"/>
        </w:rPr>
        <w:t>0</w:t>
      </w:r>
      <w:r w:rsidR="00AA2028">
        <w:rPr>
          <w:rFonts w:ascii="Arial" w:hAnsi="Arial"/>
          <w:lang w:val="es-CO"/>
        </w:rPr>
        <w:t>-</w:t>
      </w:r>
      <w:r w:rsidR="00B64E7A">
        <w:rPr>
          <w:rFonts w:ascii="Arial" w:hAnsi="Arial"/>
          <w:lang w:val="es-CO"/>
        </w:rPr>
        <w:t>02</w:t>
      </w:r>
      <w:r w:rsidR="00AA2028">
        <w:rPr>
          <w:rFonts w:ascii="Arial" w:hAnsi="Arial"/>
          <w:lang w:val="es-CO"/>
        </w:rPr>
        <w:t>-201</w:t>
      </w:r>
      <w:r w:rsidR="00B64E7A">
        <w:rPr>
          <w:rFonts w:ascii="Arial" w:hAnsi="Arial"/>
          <w:lang w:val="es-CO"/>
        </w:rPr>
        <w:t xml:space="preserve">7 </w:t>
      </w:r>
      <w:r w:rsidR="00037259">
        <w:rPr>
          <w:rFonts w:ascii="Arial" w:hAnsi="Arial"/>
          <w:lang w:val="es-CO"/>
        </w:rPr>
        <w:t xml:space="preserve">inadmitió </w:t>
      </w:r>
      <w:r w:rsidR="00B64E7A">
        <w:rPr>
          <w:rFonts w:ascii="Arial" w:hAnsi="Arial"/>
          <w:lang w:val="es-CO"/>
        </w:rPr>
        <w:t xml:space="preserve">las acciones </w:t>
      </w:r>
      <w:r w:rsidR="00DC1FFF">
        <w:rPr>
          <w:rFonts w:ascii="Arial" w:hAnsi="Arial"/>
          <w:lang w:val="es-CO"/>
        </w:rPr>
        <w:t xml:space="preserve">populares Nos.2017-00061-00 y 2017-00073-00 </w:t>
      </w:r>
      <w:r w:rsidR="0094727C">
        <w:rPr>
          <w:rFonts w:ascii="Arial" w:hAnsi="Arial"/>
          <w:lang w:val="es-CO"/>
        </w:rPr>
        <w:t>(</w:t>
      </w:r>
      <w:r w:rsidR="003C5B40">
        <w:rPr>
          <w:rFonts w:ascii="Arial" w:hAnsi="Arial"/>
          <w:lang w:val="es-CO"/>
        </w:rPr>
        <w:t>D</w:t>
      </w:r>
      <w:r w:rsidR="0094727C">
        <w:rPr>
          <w:rFonts w:ascii="Arial" w:hAnsi="Arial"/>
          <w:lang w:val="es-CO"/>
        </w:rPr>
        <w:t>isco compacto</w:t>
      </w:r>
      <w:r w:rsidR="003C5B40">
        <w:rPr>
          <w:rFonts w:ascii="Arial" w:hAnsi="Arial"/>
          <w:lang w:val="es-CO"/>
        </w:rPr>
        <w:t xml:space="preserve"> obrante a folio 16</w:t>
      </w:r>
      <w:r w:rsidR="00DC1FFF">
        <w:rPr>
          <w:rFonts w:ascii="Arial" w:hAnsi="Arial"/>
          <w:lang w:val="es-CO"/>
        </w:rPr>
        <w:t xml:space="preserve">, de este cuaderno); con autos del </w:t>
      </w:r>
      <w:r w:rsidR="00037259">
        <w:rPr>
          <w:rFonts w:ascii="Arial" w:hAnsi="Arial"/>
          <w:lang w:val="es-CO"/>
        </w:rPr>
        <w:t>28-02-2017</w:t>
      </w:r>
      <w:r w:rsidR="0094727C">
        <w:rPr>
          <w:rFonts w:ascii="Arial" w:hAnsi="Arial"/>
          <w:lang w:val="es-CO"/>
        </w:rPr>
        <w:t xml:space="preserve"> </w:t>
      </w:r>
      <w:r w:rsidR="00DC1FFF">
        <w:rPr>
          <w:rFonts w:ascii="Arial" w:hAnsi="Arial"/>
          <w:lang w:val="es-CO"/>
        </w:rPr>
        <w:t xml:space="preserve">no </w:t>
      </w:r>
      <w:r w:rsidR="009D5231">
        <w:rPr>
          <w:rFonts w:ascii="Arial" w:hAnsi="Arial"/>
          <w:lang w:val="es-CO"/>
        </w:rPr>
        <w:t>repuso</w:t>
      </w:r>
      <w:r w:rsidR="00DC1FFF">
        <w:rPr>
          <w:rFonts w:ascii="Arial" w:hAnsi="Arial"/>
          <w:lang w:val="es-CO"/>
        </w:rPr>
        <w:t xml:space="preserve"> sus decisiones y declaró inadmisibles las apelaciones presentadas (Disco compacto obrante a folio 16, ibídem)</w:t>
      </w:r>
      <w:r w:rsidR="00484C7C">
        <w:rPr>
          <w:rFonts w:ascii="Arial" w:hAnsi="Arial"/>
          <w:lang w:val="es-CO"/>
        </w:rPr>
        <w:t xml:space="preserve">, y </w:t>
      </w:r>
      <w:r w:rsidR="00DC1FFF">
        <w:rPr>
          <w:rFonts w:ascii="Arial" w:hAnsi="Arial"/>
          <w:lang w:val="es-CO"/>
        </w:rPr>
        <w:t xml:space="preserve">el </w:t>
      </w:r>
      <w:r w:rsidR="00484C7C">
        <w:rPr>
          <w:rFonts w:ascii="Arial" w:hAnsi="Arial"/>
          <w:lang w:val="es-CO"/>
        </w:rPr>
        <w:t xml:space="preserve">13-03-2017 </w:t>
      </w:r>
      <w:r w:rsidR="00DC1FFF">
        <w:rPr>
          <w:rFonts w:ascii="Arial" w:hAnsi="Arial"/>
          <w:lang w:val="es-CO"/>
        </w:rPr>
        <w:t>las rechazó</w:t>
      </w:r>
      <w:r w:rsidR="00037259">
        <w:rPr>
          <w:rFonts w:ascii="Arial" w:hAnsi="Arial"/>
          <w:lang w:val="es-CO"/>
        </w:rPr>
        <w:t xml:space="preserve"> </w:t>
      </w:r>
      <w:r w:rsidR="005A4734">
        <w:rPr>
          <w:rFonts w:ascii="Arial" w:hAnsi="Arial"/>
          <w:lang w:val="es-CO"/>
        </w:rPr>
        <w:t xml:space="preserve">porque </w:t>
      </w:r>
      <w:r w:rsidR="00D573DB">
        <w:rPr>
          <w:rFonts w:ascii="Arial" w:hAnsi="Arial"/>
          <w:lang w:val="es-CO"/>
        </w:rPr>
        <w:t>no fueron subsanad</w:t>
      </w:r>
      <w:r w:rsidR="005A4734">
        <w:rPr>
          <w:rFonts w:ascii="Arial" w:hAnsi="Arial"/>
          <w:lang w:val="es-CO"/>
        </w:rPr>
        <w:t>a</w:t>
      </w:r>
      <w:r w:rsidR="00D573DB">
        <w:rPr>
          <w:rFonts w:ascii="Arial" w:hAnsi="Arial"/>
          <w:lang w:val="es-CO"/>
        </w:rPr>
        <w:t>s</w:t>
      </w:r>
      <w:r w:rsidR="00484C7C">
        <w:rPr>
          <w:rFonts w:ascii="Arial" w:hAnsi="Arial"/>
          <w:lang w:val="es-CO"/>
        </w:rPr>
        <w:t xml:space="preserve"> </w:t>
      </w:r>
      <w:r w:rsidR="00DC1FFF">
        <w:rPr>
          <w:rFonts w:ascii="Arial" w:hAnsi="Arial"/>
          <w:lang w:val="es-CO"/>
        </w:rPr>
        <w:t>(Disco compacto obrante a folio 16, ib.)</w:t>
      </w:r>
      <w:r w:rsidR="00484C7C">
        <w:rPr>
          <w:rFonts w:ascii="Arial" w:hAnsi="Arial"/>
          <w:lang w:val="es-CO"/>
        </w:rPr>
        <w:t>,</w:t>
      </w:r>
      <w:r w:rsidR="00037259">
        <w:rPr>
          <w:rFonts w:ascii="Arial" w:hAnsi="Arial"/>
          <w:lang w:val="es-CO"/>
        </w:rPr>
        <w:t xml:space="preserve"> decisi</w:t>
      </w:r>
      <w:r w:rsidR="0094727C">
        <w:rPr>
          <w:rFonts w:ascii="Arial" w:hAnsi="Arial"/>
          <w:lang w:val="es-CO"/>
        </w:rPr>
        <w:t>ones</w:t>
      </w:r>
      <w:r w:rsidR="00037259">
        <w:rPr>
          <w:rFonts w:ascii="Arial" w:hAnsi="Arial"/>
          <w:lang w:val="es-CO"/>
        </w:rPr>
        <w:t xml:space="preserve"> notificada</w:t>
      </w:r>
      <w:r w:rsidR="0094727C">
        <w:rPr>
          <w:rFonts w:ascii="Arial" w:hAnsi="Arial"/>
          <w:lang w:val="es-CO"/>
        </w:rPr>
        <w:t>s</w:t>
      </w:r>
      <w:r w:rsidR="00037259">
        <w:rPr>
          <w:rFonts w:ascii="Arial" w:hAnsi="Arial"/>
          <w:lang w:val="es-CO"/>
        </w:rPr>
        <w:t xml:space="preserve"> </w:t>
      </w:r>
      <w:r w:rsidR="00DC1FFF">
        <w:rPr>
          <w:rFonts w:ascii="Arial" w:hAnsi="Arial"/>
          <w:lang w:val="es-CO"/>
        </w:rPr>
        <w:t xml:space="preserve">con fijación en </w:t>
      </w:r>
      <w:r w:rsidR="00037259">
        <w:rPr>
          <w:rFonts w:ascii="Arial" w:hAnsi="Arial"/>
          <w:lang w:val="es-CO"/>
        </w:rPr>
        <w:t xml:space="preserve">estado </w:t>
      </w:r>
      <w:r w:rsidR="00DC1FFF">
        <w:rPr>
          <w:rFonts w:ascii="Arial" w:hAnsi="Arial"/>
          <w:lang w:val="es-CO"/>
        </w:rPr>
        <w:t xml:space="preserve">el </w:t>
      </w:r>
      <w:r w:rsidR="00037259">
        <w:rPr>
          <w:rFonts w:ascii="Arial" w:hAnsi="Arial"/>
          <w:lang w:val="es-CO"/>
        </w:rPr>
        <w:t>14-03-2017</w:t>
      </w:r>
      <w:r w:rsidR="0094727C">
        <w:rPr>
          <w:rFonts w:ascii="Arial" w:hAnsi="Arial"/>
          <w:lang w:val="es-CO"/>
        </w:rPr>
        <w:t xml:space="preserve"> </w:t>
      </w:r>
      <w:r w:rsidR="00DC1FFF">
        <w:rPr>
          <w:rFonts w:ascii="Arial" w:hAnsi="Arial"/>
          <w:lang w:val="es-CO"/>
        </w:rPr>
        <w:t>(Disco compacto obrante a folio 16, ib.)</w:t>
      </w:r>
      <w:r w:rsidR="0094727C">
        <w:rPr>
          <w:rFonts w:ascii="Arial" w:hAnsi="Arial"/>
          <w:lang w:val="es-CO"/>
        </w:rPr>
        <w:t xml:space="preserve">. En cuanto a la </w:t>
      </w:r>
      <w:r w:rsidR="00DC1FFF">
        <w:rPr>
          <w:rFonts w:ascii="Arial" w:hAnsi="Arial"/>
          <w:lang w:val="es-CO"/>
        </w:rPr>
        <w:t>acción popular No.</w:t>
      </w:r>
      <w:r w:rsidR="003C5B40">
        <w:rPr>
          <w:rFonts w:ascii="Arial" w:hAnsi="Arial"/>
          <w:lang w:val="es-CO"/>
        </w:rPr>
        <w:t>2017-00084</w:t>
      </w:r>
      <w:r w:rsidR="00DC1FFF">
        <w:rPr>
          <w:rFonts w:ascii="Arial" w:hAnsi="Arial"/>
          <w:lang w:val="es-CO"/>
        </w:rPr>
        <w:t xml:space="preserve">-00, también se inadmitió con auto del 20-02-2017, pero </w:t>
      </w:r>
      <w:r w:rsidR="009D5231">
        <w:rPr>
          <w:rFonts w:ascii="Arial" w:hAnsi="Arial"/>
          <w:lang w:val="es-CO"/>
        </w:rPr>
        <w:t xml:space="preserve">se </w:t>
      </w:r>
      <w:r w:rsidR="0094727C">
        <w:rPr>
          <w:rFonts w:ascii="Arial" w:hAnsi="Arial"/>
          <w:lang w:val="es-CO"/>
        </w:rPr>
        <w:t>rechaz</w:t>
      </w:r>
      <w:r w:rsidR="00484C7C">
        <w:rPr>
          <w:rFonts w:ascii="Arial" w:hAnsi="Arial"/>
          <w:lang w:val="es-CO"/>
        </w:rPr>
        <w:t xml:space="preserve">ó </w:t>
      </w:r>
      <w:r w:rsidR="000473E8">
        <w:rPr>
          <w:rFonts w:ascii="Arial" w:hAnsi="Arial"/>
          <w:lang w:val="es-CO"/>
        </w:rPr>
        <w:t xml:space="preserve">con providencia del </w:t>
      </w:r>
      <w:r w:rsidR="0094727C">
        <w:rPr>
          <w:rFonts w:ascii="Arial" w:hAnsi="Arial"/>
          <w:lang w:val="es-CO"/>
        </w:rPr>
        <w:t xml:space="preserve">28-02-2017 </w:t>
      </w:r>
      <w:r w:rsidR="000473E8">
        <w:rPr>
          <w:rFonts w:ascii="Arial" w:hAnsi="Arial"/>
          <w:lang w:val="es-CO"/>
        </w:rPr>
        <w:t>(Disco compacto obrante a folio 16, ib.)</w:t>
      </w:r>
      <w:r w:rsidR="00484C7C">
        <w:rPr>
          <w:rFonts w:ascii="Arial" w:hAnsi="Arial"/>
          <w:lang w:val="es-CO"/>
        </w:rPr>
        <w:t xml:space="preserve">, </w:t>
      </w:r>
      <w:r w:rsidR="000473E8">
        <w:rPr>
          <w:rFonts w:ascii="Arial" w:hAnsi="Arial"/>
          <w:lang w:val="es-CO"/>
        </w:rPr>
        <w:t>notificada con el estado del 01-03-2017 y debidamente ejecutoriada el 07-03-2017, sin que haya sido recurrida (Disco compacto obrante a folio 16, ib.)</w:t>
      </w:r>
      <w:r w:rsidR="005D3610">
        <w:rPr>
          <w:rFonts w:ascii="Arial" w:hAnsi="Arial"/>
          <w:lang w:val="es-CO"/>
        </w:rPr>
        <w:t>.</w:t>
      </w:r>
    </w:p>
    <w:p w:rsidR="00037259" w:rsidRDefault="00037259" w:rsidP="001660B5">
      <w:pPr>
        <w:widowControl/>
        <w:jc w:val="both"/>
        <w:rPr>
          <w:rFonts w:ascii="Arial" w:hAnsi="Arial"/>
          <w:lang w:val="es-CO"/>
        </w:rPr>
      </w:pPr>
    </w:p>
    <w:p w:rsidR="000473E8" w:rsidRPr="00A80FCC" w:rsidRDefault="00D10AEC" w:rsidP="000473E8">
      <w:pPr>
        <w:spacing w:line="360" w:lineRule="auto"/>
        <w:ind w:right="51"/>
        <w:jc w:val="both"/>
        <w:rPr>
          <w:rFonts w:ascii="Arial" w:hAnsi="Arial" w:cs="Arial"/>
        </w:rPr>
      </w:pPr>
      <w:r w:rsidRPr="0004784E">
        <w:rPr>
          <w:rFonts w:ascii="Arial" w:hAnsi="Arial" w:cs="Arial"/>
        </w:rPr>
        <w:t xml:space="preserve">En ese orden de ideas, </w:t>
      </w:r>
      <w:r w:rsidR="00963C96">
        <w:rPr>
          <w:rFonts w:ascii="Arial" w:hAnsi="Arial" w:cs="Arial"/>
        </w:rPr>
        <w:t xml:space="preserve">se tiene que </w:t>
      </w:r>
      <w:r w:rsidR="00963C96" w:rsidRPr="00403DB2">
        <w:rPr>
          <w:rFonts w:ascii="Arial" w:hAnsi="Arial" w:cs="Arial"/>
        </w:rPr>
        <w:t xml:space="preserve">la promoción </w:t>
      </w:r>
      <w:r w:rsidR="000473E8">
        <w:rPr>
          <w:rFonts w:ascii="Arial" w:hAnsi="Arial" w:cs="Arial"/>
        </w:rPr>
        <w:t xml:space="preserve">de los amparos radicados a los Nos. 2017-00234-00 y 2017-00237-00 fue </w:t>
      </w:r>
      <w:r w:rsidR="00963C96" w:rsidRPr="00403DB2">
        <w:rPr>
          <w:rFonts w:ascii="Arial" w:hAnsi="Arial" w:cs="Arial"/>
        </w:rPr>
        <w:t xml:space="preserve">prematura, porque </w:t>
      </w:r>
      <w:r w:rsidR="00D27466" w:rsidRPr="00403DB2">
        <w:rPr>
          <w:rFonts w:ascii="Arial" w:hAnsi="Arial" w:cs="Arial"/>
        </w:rPr>
        <w:t>los</w:t>
      </w:r>
      <w:r w:rsidR="00963C96" w:rsidRPr="00403DB2">
        <w:rPr>
          <w:rFonts w:ascii="Arial" w:hAnsi="Arial" w:cs="Arial"/>
        </w:rPr>
        <w:t xml:space="preserve"> </w:t>
      </w:r>
      <w:r w:rsidR="00081FDD" w:rsidRPr="00403DB2">
        <w:rPr>
          <w:rFonts w:ascii="Arial" w:hAnsi="Arial" w:cs="Arial"/>
        </w:rPr>
        <w:t>juicio</w:t>
      </w:r>
      <w:r w:rsidR="00D27466" w:rsidRPr="00403DB2">
        <w:rPr>
          <w:rFonts w:ascii="Arial" w:hAnsi="Arial" w:cs="Arial"/>
        </w:rPr>
        <w:t>s</w:t>
      </w:r>
      <w:r w:rsidR="005A4734">
        <w:rPr>
          <w:rFonts w:ascii="Arial" w:hAnsi="Arial" w:cs="Arial"/>
        </w:rPr>
        <w:t xml:space="preserve"> </w:t>
      </w:r>
      <w:r w:rsidR="000473E8">
        <w:rPr>
          <w:rFonts w:ascii="Arial" w:hAnsi="Arial" w:cs="Arial"/>
        </w:rPr>
        <w:t>Nos</w:t>
      </w:r>
      <w:r w:rsidR="00D573DB">
        <w:rPr>
          <w:rFonts w:ascii="Arial" w:hAnsi="Arial" w:cs="Arial"/>
        </w:rPr>
        <w:t>.</w:t>
      </w:r>
      <w:r w:rsidR="00E5535A">
        <w:rPr>
          <w:rFonts w:ascii="Arial" w:hAnsi="Arial" w:cs="Arial"/>
        </w:rPr>
        <w:t>2017-00061</w:t>
      </w:r>
      <w:r w:rsidR="000473E8">
        <w:rPr>
          <w:rFonts w:ascii="Arial" w:hAnsi="Arial" w:cs="Arial"/>
        </w:rPr>
        <w:t>-00</w:t>
      </w:r>
      <w:r w:rsidR="00E5535A">
        <w:rPr>
          <w:rFonts w:ascii="Arial" w:hAnsi="Arial" w:cs="Arial"/>
        </w:rPr>
        <w:t xml:space="preserve"> y 2017-00073</w:t>
      </w:r>
      <w:r w:rsidR="000473E8">
        <w:rPr>
          <w:rFonts w:ascii="Arial" w:hAnsi="Arial" w:cs="Arial"/>
        </w:rPr>
        <w:t>-00</w:t>
      </w:r>
      <w:r w:rsidR="00081FDD" w:rsidRPr="00403DB2">
        <w:rPr>
          <w:rFonts w:ascii="Arial" w:hAnsi="Arial" w:cs="Arial"/>
        </w:rPr>
        <w:t xml:space="preserve"> </w:t>
      </w:r>
      <w:r w:rsidR="00963C96" w:rsidRPr="00403DB2">
        <w:rPr>
          <w:rFonts w:ascii="Arial" w:hAnsi="Arial" w:cs="Arial"/>
        </w:rPr>
        <w:t xml:space="preserve">aún se </w:t>
      </w:r>
      <w:r w:rsidR="000473E8">
        <w:rPr>
          <w:rFonts w:ascii="Arial" w:hAnsi="Arial" w:cs="Arial"/>
        </w:rPr>
        <w:t>encontraban en trámite</w:t>
      </w:r>
      <w:r w:rsidR="00963C96" w:rsidRPr="00403DB2">
        <w:rPr>
          <w:rFonts w:ascii="Arial" w:hAnsi="Arial" w:cs="Arial"/>
        </w:rPr>
        <w:t xml:space="preserve">, </w:t>
      </w:r>
      <w:r w:rsidR="00C94C61" w:rsidRPr="00403DB2">
        <w:rPr>
          <w:rFonts w:ascii="Arial" w:hAnsi="Arial" w:cs="Arial"/>
        </w:rPr>
        <w:t xml:space="preserve">pues </w:t>
      </w:r>
      <w:r w:rsidR="000473E8">
        <w:rPr>
          <w:rFonts w:ascii="Arial" w:hAnsi="Arial" w:cs="Arial"/>
        </w:rPr>
        <w:t>los autos que los rechazaron aún no habían cobrado ejecutoria y podían ser recurridos por el actor, por manera que es evidente su improcedencia.</w:t>
      </w:r>
      <w:r w:rsidR="000473E8" w:rsidRPr="00A80FCC">
        <w:rPr>
          <w:rFonts w:ascii="Arial" w:hAnsi="Arial" w:cs="Arial"/>
        </w:rPr>
        <w:t xml:space="preserve"> Así lo ha dispuesto la jurisprudencia de la </w:t>
      </w:r>
      <w:r w:rsidR="000473E8">
        <w:rPr>
          <w:rFonts w:ascii="Arial" w:hAnsi="Arial" w:cs="Arial"/>
        </w:rPr>
        <w:t>CC</w:t>
      </w:r>
      <w:r w:rsidR="000473E8" w:rsidRPr="00A80FCC">
        <w:rPr>
          <w:rStyle w:val="Appelnotedebasdep"/>
          <w:rFonts w:ascii="Arial" w:hAnsi="Arial"/>
        </w:rPr>
        <w:footnoteReference w:id="18"/>
      </w:r>
      <w:r w:rsidR="000473E8" w:rsidRPr="00A80FCC">
        <w:rPr>
          <w:rFonts w:ascii="Arial" w:hAnsi="Arial" w:cs="Arial"/>
        </w:rPr>
        <w:t>, criterio también expuesto por la CSJ</w:t>
      </w:r>
      <w:r w:rsidR="000473E8" w:rsidRPr="00A80FCC">
        <w:rPr>
          <w:rStyle w:val="Appelnotedebasdep"/>
          <w:rFonts w:ascii="Arial" w:hAnsi="Arial"/>
        </w:rPr>
        <w:footnoteReference w:id="19"/>
      </w:r>
      <w:r w:rsidR="000473E8" w:rsidRPr="00A80FCC">
        <w:rPr>
          <w:rFonts w:ascii="Arial" w:hAnsi="Arial" w:cs="Arial"/>
        </w:rPr>
        <w:t>.</w:t>
      </w:r>
    </w:p>
    <w:p w:rsidR="000473E8" w:rsidRDefault="000473E8" w:rsidP="00D10AEC">
      <w:pPr>
        <w:spacing w:line="360" w:lineRule="auto"/>
        <w:jc w:val="both"/>
        <w:rPr>
          <w:rFonts w:ascii="Arial" w:hAnsi="Arial" w:cs="Arial"/>
        </w:rPr>
      </w:pPr>
      <w:r>
        <w:rPr>
          <w:rFonts w:ascii="Arial" w:hAnsi="Arial" w:cs="Arial"/>
        </w:rPr>
        <w:lastRenderedPageBreak/>
        <w:t xml:space="preserve">Respecto de la tutela radicada al No.2017-00240-00 se advierte que se </w:t>
      </w:r>
      <w:r w:rsidRPr="00403DB2">
        <w:rPr>
          <w:rFonts w:ascii="Arial" w:hAnsi="Arial" w:cs="Arial"/>
        </w:rPr>
        <w:t>pretermitió agotar el recurso de reposición</w:t>
      </w:r>
      <w:r>
        <w:rPr>
          <w:rFonts w:ascii="Arial" w:hAnsi="Arial" w:cs="Arial"/>
        </w:rPr>
        <w:t xml:space="preserve"> (Artículo 36, Ley 472)</w:t>
      </w:r>
      <w:r w:rsidRPr="00403DB2">
        <w:rPr>
          <w:rFonts w:ascii="Arial" w:hAnsi="Arial" w:cs="Arial"/>
        </w:rPr>
        <w:t>, frente a</w:t>
      </w:r>
      <w:r>
        <w:rPr>
          <w:rFonts w:ascii="Arial" w:hAnsi="Arial" w:cs="Arial"/>
        </w:rPr>
        <w:t>l proveído</w:t>
      </w:r>
      <w:r w:rsidRPr="00403DB2">
        <w:rPr>
          <w:rFonts w:ascii="Arial" w:hAnsi="Arial" w:cs="Arial"/>
        </w:rPr>
        <w:t xml:space="preserve"> que rechaz</w:t>
      </w:r>
      <w:r>
        <w:rPr>
          <w:rFonts w:ascii="Arial" w:hAnsi="Arial" w:cs="Arial"/>
        </w:rPr>
        <w:t>ó el trámite popular No.2017-00084-00</w:t>
      </w:r>
      <w:r w:rsidRPr="00403DB2">
        <w:rPr>
          <w:rFonts w:ascii="Arial" w:hAnsi="Arial" w:cs="Arial"/>
        </w:rPr>
        <w:t xml:space="preserve">, cuando ese era el mecanismo ordinario y expedito que tenía para procurar que el estrado judicial reconsiderara </w:t>
      </w:r>
      <w:r>
        <w:rPr>
          <w:rFonts w:ascii="Arial" w:hAnsi="Arial" w:cs="Arial"/>
        </w:rPr>
        <w:t>su decisión</w:t>
      </w:r>
      <w:r w:rsidRPr="00403DB2">
        <w:rPr>
          <w:rFonts w:ascii="Arial" w:hAnsi="Arial" w:cs="Arial"/>
        </w:rPr>
        <w:t>.</w:t>
      </w:r>
      <w:r>
        <w:rPr>
          <w:rFonts w:ascii="Arial" w:hAnsi="Arial" w:cs="Arial"/>
        </w:rPr>
        <w:t xml:space="preserve"> Al respecto </w:t>
      </w:r>
      <w:r w:rsidR="009D5231">
        <w:rPr>
          <w:rFonts w:ascii="Arial" w:hAnsi="Arial" w:cs="Arial"/>
        </w:rPr>
        <w:t>ha</w:t>
      </w:r>
      <w:r>
        <w:rPr>
          <w:rFonts w:ascii="Arial" w:hAnsi="Arial" w:cs="Arial"/>
        </w:rPr>
        <w:t xml:space="preserve"> dicho la CSJ</w:t>
      </w:r>
      <w:r>
        <w:rPr>
          <w:rStyle w:val="Appelnotedebasdep"/>
          <w:rFonts w:ascii="Arial" w:hAnsi="Arial"/>
        </w:rPr>
        <w:footnoteReference w:id="20"/>
      </w:r>
      <w:r>
        <w:rPr>
          <w:rFonts w:ascii="Arial" w:hAnsi="Arial" w:cs="Arial"/>
        </w:rPr>
        <w:t xml:space="preserve">: </w:t>
      </w:r>
    </w:p>
    <w:p w:rsidR="000473E8" w:rsidRPr="00021F29" w:rsidRDefault="000473E8" w:rsidP="00D10AEC">
      <w:pPr>
        <w:spacing w:line="360" w:lineRule="auto"/>
        <w:jc w:val="both"/>
        <w:rPr>
          <w:rFonts w:ascii="Arial" w:hAnsi="Arial" w:cs="Arial"/>
          <w:sz w:val="8"/>
        </w:rPr>
      </w:pPr>
    </w:p>
    <w:p w:rsidR="000473E8" w:rsidRPr="000473E8" w:rsidRDefault="000473E8" w:rsidP="000473E8">
      <w:pPr>
        <w:ind w:left="709"/>
        <w:jc w:val="both"/>
        <w:rPr>
          <w:rFonts w:ascii="Arial" w:hAnsi="Arial" w:cs="Arial"/>
          <w:bCs/>
          <w:sz w:val="28"/>
          <w:szCs w:val="28"/>
          <w:lang w:eastAsia="x-none"/>
        </w:rPr>
      </w:pPr>
      <w:r w:rsidRPr="000473E8">
        <w:rPr>
          <w:rFonts w:ascii="Arial" w:hAnsi="Arial"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0473E8" w:rsidRDefault="000473E8" w:rsidP="00D10AEC">
      <w:pPr>
        <w:spacing w:line="360" w:lineRule="auto"/>
        <w:jc w:val="both"/>
        <w:rPr>
          <w:rFonts w:ascii="Arial" w:hAnsi="Arial" w:cs="Arial"/>
        </w:rPr>
      </w:pPr>
    </w:p>
    <w:p w:rsidR="00D10AEC" w:rsidRDefault="00D10AEC" w:rsidP="00D10AEC">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CC,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21"/>
      </w:r>
      <w:r w:rsidR="00081FDD">
        <w:rPr>
          <w:rFonts w:ascii="Arial" w:hAnsi="Arial"/>
        </w:rPr>
        <w:t>, o cuando el asunto está pendiente de resolverse</w:t>
      </w:r>
      <w:r w:rsidRPr="00FF4929">
        <w:rPr>
          <w:rFonts w:ascii="Arial" w:hAnsi="Arial" w:cs="Arial"/>
          <w:sz w:val="22"/>
          <w:szCs w:val="22"/>
        </w:rPr>
        <w:t>.</w:t>
      </w:r>
    </w:p>
    <w:p w:rsidR="00D10AEC" w:rsidRPr="004B7598" w:rsidRDefault="00D10AEC" w:rsidP="00D10AEC">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2"/>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3"/>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 con uno de los siete (7) requisitos generales de procedibilidad, como lo es el de la subsidiariedad, pues no se formuló el recurso ordinario</w:t>
      </w:r>
      <w:r w:rsidR="00086DDB">
        <w:rPr>
          <w:rFonts w:ascii="Arial" w:hAnsi="Arial" w:cs="Arial"/>
          <w:lang w:val="es-ES_tradnl"/>
        </w:rPr>
        <w:t xml:space="preserve"> en relación al proceso 2017-00084</w:t>
      </w:r>
      <w:r w:rsidR="00081FDD">
        <w:rPr>
          <w:rFonts w:ascii="Arial" w:hAnsi="Arial" w:cs="Arial"/>
          <w:lang w:val="es-ES_tradnl"/>
        </w:rPr>
        <w:t xml:space="preserve"> y </w:t>
      </w:r>
      <w:r w:rsidR="00086DDB">
        <w:rPr>
          <w:rFonts w:ascii="Arial" w:hAnsi="Arial" w:cs="Arial"/>
          <w:lang w:val="es-ES_tradnl"/>
        </w:rPr>
        <w:t>los radicados 2017-0006</w:t>
      </w:r>
      <w:r w:rsidR="00825750">
        <w:rPr>
          <w:rFonts w:ascii="Arial" w:hAnsi="Arial" w:cs="Arial"/>
          <w:lang w:val="es-ES_tradnl"/>
        </w:rPr>
        <w:t>1</w:t>
      </w:r>
      <w:r w:rsidR="00086DDB">
        <w:rPr>
          <w:rFonts w:ascii="Arial" w:hAnsi="Arial" w:cs="Arial"/>
          <w:lang w:val="es-ES_tradnl"/>
        </w:rPr>
        <w:t xml:space="preserve"> y 2017-00073 </w:t>
      </w:r>
      <w:r w:rsidR="00081FDD">
        <w:rPr>
          <w:rFonts w:ascii="Arial" w:hAnsi="Arial" w:cs="Arial"/>
          <w:lang w:val="es-ES_tradnl"/>
        </w:rPr>
        <w:t xml:space="preserve">aún </w:t>
      </w:r>
      <w:r w:rsidR="00086DDB">
        <w:rPr>
          <w:rFonts w:ascii="Arial" w:hAnsi="Arial" w:cs="Arial"/>
          <w:lang w:val="es-ES_tradnl"/>
        </w:rPr>
        <w:t>se</w:t>
      </w:r>
      <w:r w:rsidR="00081FDD">
        <w:rPr>
          <w:rFonts w:ascii="Arial" w:hAnsi="Arial" w:cs="Arial"/>
          <w:lang w:val="es-ES_tradnl"/>
        </w:rPr>
        <w:t xml:space="preserve"> está</w:t>
      </w:r>
      <w:r w:rsidR="00086DDB">
        <w:rPr>
          <w:rFonts w:ascii="Arial" w:hAnsi="Arial" w:cs="Arial"/>
          <w:lang w:val="es-ES_tradnl"/>
        </w:rPr>
        <w:t>n</w:t>
      </w:r>
      <w:r w:rsidR="00081FDD">
        <w:rPr>
          <w:rFonts w:ascii="Arial" w:hAnsi="Arial" w:cs="Arial"/>
          <w:lang w:val="es-ES_tradnl"/>
        </w:rPr>
        <w:t xml:space="preserve"> tramitando</w:t>
      </w:r>
      <w:r>
        <w:rPr>
          <w:rFonts w:ascii="Arial" w:hAnsi="Arial"/>
        </w:rPr>
        <w:t>.</w:t>
      </w:r>
    </w:p>
    <w:p w:rsidR="006B32B6" w:rsidRDefault="006B32B6" w:rsidP="00D10AEC">
      <w:pPr>
        <w:spacing w:line="360" w:lineRule="auto"/>
        <w:ind w:right="51"/>
        <w:jc w:val="both"/>
        <w:rPr>
          <w:rFonts w:ascii="Arial" w:hAnsi="Arial"/>
        </w:rPr>
      </w:pPr>
    </w:p>
    <w:p w:rsidR="006B32B6" w:rsidRPr="00AF7EE8" w:rsidRDefault="006B32B6" w:rsidP="006B32B6">
      <w:pPr>
        <w:spacing w:line="360" w:lineRule="auto"/>
        <w:jc w:val="both"/>
        <w:rPr>
          <w:rFonts w:ascii="Arial" w:hAnsi="Arial" w:cs="Arial"/>
          <w:i/>
          <w:sz w:val="22"/>
        </w:rPr>
      </w:pPr>
      <w:r w:rsidRPr="00DD0773">
        <w:rPr>
          <w:rFonts w:ascii="Arial" w:hAnsi="Arial" w:cs="Arial"/>
        </w:rPr>
        <w:t>No desconoce la Sala las recientes decisiones de la CSJ</w:t>
      </w:r>
      <w:r w:rsidRPr="00DD0773">
        <w:rPr>
          <w:rStyle w:val="Appelnotedebasdep"/>
          <w:rFonts w:ascii="Arial" w:hAnsi="Arial" w:cs="Arial"/>
        </w:rPr>
        <w:footnoteReference w:id="24"/>
      </w:r>
      <w:r w:rsidRPr="00DD0773">
        <w:rPr>
          <w:rFonts w:ascii="Arial" w:hAnsi="Arial" w:cs="Arial"/>
        </w:rPr>
        <w:t xml:space="preserve">, mediante la cuales concedió el amparo de los derechos fundamentales, en asuntos con identidad de hechos, pretensiones y partes, sin embargo, </w:t>
      </w:r>
      <w:r>
        <w:rPr>
          <w:rFonts w:ascii="Arial" w:hAnsi="Arial" w:cs="Arial"/>
        </w:rPr>
        <w:t xml:space="preserve">son </w:t>
      </w:r>
      <w:r w:rsidRPr="00DD0773">
        <w:rPr>
          <w:rFonts w:ascii="Arial" w:hAnsi="Arial" w:cs="Arial"/>
        </w:rPr>
        <w:t xml:space="preserve">sentencias que no representan la línea predominante de </w:t>
      </w:r>
      <w:r>
        <w:rPr>
          <w:rFonts w:ascii="Arial" w:hAnsi="Arial" w:cs="Arial"/>
        </w:rPr>
        <w:t>esa superioridad j</w:t>
      </w:r>
      <w:r w:rsidRPr="00DD0773">
        <w:rPr>
          <w:rFonts w:ascii="Arial" w:hAnsi="Arial" w:cs="Arial"/>
        </w:rPr>
        <w:t xml:space="preserve">erárquica, que en reiteradas providencias ha </w:t>
      </w:r>
      <w:r w:rsidRPr="00DD0773">
        <w:rPr>
          <w:rFonts w:ascii="Arial" w:hAnsi="Arial" w:cs="Arial"/>
        </w:rPr>
        <w:lastRenderedPageBreak/>
        <w:t>avalado la improcedencia del amparo por faltar el presupuesto de la subsidiariedad</w:t>
      </w:r>
      <w:r w:rsidRPr="00DD0773">
        <w:rPr>
          <w:rStyle w:val="Appelnotedebasdep"/>
          <w:rFonts w:ascii="Arial" w:hAnsi="Arial" w:cs="Arial"/>
        </w:rPr>
        <w:footnoteReference w:id="25"/>
      </w:r>
      <w:r w:rsidRPr="00DD0773">
        <w:rPr>
          <w:rFonts w:ascii="Arial" w:hAnsi="Arial" w:cs="Arial"/>
        </w:rPr>
        <w:t xml:space="preserve">, </w:t>
      </w:r>
      <w:r>
        <w:rPr>
          <w:rFonts w:ascii="Arial" w:hAnsi="Arial" w:cs="Arial"/>
        </w:rPr>
        <w:t xml:space="preserve">incluso frente a situaciones idénticas (No recurrir el auto que rechazó la acción popular), además, no mencionan las sentencias disidentes un cambio de doctrina, tal como dispone el artículo 7º-2º del CGP: </w:t>
      </w:r>
      <w:r w:rsidRPr="00AF7EE8">
        <w:rPr>
          <w:rFonts w:ascii="Arial" w:hAnsi="Arial" w:cs="Arial"/>
          <w:i/>
          <w:sz w:val="22"/>
        </w:rPr>
        <w:t>“(…) Cuando el juez se aparte de la doctrina probable, estará obligado a exponer clara y razonadamente los fundamentos jurídicos que justifican su decisión. De la misma manera procederá cuando cambie de criterio en relación con sus decisiones en casos análogos (…)”.</w:t>
      </w:r>
    </w:p>
    <w:p w:rsidR="004D732D" w:rsidRDefault="004D732D" w:rsidP="00566506">
      <w:pPr>
        <w:widowControl/>
        <w:spacing w:line="360" w:lineRule="auto"/>
        <w:jc w:val="both"/>
        <w:rPr>
          <w:rFonts w:ascii="Arial" w:hAnsi="Arial"/>
          <w:sz w:val="20"/>
          <w:lang w:val="es-CO"/>
        </w:rPr>
      </w:pPr>
    </w:p>
    <w:p w:rsidR="0012509F" w:rsidRPr="0012509F" w:rsidRDefault="0012509F" w:rsidP="0012509F">
      <w:pPr>
        <w:pStyle w:val="Paragraphedeliste"/>
        <w:widowControl/>
        <w:numPr>
          <w:ilvl w:val="1"/>
          <w:numId w:val="18"/>
        </w:numPr>
        <w:spacing w:line="360" w:lineRule="auto"/>
        <w:jc w:val="both"/>
        <w:rPr>
          <w:rFonts w:ascii="Arial" w:hAnsi="Arial"/>
          <w:smallCaps/>
          <w:lang w:val="es-CO"/>
        </w:rPr>
      </w:pPr>
      <w:r w:rsidRPr="0012509F">
        <w:rPr>
          <w:rFonts w:ascii="Arial" w:hAnsi="Arial"/>
          <w:smallCaps/>
          <w:lang w:val="es-CO"/>
        </w:rPr>
        <w:t xml:space="preserve">La Inexistencia de hechos </w:t>
      </w:r>
    </w:p>
    <w:p w:rsidR="0012509F" w:rsidRPr="0012509F" w:rsidRDefault="0012509F" w:rsidP="0012509F">
      <w:pPr>
        <w:pStyle w:val="Paragraphedeliste"/>
        <w:widowControl/>
        <w:spacing w:line="360" w:lineRule="auto"/>
        <w:ind w:left="720"/>
        <w:jc w:val="both"/>
        <w:rPr>
          <w:rFonts w:ascii="Arial" w:hAnsi="Arial"/>
          <w:smallCaps/>
          <w:sz w:val="20"/>
          <w:lang w:val="es-CO"/>
        </w:rPr>
      </w:pPr>
    </w:p>
    <w:p w:rsidR="000A23B9" w:rsidRPr="000A23B9" w:rsidRDefault="000A23B9" w:rsidP="000A23B9">
      <w:pPr>
        <w:spacing w:line="360" w:lineRule="auto"/>
        <w:jc w:val="both"/>
        <w:rPr>
          <w:rFonts w:ascii="Arial" w:hAnsi="Arial" w:cs="Arial"/>
        </w:rPr>
      </w:pPr>
      <w:r w:rsidRPr="000A23B9">
        <w:rPr>
          <w:rFonts w:ascii="Arial" w:hAnsi="Arial"/>
          <w:lang w:val="es-CO"/>
        </w:rPr>
        <w:t>Finalmente, en torno a los amparos presentados contra la CSJ Seccional Risaralda, halla la Sala</w:t>
      </w:r>
      <w:r>
        <w:rPr>
          <w:rFonts w:ascii="Arial" w:hAnsi="Arial"/>
          <w:lang w:val="es-CO"/>
        </w:rPr>
        <w:t>,</w:t>
      </w:r>
      <w:r w:rsidRPr="000A23B9">
        <w:rPr>
          <w:rFonts w:ascii="Arial" w:hAnsi="Arial"/>
          <w:lang w:val="es-CO"/>
        </w:rPr>
        <w:t xml:space="preserve"> sin mayor </w:t>
      </w:r>
      <w:r>
        <w:rPr>
          <w:rFonts w:ascii="Arial" w:hAnsi="Arial"/>
          <w:lang w:val="es-CO"/>
        </w:rPr>
        <w:t>análisis,</w:t>
      </w:r>
      <w:r w:rsidRPr="000A23B9">
        <w:rPr>
          <w:rFonts w:ascii="Arial" w:hAnsi="Arial"/>
          <w:lang w:val="es-CO"/>
        </w:rPr>
        <w:t xml:space="preserve"> que también debe</w:t>
      </w:r>
      <w:r>
        <w:rPr>
          <w:rFonts w:ascii="Arial" w:hAnsi="Arial"/>
          <w:lang w:val="es-CO"/>
        </w:rPr>
        <w:t>n</w:t>
      </w:r>
      <w:r w:rsidRPr="000A23B9">
        <w:rPr>
          <w:rFonts w:ascii="Arial" w:hAnsi="Arial"/>
          <w:lang w:val="es-CO"/>
        </w:rPr>
        <w:t xml:space="preserve"> declararse </w:t>
      </w:r>
      <w:r>
        <w:rPr>
          <w:rFonts w:ascii="Arial" w:hAnsi="Arial"/>
          <w:lang w:val="es-CO"/>
        </w:rPr>
        <w:t>improcedentes</w:t>
      </w:r>
      <w:r w:rsidRPr="000A23B9">
        <w:rPr>
          <w:rFonts w:ascii="Arial" w:hAnsi="Arial"/>
          <w:lang w:val="es-CO"/>
        </w:rPr>
        <w:t xml:space="preserve">, por cuenta de la inexistencia de hechos vulneradores de los derechos fundamentales invocados; el accionante no </w:t>
      </w:r>
      <w:r>
        <w:rPr>
          <w:rFonts w:ascii="Arial" w:hAnsi="Arial"/>
          <w:lang w:val="es-CO"/>
        </w:rPr>
        <w:t xml:space="preserve">tuvo a bien acercar </w:t>
      </w:r>
      <w:r w:rsidRPr="000A23B9">
        <w:rPr>
          <w:rFonts w:ascii="Arial" w:hAnsi="Arial"/>
          <w:lang w:val="es-CO"/>
        </w:rPr>
        <w:t xml:space="preserve">con los petitorios de tutela </w:t>
      </w:r>
      <w:r>
        <w:rPr>
          <w:rFonts w:ascii="Arial" w:hAnsi="Arial"/>
          <w:lang w:val="es-CO"/>
        </w:rPr>
        <w:t xml:space="preserve">documentos que acreditaran la presentación de </w:t>
      </w:r>
      <w:r w:rsidRPr="000A23B9">
        <w:rPr>
          <w:rFonts w:ascii="Arial" w:hAnsi="Arial"/>
          <w:lang w:val="es-CO"/>
        </w:rPr>
        <w:t xml:space="preserve">las solicitudes de vigilancia administrativa y </w:t>
      </w:r>
      <w:r>
        <w:rPr>
          <w:rFonts w:ascii="Arial" w:hAnsi="Arial"/>
          <w:lang w:val="es-CO"/>
        </w:rPr>
        <w:t xml:space="preserve">por el contrario </w:t>
      </w:r>
      <w:r w:rsidRPr="000A23B9">
        <w:rPr>
          <w:rFonts w:ascii="Arial" w:hAnsi="Arial"/>
          <w:lang w:val="es-CO"/>
        </w:rPr>
        <w:t>la autoridad accionada fue clara en afirmar que no ha recibido ninguna petición relacionada con las acciones populares Nos.2017-00061-00, 2017-00073-00 y 2017-00084-00 (Folio 19, ib.)</w:t>
      </w:r>
      <w:r w:rsidRPr="000A23B9">
        <w:rPr>
          <w:rFonts w:ascii="Arial" w:hAnsi="Arial" w:cs="Arial"/>
        </w:rPr>
        <w:t>.</w:t>
      </w:r>
    </w:p>
    <w:p w:rsidR="000A23B9" w:rsidRPr="004B7598" w:rsidRDefault="000A23B9" w:rsidP="00566506">
      <w:pPr>
        <w:widowControl/>
        <w:spacing w:line="360" w:lineRule="auto"/>
        <w:jc w:val="both"/>
        <w:rPr>
          <w:rFonts w:ascii="Arial" w:hAnsi="Arial"/>
          <w:sz w:val="20"/>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Default="00511FE0" w:rsidP="00424EC5">
      <w:pPr>
        <w:pStyle w:val="Corpsdetexte"/>
        <w:spacing w:line="360" w:lineRule="auto"/>
        <w:rPr>
          <w:rFonts w:ascii="Arial" w:hAnsi="Arial" w:cs="Arial"/>
          <w:sz w:val="20"/>
          <w:szCs w:val="24"/>
          <w:lang w:val="es-ES"/>
        </w:rPr>
      </w:pPr>
    </w:p>
    <w:p w:rsidR="00424EC5" w:rsidRDefault="00EE70D2" w:rsidP="000A23B9">
      <w:pPr>
        <w:spacing w:line="360" w:lineRule="auto"/>
        <w:jc w:val="both"/>
        <w:rPr>
          <w:rFonts w:ascii="Arial" w:hAnsi="Arial" w:cs="Arial"/>
        </w:rPr>
      </w:pPr>
      <w:r w:rsidRPr="00842D42">
        <w:rPr>
          <w:rFonts w:ascii="Arial" w:hAnsi="Arial" w:cs="Arial"/>
        </w:rPr>
        <w:t xml:space="preserve">Con </w:t>
      </w:r>
      <w:r w:rsidR="00511FE0">
        <w:rPr>
          <w:rFonts w:ascii="Arial" w:hAnsi="Arial" w:cs="Arial"/>
        </w:rPr>
        <w:t xml:space="preserve"> </w:t>
      </w:r>
      <w:r w:rsidRPr="00842D42">
        <w:rPr>
          <w:rFonts w:ascii="Arial" w:hAnsi="Arial" w:cs="Arial"/>
        </w:rPr>
        <w:t xml:space="preserve">fundamento </w:t>
      </w:r>
      <w:r w:rsidR="00511FE0">
        <w:rPr>
          <w:rFonts w:ascii="Arial" w:hAnsi="Arial" w:cs="Arial"/>
        </w:rPr>
        <w:t xml:space="preserve"> </w:t>
      </w:r>
      <w:r w:rsidRPr="00842D42">
        <w:rPr>
          <w:rFonts w:ascii="Arial" w:hAnsi="Arial" w:cs="Arial"/>
        </w:rPr>
        <w:t xml:space="preserve">en </w:t>
      </w:r>
      <w:r w:rsidR="00511FE0">
        <w:rPr>
          <w:rFonts w:ascii="Arial" w:hAnsi="Arial" w:cs="Arial"/>
        </w:rPr>
        <w:t xml:space="preserve"> </w:t>
      </w:r>
      <w:r w:rsidRPr="00842D42">
        <w:rPr>
          <w:rFonts w:ascii="Arial" w:hAnsi="Arial" w:cs="Arial"/>
        </w:rPr>
        <w:t xml:space="preserve">las </w:t>
      </w:r>
      <w:r w:rsidR="00511FE0">
        <w:rPr>
          <w:rFonts w:ascii="Arial" w:hAnsi="Arial" w:cs="Arial"/>
        </w:rPr>
        <w:t xml:space="preserve"> </w:t>
      </w:r>
      <w:r w:rsidRPr="00842D42">
        <w:rPr>
          <w:rFonts w:ascii="Arial" w:hAnsi="Arial" w:cs="Arial"/>
        </w:rPr>
        <w:t xml:space="preserve">consideraciones </w:t>
      </w:r>
      <w:r w:rsidR="00511FE0">
        <w:rPr>
          <w:rFonts w:ascii="Arial" w:hAnsi="Arial" w:cs="Arial"/>
        </w:rPr>
        <w:t xml:space="preserve"> </w:t>
      </w:r>
      <w:r w:rsidRPr="00842D42">
        <w:rPr>
          <w:rFonts w:ascii="Arial" w:hAnsi="Arial" w:cs="Arial"/>
        </w:rPr>
        <w:t>expuestas</w:t>
      </w:r>
      <w:r>
        <w:rPr>
          <w:rFonts w:ascii="Arial" w:hAnsi="Arial" w:cs="Arial"/>
        </w:rPr>
        <w:t xml:space="preserve"> </w:t>
      </w:r>
      <w:r w:rsidR="007D0ECC">
        <w:rPr>
          <w:rFonts w:ascii="Arial" w:hAnsi="Arial" w:cs="Arial"/>
        </w:rPr>
        <w:t>se</w:t>
      </w:r>
      <w:r w:rsidR="00357C99">
        <w:rPr>
          <w:rFonts w:ascii="Arial" w:hAnsi="Arial" w:cs="Arial"/>
        </w:rPr>
        <w:t xml:space="preserve"> </w:t>
      </w:r>
      <w:r w:rsidR="00511FE0">
        <w:rPr>
          <w:rFonts w:ascii="Arial" w:hAnsi="Arial" w:cs="Arial"/>
        </w:rPr>
        <w:t xml:space="preserve"> </w:t>
      </w:r>
      <w:r w:rsidR="00AA2028">
        <w:rPr>
          <w:rFonts w:ascii="Arial" w:hAnsi="Arial" w:cs="Arial"/>
        </w:rPr>
        <w:t>declarará</w:t>
      </w:r>
      <w:r w:rsidR="000A23B9">
        <w:rPr>
          <w:rFonts w:ascii="Arial" w:hAnsi="Arial" w:cs="Arial"/>
        </w:rPr>
        <w:t>n</w:t>
      </w:r>
      <w:r w:rsidR="00511FE0">
        <w:rPr>
          <w:rFonts w:ascii="Arial" w:hAnsi="Arial" w:cs="Arial"/>
        </w:rPr>
        <w:t xml:space="preserve"> </w:t>
      </w:r>
      <w:r w:rsidR="00AA2028">
        <w:rPr>
          <w:rFonts w:ascii="Arial" w:hAnsi="Arial" w:cs="Arial"/>
        </w:rPr>
        <w:t>improcedente</w:t>
      </w:r>
      <w:r w:rsidR="000A23B9">
        <w:rPr>
          <w:rFonts w:ascii="Arial" w:hAnsi="Arial" w:cs="Arial"/>
        </w:rPr>
        <w:t>s</w:t>
      </w:r>
      <w:r w:rsidR="00AA2028">
        <w:rPr>
          <w:rFonts w:ascii="Arial" w:hAnsi="Arial" w:cs="Arial"/>
        </w:rPr>
        <w:t xml:space="preserve"> </w:t>
      </w:r>
      <w:r w:rsidR="000A23B9">
        <w:rPr>
          <w:rFonts w:ascii="Arial" w:hAnsi="Arial" w:cs="Arial"/>
        </w:rPr>
        <w:t xml:space="preserve">las tutelas </w:t>
      </w:r>
      <w:r w:rsidR="007D0ECC">
        <w:rPr>
          <w:rFonts w:ascii="Arial" w:hAnsi="Arial" w:cs="Arial"/>
        </w:rPr>
        <w:t xml:space="preserve">frente al </w:t>
      </w:r>
      <w:r w:rsidR="00E45E01">
        <w:rPr>
          <w:rFonts w:ascii="Arial" w:hAnsi="Arial" w:cs="Arial"/>
        </w:rPr>
        <w:t xml:space="preserve">Juzgado Promiscuo del Circuito de </w:t>
      </w:r>
      <w:r w:rsidR="000A23B9">
        <w:rPr>
          <w:rFonts w:ascii="Arial" w:hAnsi="Arial" w:cs="Arial"/>
        </w:rPr>
        <w:t xml:space="preserve">La </w:t>
      </w:r>
      <w:r w:rsidR="00E45E01">
        <w:rPr>
          <w:rFonts w:ascii="Arial" w:hAnsi="Arial" w:cs="Arial"/>
        </w:rPr>
        <w:t>Virginia</w:t>
      </w:r>
      <w:r w:rsidR="000A23B9">
        <w:rPr>
          <w:rFonts w:ascii="Arial" w:hAnsi="Arial" w:cs="Arial"/>
        </w:rPr>
        <w:t>, R. y la Sala Administrativa de la CSJ, Seccional Risaralda</w:t>
      </w:r>
      <w:r w:rsidR="00B1322D">
        <w:rPr>
          <w:rFonts w:ascii="Arial" w:hAnsi="Arial" w:cs="Arial"/>
        </w:rPr>
        <w:t>.</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9D5231" w:rsidRPr="009D5231" w:rsidRDefault="009D5231" w:rsidP="00FF5B57">
      <w:pPr>
        <w:pStyle w:val="Corpsdetexte"/>
        <w:spacing w:line="360" w:lineRule="auto"/>
        <w:jc w:val="center"/>
        <w:rPr>
          <w:rFonts w:ascii="Arial" w:hAnsi="Arial" w:cs="Arial"/>
          <w:bCs/>
          <w:smallCaps/>
          <w:sz w:val="2"/>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9D5231" w:rsidRPr="00A30437" w:rsidRDefault="009D5231" w:rsidP="00FF5B57">
      <w:pPr>
        <w:pStyle w:val="Corpsdetexte"/>
        <w:spacing w:line="360" w:lineRule="auto"/>
        <w:jc w:val="center"/>
        <w:rPr>
          <w:rFonts w:ascii="Arial" w:hAnsi="Arial" w:cs="Arial"/>
          <w:bCs/>
          <w:smallCaps/>
          <w:szCs w:val="24"/>
        </w:rPr>
      </w:pPr>
    </w:p>
    <w:p w:rsidR="00357C99"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000A23B9">
        <w:rPr>
          <w:rFonts w:ascii="Arial" w:hAnsi="Arial" w:cs="Arial"/>
        </w:rPr>
        <w:t>s</w:t>
      </w:r>
      <w:r w:rsidRPr="00C86CC1">
        <w:rPr>
          <w:rFonts w:ascii="Arial" w:hAnsi="Arial" w:cs="Arial"/>
        </w:rPr>
        <w:t xml:space="preserve"> </w:t>
      </w:r>
      <w:r w:rsidR="00AA2028">
        <w:rPr>
          <w:rFonts w:ascii="Arial" w:hAnsi="Arial" w:cs="Arial"/>
        </w:rPr>
        <w:t>la</w:t>
      </w:r>
      <w:r w:rsidR="000A23B9">
        <w:rPr>
          <w:rFonts w:ascii="Arial" w:hAnsi="Arial" w:cs="Arial"/>
        </w:rPr>
        <w:t>s</w:t>
      </w:r>
      <w:r w:rsidR="00AA2028">
        <w:rPr>
          <w:rFonts w:ascii="Arial" w:hAnsi="Arial" w:cs="Arial"/>
        </w:rPr>
        <w:t xml:space="preserve"> </w:t>
      </w:r>
      <w:r w:rsidR="00AE6C59" w:rsidRPr="00C86CC1">
        <w:rPr>
          <w:rFonts w:ascii="Arial" w:hAnsi="Arial" w:cs="Arial"/>
        </w:rPr>
        <w:t>tutela</w:t>
      </w:r>
      <w:r w:rsidR="000A23B9">
        <w:rPr>
          <w:rFonts w:ascii="Arial" w:hAnsi="Arial" w:cs="Arial"/>
        </w:rPr>
        <w:t>s</w:t>
      </w:r>
      <w:r w:rsidRPr="00C86CC1">
        <w:rPr>
          <w:rFonts w:ascii="Arial" w:hAnsi="Arial" w:cs="Arial"/>
        </w:rPr>
        <w:t xml:space="preserve"> </w:t>
      </w:r>
      <w:r w:rsidR="00AE6C59" w:rsidRPr="00C86CC1">
        <w:rPr>
          <w:rFonts w:ascii="Arial" w:hAnsi="Arial" w:cs="Arial"/>
        </w:rPr>
        <w:t>propuesta</w:t>
      </w:r>
      <w:r w:rsidR="000A23B9">
        <w:rPr>
          <w:rFonts w:ascii="Arial" w:hAnsi="Arial" w:cs="Arial"/>
        </w:rPr>
        <w:t>s</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E45E01">
        <w:rPr>
          <w:rFonts w:ascii="Arial" w:hAnsi="Arial" w:cs="Arial"/>
        </w:rPr>
        <w:t xml:space="preserve">Juzgado Promiscuo del Circuito de </w:t>
      </w:r>
      <w:r w:rsidR="000A23B9">
        <w:rPr>
          <w:rFonts w:ascii="Arial" w:hAnsi="Arial" w:cs="Arial"/>
        </w:rPr>
        <w:t xml:space="preserve">La </w:t>
      </w:r>
      <w:r w:rsidR="00E45E01">
        <w:rPr>
          <w:rFonts w:ascii="Arial" w:hAnsi="Arial" w:cs="Arial"/>
        </w:rPr>
        <w:t>Virginia</w:t>
      </w:r>
      <w:r w:rsidR="000A23B9">
        <w:rPr>
          <w:rFonts w:ascii="Arial" w:hAnsi="Arial" w:cs="Arial"/>
        </w:rPr>
        <w:t>, R. y la Sala Administrativa de la CSJ, Seccional Risaralda.</w:t>
      </w:r>
    </w:p>
    <w:p w:rsidR="006B32B6" w:rsidRPr="00C86CC1" w:rsidRDefault="006B32B6" w:rsidP="006B32B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6B32B6" w:rsidRDefault="006B32B6" w:rsidP="006B32B6">
      <w:pPr>
        <w:pStyle w:val="Corpsdetexte"/>
        <w:tabs>
          <w:tab w:val="clear" w:pos="708"/>
        </w:tabs>
        <w:spacing w:line="360" w:lineRule="auto"/>
        <w:ind w:left="360"/>
        <w:rPr>
          <w:rFonts w:ascii="Arial" w:hAnsi="Arial" w:cs="Arial"/>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lastRenderedPageBreak/>
        <w:t>REMITIR este expediente, a la Corte Constitucional para su eventual revisión, de no ser impugnada.</w:t>
      </w:r>
    </w:p>
    <w:p w:rsidR="006B32B6" w:rsidRPr="006B32B6" w:rsidRDefault="006B32B6" w:rsidP="006B32B6">
      <w:pPr>
        <w:widowControl/>
        <w:tabs>
          <w:tab w:val="num" w:pos="360"/>
        </w:tabs>
        <w:autoSpaceDE/>
        <w:autoSpaceDN/>
        <w:adjustRightInd/>
        <w:spacing w:line="360" w:lineRule="auto"/>
        <w:ind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6B32B6" w:rsidRDefault="006B32B6" w:rsidP="00417DA5">
      <w:pPr>
        <w:pStyle w:val="Corpsdetexte"/>
        <w:spacing w:line="360" w:lineRule="auto"/>
        <w:jc w:val="center"/>
        <w:rPr>
          <w:rFonts w:ascii="Arial" w:hAnsi="Arial"/>
          <w:smallCaps/>
          <w:szCs w:val="24"/>
          <w:lang w:val="en-US"/>
        </w:rPr>
      </w:pPr>
    </w:p>
    <w:p w:rsidR="006B32B6" w:rsidRDefault="006B32B6" w:rsidP="00417DA5">
      <w:pPr>
        <w:pStyle w:val="Corpsdetexte"/>
        <w:spacing w:line="360" w:lineRule="auto"/>
        <w:jc w:val="center"/>
        <w:rPr>
          <w:rFonts w:ascii="Arial" w:hAnsi="Arial"/>
          <w:smallCaps/>
          <w:szCs w:val="24"/>
          <w:lang w:val="en-US"/>
        </w:rPr>
      </w:pPr>
    </w:p>
    <w:p w:rsidR="004B7598" w:rsidRPr="004B7598" w:rsidRDefault="004B7598"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D5231" w:rsidRDefault="009D5231" w:rsidP="009D5231">
      <w:pPr>
        <w:pStyle w:val="Corpsdetexte"/>
        <w:spacing w:line="360" w:lineRule="auto"/>
        <w:jc w:val="center"/>
        <w:rPr>
          <w:rFonts w:ascii="Arial" w:hAnsi="Arial"/>
          <w:smallCaps/>
          <w:szCs w:val="24"/>
          <w:lang w:val="en-US"/>
        </w:rPr>
      </w:pPr>
    </w:p>
    <w:p w:rsidR="009D5231" w:rsidRDefault="009D5231" w:rsidP="009D5231">
      <w:pPr>
        <w:pStyle w:val="Corpsdetexte"/>
        <w:spacing w:line="360" w:lineRule="auto"/>
        <w:jc w:val="center"/>
        <w:rPr>
          <w:rFonts w:ascii="Arial" w:hAnsi="Arial"/>
          <w:smallCaps/>
          <w:szCs w:val="24"/>
          <w:lang w:val="en-US"/>
        </w:rPr>
      </w:pPr>
    </w:p>
    <w:p w:rsidR="009D5231" w:rsidRPr="004B7598" w:rsidRDefault="009D5231" w:rsidP="009D5231">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9D5231">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85" w:rsidRDefault="00331C85" w:rsidP="0099045D">
      <w:r>
        <w:separator/>
      </w:r>
    </w:p>
  </w:endnote>
  <w:endnote w:type="continuationSeparator" w:id="0">
    <w:p w:rsidR="00331C85" w:rsidRDefault="00331C8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85" w:rsidRDefault="00331C85" w:rsidP="0099045D">
      <w:r>
        <w:separator/>
      </w:r>
    </w:p>
  </w:footnote>
  <w:footnote w:type="continuationSeparator" w:id="0">
    <w:p w:rsidR="00331C85" w:rsidRDefault="00331C85" w:rsidP="0099045D">
      <w:r>
        <w:continuationSeparator/>
      </w:r>
    </w:p>
  </w:footnote>
  <w:footnote w:id="1">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1660B5">
        <w:rPr>
          <w:rFonts w:asciiTheme="minorHAnsi" w:hAnsiTheme="minorHAnsi" w:cs="Calibri"/>
          <w:spacing w:val="-6"/>
        </w:rPr>
        <w:t xml:space="preserve"> QUINCHE R., Manuel F. Vías de hecho, acción de tutela contra providencias, Editorial Temis SA, Bogotá, 2013, p.103.</w:t>
      </w:r>
    </w:p>
  </w:footnote>
  <w:footnote w:id="2">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CF0ADC" w:rsidRPr="002C4ED3"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C4ED3">
        <w:rPr>
          <w:rFonts w:asciiTheme="minorHAnsi" w:hAnsiTheme="minorHAnsi" w:cs="Calibri"/>
          <w:lang w:val="fr-FR"/>
        </w:rPr>
        <w:t xml:space="preserve"> CC. T-917 de 2011.</w:t>
      </w:r>
    </w:p>
  </w:footnote>
  <w:footnote w:id="4">
    <w:p w:rsidR="00CF0ADC" w:rsidRPr="002C4ED3"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C4ED3">
        <w:rPr>
          <w:rFonts w:asciiTheme="minorHAnsi" w:hAnsiTheme="minorHAnsi" w:cs="Calibri"/>
          <w:lang w:val="fr-FR"/>
        </w:rPr>
        <w:t xml:space="preserve"> CC. C-590 de 2005.</w:t>
      </w:r>
    </w:p>
  </w:footnote>
  <w:footnote w:id="5">
    <w:p w:rsidR="00CF0ADC" w:rsidRPr="002C4ED3" w:rsidRDefault="00CF0ADC" w:rsidP="00CF0AD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2C4ED3">
        <w:rPr>
          <w:rFonts w:asciiTheme="minorHAnsi" w:hAnsiTheme="minorHAnsi" w:cs="Calibri"/>
          <w:lang w:val="fr-FR"/>
        </w:rPr>
        <w:t xml:space="preserve"> CC. </w:t>
      </w:r>
      <w:r w:rsidRPr="002C4ED3">
        <w:rPr>
          <w:rFonts w:asciiTheme="minorHAnsi" w:hAnsiTheme="minorHAnsi" w:cs="Calibri"/>
          <w:bCs/>
          <w:lang w:val="fr-FR"/>
        </w:rPr>
        <w:t>SU-222 de 2016</w:t>
      </w:r>
      <w:r w:rsidRPr="002C4ED3">
        <w:rPr>
          <w:rFonts w:asciiTheme="minorHAnsi" w:hAnsiTheme="minorHAnsi" w:cs="Calibri"/>
          <w:lang w:val="fr-FR"/>
        </w:rPr>
        <w:t>.</w:t>
      </w:r>
    </w:p>
  </w:footnote>
  <w:footnote w:id="6">
    <w:p w:rsidR="00CF0ADC" w:rsidRPr="002C4ED3" w:rsidRDefault="00CF0ADC" w:rsidP="00CF0ADC">
      <w:pPr>
        <w:pStyle w:val="Notedebasdepage"/>
        <w:rPr>
          <w:rFonts w:asciiTheme="minorHAnsi" w:hAnsiTheme="minorHAnsi"/>
          <w:lang w:val="fr-FR"/>
        </w:rPr>
      </w:pPr>
      <w:r w:rsidRPr="00E17BD7">
        <w:rPr>
          <w:rStyle w:val="Appelnotedebasdep"/>
          <w:rFonts w:asciiTheme="minorHAnsi" w:hAnsiTheme="minorHAnsi"/>
        </w:rPr>
        <w:footnoteRef/>
      </w:r>
      <w:r w:rsidRPr="002C4ED3">
        <w:rPr>
          <w:rFonts w:asciiTheme="minorHAnsi" w:hAnsiTheme="minorHAnsi"/>
          <w:lang w:val="fr-FR"/>
        </w:rPr>
        <w:t xml:space="preserve"> </w:t>
      </w:r>
      <w:r w:rsidRPr="002C4ED3">
        <w:rPr>
          <w:rFonts w:asciiTheme="minorHAnsi" w:hAnsiTheme="minorHAnsi" w:cs="Calibri"/>
          <w:lang w:val="fr-FR"/>
        </w:rPr>
        <w:t>CC. T-307 de 2015.</w:t>
      </w:r>
    </w:p>
  </w:footnote>
  <w:footnote w:id="7">
    <w:p w:rsidR="00CF0ADC" w:rsidRPr="00E17BD7" w:rsidRDefault="00CF0ADC" w:rsidP="00CF0AD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9D5231">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9">
    <w:p w:rsidR="00CF0ADC" w:rsidRPr="002C4ED3" w:rsidRDefault="00CF0ADC" w:rsidP="00CF0ADC">
      <w:pPr>
        <w:pStyle w:val="Notedebasdepage"/>
        <w:jc w:val="both"/>
        <w:rPr>
          <w:lang w:val="fr-FR"/>
        </w:rPr>
      </w:pPr>
      <w:r>
        <w:rPr>
          <w:rStyle w:val="Appelnotedebasdep"/>
          <w:rFonts w:asciiTheme="minorHAnsi" w:hAnsiTheme="minorHAnsi"/>
        </w:rPr>
        <w:footnoteRef/>
      </w:r>
      <w:r w:rsidRPr="002C4ED3">
        <w:rPr>
          <w:rFonts w:asciiTheme="minorHAnsi" w:hAnsiTheme="minorHAnsi"/>
          <w:lang w:val="fr-FR"/>
        </w:rPr>
        <w:t xml:space="preserve">   </w:t>
      </w:r>
      <w:r w:rsidRPr="002C4ED3">
        <w:rPr>
          <w:rFonts w:asciiTheme="minorHAnsi" w:hAnsiTheme="minorHAnsi" w:cs="Calibri"/>
          <w:lang w:val="fr-FR"/>
        </w:rPr>
        <w:t xml:space="preserve">CC. T-134 de 1994. </w:t>
      </w:r>
    </w:p>
  </w:footnote>
  <w:footnote w:id="10">
    <w:p w:rsidR="00CF0ADC" w:rsidRPr="002C4ED3" w:rsidRDefault="00CF0ADC" w:rsidP="00CF0ADC">
      <w:pPr>
        <w:pStyle w:val="Notedebasdepage"/>
        <w:rPr>
          <w:lang w:val="fr-FR"/>
        </w:rPr>
      </w:pPr>
      <w:r>
        <w:rPr>
          <w:rStyle w:val="Appelnotedebasdep"/>
        </w:rPr>
        <w:footnoteRef/>
      </w:r>
      <w:r w:rsidRPr="002C4ED3">
        <w:rPr>
          <w:lang w:val="fr-FR"/>
        </w:rPr>
        <w:t xml:space="preserve"> </w:t>
      </w:r>
      <w:r w:rsidRPr="002C4ED3">
        <w:rPr>
          <w:rFonts w:asciiTheme="minorHAnsi" w:hAnsiTheme="minorHAnsi" w:cs="Calibri"/>
          <w:lang w:val="fr-FR"/>
        </w:rPr>
        <w:t>CC. T-103 de 2014.</w:t>
      </w:r>
    </w:p>
  </w:footnote>
  <w:footnote w:id="11">
    <w:p w:rsidR="00CF0ADC" w:rsidRPr="002C4ED3" w:rsidRDefault="00CF0ADC" w:rsidP="00CF0ADC">
      <w:pPr>
        <w:pStyle w:val="Notedebasdepage"/>
        <w:jc w:val="both"/>
        <w:rPr>
          <w:lang w:val="fr-FR"/>
        </w:rPr>
      </w:pPr>
      <w:r>
        <w:rPr>
          <w:rStyle w:val="Appelnotedebasdep"/>
          <w:rFonts w:asciiTheme="minorHAnsi" w:hAnsiTheme="minorHAnsi" w:cs="Calibri"/>
        </w:rPr>
        <w:footnoteRef/>
      </w:r>
      <w:r w:rsidRPr="002C4ED3">
        <w:rPr>
          <w:rFonts w:asciiTheme="minorHAnsi" w:hAnsiTheme="minorHAnsi" w:cs="Calibri"/>
          <w:lang w:val="fr-FR"/>
        </w:rPr>
        <w:t xml:space="preserve"> CC. T-567 de 1998.</w:t>
      </w:r>
    </w:p>
  </w:footnote>
  <w:footnote w:id="12">
    <w:p w:rsidR="00CF0ADC" w:rsidRPr="002C4ED3" w:rsidRDefault="00CF0ADC" w:rsidP="00CF0ADC">
      <w:pPr>
        <w:pStyle w:val="Notedebasdepage"/>
        <w:jc w:val="both"/>
        <w:rPr>
          <w:lang w:val="fr-FR"/>
        </w:rPr>
      </w:pPr>
      <w:r>
        <w:rPr>
          <w:rStyle w:val="Appelnotedebasdep"/>
          <w:rFonts w:asciiTheme="minorHAnsi" w:hAnsiTheme="minorHAnsi"/>
        </w:rPr>
        <w:footnoteRef/>
      </w:r>
      <w:r w:rsidRPr="002C4ED3">
        <w:rPr>
          <w:rFonts w:asciiTheme="minorHAnsi" w:hAnsiTheme="minorHAnsi"/>
          <w:lang w:val="fr-FR"/>
        </w:rPr>
        <w:t xml:space="preserve"> </w:t>
      </w:r>
      <w:r w:rsidRPr="002C4ED3">
        <w:rPr>
          <w:rFonts w:asciiTheme="minorHAnsi" w:hAnsiTheme="minorHAnsi" w:cs="Calibri"/>
          <w:lang w:val="fr-FR"/>
        </w:rPr>
        <w:t>CC. T-662 de 2013.</w:t>
      </w:r>
      <w:r w:rsidRPr="002C4ED3">
        <w:rPr>
          <w:b/>
          <w:bCs/>
          <w:color w:val="2D2D2D"/>
          <w:sz w:val="28"/>
          <w:szCs w:val="28"/>
          <w:bdr w:val="none" w:sz="0" w:space="0" w:color="auto" w:frame="1"/>
          <w:shd w:val="clear" w:color="auto" w:fill="FFFFFF"/>
          <w:lang w:val="fr-FR"/>
        </w:rPr>
        <w:t xml:space="preserve"> </w:t>
      </w:r>
    </w:p>
  </w:footnote>
  <w:footnote w:id="13">
    <w:p w:rsidR="00CF0ADC" w:rsidRPr="002C4ED3" w:rsidRDefault="00CF0ADC" w:rsidP="00CF0ADC">
      <w:pPr>
        <w:pStyle w:val="Notedebasdepage"/>
        <w:jc w:val="both"/>
        <w:rPr>
          <w:lang w:val="fr-FR"/>
        </w:rPr>
      </w:pPr>
      <w:r>
        <w:rPr>
          <w:rStyle w:val="Appelnotedebasdep"/>
        </w:rPr>
        <w:footnoteRef/>
      </w:r>
      <w:r w:rsidRPr="002C4ED3">
        <w:rPr>
          <w:lang w:val="fr-FR"/>
        </w:rPr>
        <w:t xml:space="preserve"> </w:t>
      </w:r>
      <w:r w:rsidRPr="002C4ED3">
        <w:rPr>
          <w:rFonts w:asciiTheme="minorHAnsi" w:hAnsiTheme="minorHAnsi" w:cs="Calibri"/>
          <w:lang w:val="fr-FR"/>
        </w:rPr>
        <w:t xml:space="preserve">CC. </w:t>
      </w:r>
      <w:r w:rsidRPr="002C4ED3">
        <w:rPr>
          <w:rFonts w:ascii="Calibri" w:hAnsi="Calibri"/>
          <w:bCs/>
          <w:bdr w:val="none" w:sz="0" w:space="0" w:color="auto" w:frame="1"/>
          <w:shd w:val="clear" w:color="auto" w:fill="FFFFFF"/>
          <w:lang w:val="fr-FR"/>
        </w:rPr>
        <w:t>T-037 de 2016 y T-120 de 2016.</w:t>
      </w:r>
    </w:p>
  </w:footnote>
  <w:footnote w:id="14">
    <w:p w:rsidR="00CF0ADC" w:rsidRPr="002C4ED3" w:rsidRDefault="00CF0ADC" w:rsidP="00CF0ADC">
      <w:pPr>
        <w:pStyle w:val="Notedebasdepage"/>
        <w:rPr>
          <w:rFonts w:ascii="Calibri" w:hAnsi="Calibri"/>
          <w:lang w:val="fr-FR"/>
        </w:rPr>
      </w:pPr>
      <w:r w:rsidRPr="00167C8F">
        <w:rPr>
          <w:rStyle w:val="Appelnotedebasdep"/>
          <w:rFonts w:ascii="Calibri" w:hAnsi="Calibri"/>
        </w:rPr>
        <w:footnoteRef/>
      </w:r>
      <w:r w:rsidRPr="002C4ED3">
        <w:rPr>
          <w:rFonts w:ascii="Calibri" w:hAnsi="Calibri"/>
          <w:lang w:val="fr-FR"/>
        </w:rPr>
        <w:t xml:space="preserve"> CC. T-001 de 2017 y T-038 de 2017.</w:t>
      </w:r>
    </w:p>
  </w:footnote>
  <w:footnote w:id="15">
    <w:p w:rsidR="00CF0ADC" w:rsidRDefault="00CF0ADC" w:rsidP="00CF0AD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CSJ, Civil. Sentencia del 02-09-2014, MP: Margarita Cabello B., No.23001-22-14-000-2014-00097-01</w:t>
      </w:r>
      <w:r>
        <w:rPr>
          <w:rFonts w:asciiTheme="minorHAnsi" w:hAnsiTheme="minorHAnsi" w:cs="Calibri"/>
          <w:w w:val="110"/>
          <w:lang w:val="es-CO"/>
        </w:rPr>
        <w:t>.</w:t>
      </w:r>
    </w:p>
  </w:footnote>
  <w:footnote w:id="16">
    <w:p w:rsidR="00CF0ADC" w:rsidRPr="002C4ED3" w:rsidRDefault="00CF0ADC" w:rsidP="00CF0ADC">
      <w:pPr>
        <w:pStyle w:val="Notedebasdepage"/>
        <w:jc w:val="both"/>
        <w:rPr>
          <w:rFonts w:ascii="Calibri" w:hAnsi="Calibri"/>
          <w:lang w:val="en-GB"/>
        </w:rPr>
      </w:pPr>
      <w:r>
        <w:rPr>
          <w:rStyle w:val="Appelnotedebasdep"/>
        </w:rPr>
        <w:footnoteRef/>
      </w:r>
      <w:r w:rsidRPr="002C4ED3">
        <w:rPr>
          <w:lang w:val="en-GB"/>
        </w:rPr>
        <w:t xml:space="preserve"> </w:t>
      </w:r>
      <w:r w:rsidRPr="002C4ED3">
        <w:rPr>
          <w:rFonts w:asciiTheme="minorHAnsi" w:hAnsiTheme="minorHAnsi" w:cs="Calibri"/>
          <w:lang w:val="en-GB"/>
        </w:rPr>
        <w:t>CSJ</w:t>
      </w:r>
      <w:r w:rsidRPr="002C4ED3">
        <w:rPr>
          <w:rFonts w:ascii="Calibri" w:hAnsi="Calibri" w:cs="Calibri"/>
          <w:lang w:val="en-GB"/>
        </w:rPr>
        <w:t>, Civil. STC6121-2015.</w:t>
      </w:r>
    </w:p>
  </w:footnote>
  <w:footnote w:id="17">
    <w:p w:rsidR="00CF0ADC" w:rsidRDefault="00CF0ADC" w:rsidP="00CF0ADC">
      <w:pPr>
        <w:pStyle w:val="Notedebasdepage"/>
        <w:rPr>
          <w:rFonts w:ascii="Calibri" w:hAnsi="Calibri"/>
          <w:lang w:val="es-CO"/>
        </w:rPr>
      </w:pPr>
      <w:r>
        <w:rPr>
          <w:rStyle w:val="Appelnotedebasdep"/>
          <w:rFonts w:ascii="Calibri" w:hAnsi="Calibri"/>
        </w:rPr>
        <w:footnoteRef/>
      </w:r>
      <w:r w:rsidRPr="002C4ED3">
        <w:rPr>
          <w:rFonts w:ascii="Calibri" w:hAnsi="Calibri"/>
          <w:lang w:val="en-GB"/>
        </w:rPr>
        <w:t xml:space="preserve"> </w:t>
      </w:r>
      <w:r w:rsidRPr="002C4ED3">
        <w:rPr>
          <w:rFonts w:ascii="Calibri" w:hAnsi="Calibri" w:cs="Calibri"/>
          <w:lang w:val="en-GB"/>
        </w:rPr>
        <w:t xml:space="preserve">CSJ, Civil. </w:t>
      </w:r>
      <w:r>
        <w:rPr>
          <w:rFonts w:ascii="Calibri" w:hAnsi="Calibri"/>
          <w:lang w:val="es-CO"/>
        </w:rPr>
        <w:t>STC3931-2016.</w:t>
      </w:r>
    </w:p>
  </w:footnote>
  <w:footnote w:id="18">
    <w:p w:rsidR="000473E8" w:rsidRDefault="000473E8" w:rsidP="000473E8">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9">
    <w:p w:rsidR="000473E8" w:rsidRPr="002C4ED3" w:rsidRDefault="000473E8" w:rsidP="000473E8">
      <w:pPr>
        <w:pStyle w:val="Notedebasdepage"/>
        <w:jc w:val="both"/>
        <w:rPr>
          <w:rFonts w:ascii="Calibri" w:hAnsi="Calibri"/>
          <w:lang w:val="en-GB"/>
        </w:rPr>
      </w:pPr>
      <w:r>
        <w:rPr>
          <w:rStyle w:val="Appelnotedebasdep"/>
        </w:rPr>
        <w:footnoteRef/>
      </w:r>
      <w:r w:rsidRPr="002C4ED3">
        <w:rPr>
          <w:lang w:val="en-GB"/>
        </w:rPr>
        <w:t xml:space="preserve"> </w:t>
      </w:r>
      <w:r w:rsidRPr="002C4ED3">
        <w:rPr>
          <w:rFonts w:asciiTheme="minorHAnsi" w:hAnsiTheme="minorHAnsi" w:cs="Calibri"/>
          <w:lang w:val="en-GB"/>
        </w:rPr>
        <w:t>CSJ</w:t>
      </w:r>
      <w:r w:rsidRPr="002C4ED3">
        <w:rPr>
          <w:rFonts w:ascii="Calibri" w:hAnsi="Calibri" w:cs="Calibri"/>
          <w:lang w:val="en-GB"/>
        </w:rPr>
        <w:t>, Civil. STC3950-2016.</w:t>
      </w:r>
    </w:p>
  </w:footnote>
  <w:footnote w:id="20">
    <w:p w:rsidR="000473E8" w:rsidRPr="002C4ED3" w:rsidRDefault="000473E8">
      <w:pPr>
        <w:pStyle w:val="Notedebasdepage"/>
        <w:rPr>
          <w:rFonts w:ascii="Calibri" w:hAnsi="Calibri"/>
          <w:lang w:val="fr-FR"/>
        </w:rPr>
      </w:pPr>
      <w:r w:rsidRPr="000473E8">
        <w:rPr>
          <w:rStyle w:val="Appelnotedebasdep"/>
          <w:rFonts w:ascii="Calibri" w:hAnsi="Calibri"/>
        </w:rPr>
        <w:footnoteRef/>
      </w:r>
      <w:r w:rsidRPr="002C4ED3">
        <w:rPr>
          <w:rFonts w:ascii="Calibri" w:hAnsi="Calibri"/>
          <w:lang w:val="en-GB"/>
        </w:rPr>
        <w:t xml:space="preserve"> CSJ, Civil. </w:t>
      </w:r>
      <w:r w:rsidRPr="002C4ED3">
        <w:rPr>
          <w:rFonts w:ascii="Calibri" w:hAnsi="Calibri"/>
          <w:lang w:val="fr-FR"/>
        </w:rPr>
        <w:t>STC2349-2017</w:t>
      </w:r>
    </w:p>
  </w:footnote>
  <w:footnote w:id="21">
    <w:p w:rsidR="00D10AEC" w:rsidRPr="002C4ED3" w:rsidRDefault="00D10AEC" w:rsidP="00D10AEC">
      <w:pPr>
        <w:pStyle w:val="Notedebasdepage"/>
        <w:jc w:val="both"/>
        <w:rPr>
          <w:lang w:val="fr-FR"/>
        </w:rPr>
      </w:pPr>
      <w:r w:rsidRPr="0088104A">
        <w:rPr>
          <w:rStyle w:val="Appelnotedebasdep"/>
          <w:rFonts w:asciiTheme="minorHAnsi" w:hAnsiTheme="minorHAnsi" w:cs="Calibri"/>
        </w:rPr>
        <w:footnoteRef/>
      </w:r>
      <w:r w:rsidRPr="002C4ED3">
        <w:rPr>
          <w:rFonts w:asciiTheme="minorHAnsi" w:hAnsiTheme="minorHAnsi" w:cs="Calibri"/>
          <w:lang w:val="fr-FR"/>
        </w:rPr>
        <w:t xml:space="preserve"> CC.  T-</w:t>
      </w:r>
      <w:r w:rsidR="009966E2" w:rsidRPr="002C4ED3">
        <w:rPr>
          <w:rFonts w:asciiTheme="minorHAnsi" w:hAnsiTheme="minorHAnsi" w:cs="Calibri"/>
          <w:lang w:val="fr-FR"/>
        </w:rPr>
        <w:t xml:space="preserve">103 </w:t>
      </w:r>
      <w:r w:rsidR="00021F29" w:rsidRPr="002C4ED3">
        <w:rPr>
          <w:rFonts w:asciiTheme="minorHAnsi" w:hAnsiTheme="minorHAnsi" w:cs="Calibri"/>
          <w:lang w:val="fr-FR"/>
        </w:rPr>
        <w:t>de</w:t>
      </w:r>
      <w:r w:rsidR="009966E2" w:rsidRPr="002C4ED3">
        <w:rPr>
          <w:rFonts w:asciiTheme="minorHAnsi" w:hAnsiTheme="minorHAnsi" w:cs="Calibri"/>
          <w:lang w:val="fr-FR"/>
        </w:rPr>
        <w:t xml:space="preserve"> 2014 y SU-297 </w:t>
      </w:r>
      <w:r w:rsidR="00021F29" w:rsidRPr="002C4ED3">
        <w:rPr>
          <w:rFonts w:asciiTheme="minorHAnsi" w:hAnsiTheme="minorHAnsi" w:cs="Calibri"/>
          <w:lang w:val="fr-FR"/>
        </w:rPr>
        <w:t>de</w:t>
      </w:r>
      <w:r w:rsidR="009966E2" w:rsidRPr="002C4ED3">
        <w:rPr>
          <w:rFonts w:asciiTheme="minorHAnsi" w:hAnsiTheme="minorHAnsi" w:cs="Calibri"/>
          <w:lang w:val="fr-FR"/>
        </w:rPr>
        <w:t xml:space="preserve"> 2015</w:t>
      </w:r>
    </w:p>
  </w:footnote>
  <w:footnote w:id="22">
    <w:p w:rsidR="00D10AEC" w:rsidRPr="002C4ED3" w:rsidRDefault="00D10AEC" w:rsidP="00D10AEC">
      <w:pPr>
        <w:pStyle w:val="Notedebasdepage"/>
        <w:rPr>
          <w:lang w:val="fr-FR"/>
        </w:rPr>
      </w:pPr>
      <w:r>
        <w:rPr>
          <w:rStyle w:val="Appelnotedebasdep"/>
        </w:rPr>
        <w:footnoteRef/>
      </w:r>
      <w:r w:rsidRPr="002C4ED3">
        <w:rPr>
          <w:lang w:val="fr-FR"/>
        </w:rPr>
        <w:t xml:space="preserve"> </w:t>
      </w:r>
      <w:r w:rsidRPr="002C4ED3">
        <w:rPr>
          <w:rFonts w:asciiTheme="minorHAnsi" w:hAnsiTheme="minorHAnsi" w:cs="Calibri"/>
          <w:lang w:val="fr-FR"/>
        </w:rPr>
        <w:t>CC.  T-717 de 2011.</w:t>
      </w:r>
    </w:p>
  </w:footnote>
  <w:footnote w:id="23">
    <w:p w:rsidR="00D10AEC" w:rsidRPr="002C4ED3" w:rsidRDefault="00D10AEC" w:rsidP="00D10AEC">
      <w:pPr>
        <w:pStyle w:val="Notedebasdepage"/>
        <w:rPr>
          <w:lang w:val="fr-FR"/>
        </w:rPr>
      </w:pPr>
      <w:r>
        <w:rPr>
          <w:rStyle w:val="Appelnotedebasdep"/>
        </w:rPr>
        <w:footnoteRef/>
      </w:r>
      <w:r w:rsidRPr="002C4ED3">
        <w:rPr>
          <w:lang w:val="fr-FR"/>
        </w:rPr>
        <w:t xml:space="preserve"> </w:t>
      </w:r>
      <w:r w:rsidRPr="002C4ED3">
        <w:rPr>
          <w:rFonts w:asciiTheme="minorHAnsi" w:hAnsiTheme="minorHAnsi" w:cs="Calibri"/>
          <w:lang w:val="fr-FR"/>
        </w:rPr>
        <w:t>CC.  T-429 de 2011.</w:t>
      </w:r>
    </w:p>
  </w:footnote>
  <w:footnote w:id="24">
    <w:p w:rsidR="006B32B6" w:rsidRPr="0072239C" w:rsidRDefault="006B32B6" w:rsidP="006B32B6">
      <w:pPr>
        <w:pStyle w:val="Notedebasdepage"/>
        <w:jc w:val="both"/>
        <w:rPr>
          <w:rFonts w:ascii="Calibri" w:hAnsi="Calibri"/>
        </w:rPr>
      </w:pPr>
      <w:r w:rsidRPr="0072239C">
        <w:rPr>
          <w:rStyle w:val="Appelnotedebasdep"/>
          <w:rFonts w:ascii="Calibri" w:hAnsi="Calibri"/>
        </w:rPr>
        <w:footnoteRef/>
      </w:r>
      <w:r w:rsidRPr="002C4ED3">
        <w:rPr>
          <w:rFonts w:ascii="Calibri" w:hAnsi="Calibri"/>
          <w:lang w:val="fr-FR"/>
        </w:rPr>
        <w:t xml:space="preserve"> CSJ, Sala Civil. </w:t>
      </w:r>
      <w:r w:rsidRPr="0072239C">
        <w:rPr>
          <w:rFonts w:ascii="Calibri" w:hAnsi="Calibri"/>
          <w:lang w:val="es-CO"/>
        </w:rPr>
        <w:t xml:space="preserve">STC1932-2017 y sentencia del 17-02-2017, MP. </w:t>
      </w:r>
      <w:r w:rsidRPr="0072239C">
        <w:rPr>
          <w:rFonts w:ascii="Calibri" w:hAnsi="Calibri"/>
          <w:bCs/>
        </w:rPr>
        <w:t>Ariel Salazar R.</w:t>
      </w:r>
      <w:r w:rsidRPr="0072239C">
        <w:rPr>
          <w:rFonts w:ascii="Calibri" w:hAnsi="Calibri"/>
        </w:rPr>
        <w:t xml:space="preserve">, </w:t>
      </w:r>
      <w:r w:rsidRPr="0072239C">
        <w:rPr>
          <w:rFonts w:ascii="Calibri" w:hAnsi="Calibri"/>
          <w:lang w:val="es-CO"/>
        </w:rPr>
        <w:t>66001-22-13-000-2016-01122-01.</w:t>
      </w:r>
    </w:p>
  </w:footnote>
  <w:footnote w:id="25">
    <w:p w:rsidR="006B32B6" w:rsidRPr="0072239C" w:rsidRDefault="006B32B6" w:rsidP="006B32B6">
      <w:pPr>
        <w:pStyle w:val="Notedebasdepage"/>
        <w:jc w:val="both"/>
        <w:rPr>
          <w:lang w:val="es-CO"/>
        </w:rPr>
      </w:pPr>
      <w:r w:rsidRPr="0072239C">
        <w:rPr>
          <w:rStyle w:val="Appelnotedebasdep"/>
          <w:rFonts w:ascii="Calibri" w:hAnsi="Calibri"/>
        </w:rPr>
        <w:footnoteRef/>
      </w:r>
      <w:r w:rsidRPr="0072239C">
        <w:rPr>
          <w:rFonts w:ascii="Calibri" w:hAnsi="Calibri"/>
        </w:rPr>
        <w:t xml:space="preserve"> </w:t>
      </w:r>
      <w:r w:rsidRPr="0072239C">
        <w:rPr>
          <w:rFonts w:ascii="Calibri" w:hAnsi="Calibri"/>
          <w:lang w:val="es-CO"/>
        </w:rPr>
        <w:t>CSJ,</w:t>
      </w:r>
      <w:r>
        <w:rPr>
          <w:rFonts w:ascii="Calibri" w:hAnsi="Calibri"/>
          <w:lang w:val="es-CO"/>
        </w:rPr>
        <w:t xml:space="preserve"> </w:t>
      </w:r>
      <w:r w:rsidRPr="0072239C">
        <w:rPr>
          <w:rFonts w:ascii="Calibri" w:hAnsi="Calibri"/>
          <w:lang w:val="es-CO"/>
        </w:rPr>
        <w:t>Sala Civil</w:t>
      </w:r>
      <w:r>
        <w:rPr>
          <w:rFonts w:ascii="Calibri" w:hAnsi="Calibri"/>
          <w:lang w:val="es-CO"/>
        </w:rPr>
        <w:t>.</w:t>
      </w:r>
      <w:r w:rsidRPr="0072239C">
        <w:rPr>
          <w:rFonts w:ascii="Calibri" w:hAnsi="Calibri"/>
          <w:lang w:val="es-CO"/>
        </w:rPr>
        <w:t xml:space="preserve"> STC7051-2017, STC, 8086-2016, STC9424-2016, STC10269-2016, STC12865-2016, STC1149-2017, STC1200-2017, STC1204-2017, STC1381-2017, STC1445-2017, y sentencias del 17-02-2017 MP. </w:t>
      </w:r>
      <w:r w:rsidRPr="0072239C">
        <w:rPr>
          <w:rFonts w:ascii="Calibri" w:hAnsi="Calibri"/>
        </w:rPr>
        <w:t xml:space="preserve">Álvaro F. García R., </w:t>
      </w:r>
      <w:r w:rsidRPr="0072239C">
        <w:rPr>
          <w:rFonts w:ascii="Calibri" w:hAnsi="Calibri"/>
          <w:lang w:val="es-CO"/>
        </w:rPr>
        <w:t>66001-22-13-000-2016-01130-01 y del 20-02-2017, MP.</w:t>
      </w:r>
      <w:r w:rsidRPr="0072239C">
        <w:rPr>
          <w:rFonts w:ascii="Calibri" w:eastAsia="Courier New" w:hAnsi="Calibri" w:cs="Helvetica"/>
          <w:sz w:val="16"/>
          <w:szCs w:val="16"/>
          <w:shd w:val="clear" w:color="auto" w:fill="FFFFFF"/>
        </w:rPr>
        <w:t xml:space="preserve"> </w:t>
      </w:r>
      <w:r w:rsidRPr="0072239C">
        <w:rPr>
          <w:rFonts w:ascii="Calibri" w:hAnsi="Calibri"/>
        </w:rPr>
        <w:t xml:space="preserve">Luis A. Tolosa V., </w:t>
      </w:r>
      <w:r w:rsidRPr="0072239C">
        <w:rPr>
          <w:rFonts w:ascii="Calibri" w:hAnsi="Calibri"/>
          <w:lang w:val="es-CO"/>
        </w:rPr>
        <w:t>66001-22-13-000-2016-01125-01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1660B5">
      <w:rPr>
        <w:rFonts w:ascii="Calibri" w:hAnsi="Calibri" w:cs="Calibri"/>
        <w:i/>
        <w:noProof/>
        <w:sz w:val="20"/>
      </w:rPr>
      <w:t>2</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41111B">
      <w:rPr>
        <w:rFonts w:ascii="Calibri" w:hAnsi="Calibri" w:cs="Calibri"/>
        <w:i/>
        <w:sz w:val="20"/>
        <w:szCs w:val="22"/>
      </w:rPr>
      <w:t>2017-00</w:t>
    </w:r>
    <w:r w:rsidR="00E45E01">
      <w:rPr>
        <w:rFonts w:ascii="Calibri" w:hAnsi="Calibri" w:cs="Calibri"/>
        <w:i/>
        <w:sz w:val="20"/>
        <w:szCs w:val="22"/>
      </w:rPr>
      <w:t>234</w:t>
    </w:r>
    <w:r w:rsidR="0041111B">
      <w:rPr>
        <w:rFonts w:ascii="Calibri" w:hAnsi="Calibri" w:cs="Calibri"/>
        <w:i/>
        <w:sz w:val="20"/>
        <w:szCs w:val="22"/>
      </w:rPr>
      <w:t>-00</w:t>
    </w:r>
    <w:r w:rsidR="007229B8">
      <w:rPr>
        <w:rFonts w:ascii="Calibri" w:hAnsi="Calibri" w:cs="Calibri"/>
        <w:i/>
        <w:sz w:val="20"/>
        <w:szCs w:val="22"/>
      </w:rPr>
      <w:t xml:space="preserve"> </w:t>
    </w:r>
    <w:r w:rsidR="009D5231">
      <w:rPr>
        <w:rFonts w:ascii="Calibri" w:hAnsi="Calibri" w:cs="Calibri"/>
        <w:i/>
        <w:sz w:val="20"/>
        <w:szCs w:val="22"/>
      </w:rPr>
      <w:t xml:space="preserve"> ACUMULADAS DOS 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0B5"/>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4ED3"/>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C0B"/>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1C8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497D-2D62-4630-8972-5486E3A0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2017-03-28T16:47:00Z</cp:lastPrinted>
  <dcterms:created xsi:type="dcterms:W3CDTF">2017-03-28T16:45:00Z</dcterms:created>
  <dcterms:modified xsi:type="dcterms:W3CDTF">2017-05-11T01:55:00Z</dcterms:modified>
</cp:coreProperties>
</file>