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34" w:rsidRPr="00A817A6" w:rsidRDefault="00C83734" w:rsidP="00C8373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623724" w:rsidRPr="00623724" w:rsidRDefault="00623724" w:rsidP="002403C8">
      <w:pPr>
        <w:pStyle w:val="Sansinterligne"/>
        <w:tabs>
          <w:tab w:val="left" w:pos="3579"/>
        </w:tabs>
        <w:spacing w:line="360" w:lineRule="auto"/>
        <w:jc w:val="center"/>
        <w:rPr>
          <w:rFonts w:ascii="Arial" w:hAnsi="Arial" w:cs="Arial"/>
          <w:w w:val="140"/>
          <w:sz w:val="6"/>
          <w:szCs w:val="6"/>
        </w:rPr>
      </w:pPr>
    </w:p>
    <w:p w:rsidR="00623724" w:rsidRPr="00623724" w:rsidRDefault="00D0509A" w:rsidP="002403C8">
      <w:pPr>
        <w:pStyle w:val="Sansinterligne"/>
        <w:tabs>
          <w:tab w:val="left" w:pos="3579"/>
        </w:tabs>
        <w:spacing w:line="360" w:lineRule="auto"/>
        <w:jc w:val="center"/>
        <w:rPr>
          <w:rFonts w:ascii="Arial" w:hAnsi="Arial" w:cs="Arial"/>
          <w:w w:val="140"/>
          <w:sz w:val="6"/>
          <w:szCs w:val="6"/>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p>
    <w:p w:rsidR="00486062" w:rsidRPr="00055048" w:rsidRDefault="00486062" w:rsidP="002403C8">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623724">
      <w:pPr>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C83734">
        <w:rPr>
          <w:rFonts w:ascii="Arial" w:hAnsi="Arial" w:cs="Arial"/>
          <w:sz w:val="22"/>
          <w:szCs w:val="22"/>
        </w:rPr>
        <w:t xml:space="preserve">Providencia </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C83734">
        <w:rPr>
          <w:rFonts w:ascii="Arial" w:hAnsi="Arial" w:cs="Arial"/>
          <w:sz w:val="22"/>
          <w:szCs w:val="22"/>
        </w:rPr>
        <w:t>– 1ª instancia – 31 de marzo de 2017</w:t>
      </w:r>
    </w:p>
    <w:p w:rsidR="00C83734" w:rsidRPr="002060F5" w:rsidRDefault="00C83734"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B60C39">
        <w:rPr>
          <w:rFonts w:ascii="Arial" w:hAnsi="Arial" w:cs="Arial"/>
          <w:sz w:val="22"/>
        </w:rPr>
        <w:t xml:space="preserve">Cuarto </w:t>
      </w:r>
      <w:r w:rsidR="0041111B">
        <w:rPr>
          <w:rFonts w:ascii="Arial" w:hAnsi="Arial" w:cs="Arial"/>
          <w:sz w:val="22"/>
        </w:rPr>
        <w:t>Civil del Circuito de Pereira</w:t>
      </w:r>
      <w:r w:rsidR="005E5309">
        <w:rPr>
          <w:rFonts w:ascii="Arial" w:hAnsi="Arial" w:cs="Arial"/>
          <w:sz w:val="22"/>
        </w:rPr>
        <w:t xml:space="preserve"> y otra</w:t>
      </w:r>
    </w:p>
    <w:p w:rsidR="00A00766" w:rsidRPr="00A00766" w:rsidRDefault="00A00766" w:rsidP="00283DCB">
      <w:pPr>
        <w:pStyle w:val="Corpsdetexte"/>
        <w:tabs>
          <w:tab w:val="clear" w:pos="3540"/>
        </w:tabs>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 xml:space="preserve">: </w:t>
      </w:r>
      <w:r w:rsidR="00283DCB">
        <w:rPr>
          <w:rFonts w:ascii="Arial" w:hAnsi="Arial" w:cs="Arial"/>
          <w:sz w:val="22"/>
          <w:szCs w:val="22"/>
        </w:rPr>
        <w:t>Procuraduría General de la Nación</w:t>
      </w:r>
      <w:r w:rsidR="00612C75">
        <w:rPr>
          <w:rFonts w:ascii="Arial" w:hAnsi="Arial" w:cs="Arial"/>
          <w:sz w:val="22"/>
          <w:szCs w:val="22"/>
        </w:rPr>
        <w:t xml:space="preserve">, </w:t>
      </w:r>
      <w:r w:rsidRPr="00A00766">
        <w:rPr>
          <w:rFonts w:ascii="Arial" w:hAnsi="Arial" w:cs="Arial"/>
          <w:sz w:val="22"/>
          <w:szCs w:val="22"/>
        </w:rPr>
        <w:t>Regional</w:t>
      </w:r>
      <w:r w:rsidR="00283DCB">
        <w:rPr>
          <w:rFonts w:ascii="Arial" w:hAnsi="Arial" w:cs="Arial"/>
          <w:sz w:val="22"/>
          <w:szCs w:val="22"/>
        </w:rPr>
        <w:t xml:space="preserve"> </w:t>
      </w:r>
      <w:r w:rsidR="005638DD">
        <w:rPr>
          <w:rFonts w:ascii="Arial" w:hAnsi="Arial" w:cs="Arial"/>
          <w:sz w:val="22"/>
          <w:szCs w:val="22"/>
        </w:rPr>
        <w:t>Risaralda</w:t>
      </w:r>
      <w:r w:rsidR="0041111B">
        <w:rPr>
          <w:rFonts w:ascii="Arial" w:hAnsi="Arial" w:cs="Arial"/>
          <w:sz w:val="22"/>
          <w:szCs w:val="22"/>
        </w:rPr>
        <w:t xml:space="preserve"> </w:t>
      </w:r>
      <w:r w:rsidRPr="00A00766">
        <w:rPr>
          <w:rFonts w:ascii="Arial" w:hAnsi="Arial" w:cs="Arial"/>
          <w:sz w:val="22"/>
          <w:szCs w:val="22"/>
        </w:rPr>
        <w:t>y</w:t>
      </w:r>
      <w:r w:rsidR="00896574">
        <w:rPr>
          <w:rFonts w:ascii="Arial" w:hAnsi="Arial" w:cs="Arial"/>
          <w:sz w:val="22"/>
          <w:szCs w:val="22"/>
        </w:rPr>
        <w:t>/o</w:t>
      </w:r>
      <w:r w:rsidRPr="00A00766">
        <w:rPr>
          <w:rFonts w:ascii="Arial" w:hAnsi="Arial" w:cs="Arial"/>
          <w:sz w:val="22"/>
          <w:szCs w:val="22"/>
        </w:rPr>
        <w:t xml:space="preserve"> </w:t>
      </w:r>
      <w:r w:rsidR="00283DCB">
        <w:rPr>
          <w:rFonts w:ascii="Arial" w:hAnsi="Arial" w:cs="Arial"/>
          <w:sz w:val="22"/>
          <w:szCs w:val="22"/>
        </w:rPr>
        <w:t xml:space="preserve">    </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2017-00</w:t>
      </w:r>
      <w:r w:rsidR="00283DCB">
        <w:rPr>
          <w:rFonts w:ascii="Arial" w:hAnsi="Arial" w:cs="Arial"/>
          <w:sz w:val="22"/>
        </w:rPr>
        <w:t>2</w:t>
      </w:r>
      <w:r w:rsidR="005638DD">
        <w:rPr>
          <w:rFonts w:ascii="Arial" w:hAnsi="Arial" w:cs="Arial"/>
          <w:sz w:val="22"/>
        </w:rPr>
        <w:t>49</w:t>
      </w:r>
      <w:r w:rsidR="00D27466">
        <w:rPr>
          <w:rFonts w:ascii="Arial" w:hAnsi="Arial" w:cs="Arial"/>
          <w:sz w:val="22"/>
        </w:rPr>
        <w:t>-</w:t>
      </w:r>
      <w:r w:rsidR="0041111B">
        <w:rPr>
          <w:rFonts w:ascii="Arial" w:hAnsi="Arial" w:cs="Arial"/>
          <w:sz w:val="22"/>
        </w:rPr>
        <w:t>00</w:t>
      </w:r>
      <w:r w:rsidR="005638DD">
        <w:rPr>
          <w:rFonts w:ascii="Arial" w:hAnsi="Arial" w:cs="Arial"/>
          <w:sz w:val="22"/>
        </w:rPr>
        <w:t>, 2017-00253</w:t>
      </w:r>
      <w:r w:rsidR="00B60C39">
        <w:rPr>
          <w:rFonts w:ascii="Arial" w:hAnsi="Arial" w:cs="Arial"/>
          <w:sz w:val="22"/>
        </w:rPr>
        <w:t xml:space="preserve"> y 2017-00</w:t>
      </w:r>
      <w:r w:rsidR="00283DCB">
        <w:rPr>
          <w:rFonts w:ascii="Arial" w:hAnsi="Arial" w:cs="Arial"/>
          <w:sz w:val="22"/>
        </w:rPr>
        <w:t>2</w:t>
      </w:r>
      <w:r w:rsidR="005638DD">
        <w:rPr>
          <w:rFonts w:ascii="Arial" w:hAnsi="Arial" w:cs="Arial"/>
          <w:sz w:val="22"/>
        </w:rPr>
        <w:t>56</w:t>
      </w:r>
      <w:r w:rsidR="00B60C39">
        <w:rPr>
          <w:rFonts w:ascii="Arial" w:hAnsi="Arial" w:cs="Arial"/>
          <w:sz w:val="22"/>
        </w:rPr>
        <w:t>-00</w:t>
      </w:r>
    </w:p>
    <w:p w:rsidR="0099045D" w:rsidRPr="002060F5" w:rsidRDefault="008E5334" w:rsidP="00D2013B">
      <w:pPr>
        <w:pStyle w:val="Corpsdetexte"/>
        <w:spacing w:line="360" w:lineRule="auto"/>
        <w:rPr>
          <w:rFonts w:ascii="Arial" w:hAnsi="Arial"/>
          <w:sz w:val="22"/>
          <w:szCs w:val="22"/>
        </w:rPr>
      </w:pPr>
      <w:r>
        <w:rPr>
          <w:rFonts w:ascii="Arial" w:hAnsi="Arial"/>
          <w:sz w:val="22"/>
          <w:szCs w:val="22"/>
        </w:rPr>
        <w:tab/>
      </w:r>
      <w:r w:rsidR="00D2013B">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8F02FE">
        <w:rPr>
          <w:rFonts w:ascii="Arial" w:hAnsi="Arial"/>
          <w:sz w:val="22"/>
          <w:szCs w:val="22"/>
        </w:rPr>
        <w:t>170 de 31-03-2017</w:t>
      </w:r>
    </w:p>
    <w:p w:rsidR="00C83734" w:rsidRPr="00623724" w:rsidRDefault="00C83734" w:rsidP="00D70A1B">
      <w:pPr>
        <w:spacing w:line="360" w:lineRule="auto"/>
        <w:ind w:left="708" w:firstLine="708"/>
        <w:rPr>
          <w:rFonts w:ascii="Arial" w:hAnsi="Arial"/>
          <w:sz w:val="6"/>
          <w:szCs w:val="6"/>
        </w:rPr>
      </w:pPr>
    </w:p>
    <w:p w:rsidR="00C83734" w:rsidRPr="002060F5" w:rsidRDefault="00C83734" w:rsidP="00623724">
      <w:pPr>
        <w:ind w:left="1416"/>
        <w:jc w:val="both"/>
        <w:rPr>
          <w:rFonts w:ascii="Arial" w:hAnsi="Arial" w:cs="Arial"/>
          <w:b/>
          <w:bCs/>
          <w:sz w:val="22"/>
          <w:szCs w:val="22"/>
        </w:rPr>
      </w:pPr>
      <w:r w:rsidRPr="002060F5">
        <w:rPr>
          <w:rFonts w:ascii="Arial" w:hAnsi="Arial" w:cs="Arial"/>
          <w:sz w:val="22"/>
          <w:szCs w:val="22"/>
        </w:rPr>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623724" w:rsidRPr="00623724">
        <w:rPr>
          <w:rFonts w:ascii="Arial" w:hAnsi="Arial" w:cs="Arial"/>
          <w:b/>
          <w:bCs/>
          <w:iCs/>
          <w:sz w:val="22"/>
          <w:szCs w:val="21"/>
          <w:lang w:val="es-CO"/>
        </w:rPr>
        <w:t xml:space="preserve">DEBIDO PROCESO / TUTELA CONTRA PROVIDENCIA JUDICIAL / DECLARACIÓN DESISTIMIENTO TÁCITO EN ACCIÓN POPULAR / AUSENCIA DE INMEDIATEZ / </w:t>
      </w:r>
      <w:r w:rsidR="00623724" w:rsidRPr="00623724">
        <w:rPr>
          <w:rFonts w:ascii="Arial" w:hAnsi="Arial" w:cs="Arial"/>
          <w:b/>
          <w:bCs/>
          <w:iCs/>
          <w:sz w:val="22"/>
          <w:szCs w:val="21"/>
          <w:lang w:val="es-419"/>
        </w:rPr>
        <w:t xml:space="preserve">IMPROCEDENCIA. </w:t>
      </w:r>
      <w:r w:rsidR="00623724" w:rsidRPr="00623724">
        <w:rPr>
          <w:rFonts w:ascii="Arial" w:hAnsi="Arial" w:cs="Arial"/>
          <w:bCs/>
          <w:iCs/>
          <w:sz w:val="22"/>
          <w:szCs w:val="21"/>
          <w:lang w:val="es-419"/>
        </w:rPr>
        <w:t>“</w:t>
      </w:r>
      <w:r w:rsidR="00623724" w:rsidRPr="00623724">
        <w:rPr>
          <w:rFonts w:ascii="Arial" w:hAnsi="Arial" w:cs="Arial"/>
          <w:bCs/>
          <w:iCs/>
          <w:sz w:val="22"/>
          <w:szCs w:val="21"/>
        </w:rPr>
        <w:t xml:space="preserve">Conforme al acervo probatorio en la acción popular </w:t>
      </w:r>
      <w:proofErr w:type="spellStart"/>
      <w:r w:rsidR="00623724" w:rsidRPr="00623724">
        <w:rPr>
          <w:rFonts w:ascii="Arial" w:hAnsi="Arial" w:cs="Arial"/>
          <w:bCs/>
          <w:iCs/>
          <w:sz w:val="22"/>
          <w:szCs w:val="21"/>
        </w:rPr>
        <w:t>No.2015</w:t>
      </w:r>
      <w:proofErr w:type="spellEnd"/>
      <w:r w:rsidR="00623724" w:rsidRPr="00623724">
        <w:rPr>
          <w:rFonts w:ascii="Arial" w:hAnsi="Arial" w:cs="Arial"/>
          <w:bCs/>
          <w:iCs/>
          <w:sz w:val="22"/>
          <w:szCs w:val="21"/>
        </w:rPr>
        <w:t xml:space="preserve">-00457-00 el Despacho Judicial mediante providencia del 05-08-2016 declaró terminado el proceso por desistimiento tácito, notificada en estado del 08-08-2016 (Folios 31 a 32 ib.), </w:t>
      </w:r>
      <w:proofErr w:type="gramStart"/>
      <w:r w:rsidR="00623724" w:rsidRPr="00623724">
        <w:rPr>
          <w:rFonts w:ascii="Arial" w:hAnsi="Arial" w:cs="Arial"/>
          <w:bCs/>
          <w:iCs/>
          <w:sz w:val="22"/>
          <w:szCs w:val="21"/>
        </w:rPr>
        <w:t>recurrido</w:t>
      </w:r>
      <w:proofErr w:type="gramEnd"/>
      <w:r w:rsidR="00623724" w:rsidRPr="00623724">
        <w:rPr>
          <w:rFonts w:ascii="Arial" w:hAnsi="Arial" w:cs="Arial"/>
          <w:bCs/>
          <w:iCs/>
          <w:sz w:val="22"/>
          <w:szCs w:val="21"/>
        </w:rPr>
        <w:t xml:space="preserve"> en reposición y en subsidio apelación por el accionante (Folio 33, ib.), se desató con auto del 17-08-2016 que mantuvo incólume su decisión </w:t>
      </w:r>
      <w:r w:rsidR="00623724" w:rsidRPr="00623724">
        <w:rPr>
          <w:rFonts w:ascii="Arial" w:hAnsi="Arial" w:cs="Arial"/>
          <w:bCs/>
          <w:iCs/>
          <w:sz w:val="22"/>
          <w:szCs w:val="21"/>
          <w:lang w:val="es-CO"/>
        </w:rPr>
        <w:t xml:space="preserve">y niega la alzada </w:t>
      </w:r>
      <w:r w:rsidR="00623724" w:rsidRPr="00623724">
        <w:rPr>
          <w:rFonts w:ascii="Arial" w:hAnsi="Arial" w:cs="Arial"/>
          <w:bCs/>
          <w:iCs/>
          <w:sz w:val="22"/>
          <w:szCs w:val="21"/>
        </w:rPr>
        <w:t xml:space="preserve">(Folios 34 a 35, ib.), notificado por estado del 18-08-2016, sin ningún recurso (Folio 35, ib.). Evidente es que el presente amparo carece de inmediatez, pues su interposición (16-03-2017) desborda el plazo de los seis (6) meses fijado por la jurisprudencia como tiempo razonable, ya que han transcurrido aproximadamente siete (7) meses desde que se resolvió el recurso presentado contra el auto que declaró </w:t>
      </w:r>
      <w:r w:rsidR="00623724" w:rsidRPr="00623724">
        <w:rPr>
          <w:rFonts w:ascii="Arial" w:hAnsi="Arial" w:cs="Arial"/>
          <w:bCs/>
          <w:iCs/>
          <w:sz w:val="22"/>
          <w:szCs w:val="21"/>
          <w:lang w:val="es-CO"/>
        </w:rPr>
        <w:t xml:space="preserve">la terminación del trámite popular </w:t>
      </w:r>
      <w:r w:rsidR="00623724" w:rsidRPr="00623724">
        <w:rPr>
          <w:rFonts w:ascii="Arial" w:hAnsi="Arial" w:cs="Arial"/>
          <w:bCs/>
          <w:iCs/>
          <w:sz w:val="22"/>
          <w:szCs w:val="21"/>
        </w:rPr>
        <w:t>(Folios 34 a 35, ib.).</w:t>
      </w:r>
      <w:r w:rsidR="00623724" w:rsidRPr="00623724">
        <w:rPr>
          <w:rFonts w:ascii="Arial" w:hAnsi="Arial" w:cs="Arial"/>
          <w:b/>
          <w:bCs/>
          <w:iCs/>
          <w:sz w:val="22"/>
          <w:szCs w:val="21"/>
        </w:rPr>
        <w:t xml:space="preserve"> NO SE AGOTARON LOS RECURSOS / CARÁCTER RESIDUAL DE LA ACCIÓN DE TUTELA. </w:t>
      </w:r>
      <w:r w:rsidR="00623724" w:rsidRPr="00623724">
        <w:rPr>
          <w:rFonts w:ascii="Arial" w:hAnsi="Arial" w:cs="Arial"/>
          <w:bCs/>
          <w:iCs/>
          <w:sz w:val="22"/>
          <w:szCs w:val="21"/>
        </w:rPr>
        <w:t xml:space="preserve">“En las acciones radicadas a los </w:t>
      </w:r>
      <w:proofErr w:type="spellStart"/>
      <w:r w:rsidR="00623724" w:rsidRPr="00623724">
        <w:rPr>
          <w:rFonts w:ascii="Arial" w:hAnsi="Arial" w:cs="Arial"/>
          <w:bCs/>
          <w:iCs/>
          <w:sz w:val="22"/>
          <w:szCs w:val="21"/>
        </w:rPr>
        <w:t>Nos.2015</w:t>
      </w:r>
      <w:proofErr w:type="spellEnd"/>
      <w:r w:rsidR="00623724" w:rsidRPr="00623724">
        <w:rPr>
          <w:rFonts w:ascii="Arial" w:hAnsi="Arial" w:cs="Arial"/>
          <w:bCs/>
          <w:iCs/>
          <w:sz w:val="22"/>
          <w:szCs w:val="21"/>
        </w:rPr>
        <w:t xml:space="preserve">-00389-00 y 2015-00433-00 se tomaron las mismas decisiones en precedencia, pero con autos del 20-10-2016 (Folios 44 a 45 y 63 a 64, ib.) y del 28-10-2017 (Folios 47 a 48 y 66 a 67, ib.), notificados por estados del 31-10-2016, sin que fueran recurridos por accionante (Folios 48 y 67, ib.), respectivamente. En ese orden de ideas, se tiene que en dichos asuntos constitucionales, el accionante pretermitió agotar el recurso de reposición (Artículo 36, Ley 472), frente a los proveídos que negaron la concesión de las alzadas presentadas, cuando ese era el mecanismo ordinario y expedito que tenía para procurar que el estrado judicial accionado reconsiderara aquella determinación. (…) </w:t>
      </w:r>
      <w:r w:rsidR="00623724" w:rsidRPr="00623724">
        <w:rPr>
          <w:rFonts w:ascii="Arial" w:hAnsi="Arial" w:cs="Arial"/>
          <w:bCs/>
          <w:iCs/>
          <w:sz w:val="22"/>
          <w:szCs w:val="21"/>
          <w:lang w:val="es-ES_tradnl"/>
        </w:rPr>
        <w:t xml:space="preserve">Evidente, entonces, es la falta de agotamiento del supuesto de subsidiariedad, como ha explicado </w:t>
      </w:r>
      <w:r w:rsidR="00623724" w:rsidRPr="00623724">
        <w:rPr>
          <w:rFonts w:ascii="Arial" w:hAnsi="Arial" w:cs="Arial"/>
          <w:bCs/>
          <w:iCs/>
          <w:sz w:val="22"/>
          <w:szCs w:val="21"/>
        </w:rPr>
        <w:t xml:space="preserve">la CC, que reiteradamente ha referido que la acción de tutela no puede implementarse como mecanismo alternativo o paralelo para resolver problemas jurídicos que deben ser resueltos al interior del trámite ordinario. (…)   </w:t>
      </w:r>
      <w:r w:rsidR="00623724" w:rsidRPr="00623724">
        <w:rPr>
          <w:rFonts w:ascii="Arial" w:hAnsi="Arial" w:cs="Arial"/>
          <w:bCs/>
          <w:iCs/>
          <w:sz w:val="22"/>
          <w:szCs w:val="21"/>
          <w:lang w:val="es-ES_tradnl"/>
        </w:rPr>
        <w:t xml:space="preserve">En ese contexto, los amparos son improcedentes toda vez que se incumplen con dos de los siete (7) requisitos generales de procedibilidad, como son la inmediatez y subsidiariedad, dado que en </w:t>
      </w:r>
      <w:r w:rsidR="00623724" w:rsidRPr="00623724">
        <w:rPr>
          <w:rFonts w:ascii="Arial" w:hAnsi="Arial" w:cs="Arial"/>
          <w:bCs/>
          <w:iCs/>
          <w:sz w:val="22"/>
          <w:szCs w:val="21"/>
        </w:rPr>
        <w:t>se sobrepasó el término fijado por la línea jurisprudencial para la presentación del amparo (</w:t>
      </w:r>
      <w:r w:rsidR="00623724" w:rsidRPr="00623724">
        <w:rPr>
          <w:rFonts w:ascii="Arial" w:hAnsi="Arial" w:cs="Arial"/>
          <w:bCs/>
          <w:iCs/>
          <w:sz w:val="22"/>
          <w:szCs w:val="21"/>
          <w:lang w:val="es-ES_tradnl"/>
        </w:rPr>
        <w:t>Acción popular No.</w:t>
      </w:r>
      <w:r w:rsidR="00623724" w:rsidRPr="00623724">
        <w:rPr>
          <w:rFonts w:ascii="Arial" w:hAnsi="Arial" w:cs="Arial"/>
          <w:bCs/>
          <w:iCs/>
          <w:sz w:val="22"/>
          <w:szCs w:val="21"/>
        </w:rPr>
        <w:t xml:space="preserve">2015-00457-00) y no se agotaron los recursos ordinarios (Acciones populares Nos. 2015-00389-00 y 2015-00433-00).”. </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00167C8F">
        <w:rPr>
          <w:rFonts w:ascii="Arial" w:hAnsi="Arial" w:cs="Arial"/>
          <w:iCs/>
          <w:smallCaps/>
          <w:sz w:val="28"/>
          <w:szCs w:val="28"/>
          <w:lang w:val="es-CO"/>
        </w:rPr>
        <w:t xml:space="preserve"> </w:t>
      </w:r>
      <w:r w:rsidR="008F02FE">
        <w:rPr>
          <w:rFonts w:ascii="Arial" w:hAnsi="Arial" w:cs="Arial"/>
          <w:iCs/>
          <w:smallCaps/>
          <w:sz w:val="28"/>
          <w:szCs w:val="28"/>
          <w:lang w:val="es-CO"/>
        </w:rPr>
        <w:t xml:space="preserve">treinta y uno </w:t>
      </w:r>
      <w:r w:rsidR="00437198" w:rsidRPr="00303E85">
        <w:rPr>
          <w:rFonts w:ascii="Arial" w:hAnsi="Arial" w:cs="Arial"/>
          <w:iCs/>
          <w:smallCaps/>
          <w:sz w:val="28"/>
          <w:szCs w:val="28"/>
          <w:lang w:val="es-CO"/>
        </w:rPr>
        <w:t>(</w:t>
      </w:r>
      <w:r w:rsidR="008F02FE">
        <w:rPr>
          <w:rFonts w:ascii="Arial" w:hAnsi="Arial" w:cs="Arial"/>
          <w:iCs/>
          <w:smallCaps/>
          <w:sz w:val="28"/>
          <w:szCs w:val="28"/>
          <w:lang w:val="es-CO"/>
        </w:rPr>
        <w:t>31</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B60C39">
        <w:rPr>
          <w:rFonts w:ascii="Arial" w:hAnsi="Arial" w:cs="Arial"/>
          <w:iCs/>
          <w:smallCaps/>
          <w:sz w:val="28"/>
          <w:szCs w:val="28"/>
          <w:lang w:val="es-CO"/>
        </w:rPr>
        <w:t>marzo</w:t>
      </w:r>
      <w:r w:rsidR="0041111B">
        <w:rPr>
          <w:rFonts w:ascii="Arial" w:hAnsi="Arial" w:cs="Arial"/>
          <w:iCs/>
          <w:smallCaps/>
          <w:sz w:val="28"/>
          <w:szCs w:val="28"/>
          <w:lang w:val="es-CO"/>
        </w:rPr>
        <w:t xml:space="preserve">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lastRenderedPageBreak/>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283DCB" w:rsidRDefault="005638DD" w:rsidP="00271459">
      <w:pPr>
        <w:spacing w:line="360" w:lineRule="auto"/>
        <w:jc w:val="both"/>
        <w:rPr>
          <w:rFonts w:ascii="Times New Roman" w:hAnsi="Times New Roman" w:cs="Times New Roman"/>
        </w:rPr>
      </w:pPr>
      <w:r>
        <w:rPr>
          <w:rFonts w:ascii="Arial" w:hAnsi="Arial" w:cs="Arial"/>
        </w:rPr>
        <w:t xml:space="preserve">Expresó </w:t>
      </w:r>
      <w:r w:rsidR="00104367">
        <w:rPr>
          <w:rFonts w:ascii="Arial" w:hAnsi="Arial" w:cs="Arial"/>
        </w:rPr>
        <w:t xml:space="preserve">el actor </w:t>
      </w:r>
      <w:r w:rsidR="0041111B">
        <w:rPr>
          <w:rFonts w:ascii="Arial" w:hAnsi="Arial" w:cs="Arial"/>
        </w:rPr>
        <w:t xml:space="preserve">que </w:t>
      </w:r>
      <w:r>
        <w:rPr>
          <w:rFonts w:ascii="Arial" w:hAnsi="Arial" w:cs="Arial"/>
        </w:rPr>
        <w:t>tramita</w:t>
      </w:r>
      <w:r w:rsidR="00271459">
        <w:rPr>
          <w:rFonts w:ascii="Arial" w:hAnsi="Arial" w:cs="Arial"/>
        </w:rPr>
        <w:t xml:space="preserve"> l</w:t>
      </w:r>
      <w:r w:rsidR="00283DCB">
        <w:rPr>
          <w:rFonts w:ascii="Arial" w:hAnsi="Arial" w:cs="Arial"/>
        </w:rPr>
        <w:t xml:space="preserve">as acciones populares </w:t>
      </w:r>
      <w:r w:rsidR="00612C75">
        <w:rPr>
          <w:rFonts w:ascii="Arial" w:hAnsi="Arial" w:cs="Arial"/>
        </w:rPr>
        <w:t>No</w:t>
      </w:r>
      <w:r w:rsidR="007D0ECC">
        <w:rPr>
          <w:rFonts w:ascii="Arial" w:hAnsi="Arial" w:cs="Arial"/>
        </w:rPr>
        <w:t>s</w:t>
      </w:r>
      <w:r w:rsidR="00A319E9">
        <w:rPr>
          <w:rFonts w:ascii="Arial" w:hAnsi="Arial" w:cs="Arial"/>
        </w:rPr>
        <w:t>.</w:t>
      </w:r>
      <w:r w:rsidR="0041111B">
        <w:rPr>
          <w:rFonts w:ascii="Arial" w:hAnsi="Arial" w:cs="Arial"/>
        </w:rPr>
        <w:t>201</w:t>
      </w:r>
      <w:r>
        <w:rPr>
          <w:rFonts w:ascii="Arial" w:hAnsi="Arial" w:cs="Arial"/>
        </w:rPr>
        <w:t>5</w:t>
      </w:r>
      <w:r w:rsidR="0041111B">
        <w:rPr>
          <w:rFonts w:ascii="Arial" w:hAnsi="Arial" w:cs="Arial"/>
        </w:rPr>
        <w:t>-00</w:t>
      </w:r>
      <w:r>
        <w:rPr>
          <w:rFonts w:ascii="Arial" w:hAnsi="Arial" w:cs="Arial"/>
        </w:rPr>
        <w:t>457</w:t>
      </w:r>
      <w:r w:rsidR="00F44440">
        <w:rPr>
          <w:rFonts w:ascii="Arial" w:hAnsi="Arial" w:cs="Arial"/>
        </w:rPr>
        <w:t>-00</w:t>
      </w:r>
      <w:r>
        <w:rPr>
          <w:rFonts w:ascii="Arial" w:hAnsi="Arial" w:cs="Arial"/>
        </w:rPr>
        <w:t>, 2015-00389</w:t>
      </w:r>
      <w:r w:rsidR="00F44440">
        <w:rPr>
          <w:rFonts w:ascii="Arial" w:hAnsi="Arial" w:cs="Arial"/>
        </w:rPr>
        <w:t>-00</w:t>
      </w:r>
      <w:r>
        <w:rPr>
          <w:rFonts w:ascii="Arial" w:hAnsi="Arial" w:cs="Arial"/>
        </w:rPr>
        <w:t xml:space="preserve"> </w:t>
      </w:r>
      <w:r w:rsidR="007D0ECC">
        <w:rPr>
          <w:rFonts w:ascii="Arial" w:hAnsi="Arial" w:cs="Arial"/>
        </w:rPr>
        <w:t>y 201</w:t>
      </w:r>
      <w:r>
        <w:rPr>
          <w:rFonts w:ascii="Arial" w:hAnsi="Arial" w:cs="Arial"/>
        </w:rPr>
        <w:t>5</w:t>
      </w:r>
      <w:r w:rsidR="007D0ECC">
        <w:rPr>
          <w:rFonts w:ascii="Arial" w:hAnsi="Arial" w:cs="Arial"/>
        </w:rPr>
        <w:t>-00</w:t>
      </w:r>
      <w:r w:rsidR="00283DCB">
        <w:rPr>
          <w:rFonts w:ascii="Arial" w:hAnsi="Arial" w:cs="Arial"/>
        </w:rPr>
        <w:t>4</w:t>
      </w:r>
      <w:r>
        <w:rPr>
          <w:rFonts w:ascii="Arial" w:hAnsi="Arial" w:cs="Arial"/>
        </w:rPr>
        <w:t>33</w:t>
      </w:r>
      <w:r w:rsidR="00F44440">
        <w:rPr>
          <w:rFonts w:ascii="Arial" w:hAnsi="Arial" w:cs="Arial"/>
        </w:rPr>
        <w:t>-00</w:t>
      </w:r>
      <w:r>
        <w:rPr>
          <w:rFonts w:ascii="Arial" w:hAnsi="Arial" w:cs="Arial"/>
        </w:rPr>
        <w:t xml:space="preserve">, </w:t>
      </w:r>
      <w:r w:rsidR="0033655A">
        <w:rPr>
          <w:rFonts w:ascii="Arial" w:hAnsi="Arial" w:cs="Arial"/>
        </w:rPr>
        <w:t>donde e</w:t>
      </w:r>
      <w:r w:rsidR="00271459">
        <w:rPr>
          <w:rFonts w:ascii="Arial" w:hAnsi="Arial" w:cs="Arial"/>
        </w:rPr>
        <w:t>l Juzgado accionado</w:t>
      </w:r>
      <w:r w:rsidR="007C2976">
        <w:rPr>
          <w:rFonts w:ascii="Arial" w:hAnsi="Arial" w:cs="Arial"/>
        </w:rPr>
        <w:t xml:space="preserve"> </w:t>
      </w:r>
      <w:r w:rsidR="00F44440">
        <w:rPr>
          <w:rFonts w:ascii="Arial" w:hAnsi="Arial" w:cs="Arial"/>
        </w:rPr>
        <w:t xml:space="preserve">declaró </w:t>
      </w:r>
      <w:r w:rsidR="00C62D65">
        <w:rPr>
          <w:rFonts w:ascii="Arial" w:hAnsi="Arial" w:cs="Arial"/>
        </w:rPr>
        <w:t xml:space="preserve">el </w:t>
      </w:r>
      <w:r w:rsidRPr="0075703C">
        <w:rPr>
          <w:rFonts w:ascii="Arial" w:hAnsi="Arial" w:cs="Arial"/>
          <w:i/>
        </w:rPr>
        <w:t>desistimiento tácito</w:t>
      </w:r>
      <w:r w:rsidR="0033655A">
        <w:rPr>
          <w:rFonts w:ascii="Arial" w:hAnsi="Arial" w:cs="Arial"/>
        </w:rPr>
        <w:t xml:space="preserve"> y</w:t>
      </w:r>
      <w:r w:rsidR="00F44440">
        <w:rPr>
          <w:rFonts w:ascii="Arial" w:hAnsi="Arial" w:cs="Arial"/>
        </w:rPr>
        <w:t xml:space="preserve"> no le concedió el </w:t>
      </w:r>
      <w:r w:rsidR="00910005">
        <w:rPr>
          <w:rFonts w:ascii="Arial" w:hAnsi="Arial" w:cs="Arial"/>
        </w:rPr>
        <w:t>recurso de apelación</w:t>
      </w:r>
      <w:r w:rsidR="00F44440">
        <w:rPr>
          <w:rFonts w:ascii="Arial" w:hAnsi="Arial" w:cs="Arial"/>
        </w:rPr>
        <w:t xml:space="preserve"> presentado</w:t>
      </w:r>
      <w:r w:rsidR="00910005">
        <w:rPr>
          <w:rFonts w:ascii="Arial" w:hAnsi="Arial" w:cs="Arial"/>
        </w:rPr>
        <w:t>.</w:t>
      </w:r>
      <w:r w:rsidR="00F44440">
        <w:rPr>
          <w:rFonts w:ascii="Arial" w:hAnsi="Arial" w:cs="Arial"/>
        </w:rPr>
        <w:t xml:space="preserve"> También que</w:t>
      </w:r>
      <w:r w:rsidR="00910005">
        <w:rPr>
          <w:rFonts w:ascii="Arial" w:hAnsi="Arial" w:cs="Arial"/>
        </w:rPr>
        <w:t xml:space="preserve"> la sociedad </w:t>
      </w:r>
      <w:proofErr w:type="spellStart"/>
      <w:r w:rsidR="00910005">
        <w:rPr>
          <w:rFonts w:ascii="Arial" w:hAnsi="Arial" w:cs="Arial"/>
        </w:rPr>
        <w:t>Audifarma</w:t>
      </w:r>
      <w:proofErr w:type="spellEnd"/>
      <w:r w:rsidR="00910005">
        <w:rPr>
          <w:rFonts w:ascii="Arial" w:hAnsi="Arial" w:cs="Arial"/>
        </w:rPr>
        <w:t xml:space="preserve"> </w:t>
      </w:r>
      <w:proofErr w:type="spellStart"/>
      <w:r w:rsidR="00910005">
        <w:rPr>
          <w:rFonts w:ascii="Arial" w:hAnsi="Arial" w:cs="Arial"/>
        </w:rPr>
        <w:t>SA</w:t>
      </w:r>
      <w:proofErr w:type="spellEnd"/>
      <w:r w:rsidR="00910005">
        <w:rPr>
          <w:rFonts w:ascii="Arial" w:hAnsi="Arial" w:cs="Arial"/>
        </w:rPr>
        <w:t xml:space="preserve"> se</w:t>
      </w:r>
      <w:r w:rsidR="00F44440">
        <w:rPr>
          <w:rFonts w:ascii="Arial" w:hAnsi="Arial" w:cs="Arial"/>
        </w:rPr>
        <w:t xml:space="preserve"> notificó de las acciones populares </w:t>
      </w:r>
      <w:r w:rsidR="00225A7C">
        <w:rPr>
          <w:rFonts w:ascii="Arial" w:hAnsi="Arial" w:cs="Arial"/>
        </w:rPr>
        <w:t xml:space="preserve">sin </w:t>
      </w:r>
      <w:r w:rsidR="00D74421">
        <w:rPr>
          <w:rFonts w:ascii="Arial" w:hAnsi="Arial" w:cs="Arial"/>
        </w:rPr>
        <w:t>ningún p</w:t>
      </w:r>
      <w:r w:rsidR="0075703C">
        <w:rPr>
          <w:rFonts w:ascii="Arial" w:hAnsi="Arial" w:cs="Arial"/>
        </w:rPr>
        <w:t>ronunciamiento</w:t>
      </w:r>
      <w:r w:rsidR="00D74421">
        <w:rPr>
          <w:rFonts w:ascii="Arial" w:hAnsi="Arial" w:cs="Arial"/>
        </w:rPr>
        <w:t xml:space="preserve"> (F</w:t>
      </w:r>
      <w:r w:rsidR="003525B5">
        <w:rPr>
          <w:rFonts w:ascii="Arial" w:hAnsi="Arial" w:cs="Arial"/>
        </w:rPr>
        <w:t>olios 1</w:t>
      </w:r>
      <w:r w:rsidR="0033655A">
        <w:rPr>
          <w:rFonts w:ascii="Arial" w:hAnsi="Arial" w:cs="Arial"/>
        </w:rPr>
        <w:t>,</w:t>
      </w:r>
      <w:r w:rsidR="003525B5">
        <w:rPr>
          <w:rFonts w:ascii="Arial" w:hAnsi="Arial" w:cs="Arial"/>
        </w:rPr>
        <w:t xml:space="preserve"> 4</w:t>
      </w:r>
      <w:r w:rsidR="0033655A">
        <w:rPr>
          <w:rFonts w:ascii="Arial" w:hAnsi="Arial" w:cs="Arial"/>
        </w:rPr>
        <w:t xml:space="preserve"> y 7</w:t>
      </w:r>
      <w:r w:rsidR="00D93290">
        <w:rPr>
          <w:rFonts w:ascii="Arial" w:hAnsi="Arial" w:cs="Arial"/>
        </w:rPr>
        <w:t>,</w:t>
      </w:r>
      <w:r w:rsidR="003525B5">
        <w:rPr>
          <w:rFonts w:ascii="Arial" w:hAnsi="Arial" w:cs="Arial"/>
        </w:rPr>
        <w:t xml:space="preserve"> </w:t>
      </w:r>
      <w:r w:rsidR="00AB69A6">
        <w:rPr>
          <w:rFonts w:ascii="Arial" w:hAnsi="Arial" w:cs="Arial"/>
        </w:rPr>
        <w:t>este</w:t>
      </w:r>
      <w:r w:rsidR="003525B5">
        <w:rPr>
          <w:rFonts w:ascii="Arial" w:hAnsi="Arial" w:cs="Arial"/>
        </w:rPr>
        <w:t xml:space="preserve"> cuaderno).</w:t>
      </w:r>
    </w:p>
    <w:p w:rsidR="002B0607" w:rsidRPr="008907D4" w:rsidRDefault="002B0607" w:rsidP="00283DCB">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 (…)”</w:t>
      </w:r>
      <w:r w:rsidR="008F02FE">
        <w:rPr>
          <w:rFonts w:ascii="Arial" w:hAnsi="Arial" w:cs="Arial"/>
          <w:i/>
          <w:spacing w:val="-3"/>
          <w:sz w:val="22"/>
          <w:lang w:val="es-ES_tradnl"/>
        </w:rPr>
        <w:t xml:space="preserve"> </w:t>
      </w:r>
      <w:r w:rsidR="008F02FE" w:rsidRPr="008F02FE">
        <w:rPr>
          <w:rFonts w:ascii="Arial" w:hAnsi="Arial" w:cs="Arial"/>
          <w:spacing w:val="-3"/>
          <w:sz w:val="22"/>
          <w:lang w:val="es-ES_tradnl"/>
        </w:rPr>
        <w:t>y</w:t>
      </w:r>
      <w:r w:rsidR="008F02FE">
        <w:rPr>
          <w:rFonts w:ascii="Arial" w:hAnsi="Arial" w:cs="Arial"/>
          <w:i/>
          <w:spacing w:val="-3"/>
          <w:sz w:val="22"/>
          <w:lang w:val="es-ES_tradnl"/>
        </w:rPr>
        <w:t xml:space="preserve"> </w:t>
      </w:r>
      <w:r w:rsidR="008F02FE" w:rsidRPr="008F02FE">
        <w:rPr>
          <w:rFonts w:ascii="Arial" w:hAnsi="Arial" w:cs="Arial"/>
          <w:spacing w:val="-3"/>
          <w:lang w:val="es-ES_tradnl"/>
        </w:rPr>
        <w:t>debido proceso</w:t>
      </w:r>
      <w:r w:rsidRPr="00EA458D">
        <w:rPr>
          <w:rFonts w:ascii="Arial" w:hAnsi="Arial" w:cs="Arial"/>
          <w:spacing w:val="-3"/>
          <w:sz w:val="22"/>
          <w:lang w:val="es-ES_tradnl"/>
        </w:rPr>
        <w:t xml:space="preserve"> </w:t>
      </w:r>
      <w:r>
        <w:rPr>
          <w:rFonts w:ascii="Arial" w:hAnsi="Arial" w:cs="Arial"/>
          <w:spacing w:val="-3"/>
          <w:lang w:val="es-ES_tradnl"/>
        </w:rPr>
        <w:t>(Folios</w:t>
      </w:r>
      <w:r w:rsidR="000359B4">
        <w:rPr>
          <w:rFonts w:ascii="Arial" w:hAnsi="Arial" w:cs="Arial"/>
          <w:spacing w:val="-3"/>
          <w:lang w:val="es-ES_tradnl"/>
        </w:rPr>
        <w:t xml:space="preserve"> </w:t>
      </w:r>
      <w:r w:rsidR="002962CC">
        <w:rPr>
          <w:rFonts w:ascii="Arial" w:hAnsi="Arial" w:cs="Arial"/>
          <w:spacing w:val="-3"/>
          <w:lang w:val="es-ES_tradnl"/>
        </w:rPr>
        <w:t>2</w:t>
      </w:r>
      <w:r w:rsidR="000359B4">
        <w:rPr>
          <w:rFonts w:ascii="Arial" w:hAnsi="Arial" w:cs="Arial"/>
          <w:spacing w:val="-3"/>
          <w:lang w:val="es-ES_tradnl"/>
        </w:rPr>
        <w:t xml:space="preserve">, 5 </w:t>
      </w:r>
      <w:r>
        <w:rPr>
          <w:rFonts w:ascii="Arial" w:hAnsi="Arial" w:cs="Arial"/>
          <w:spacing w:val="-3"/>
          <w:lang w:val="es-ES_tradnl"/>
        </w:rPr>
        <w:t xml:space="preserve">y </w:t>
      </w:r>
      <w:r w:rsidR="00AA4DEE">
        <w:rPr>
          <w:rFonts w:ascii="Arial" w:hAnsi="Arial" w:cs="Arial"/>
          <w:spacing w:val="-3"/>
          <w:lang w:val="es-ES_tradnl"/>
        </w:rPr>
        <w:t>8</w:t>
      </w:r>
      <w:r>
        <w:rPr>
          <w:rFonts w:ascii="Arial" w:hAnsi="Arial" w:cs="Arial"/>
          <w:spacing w:val="-3"/>
          <w:lang w:val="es-ES_tradnl"/>
        </w:rPr>
        <w:t>, este cuaderno).</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w:t>
      </w:r>
      <w:r w:rsidR="00F44440">
        <w:rPr>
          <w:rFonts w:ascii="Arial" w:hAnsi="Arial"/>
          <w:szCs w:val="24"/>
        </w:rPr>
        <w:t>S</w:t>
      </w:r>
      <w:r w:rsidRPr="00C37681">
        <w:rPr>
          <w:rFonts w:ascii="Arial" w:hAnsi="Arial"/>
          <w:szCs w:val="24"/>
        </w:rPr>
        <w:t xml:space="preserve"> PETIC</w:t>
      </w:r>
      <w:r w:rsidR="00F44440">
        <w:rPr>
          <w:rFonts w:ascii="Arial" w:hAnsi="Arial"/>
          <w:szCs w:val="24"/>
        </w:rPr>
        <w:t>IONES</w:t>
      </w:r>
      <w:r w:rsidRPr="00C37681">
        <w:rPr>
          <w:rFonts w:ascii="Arial" w:hAnsi="Arial"/>
          <w:szCs w:val="24"/>
        </w:rPr>
        <w:t xml:space="preserve"> DE PROTECCIÓN</w:t>
      </w:r>
    </w:p>
    <w:p w:rsidR="00303E85" w:rsidRPr="00AA1C66" w:rsidRDefault="00303E85" w:rsidP="004B1EB8">
      <w:pPr>
        <w:pStyle w:val="Sansinterligne"/>
        <w:spacing w:line="360" w:lineRule="auto"/>
        <w:jc w:val="both"/>
        <w:rPr>
          <w:rFonts w:ascii="Arial" w:hAnsi="Arial" w:cs="Arial"/>
          <w:sz w:val="20"/>
          <w:szCs w:val="24"/>
        </w:rPr>
      </w:pPr>
    </w:p>
    <w:p w:rsidR="000359B4" w:rsidRDefault="004B1EB8" w:rsidP="000359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F44440">
        <w:rPr>
          <w:rFonts w:ascii="Arial" w:hAnsi="Arial" w:cs="Arial"/>
        </w:rPr>
        <w:t>: (i) S</w:t>
      </w:r>
      <w:r w:rsidR="00D669DC">
        <w:rPr>
          <w:rFonts w:ascii="Arial" w:hAnsi="Arial" w:cs="Arial"/>
        </w:rPr>
        <w:t>e ordene a</w:t>
      </w:r>
      <w:r w:rsidR="00F86EB4">
        <w:rPr>
          <w:rFonts w:ascii="Arial" w:hAnsi="Arial" w:cs="Arial"/>
        </w:rPr>
        <w:t xml:space="preserve"> </w:t>
      </w:r>
      <w:proofErr w:type="spellStart"/>
      <w:r w:rsidR="00F86EB4">
        <w:rPr>
          <w:rFonts w:ascii="Arial" w:hAnsi="Arial" w:cs="Arial"/>
        </w:rPr>
        <w:t>Audifarma</w:t>
      </w:r>
      <w:proofErr w:type="spellEnd"/>
      <w:r w:rsidR="00F86EB4">
        <w:rPr>
          <w:rFonts w:ascii="Arial" w:hAnsi="Arial" w:cs="Arial"/>
        </w:rPr>
        <w:t xml:space="preserve"> responda las acci</w:t>
      </w:r>
      <w:r w:rsidR="00B274B0">
        <w:rPr>
          <w:rFonts w:ascii="Arial" w:hAnsi="Arial" w:cs="Arial"/>
        </w:rPr>
        <w:t>ones</w:t>
      </w:r>
      <w:r w:rsidR="00F86EB4">
        <w:rPr>
          <w:rFonts w:ascii="Arial" w:hAnsi="Arial" w:cs="Arial"/>
        </w:rPr>
        <w:t xml:space="preserve"> </w:t>
      </w:r>
      <w:r w:rsidR="00B274B0">
        <w:rPr>
          <w:rFonts w:ascii="Arial" w:hAnsi="Arial" w:cs="Arial"/>
        </w:rPr>
        <w:t>populares</w:t>
      </w:r>
      <w:r w:rsidR="00F44440">
        <w:rPr>
          <w:rFonts w:ascii="Arial" w:hAnsi="Arial" w:cs="Arial"/>
        </w:rPr>
        <w:t>;</w:t>
      </w:r>
      <w:r w:rsidR="00B274B0">
        <w:rPr>
          <w:rFonts w:ascii="Arial" w:hAnsi="Arial" w:cs="Arial"/>
        </w:rPr>
        <w:t xml:space="preserve"> </w:t>
      </w:r>
      <w:r w:rsidR="00F86EB4">
        <w:rPr>
          <w:rFonts w:ascii="Arial" w:hAnsi="Arial" w:cs="Arial"/>
        </w:rPr>
        <w:t>y</w:t>
      </w:r>
      <w:r w:rsidR="00F44440">
        <w:rPr>
          <w:rFonts w:ascii="Arial" w:hAnsi="Arial" w:cs="Arial"/>
        </w:rPr>
        <w:t>, (ii) Se disponga</w:t>
      </w:r>
      <w:r w:rsidR="00F86EB4">
        <w:rPr>
          <w:rFonts w:ascii="Arial" w:hAnsi="Arial" w:cs="Arial"/>
        </w:rPr>
        <w:t xml:space="preserve"> </w:t>
      </w:r>
      <w:r w:rsidR="00F44440">
        <w:rPr>
          <w:rFonts w:ascii="Arial" w:hAnsi="Arial" w:cs="Arial"/>
        </w:rPr>
        <w:t xml:space="preserve">que el juzgado </w:t>
      </w:r>
      <w:r w:rsidR="00F86EB4">
        <w:rPr>
          <w:rFonts w:ascii="Arial" w:hAnsi="Arial" w:cs="Arial"/>
        </w:rPr>
        <w:t>conceda el recurso de apelación</w:t>
      </w:r>
      <w:r w:rsidR="00207AFB">
        <w:rPr>
          <w:rFonts w:ascii="Arial" w:hAnsi="Arial" w:cs="Arial"/>
        </w:rPr>
        <w:t xml:space="preserve"> </w:t>
      </w:r>
      <w:r w:rsidR="006373DF">
        <w:rPr>
          <w:rFonts w:ascii="Arial" w:hAnsi="Arial" w:cs="Arial"/>
        </w:rPr>
        <w:t>interpuesto contra</w:t>
      </w:r>
      <w:r w:rsidR="00F86EB4">
        <w:rPr>
          <w:rFonts w:ascii="Arial" w:hAnsi="Arial" w:cs="Arial"/>
        </w:rPr>
        <w:t xml:space="preserve"> los autos </w:t>
      </w:r>
      <w:r w:rsidR="006373DF">
        <w:rPr>
          <w:rFonts w:ascii="Arial" w:hAnsi="Arial" w:cs="Arial"/>
        </w:rPr>
        <w:t xml:space="preserve">de </w:t>
      </w:r>
      <w:r w:rsidR="00B274B0" w:rsidRPr="00B856DA">
        <w:rPr>
          <w:rFonts w:ascii="Arial" w:hAnsi="Arial" w:cs="Arial"/>
        </w:rPr>
        <w:t>terminación</w:t>
      </w:r>
      <w:r w:rsidR="00D669DC" w:rsidRPr="00B856DA">
        <w:rPr>
          <w:rFonts w:ascii="Arial" w:hAnsi="Arial" w:cs="Arial"/>
        </w:rPr>
        <w:t xml:space="preserve"> </w:t>
      </w:r>
      <w:r w:rsidR="000359B4" w:rsidRPr="00B856DA">
        <w:rPr>
          <w:rFonts w:ascii="Arial" w:hAnsi="Arial" w:cs="Arial"/>
          <w:spacing w:val="-3"/>
          <w:lang w:val="es-ES_tradnl"/>
        </w:rPr>
        <w:t>(</w:t>
      </w:r>
      <w:r w:rsidR="000359B4">
        <w:rPr>
          <w:rFonts w:ascii="Arial" w:hAnsi="Arial" w:cs="Arial"/>
          <w:spacing w:val="-3"/>
          <w:lang w:val="es-ES_tradnl"/>
        </w:rPr>
        <w:t>Folios 1 a 2, 4 a 5 y 7 a 8, este cuaderno).</w:t>
      </w:r>
    </w:p>
    <w:p w:rsidR="009455E6" w:rsidRDefault="009455E6" w:rsidP="000359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BB4CEF" w:rsidRPr="00704D44" w:rsidRDefault="00BB4CEF" w:rsidP="00BB4CEF">
      <w:pPr>
        <w:pStyle w:val="Sansinterligne"/>
        <w:spacing w:line="360" w:lineRule="auto"/>
        <w:ind w:left="360"/>
        <w:jc w:val="both"/>
        <w:rPr>
          <w:rFonts w:ascii="Arial" w:hAnsi="Arial"/>
          <w:szCs w:val="24"/>
        </w:rPr>
      </w:pPr>
    </w:p>
    <w:p w:rsidR="009455E6" w:rsidRDefault="00971166" w:rsidP="004B1EB8">
      <w:pPr>
        <w:spacing w:line="360" w:lineRule="auto"/>
        <w:jc w:val="both"/>
        <w:rPr>
          <w:rFonts w:ascii="Arial" w:hAnsi="Arial" w:cs="Arial"/>
        </w:rPr>
      </w:pPr>
      <w:r w:rsidRPr="00B74361">
        <w:rPr>
          <w:rFonts w:ascii="Arial" w:hAnsi="Arial"/>
        </w:rPr>
        <w:t xml:space="preserve">En reparto ordinario del </w:t>
      </w:r>
      <w:r w:rsidR="00B856DA">
        <w:rPr>
          <w:rFonts w:ascii="Arial" w:hAnsi="Arial"/>
        </w:rPr>
        <w:t>16</w:t>
      </w:r>
      <w:r w:rsidR="0069231C">
        <w:rPr>
          <w:rFonts w:ascii="Arial" w:hAnsi="Arial"/>
        </w:rPr>
        <w:t>-</w:t>
      </w:r>
      <w:r w:rsidR="00EA458D">
        <w:rPr>
          <w:rFonts w:ascii="Arial" w:hAnsi="Arial"/>
        </w:rPr>
        <w:t>0</w:t>
      </w:r>
      <w:r w:rsidR="001E3291">
        <w:rPr>
          <w:rFonts w:ascii="Arial" w:hAnsi="Arial"/>
        </w:rPr>
        <w:t>3</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l</w:t>
      </w:r>
      <w:r w:rsidR="00B856DA">
        <w:rPr>
          <w:rFonts w:ascii="Arial" w:hAnsi="Arial" w:cs="Arial"/>
          <w:color w:val="000000"/>
        </w:rPr>
        <w:t xml:space="preserve"> mismo</w:t>
      </w:r>
      <w:r w:rsidR="0022407E">
        <w:rPr>
          <w:rFonts w:ascii="Arial" w:hAnsi="Arial" w:cs="Arial"/>
          <w:color w:val="000000"/>
        </w:rPr>
        <w:t xml:space="preserve"> </w:t>
      </w:r>
      <w:r w:rsidR="00EA458D">
        <w:rPr>
          <w:rFonts w:ascii="Arial" w:hAnsi="Arial" w:cs="Arial"/>
          <w:color w:val="000000"/>
        </w:rPr>
        <w:t xml:space="preserve">día </w:t>
      </w:r>
      <w:r w:rsidR="0069231C">
        <w:rPr>
          <w:rFonts w:ascii="Arial" w:hAnsi="Arial" w:cs="Arial"/>
          <w:color w:val="000000"/>
        </w:rPr>
        <w:t xml:space="preserve">se </w:t>
      </w:r>
      <w:r w:rsidR="00AB69A6">
        <w:rPr>
          <w:rFonts w:ascii="Arial" w:hAnsi="Arial" w:cs="Arial"/>
          <w:color w:val="000000"/>
        </w:rPr>
        <w:t>admitieron</w:t>
      </w:r>
      <w:r w:rsidR="007D0ECC">
        <w:rPr>
          <w:rFonts w:ascii="Arial" w:hAnsi="Arial" w:cs="Arial"/>
          <w:color w:val="000000"/>
        </w:rPr>
        <w:t xml:space="preserve"> y acumularon</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225A7C">
        <w:rPr>
          <w:rFonts w:ascii="Arial" w:hAnsi="Arial"/>
        </w:rPr>
        <w:t>,</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225A7C">
        <w:rPr>
          <w:rFonts w:ascii="Arial" w:hAnsi="Arial"/>
        </w:rPr>
        <w:t xml:space="preserve">se </w:t>
      </w:r>
      <w:r w:rsidR="00C62D65">
        <w:rPr>
          <w:rFonts w:ascii="Arial" w:hAnsi="Arial"/>
        </w:rPr>
        <w:t>rechazaron</w:t>
      </w:r>
      <w:r w:rsidR="00225A7C">
        <w:rPr>
          <w:rFonts w:ascii="Arial" w:hAnsi="Arial"/>
        </w:rPr>
        <w:t xml:space="preserve"> las acciones en contra de </w:t>
      </w:r>
      <w:proofErr w:type="spellStart"/>
      <w:r w:rsidR="00225A7C">
        <w:rPr>
          <w:rFonts w:ascii="Arial" w:hAnsi="Arial"/>
        </w:rPr>
        <w:t>Audifarma</w:t>
      </w:r>
      <w:proofErr w:type="spellEnd"/>
      <w:r w:rsidR="00225A7C">
        <w:rPr>
          <w:rFonts w:ascii="Arial" w:hAnsi="Arial"/>
        </w:rPr>
        <w:t xml:space="preserve"> </w:t>
      </w:r>
      <w:proofErr w:type="spellStart"/>
      <w:r w:rsidR="00225A7C">
        <w:rPr>
          <w:rFonts w:ascii="Arial" w:hAnsi="Arial"/>
        </w:rPr>
        <w:t>SA</w:t>
      </w:r>
      <w:proofErr w:type="spellEnd"/>
      <w:r w:rsidR="009455E6">
        <w:rPr>
          <w:rFonts w:ascii="Arial" w:hAnsi="Arial"/>
        </w:rPr>
        <w:t xml:space="preserve">, </w:t>
      </w:r>
      <w:r w:rsidR="009455E6" w:rsidRPr="008E5A62">
        <w:rPr>
          <w:rFonts w:ascii="Arial" w:hAnsi="Arial"/>
        </w:rPr>
        <w:t>entre otros ordenamientos</w:t>
      </w:r>
      <w:r w:rsidR="00EA458D">
        <w:rPr>
          <w:rFonts w:ascii="Arial" w:hAnsi="Arial"/>
        </w:rPr>
        <w:t xml:space="preserve"> (Folio</w:t>
      </w:r>
      <w:r w:rsidR="00BB4CEF">
        <w:rPr>
          <w:rFonts w:ascii="Arial" w:hAnsi="Arial"/>
        </w:rPr>
        <w:t>s</w:t>
      </w:r>
      <w:r w:rsidR="00314889">
        <w:rPr>
          <w:rFonts w:ascii="Arial" w:hAnsi="Arial"/>
        </w:rPr>
        <w:t xml:space="preserve"> </w:t>
      </w:r>
      <w:r w:rsidR="00E67EE2">
        <w:rPr>
          <w:rFonts w:ascii="Arial" w:hAnsi="Arial"/>
        </w:rPr>
        <w:t>11</w:t>
      </w:r>
      <w:r w:rsidR="00BB4CEF">
        <w:rPr>
          <w:rFonts w:ascii="Arial" w:hAnsi="Arial"/>
        </w:rPr>
        <w:t xml:space="preserve"> a </w:t>
      </w:r>
      <w:r w:rsidR="00E67EE2">
        <w:rPr>
          <w:rFonts w:ascii="Arial" w:hAnsi="Arial"/>
        </w:rPr>
        <w:t>12,</w:t>
      </w:r>
      <w:r w:rsidR="00314889">
        <w:rPr>
          <w:rFonts w:ascii="Arial" w:hAnsi="Arial"/>
        </w:rPr>
        <w:t xml:space="preserve"> </w:t>
      </w:r>
      <w:r w:rsidR="00AB69A6">
        <w:rPr>
          <w:rFonts w:ascii="Arial" w:hAnsi="Arial"/>
        </w:rPr>
        <w:t>ibídem</w:t>
      </w:r>
      <w:r w:rsidR="001E3291">
        <w:rPr>
          <w:rFonts w:ascii="Arial" w:hAnsi="Arial"/>
        </w:rPr>
        <w:t>)</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s 1</w:t>
      </w:r>
      <w:r w:rsidR="00E67EE2">
        <w:rPr>
          <w:rFonts w:ascii="Arial" w:hAnsi="Arial" w:cs="Arial"/>
          <w:color w:val="000000"/>
        </w:rPr>
        <w:t>3</w:t>
      </w:r>
      <w:r w:rsidR="00BB4CEF">
        <w:rPr>
          <w:rFonts w:ascii="Arial" w:hAnsi="Arial" w:cs="Arial"/>
          <w:color w:val="000000"/>
        </w:rPr>
        <w:t xml:space="preserve"> a 1</w:t>
      </w:r>
      <w:r w:rsidR="00E67EE2">
        <w:rPr>
          <w:rFonts w:ascii="Arial" w:hAnsi="Arial" w:cs="Arial"/>
          <w:color w:val="000000"/>
        </w:rPr>
        <w:t>4</w:t>
      </w:r>
      <w:r w:rsidR="00BB4CEF">
        <w:rPr>
          <w:rFonts w:ascii="Arial" w:hAnsi="Arial" w:cs="Arial"/>
          <w:color w:val="000000"/>
        </w:rPr>
        <w:t>,</w:t>
      </w:r>
      <w:r w:rsidR="004B1EB8" w:rsidRPr="004B019A">
        <w:rPr>
          <w:rFonts w:ascii="Arial" w:hAnsi="Arial" w:cs="Arial"/>
          <w:color w:val="000000"/>
        </w:rPr>
        <w:t xml:space="preserve"> </w:t>
      </w:r>
      <w:r w:rsidR="00E67EE2" w:rsidRPr="006C594A">
        <w:rPr>
          <w:rFonts w:ascii="Arial" w:hAnsi="Arial" w:cs="Arial"/>
          <w:color w:val="000000"/>
        </w:rPr>
        <w:t>ib</w:t>
      </w:r>
      <w:r w:rsidR="006C594A" w:rsidRPr="006C594A">
        <w:rPr>
          <w:rFonts w:ascii="Arial" w:hAnsi="Arial" w:cs="Arial"/>
          <w:color w:val="000000"/>
        </w:rPr>
        <w:t>íd</w:t>
      </w:r>
      <w:r w:rsidR="006C594A">
        <w:rPr>
          <w:rFonts w:ascii="Arial" w:hAnsi="Arial" w:cs="Arial"/>
          <w:color w:val="000000"/>
        </w:rPr>
        <w:t>em</w:t>
      </w:r>
      <w:r w:rsidR="004B1EB8" w:rsidRPr="004B019A">
        <w:rPr>
          <w:rFonts w:ascii="Arial" w:hAnsi="Arial" w:cs="Arial"/>
          <w:color w:val="000000"/>
        </w:rPr>
        <w:t>).</w:t>
      </w:r>
      <w:r w:rsidR="001E3291">
        <w:rPr>
          <w:rFonts w:ascii="Arial" w:hAnsi="Arial" w:cs="Arial"/>
          <w:color w:val="000000"/>
        </w:rPr>
        <w:t xml:space="preserve"> </w:t>
      </w:r>
      <w:r w:rsidR="00EA458D">
        <w:rPr>
          <w:rFonts w:ascii="Arial" w:hAnsi="Arial" w:cs="Arial"/>
          <w:color w:val="000000"/>
        </w:rPr>
        <w:t>Contestaron la Procuraduría General de la Nación, Regional Risaralda (Folio</w:t>
      </w:r>
      <w:r w:rsidR="00612C75">
        <w:rPr>
          <w:rFonts w:ascii="Arial" w:hAnsi="Arial" w:cs="Arial"/>
          <w:color w:val="000000"/>
        </w:rPr>
        <w:t xml:space="preserve"> </w:t>
      </w:r>
      <w:r w:rsidR="00E67EE2">
        <w:rPr>
          <w:rFonts w:ascii="Arial" w:hAnsi="Arial" w:cs="Arial"/>
          <w:color w:val="000000"/>
        </w:rPr>
        <w:t>15</w:t>
      </w:r>
      <w:r w:rsidR="001E3291">
        <w:rPr>
          <w:rFonts w:ascii="Arial" w:hAnsi="Arial" w:cs="Arial"/>
          <w:color w:val="000000"/>
        </w:rPr>
        <w:t>,</w:t>
      </w:r>
      <w:r w:rsidR="00612C75">
        <w:rPr>
          <w:rFonts w:ascii="Arial" w:hAnsi="Arial" w:cs="Arial"/>
          <w:color w:val="000000"/>
        </w:rPr>
        <w:t xml:space="preserve"> ib</w:t>
      </w:r>
      <w:r w:rsidR="0013279A">
        <w:rPr>
          <w:rFonts w:ascii="Arial" w:hAnsi="Arial" w:cs="Arial"/>
          <w:color w:val="000000"/>
        </w:rPr>
        <w:t>ídem</w:t>
      </w:r>
      <w:r w:rsidR="00612C75">
        <w:rPr>
          <w:rFonts w:ascii="Arial" w:hAnsi="Arial" w:cs="Arial"/>
          <w:color w:val="000000"/>
        </w:rPr>
        <w:t>)</w:t>
      </w:r>
      <w:r w:rsidR="00C62D65">
        <w:rPr>
          <w:rFonts w:ascii="Arial" w:hAnsi="Arial" w:cs="Arial"/>
          <w:color w:val="000000"/>
        </w:rPr>
        <w:t xml:space="preserve">, la </w:t>
      </w:r>
      <w:r w:rsidR="00E67EE2">
        <w:rPr>
          <w:rFonts w:ascii="Arial" w:hAnsi="Arial" w:cs="Arial"/>
          <w:color w:val="000000"/>
        </w:rPr>
        <w:t xml:space="preserve">Personería de Pereira </w:t>
      </w:r>
      <w:r w:rsidR="001E3291">
        <w:rPr>
          <w:rFonts w:ascii="Arial" w:hAnsi="Arial" w:cs="Arial"/>
        </w:rPr>
        <w:t>(Folio</w:t>
      </w:r>
      <w:r w:rsidR="00E67EE2">
        <w:rPr>
          <w:rFonts w:ascii="Arial" w:hAnsi="Arial" w:cs="Arial"/>
        </w:rPr>
        <w:t>s 69 a 71</w:t>
      </w:r>
      <w:r w:rsidR="001E3291">
        <w:rPr>
          <w:rFonts w:ascii="Arial" w:hAnsi="Arial" w:cs="Arial"/>
        </w:rPr>
        <w:t xml:space="preserve">, </w:t>
      </w:r>
      <w:r w:rsidR="001E3291" w:rsidRPr="006C594A">
        <w:rPr>
          <w:rFonts w:ascii="Arial" w:hAnsi="Arial" w:cs="Arial"/>
        </w:rPr>
        <w:t>ib</w:t>
      </w:r>
      <w:r w:rsidR="00305D07">
        <w:rPr>
          <w:rFonts w:ascii="Arial" w:hAnsi="Arial" w:cs="Arial"/>
        </w:rPr>
        <w:t>.</w:t>
      </w:r>
      <w:r w:rsidR="001E3291" w:rsidRPr="006C594A">
        <w:rPr>
          <w:rFonts w:ascii="Arial" w:hAnsi="Arial" w:cs="Arial"/>
        </w:rPr>
        <w:t>)</w:t>
      </w:r>
      <w:r w:rsidR="003A2B58">
        <w:rPr>
          <w:rFonts w:ascii="Arial" w:hAnsi="Arial" w:cs="Arial"/>
        </w:rPr>
        <w:t xml:space="preserve"> </w:t>
      </w:r>
      <w:r w:rsidR="00AB69A6">
        <w:rPr>
          <w:rFonts w:ascii="Arial" w:hAnsi="Arial" w:cs="Arial"/>
        </w:rPr>
        <w:t>y l</w:t>
      </w:r>
      <w:r w:rsidR="00771BFD">
        <w:rPr>
          <w:rFonts w:ascii="Arial" w:hAnsi="Arial" w:cs="Arial"/>
        </w:rPr>
        <w:t>a Alcaldía de Pereira (Folio</w:t>
      </w:r>
      <w:r w:rsidR="0013279A">
        <w:rPr>
          <w:rFonts w:ascii="Arial" w:hAnsi="Arial" w:cs="Arial"/>
        </w:rPr>
        <w:t>s 75 a 76</w:t>
      </w:r>
      <w:r w:rsidR="00305D07">
        <w:rPr>
          <w:rFonts w:ascii="Arial" w:hAnsi="Arial" w:cs="Arial"/>
        </w:rPr>
        <w:t xml:space="preserve">, </w:t>
      </w:r>
      <w:r w:rsidR="00C62D65">
        <w:rPr>
          <w:rFonts w:ascii="Arial" w:hAnsi="Arial" w:cs="Arial"/>
        </w:rPr>
        <w:t>ib.</w:t>
      </w:r>
      <w:r w:rsidR="00771BFD" w:rsidRPr="006C594A">
        <w:rPr>
          <w:rFonts w:ascii="Arial" w:hAnsi="Arial" w:cs="Arial"/>
        </w:rPr>
        <w:t>)</w:t>
      </w:r>
      <w:r w:rsidR="009455E6" w:rsidRPr="006C594A">
        <w:rPr>
          <w:rFonts w:ascii="Arial" w:hAnsi="Arial" w:cs="Arial"/>
        </w:rPr>
        <w:t>.</w:t>
      </w:r>
      <w:r w:rsidR="00C62D65">
        <w:rPr>
          <w:rFonts w:ascii="Arial" w:hAnsi="Arial" w:cs="Arial"/>
        </w:rPr>
        <w:t xml:space="preserve"> </w:t>
      </w:r>
      <w:r w:rsidR="00C62D65">
        <w:rPr>
          <w:rFonts w:ascii="Arial" w:hAnsi="Arial" w:cs="Arial"/>
          <w:color w:val="000000"/>
        </w:rPr>
        <w:t>El Juzgado accionado arrimó las copias requeridas (Folios 18 a 68, ib.).</w:t>
      </w:r>
    </w:p>
    <w:p w:rsidR="009455E6" w:rsidRDefault="009455E6" w:rsidP="004B1EB8">
      <w:pPr>
        <w:spacing w:line="360" w:lineRule="auto"/>
        <w:jc w:val="both"/>
        <w:rPr>
          <w:rFonts w:ascii="Arial" w:hAnsi="Arial" w:cs="Arial"/>
        </w:rPr>
      </w:pPr>
    </w:p>
    <w:p w:rsidR="004B1EB8" w:rsidRDefault="00D74421" w:rsidP="004B1EB8">
      <w:pPr>
        <w:spacing w:line="360" w:lineRule="auto"/>
        <w:jc w:val="both"/>
        <w:rPr>
          <w:rFonts w:ascii="Arial" w:hAnsi="Arial" w:cs="Arial"/>
        </w:rPr>
      </w:pPr>
      <w:r>
        <w:rPr>
          <w:rFonts w:ascii="Arial" w:hAnsi="Arial" w:cs="Arial"/>
        </w:rPr>
        <w:t xml:space="preserve">El 28-03-2017 </w:t>
      </w:r>
      <w:r w:rsidR="00C62D65">
        <w:rPr>
          <w:rFonts w:ascii="Arial" w:hAnsi="Arial" w:cs="Arial"/>
        </w:rPr>
        <w:t xml:space="preserve">se acató la </w:t>
      </w:r>
      <w:r>
        <w:rPr>
          <w:rFonts w:ascii="Arial" w:hAnsi="Arial" w:cs="Arial"/>
        </w:rPr>
        <w:t>decisión</w:t>
      </w:r>
      <w:r w:rsidR="009455E6">
        <w:rPr>
          <w:rFonts w:ascii="Arial" w:hAnsi="Arial" w:cs="Arial"/>
        </w:rPr>
        <w:t xml:space="preserve"> </w:t>
      </w:r>
      <w:r w:rsidR="00D40223">
        <w:rPr>
          <w:rFonts w:ascii="Arial" w:hAnsi="Arial" w:cs="Arial"/>
        </w:rPr>
        <w:t>de</w:t>
      </w:r>
      <w:r w:rsidR="009455E6">
        <w:rPr>
          <w:rFonts w:ascii="Arial" w:hAnsi="Arial" w:cs="Arial"/>
        </w:rPr>
        <w:t xml:space="preserve"> la Sala Mixta No.2 de esta Corporación </w:t>
      </w:r>
      <w:r w:rsidR="00C62D65">
        <w:rPr>
          <w:rFonts w:ascii="Arial" w:hAnsi="Arial" w:cs="Arial"/>
        </w:rPr>
        <w:t xml:space="preserve">y </w:t>
      </w:r>
      <w:r w:rsidR="009455E6">
        <w:rPr>
          <w:rFonts w:ascii="Arial" w:hAnsi="Arial" w:cs="Arial"/>
        </w:rPr>
        <w:t>se vincul</w:t>
      </w:r>
      <w:r w:rsidR="00305D07">
        <w:rPr>
          <w:rFonts w:ascii="Arial" w:hAnsi="Arial" w:cs="Arial"/>
        </w:rPr>
        <w:t>ó</w:t>
      </w:r>
      <w:r w:rsidR="009455E6">
        <w:rPr>
          <w:rFonts w:ascii="Arial" w:hAnsi="Arial" w:cs="Arial"/>
        </w:rPr>
        <w:t xml:space="preserve"> como litisconsorte por pasiva a la sociedad </w:t>
      </w:r>
      <w:proofErr w:type="spellStart"/>
      <w:r w:rsidR="009455E6">
        <w:rPr>
          <w:rFonts w:ascii="Arial" w:hAnsi="Arial" w:cs="Arial"/>
        </w:rPr>
        <w:t>Audifarma</w:t>
      </w:r>
      <w:proofErr w:type="spellEnd"/>
      <w:r w:rsidR="009455E6">
        <w:rPr>
          <w:rFonts w:ascii="Arial" w:hAnsi="Arial" w:cs="Arial"/>
        </w:rPr>
        <w:t xml:space="preserve"> </w:t>
      </w:r>
      <w:proofErr w:type="spellStart"/>
      <w:r w:rsidR="009455E6">
        <w:rPr>
          <w:rFonts w:ascii="Arial" w:hAnsi="Arial" w:cs="Arial"/>
        </w:rPr>
        <w:t>SA</w:t>
      </w:r>
      <w:proofErr w:type="spellEnd"/>
      <w:r w:rsidR="00305D07">
        <w:rPr>
          <w:rFonts w:ascii="Arial" w:hAnsi="Arial" w:cs="Arial"/>
        </w:rPr>
        <w:t xml:space="preserve"> (Folio 84, </w:t>
      </w:r>
      <w:r w:rsidR="00C62D65">
        <w:rPr>
          <w:rFonts w:ascii="Arial" w:hAnsi="Arial" w:cs="Arial"/>
        </w:rPr>
        <w:t>ib.</w:t>
      </w:r>
      <w:r w:rsidR="00305D07">
        <w:rPr>
          <w:rFonts w:ascii="Arial" w:hAnsi="Arial" w:cs="Arial"/>
        </w:rPr>
        <w:t xml:space="preserve">) debidamente notificada de la acción (Folio 85, </w:t>
      </w:r>
      <w:r w:rsidR="00C62D65">
        <w:rPr>
          <w:rFonts w:ascii="Arial" w:hAnsi="Arial" w:cs="Arial"/>
        </w:rPr>
        <w:t>ib.</w:t>
      </w:r>
      <w:r w:rsidR="00305D07">
        <w:rPr>
          <w:rFonts w:ascii="Arial" w:hAnsi="Arial" w:cs="Arial"/>
        </w:rPr>
        <w:t>)</w:t>
      </w:r>
      <w:r w:rsidR="00C62D65">
        <w:rPr>
          <w:rFonts w:ascii="Arial" w:hAnsi="Arial" w:cs="Arial"/>
        </w:rPr>
        <w:t xml:space="preserve"> y contestó oportunamente (Folios 88 a 89, ib.)</w:t>
      </w:r>
      <w:r w:rsidR="00305D07">
        <w:rPr>
          <w:rFonts w:ascii="Arial" w:hAnsi="Arial" w:cs="Arial"/>
        </w:rPr>
        <w:t>.</w:t>
      </w:r>
    </w:p>
    <w:p w:rsidR="00CF429F" w:rsidRDefault="00CF429F" w:rsidP="00CF429F">
      <w:pPr>
        <w:numPr>
          <w:ilvl w:val="0"/>
          <w:numId w:val="18"/>
        </w:numPr>
        <w:spacing w:line="360" w:lineRule="auto"/>
        <w:jc w:val="both"/>
        <w:rPr>
          <w:rFonts w:ascii="Arial" w:hAnsi="Arial"/>
        </w:rPr>
      </w:pPr>
      <w:r>
        <w:rPr>
          <w:rFonts w:ascii="Arial" w:hAnsi="Arial"/>
        </w:rPr>
        <w:lastRenderedPageBreak/>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623724" w:rsidRDefault="006F4450" w:rsidP="00730CA7">
      <w:pPr>
        <w:pStyle w:val="Corpsdetexte"/>
        <w:spacing w:line="360" w:lineRule="auto"/>
        <w:rPr>
          <w:rFonts w:ascii="Arial" w:hAnsi="Arial"/>
          <w:sz w:val="20"/>
          <w:szCs w:val="24"/>
          <w:lang w:val="es-ES"/>
        </w:rPr>
      </w:pPr>
    </w:p>
    <w:p w:rsidR="00C323F1" w:rsidRDefault="00A20436" w:rsidP="00C323F1">
      <w:pPr>
        <w:widowControl/>
        <w:spacing w:line="360" w:lineRule="auto"/>
        <w:jc w:val="both"/>
        <w:rPr>
          <w:rFonts w:ascii="Arial" w:hAnsi="Arial"/>
        </w:rPr>
      </w:pPr>
      <w:r>
        <w:rPr>
          <w:rFonts w:ascii="Arial" w:hAnsi="Arial"/>
        </w:rPr>
        <w:t>La Procuraduría General de la Nación, Regional Risaralda</w:t>
      </w:r>
      <w:r w:rsidR="003A2B58">
        <w:rPr>
          <w:rFonts w:ascii="Arial" w:hAnsi="Arial"/>
        </w:rPr>
        <w:t xml:space="preserve">, la Personería  y </w:t>
      </w:r>
      <w:r w:rsidR="00134196">
        <w:rPr>
          <w:rFonts w:ascii="Arial" w:hAnsi="Arial"/>
        </w:rPr>
        <w:t xml:space="preserve">la Alcaldía de Pereira, </w:t>
      </w:r>
      <w:r w:rsidR="00035F00">
        <w:rPr>
          <w:rFonts w:ascii="Arial" w:hAnsi="Arial"/>
        </w:rPr>
        <w:t>indic</w:t>
      </w:r>
      <w:r w:rsidR="00134196">
        <w:rPr>
          <w:rFonts w:ascii="Arial" w:hAnsi="Arial"/>
        </w:rPr>
        <w:t xml:space="preserve">aron </w:t>
      </w:r>
      <w:r>
        <w:rPr>
          <w:rFonts w:ascii="Arial" w:hAnsi="Arial"/>
        </w:rPr>
        <w:t>que la situación alegada es ajena a su</w:t>
      </w:r>
      <w:r w:rsidR="00AB69A6">
        <w:rPr>
          <w:rFonts w:ascii="Arial" w:hAnsi="Arial"/>
        </w:rPr>
        <w:t>s</w:t>
      </w:r>
      <w:r>
        <w:rPr>
          <w:rFonts w:ascii="Arial" w:hAnsi="Arial"/>
        </w:rPr>
        <w:t xml:space="preserve"> </w:t>
      </w:r>
      <w:r w:rsidR="00AB69A6">
        <w:rPr>
          <w:rFonts w:ascii="Arial" w:hAnsi="Arial"/>
        </w:rPr>
        <w:t>funciones</w:t>
      </w:r>
      <w:r>
        <w:rPr>
          <w:rFonts w:ascii="Arial" w:hAnsi="Arial"/>
        </w:rPr>
        <w:t xml:space="preserve">, </w:t>
      </w:r>
      <w:r w:rsidR="00134196" w:rsidRPr="00134196">
        <w:rPr>
          <w:rFonts w:ascii="Arial" w:hAnsi="Arial"/>
        </w:rPr>
        <w:t>y que al Juzgado</w:t>
      </w:r>
      <w:r w:rsidR="00134196">
        <w:rPr>
          <w:rFonts w:ascii="Arial" w:hAnsi="Arial"/>
        </w:rPr>
        <w:t xml:space="preserve"> </w:t>
      </w:r>
      <w:r w:rsidR="00134196" w:rsidRPr="00134196">
        <w:rPr>
          <w:rFonts w:ascii="Arial" w:hAnsi="Arial"/>
        </w:rPr>
        <w:t>accionado le co</w:t>
      </w:r>
      <w:r w:rsidR="00C323F1">
        <w:rPr>
          <w:rFonts w:ascii="Arial" w:hAnsi="Arial"/>
        </w:rPr>
        <w:t>rresponde</w:t>
      </w:r>
      <w:r w:rsidR="00134196" w:rsidRPr="00134196">
        <w:rPr>
          <w:rFonts w:ascii="Arial" w:hAnsi="Arial"/>
        </w:rPr>
        <w:t xml:space="preserve"> tramitar la</w:t>
      </w:r>
      <w:r w:rsidR="00134196">
        <w:rPr>
          <w:rFonts w:ascii="Arial" w:hAnsi="Arial"/>
        </w:rPr>
        <w:t>s</w:t>
      </w:r>
      <w:r w:rsidR="00134196" w:rsidRPr="00134196">
        <w:rPr>
          <w:rFonts w:ascii="Arial" w:hAnsi="Arial"/>
        </w:rPr>
        <w:t xml:space="preserve"> acci</w:t>
      </w:r>
      <w:r w:rsidR="00134196">
        <w:rPr>
          <w:rFonts w:ascii="Arial" w:hAnsi="Arial"/>
        </w:rPr>
        <w:t>ones</w:t>
      </w:r>
      <w:r w:rsidR="00134196" w:rsidRPr="00134196">
        <w:rPr>
          <w:rFonts w:ascii="Arial" w:hAnsi="Arial"/>
        </w:rPr>
        <w:t xml:space="preserve"> popular</w:t>
      </w:r>
      <w:r w:rsidR="00134196">
        <w:rPr>
          <w:rFonts w:ascii="Arial" w:hAnsi="Arial"/>
        </w:rPr>
        <w:t>es</w:t>
      </w:r>
      <w:r w:rsidR="00134196" w:rsidRPr="00134196">
        <w:rPr>
          <w:rFonts w:ascii="Arial" w:hAnsi="Arial"/>
        </w:rPr>
        <w:t xml:space="preserve"> y tomar las decisiones</w:t>
      </w:r>
      <w:r w:rsidR="00134196">
        <w:rPr>
          <w:rFonts w:ascii="Arial" w:hAnsi="Arial"/>
        </w:rPr>
        <w:t xml:space="preserve"> </w:t>
      </w:r>
      <w:r w:rsidR="00134196" w:rsidRPr="00134196">
        <w:rPr>
          <w:rFonts w:ascii="Arial" w:hAnsi="Arial"/>
        </w:rPr>
        <w:t>respectivas, por lo tanto, no se les puede imputar responsabilidad alguna. Solicitaron su</w:t>
      </w:r>
      <w:r w:rsidR="00134196">
        <w:rPr>
          <w:rFonts w:ascii="Arial" w:hAnsi="Arial"/>
        </w:rPr>
        <w:t xml:space="preserve"> </w:t>
      </w:r>
      <w:r w:rsidR="00134196" w:rsidRPr="00134196">
        <w:rPr>
          <w:rFonts w:ascii="Arial" w:hAnsi="Arial"/>
        </w:rPr>
        <w:t>desvinculación</w:t>
      </w:r>
      <w:r w:rsidR="00134196" w:rsidRPr="00FD594D">
        <w:rPr>
          <w:rFonts w:ascii="Arial" w:hAnsi="Arial"/>
        </w:rPr>
        <w:t xml:space="preserve"> </w:t>
      </w:r>
      <w:r w:rsidRPr="00FD594D">
        <w:rPr>
          <w:rFonts w:ascii="Arial" w:hAnsi="Arial"/>
        </w:rPr>
        <w:t>(Folio</w:t>
      </w:r>
      <w:r w:rsidR="00134196">
        <w:rPr>
          <w:rFonts w:ascii="Arial" w:hAnsi="Arial"/>
        </w:rPr>
        <w:t>s</w:t>
      </w:r>
      <w:r w:rsidR="00DC10AE">
        <w:rPr>
          <w:rFonts w:ascii="Arial" w:hAnsi="Arial"/>
        </w:rPr>
        <w:t xml:space="preserve"> 15</w:t>
      </w:r>
      <w:r w:rsidR="003A2B58">
        <w:rPr>
          <w:rFonts w:ascii="Arial" w:hAnsi="Arial"/>
        </w:rPr>
        <w:t>, 69 a 71</w:t>
      </w:r>
      <w:r w:rsidR="00DC10AE">
        <w:rPr>
          <w:rFonts w:ascii="Arial" w:hAnsi="Arial"/>
        </w:rPr>
        <w:t xml:space="preserve"> y 75 a 76</w:t>
      </w:r>
      <w:r>
        <w:rPr>
          <w:rFonts w:ascii="Arial" w:hAnsi="Arial"/>
        </w:rPr>
        <w:t xml:space="preserve">, </w:t>
      </w:r>
      <w:r w:rsidRPr="00FD594D">
        <w:rPr>
          <w:rFonts w:ascii="Arial" w:hAnsi="Arial"/>
        </w:rPr>
        <w:t>ib</w:t>
      </w:r>
      <w:r w:rsidR="003A2B58">
        <w:rPr>
          <w:rFonts w:ascii="Arial" w:hAnsi="Arial"/>
        </w:rPr>
        <w:t>.</w:t>
      </w:r>
      <w:r w:rsidRPr="00FD594D">
        <w:rPr>
          <w:rFonts w:ascii="Arial" w:hAnsi="Arial"/>
        </w:rPr>
        <w:t>)</w:t>
      </w:r>
      <w:r w:rsidR="003A2B58">
        <w:rPr>
          <w:rFonts w:ascii="Arial" w:hAnsi="Arial"/>
        </w:rPr>
        <w:t>. Y</w:t>
      </w:r>
      <w:r w:rsidR="00D74421" w:rsidRPr="00F65481">
        <w:rPr>
          <w:rFonts w:ascii="Arial" w:hAnsi="Arial"/>
        </w:rPr>
        <w:t xml:space="preserve"> </w:t>
      </w:r>
      <w:proofErr w:type="spellStart"/>
      <w:r w:rsidR="00D74421" w:rsidRPr="00F65481">
        <w:rPr>
          <w:rFonts w:ascii="Arial" w:hAnsi="Arial"/>
        </w:rPr>
        <w:t>Audifarma</w:t>
      </w:r>
      <w:proofErr w:type="spellEnd"/>
      <w:r w:rsidR="00D74421" w:rsidRPr="00F65481">
        <w:rPr>
          <w:rFonts w:ascii="Arial" w:hAnsi="Arial"/>
        </w:rPr>
        <w:t xml:space="preserve"> </w:t>
      </w:r>
      <w:proofErr w:type="spellStart"/>
      <w:r w:rsidR="00D74421" w:rsidRPr="00F65481">
        <w:rPr>
          <w:rFonts w:ascii="Arial" w:hAnsi="Arial"/>
        </w:rPr>
        <w:t>SA</w:t>
      </w:r>
      <w:proofErr w:type="spellEnd"/>
      <w:r w:rsidR="00F65481">
        <w:rPr>
          <w:rFonts w:ascii="Arial" w:hAnsi="Arial"/>
        </w:rPr>
        <w:t xml:space="preserve"> consideró la petición del actor</w:t>
      </w:r>
      <w:r w:rsidR="00305D07">
        <w:rPr>
          <w:rFonts w:ascii="Arial" w:hAnsi="Arial"/>
        </w:rPr>
        <w:t xml:space="preserve"> como </w:t>
      </w:r>
      <w:r w:rsidR="00F65481">
        <w:rPr>
          <w:rFonts w:ascii="Arial" w:hAnsi="Arial"/>
        </w:rPr>
        <w:t xml:space="preserve">irrazonable porque desconoce los hechos y pretensiones que </w:t>
      </w:r>
      <w:r w:rsidR="00305D07">
        <w:rPr>
          <w:rFonts w:ascii="Arial" w:hAnsi="Arial"/>
        </w:rPr>
        <w:t>originaron</w:t>
      </w:r>
      <w:r w:rsidR="00F65481">
        <w:rPr>
          <w:rFonts w:ascii="Arial" w:hAnsi="Arial"/>
        </w:rPr>
        <w:t xml:space="preserve"> las diferentes acciones populares (Folios 88 a</w:t>
      </w:r>
      <w:r w:rsidR="00305D07">
        <w:rPr>
          <w:rFonts w:ascii="Arial" w:hAnsi="Arial"/>
        </w:rPr>
        <w:t xml:space="preserve"> </w:t>
      </w:r>
      <w:r w:rsidR="00F65481">
        <w:rPr>
          <w:rFonts w:ascii="Arial" w:hAnsi="Arial"/>
        </w:rPr>
        <w:t>89</w:t>
      </w:r>
      <w:r w:rsidR="00305D07">
        <w:rPr>
          <w:rFonts w:ascii="Arial" w:hAnsi="Arial"/>
        </w:rPr>
        <w:t>, ibídem</w:t>
      </w:r>
      <w:r w:rsidR="00F65481">
        <w:rPr>
          <w:rFonts w:ascii="Arial" w:hAnsi="Arial"/>
        </w:rPr>
        <w:t>).</w:t>
      </w:r>
    </w:p>
    <w:p w:rsidR="009B58F3" w:rsidRDefault="009B58F3" w:rsidP="00C323F1">
      <w:pPr>
        <w:widowControl/>
        <w:spacing w:line="360" w:lineRule="auto"/>
        <w:jc w:val="both"/>
        <w:rPr>
          <w:rFonts w:ascii="Arial" w:hAnsi="Arial" w:cs="Arial"/>
        </w:rPr>
      </w:pPr>
    </w:p>
    <w:p w:rsidR="00CF429F" w:rsidRPr="00AB69A6" w:rsidRDefault="00CF429F" w:rsidP="00AB69A6">
      <w:pPr>
        <w:pStyle w:val="Paragraphedeliste"/>
        <w:widowControl/>
        <w:numPr>
          <w:ilvl w:val="0"/>
          <w:numId w:val="18"/>
        </w:numPr>
        <w:spacing w:line="360" w:lineRule="auto"/>
        <w:jc w:val="both"/>
        <w:rPr>
          <w:rFonts w:ascii="Arial" w:hAnsi="Arial"/>
        </w:rPr>
      </w:pPr>
      <w:r w:rsidRPr="00AB69A6">
        <w:rPr>
          <w:rFonts w:ascii="Arial" w:hAnsi="Arial"/>
        </w:rPr>
        <w:t>LA FUNDAMENTACIÓN JURÍDICA PARA DECIDIR</w:t>
      </w:r>
    </w:p>
    <w:p w:rsidR="006232EF" w:rsidRPr="004B7598" w:rsidRDefault="006232EF" w:rsidP="006232EF">
      <w:pPr>
        <w:pStyle w:val="Corpsdetexte"/>
        <w:spacing w:line="360" w:lineRule="auto"/>
        <w:ind w:left="400"/>
        <w:rPr>
          <w:rFonts w:ascii="Arial" w:hAnsi="Arial"/>
          <w:sz w:val="20"/>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Este Tribunal es competente para conocer la</w:t>
      </w:r>
      <w:r w:rsidR="00A15670" w:rsidRPr="005764A9">
        <w:rPr>
          <w:rFonts w:ascii="Arial" w:hAnsi="Arial" w:cs="Arial"/>
          <w:szCs w:val="24"/>
        </w:rPr>
        <w:t>s</w:t>
      </w:r>
      <w:r w:rsidR="005427D5" w:rsidRPr="005764A9">
        <w:rPr>
          <w:rFonts w:ascii="Arial" w:hAnsi="Arial" w:cs="Arial"/>
          <w:szCs w:val="24"/>
        </w:rPr>
        <w:t xml:space="preserve"> </w:t>
      </w:r>
      <w:r w:rsidR="00A15670" w:rsidRPr="005764A9">
        <w:rPr>
          <w:rFonts w:ascii="Arial" w:hAnsi="Arial" w:cs="Arial"/>
          <w:szCs w:val="24"/>
        </w:rPr>
        <w:t xml:space="preserve">acciones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DC2991" w:rsidRPr="005764A9">
        <w:rPr>
          <w:rFonts w:ascii="Arial" w:hAnsi="Arial" w:cs="Arial"/>
          <w:color w:val="000000"/>
          <w:szCs w:val="24"/>
        </w:rPr>
        <w:t xml:space="preserve">Cuarto </w:t>
      </w:r>
      <w:r w:rsidR="0041111B" w:rsidRPr="005764A9">
        <w:rPr>
          <w:rFonts w:ascii="Arial" w:hAnsi="Arial" w:cs="Arial"/>
          <w:color w:val="000000"/>
          <w:szCs w:val="24"/>
        </w:rPr>
        <w:t>Civil del Circuito de Pereira</w:t>
      </w:r>
      <w:r w:rsidR="000F0197">
        <w:rPr>
          <w:rFonts w:ascii="Arial" w:hAnsi="Arial" w:cs="Arial"/>
          <w:color w:val="000000"/>
          <w:szCs w:val="24"/>
        </w:rPr>
        <w:t>.</w:t>
      </w:r>
    </w:p>
    <w:p w:rsidR="00730CA7" w:rsidRPr="004B7598" w:rsidRDefault="00C843CF" w:rsidP="005764A9">
      <w:pPr>
        <w:pStyle w:val="Retraitcorpsdetexte2"/>
        <w:tabs>
          <w:tab w:val="left" w:pos="709"/>
        </w:tabs>
        <w:spacing w:after="0" w:line="360" w:lineRule="auto"/>
        <w:ind w:left="709" w:hanging="709"/>
        <w:jc w:val="both"/>
        <w:rPr>
          <w:rFonts w:ascii="Arial" w:hAnsi="Arial" w:cs="Arial"/>
          <w:szCs w:val="24"/>
        </w:rPr>
      </w:pPr>
      <w:r>
        <w:rPr>
          <w:rFonts w:ascii="Arial" w:hAnsi="Arial" w:cs="Arial"/>
          <w:color w:val="000000"/>
          <w:sz w:val="24"/>
          <w:szCs w:val="24"/>
        </w:rPr>
        <w:t xml:space="preserve"> </w:t>
      </w:r>
    </w:p>
    <w:p w:rsidR="00354897" w:rsidRPr="00411CBC" w:rsidRDefault="005764A9" w:rsidP="001A426F">
      <w:pPr>
        <w:pStyle w:val="Corpsdetexte"/>
        <w:numPr>
          <w:ilvl w:val="1"/>
          <w:numId w:val="18"/>
        </w:numPr>
        <w:tabs>
          <w:tab w:val="clear" w:pos="0"/>
        </w:tabs>
        <w:spacing w:line="360" w:lineRule="auto"/>
        <w:ind w:left="709" w:hanging="709"/>
        <w:rPr>
          <w:rFonts w:ascii="Arial" w:hAnsi="Arial" w:cs="Arial"/>
          <w:szCs w:val="24"/>
        </w:rPr>
      </w:pPr>
      <w:r w:rsidRPr="00411CBC">
        <w:rPr>
          <w:rFonts w:ascii="Arial" w:hAnsi="Arial"/>
          <w:smallCaps/>
        </w:rPr>
        <w:t xml:space="preserve">La legitimación en la causa. </w:t>
      </w:r>
      <w:r w:rsidR="00354897" w:rsidRPr="00411CBC">
        <w:rPr>
          <w:rFonts w:ascii="Arial" w:hAnsi="Arial" w:cs="Arial"/>
          <w:szCs w:val="24"/>
        </w:rPr>
        <w:t xml:space="preserve">Se cumple por activa </w:t>
      </w:r>
      <w:r w:rsidR="00DF345F" w:rsidRPr="005764A9">
        <w:rPr>
          <w:rFonts w:ascii="Arial" w:hAnsi="Arial" w:cs="Arial"/>
          <w:szCs w:val="24"/>
        </w:rPr>
        <w:t xml:space="preserve">dado que el actor promovió las acciones populares donde se reprocha la falta al debido proceso. Y por pasiva, porque el </w:t>
      </w:r>
      <w:r w:rsidR="00DF345F">
        <w:rPr>
          <w:rFonts w:ascii="Arial" w:hAnsi="Arial" w:cs="Arial"/>
          <w:szCs w:val="24"/>
        </w:rPr>
        <w:t>accionado</w:t>
      </w:r>
      <w:r w:rsidR="00DF345F" w:rsidRPr="005764A9">
        <w:rPr>
          <w:rFonts w:ascii="Arial" w:hAnsi="Arial" w:cs="Arial"/>
          <w:szCs w:val="24"/>
        </w:rPr>
        <w:t>,</w:t>
      </w:r>
      <w:r w:rsidR="00DF345F">
        <w:rPr>
          <w:rFonts w:ascii="Arial" w:hAnsi="Arial" w:cs="Arial"/>
          <w:szCs w:val="24"/>
        </w:rPr>
        <w:t xml:space="preserve"> </w:t>
      </w:r>
      <w:r w:rsidR="00DF345F" w:rsidRPr="005764A9">
        <w:rPr>
          <w:rFonts w:ascii="Arial" w:hAnsi="Arial" w:cs="Arial"/>
          <w:szCs w:val="24"/>
        </w:rPr>
        <w:t>es la autoridad judicial que conoce los juicios</w:t>
      </w:r>
      <w:r w:rsidR="00DF345F">
        <w:rPr>
          <w:rFonts w:ascii="Arial" w:hAnsi="Arial" w:cs="Arial"/>
          <w:szCs w:val="24"/>
        </w:rPr>
        <w:t xml:space="preserve"> y </w:t>
      </w:r>
      <w:proofErr w:type="spellStart"/>
      <w:r w:rsidR="00207AFB">
        <w:rPr>
          <w:rFonts w:ascii="Arial" w:hAnsi="Arial" w:cs="Arial"/>
          <w:szCs w:val="24"/>
        </w:rPr>
        <w:t>Audifarma</w:t>
      </w:r>
      <w:proofErr w:type="spellEnd"/>
      <w:r w:rsidR="00207AFB">
        <w:rPr>
          <w:rFonts w:ascii="Arial" w:hAnsi="Arial" w:cs="Arial"/>
          <w:szCs w:val="24"/>
        </w:rPr>
        <w:t xml:space="preserve">  </w:t>
      </w:r>
      <w:proofErr w:type="spellStart"/>
      <w:r w:rsidR="00774079">
        <w:rPr>
          <w:rFonts w:ascii="Arial" w:hAnsi="Arial" w:cs="Arial"/>
          <w:szCs w:val="24"/>
        </w:rPr>
        <w:t>SA</w:t>
      </w:r>
      <w:proofErr w:type="spellEnd"/>
      <w:r w:rsidR="00774079">
        <w:rPr>
          <w:rFonts w:ascii="Arial" w:hAnsi="Arial" w:cs="Arial"/>
          <w:szCs w:val="24"/>
        </w:rPr>
        <w:t xml:space="preserve"> </w:t>
      </w:r>
      <w:r w:rsidR="003279FC">
        <w:rPr>
          <w:rFonts w:ascii="Arial" w:hAnsi="Arial" w:cs="Arial"/>
          <w:szCs w:val="24"/>
        </w:rPr>
        <w:t>en razón a que</w:t>
      </w:r>
      <w:r w:rsidR="003A2B58">
        <w:rPr>
          <w:rFonts w:ascii="Arial" w:hAnsi="Arial" w:cs="Arial"/>
          <w:szCs w:val="24"/>
        </w:rPr>
        <w:t xml:space="preserve"> se le e</w:t>
      </w:r>
      <w:r w:rsidR="00207AFB">
        <w:rPr>
          <w:rFonts w:ascii="Arial" w:hAnsi="Arial" w:cs="Arial"/>
          <w:szCs w:val="24"/>
        </w:rPr>
        <w:t xml:space="preserve">ndilga la afectación de </w:t>
      </w:r>
      <w:r w:rsidR="002A0C2A">
        <w:rPr>
          <w:rFonts w:ascii="Arial" w:hAnsi="Arial" w:cs="Arial"/>
          <w:szCs w:val="24"/>
        </w:rPr>
        <w:t xml:space="preserve">los </w:t>
      </w:r>
      <w:r w:rsidR="00207AFB">
        <w:rPr>
          <w:rFonts w:ascii="Arial" w:hAnsi="Arial" w:cs="Arial"/>
          <w:szCs w:val="24"/>
        </w:rPr>
        <w:t xml:space="preserve">derechos por cuenta de </w:t>
      </w:r>
      <w:r w:rsidR="002A0C2A">
        <w:rPr>
          <w:rFonts w:ascii="Arial" w:hAnsi="Arial" w:cs="Arial"/>
          <w:szCs w:val="24"/>
        </w:rPr>
        <w:t xml:space="preserve">que no respondió las acciones populares </w:t>
      </w:r>
      <w:r w:rsidR="003279FC">
        <w:rPr>
          <w:rFonts w:ascii="Arial" w:hAnsi="Arial" w:cs="Arial"/>
          <w:szCs w:val="24"/>
        </w:rPr>
        <w:t xml:space="preserve">presentadas </w:t>
      </w:r>
      <w:r w:rsidR="00DF345F">
        <w:rPr>
          <w:rFonts w:ascii="Arial" w:hAnsi="Arial" w:cs="Arial"/>
          <w:szCs w:val="24"/>
        </w:rPr>
        <w:t>por el accionante.</w:t>
      </w:r>
    </w:p>
    <w:p w:rsidR="00354897" w:rsidRDefault="00354897" w:rsidP="00354897">
      <w:pPr>
        <w:pStyle w:val="Paragraphedeliste"/>
        <w:rPr>
          <w:rFonts w:ascii="Arial" w:hAnsi="Arial" w:cs="Arial"/>
        </w:rPr>
      </w:pPr>
    </w:p>
    <w:p w:rsidR="005764A9" w:rsidRDefault="005764A9" w:rsidP="0047188F">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w:t>
      </w:r>
      <w:r w:rsidR="00354897">
        <w:rPr>
          <w:rFonts w:ascii="Arial" w:hAnsi="Arial" w:cs="Arial"/>
        </w:rPr>
        <w:t xml:space="preserve"> y </w:t>
      </w:r>
      <w:proofErr w:type="spellStart"/>
      <w:r w:rsidR="00354897">
        <w:rPr>
          <w:rFonts w:ascii="Arial" w:hAnsi="Arial" w:cs="Arial"/>
        </w:rPr>
        <w:t>Audifarma</w:t>
      </w:r>
      <w:proofErr w:type="spellEnd"/>
      <w:r w:rsidR="00774079">
        <w:rPr>
          <w:rFonts w:ascii="Arial" w:hAnsi="Arial" w:cs="Arial"/>
        </w:rPr>
        <w:t xml:space="preserve"> </w:t>
      </w:r>
      <w:proofErr w:type="spellStart"/>
      <w:r w:rsidR="00774079">
        <w:rPr>
          <w:rFonts w:ascii="Arial" w:hAnsi="Arial" w:cs="Arial"/>
        </w:rPr>
        <w:t>SA</w:t>
      </w:r>
      <w:proofErr w:type="spellEnd"/>
      <w:r w:rsidRPr="005764A9">
        <w:rPr>
          <w:rFonts w:ascii="Arial" w:hAnsi="Arial" w:cs="Arial"/>
        </w:rPr>
        <w:t>, ha</w:t>
      </w:r>
      <w:r w:rsidR="00354897">
        <w:rPr>
          <w:rFonts w:ascii="Arial" w:hAnsi="Arial" w:cs="Arial"/>
        </w:rPr>
        <w:t>n</w:t>
      </w:r>
      <w:r w:rsidRPr="005764A9">
        <w:rPr>
          <w:rFonts w:ascii="Arial" w:hAnsi="Arial" w:cs="Arial"/>
        </w:rPr>
        <w:t xml:space="preserve"> vulnerado o amenazado los derechos fundamentales del accionante con ocasión del trámite surtido en las acciones populares</w:t>
      </w:r>
      <w:r w:rsidR="002A0C2A">
        <w:rPr>
          <w:rFonts w:ascii="Arial" w:hAnsi="Arial" w:cs="Arial"/>
        </w:rPr>
        <w:t xml:space="preserve"> y no respondió las acciones, respectivamente</w:t>
      </w:r>
      <w:r w:rsidRPr="005764A9">
        <w:rPr>
          <w:rFonts w:ascii="Arial" w:hAnsi="Arial" w:cs="Arial"/>
        </w:rPr>
        <w:t xml:space="preserve">, según lo expuesto en los escritos de tutela?   </w:t>
      </w:r>
    </w:p>
    <w:p w:rsidR="005764A9" w:rsidRPr="008F02FE" w:rsidRDefault="005764A9" w:rsidP="005764A9">
      <w:pPr>
        <w:pStyle w:val="Paragraphedeliste"/>
        <w:rPr>
          <w:rFonts w:ascii="Arial" w:hAnsi="Arial" w:cs="Arial"/>
          <w:sz w:val="32"/>
        </w:rPr>
      </w:pPr>
    </w:p>
    <w:p w:rsidR="005764A9" w:rsidRDefault="005764A9" w:rsidP="005764A9">
      <w:pPr>
        <w:pStyle w:val="Corpsdetexte"/>
        <w:numPr>
          <w:ilvl w:val="0"/>
          <w:numId w:val="18"/>
        </w:numPr>
        <w:spacing w:line="360" w:lineRule="auto"/>
        <w:rPr>
          <w:rFonts w:ascii="Arial" w:hAnsi="Arial"/>
          <w:szCs w:val="24"/>
        </w:rPr>
      </w:pPr>
      <w:r>
        <w:rPr>
          <w:rFonts w:ascii="Arial" w:hAnsi="Arial"/>
          <w:szCs w:val="24"/>
        </w:rPr>
        <w:t xml:space="preserve">   </w:t>
      </w:r>
      <w:r w:rsidRPr="006F4450">
        <w:rPr>
          <w:rFonts w:ascii="Arial" w:hAnsi="Arial"/>
          <w:szCs w:val="24"/>
        </w:rPr>
        <w:t xml:space="preserve">LA </w:t>
      </w:r>
      <w:r>
        <w:rPr>
          <w:rFonts w:ascii="Arial" w:hAnsi="Arial"/>
          <w:szCs w:val="24"/>
        </w:rPr>
        <w:t>RESOLUCIÓN DEL PROBLEMA JURÍDICO</w:t>
      </w:r>
    </w:p>
    <w:p w:rsidR="005764A9" w:rsidRPr="00DC6BEA" w:rsidRDefault="005764A9" w:rsidP="00885A62">
      <w:pPr>
        <w:pStyle w:val="Corpsdetexte"/>
        <w:spacing w:line="360" w:lineRule="auto"/>
        <w:rPr>
          <w:rFonts w:ascii="Arial" w:hAnsi="Arial"/>
          <w:smallCaps/>
          <w:sz w:val="18"/>
          <w:szCs w:val="24"/>
        </w:rPr>
      </w:pPr>
    </w:p>
    <w:p w:rsidR="00D10AEC" w:rsidRPr="002A0C2A" w:rsidRDefault="00D10AEC" w:rsidP="00C323F1">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2A0C2A">
        <w:rPr>
          <w:rFonts w:ascii="Arial" w:hAnsi="Arial" w:cs="Verdana"/>
          <w:smallCaps/>
          <w:spacing w:val="0"/>
          <w:szCs w:val="24"/>
          <w:lang w:val="es-ES"/>
        </w:rPr>
        <w:t>Las sub-reglas de análisis en la procedibilidad frente a decisiones judiciales</w:t>
      </w:r>
    </w:p>
    <w:p w:rsidR="00DC6BEA" w:rsidRPr="00DC6BEA" w:rsidRDefault="00DC6BEA" w:rsidP="00C323F1">
      <w:pPr>
        <w:pStyle w:val="Corpsdetexte"/>
        <w:spacing w:line="360" w:lineRule="auto"/>
        <w:rPr>
          <w:rFonts w:ascii="Arial" w:hAnsi="Arial" w:cs="Arial"/>
          <w:szCs w:val="24"/>
        </w:rPr>
      </w:pPr>
    </w:p>
    <w:p w:rsidR="00D33789" w:rsidRPr="00907C22" w:rsidRDefault="00D33789" w:rsidP="00C323F1">
      <w:pPr>
        <w:pStyle w:val="Corpsdetexte"/>
        <w:spacing w:line="360" w:lineRule="auto"/>
        <w:rPr>
          <w:rFonts w:ascii="Arial" w:hAnsi="Arial" w:cs="Arial"/>
          <w:szCs w:val="24"/>
        </w:rPr>
      </w:pPr>
      <w:r w:rsidRPr="00DC6BEA">
        <w:rPr>
          <w:rFonts w:ascii="Arial" w:hAnsi="Arial" w:cs="Arial"/>
          <w:szCs w:val="24"/>
        </w:rPr>
        <w:t>Desde la sentencia C-543</w:t>
      </w:r>
      <w:r w:rsidRPr="00DC6BEA">
        <w:t xml:space="preserve"> </w:t>
      </w:r>
      <w:r w:rsidR="00D93290">
        <w:rPr>
          <w:rFonts w:ascii="Arial" w:hAnsi="Arial" w:cs="Arial"/>
          <w:szCs w:val="24"/>
        </w:rPr>
        <w:t xml:space="preserve">de 1992, </w:t>
      </w:r>
      <w:r w:rsidRPr="00DC6BEA">
        <w:rPr>
          <w:rFonts w:ascii="Arial" w:hAnsi="Arial" w:cs="Arial"/>
          <w:szCs w:val="24"/>
        </w:rPr>
        <w:t>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1"/>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2"/>
      </w:r>
      <w:r w:rsidRPr="00DC6BEA">
        <w:rPr>
          <w:rFonts w:ascii="Arial" w:hAnsi="Arial" w:cs="Arial"/>
          <w:szCs w:val="24"/>
        </w:rPr>
        <w:t>.</w:t>
      </w:r>
    </w:p>
    <w:p w:rsidR="00D33789" w:rsidRPr="00907C22" w:rsidRDefault="00D33789" w:rsidP="00D33789">
      <w:pPr>
        <w:pStyle w:val="Corpsdetexte"/>
        <w:spacing w:line="360" w:lineRule="auto"/>
        <w:rPr>
          <w:rFonts w:ascii="Arial" w:hAnsi="Arial" w:cs="Arial"/>
          <w:szCs w:val="24"/>
        </w:rPr>
      </w:pPr>
      <w:r w:rsidRPr="00907C22">
        <w:rPr>
          <w:rFonts w:ascii="Arial" w:hAnsi="Arial" w:cs="Arial"/>
          <w:szCs w:val="24"/>
        </w:rPr>
        <w:lastRenderedPageBreak/>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D33789" w:rsidRPr="00F44440" w:rsidRDefault="00D33789" w:rsidP="00D33789">
      <w:pPr>
        <w:pStyle w:val="Corpsdetexte"/>
        <w:spacing w:line="360" w:lineRule="auto"/>
        <w:rPr>
          <w:rFonts w:ascii="Arial" w:hAnsi="Arial" w:cs="Arial"/>
          <w:sz w:val="20"/>
          <w:szCs w:val="24"/>
        </w:rPr>
      </w:pPr>
    </w:p>
    <w:p w:rsidR="00D33789" w:rsidRDefault="00D33789" w:rsidP="00D33789">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1C19B2" w:rsidRPr="004B7598" w:rsidRDefault="001C19B2" w:rsidP="00D33789">
      <w:pPr>
        <w:pStyle w:val="Corpsdetexte"/>
        <w:spacing w:line="360" w:lineRule="auto"/>
        <w:rPr>
          <w:rFonts w:ascii="Arial" w:hAnsi="Arial" w:cs="Arial"/>
          <w:sz w:val="20"/>
          <w:szCs w:val="24"/>
        </w:rPr>
      </w:pPr>
    </w:p>
    <w:p w:rsidR="001C19B2" w:rsidRDefault="00D33789" w:rsidP="00D33789">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D33789" w:rsidRPr="00907C22" w:rsidRDefault="00D33789" w:rsidP="00D33789">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D10AEC" w:rsidRDefault="00D10AEC" w:rsidP="00D10AEC">
      <w:pPr>
        <w:pStyle w:val="Corpsdetexte"/>
        <w:spacing w:line="360" w:lineRule="auto"/>
        <w:rPr>
          <w:rFonts w:ascii="Arial" w:hAnsi="Arial" w:cs="Arial"/>
          <w:sz w:val="20"/>
          <w:szCs w:val="24"/>
        </w:rPr>
      </w:pPr>
    </w:p>
    <w:p w:rsidR="00D10AEC" w:rsidRPr="003353DD" w:rsidRDefault="002039AE" w:rsidP="000466C3">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D96CA5">
        <w:rPr>
          <w:rFonts w:ascii="Arial" w:hAnsi="Arial" w:cs="Arial"/>
          <w:smallCaps/>
        </w:rPr>
        <w:t>La inmediatez de la acción de tutela</w:t>
      </w:r>
    </w:p>
    <w:p w:rsidR="002039AE" w:rsidRDefault="002039AE" w:rsidP="00623724">
      <w:pPr>
        <w:jc w:val="both"/>
        <w:rPr>
          <w:rFonts w:ascii="Arial" w:hAnsi="Arial" w:cs="Arial"/>
        </w:rPr>
      </w:pPr>
    </w:p>
    <w:p w:rsidR="00AB700D" w:rsidRDefault="00AB700D" w:rsidP="00AB700D">
      <w:pPr>
        <w:spacing w:line="360" w:lineRule="auto"/>
        <w:jc w:val="both"/>
        <w:rPr>
          <w:rFonts w:ascii="Arial" w:hAnsi="Arial" w:cs="Arial"/>
          <w:u w:val="single"/>
        </w:rPr>
      </w:pPr>
      <w:r>
        <w:rPr>
          <w:rFonts w:ascii="Arial" w:hAnsi="Arial" w:cs="Arial"/>
        </w:rPr>
        <w:t>Según constante jurisprudencia de nuestro máximo Tribunal Constitucional</w:t>
      </w:r>
      <w:r>
        <w:rPr>
          <w:rStyle w:val="Appelnotedebasdep"/>
        </w:rPr>
        <w:footnoteReference w:id="9"/>
      </w:r>
      <w:r>
        <w:rPr>
          <w:rFonts w:ascii="Arial" w:hAnsi="Arial" w:cs="Arial"/>
        </w:rPr>
        <w:t>, y también de la CSJ</w:t>
      </w:r>
      <w:r>
        <w:rPr>
          <w:rStyle w:val="Appelnotedebasdep"/>
          <w:rFonts w:ascii="Calibri" w:hAnsi="Calibri" w:cs="Calibri"/>
        </w:rPr>
        <w:footnoteReference w:id="10"/>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AB700D" w:rsidRDefault="00AB700D" w:rsidP="00AB700D">
      <w:pPr>
        <w:spacing w:line="360" w:lineRule="auto"/>
        <w:ind w:right="22"/>
        <w:jc w:val="both"/>
        <w:rPr>
          <w:rFonts w:ascii="Arial" w:hAnsi="Arial" w:cs="Arial"/>
        </w:rPr>
      </w:pPr>
      <w:r>
        <w:rPr>
          <w:rFonts w:ascii="Arial" w:hAnsi="Arial" w:cs="Arial"/>
        </w:rPr>
        <w:lastRenderedPageBreak/>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es un requisito de procedibilidad esencial para el ejercicio del amparo constitucional</w:t>
      </w:r>
      <w:r>
        <w:rPr>
          <w:rStyle w:val="Appelnotedebasdep"/>
          <w:rFonts w:ascii="Calibri" w:hAnsi="Calibri" w:cs="Calibri"/>
        </w:rPr>
        <w:footnoteReference w:id="11"/>
      </w:r>
      <w:r>
        <w:rPr>
          <w:rFonts w:ascii="Arial" w:hAnsi="Arial" w:cs="Arial"/>
        </w:rPr>
        <w:t>. Así mismo lo ha señalado la CSJ</w:t>
      </w:r>
      <w:r>
        <w:rPr>
          <w:rStyle w:val="Appelnotedebasdep"/>
          <w:rFonts w:ascii="Arial" w:hAnsi="Arial" w:cs="Arial"/>
        </w:rPr>
        <w:footnoteReference w:id="12"/>
      </w:r>
      <w:r>
        <w:rPr>
          <w:rFonts w:ascii="Arial" w:hAnsi="Arial" w:cs="Arial"/>
        </w:rPr>
        <w:t xml:space="preserve">, que en recientes providencias reiteró: </w:t>
      </w:r>
    </w:p>
    <w:p w:rsidR="00AB700D" w:rsidRPr="008F02FE" w:rsidRDefault="00AB700D" w:rsidP="00AB700D">
      <w:pPr>
        <w:ind w:left="720" w:right="618"/>
        <w:jc w:val="both"/>
        <w:rPr>
          <w:rFonts w:ascii="Arial" w:hAnsi="Arial" w:cs="Arial"/>
          <w:iCs/>
          <w:sz w:val="32"/>
        </w:rPr>
      </w:pPr>
    </w:p>
    <w:p w:rsidR="00AB700D" w:rsidRPr="00623724" w:rsidRDefault="00AB700D" w:rsidP="00AB700D">
      <w:pPr>
        <w:ind w:left="720" w:right="618"/>
        <w:jc w:val="both"/>
        <w:rPr>
          <w:rFonts w:ascii="Bookman Old Style" w:hAnsi="Bookman Old Style" w:cs="Arial"/>
          <w:iCs/>
        </w:rPr>
      </w:pPr>
      <w:r w:rsidRPr="00623724">
        <w:rPr>
          <w:rFonts w:ascii="Arial" w:hAnsi="Arial" w:cs="Arial"/>
          <w:iCs/>
        </w:rPr>
        <w:t xml:space="preserve">… </w:t>
      </w:r>
      <w:r w:rsidRPr="00623724">
        <w:rPr>
          <w:rFonts w:ascii="Arial" w:hAnsi="Arial" w:cs="Arial"/>
          <w:szCs w:val="28"/>
        </w:rPr>
        <w:t>[D]</w:t>
      </w:r>
      <w:proofErr w:type="spellStart"/>
      <w:r w:rsidRPr="00623724">
        <w:rPr>
          <w:rFonts w:ascii="Arial" w:hAnsi="Arial" w:cs="Arial"/>
          <w:szCs w:val="28"/>
        </w:rPr>
        <w:t>escendiendo</w:t>
      </w:r>
      <w:proofErr w:type="spellEnd"/>
      <w:r w:rsidRPr="00623724">
        <w:rPr>
          <w:rFonts w:ascii="Arial" w:hAnsi="Arial" w:cs="Arial"/>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623724">
        <w:rPr>
          <w:rFonts w:ascii="Arial" w:hAnsi="Arial" w:cs="Arial"/>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623724">
        <w:rPr>
          <w:rFonts w:ascii="Arial" w:hAnsi="Arial" w:cs="Arial"/>
          <w:szCs w:val="28"/>
        </w:rPr>
        <w:t>; sin que la parte accionante hubiera alegado ni menos demostrado motivo alguno que justifique tan notoria tardanza</w:t>
      </w:r>
      <w:r w:rsidRPr="00623724">
        <w:rPr>
          <w:rFonts w:ascii="Arial" w:hAnsi="Arial" w:cs="Arial"/>
          <w:iCs/>
        </w:rPr>
        <w:t>.</w:t>
      </w:r>
      <w:r w:rsidRPr="00623724">
        <w:rPr>
          <w:rFonts w:ascii="Arial" w:hAnsi="Arial" w:cs="Arial"/>
        </w:rPr>
        <w:t xml:space="preserve"> (</w:t>
      </w:r>
      <w:proofErr w:type="spellStart"/>
      <w:r w:rsidRPr="00623724">
        <w:rPr>
          <w:rFonts w:ascii="Arial" w:hAnsi="Arial" w:cs="Arial"/>
        </w:rPr>
        <w:t>Sublínea</w:t>
      </w:r>
      <w:proofErr w:type="spellEnd"/>
      <w:r w:rsidRPr="00623724">
        <w:rPr>
          <w:rFonts w:ascii="Arial" w:hAnsi="Arial" w:cs="Arial"/>
        </w:rPr>
        <w:t xml:space="preserve"> de esta Sala).</w:t>
      </w:r>
    </w:p>
    <w:p w:rsidR="00AB700D" w:rsidRPr="0098589D" w:rsidRDefault="00AB700D" w:rsidP="00623724">
      <w:pPr>
        <w:spacing w:line="480" w:lineRule="auto"/>
        <w:ind w:right="22"/>
        <w:jc w:val="both"/>
        <w:rPr>
          <w:rFonts w:ascii="Arial" w:hAnsi="Arial" w:cs="Arial"/>
        </w:rPr>
      </w:pPr>
    </w:p>
    <w:p w:rsidR="00AB700D" w:rsidRPr="0098589D" w:rsidRDefault="00AB700D" w:rsidP="00AB700D">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AB700D" w:rsidRPr="0098589D" w:rsidRDefault="00AB700D" w:rsidP="00AB700D">
      <w:pPr>
        <w:spacing w:line="360" w:lineRule="auto"/>
        <w:ind w:right="22"/>
        <w:jc w:val="both"/>
        <w:rPr>
          <w:rFonts w:ascii="Arial" w:hAnsi="Arial" w:cs="Arial"/>
        </w:rPr>
      </w:pPr>
    </w:p>
    <w:p w:rsidR="00AB700D" w:rsidRDefault="00AB700D" w:rsidP="00AB700D">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Appelnotedebasdep"/>
          <w:rFonts w:ascii="Arial" w:hAnsi="Arial" w:cs="Arial"/>
        </w:rPr>
        <w:footnoteReference w:id="13"/>
      </w:r>
      <w:r w:rsidRPr="0098589D">
        <w:rPr>
          <w:rFonts w:ascii="Arial" w:hAnsi="Arial" w:cs="Arial"/>
        </w:rPr>
        <w:t>, con apoyo en un precedente anterior de 2003</w:t>
      </w:r>
      <w:r w:rsidRPr="0098589D">
        <w:rPr>
          <w:rStyle w:val="Appelnotedebasdep"/>
          <w:rFonts w:ascii="Arial" w:hAnsi="Arial" w:cs="Arial"/>
        </w:rPr>
        <w:footnoteReference w:id="14"/>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Appelnotedebasdep"/>
          <w:rFonts w:ascii="Arial" w:hAnsi="Arial" w:cs="Arial"/>
        </w:rPr>
        <w:footnoteReference w:id="15"/>
      </w:r>
      <w:r w:rsidRPr="0098589D">
        <w:rPr>
          <w:rFonts w:ascii="Arial" w:hAnsi="Arial" w:cs="Arial"/>
        </w:rPr>
        <w:t>.</w:t>
      </w:r>
    </w:p>
    <w:p w:rsidR="00AB700D" w:rsidRPr="00EC12E0" w:rsidRDefault="00AB700D" w:rsidP="00AB700D">
      <w:pPr>
        <w:spacing w:line="360" w:lineRule="auto"/>
        <w:ind w:right="22"/>
        <w:jc w:val="both"/>
        <w:rPr>
          <w:rFonts w:ascii="Arial" w:hAnsi="Arial" w:cs="Arial"/>
          <w:lang w:val="es-CO"/>
        </w:rPr>
      </w:pPr>
    </w:p>
    <w:p w:rsidR="00AB700D" w:rsidRPr="00825F31" w:rsidRDefault="00AB700D" w:rsidP="00AB700D">
      <w:pPr>
        <w:spacing w:line="360" w:lineRule="auto"/>
        <w:jc w:val="both"/>
        <w:rPr>
          <w:rFonts w:ascii="Arial" w:hAnsi="Arial" w:cs="Arial"/>
          <w:lang w:val="es-ES_tradnl"/>
        </w:rPr>
      </w:pPr>
      <w:r>
        <w:rPr>
          <w:rFonts w:ascii="Arial" w:hAnsi="Arial" w:cs="Arial"/>
          <w:lang w:val="es-ES_tradnl"/>
        </w:rPr>
        <w:lastRenderedPageBreak/>
        <w:t>Nuestro órgano de cierre en la especialidad constitucional</w:t>
      </w:r>
      <w:r>
        <w:rPr>
          <w:rStyle w:val="Appelnotedebasdep"/>
          <w:rFonts w:ascii="Arial" w:hAnsi="Arial" w:cs="Arial"/>
        </w:rPr>
        <w:footnoteReference w:id="16"/>
      </w:r>
      <w:r>
        <w:rPr>
          <w:rFonts w:ascii="Arial" w:hAnsi="Arial" w:cs="Arial"/>
          <w:vertAlign w:val="superscript"/>
          <w:lang w:val="es-ES_tradnl"/>
        </w:rPr>
        <w:t>-</w:t>
      </w:r>
      <w:r>
        <w:rPr>
          <w:rStyle w:val="Appelnotedebasdep"/>
          <w:rFonts w:ascii="Arial" w:hAnsi="Arial"/>
          <w:lang w:val="es-ES_tradnl"/>
        </w:rPr>
        <w:footnoteReference w:id="17"/>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procedibilidad, así </w:t>
      </w:r>
      <w:r>
        <w:rPr>
          <w:rFonts w:ascii="Arial" w:hAnsi="Arial" w:cs="Arial"/>
          <w:lang w:val="es-ES_tradnl"/>
        </w:rPr>
        <w:t>explicó</w:t>
      </w:r>
      <w:r w:rsidRPr="00825F31">
        <w:rPr>
          <w:rFonts w:ascii="Arial" w:hAnsi="Arial" w:cs="Arial"/>
          <w:lang w:val="es-ES_tradnl"/>
        </w:rPr>
        <w:t>:</w:t>
      </w:r>
    </w:p>
    <w:p w:rsidR="00AB700D" w:rsidRPr="00002C46" w:rsidRDefault="00AB700D" w:rsidP="00AB700D">
      <w:pPr>
        <w:ind w:left="567"/>
        <w:jc w:val="both"/>
        <w:rPr>
          <w:rFonts w:ascii="Arial" w:hAnsi="Arial" w:cs="Arial"/>
          <w:sz w:val="28"/>
          <w:lang w:val="es-ES_tradnl"/>
        </w:rPr>
      </w:pPr>
    </w:p>
    <w:p w:rsidR="00AB700D" w:rsidRPr="00825F31" w:rsidRDefault="00AB700D" w:rsidP="00AB700D">
      <w:pPr>
        <w:ind w:left="567"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Pr>
          <w:rFonts w:ascii="Arial" w:hAnsi="Arial" w:cs="Arial"/>
          <w:shd w:val="clear" w:color="auto" w:fill="FFFFFF"/>
        </w:rPr>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Pr>
          <w:rFonts w:ascii="Arial" w:hAnsi="Arial" w:cs="Arial"/>
          <w:lang w:val="es-CO"/>
        </w:rPr>
        <w:t xml:space="preserve">es </w:t>
      </w:r>
      <w:r w:rsidRPr="00825F31">
        <w:rPr>
          <w:rFonts w:ascii="Arial" w:hAnsi="Arial" w:cs="Arial"/>
          <w:lang w:val="es-CO"/>
        </w:rPr>
        <w:t>de este Tribunal</w:t>
      </w:r>
      <w:r>
        <w:rPr>
          <w:rFonts w:ascii="Arial" w:hAnsi="Arial" w:cs="Arial"/>
          <w:lang w:val="es-CO"/>
        </w:rPr>
        <w:t>)</w:t>
      </w:r>
      <w:r w:rsidRPr="00825F31">
        <w:rPr>
          <w:rFonts w:ascii="Arial" w:hAnsi="Arial" w:cs="Arial"/>
          <w:lang w:val="es-CO"/>
        </w:rPr>
        <w:t>.</w:t>
      </w:r>
    </w:p>
    <w:p w:rsidR="002039AE" w:rsidRPr="008F02FE" w:rsidRDefault="002039AE" w:rsidP="002039AE">
      <w:pPr>
        <w:pStyle w:val="Corpsdetexte"/>
        <w:tabs>
          <w:tab w:val="clear" w:pos="0"/>
        </w:tabs>
        <w:spacing w:line="360" w:lineRule="auto"/>
        <w:rPr>
          <w:rFonts w:ascii="Arial" w:hAnsi="Arial" w:cs="Arial"/>
          <w:sz w:val="28"/>
          <w:szCs w:val="24"/>
        </w:rPr>
      </w:pPr>
    </w:p>
    <w:p w:rsidR="002039AE" w:rsidRDefault="002039AE" w:rsidP="002039AE">
      <w:pPr>
        <w:pStyle w:val="Corpsdetexte"/>
        <w:numPr>
          <w:ilvl w:val="1"/>
          <w:numId w:val="18"/>
        </w:numPr>
        <w:tabs>
          <w:tab w:val="clear" w:pos="0"/>
        </w:tabs>
        <w:spacing w:line="360" w:lineRule="auto"/>
        <w:rPr>
          <w:rFonts w:ascii="Arial" w:hAnsi="Arial"/>
          <w:smallCaps/>
          <w:szCs w:val="24"/>
        </w:rPr>
      </w:pPr>
      <w:r w:rsidRPr="000466C3">
        <w:rPr>
          <w:rFonts w:ascii="Arial" w:hAnsi="Arial"/>
          <w:smallCaps/>
          <w:szCs w:val="24"/>
        </w:rPr>
        <w:t>El carácter subsidiario de la acción de tutela</w:t>
      </w:r>
    </w:p>
    <w:p w:rsidR="002039AE" w:rsidRDefault="002039AE" w:rsidP="002039AE">
      <w:pPr>
        <w:pStyle w:val="Corpsdetexte"/>
        <w:tabs>
          <w:tab w:val="clear" w:pos="0"/>
        </w:tabs>
        <w:spacing w:line="360" w:lineRule="auto"/>
        <w:rPr>
          <w:rFonts w:ascii="Arial" w:hAnsi="Arial" w:cs="Arial"/>
          <w:szCs w:val="24"/>
        </w:rPr>
      </w:pPr>
    </w:p>
    <w:p w:rsidR="002039AE" w:rsidRDefault="002039AE" w:rsidP="002039AE">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8F02FE" w:rsidRDefault="008F02FE" w:rsidP="002039AE">
      <w:pPr>
        <w:pStyle w:val="Corpsdetexte"/>
        <w:tabs>
          <w:tab w:val="clear" w:pos="0"/>
        </w:tabs>
        <w:spacing w:line="360" w:lineRule="auto"/>
        <w:rPr>
          <w:rFonts w:ascii="Arial" w:hAnsi="Arial" w:cs="Arial"/>
          <w:sz w:val="22"/>
          <w:szCs w:val="22"/>
          <w:u w:val="single"/>
        </w:rPr>
      </w:pPr>
    </w:p>
    <w:p w:rsidR="002039AE" w:rsidRDefault="002039AE" w:rsidP="002039AE">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8"/>
      </w:r>
      <w:r>
        <w:rPr>
          <w:rFonts w:ascii="Arial" w:hAnsi="Arial" w:cs="Arial"/>
          <w:i/>
          <w:sz w:val="22"/>
          <w:szCs w:val="22"/>
        </w:rPr>
        <w:t>.</w:t>
      </w:r>
    </w:p>
    <w:p w:rsidR="002039AE" w:rsidRPr="00511FE0" w:rsidRDefault="002039AE" w:rsidP="002039AE">
      <w:pPr>
        <w:widowControl/>
        <w:autoSpaceDE/>
        <w:adjustRightInd/>
        <w:spacing w:line="360" w:lineRule="auto"/>
        <w:jc w:val="both"/>
        <w:rPr>
          <w:rFonts w:ascii="Arial" w:hAnsi="Arial" w:cs="Arial"/>
          <w:sz w:val="20"/>
          <w:szCs w:val="22"/>
          <w:lang w:val="es-ES_tradnl"/>
        </w:rPr>
      </w:pPr>
    </w:p>
    <w:p w:rsidR="002039AE" w:rsidRDefault="002039AE" w:rsidP="002039AE">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9"/>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20"/>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21"/>
      </w:r>
      <w:r>
        <w:rPr>
          <w:rFonts w:ascii="Arial" w:hAnsi="Arial" w:cs="Arial"/>
          <w:szCs w:val="24"/>
        </w:rPr>
        <w:t>.</w:t>
      </w:r>
      <w:r>
        <w:rPr>
          <w:rFonts w:ascii="Arial" w:hAnsi="Arial" w:cs="Arial"/>
        </w:rPr>
        <w:t xml:space="preserve">También la </w:t>
      </w:r>
      <w:r>
        <w:rPr>
          <w:rFonts w:ascii="Arial" w:hAnsi="Arial" w:cs="Arial"/>
        </w:rPr>
        <w:lastRenderedPageBreak/>
        <w:t>CSJ se ha referido al tema</w:t>
      </w:r>
      <w:r>
        <w:rPr>
          <w:rStyle w:val="Appelnotedebasdep"/>
          <w:rFonts w:ascii="Arial" w:hAnsi="Arial" w:cs="Arial"/>
        </w:rPr>
        <w:footnoteReference w:id="22"/>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2039AE" w:rsidRPr="00C2004B" w:rsidRDefault="002039AE" w:rsidP="002039AE">
      <w:pPr>
        <w:spacing w:line="360" w:lineRule="auto"/>
        <w:jc w:val="both"/>
        <w:rPr>
          <w:rFonts w:ascii="Arial" w:hAnsi="Arial" w:cs="Arial"/>
          <w:sz w:val="20"/>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5C7DF6" w:rsidRDefault="005C7DF6" w:rsidP="005C7DF6">
      <w:pPr>
        <w:pStyle w:val="Corpsdetexte"/>
        <w:spacing w:line="360" w:lineRule="auto"/>
        <w:ind w:left="400"/>
        <w:rPr>
          <w:rFonts w:ascii="Arial" w:hAnsi="Arial"/>
          <w:sz w:val="18"/>
          <w:szCs w:val="24"/>
        </w:rPr>
      </w:pPr>
    </w:p>
    <w:p w:rsidR="002A0C2A" w:rsidRDefault="002A0C2A" w:rsidP="002A0C2A">
      <w:pPr>
        <w:spacing w:line="360" w:lineRule="auto"/>
        <w:jc w:val="both"/>
        <w:rPr>
          <w:rFonts w:ascii="Arial" w:hAnsi="Arial" w:cs="Arial"/>
          <w:lang w:val="es-ES_tradnl"/>
        </w:rPr>
      </w:pPr>
      <w:r w:rsidRPr="00440316">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w:t>
      </w:r>
      <w:r>
        <w:rPr>
          <w:rFonts w:ascii="Arial" w:hAnsi="Arial" w:cs="Arial"/>
          <w:lang w:val="es-ES_tradnl"/>
        </w:rPr>
        <w:t xml:space="preserve">inmediatez y la </w:t>
      </w:r>
      <w:r w:rsidRPr="00440316">
        <w:rPr>
          <w:rFonts w:ascii="Arial" w:hAnsi="Arial" w:cs="Arial"/>
          <w:lang w:val="es-ES_tradnl"/>
        </w:rPr>
        <w:t xml:space="preserve">subsidiariedad, porque </w:t>
      </w:r>
      <w:r>
        <w:rPr>
          <w:rFonts w:ascii="Arial" w:hAnsi="Arial" w:cs="Arial"/>
          <w:lang w:val="es-ES_tradnl"/>
        </w:rPr>
        <w:t xml:space="preserve">son los </w:t>
      </w:r>
      <w:r w:rsidRPr="00440316">
        <w:rPr>
          <w:rFonts w:ascii="Arial" w:hAnsi="Arial" w:cs="Arial"/>
          <w:lang w:val="es-ES_tradnl"/>
        </w:rPr>
        <w:t>elemento</w:t>
      </w:r>
      <w:r>
        <w:rPr>
          <w:rFonts w:ascii="Arial" w:hAnsi="Arial" w:cs="Arial"/>
          <w:lang w:val="es-ES_tradnl"/>
        </w:rPr>
        <w:t>s</w:t>
      </w:r>
      <w:r w:rsidRPr="00440316">
        <w:rPr>
          <w:rFonts w:ascii="Arial" w:hAnsi="Arial" w:cs="Arial"/>
          <w:lang w:val="es-ES_tradnl"/>
        </w:rPr>
        <w:t xml:space="preserve"> que se echa</w:t>
      </w:r>
      <w:r>
        <w:rPr>
          <w:rFonts w:ascii="Arial" w:hAnsi="Arial" w:cs="Arial"/>
          <w:lang w:val="es-ES_tradnl"/>
        </w:rPr>
        <w:t>n</w:t>
      </w:r>
      <w:r w:rsidRPr="00440316">
        <w:rPr>
          <w:rFonts w:ascii="Arial" w:hAnsi="Arial" w:cs="Arial"/>
          <w:lang w:val="es-ES_tradnl"/>
        </w:rPr>
        <w:t xml:space="preserve"> de menos y resulta</w:t>
      </w:r>
      <w:r>
        <w:rPr>
          <w:rFonts w:ascii="Arial" w:hAnsi="Arial" w:cs="Arial"/>
          <w:lang w:val="es-ES_tradnl"/>
        </w:rPr>
        <w:t>n</w:t>
      </w:r>
      <w:r w:rsidRPr="00440316">
        <w:rPr>
          <w:rFonts w:ascii="Arial" w:hAnsi="Arial" w:cs="Arial"/>
          <w:lang w:val="es-ES_tradnl"/>
        </w:rPr>
        <w:t xml:space="preserve"> suficiente</w:t>
      </w:r>
      <w:r>
        <w:rPr>
          <w:rFonts w:ascii="Arial" w:hAnsi="Arial" w:cs="Arial"/>
          <w:lang w:val="es-ES_tradnl"/>
        </w:rPr>
        <w:t>s</w:t>
      </w:r>
      <w:r w:rsidRPr="00440316">
        <w:rPr>
          <w:rFonts w:ascii="Arial" w:hAnsi="Arial" w:cs="Arial"/>
          <w:lang w:val="es-ES_tradnl"/>
        </w:rPr>
        <w:t xml:space="preserve"> para el fracaso </w:t>
      </w:r>
      <w:r>
        <w:rPr>
          <w:rFonts w:ascii="Arial" w:hAnsi="Arial" w:cs="Arial"/>
          <w:lang w:val="es-ES_tradnl"/>
        </w:rPr>
        <w:t xml:space="preserve">de los </w:t>
      </w:r>
      <w:r w:rsidRPr="00440316">
        <w:rPr>
          <w:rFonts w:ascii="Arial" w:hAnsi="Arial" w:cs="Arial"/>
          <w:lang w:val="es-ES_tradnl"/>
        </w:rPr>
        <w:t>amparo</w:t>
      </w:r>
      <w:r>
        <w:rPr>
          <w:rFonts w:ascii="Arial" w:hAnsi="Arial" w:cs="Arial"/>
          <w:lang w:val="es-ES_tradnl"/>
        </w:rPr>
        <w:t>s</w:t>
      </w:r>
      <w:r w:rsidRPr="00440316">
        <w:rPr>
          <w:rFonts w:ascii="Arial" w:hAnsi="Arial" w:cs="Arial"/>
          <w:lang w:val="es-ES_tradnl"/>
        </w:rPr>
        <w:t>.</w:t>
      </w:r>
    </w:p>
    <w:p w:rsidR="008F02FE" w:rsidRPr="00440316" w:rsidRDefault="008F02FE" w:rsidP="002A0C2A">
      <w:pPr>
        <w:spacing w:line="360" w:lineRule="auto"/>
        <w:jc w:val="both"/>
        <w:rPr>
          <w:rFonts w:ascii="Arial" w:hAnsi="Arial" w:cs="Arial"/>
          <w:lang w:val="es-ES_tradnl"/>
        </w:rPr>
      </w:pPr>
    </w:p>
    <w:p w:rsidR="002A0C2A" w:rsidRDefault="002A0C2A" w:rsidP="002A0C2A">
      <w:pPr>
        <w:widowControl/>
        <w:spacing w:line="360" w:lineRule="auto"/>
        <w:jc w:val="both"/>
        <w:rPr>
          <w:rFonts w:ascii="Arial" w:hAnsi="Arial" w:cs="Arial"/>
        </w:rPr>
      </w:pPr>
      <w:r>
        <w:rPr>
          <w:rFonts w:ascii="Arial" w:hAnsi="Arial" w:cs="Arial"/>
        </w:rPr>
        <w:t xml:space="preserve">El actor se duele porque el Juzgado accionado a pesar de que </w:t>
      </w:r>
      <w:proofErr w:type="spellStart"/>
      <w:r>
        <w:rPr>
          <w:rFonts w:ascii="Arial" w:hAnsi="Arial" w:cs="Arial"/>
        </w:rPr>
        <w:t>Audifarma</w:t>
      </w:r>
      <w:proofErr w:type="spellEnd"/>
      <w:r>
        <w:rPr>
          <w:rFonts w:ascii="Arial" w:hAnsi="Arial" w:cs="Arial"/>
        </w:rPr>
        <w:t xml:space="preserve"> se encontraba notificada, declaró </w:t>
      </w:r>
      <w:r>
        <w:rPr>
          <w:rFonts w:ascii="Arial" w:hAnsi="Arial" w:cs="Arial"/>
          <w:i/>
        </w:rPr>
        <w:t>desistimiento tácito</w:t>
      </w:r>
      <w:r>
        <w:rPr>
          <w:rFonts w:ascii="Arial" w:hAnsi="Arial" w:cs="Arial"/>
        </w:rPr>
        <w:t xml:space="preserve"> en las acciones populares Nos.2015-00457-00, 2015-00389-00 y 2015-00433-00 y negó la apelación interpuesta.</w:t>
      </w:r>
    </w:p>
    <w:p w:rsidR="002A0C2A" w:rsidRPr="005C7DF6" w:rsidRDefault="002A0C2A" w:rsidP="005C7DF6">
      <w:pPr>
        <w:pStyle w:val="Corpsdetexte"/>
        <w:spacing w:line="360" w:lineRule="auto"/>
        <w:ind w:left="400"/>
        <w:rPr>
          <w:rFonts w:ascii="Arial" w:hAnsi="Arial"/>
          <w:sz w:val="18"/>
          <w:szCs w:val="24"/>
        </w:rPr>
      </w:pPr>
    </w:p>
    <w:p w:rsidR="00440316" w:rsidRPr="00440316" w:rsidRDefault="00440316" w:rsidP="00440316">
      <w:pPr>
        <w:pStyle w:val="Paragraphedeliste"/>
        <w:numPr>
          <w:ilvl w:val="1"/>
          <w:numId w:val="18"/>
        </w:numPr>
        <w:spacing w:line="360" w:lineRule="auto"/>
        <w:jc w:val="both"/>
        <w:rPr>
          <w:rFonts w:ascii="Arial" w:hAnsi="Arial" w:cs="Arial"/>
          <w:lang w:val="es-ES_tradnl"/>
        </w:rPr>
      </w:pPr>
      <w:r>
        <w:rPr>
          <w:rFonts w:ascii="Arial" w:hAnsi="Arial"/>
          <w:smallCaps/>
        </w:rPr>
        <w:t xml:space="preserve">La </w:t>
      </w:r>
      <w:r w:rsidR="005C7DF6">
        <w:rPr>
          <w:rFonts w:ascii="Arial" w:hAnsi="Arial"/>
          <w:smallCaps/>
        </w:rPr>
        <w:t>inmediatez</w:t>
      </w:r>
      <w:r w:rsidRPr="00440316">
        <w:rPr>
          <w:rFonts w:ascii="Arial" w:hAnsi="Arial"/>
          <w:smallCaps/>
        </w:rPr>
        <w:t xml:space="preserve"> </w:t>
      </w:r>
    </w:p>
    <w:p w:rsidR="00440316" w:rsidRDefault="00440316" w:rsidP="00440316">
      <w:pPr>
        <w:spacing w:line="360" w:lineRule="auto"/>
        <w:jc w:val="both"/>
        <w:rPr>
          <w:rFonts w:ascii="Arial" w:hAnsi="Arial" w:cs="Arial"/>
          <w:lang w:val="es-ES_tradnl"/>
        </w:rPr>
      </w:pPr>
    </w:p>
    <w:p w:rsidR="00716C97" w:rsidRDefault="00677AA0" w:rsidP="00AA2028">
      <w:pPr>
        <w:widowControl/>
        <w:spacing w:line="360" w:lineRule="auto"/>
        <w:jc w:val="both"/>
        <w:rPr>
          <w:rFonts w:ascii="Arial" w:hAnsi="Arial" w:cs="Arial"/>
        </w:rPr>
      </w:pPr>
      <w:r>
        <w:rPr>
          <w:rFonts w:ascii="Arial" w:hAnsi="Arial" w:cs="Arial"/>
        </w:rPr>
        <w:t>C</w:t>
      </w:r>
      <w:r w:rsidR="00D10AEC" w:rsidRPr="003E0E8A">
        <w:rPr>
          <w:rFonts w:ascii="Arial" w:hAnsi="Arial" w:cs="Arial"/>
        </w:rPr>
        <w:t xml:space="preserve">onforme al acervo probatorio </w:t>
      </w:r>
      <w:r w:rsidR="00DB07DE">
        <w:rPr>
          <w:rFonts w:ascii="Arial" w:hAnsi="Arial" w:cs="Arial"/>
        </w:rPr>
        <w:t xml:space="preserve">en la acción popular </w:t>
      </w:r>
      <w:r w:rsidR="002A0C2A">
        <w:rPr>
          <w:rFonts w:ascii="Arial" w:hAnsi="Arial" w:cs="Arial"/>
        </w:rPr>
        <w:t>No.</w:t>
      </w:r>
      <w:r w:rsidR="00DB07DE">
        <w:rPr>
          <w:rFonts w:ascii="Arial" w:hAnsi="Arial" w:cs="Arial"/>
        </w:rPr>
        <w:t>2015-00457</w:t>
      </w:r>
      <w:r w:rsidR="00B61809">
        <w:rPr>
          <w:rFonts w:ascii="Arial" w:hAnsi="Arial" w:cs="Arial"/>
        </w:rPr>
        <w:t>-00</w:t>
      </w:r>
      <w:r w:rsidR="000A19F3">
        <w:rPr>
          <w:rFonts w:ascii="Arial" w:hAnsi="Arial" w:cs="Arial"/>
        </w:rPr>
        <w:t xml:space="preserve"> </w:t>
      </w:r>
      <w:r w:rsidR="00A16951">
        <w:rPr>
          <w:rFonts w:ascii="Arial" w:hAnsi="Arial" w:cs="Arial"/>
        </w:rPr>
        <w:t xml:space="preserve">el Despacho Judicial mediante providencia del </w:t>
      </w:r>
      <w:r w:rsidR="00AB700D">
        <w:rPr>
          <w:rFonts w:ascii="Arial" w:hAnsi="Arial" w:cs="Arial"/>
        </w:rPr>
        <w:t>05-08-2016</w:t>
      </w:r>
      <w:r w:rsidR="00AE4012">
        <w:rPr>
          <w:rFonts w:ascii="Arial" w:hAnsi="Arial" w:cs="Arial"/>
        </w:rPr>
        <w:t xml:space="preserve"> declar</w:t>
      </w:r>
      <w:r w:rsidR="00926792">
        <w:rPr>
          <w:rFonts w:ascii="Arial" w:hAnsi="Arial" w:cs="Arial"/>
        </w:rPr>
        <w:t xml:space="preserve">ó terminado el proceso por </w:t>
      </w:r>
      <w:r w:rsidR="00926792" w:rsidRPr="00A16951">
        <w:rPr>
          <w:rFonts w:ascii="Arial" w:hAnsi="Arial" w:cs="Arial"/>
        </w:rPr>
        <w:t>desistimiento tácito</w:t>
      </w:r>
      <w:r w:rsidR="00A16951" w:rsidRPr="00A16951">
        <w:rPr>
          <w:rFonts w:ascii="Arial" w:hAnsi="Arial" w:cs="Arial"/>
        </w:rPr>
        <w:t>,</w:t>
      </w:r>
      <w:r w:rsidR="00926792">
        <w:rPr>
          <w:rFonts w:ascii="Arial" w:hAnsi="Arial" w:cs="Arial"/>
        </w:rPr>
        <w:t xml:space="preserve"> not</w:t>
      </w:r>
      <w:r w:rsidR="00A16951">
        <w:rPr>
          <w:rFonts w:ascii="Arial" w:hAnsi="Arial" w:cs="Arial"/>
        </w:rPr>
        <w:t>ificada</w:t>
      </w:r>
      <w:r w:rsidR="00AB700D">
        <w:rPr>
          <w:rFonts w:ascii="Arial" w:hAnsi="Arial" w:cs="Arial"/>
        </w:rPr>
        <w:t xml:space="preserve"> en estado del 08-08-2016</w:t>
      </w:r>
      <w:r w:rsidR="00926792">
        <w:rPr>
          <w:rFonts w:ascii="Arial" w:hAnsi="Arial" w:cs="Arial"/>
        </w:rPr>
        <w:t xml:space="preserve"> (Folios 31 a 32 ib.)</w:t>
      </w:r>
      <w:r w:rsidR="00A16951">
        <w:rPr>
          <w:rFonts w:ascii="Arial" w:hAnsi="Arial" w:cs="Arial"/>
        </w:rPr>
        <w:t>, recurrido en reposición y en subsidio apelación por el accionante (Folio 33, ib.), se desató</w:t>
      </w:r>
      <w:r w:rsidR="000150D1">
        <w:rPr>
          <w:rFonts w:ascii="Arial" w:hAnsi="Arial" w:cs="Arial"/>
        </w:rPr>
        <w:t xml:space="preserve"> </w:t>
      </w:r>
      <w:r w:rsidR="00A16951">
        <w:rPr>
          <w:rFonts w:ascii="Arial" w:hAnsi="Arial" w:cs="Arial"/>
        </w:rPr>
        <w:t xml:space="preserve">con auto del </w:t>
      </w:r>
      <w:r w:rsidR="00926792">
        <w:rPr>
          <w:rFonts w:ascii="Arial" w:hAnsi="Arial" w:cs="Arial"/>
        </w:rPr>
        <w:t>17-08-201</w:t>
      </w:r>
      <w:r w:rsidR="00AB700D">
        <w:rPr>
          <w:rFonts w:ascii="Arial" w:hAnsi="Arial" w:cs="Arial"/>
        </w:rPr>
        <w:t>6</w:t>
      </w:r>
      <w:r w:rsidR="00926792">
        <w:rPr>
          <w:rFonts w:ascii="Arial" w:hAnsi="Arial" w:cs="Arial"/>
        </w:rPr>
        <w:t xml:space="preserve"> </w:t>
      </w:r>
      <w:r w:rsidR="00716C97">
        <w:rPr>
          <w:rFonts w:ascii="Arial" w:hAnsi="Arial" w:cs="Arial"/>
        </w:rPr>
        <w:t xml:space="preserve">que </w:t>
      </w:r>
      <w:r w:rsidR="00A16951">
        <w:rPr>
          <w:rFonts w:ascii="Arial" w:hAnsi="Arial" w:cs="Arial"/>
        </w:rPr>
        <w:t xml:space="preserve">mantuvo incólume su decisión </w:t>
      </w:r>
      <w:r w:rsidR="009F408C">
        <w:rPr>
          <w:rFonts w:ascii="Arial" w:hAnsi="Arial" w:cs="Arial"/>
          <w:lang w:val="es-CO"/>
        </w:rPr>
        <w:t xml:space="preserve">y niega </w:t>
      </w:r>
      <w:r w:rsidR="00A16951">
        <w:rPr>
          <w:rFonts w:ascii="Arial" w:hAnsi="Arial" w:cs="Arial"/>
          <w:lang w:val="es-CO"/>
        </w:rPr>
        <w:t xml:space="preserve">la alzada </w:t>
      </w:r>
      <w:r w:rsidR="00926792">
        <w:rPr>
          <w:rFonts w:ascii="Arial" w:hAnsi="Arial" w:cs="Arial"/>
        </w:rPr>
        <w:t>(Folios 34 a 35, ib</w:t>
      </w:r>
      <w:r w:rsidR="006463C4">
        <w:rPr>
          <w:rFonts w:ascii="Arial" w:hAnsi="Arial" w:cs="Arial"/>
        </w:rPr>
        <w:t>.)</w:t>
      </w:r>
      <w:r w:rsidR="00A16951">
        <w:rPr>
          <w:rFonts w:ascii="Arial" w:hAnsi="Arial" w:cs="Arial"/>
        </w:rPr>
        <w:t>,</w:t>
      </w:r>
      <w:r w:rsidR="00E04E6D">
        <w:rPr>
          <w:rFonts w:ascii="Arial" w:hAnsi="Arial" w:cs="Arial"/>
        </w:rPr>
        <w:t xml:space="preserve"> </w:t>
      </w:r>
      <w:r w:rsidR="00A16951">
        <w:rPr>
          <w:rFonts w:ascii="Arial" w:hAnsi="Arial" w:cs="Arial"/>
        </w:rPr>
        <w:t>notificado</w:t>
      </w:r>
      <w:r w:rsidR="00A16519">
        <w:rPr>
          <w:rFonts w:ascii="Arial" w:hAnsi="Arial" w:cs="Arial"/>
        </w:rPr>
        <w:t xml:space="preserve"> por estado</w:t>
      </w:r>
      <w:r w:rsidR="00E04E6D">
        <w:rPr>
          <w:rFonts w:ascii="Arial" w:hAnsi="Arial" w:cs="Arial"/>
        </w:rPr>
        <w:t xml:space="preserve"> </w:t>
      </w:r>
      <w:r w:rsidR="00F66C7F">
        <w:rPr>
          <w:rFonts w:ascii="Arial" w:hAnsi="Arial" w:cs="Arial"/>
        </w:rPr>
        <w:t>d</w:t>
      </w:r>
      <w:r w:rsidR="00E04E6D">
        <w:rPr>
          <w:rFonts w:ascii="Arial" w:hAnsi="Arial" w:cs="Arial"/>
        </w:rPr>
        <w:t>el 18-08-2016</w:t>
      </w:r>
      <w:r w:rsidR="009F408C">
        <w:rPr>
          <w:rFonts w:ascii="Arial" w:hAnsi="Arial" w:cs="Arial"/>
        </w:rPr>
        <w:t>,</w:t>
      </w:r>
      <w:r w:rsidR="00E04E6D">
        <w:rPr>
          <w:rFonts w:ascii="Arial" w:hAnsi="Arial" w:cs="Arial"/>
        </w:rPr>
        <w:t xml:space="preserve"> sin ningún recurso</w:t>
      </w:r>
    </w:p>
    <w:p w:rsidR="00A16519" w:rsidRDefault="00E04E6D" w:rsidP="00AA2028">
      <w:pPr>
        <w:widowControl/>
        <w:spacing w:line="360" w:lineRule="auto"/>
        <w:jc w:val="both"/>
        <w:rPr>
          <w:rFonts w:ascii="Arial" w:hAnsi="Arial" w:cs="Arial"/>
        </w:rPr>
      </w:pPr>
      <w:r>
        <w:rPr>
          <w:rFonts w:ascii="Arial" w:hAnsi="Arial" w:cs="Arial"/>
        </w:rPr>
        <w:t xml:space="preserve"> (Folio 35, ib.). </w:t>
      </w:r>
    </w:p>
    <w:p w:rsidR="00A16519" w:rsidRDefault="00A16519" w:rsidP="001D02C6">
      <w:pPr>
        <w:widowControl/>
        <w:spacing w:line="360" w:lineRule="auto"/>
        <w:jc w:val="both"/>
        <w:rPr>
          <w:rFonts w:ascii="Arial" w:hAnsi="Arial" w:cs="Arial"/>
        </w:rPr>
      </w:pPr>
    </w:p>
    <w:p w:rsidR="001D02C6" w:rsidRDefault="001D02C6" w:rsidP="009F3F69">
      <w:pPr>
        <w:widowControl/>
        <w:spacing w:line="360" w:lineRule="auto"/>
        <w:jc w:val="both"/>
        <w:rPr>
          <w:rFonts w:ascii="Arial" w:hAnsi="Arial" w:cs="Arial"/>
        </w:rPr>
      </w:pPr>
      <w:r>
        <w:rPr>
          <w:rFonts w:ascii="Arial" w:hAnsi="Arial" w:cs="Arial"/>
        </w:rPr>
        <w:t xml:space="preserve">Evidente es que el </w:t>
      </w:r>
      <w:r w:rsidRPr="001D02C6">
        <w:rPr>
          <w:rFonts w:ascii="Arial" w:hAnsi="Arial" w:cs="Arial"/>
        </w:rPr>
        <w:t>presente amparo carece de inmediatez, pues su interposición (16-0</w:t>
      </w:r>
      <w:r>
        <w:rPr>
          <w:rFonts w:ascii="Arial" w:hAnsi="Arial" w:cs="Arial"/>
        </w:rPr>
        <w:t>3</w:t>
      </w:r>
      <w:r w:rsidRPr="001D02C6">
        <w:rPr>
          <w:rFonts w:ascii="Arial" w:hAnsi="Arial" w:cs="Arial"/>
        </w:rPr>
        <w:t>-2017) desborda el plazo de los seis (6) meses fijado por la jurisprudencia</w:t>
      </w:r>
      <w:r w:rsidR="001409B8">
        <w:rPr>
          <w:rStyle w:val="Appelnotedebasdep"/>
          <w:rFonts w:ascii="Arial" w:hAnsi="Arial" w:cs="Arial"/>
        </w:rPr>
        <w:footnoteReference w:id="23"/>
      </w:r>
      <w:r w:rsidR="001409B8">
        <w:rPr>
          <w:rFonts w:ascii="Arial" w:hAnsi="Arial" w:cs="Arial"/>
          <w:vertAlign w:val="superscript"/>
          <w:lang w:val="es-ES_tradnl"/>
        </w:rPr>
        <w:t>-</w:t>
      </w:r>
      <w:r w:rsidR="001409B8">
        <w:rPr>
          <w:rStyle w:val="Appelnotedebasdep"/>
          <w:rFonts w:ascii="Arial" w:hAnsi="Arial"/>
          <w:lang w:val="es-ES_tradnl"/>
        </w:rPr>
        <w:footnoteReference w:id="24"/>
      </w:r>
      <w:r w:rsidR="001409B8">
        <w:rPr>
          <w:rFonts w:ascii="Arial" w:hAnsi="Arial" w:cs="Arial"/>
          <w:vertAlign w:val="superscript"/>
          <w:lang w:val="es-ES_tradnl"/>
        </w:rPr>
        <w:t>,</w:t>
      </w:r>
      <w:r w:rsidRPr="001D02C6">
        <w:rPr>
          <w:rFonts w:ascii="Arial" w:hAnsi="Arial" w:cs="Arial"/>
        </w:rPr>
        <w:t xml:space="preserve"> como</w:t>
      </w:r>
      <w:r w:rsidR="009F3F69">
        <w:rPr>
          <w:rFonts w:ascii="Arial" w:hAnsi="Arial" w:cs="Arial"/>
        </w:rPr>
        <w:t xml:space="preserve"> </w:t>
      </w:r>
      <w:r w:rsidRPr="001D02C6">
        <w:rPr>
          <w:rFonts w:ascii="Arial" w:hAnsi="Arial" w:cs="Arial"/>
        </w:rPr>
        <w:t xml:space="preserve">tiempo razonable, ya que han transcurrido aproximadamente </w:t>
      </w:r>
      <w:r w:rsidR="004260CC">
        <w:rPr>
          <w:rFonts w:ascii="Arial" w:hAnsi="Arial" w:cs="Arial"/>
        </w:rPr>
        <w:t xml:space="preserve">siete </w:t>
      </w:r>
      <w:r w:rsidRPr="001D02C6">
        <w:rPr>
          <w:rFonts w:ascii="Arial" w:hAnsi="Arial" w:cs="Arial"/>
        </w:rPr>
        <w:t>(</w:t>
      </w:r>
      <w:r w:rsidR="004260CC">
        <w:rPr>
          <w:rFonts w:ascii="Arial" w:hAnsi="Arial" w:cs="Arial"/>
        </w:rPr>
        <w:t>7</w:t>
      </w:r>
      <w:r w:rsidRPr="001D02C6">
        <w:rPr>
          <w:rFonts w:ascii="Arial" w:hAnsi="Arial" w:cs="Arial"/>
        </w:rPr>
        <w:t>) meses desde que</w:t>
      </w:r>
      <w:r w:rsidR="00C62D65">
        <w:rPr>
          <w:rFonts w:ascii="Arial" w:hAnsi="Arial" w:cs="Arial"/>
        </w:rPr>
        <w:t xml:space="preserve"> </w:t>
      </w:r>
      <w:r w:rsidR="00A16951">
        <w:rPr>
          <w:rFonts w:ascii="Arial" w:hAnsi="Arial" w:cs="Arial"/>
        </w:rPr>
        <w:t xml:space="preserve">se </w:t>
      </w:r>
      <w:r w:rsidR="00C62D65">
        <w:rPr>
          <w:rFonts w:ascii="Arial" w:hAnsi="Arial" w:cs="Arial"/>
        </w:rPr>
        <w:t xml:space="preserve">resolvió el recurso presentado contra el auto que declaró </w:t>
      </w:r>
      <w:r w:rsidR="00C62D65">
        <w:rPr>
          <w:rFonts w:ascii="Arial" w:hAnsi="Arial" w:cs="Arial"/>
          <w:lang w:val="es-CO"/>
        </w:rPr>
        <w:t xml:space="preserve">la terminación del trámite popular </w:t>
      </w:r>
      <w:r w:rsidR="009172AF">
        <w:rPr>
          <w:rFonts w:ascii="Arial" w:hAnsi="Arial" w:cs="Arial"/>
        </w:rPr>
        <w:t>(Folios 34 a 35</w:t>
      </w:r>
      <w:r w:rsidR="006463C4">
        <w:rPr>
          <w:rFonts w:ascii="Arial" w:hAnsi="Arial" w:cs="Arial"/>
        </w:rPr>
        <w:t>, ib.)</w:t>
      </w:r>
      <w:r w:rsidRPr="001D02C6">
        <w:rPr>
          <w:rFonts w:ascii="Arial" w:hAnsi="Arial" w:cs="Arial"/>
        </w:rPr>
        <w:t>.</w:t>
      </w:r>
    </w:p>
    <w:p w:rsidR="001D02C6" w:rsidRPr="001D02C6" w:rsidRDefault="001D02C6" w:rsidP="001D02C6">
      <w:pPr>
        <w:widowControl/>
        <w:spacing w:line="360" w:lineRule="auto"/>
        <w:jc w:val="both"/>
        <w:rPr>
          <w:rFonts w:ascii="Arial" w:hAnsi="Arial" w:cs="Arial"/>
        </w:rPr>
      </w:pPr>
    </w:p>
    <w:p w:rsidR="001409B8" w:rsidRDefault="001409B8" w:rsidP="001409B8">
      <w:pPr>
        <w:spacing w:line="360" w:lineRule="auto"/>
        <w:jc w:val="both"/>
        <w:rPr>
          <w:rFonts w:ascii="Arial" w:hAnsi="Arial" w:cs="Arial"/>
        </w:rPr>
      </w:pPr>
      <w:r>
        <w:rPr>
          <w:rFonts w:ascii="Arial" w:hAnsi="Arial" w:cs="Arial"/>
        </w:rPr>
        <w:t xml:space="preserve">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w:t>
      </w:r>
      <w:r>
        <w:rPr>
          <w:rFonts w:ascii="Arial" w:hAnsi="Arial" w:cs="Arial"/>
        </w:rPr>
        <w:lastRenderedPageBreak/>
        <w:t>través de esta acción</w:t>
      </w:r>
      <w:r w:rsidRPr="008B0539">
        <w:rPr>
          <w:rFonts w:ascii="Arial" w:hAnsi="Arial" w:cs="Arial"/>
        </w:rPr>
        <w:t xml:space="preserve"> con mayor celeridad sin desconocer</w:t>
      </w:r>
      <w:r>
        <w:rPr>
          <w:rFonts w:ascii="Arial" w:hAnsi="Arial" w:cs="Arial"/>
        </w:rPr>
        <w:t xml:space="preserve"> la inmediatez</w:t>
      </w:r>
      <w:r>
        <w:rPr>
          <w:rStyle w:val="Appelnotedebasdep"/>
          <w:rFonts w:ascii="Arial" w:hAnsi="Arial"/>
        </w:rPr>
        <w:footnoteReference w:id="25"/>
      </w:r>
      <w:r>
        <w:rPr>
          <w:rFonts w:ascii="Arial" w:hAnsi="Arial" w:cs="Arial"/>
        </w:rPr>
        <w:t xml:space="preserve">; circunstancias que no fueron expuestas ni probadas en el trámite. </w:t>
      </w:r>
    </w:p>
    <w:p w:rsidR="00A16951" w:rsidRDefault="00A16951" w:rsidP="009172AF">
      <w:pPr>
        <w:widowControl/>
        <w:spacing w:line="360" w:lineRule="auto"/>
        <w:jc w:val="both"/>
        <w:rPr>
          <w:rFonts w:ascii="Arial" w:hAnsi="Arial" w:cs="Arial"/>
        </w:rPr>
      </w:pPr>
    </w:p>
    <w:p w:rsidR="00A16951" w:rsidRDefault="00A16951" w:rsidP="00A16951">
      <w:pPr>
        <w:spacing w:line="360" w:lineRule="auto"/>
        <w:jc w:val="both"/>
        <w:rPr>
          <w:rFonts w:ascii="Arial" w:hAnsi="Arial" w:cs="Arial"/>
        </w:rPr>
      </w:pPr>
      <w:r>
        <w:rPr>
          <w:rFonts w:ascii="Arial" w:hAnsi="Arial" w:cs="Arial"/>
        </w:rPr>
        <w:t>De igual forma, no se encuentra ni alegado ni probado, que el actor sea persona de especial protección constitucional</w:t>
      </w:r>
      <w:r>
        <w:rPr>
          <w:rStyle w:val="Appelnotedebasdep"/>
          <w:rFonts w:ascii="Arial" w:hAnsi="Arial"/>
        </w:rPr>
        <w:footnoteReference w:id="26"/>
      </w:r>
      <w:r>
        <w:rPr>
          <w:rFonts w:ascii="Arial" w:hAnsi="Arial" w:cs="Arial"/>
        </w:rPr>
        <w:t xml:space="preserve">; ni que la terminación del trámite popular, </w:t>
      </w:r>
      <w:r w:rsidRPr="00A36EB8">
        <w:rPr>
          <w:rFonts w:ascii="Arial" w:hAnsi="Arial" w:cs="Arial"/>
        </w:rPr>
        <w:t xml:space="preserve">vulnere o amenace </w:t>
      </w:r>
      <w:r>
        <w:rPr>
          <w:rFonts w:ascii="Arial" w:hAnsi="Arial" w:cs="Arial"/>
        </w:rPr>
        <w:t xml:space="preserve">sus </w:t>
      </w:r>
      <w:r w:rsidRPr="00A36EB8">
        <w:rPr>
          <w:rFonts w:ascii="Arial" w:hAnsi="Arial" w:cs="Arial"/>
        </w:rPr>
        <w:t>derechos de f</w:t>
      </w:r>
      <w:r>
        <w:rPr>
          <w:rFonts w:ascii="Arial" w:hAnsi="Arial" w:cs="Arial"/>
        </w:rPr>
        <w:t>orma tal que pueda estar incurso</w:t>
      </w:r>
      <w:r w:rsidRPr="00A36EB8">
        <w:rPr>
          <w:rFonts w:ascii="Arial" w:hAnsi="Arial" w:cs="Arial"/>
        </w:rPr>
        <w:t xml:space="preserve"> en una debilidad manifiesta</w:t>
      </w:r>
      <w:r>
        <w:rPr>
          <w:rFonts w:ascii="Arial" w:hAnsi="Arial" w:cs="Arial"/>
        </w:rPr>
        <w:t xml:space="preserve">. </w:t>
      </w:r>
    </w:p>
    <w:p w:rsidR="001409B8" w:rsidRDefault="001409B8" w:rsidP="00A16951">
      <w:pPr>
        <w:spacing w:line="360" w:lineRule="auto"/>
        <w:jc w:val="both"/>
        <w:rPr>
          <w:rFonts w:ascii="Arial" w:hAnsi="Arial" w:cs="Arial"/>
        </w:rPr>
      </w:pPr>
    </w:p>
    <w:p w:rsidR="005C7DF6" w:rsidRPr="00440316" w:rsidRDefault="005C7DF6" w:rsidP="005C7DF6">
      <w:pPr>
        <w:pStyle w:val="Paragraphedeliste"/>
        <w:numPr>
          <w:ilvl w:val="1"/>
          <w:numId w:val="18"/>
        </w:numPr>
        <w:spacing w:line="360" w:lineRule="auto"/>
        <w:jc w:val="both"/>
        <w:rPr>
          <w:rFonts w:ascii="Arial" w:hAnsi="Arial" w:cs="Arial"/>
          <w:lang w:val="es-ES_tradnl"/>
        </w:rPr>
      </w:pPr>
      <w:r>
        <w:rPr>
          <w:rFonts w:ascii="Arial" w:hAnsi="Arial"/>
          <w:smallCaps/>
        </w:rPr>
        <w:t xml:space="preserve">La </w:t>
      </w:r>
      <w:r w:rsidR="00193424">
        <w:rPr>
          <w:rFonts w:ascii="Arial" w:hAnsi="Arial"/>
          <w:smallCaps/>
        </w:rPr>
        <w:t>subsidiariedad</w:t>
      </w:r>
      <w:r w:rsidRPr="00440316">
        <w:rPr>
          <w:rFonts w:ascii="Arial" w:hAnsi="Arial"/>
          <w:smallCaps/>
        </w:rPr>
        <w:t xml:space="preserve"> </w:t>
      </w:r>
    </w:p>
    <w:p w:rsidR="001D02C6" w:rsidRDefault="001D02C6" w:rsidP="00AA2028">
      <w:pPr>
        <w:widowControl/>
        <w:spacing w:line="360" w:lineRule="auto"/>
        <w:jc w:val="both"/>
        <w:rPr>
          <w:rFonts w:ascii="Arial" w:hAnsi="Arial" w:cs="Arial"/>
        </w:rPr>
      </w:pPr>
    </w:p>
    <w:p w:rsidR="00DB07DE" w:rsidRDefault="005C7DF6" w:rsidP="00AA2028">
      <w:pPr>
        <w:widowControl/>
        <w:spacing w:line="360" w:lineRule="auto"/>
        <w:jc w:val="both"/>
        <w:rPr>
          <w:rFonts w:ascii="Arial" w:hAnsi="Arial" w:cs="Arial"/>
        </w:rPr>
      </w:pPr>
      <w:r>
        <w:rPr>
          <w:rFonts w:ascii="Arial" w:hAnsi="Arial" w:cs="Arial"/>
        </w:rPr>
        <w:t>En las</w:t>
      </w:r>
      <w:r w:rsidR="00A16519">
        <w:rPr>
          <w:rFonts w:ascii="Arial" w:hAnsi="Arial" w:cs="Arial"/>
        </w:rPr>
        <w:t xml:space="preserve"> acciones</w:t>
      </w:r>
      <w:r w:rsidR="00E04E6D">
        <w:rPr>
          <w:rFonts w:ascii="Arial" w:hAnsi="Arial" w:cs="Arial"/>
        </w:rPr>
        <w:t xml:space="preserve"> radicadas a los Nos.2015-00389</w:t>
      </w:r>
      <w:r w:rsidR="00B61809">
        <w:rPr>
          <w:rFonts w:ascii="Arial" w:hAnsi="Arial" w:cs="Arial"/>
        </w:rPr>
        <w:t xml:space="preserve">-00 y 2015-00433-00 </w:t>
      </w:r>
      <w:r w:rsidR="00E04E6D">
        <w:rPr>
          <w:rFonts w:ascii="Arial" w:hAnsi="Arial" w:cs="Arial"/>
        </w:rPr>
        <w:t xml:space="preserve">se </w:t>
      </w:r>
      <w:r w:rsidR="00A16951">
        <w:rPr>
          <w:rFonts w:ascii="Arial" w:hAnsi="Arial" w:cs="Arial"/>
        </w:rPr>
        <w:t>tomaron las mismas</w:t>
      </w:r>
      <w:r w:rsidR="00E04E6D">
        <w:rPr>
          <w:rFonts w:ascii="Arial" w:hAnsi="Arial" w:cs="Arial"/>
        </w:rPr>
        <w:t xml:space="preserve"> </w:t>
      </w:r>
      <w:r w:rsidR="00A16951">
        <w:rPr>
          <w:rFonts w:ascii="Arial" w:hAnsi="Arial" w:cs="Arial"/>
        </w:rPr>
        <w:t xml:space="preserve">decisiones </w:t>
      </w:r>
      <w:r w:rsidR="00B61809">
        <w:rPr>
          <w:rFonts w:ascii="Arial" w:hAnsi="Arial" w:cs="Arial"/>
        </w:rPr>
        <w:t>en precedencia</w:t>
      </w:r>
      <w:r w:rsidR="00E04E6D">
        <w:rPr>
          <w:rFonts w:ascii="Arial" w:hAnsi="Arial" w:cs="Arial"/>
        </w:rPr>
        <w:t>, pero</w:t>
      </w:r>
      <w:r w:rsidR="009F408C">
        <w:rPr>
          <w:rFonts w:ascii="Arial" w:hAnsi="Arial" w:cs="Arial"/>
        </w:rPr>
        <w:t xml:space="preserve"> </w:t>
      </w:r>
      <w:r w:rsidR="00F66C7F">
        <w:rPr>
          <w:rFonts w:ascii="Arial" w:hAnsi="Arial" w:cs="Arial"/>
        </w:rPr>
        <w:t xml:space="preserve">con autos del </w:t>
      </w:r>
      <w:r w:rsidR="00E04E6D">
        <w:rPr>
          <w:rFonts w:ascii="Arial" w:hAnsi="Arial" w:cs="Arial"/>
        </w:rPr>
        <w:t xml:space="preserve">20-10-2016 </w:t>
      </w:r>
      <w:r w:rsidR="005B20FE">
        <w:rPr>
          <w:rFonts w:ascii="Arial" w:hAnsi="Arial" w:cs="Arial"/>
        </w:rPr>
        <w:t>(Folios 44 a 45 y 63 a 64,</w:t>
      </w:r>
      <w:r w:rsidR="00B61809">
        <w:rPr>
          <w:rFonts w:ascii="Arial" w:hAnsi="Arial" w:cs="Arial"/>
        </w:rPr>
        <w:t xml:space="preserve"> ib.</w:t>
      </w:r>
      <w:r w:rsidR="00E04E6D">
        <w:rPr>
          <w:rFonts w:ascii="Arial" w:hAnsi="Arial" w:cs="Arial"/>
        </w:rPr>
        <w:t xml:space="preserve">) </w:t>
      </w:r>
      <w:r w:rsidR="000150D1">
        <w:rPr>
          <w:rFonts w:ascii="Arial" w:hAnsi="Arial" w:cs="Arial"/>
        </w:rPr>
        <w:t>y</w:t>
      </w:r>
      <w:r w:rsidR="00F42DB0">
        <w:rPr>
          <w:rFonts w:ascii="Arial" w:hAnsi="Arial" w:cs="Arial"/>
        </w:rPr>
        <w:t xml:space="preserve"> </w:t>
      </w:r>
      <w:r w:rsidR="00A16951">
        <w:rPr>
          <w:rFonts w:ascii="Arial" w:hAnsi="Arial" w:cs="Arial"/>
        </w:rPr>
        <w:t>d</w:t>
      </w:r>
      <w:r w:rsidR="000150D1">
        <w:rPr>
          <w:rFonts w:ascii="Arial" w:hAnsi="Arial" w:cs="Arial"/>
        </w:rPr>
        <w:t xml:space="preserve">el 28-10-2017 </w:t>
      </w:r>
      <w:r w:rsidR="005B20FE">
        <w:rPr>
          <w:rFonts w:ascii="Arial" w:hAnsi="Arial" w:cs="Arial"/>
        </w:rPr>
        <w:t>(Folios 47 a 48 y 66 a 67, ib.)</w:t>
      </w:r>
      <w:r w:rsidR="00A16951">
        <w:rPr>
          <w:rFonts w:ascii="Arial" w:hAnsi="Arial" w:cs="Arial"/>
        </w:rPr>
        <w:t>,</w:t>
      </w:r>
      <w:r w:rsidR="005B20FE">
        <w:rPr>
          <w:rFonts w:ascii="Arial" w:hAnsi="Arial" w:cs="Arial"/>
        </w:rPr>
        <w:t xml:space="preserve"> </w:t>
      </w:r>
      <w:r w:rsidR="00E04E6D">
        <w:rPr>
          <w:rFonts w:ascii="Arial" w:hAnsi="Arial" w:cs="Arial"/>
        </w:rPr>
        <w:t>notificado</w:t>
      </w:r>
      <w:r w:rsidR="00C45D44">
        <w:rPr>
          <w:rFonts w:ascii="Arial" w:hAnsi="Arial" w:cs="Arial"/>
        </w:rPr>
        <w:t>s</w:t>
      </w:r>
      <w:r w:rsidR="00E04E6D">
        <w:rPr>
          <w:rFonts w:ascii="Arial" w:hAnsi="Arial" w:cs="Arial"/>
        </w:rPr>
        <w:t xml:space="preserve"> por estados del 31-10-2016</w:t>
      </w:r>
      <w:r w:rsidR="005B20FE">
        <w:rPr>
          <w:rFonts w:ascii="Arial" w:hAnsi="Arial" w:cs="Arial"/>
        </w:rPr>
        <w:t>,</w:t>
      </w:r>
      <w:r w:rsidR="00440316">
        <w:rPr>
          <w:rFonts w:ascii="Arial" w:hAnsi="Arial" w:cs="Arial"/>
        </w:rPr>
        <w:t xml:space="preserve"> </w:t>
      </w:r>
      <w:r w:rsidR="00946C0A">
        <w:rPr>
          <w:rFonts w:ascii="Arial" w:hAnsi="Arial" w:cs="Arial"/>
        </w:rPr>
        <w:t>sin que fueran recurridos</w:t>
      </w:r>
      <w:r w:rsidR="00C45D44">
        <w:rPr>
          <w:rFonts w:ascii="Arial" w:hAnsi="Arial" w:cs="Arial"/>
        </w:rPr>
        <w:t xml:space="preserve"> por acciona</w:t>
      </w:r>
      <w:r w:rsidR="000C1ADA">
        <w:rPr>
          <w:rFonts w:ascii="Arial" w:hAnsi="Arial" w:cs="Arial"/>
        </w:rPr>
        <w:t>n</w:t>
      </w:r>
      <w:r w:rsidR="00C45D44">
        <w:rPr>
          <w:rFonts w:ascii="Arial" w:hAnsi="Arial" w:cs="Arial"/>
        </w:rPr>
        <w:t>te</w:t>
      </w:r>
      <w:r w:rsidR="00E04E6D">
        <w:rPr>
          <w:rFonts w:ascii="Arial" w:hAnsi="Arial" w:cs="Arial"/>
        </w:rPr>
        <w:t xml:space="preserve"> (Folios 48 y 67, ib.)</w:t>
      </w:r>
      <w:r w:rsidR="00A16951">
        <w:rPr>
          <w:rFonts w:ascii="Arial" w:hAnsi="Arial" w:cs="Arial"/>
        </w:rPr>
        <w:t>, respectivamente</w:t>
      </w:r>
      <w:r w:rsidR="00E04E6D">
        <w:rPr>
          <w:rFonts w:ascii="Arial" w:hAnsi="Arial" w:cs="Arial"/>
        </w:rPr>
        <w:t>.</w:t>
      </w:r>
      <w:r w:rsidR="00926792">
        <w:rPr>
          <w:rFonts w:ascii="Arial" w:hAnsi="Arial" w:cs="Arial"/>
        </w:rPr>
        <w:t xml:space="preserve"> </w:t>
      </w:r>
    </w:p>
    <w:p w:rsidR="00AB69A6" w:rsidRDefault="00AB69A6" w:rsidP="00AB69A6">
      <w:pPr>
        <w:spacing w:line="360" w:lineRule="auto"/>
        <w:jc w:val="both"/>
        <w:rPr>
          <w:rFonts w:ascii="Arial" w:hAnsi="Arial" w:cs="Arial"/>
          <w:sz w:val="20"/>
        </w:rPr>
      </w:pPr>
    </w:p>
    <w:p w:rsidR="00311AAE" w:rsidRDefault="00F24411" w:rsidP="00311AAE">
      <w:pPr>
        <w:spacing w:line="360" w:lineRule="auto"/>
        <w:jc w:val="both"/>
        <w:rPr>
          <w:rFonts w:ascii="Arial" w:hAnsi="Arial" w:cs="Arial"/>
        </w:rPr>
      </w:pPr>
      <w:r w:rsidRPr="0004784E">
        <w:rPr>
          <w:rFonts w:ascii="Arial" w:hAnsi="Arial" w:cs="Arial"/>
        </w:rPr>
        <w:t xml:space="preserve">En ese orden de ideas, </w:t>
      </w:r>
      <w:r>
        <w:rPr>
          <w:rFonts w:ascii="Arial" w:hAnsi="Arial" w:cs="Arial"/>
        </w:rPr>
        <w:t xml:space="preserve">se tiene que en </w:t>
      </w:r>
      <w:r w:rsidR="00A16951">
        <w:rPr>
          <w:rFonts w:ascii="Arial" w:hAnsi="Arial" w:cs="Arial"/>
        </w:rPr>
        <w:t xml:space="preserve">dichos asuntos </w:t>
      </w:r>
      <w:r w:rsidRPr="00403DB2">
        <w:rPr>
          <w:rFonts w:ascii="Arial" w:hAnsi="Arial" w:cs="Arial"/>
        </w:rPr>
        <w:t>constitucional</w:t>
      </w:r>
      <w:r w:rsidR="00A16951">
        <w:rPr>
          <w:rFonts w:ascii="Arial" w:hAnsi="Arial" w:cs="Arial"/>
        </w:rPr>
        <w:t>es</w:t>
      </w:r>
      <w:r w:rsidR="00716C97">
        <w:rPr>
          <w:rFonts w:ascii="Arial" w:hAnsi="Arial" w:cs="Arial"/>
        </w:rPr>
        <w:t>,</w:t>
      </w:r>
      <w:r w:rsidRPr="00403DB2">
        <w:rPr>
          <w:rFonts w:ascii="Arial" w:hAnsi="Arial" w:cs="Arial"/>
        </w:rPr>
        <w:t xml:space="preserve"> el accionante pretermitió agotar el recurso de reposición</w:t>
      </w:r>
      <w:r w:rsidR="00A16951">
        <w:rPr>
          <w:rFonts w:ascii="Arial" w:hAnsi="Arial" w:cs="Arial"/>
        </w:rPr>
        <w:t xml:space="preserve"> (Artículo 36, Ley 472)</w:t>
      </w:r>
      <w:r w:rsidRPr="00403DB2">
        <w:rPr>
          <w:rFonts w:ascii="Arial" w:hAnsi="Arial" w:cs="Arial"/>
        </w:rPr>
        <w:t>, frente a</w:t>
      </w:r>
      <w:r>
        <w:rPr>
          <w:rFonts w:ascii="Arial" w:hAnsi="Arial" w:cs="Arial"/>
        </w:rPr>
        <w:t xml:space="preserve"> los proveídos que </w:t>
      </w:r>
      <w:r w:rsidR="008B288F">
        <w:rPr>
          <w:rFonts w:ascii="Arial" w:hAnsi="Arial" w:cs="Arial"/>
        </w:rPr>
        <w:t>negaron la concesión de las alzadas presentadas</w:t>
      </w:r>
      <w:r>
        <w:rPr>
          <w:rFonts w:ascii="Arial" w:hAnsi="Arial" w:cs="Arial"/>
        </w:rPr>
        <w:t>,</w:t>
      </w:r>
      <w:r w:rsidRPr="00403DB2">
        <w:rPr>
          <w:rFonts w:ascii="Arial" w:hAnsi="Arial" w:cs="Arial"/>
        </w:rPr>
        <w:t xml:space="preserve"> cuando ese era el mecanismo ordinario y expedito que tenía para procurar que el estrado judicial accionado reconsiderara </w:t>
      </w:r>
      <w:r w:rsidR="008B288F">
        <w:rPr>
          <w:rFonts w:ascii="Arial" w:hAnsi="Arial" w:cs="Arial"/>
        </w:rPr>
        <w:t xml:space="preserve">aquella </w:t>
      </w:r>
      <w:r w:rsidRPr="00403DB2">
        <w:rPr>
          <w:rFonts w:ascii="Arial" w:hAnsi="Arial" w:cs="Arial"/>
        </w:rPr>
        <w:t>determinaci</w:t>
      </w:r>
      <w:r>
        <w:rPr>
          <w:rFonts w:ascii="Arial" w:hAnsi="Arial" w:cs="Arial"/>
        </w:rPr>
        <w:t>ón.</w:t>
      </w:r>
      <w:r w:rsidR="00311AAE">
        <w:rPr>
          <w:rFonts w:ascii="Arial" w:hAnsi="Arial" w:cs="Arial"/>
        </w:rPr>
        <w:t xml:space="preserve"> Al respecto ha dicho la CSJ</w:t>
      </w:r>
      <w:r w:rsidR="00311AAE">
        <w:rPr>
          <w:rStyle w:val="Appelnotedebasdep"/>
          <w:rFonts w:ascii="Arial" w:hAnsi="Arial"/>
        </w:rPr>
        <w:footnoteReference w:id="27"/>
      </w:r>
      <w:r w:rsidR="00311AAE">
        <w:rPr>
          <w:rFonts w:ascii="Arial" w:hAnsi="Arial" w:cs="Arial"/>
        </w:rPr>
        <w:t xml:space="preserve">: </w:t>
      </w:r>
    </w:p>
    <w:p w:rsidR="00311AAE" w:rsidRPr="00311AAE" w:rsidRDefault="00311AAE" w:rsidP="00311AAE">
      <w:pPr>
        <w:spacing w:line="360" w:lineRule="auto"/>
        <w:jc w:val="both"/>
        <w:rPr>
          <w:rFonts w:ascii="Arial" w:hAnsi="Arial" w:cs="Arial"/>
          <w:sz w:val="18"/>
        </w:rPr>
      </w:pPr>
    </w:p>
    <w:p w:rsidR="00311AAE" w:rsidRPr="000473E8" w:rsidRDefault="00311AAE" w:rsidP="00311AAE">
      <w:pPr>
        <w:ind w:left="709" w:right="618"/>
        <w:jc w:val="both"/>
        <w:rPr>
          <w:rFonts w:ascii="Arial" w:hAnsi="Arial" w:cs="Arial"/>
          <w:bCs/>
          <w:sz w:val="28"/>
          <w:szCs w:val="28"/>
          <w:lang w:eastAsia="x-none"/>
        </w:rPr>
      </w:pPr>
      <w:r w:rsidRPr="000473E8">
        <w:rPr>
          <w:rFonts w:ascii="Arial" w:hAnsi="Arial"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946C0A" w:rsidRPr="00311AAE" w:rsidRDefault="00946C0A" w:rsidP="00946C0A">
      <w:pPr>
        <w:widowControl/>
        <w:spacing w:line="360" w:lineRule="auto"/>
        <w:jc w:val="both"/>
        <w:rPr>
          <w:rFonts w:ascii="Arial" w:hAnsi="Arial" w:cs="Arial"/>
          <w:sz w:val="28"/>
        </w:rPr>
      </w:pPr>
    </w:p>
    <w:p w:rsidR="00AB69A6" w:rsidRDefault="00AB69A6" w:rsidP="00AB69A6">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Pr>
          <w:rFonts w:ascii="Arial" w:hAnsi="Arial" w:cs="Arial"/>
        </w:rPr>
        <w:t>CC</w:t>
      </w:r>
      <w:r w:rsidRPr="00A80FCC">
        <w:rPr>
          <w:rFonts w:ascii="Arial" w:hAnsi="Arial" w:cs="Arial"/>
        </w:rPr>
        <w:t xml:space="preserve">,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28"/>
      </w:r>
      <w:r w:rsidRPr="00A80FCC">
        <w:rPr>
          <w:rFonts w:ascii="Arial" w:hAnsi="Arial" w:cs="Arial"/>
        </w:rPr>
        <w:t xml:space="preserve">. </w:t>
      </w:r>
    </w:p>
    <w:p w:rsidR="00D10AEC" w:rsidRPr="004B7598" w:rsidRDefault="00D10AEC" w:rsidP="00AB69A6">
      <w:pPr>
        <w:spacing w:line="360" w:lineRule="auto"/>
        <w:jc w:val="both"/>
        <w:rPr>
          <w:rFonts w:ascii="Arial" w:hAnsi="Arial" w:cs="Arial"/>
          <w:bCs/>
          <w:sz w:val="20"/>
          <w:lang w:val="es-CO"/>
        </w:rPr>
      </w:pPr>
    </w:p>
    <w:p w:rsidR="00D10AEC" w:rsidRDefault="00D10AEC" w:rsidP="00D10AEC">
      <w:pPr>
        <w:spacing w:line="360" w:lineRule="auto"/>
        <w:ind w:right="51"/>
        <w:jc w:val="both"/>
        <w:rPr>
          <w:rFonts w:ascii="Arial" w:hAnsi="Arial"/>
        </w:rPr>
      </w:pPr>
      <w:r>
        <w:rPr>
          <w:rFonts w:ascii="Arial" w:hAnsi="Arial"/>
        </w:rPr>
        <w:lastRenderedPageBreak/>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9"/>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30"/>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D10AEC" w:rsidRPr="00D54497" w:rsidRDefault="00D10AEC" w:rsidP="00D10AEC">
      <w:pPr>
        <w:spacing w:line="360" w:lineRule="auto"/>
        <w:ind w:right="51"/>
        <w:jc w:val="both"/>
        <w:rPr>
          <w:rFonts w:ascii="Arial" w:hAnsi="Arial"/>
          <w:sz w:val="20"/>
        </w:rPr>
      </w:pPr>
    </w:p>
    <w:p w:rsidR="00D10AEC" w:rsidRDefault="00D10AEC" w:rsidP="00D10AEC">
      <w:pPr>
        <w:spacing w:line="360" w:lineRule="auto"/>
        <w:ind w:right="51"/>
        <w:jc w:val="both"/>
        <w:rPr>
          <w:rFonts w:ascii="Arial" w:hAnsi="Arial"/>
        </w:rPr>
      </w:pPr>
      <w:r w:rsidRPr="0004784E">
        <w:rPr>
          <w:rFonts w:ascii="Arial" w:hAnsi="Arial" w:cs="Arial"/>
          <w:lang w:val="es-ES_tradnl"/>
        </w:rPr>
        <w:t xml:space="preserve">En ese contexto, </w:t>
      </w:r>
      <w:r w:rsidR="004E6469">
        <w:rPr>
          <w:rFonts w:ascii="Arial" w:hAnsi="Arial" w:cs="Arial"/>
          <w:lang w:val="es-ES_tradnl"/>
        </w:rPr>
        <w:t xml:space="preserve">los amparos son </w:t>
      </w:r>
      <w:r>
        <w:rPr>
          <w:rFonts w:ascii="Arial" w:hAnsi="Arial" w:cs="Arial"/>
          <w:lang w:val="es-ES_tradnl"/>
        </w:rPr>
        <w:t>improcedente</w:t>
      </w:r>
      <w:r w:rsidR="004E6469">
        <w:rPr>
          <w:rFonts w:ascii="Arial" w:hAnsi="Arial" w:cs="Arial"/>
          <w:lang w:val="es-ES_tradnl"/>
        </w:rPr>
        <w:t>s</w:t>
      </w:r>
      <w:r>
        <w:rPr>
          <w:rFonts w:ascii="Arial" w:hAnsi="Arial" w:cs="Arial"/>
          <w:lang w:val="es-ES_tradnl"/>
        </w:rPr>
        <w:t xml:space="preserve"> </w:t>
      </w:r>
      <w:r w:rsidRPr="0004784E">
        <w:rPr>
          <w:rFonts w:ascii="Arial" w:hAnsi="Arial" w:cs="Arial"/>
          <w:lang w:val="es-ES_tradnl"/>
        </w:rPr>
        <w:t>toda vez que se incumple</w:t>
      </w:r>
      <w:r w:rsidR="0091158C">
        <w:rPr>
          <w:rFonts w:ascii="Arial" w:hAnsi="Arial" w:cs="Arial"/>
          <w:lang w:val="es-ES_tradnl"/>
        </w:rPr>
        <w:t>n</w:t>
      </w:r>
      <w:r w:rsidRPr="0004784E">
        <w:rPr>
          <w:rFonts w:ascii="Arial" w:hAnsi="Arial" w:cs="Arial"/>
          <w:lang w:val="es-ES_tradnl"/>
        </w:rPr>
        <w:t xml:space="preserve"> con </w:t>
      </w:r>
      <w:r w:rsidR="007264FC">
        <w:rPr>
          <w:rFonts w:ascii="Arial" w:hAnsi="Arial" w:cs="Arial"/>
          <w:lang w:val="es-ES_tradnl"/>
        </w:rPr>
        <w:t xml:space="preserve">dos </w:t>
      </w:r>
      <w:r w:rsidRPr="0004784E">
        <w:rPr>
          <w:rFonts w:ascii="Arial" w:hAnsi="Arial" w:cs="Arial"/>
          <w:lang w:val="es-ES_tradnl"/>
        </w:rPr>
        <w:t xml:space="preserve">de los siete (7) requisitos generales de procedibilidad, como </w:t>
      </w:r>
      <w:r w:rsidR="007264FC">
        <w:rPr>
          <w:rFonts w:ascii="Arial" w:hAnsi="Arial" w:cs="Arial"/>
          <w:lang w:val="es-ES_tradnl"/>
        </w:rPr>
        <w:t>son la inmediatez y</w:t>
      </w:r>
      <w:r w:rsidRPr="0004784E">
        <w:rPr>
          <w:rFonts w:ascii="Arial" w:hAnsi="Arial" w:cs="Arial"/>
          <w:lang w:val="es-ES_tradnl"/>
        </w:rPr>
        <w:t xml:space="preserve"> subsidiariedad, </w:t>
      </w:r>
      <w:r w:rsidR="005E276A">
        <w:rPr>
          <w:rFonts w:ascii="Arial" w:hAnsi="Arial" w:cs="Arial"/>
          <w:lang w:val="es-ES_tradnl"/>
        </w:rPr>
        <w:t xml:space="preserve">dado que </w:t>
      </w:r>
      <w:r w:rsidR="00CB7F86">
        <w:rPr>
          <w:rFonts w:ascii="Arial" w:hAnsi="Arial" w:cs="Arial"/>
          <w:lang w:val="es-ES_tradnl"/>
        </w:rPr>
        <w:t xml:space="preserve">en </w:t>
      </w:r>
      <w:r w:rsidR="00CB7F86">
        <w:rPr>
          <w:rFonts w:ascii="Arial" w:hAnsi="Arial" w:cs="Arial"/>
        </w:rPr>
        <w:t xml:space="preserve">se </w:t>
      </w:r>
      <w:r w:rsidR="009C1D55">
        <w:rPr>
          <w:rFonts w:ascii="Arial" w:hAnsi="Arial" w:cs="Arial"/>
        </w:rPr>
        <w:t xml:space="preserve">sobrepasó el término fijado por la línea jurisprudencial para la presentación del amparo </w:t>
      </w:r>
      <w:r w:rsidR="008B288F">
        <w:rPr>
          <w:rFonts w:ascii="Arial" w:hAnsi="Arial" w:cs="Arial"/>
        </w:rPr>
        <w:t>(</w:t>
      </w:r>
      <w:r w:rsidR="008B288F">
        <w:rPr>
          <w:rFonts w:ascii="Arial" w:hAnsi="Arial" w:cs="Arial"/>
          <w:lang w:val="es-ES_tradnl"/>
        </w:rPr>
        <w:t>Acción popular No.</w:t>
      </w:r>
      <w:r w:rsidR="008B288F">
        <w:rPr>
          <w:rFonts w:ascii="Arial" w:hAnsi="Arial" w:cs="Arial"/>
        </w:rPr>
        <w:t xml:space="preserve">2015-00457-00) </w:t>
      </w:r>
      <w:r w:rsidR="009C1D55">
        <w:rPr>
          <w:rFonts w:ascii="Arial" w:hAnsi="Arial" w:cs="Arial"/>
        </w:rPr>
        <w:t xml:space="preserve">y no se agotaron los recursos </w:t>
      </w:r>
      <w:r w:rsidR="0091158C">
        <w:rPr>
          <w:rFonts w:ascii="Arial" w:hAnsi="Arial" w:cs="Arial"/>
        </w:rPr>
        <w:t>ordinarios</w:t>
      </w:r>
      <w:r w:rsidR="008B288F">
        <w:rPr>
          <w:rFonts w:ascii="Arial" w:hAnsi="Arial" w:cs="Arial"/>
        </w:rPr>
        <w:t xml:space="preserve"> (Acciones populares Nos. 2015-00389-00 y 2015-00433-00)</w:t>
      </w:r>
      <w:r w:rsidR="009C1D55">
        <w:rPr>
          <w:rFonts w:ascii="Arial" w:hAnsi="Arial" w:cs="Arial"/>
        </w:rPr>
        <w:t xml:space="preserve">. </w:t>
      </w:r>
    </w:p>
    <w:p w:rsidR="004D732D" w:rsidRDefault="004D732D" w:rsidP="00566506">
      <w:pPr>
        <w:widowControl/>
        <w:spacing w:line="360" w:lineRule="auto"/>
        <w:jc w:val="both"/>
        <w:rPr>
          <w:rFonts w:ascii="Arial" w:hAnsi="Arial"/>
          <w:lang w:val="es-CO"/>
        </w:rPr>
      </w:pPr>
    </w:p>
    <w:p w:rsidR="00C710F3" w:rsidRPr="00440316" w:rsidRDefault="00C710F3" w:rsidP="00C710F3">
      <w:pPr>
        <w:pStyle w:val="Paragraphedeliste"/>
        <w:numPr>
          <w:ilvl w:val="1"/>
          <w:numId w:val="18"/>
        </w:numPr>
        <w:spacing w:line="360" w:lineRule="auto"/>
        <w:jc w:val="both"/>
        <w:rPr>
          <w:rFonts w:ascii="Arial" w:hAnsi="Arial" w:cs="Arial"/>
          <w:lang w:val="es-ES_tradnl"/>
        </w:rPr>
      </w:pPr>
      <w:r>
        <w:rPr>
          <w:rFonts w:ascii="Arial" w:hAnsi="Arial"/>
          <w:smallCaps/>
        </w:rPr>
        <w:t>Hechos inexistentes</w:t>
      </w:r>
      <w:r w:rsidRPr="00440316">
        <w:rPr>
          <w:rFonts w:ascii="Arial" w:hAnsi="Arial"/>
          <w:smallCaps/>
        </w:rPr>
        <w:t xml:space="preserve"> </w:t>
      </w:r>
    </w:p>
    <w:p w:rsidR="00C710F3" w:rsidRDefault="00C710F3" w:rsidP="00566506">
      <w:pPr>
        <w:widowControl/>
        <w:spacing w:line="360" w:lineRule="auto"/>
        <w:jc w:val="both"/>
        <w:rPr>
          <w:rFonts w:ascii="Arial" w:hAnsi="Arial"/>
          <w:lang w:val="es-CO"/>
        </w:rPr>
      </w:pPr>
    </w:p>
    <w:p w:rsidR="0099181C" w:rsidRDefault="008B288F" w:rsidP="00566506">
      <w:pPr>
        <w:widowControl/>
        <w:spacing w:line="360" w:lineRule="auto"/>
        <w:jc w:val="both"/>
        <w:rPr>
          <w:rFonts w:ascii="Arial" w:hAnsi="Arial"/>
          <w:lang w:val="es-CO"/>
        </w:rPr>
      </w:pPr>
      <w:r>
        <w:rPr>
          <w:rFonts w:ascii="Arial" w:hAnsi="Arial"/>
          <w:lang w:val="es-CO"/>
        </w:rPr>
        <w:t xml:space="preserve">De otro lado, respecto de las pretensiones frente a </w:t>
      </w:r>
      <w:proofErr w:type="spellStart"/>
      <w:r>
        <w:rPr>
          <w:rFonts w:ascii="Arial" w:hAnsi="Arial"/>
          <w:lang w:val="es-CO"/>
        </w:rPr>
        <w:t>Audifarma</w:t>
      </w:r>
      <w:proofErr w:type="spellEnd"/>
      <w:r>
        <w:rPr>
          <w:rFonts w:ascii="Arial" w:hAnsi="Arial"/>
          <w:lang w:val="es-CO"/>
        </w:rPr>
        <w:t xml:space="preserve"> </w:t>
      </w:r>
      <w:proofErr w:type="spellStart"/>
      <w:r>
        <w:rPr>
          <w:rFonts w:ascii="Arial" w:hAnsi="Arial"/>
          <w:lang w:val="es-CO"/>
        </w:rPr>
        <w:t>SA</w:t>
      </w:r>
      <w:proofErr w:type="spellEnd"/>
      <w:r>
        <w:rPr>
          <w:rFonts w:ascii="Arial" w:hAnsi="Arial"/>
          <w:lang w:val="es-CO"/>
        </w:rPr>
        <w:t xml:space="preserve">, se tiene conforme </w:t>
      </w:r>
      <w:r w:rsidR="00D2013B">
        <w:rPr>
          <w:rFonts w:ascii="Arial" w:hAnsi="Arial"/>
          <w:lang w:val="es-CO"/>
        </w:rPr>
        <w:t xml:space="preserve">al material probatorio </w:t>
      </w:r>
      <w:r>
        <w:rPr>
          <w:rFonts w:ascii="Arial" w:hAnsi="Arial"/>
          <w:lang w:val="es-CO"/>
        </w:rPr>
        <w:t xml:space="preserve">que </w:t>
      </w:r>
      <w:r w:rsidR="00D2013B">
        <w:rPr>
          <w:rFonts w:ascii="Arial" w:hAnsi="Arial"/>
          <w:lang w:val="es-CO"/>
        </w:rPr>
        <w:t xml:space="preserve">las acciones populares fueron admitidas por autos del </w:t>
      </w:r>
      <w:r w:rsidR="00053273">
        <w:rPr>
          <w:rFonts w:ascii="Arial" w:hAnsi="Arial"/>
          <w:lang w:val="es-CO"/>
        </w:rPr>
        <w:t xml:space="preserve">23-10-2015, 21-10-2015 y </w:t>
      </w:r>
      <w:r w:rsidR="00D2013B">
        <w:rPr>
          <w:rFonts w:ascii="Arial" w:hAnsi="Arial"/>
          <w:lang w:val="es-CO"/>
        </w:rPr>
        <w:t>14-</w:t>
      </w:r>
      <w:r w:rsidR="00053273">
        <w:rPr>
          <w:rFonts w:ascii="Arial" w:hAnsi="Arial"/>
          <w:lang w:val="es-CO"/>
        </w:rPr>
        <w:t>10-</w:t>
      </w:r>
      <w:r w:rsidR="00D2013B">
        <w:rPr>
          <w:rFonts w:ascii="Arial" w:hAnsi="Arial"/>
          <w:lang w:val="es-CO"/>
        </w:rPr>
        <w:t>2015 (Folio</w:t>
      </w:r>
      <w:r w:rsidR="00053273">
        <w:rPr>
          <w:rFonts w:ascii="Arial" w:hAnsi="Arial"/>
          <w:lang w:val="es-CO"/>
        </w:rPr>
        <w:t>s</w:t>
      </w:r>
      <w:r w:rsidR="00D2013B">
        <w:rPr>
          <w:rFonts w:ascii="Arial" w:hAnsi="Arial"/>
          <w:lang w:val="es-CO"/>
        </w:rPr>
        <w:t xml:space="preserve"> 20, </w:t>
      </w:r>
      <w:r w:rsidR="00053273">
        <w:rPr>
          <w:rFonts w:ascii="Arial" w:hAnsi="Arial"/>
          <w:lang w:val="es-CO"/>
        </w:rPr>
        <w:t xml:space="preserve">37, 50, </w:t>
      </w:r>
      <w:r w:rsidR="00D2013B">
        <w:rPr>
          <w:rFonts w:ascii="Arial" w:hAnsi="Arial"/>
          <w:lang w:val="es-CO"/>
        </w:rPr>
        <w:t>ib.)</w:t>
      </w:r>
      <w:r w:rsidR="0099181C">
        <w:rPr>
          <w:rFonts w:ascii="Arial" w:hAnsi="Arial"/>
          <w:lang w:val="es-CO"/>
        </w:rPr>
        <w:t xml:space="preserve">, </w:t>
      </w:r>
      <w:r w:rsidR="00053273">
        <w:rPr>
          <w:rFonts w:ascii="Arial" w:hAnsi="Arial"/>
          <w:lang w:val="es-CO"/>
        </w:rPr>
        <w:t>sin que obre</w:t>
      </w:r>
      <w:r w:rsidR="00B15EC3">
        <w:rPr>
          <w:rFonts w:ascii="Arial" w:hAnsi="Arial"/>
          <w:lang w:val="es-CO"/>
        </w:rPr>
        <w:t xml:space="preserve"> constancia </w:t>
      </w:r>
      <w:r w:rsidR="0099181C">
        <w:rPr>
          <w:rFonts w:ascii="Arial" w:hAnsi="Arial"/>
          <w:lang w:val="es-CO"/>
        </w:rPr>
        <w:t xml:space="preserve">alguna </w:t>
      </w:r>
      <w:r>
        <w:rPr>
          <w:rFonts w:ascii="Arial" w:hAnsi="Arial"/>
          <w:lang w:val="es-CO"/>
        </w:rPr>
        <w:t xml:space="preserve">de </w:t>
      </w:r>
      <w:r w:rsidR="00053273">
        <w:rPr>
          <w:rFonts w:ascii="Arial" w:hAnsi="Arial"/>
          <w:lang w:val="es-CO"/>
        </w:rPr>
        <w:t xml:space="preserve">que </w:t>
      </w:r>
      <w:r w:rsidR="00B15EC3">
        <w:rPr>
          <w:rFonts w:ascii="Arial" w:hAnsi="Arial"/>
          <w:lang w:val="es-CO"/>
        </w:rPr>
        <w:t xml:space="preserve">haya </w:t>
      </w:r>
      <w:r>
        <w:rPr>
          <w:rFonts w:ascii="Arial" w:hAnsi="Arial"/>
          <w:lang w:val="es-CO"/>
        </w:rPr>
        <w:t xml:space="preserve">sido notificada, </w:t>
      </w:r>
      <w:r w:rsidR="00053273">
        <w:rPr>
          <w:rFonts w:ascii="Arial" w:hAnsi="Arial"/>
          <w:lang w:val="es-CO"/>
        </w:rPr>
        <w:t>como lo afirm</w:t>
      </w:r>
      <w:r w:rsidR="007F3276">
        <w:rPr>
          <w:rFonts w:ascii="Arial" w:hAnsi="Arial"/>
          <w:lang w:val="es-CO"/>
        </w:rPr>
        <w:t>a</w:t>
      </w:r>
      <w:r w:rsidR="00053273">
        <w:rPr>
          <w:rFonts w:ascii="Arial" w:hAnsi="Arial"/>
          <w:lang w:val="es-CO"/>
        </w:rPr>
        <w:t xml:space="preserve"> el actor en sus </w:t>
      </w:r>
      <w:r>
        <w:rPr>
          <w:rFonts w:ascii="Arial" w:hAnsi="Arial"/>
          <w:lang w:val="es-CO"/>
        </w:rPr>
        <w:t>petitorios</w:t>
      </w:r>
      <w:r w:rsidR="0099181C">
        <w:rPr>
          <w:rFonts w:ascii="Arial" w:hAnsi="Arial"/>
          <w:lang w:val="es-CO"/>
        </w:rPr>
        <w:t>.</w:t>
      </w:r>
      <w:r>
        <w:rPr>
          <w:rFonts w:ascii="Arial" w:hAnsi="Arial"/>
          <w:lang w:val="es-CO"/>
        </w:rPr>
        <w:t xml:space="preserve"> Igualmente hay que decir que la accionada en manera alguna reconoció que fue notificada de la admisión de aquellos trámites populares.</w:t>
      </w:r>
    </w:p>
    <w:p w:rsidR="0099181C" w:rsidRDefault="0099181C" w:rsidP="00566506">
      <w:pPr>
        <w:widowControl/>
        <w:spacing w:line="360" w:lineRule="auto"/>
        <w:jc w:val="both"/>
        <w:rPr>
          <w:rFonts w:ascii="Arial" w:hAnsi="Arial"/>
          <w:lang w:val="es-CO"/>
        </w:rPr>
      </w:pPr>
    </w:p>
    <w:p w:rsidR="00B15EC3" w:rsidRDefault="007F3276" w:rsidP="00566506">
      <w:pPr>
        <w:widowControl/>
        <w:spacing w:line="360" w:lineRule="auto"/>
        <w:jc w:val="both"/>
        <w:rPr>
          <w:rFonts w:ascii="Arial" w:hAnsi="Arial"/>
          <w:lang w:val="es-CO"/>
        </w:rPr>
      </w:pPr>
      <w:r>
        <w:rPr>
          <w:rFonts w:ascii="Arial" w:hAnsi="Arial"/>
          <w:lang w:val="es-CO"/>
        </w:rPr>
        <w:t>Claramente se advierte</w:t>
      </w:r>
      <w:r w:rsidR="008B288F">
        <w:rPr>
          <w:rFonts w:ascii="Arial" w:hAnsi="Arial"/>
          <w:lang w:val="es-CO"/>
        </w:rPr>
        <w:t>n</w:t>
      </w:r>
      <w:r>
        <w:rPr>
          <w:rFonts w:ascii="Arial" w:hAnsi="Arial"/>
          <w:lang w:val="es-CO"/>
        </w:rPr>
        <w:t xml:space="preserve"> inexistentes los hechos alegados como causantes de la afectación de los derechos invocados, puesto que la sociedad </w:t>
      </w:r>
      <w:proofErr w:type="spellStart"/>
      <w:r>
        <w:rPr>
          <w:rFonts w:ascii="Arial" w:hAnsi="Arial"/>
          <w:lang w:val="es-CO"/>
        </w:rPr>
        <w:t>Audifarma</w:t>
      </w:r>
      <w:proofErr w:type="spellEnd"/>
      <w:r>
        <w:rPr>
          <w:rFonts w:ascii="Arial" w:hAnsi="Arial"/>
          <w:lang w:val="es-CO"/>
        </w:rPr>
        <w:t xml:space="preserve"> </w:t>
      </w:r>
      <w:proofErr w:type="spellStart"/>
      <w:r w:rsidR="008B288F">
        <w:rPr>
          <w:rFonts w:ascii="Arial" w:hAnsi="Arial"/>
          <w:lang w:val="es-CO"/>
        </w:rPr>
        <w:t>SA</w:t>
      </w:r>
      <w:proofErr w:type="spellEnd"/>
      <w:r w:rsidR="008B288F">
        <w:rPr>
          <w:rFonts w:ascii="Arial" w:hAnsi="Arial"/>
          <w:lang w:val="es-CO"/>
        </w:rPr>
        <w:t xml:space="preserve"> </w:t>
      </w:r>
      <w:r w:rsidR="0099181C">
        <w:rPr>
          <w:rFonts w:ascii="Arial" w:hAnsi="Arial"/>
          <w:lang w:val="es-CO"/>
        </w:rPr>
        <w:t xml:space="preserve">en ningún momento fue </w:t>
      </w:r>
      <w:proofErr w:type="spellStart"/>
      <w:r w:rsidR="0099181C">
        <w:rPr>
          <w:rFonts w:ascii="Arial" w:hAnsi="Arial"/>
          <w:lang w:val="es-CO"/>
        </w:rPr>
        <w:t>enterada</w:t>
      </w:r>
      <w:proofErr w:type="spellEnd"/>
      <w:r w:rsidR="0099181C">
        <w:rPr>
          <w:rFonts w:ascii="Arial" w:hAnsi="Arial"/>
          <w:lang w:val="es-CO"/>
        </w:rPr>
        <w:t xml:space="preserve"> del trámite de</w:t>
      </w:r>
      <w:r>
        <w:rPr>
          <w:rFonts w:ascii="Arial" w:hAnsi="Arial"/>
          <w:lang w:val="es-CO"/>
        </w:rPr>
        <w:t xml:space="preserve"> </w:t>
      </w:r>
      <w:r w:rsidR="008B288F">
        <w:rPr>
          <w:rFonts w:ascii="Arial" w:hAnsi="Arial"/>
          <w:lang w:val="es-CO"/>
        </w:rPr>
        <w:t xml:space="preserve">dichas </w:t>
      </w:r>
      <w:r>
        <w:rPr>
          <w:rFonts w:ascii="Arial" w:hAnsi="Arial"/>
          <w:lang w:val="es-CO"/>
        </w:rPr>
        <w:t>acciones</w:t>
      </w:r>
      <w:r w:rsidR="0099181C">
        <w:rPr>
          <w:rFonts w:ascii="Arial" w:hAnsi="Arial"/>
          <w:lang w:val="es-CO"/>
        </w:rPr>
        <w:t>, situación ésta que llevó a la Juez</w:t>
      </w:r>
      <w:r w:rsidR="008B288F">
        <w:rPr>
          <w:rFonts w:ascii="Arial" w:hAnsi="Arial"/>
          <w:lang w:val="es-CO"/>
        </w:rPr>
        <w:t>a</w:t>
      </w:r>
      <w:r w:rsidR="0099181C">
        <w:rPr>
          <w:rFonts w:ascii="Arial" w:hAnsi="Arial"/>
          <w:lang w:val="es-CO"/>
        </w:rPr>
        <w:t xml:space="preserve"> de primera instancia </w:t>
      </w:r>
      <w:r w:rsidR="008B288F">
        <w:rPr>
          <w:rFonts w:ascii="Arial" w:hAnsi="Arial"/>
          <w:lang w:val="es-CO"/>
        </w:rPr>
        <w:t xml:space="preserve">a </w:t>
      </w:r>
      <w:r w:rsidR="0099181C">
        <w:rPr>
          <w:rFonts w:ascii="Arial" w:hAnsi="Arial"/>
          <w:lang w:val="es-CO"/>
        </w:rPr>
        <w:t xml:space="preserve">decretar </w:t>
      </w:r>
      <w:r w:rsidR="008B288F">
        <w:rPr>
          <w:rFonts w:ascii="Arial" w:hAnsi="Arial"/>
          <w:lang w:val="es-CO"/>
        </w:rPr>
        <w:t xml:space="preserve">el </w:t>
      </w:r>
      <w:r w:rsidR="0099181C" w:rsidRPr="008B288F">
        <w:rPr>
          <w:rFonts w:ascii="Arial" w:hAnsi="Arial"/>
          <w:lang w:val="es-CO"/>
        </w:rPr>
        <w:t>desistimiento tácito</w:t>
      </w:r>
      <w:r w:rsidR="0099181C">
        <w:rPr>
          <w:rFonts w:ascii="Arial" w:hAnsi="Arial"/>
          <w:lang w:val="es-CO"/>
        </w:rPr>
        <w:t>.</w:t>
      </w:r>
    </w:p>
    <w:p w:rsidR="007F3276" w:rsidRDefault="007F3276" w:rsidP="00566506">
      <w:pPr>
        <w:widowControl/>
        <w:spacing w:line="360" w:lineRule="auto"/>
        <w:jc w:val="both"/>
        <w:rPr>
          <w:rFonts w:ascii="Arial" w:hAnsi="Arial"/>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311AAE" w:rsidRDefault="00311AAE" w:rsidP="00424EC5">
      <w:pPr>
        <w:pStyle w:val="Corpsdetexte"/>
        <w:spacing w:line="360" w:lineRule="auto"/>
        <w:rPr>
          <w:rFonts w:ascii="Arial" w:hAnsi="Arial" w:cs="Arial"/>
          <w:szCs w:val="24"/>
          <w:lang w:val="es-ES"/>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Con</w:t>
      </w:r>
      <w:r w:rsidR="00511FE0">
        <w:rPr>
          <w:rFonts w:ascii="Arial" w:hAnsi="Arial" w:cs="Arial"/>
          <w:szCs w:val="24"/>
          <w:lang w:val="es-ES"/>
        </w:rPr>
        <w:t xml:space="preserve"> </w:t>
      </w:r>
      <w:r w:rsidRPr="00842D42">
        <w:rPr>
          <w:rFonts w:ascii="Arial" w:hAnsi="Arial" w:cs="Arial"/>
          <w:szCs w:val="24"/>
          <w:lang w:val="es-ES"/>
        </w:rPr>
        <w:t>fundamento</w:t>
      </w:r>
      <w:r w:rsidR="00511FE0">
        <w:rPr>
          <w:rFonts w:ascii="Arial" w:hAnsi="Arial" w:cs="Arial"/>
          <w:szCs w:val="24"/>
          <w:lang w:val="es-ES"/>
        </w:rPr>
        <w:t xml:space="preserve"> </w:t>
      </w:r>
      <w:r w:rsidRPr="00842D42">
        <w:rPr>
          <w:rFonts w:ascii="Arial" w:hAnsi="Arial" w:cs="Arial"/>
          <w:szCs w:val="24"/>
          <w:lang w:val="es-ES"/>
        </w:rPr>
        <w:t>en</w:t>
      </w:r>
      <w:r w:rsidR="00511FE0">
        <w:rPr>
          <w:rFonts w:ascii="Arial" w:hAnsi="Arial" w:cs="Arial"/>
          <w:szCs w:val="24"/>
          <w:lang w:val="es-ES"/>
        </w:rPr>
        <w:t xml:space="preserve"> </w:t>
      </w:r>
      <w:r w:rsidRPr="00842D42">
        <w:rPr>
          <w:rFonts w:ascii="Arial" w:hAnsi="Arial" w:cs="Arial"/>
          <w:szCs w:val="24"/>
          <w:lang w:val="es-ES"/>
        </w:rPr>
        <w:t>las</w:t>
      </w:r>
      <w:r w:rsidR="00511FE0">
        <w:rPr>
          <w:rFonts w:ascii="Arial" w:hAnsi="Arial" w:cs="Arial"/>
          <w:szCs w:val="24"/>
          <w:lang w:val="es-ES"/>
        </w:rPr>
        <w:t xml:space="preserve"> </w:t>
      </w:r>
      <w:r w:rsidRPr="00842D42">
        <w:rPr>
          <w:rFonts w:ascii="Arial" w:hAnsi="Arial" w:cs="Arial"/>
          <w:szCs w:val="24"/>
          <w:lang w:val="es-ES"/>
        </w:rPr>
        <w:t>consideraciones expuestas</w:t>
      </w:r>
      <w:r>
        <w:rPr>
          <w:rFonts w:ascii="Arial" w:hAnsi="Arial" w:cs="Arial"/>
          <w:szCs w:val="24"/>
          <w:lang w:val="es-ES"/>
        </w:rPr>
        <w:t xml:space="preserve"> </w:t>
      </w:r>
      <w:r w:rsidR="007D0ECC">
        <w:rPr>
          <w:rFonts w:ascii="Arial" w:hAnsi="Arial" w:cs="Arial"/>
          <w:szCs w:val="24"/>
          <w:lang w:val="es-ES"/>
        </w:rPr>
        <w:t>se</w:t>
      </w:r>
      <w:r w:rsidR="00357C99">
        <w:rPr>
          <w:rFonts w:ascii="Arial" w:hAnsi="Arial" w:cs="Arial"/>
          <w:szCs w:val="24"/>
          <w:lang w:val="es-ES"/>
        </w:rPr>
        <w:t xml:space="preserve"> </w:t>
      </w:r>
      <w:r w:rsidR="005E276A">
        <w:rPr>
          <w:rFonts w:ascii="Arial" w:hAnsi="Arial" w:cs="Arial"/>
          <w:szCs w:val="24"/>
          <w:lang w:val="es-ES"/>
        </w:rPr>
        <w:t>declararán</w:t>
      </w:r>
      <w:r w:rsidR="00511FE0">
        <w:rPr>
          <w:rFonts w:ascii="Arial" w:hAnsi="Arial" w:cs="Arial"/>
          <w:szCs w:val="24"/>
          <w:lang w:val="es-ES"/>
        </w:rPr>
        <w:t xml:space="preserve"> </w:t>
      </w:r>
      <w:r w:rsidR="00AA2028">
        <w:rPr>
          <w:rFonts w:ascii="Arial" w:hAnsi="Arial" w:cs="Arial"/>
          <w:szCs w:val="24"/>
          <w:lang w:val="es-ES"/>
        </w:rPr>
        <w:t>improcedente</w:t>
      </w:r>
      <w:r w:rsidR="005E276A">
        <w:rPr>
          <w:rFonts w:ascii="Arial" w:hAnsi="Arial" w:cs="Arial"/>
          <w:szCs w:val="24"/>
          <w:lang w:val="es-ES"/>
        </w:rPr>
        <w:t xml:space="preserve">s los </w:t>
      </w:r>
      <w:r w:rsidR="00AA2028">
        <w:rPr>
          <w:rFonts w:ascii="Arial" w:hAnsi="Arial" w:cs="Arial"/>
          <w:szCs w:val="24"/>
          <w:lang w:val="es-ES"/>
        </w:rPr>
        <w:t>amparo</w:t>
      </w:r>
      <w:r w:rsidR="005E276A">
        <w:rPr>
          <w:rFonts w:ascii="Arial" w:hAnsi="Arial" w:cs="Arial"/>
          <w:szCs w:val="24"/>
          <w:lang w:val="es-ES"/>
        </w:rPr>
        <w:t>s</w:t>
      </w:r>
      <w:r w:rsidR="00AA2028">
        <w:rPr>
          <w:rFonts w:ascii="Arial" w:hAnsi="Arial" w:cs="Arial"/>
          <w:szCs w:val="24"/>
          <w:lang w:val="es-ES"/>
        </w:rPr>
        <w:t xml:space="preserve"> constitucional</w:t>
      </w:r>
      <w:r w:rsidR="005E276A">
        <w:rPr>
          <w:rFonts w:ascii="Arial" w:hAnsi="Arial" w:cs="Arial"/>
          <w:szCs w:val="24"/>
          <w:lang w:val="es-ES"/>
        </w:rPr>
        <w:t>es</w:t>
      </w:r>
      <w:r w:rsidR="00AA2028">
        <w:rPr>
          <w:rFonts w:ascii="Arial" w:hAnsi="Arial" w:cs="Arial"/>
          <w:szCs w:val="24"/>
          <w:lang w:val="es-ES"/>
        </w:rPr>
        <w:t xml:space="preserve"> </w:t>
      </w:r>
      <w:r w:rsidR="007D0ECC">
        <w:rPr>
          <w:rFonts w:ascii="Arial" w:hAnsi="Arial" w:cs="Arial"/>
          <w:szCs w:val="24"/>
          <w:lang w:val="es-ES"/>
        </w:rPr>
        <w:t>frente al Juzgado Cuarto Civil del Circuito de Pereira</w:t>
      </w:r>
      <w:r w:rsidR="009C1D55">
        <w:rPr>
          <w:rFonts w:ascii="Arial" w:hAnsi="Arial" w:cs="Arial"/>
          <w:szCs w:val="24"/>
          <w:lang w:val="es-ES"/>
        </w:rPr>
        <w:t xml:space="preserve"> y </w:t>
      </w:r>
      <w:r w:rsidR="00C93DA1">
        <w:rPr>
          <w:rFonts w:ascii="Arial" w:hAnsi="Arial" w:cs="Arial"/>
          <w:szCs w:val="24"/>
          <w:lang w:val="es-ES"/>
        </w:rPr>
        <w:t xml:space="preserve">la sociedad </w:t>
      </w:r>
      <w:proofErr w:type="spellStart"/>
      <w:r w:rsidR="009C1D55">
        <w:rPr>
          <w:rFonts w:ascii="Arial" w:hAnsi="Arial" w:cs="Arial"/>
          <w:szCs w:val="24"/>
          <w:lang w:val="es-ES"/>
        </w:rPr>
        <w:t>Audifarma</w:t>
      </w:r>
      <w:proofErr w:type="spellEnd"/>
      <w:r w:rsidR="008B288F">
        <w:rPr>
          <w:rFonts w:ascii="Arial" w:hAnsi="Arial" w:cs="Arial"/>
          <w:szCs w:val="24"/>
          <w:lang w:val="es-ES"/>
        </w:rPr>
        <w:t xml:space="preserve"> </w:t>
      </w:r>
      <w:proofErr w:type="spellStart"/>
      <w:r w:rsidR="008B288F">
        <w:rPr>
          <w:rFonts w:ascii="Arial" w:hAnsi="Arial" w:cs="Arial"/>
          <w:szCs w:val="24"/>
          <w:lang w:val="es-ES"/>
        </w:rPr>
        <w:t>SA</w:t>
      </w:r>
      <w:proofErr w:type="spellEnd"/>
      <w:r w:rsidR="00B1322D">
        <w:rPr>
          <w:rFonts w:ascii="Arial" w:hAnsi="Arial" w:cs="Arial"/>
          <w:szCs w:val="24"/>
          <w:lang w:val="es-ES"/>
        </w:rPr>
        <w:t>.</w:t>
      </w:r>
    </w:p>
    <w:p w:rsidR="00C86CC1" w:rsidRPr="00623724" w:rsidRDefault="00C86CC1" w:rsidP="00502EC8">
      <w:pPr>
        <w:pStyle w:val="Corpsdetexte"/>
        <w:tabs>
          <w:tab w:val="clear" w:pos="708"/>
        </w:tabs>
        <w:spacing w:line="360" w:lineRule="auto"/>
        <w:rPr>
          <w:rFonts w:ascii="Arial" w:hAnsi="Arial" w:cs="Arial"/>
          <w:szCs w:val="24"/>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7264FC" w:rsidRDefault="007264FC" w:rsidP="00FF5B57">
      <w:pPr>
        <w:pStyle w:val="Corpsdetexte"/>
        <w:spacing w:line="360" w:lineRule="auto"/>
        <w:jc w:val="center"/>
        <w:rPr>
          <w:rFonts w:ascii="Arial" w:hAnsi="Arial" w:cs="Arial"/>
          <w:bCs/>
          <w:smallCaps/>
          <w:sz w:val="6"/>
          <w:szCs w:val="24"/>
        </w:rPr>
      </w:pPr>
    </w:p>
    <w:p w:rsidR="00623724" w:rsidRDefault="00623724" w:rsidP="00FF5B57">
      <w:pPr>
        <w:pStyle w:val="Corpsdetexte"/>
        <w:spacing w:line="360" w:lineRule="auto"/>
        <w:jc w:val="center"/>
        <w:rPr>
          <w:rFonts w:ascii="Arial" w:hAnsi="Arial" w:cs="Arial"/>
          <w:bCs/>
          <w:smallCaps/>
          <w:sz w:val="6"/>
          <w:szCs w:val="24"/>
        </w:rPr>
      </w:pPr>
    </w:p>
    <w:p w:rsidR="00623724" w:rsidRDefault="00623724" w:rsidP="00FF5B57">
      <w:pPr>
        <w:pStyle w:val="Corpsdetexte"/>
        <w:spacing w:line="360" w:lineRule="auto"/>
        <w:jc w:val="center"/>
        <w:rPr>
          <w:rFonts w:ascii="Arial" w:hAnsi="Arial" w:cs="Arial"/>
          <w:bCs/>
          <w:smallCaps/>
          <w:sz w:val="6"/>
          <w:szCs w:val="24"/>
        </w:rPr>
      </w:pPr>
    </w:p>
    <w:p w:rsidR="00623724" w:rsidRPr="008F02FE" w:rsidRDefault="00623724" w:rsidP="00FF5B57">
      <w:pPr>
        <w:pStyle w:val="Corpsdetexte"/>
        <w:spacing w:line="360" w:lineRule="auto"/>
        <w:jc w:val="center"/>
        <w:rPr>
          <w:rFonts w:ascii="Arial" w:hAnsi="Arial" w:cs="Arial"/>
          <w:bCs/>
          <w:smallCaps/>
          <w:sz w:val="6"/>
          <w:szCs w:val="2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lastRenderedPageBreak/>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167C8F" w:rsidRPr="00A30437" w:rsidRDefault="00167C8F" w:rsidP="00FF5B57">
      <w:pPr>
        <w:pStyle w:val="Corpsdetexte"/>
        <w:spacing w:line="360" w:lineRule="auto"/>
        <w:jc w:val="center"/>
        <w:rPr>
          <w:rFonts w:ascii="Arial" w:hAnsi="Arial" w:cs="Arial"/>
          <w:bCs/>
          <w:smallCaps/>
          <w:szCs w:val="24"/>
        </w:rPr>
      </w:pPr>
    </w:p>
    <w:p w:rsidR="00716C97"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005E276A">
        <w:rPr>
          <w:rFonts w:ascii="Arial" w:hAnsi="Arial" w:cs="Arial"/>
        </w:rPr>
        <w:t>s</w:t>
      </w:r>
      <w:r w:rsidRPr="00C86CC1">
        <w:rPr>
          <w:rFonts w:ascii="Arial" w:hAnsi="Arial" w:cs="Arial"/>
        </w:rPr>
        <w:t xml:space="preserve"> </w:t>
      </w:r>
      <w:r w:rsidR="00AA2028">
        <w:rPr>
          <w:rFonts w:ascii="Arial" w:hAnsi="Arial" w:cs="Arial"/>
        </w:rPr>
        <w:t>la</w:t>
      </w:r>
      <w:r w:rsidR="005E276A">
        <w:rPr>
          <w:rFonts w:ascii="Arial" w:hAnsi="Arial" w:cs="Arial"/>
        </w:rPr>
        <w:t>s</w:t>
      </w:r>
      <w:r w:rsidR="00AA2028">
        <w:rPr>
          <w:rFonts w:ascii="Arial" w:hAnsi="Arial" w:cs="Arial"/>
        </w:rPr>
        <w:t xml:space="preserve"> </w:t>
      </w:r>
      <w:r w:rsidR="00AE6C59" w:rsidRPr="00C86CC1">
        <w:rPr>
          <w:rFonts w:ascii="Arial" w:hAnsi="Arial" w:cs="Arial"/>
        </w:rPr>
        <w:t>tutela</w:t>
      </w:r>
      <w:r w:rsidR="005E276A">
        <w:rPr>
          <w:rFonts w:ascii="Arial" w:hAnsi="Arial" w:cs="Arial"/>
        </w:rPr>
        <w:t>s</w:t>
      </w:r>
      <w:r w:rsidRPr="00C86CC1">
        <w:rPr>
          <w:rFonts w:ascii="Arial" w:hAnsi="Arial" w:cs="Arial"/>
        </w:rPr>
        <w:t xml:space="preserve"> </w:t>
      </w:r>
      <w:r w:rsidR="00AE6C59" w:rsidRPr="00C86CC1">
        <w:rPr>
          <w:rFonts w:ascii="Arial" w:hAnsi="Arial" w:cs="Arial"/>
        </w:rPr>
        <w:t>propuesta</w:t>
      </w:r>
      <w:r w:rsidR="005E276A">
        <w:rPr>
          <w:rFonts w:ascii="Arial" w:hAnsi="Arial" w:cs="Arial"/>
        </w:rPr>
        <w:t>s</w:t>
      </w:r>
      <w:r w:rsidRPr="00C86CC1">
        <w:rPr>
          <w:rFonts w:ascii="Arial" w:hAnsi="Arial" w:cs="Arial"/>
        </w:rPr>
        <w:t xml:space="preserve"> </w:t>
      </w:r>
      <w:r w:rsidR="00AA2028">
        <w:rPr>
          <w:rFonts w:ascii="Arial" w:hAnsi="Arial" w:cs="Arial"/>
        </w:rPr>
        <w:t xml:space="preserve">por el señor Javier Elías </w:t>
      </w:r>
      <w:r w:rsidR="00AA2028" w:rsidRPr="00A71827">
        <w:rPr>
          <w:rFonts w:ascii="Arial" w:hAnsi="Arial" w:cs="Arial"/>
        </w:rPr>
        <w:t xml:space="preserve">Arias </w:t>
      </w:r>
      <w:proofErr w:type="spellStart"/>
      <w:r w:rsidR="00AA2028" w:rsidRPr="00A71827">
        <w:rPr>
          <w:rFonts w:ascii="Arial" w:hAnsi="Arial" w:cs="Arial"/>
        </w:rPr>
        <w:t>Idárraga</w:t>
      </w:r>
      <w:proofErr w:type="spellEnd"/>
      <w:r w:rsidR="00AA2028" w:rsidRPr="00A71827">
        <w:rPr>
          <w:rFonts w:ascii="Arial" w:hAnsi="Arial" w:cs="Arial"/>
        </w:rPr>
        <w:t xml:space="preserve"> contra el </w:t>
      </w:r>
      <w:r w:rsidR="00E5393F">
        <w:rPr>
          <w:rFonts w:ascii="Arial" w:hAnsi="Arial" w:cs="Arial"/>
        </w:rPr>
        <w:t>Juzgado Cuarto Civ</w:t>
      </w:r>
      <w:r w:rsidR="0041111B">
        <w:rPr>
          <w:rFonts w:ascii="Arial" w:hAnsi="Arial" w:cs="Arial"/>
        </w:rPr>
        <w:t>il del Circuito de Pereira</w:t>
      </w:r>
      <w:r w:rsidR="009C1D55">
        <w:rPr>
          <w:rFonts w:ascii="Arial" w:hAnsi="Arial" w:cs="Arial"/>
        </w:rPr>
        <w:t xml:space="preserve"> </w:t>
      </w:r>
    </w:p>
    <w:p w:rsidR="00716C97" w:rsidRDefault="00716C97" w:rsidP="00716C9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357C99" w:rsidRDefault="00716C97"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los amparos constitucionales presentados contra </w:t>
      </w:r>
      <w:r w:rsidR="00C93DA1">
        <w:rPr>
          <w:rFonts w:ascii="Arial" w:hAnsi="Arial" w:cs="Arial"/>
        </w:rPr>
        <w:t xml:space="preserve">la sociedad de </w:t>
      </w:r>
      <w:proofErr w:type="spellStart"/>
      <w:r w:rsidR="009C1D55">
        <w:rPr>
          <w:rFonts w:ascii="Arial" w:hAnsi="Arial" w:cs="Arial"/>
        </w:rPr>
        <w:t>Audifarma</w:t>
      </w:r>
      <w:proofErr w:type="spellEnd"/>
      <w:r w:rsidR="00311AAE">
        <w:rPr>
          <w:rFonts w:ascii="Arial" w:hAnsi="Arial" w:cs="Arial"/>
        </w:rPr>
        <w:t xml:space="preserve"> </w:t>
      </w:r>
      <w:proofErr w:type="spellStart"/>
      <w:r w:rsidR="00311AAE">
        <w:rPr>
          <w:rFonts w:ascii="Arial" w:hAnsi="Arial" w:cs="Arial"/>
        </w:rPr>
        <w:t>SA</w:t>
      </w:r>
      <w:proofErr w:type="spellEnd"/>
      <w:r>
        <w:rPr>
          <w:rFonts w:ascii="Arial" w:hAnsi="Arial" w:cs="Arial"/>
        </w:rPr>
        <w:t>, por inexistencia de hechos vulneradores</w:t>
      </w:r>
      <w:r w:rsidR="00424EC5">
        <w:rPr>
          <w:rFonts w:ascii="Arial" w:hAnsi="Arial" w:cs="Arial"/>
        </w:rPr>
        <w:t>.</w:t>
      </w:r>
    </w:p>
    <w:p w:rsidR="00167C8F" w:rsidRPr="00C86CC1" w:rsidRDefault="00167C8F" w:rsidP="00167C8F">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167C8F" w:rsidRDefault="00167C8F" w:rsidP="00167C8F">
      <w:pPr>
        <w:pStyle w:val="Corpsdetexte"/>
        <w:tabs>
          <w:tab w:val="clear" w:pos="708"/>
        </w:tabs>
        <w:spacing w:line="360" w:lineRule="auto"/>
        <w:ind w:left="360"/>
        <w:rPr>
          <w:rFonts w:ascii="Arial" w:hAnsi="Arial" w:cs="Arial"/>
          <w:szCs w:val="24"/>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167C8F" w:rsidRPr="00167C8F" w:rsidRDefault="00167C8F" w:rsidP="00167C8F">
      <w:pPr>
        <w:pStyle w:val="Paragraphedeliste"/>
        <w:widowControl/>
        <w:autoSpaceDE/>
        <w:autoSpaceDN/>
        <w:adjustRightInd/>
        <w:spacing w:line="360" w:lineRule="auto"/>
        <w:ind w:left="360" w:right="51"/>
        <w:contextualSpacing/>
        <w:jc w:val="both"/>
        <w:rPr>
          <w:rFonts w:ascii="Arial" w:hAnsi="Arial"/>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167C8F" w:rsidRPr="00C83734" w:rsidRDefault="00167C8F" w:rsidP="00193C99">
      <w:pPr>
        <w:pStyle w:val="Corpsdetexte"/>
        <w:tabs>
          <w:tab w:val="left" w:pos="3944"/>
          <w:tab w:val="center" w:pos="4703"/>
        </w:tabs>
        <w:spacing w:line="360" w:lineRule="auto"/>
        <w:jc w:val="left"/>
        <w:rPr>
          <w:rFonts w:ascii="Arial" w:hAnsi="Arial"/>
          <w:smallCaps/>
          <w:sz w:val="8"/>
          <w:szCs w:val="24"/>
          <w:lang w:val="es-CO"/>
        </w:rPr>
      </w:pPr>
    </w:p>
    <w:p w:rsidR="00B30152" w:rsidRPr="00167C8F" w:rsidRDefault="00193C99" w:rsidP="00193C99">
      <w:pPr>
        <w:pStyle w:val="Corpsdetexte"/>
        <w:tabs>
          <w:tab w:val="left" w:pos="3944"/>
          <w:tab w:val="center" w:pos="4703"/>
        </w:tabs>
        <w:spacing w:line="360" w:lineRule="auto"/>
        <w:jc w:val="left"/>
        <w:rPr>
          <w:rFonts w:ascii="Arial" w:hAnsi="Arial"/>
          <w:smallCaps/>
          <w:sz w:val="28"/>
          <w:szCs w:val="24"/>
          <w:lang w:val="en-US"/>
        </w:rPr>
      </w:pPr>
      <w:r w:rsidRPr="00C83734">
        <w:rPr>
          <w:rFonts w:ascii="Arial" w:hAnsi="Arial"/>
          <w:smallCaps/>
          <w:sz w:val="28"/>
          <w:szCs w:val="24"/>
          <w:lang w:val="es-CO"/>
        </w:rPr>
        <w:tab/>
      </w:r>
      <w:r w:rsidRPr="00C83734">
        <w:rPr>
          <w:rFonts w:ascii="Arial" w:hAnsi="Arial"/>
          <w:smallCaps/>
          <w:sz w:val="28"/>
          <w:szCs w:val="24"/>
          <w:lang w:val="es-CO"/>
        </w:rPr>
        <w:tab/>
      </w:r>
      <w:r w:rsidRPr="00C83734">
        <w:rPr>
          <w:rFonts w:ascii="Arial" w:hAnsi="Arial"/>
          <w:smallCaps/>
          <w:sz w:val="28"/>
          <w:szCs w:val="24"/>
          <w:lang w:val="es-CO"/>
        </w:rPr>
        <w:tab/>
      </w:r>
      <w:r w:rsidRPr="00C83734">
        <w:rPr>
          <w:rFonts w:ascii="Arial" w:hAnsi="Arial"/>
          <w:smallCaps/>
          <w:sz w:val="28"/>
          <w:szCs w:val="24"/>
          <w:lang w:val="es-CO"/>
        </w:rPr>
        <w:tab/>
      </w:r>
      <w:r w:rsidRPr="00C83734">
        <w:rPr>
          <w:rFonts w:ascii="Arial" w:hAnsi="Arial"/>
          <w:smallCaps/>
          <w:sz w:val="28"/>
          <w:szCs w:val="24"/>
          <w:lang w:val="es-CO"/>
        </w:rPr>
        <w:tab/>
      </w:r>
      <w:r w:rsidRPr="00C83734">
        <w:rPr>
          <w:rFonts w:ascii="Arial" w:hAnsi="Arial"/>
          <w:smallCaps/>
          <w:sz w:val="28"/>
          <w:szCs w:val="24"/>
          <w:lang w:val="es-CO"/>
        </w:rPr>
        <w:tab/>
      </w:r>
      <w:proofErr w:type="spellStart"/>
      <w:r w:rsidR="00126266" w:rsidRPr="00167C8F">
        <w:rPr>
          <w:rFonts w:ascii="Arial" w:hAnsi="Arial"/>
          <w:smallCaps/>
          <w:sz w:val="28"/>
          <w:szCs w:val="24"/>
          <w:lang w:val="en-US"/>
        </w:rPr>
        <w:t>Notifíquese</w:t>
      </w:r>
      <w:proofErr w:type="spellEnd"/>
      <w:r w:rsidR="00126266" w:rsidRPr="00167C8F">
        <w:rPr>
          <w:rFonts w:ascii="Arial" w:hAnsi="Arial"/>
          <w:smallCaps/>
          <w:sz w:val="28"/>
          <w:szCs w:val="24"/>
          <w:lang w:val="en-US"/>
        </w:rPr>
        <w:t>,</w:t>
      </w:r>
    </w:p>
    <w:p w:rsidR="00167C8F" w:rsidRPr="00716C97" w:rsidRDefault="00167C8F" w:rsidP="00167C8F">
      <w:pPr>
        <w:pStyle w:val="Corpsdetexte"/>
        <w:spacing w:line="360" w:lineRule="auto"/>
        <w:jc w:val="center"/>
        <w:rPr>
          <w:rFonts w:ascii="Arial" w:hAnsi="Arial"/>
          <w:smallCaps/>
          <w:sz w:val="12"/>
          <w:szCs w:val="24"/>
          <w:lang w:val="en-US"/>
        </w:rPr>
      </w:pPr>
    </w:p>
    <w:p w:rsidR="006660E4" w:rsidRPr="008F02FE" w:rsidRDefault="006660E4" w:rsidP="00167C8F">
      <w:pPr>
        <w:pStyle w:val="Corpsdetexte"/>
        <w:spacing w:line="360" w:lineRule="auto"/>
        <w:jc w:val="center"/>
        <w:rPr>
          <w:rFonts w:ascii="Arial" w:hAnsi="Arial"/>
          <w:smallCaps/>
          <w:sz w:val="48"/>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6660E4" w:rsidRPr="00716C97" w:rsidRDefault="006660E4" w:rsidP="00167C8F">
      <w:pPr>
        <w:pStyle w:val="Corpsdetexte"/>
        <w:spacing w:line="360" w:lineRule="auto"/>
        <w:jc w:val="center"/>
        <w:rPr>
          <w:rFonts w:ascii="Arial" w:hAnsi="Arial"/>
          <w:smallCaps/>
          <w:sz w:val="2"/>
          <w:szCs w:val="24"/>
          <w:lang w:val="en-US"/>
        </w:rPr>
      </w:pPr>
    </w:p>
    <w:p w:rsidR="008F02FE" w:rsidRPr="00716C97" w:rsidRDefault="008F02FE" w:rsidP="008F02FE">
      <w:pPr>
        <w:pStyle w:val="Corpsdetexte"/>
        <w:spacing w:line="360" w:lineRule="auto"/>
        <w:jc w:val="center"/>
        <w:rPr>
          <w:rFonts w:ascii="Arial" w:hAnsi="Arial"/>
          <w:smallCaps/>
          <w:sz w:val="12"/>
          <w:szCs w:val="24"/>
          <w:lang w:val="en-US"/>
        </w:rPr>
      </w:pPr>
    </w:p>
    <w:p w:rsidR="008F02FE" w:rsidRPr="008F02FE" w:rsidRDefault="008F02FE" w:rsidP="008F02FE">
      <w:pPr>
        <w:pStyle w:val="Corpsdetexte"/>
        <w:spacing w:line="360" w:lineRule="auto"/>
        <w:jc w:val="center"/>
        <w:rPr>
          <w:rFonts w:ascii="Arial" w:hAnsi="Arial"/>
          <w:smallCaps/>
          <w:sz w:val="48"/>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606C4"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bookmarkStart w:id="0" w:name="_GoBack"/>
      <w:bookmarkEnd w:id="0"/>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8F02FE">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81" w:rsidRDefault="00107781" w:rsidP="0099045D">
      <w:r>
        <w:separator/>
      </w:r>
    </w:p>
  </w:endnote>
  <w:endnote w:type="continuationSeparator" w:id="0">
    <w:p w:rsidR="00107781" w:rsidRDefault="0010778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81" w:rsidRDefault="00107781" w:rsidP="0099045D">
      <w:r>
        <w:separator/>
      </w:r>
    </w:p>
  </w:footnote>
  <w:footnote w:type="continuationSeparator" w:id="0">
    <w:p w:rsidR="00107781" w:rsidRDefault="00107781" w:rsidP="0099045D">
      <w:r>
        <w:continuationSeparator/>
      </w:r>
    </w:p>
  </w:footnote>
  <w:footnote w:id="1">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AB69A6">
        <w:rPr>
          <w:rFonts w:asciiTheme="minorHAnsi" w:hAnsiTheme="minorHAnsi" w:cs="Calibri"/>
        </w:rPr>
        <w:t>.</w:t>
      </w:r>
      <w:r w:rsidRPr="00E17BD7">
        <w:rPr>
          <w:rFonts w:asciiTheme="minorHAnsi" w:hAnsiTheme="minorHAnsi" w:cs="Calibri"/>
        </w:rPr>
        <w:t>, Manuel F</w:t>
      </w:r>
      <w:r w:rsidR="00AB69A6">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sidR="00AB69A6">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D33789" w:rsidRPr="00C83734" w:rsidRDefault="00D33789" w:rsidP="00D33789">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C83734">
        <w:rPr>
          <w:rFonts w:asciiTheme="minorHAnsi" w:hAnsiTheme="minorHAnsi" w:cs="Calibri"/>
          <w:lang w:val="fr-FR"/>
        </w:rPr>
        <w:t xml:space="preserve"> CC. T-917 de 2011.</w:t>
      </w:r>
    </w:p>
  </w:footnote>
  <w:footnote w:id="4">
    <w:p w:rsidR="00D33789" w:rsidRPr="00C83734" w:rsidRDefault="00D33789" w:rsidP="00D33789">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C83734">
        <w:rPr>
          <w:rFonts w:asciiTheme="minorHAnsi" w:hAnsiTheme="minorHAnsi" w:cs="Calibri"/>
          <w:lang w:val="fr-FR"/>
        </w:rPr>
        <w:t xml:space="preserve"> CC. C-590 de 2005.</w:t>
      </w:r>
    </w:p>
  </w:footnote>
  <w:footnote w:id="5">
    <w:p w:rsidR="00D33789" w:rsidRPr="00C83734" w:rsidRDefault="00D33789" w:rsidP="00D33789">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C83734">
        <w:rPr>
          <w:rFonts w:asciiTheme="minorHAnsi" w:hAnsiTheme="minorHAnsi" w:cs="Calibri"/>
          <w:lang w:val="fr-FR"/>
        </w:rPr>
        <w:t xml:space="preserve"> CC. </w:t>
      </w:r>
      <w:r w:rsidR="00167C8F" w:rsidRPr="00C83734">
        <w:rPr>
          <w:rFonts w:asciiTheme="minorHAnsi" w:hAnsiTheme="minorHAnsi" w:cs="Calibri"/>
          <w:bCs/>
          <w:lang w:val="fr-FR"/>
        </w:rPr>
        <w:t>SU-222 de 2016</w:t>
      </w:r>
      <w:r w:rsidRPr="00C83734">
        <w:rPr>
          <w:rFonts w:asciiTheme="minorHAnsi" w:hAnsiTheme="minorHAnsi" w:cs="Calibri"/>
          <w:lang w:val="fr-FR"/>
        </w:rPr>
        <w:t>.</w:t>
      </w:r>
    </w:p>
  </w:footnote>
  <w:footnote w:id="6">
    <w:p w:rsidR="00D33789" w:rsidRPr="00C83734" w:rsidRDefault="00D33789" w:rsidP="00D33789">
      <w:pPr>
        <w:pStyle w:val="Notedebasdepage"/>
        <w:rPr>
          <w:rFonts w:asciiTheme="minorHAnsi" w:hAnsiTheme="minorHAnsi"/>
          <w:lang w:val="fr-FR"/>
        </w:rPr>
      </w:pPr>
      <w:r w:rsidRPr="00E17BD7">
        <w:rPr>
          <w:rStyle w:val="Appelnotedebasdep"/>
          <w:rFonts w:asciiTheme="minorHAnsi" w:hAnsiTheme="minorHAnsi"/>
        </w:rPr>
        <w:footnoteRef/>
      </w:r>
      <w:r w:rsidRPr="00C83734">
        <w:rPr>
          <w:rFonts w:asciiTheme="minorHAnsi" w:hAnsiTheme="minorHAnsi"/>
          <w:lang w:val="fr-FR"/>
        </w:rPr>
        <w:t xml:space="preserve"> </w:t>
      </w:r>
      <w:r w:rsidRPr="00C83734">
        <w:rPr>
          <w:rFonts w:asciiTheme="minorHAnsi" w:hAnsiTheme="minorHAnsi" w:cs="Calibri"/>
          <w:lang w:val="fr-FR"/>
        </w:rPr>
        <w:t>CC. T-307 de 2015.</w:t>
      </w:r>
    </w:p>
  </w:footnote>
  <w:footnote w:id="7">
    <w:p w:rsidR="00D33789" w:rsidRPr="00E17BD7" w:rsidRDefault="00D33789" w:rsidP="00D33789">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207AFB">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9">
    <w:p w:rsidR="00AB700D" w:rsidRPr="00C83734" w:rsidRDefault="00AB700D" w:rsidP="00AB700D">
      <w:pPr>
        <w:pStyle w:val="Notedebasdepage"/>
        <w:jc w:val="both"/>
        <w:rPr>
          <w:rFonts w:asciiTheme="minorHAnsi" w:hAnsiTheme="minorHAnsi"/>
          <w:lang w:val="fr-FR"/>
        </w:rPr>
      </w:pPr>
      <w:r>
        <w:rPr>
          <w:rStyle w:val="Appelnotedebasdep"/>
          <w:rFonts w:asciiTheme="minorHAnsi" w:hAnsiTheme="minorHAnsi" w:cs="Calibri"/>
        </w:rPr>
        <w:footnoteRef/>
      </w:r>
      <w:r w:rsidRPr="00C83734">
        <w:rPr>
          <w:rFonts w:asciiTheme="minorHAnsi" w:hAnsiTheme="minorHAnsi" w:cs="Calibri"/>
          <w:lang w:val="fr-FR"/>
        </w:rPr>
        <w:t xml:space="preserve"> CC</w:t>
      </w:r>
      <w:r w:rsidR="00207AFB" w:rsidRPr="00C83734">
        <w:rPr>
          <w:rFonts w:asciiTheme="minorHAnsi" w:hAnsiTheme="minorHAnsi" w:cs="Calibri"/>
          <w:lang w:val="fr-FR"/>
        </w:rPr>
        <w:t xml:space="preserve">. </w:t>
      </w:r>
      <w:r w:rsidRPr="00C83734">
        <w:rPr>
          <w:rFonts w:asciiTheme="minorHAnsi" w:hAnsiTheme="minorHAnsi" w:cs="Calibri"/>
          <w:lang w:val="fr-FR"/>
        </w:rPr>
        <w:t>SU-961 de 1999, T-890 de 2006, T-548 de 2011</w:t>
      </w:r>
      <w:r w:rsidR="00207AFB" w:rsidRPr="00C83734">
        <w:rPr>
          <w:rFonts w:asciiTheme="minorHAnsi" w:hAnsiTheme="minorHAnsi" w:cs="Calibri"/>
          <w:lang w:val="fr-FR"/>
        </w:rPr>
        <w:t xml:space="preserve"> y </w:t>
      </w:r>
      <w:r w:rsidRPr="00C83734">
        <w:rPr>
          <w:rFonts w:asciiTheme="minorHAnsi" w:hAnsiTheme="minorHAnsi" w:cs="Calibri"/>
          <w:lang w:val="fr-FR"/>
        </w:rPr>
        <w:t>T-172 de 2013.</w:t>
      </w:r>
    </w:p>
  </w:footnote>
  <w:footnote w:id="10">
    <w:p w:rsidR="00AB700D" w:rsidRPr="00825F31" w:rsidRDefault="00AB700D" w:rsidP="00AB700D">
      <w:pPr>
        <w:pStyle w:val="Notedebasdepage"/>
        <w:jc w:val="both"/>
        <w:rPr>
          <w:rFonts w:ascii="Calibri" w:hAnsi="Calibri"/>
        </w:rPr>
      </w:pPr>
      <w:r w:rsidRPr="00825F31">
        <w:rPr>
          <w:rStyle w:val="Appelnotedebasdep"/>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825F31">
        <w:rPr>
          <w:rFonts w:ascii="Calibri" w:hAnsi="Calibri"/>
          <w:w w:val="110"/>
        </w:rPr>
        <w:t>11001-02-03-000-2011-00373-00</w:t>
      </w:r>
      <w:r w:rsidRPr="00825F31">
        <w:rPr>
          <w:rFonts w:ascii="Calibri" w:hAnsi="Calibri" w:cs="Calibri"/>
          <w:lang w:val="es-CO"/>
        </w:rPr>
        <w:t>.</w:t>
      </w:r>
    </w:p>
  </w:footnote>
  <w:footnote w:id="11">
    <w:p w:rsidR="00AB700D" w:rsidRPr="00C83734" w:rsidRDefault="00AB700D" w:rsidP="00AB700D">
      <w:pPr>
        <w:pStyle w:val="Notedebasdepage"/>
        <w:jc w:val="both"/>
        <w:rPr>
          <w:rFonts w:ascii="Calibri" w:hAnsi="Calibri"/>
          <w:lang w:val="fr-FR"/>
        </w:rPr>
      </w:pPr>
      <w:r w:rsidRPr="00422741">
        <w:rPr>
          <w:rStyle w:val="Appelnotedebasdep"/>
          <w:rFonts w:ascii="Calibri" w:hAnsi="Calibri" w:cs="Calibri"/>
          <w:lang w:val="es-CO"/>
        </w:rPr>
        <w:footnoteRef/>
      </w:r>
      <w:r w:rsidRPr="00C83734">
        <w:rPr>
          <w:rFonts w:ascii="Calibri" w:hAnsi="Calibri" w:cs="Calibri"/>
          <w:lang w:val="fr-FR"/>
        </w:rPr>
        <w:t xml:space="preserve"> </w:t>
      </w:r>
      <w:r w:rsidRPr="00C83734">
        <w:rPr>
          <w:rFonts w:asciiTheme="minorHAnsi" w:hAnsiTheme="minorHAnsi" w:cs="Calibri"/>
          <w:lang w:val="fr-FR"/>
        </w:rPr>
        <w:t>CC</w:t>
      </w:r>
      <w:r w:rsidRPr="00C83734">
        <w:rPr>
          <w:rFonts w:ascii="Calibri" w:hAnsi="Calibri" w:cs="Calibri"/>
          <w:lang w:val="fr-FR"/>
        </w:rPr>
        <w:t>. T-1079 de 2008.</w:t>
      </w:r>
    </w:p>
  </w:footnote>
  <w:footnote w:id="12">
    <w:p w:rsidR="00AB700D" w:rsidRPr="00C83734" w:rsidRDefault="00AB700D" w:rsidP="00AB700D">
      <w:pPr>
        <w:pStyle w:val="Notedebasdepage"/>
        <w:jc w:val="both"/>
        <w:rPr>
          <w:rFonts w:ascii="Calibri" w:hAnsi="Calibri"/>
          <w:b/>
          <w:iCs/>
          <w:lang w:val="fr-FR"/>
        </w:rPr>
      </w:pPr>
      <w:r w:rsidRPr="00422741">
        <w:rPr>
          <w:rStyle w:val="Appelnotedebasdep"/>
          <w:rFonts w:ascii="Calibri" w:hAnsi="Calibri"/>
          <w:lang w:val="es-CO"/>
        </w:rPr>
        <w:footnoteRef/>
      </w:r>
      <w:r w:rsidRPr="00C83734">
        <w:rPr>
          <w:rFonts w:ascii="Calibri" w:hAnsi="Calibri"/>
          <w:lang w:val="fr-FR"/>
        </w:rPr>
        <w:t xml:space="preserve"> CSJ, Civil</w:t>
      </w:r>
      <w:r w:rsidR="00207AFB" w:rsidRPr="00C83734">
        <w:rPr>
          <w:rFonts w:ascii="Calibri" w:hAnsi="Calibri"/>
          <w:lang w:val="fr-FR"/>
        </w:rPr>
        <w:t>.</w:t>
      </w:r>
      <w:r w:rsidRPr="00C83734">
        <w:rPr>
          <w:rFonts w:ascii="Calibri" w:hAnsi="Calibri"/>
          <w:lang w:val="fr-FR"/>
        </w:rPr>
        <w:t xml:space="preserve"> </w:t>
      </w:r>
      <w:r w:rsidRPr="00C83734">
        <w:rPr>
          <w:rFonts w:ascii="Calibri" w:hAnsi="Calibri"/>
          <w:iCs/>
          <w:lang w:val="fr-FR"/>
        </w:rPr>
        <w:t>STC2154-2016 y STC10383-2016.</w:t>
      </w:r>
    </w:p>
  </w:footnote>
  <w:footnote w:id="13">
    <w:p w:rsidR="00AB700D" w:rsidRPr="00C83734" w:rsidRDefault="00AB700D" w:rsidP="00AB700D">
      <w:pPr>
        <w:pStyle w:val="Notedebasdepage"/>
        <w:jc w:val="both"/>
        <w:rPr>
          <w:rFonts w:asciiTheme="minorHAnsi" w:hAnsiTheme="minorHAnsi"/>
          <w:lang w:val="fr-FR"/>
        </w:rPr>
      </w:pPr>
      <w:r w:rsidRPr="009565CF">
        <w:rPr>
          <w:rStyle w:val="Appelnotedebasdep"/>
          <w:rFonts w:asciiTheme="minorHAnsi" w:hAnsiTheme="minorHAnsi" w:cs="Calibri"/>
          <w:lang w:val="es-CO"/>
        </w:rPr>
        <w:footnoteRef/>
      </w:r>
      <w:r w:rsidRPr="00C83734">
        <w:rPr>
          <w:rFonts w:asciiTheme="minorHAnsi" w:hAnsiTheme="minorHAnsi" w:cs="Calibri"/>
          <w:lang w:val="fr-FR"/>
        </w:rPr>
        <w:t xml:space="preserve"> CC. T-016 de 2006.</w:t>
      </w:r>
    </w:p>
  </w:footnote>
  <w:footnote w:id="14">
    <w:p w:rsidR="00AB700D" w:rsidRPr="009565CF" w:rsidRDefault="00AB700D" w:rsidP="00AB700D">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w:t>
      </w:r>
      <w:r w:rsidRPr="0020456C">
        <w:rPr>
          <w:rFonts w:asciiTheme="minorHAnsi" w:hAnsiTheme="minorHAnsi" w:cs="Calibri"/>
        </w:rPr>
        <w:t>CC</w:t>
      </w:r>
      <w:r w:rsidRPr="009565CF">
        <w:rPr>
          <w:rFonts w:asciiTheme="minorHAnsi" w:hAnsiTheme="minorHAnsi" w:cs="Calibri"/>
          <w:lang w:val="es-CO"/>
        </w:rPr>
        <w:t xml:space="preserve">. T-684 </w:t>
      </w:r>
      <w:r>
        <w:rPr>
          <w:rFonts w:asciiTheme="minorHAnsi" w:hAnsiTheme="minorHAnsi" w:cs="Calibri"/>
          <w:lang w:val="es-CO"/>
        </w:rPr>
        <w:t xml:space="preserve">de </w:t>
      </w:r>
      <w:r w:rsidRPr="009565CF">
        <w:rPr>
          <w:rFonts w:asciiTheme="minorHAnsi" w:hAnsiTheme="minorHAnsi" w:cs="Calibri"/>
          <w:lang w:val="es-CO"/>
        </w:rPr>
        <w:t>2003.</w:t>
      </w:r>
    </w:p>
  </w:footnote>
  <w:footnote w:id="15">
    <w:p w:rsidR="00AB700D" w:rsidRPr="009565CF" w:rsidRDefault="00AB700D" w:rsidP="00AB700D">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QUINCHE R</w:t>
      </w:r>
      <w:r>
        <w:rPr>
          <w:rFonts w:asciiTheme="minorHAnsi" w:hAnsiTheme="minorHAnsi" w:cs="Calibri"/>
          <w:lang w:val="es-CO"/>
        </w:rPr>
        <w:t>.</w:t>
      </w:r>
      <w:r w:rsidRPr="009565CF">
        <w:rPr>
          <w:rFonts w:asciiTheme="minorHAnsi" w:hAnsiTheme="minorHAnsi" w:cs="Calibri"/>
          <w:lang w:val="es-CO"/>
        </w:rPr>
        <w:t>, Manuel F. La acción de tutela, el amparo en Colombia, Temis, Bogotá DC, 2011, p.105-106.</w:t>
      </w:r>
    </w:p>
  </w:footnote>
  <w:footnote w:id="16">
    <w:p w:rsidR="00AB700D" w:rsidRPr="00C83734" w:rsidRDefault="00AB700D" w:rsidP="00AB700D">
      <w:pPr>
        <w:pStyle w:val="Notedebasdepage"/>
        <w:rPr>
          <w:rFonts w:asciiTheme="minorHAnsi" w:hAnsiTheme="minorHAnsi"/>
          <w:lang w:val="fr-FR"/>
        </w:rPr>
      </w:pPr>
      <w:r w:rsidRPr="00E501C4">
        <w:rPr>
          <w:rStyle w:val="Appelnotedebasdep"/>
          <w:rFonts w:asciiTheme="minorHAnsi" w:hAnsiTheme="minorHAnsi" w:cs="Calibri"/>
        </w:rPr>
        <w:footnoteRef/>
      </w:r>
      <w:r w:rsidRPr="00C83734">
        <w:rPr>
          <w:rFonts w:asciiTheme="minorHAnsi" w:hAnsiTheme="minorHAnsi" w:cs="Calibri"/>
          <w:lang w:val="fr-FR"/>
        </w:rPr>
        <w:t xml:space="preserve"> CC. T-323 de 2016.</w:t>
      </w:r>
    </w:p>
  </w:footnote>
  <w:footnote w:id="17">
    <w:p w:rsidR="00AB700D" w:rsidRPr="00C83734" w:rsidRDefault="00AB700D" w:rsidP="00AB700D">
      <w:pPr>
        <w:pStyle w:val="Notedebasdepage"/>
        <w:rPr>
          <w:lang w:val="fr-FR"/>
        </w:rPr>
      </w:pPr>
      <w:r>
        <w:rPr>
          <w:rStyle w:val="Appelnotedebasdep"/>
        </w:rPr>
        <w:footnoteRef/>
      </w:r>
      <w:r w:rsidRPr="00C83734">
        <w:rPr>
          <w:lang w:val="fr-FR"/>
        </w:rPr>
        <w:t xml:space="preserve"> </w:t>
      </w:r>
      <w:r w:rsidRPr="00C83734">
        <w:rPr>
          <w:rFonts w:ascii="Calibri" w:hAnsi="Calibri" w:cs="Courier New"/>
          <w:lang w:val="fr-FR"/>
        </w:rPr>
        <w:t xml:space="preserve">CC. </w:t>
      </w:r>
      <w:r w:rsidR="00107781">
        <w:fldChar w:fldCharType="begin"/>
      </w:r>
      <w:r w:rsidR="00107781" w:rsidRPr="00623724">
        <w:rPr>
          <w:lang w:val="fr-FR"/>
        </w:rPr>
        <w:instrText xml:space="preserve"> HYPERLINK "http://www.corteconstitucional.gov.co/sentencias/2016/SU499-16.rtf" </w:instrText>
      </w:r>
      <w:r w:rsidR="00107781">
        <w:fldChar w:fldCharType="separate"/>
      </w:r>
      <w:r w:rsidRPr="00C83734">
        <w:rPr>
          <w:rStyle w:val="Lienhypertexte"/>
          <w:rFonts w:ascii="Calibri" w:hAnsi="Calibri" w:cs="Courier New"/>
          <w:color w:val="auto"/>
          <w:u w:val="none"/>
          <w:lang w:val="fr-FR"/>
        </w:rPr>
        <w:t>SU-499 de 2016</w:t>
      </w:r>
      <w:r w:rsidR="00107781">
        <w:rPr>
          <w:rStyle w:val="Lienhypertexte"/>
          <w:rFonts w:ascii="Calibri" w:hAnsi="Calibri" w:cs="Courier New"/>
          <w:color w:val="auto"/>
          <w:u w:val="none"/>
          <w:lang w:val="fr-FR"/>
        </w:rPr>
        <w:fldChar w:fldCharType="end"/>
      </w:r>
      <w:r w:rsidRPr="00C83734">
        <w:rPr>
          <w:rStyle w:val="Lienhypertexte"/>
          <w:rFonts w:ascii="Calibri" w:hAnsi="Calibri" w:cs="Courier New"/>
          <w:color w:val="auto"/>
          <w:u w:val="none"/>
          <w:lang w:val="fr-FR"/>
        </w:rPr>
        <w:t>.</w:t>
      </w:r>
    </w:p>
  </w:footnote>
  <w:footnote w:id="18">
    <w:p w:rsidR="002039AE" w:rsidRPr="00C83734" w:rsidRDefault="002039AE" w:rsidP="002039AE">
      <w:pPr>
        <w:pStyle w:val="Notedebasdepage"/>
        <w:jc w:val="both"/>
        <w:rPr>
          <w:lang w:val="fr-FR"/>
        </w:rPr>
      </w:pPr>
      <w:r>
        <w:rPr>
          <w:rStyle w:val="Appelnotedebasdep"/>
          <w:rFonts w:asciiTheme="minorHAnsi" w:hAnsiTheme="minorHAnsi"/>
        </w:rPr>
        <w:footnoteRef/>
      </w:r>
      <w:r w:rsidRPr="00C83734">
        <w:rPr>
          <w:rFonts w:asciiTheme="minorHAnsi" w:hAnsiTheme="minorHAnsi"/>
          <w:lang w:val="fr-FR"/>
        </w:rPr>
        <w:t xml:space="preserve"> </w:t>
      </w:r>
      <w:r w:rsidRPr="00C83734">
        <w:rPr>
          <w:rFonts w:asciiTheme="minorHAnsi" w:hAnsiTheme="minorHAnsi" w:cs="Calibri"/>
          <w:lang w:val="fr-FR"/>
        </w:rPr>
        <w:t xml:space="preserve">CC. T-134 de 1994. </w:t>
      </w:r>
    </w:p>
  </w:footnote>
  <w:footnote w:id="19">
    <w:p w:rsidR="002039AE" w:rsidRPr="00C83734" w:rsidRDefault="002039AE" w:rsidP="002039AE">
      <w:pPr>
        <w:pStyle w:val="Notedebasdepage"/>
        <w:rPr>
          <w:lang w:val="fr-FR"/>
        </w:rPr>
      </w:pPr>
      <w:r>
        <w:rPr>
          <w:rStyle w:val="Appelnotedebasdep"/>
        </w:rPr>
        <w:footnoteRef/>
      </w:r>
      <w:r w:rsidRPr="00C83734">
        <w:rPr>
          <w:lang w:val="fr-FR"/>
        </w:rPr>
        <w:t xml:space="preserve"> </w:t>
      </w:r>
      <w:r w:rsidRPr="00C83734">
        <w:rPr>
          <w:rFonts w:asciiTheme="minorHAnsi" w:hAnsiTheme="minorHAnsi" w:cs="Calibri"/>
          <w:lang w:val="fr-FR"/>
        </w:rPr>
        <w:t>CC. T-103 de 2014.</w:t>
      </w:r>
    </w:p>
  </w:footnote>
  <w:footnote w:id="20">
    <w:p w:rsidR="002039AE" w:rsidRPr="00C83734" w:rsidRDefault="002039AE" w:rsidP="002039AE">
      <w:pPr>
        <w:pStyle w:val="Notedebasdepage"/>
        <w:jc w:val="both"/>
        <w:rPr>
          <w:lang w:val="fr-FR"/>
        </w:rPr>
      </w:pPr>
      <w:r>
        <w:rPr>
          <w:rStyle w:val="Appelnotedebasdep"/>
          <w:rFonts w:asciiTheme="minorHAnsi" w:hAnsiTheme="minorHAnsi" w:cs="Calibri"/>
        </w:rPr>
        <w:footnoteRef/>
      </w:r>
      <w:r w:rsidRPr="00C83734">
        <w:rPr>
          <w:rFonts w:asciiTheme="minorHAnsi" w:hAnsiTheme="minorHAnsi" w:cs="Calibri"/>
          <w:lang w:val="fr-FR"/>
        </w:rPr>
        <w:t xml:space="preserve"> CC. T-567 de 1998.</w:t>
      </w:r>
    </w:p>
  </w:footnote>
  <w:footnote w:id="21">
    <w:p w:rsidR="002039AE" w:rsidRPr="00C83734" w:rsidRDefault="002039AE" w:rsidP="002039AE">
      <w:pPr>
        <w:pStyle w:val="Notedebasdepage"/>
        <w:jc w:val="both"/>
        <w:rPr>
          <w:lang w:val="fr-FR"/>
        </w:rPr>
      </w:pPr>
      <w:r>
        <w:rPr>
          <w:rStyle w:val="Appelnotedebasdep"/>
          <w:rFonts w:asciiTheme="minorHAnsi" w:hAnsiTheme="minorHAnsi"/>
        </w:rPr>
        <w:footnoteRef/>
      </w:r>
      <w:r w:rsidRPr="00C83734">
        <w:rPr>
          <w:rFonts w:asciiTheme="minorHAnsi" w:hAnsiTheme="minorHAnsi"/>
          <w:lang w:val="fr-FR"/>
        </w:rPr>
        <w:t xml:space="preserve"> </w:t>
      </w:r>
      <w:r w:rsidRPr="00C83734">
        <w:rPr>
          <w:rFonts w:asciiTheme="minorHAnsi" w:hAnsiTheme="minorHAnsi" w:cs="Calibri"/>
          <w:lang w:val="fr-FR"/>
        </w:rPr>
        <w:t>CC. T-662 de 2013</w:t>
      </w:r>
      <w:r w:rsidR="008F02FE" w:rsidRPr="00C83734">
        <w:rPr>
          <w:rFonts w:asciiTheme="minorHAnsi" w:hAnsiTheme="minorHAnsi" w:cs="Calibri"/>
          <w:lang w:val="fr-FR"/>
        </w:rPr>
        <w:t xml:space="preserve">, </w:t>
      </w:r>
      <w:r w:rsidR="008F02FE" w:rsidRPr="00C83734">
        <w:rPr>
          <w:rFonts w:ascii="Calibri" w:hAnsi="Calibri"/>
          <w:bCs/>
          <w:bdr w:val="none" w:sz="0" w:space="0" w:color="auto" w:frame="1"/>
          <w:shd w:val="clear" w:color="auto" w:fill="FFFFFF"/>
          <w:lang w:val="fr-FR"/>
        </w:rPr>
        <w:t xml:space="preserve">T-037 de 2016, T-120 de 2016, </w:t>
      </w:r>
      <w:r w:rsidR="008F02FE" w:rsidRPr="00C83734">
        <w:rPr>
          <w:rFonts w:ascii="Calibri" w:hAnsi="Calibri"/>
          <w:lang w:val="fr-FR"/>
        </w:rPr>
        <w:t>T-001 de 2017 y T-038 de 2017</w:t>
      </w:r>
      <w:r w:rsidRPr="00C83734">
        <w:rPr>
          <w:rFonts w:asciiTheme="minorHAnsi" w:hAnsiTheme="minorHAnsi" w:cs="Calibri"/>
          <w:lang w:val="fr-FR"/>
        </w:rPr>
        <w:t>.</w:t>
      </w:r>
      <w:r w:rsidRPr="00C83734">
        <w:rPr>
          <w:b/>
          <w:bCs/>
          <w:color w:val="2D2D2D"/>
          <w:sz w:val="28"/>
          <w:szCs w:val="28"/>
          <w:bdr w:val="none" w:sz="0" w:space="0" w:color="auto" w:frame="1"/>
          <w:shd w:val="clear" w:color="auto" w:fill="FFFFFF"/>
          <w:lang w:val="fr-FR"/>
        </w:rPr>
        <w:t xml:space="preserve"> </w:t>
      </w:r>
    </w:p>
  </w:footnote>
  <w:footnote w:id="22">
    <w:p w:rsidR="002039AE" w:rsidRDefault="002039AE" w:rsidP="002039AE">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CSJ, Civil. Sentencia</w:t>
      </w:r>
      <w:r w:rsidR="008F02FE">
        <w:rPr>
          <w:rFonts w:asciiTheme="minorHAnsi" w:hAnsiTheme="minorHAnsi" w:cs="Calibri"/>
          <w:lang w:val="es-CO"/>
        </w:rPr>
        <w:t>s</w:t>
      </w:r>
      <w:r>
        <w:rPr>
          <w:rFonts w:asciiTheme="minorHAnsi" w:hAnsiTheme="minorHAnsi" w:cs="Calibri"/>
          <w:lang w:val="es-CO"/>
        </w:rPr>
        <w:t xml:space="preserve"> del 02-09-2014, MP: Margarita Cabello B., No.23001-22-14-000-2014-00097-01</w:t>
      </w:r>
      <w:r w:rsidR="008F02FE">
        <w:rPr>
          <w:rFonts w:asciiTheme="minorHAnsi" w:hAnsiTheme="minorHAnsi" w:cs="Calibri"/>
          <w:lang w:val="es-CO"/>
        </w:rPr>
        <w:t xml:space="preserve">; </w:t>
      </w:r>
      <w:r w:rsidR="008F02FE">
        <w:rPr>
          <w:rFonts w:ascii="Calibri" w:hAnsi="Calibri" w:cs="Calibri"/>
        </w:rPr>
        <w:t xml:space="preserve">STC6121-2015, </w:t>
      </w:r>
      <w:r w:rsidR="008F02FE">
        <w:rPr>
          <w:rFonts w:ascii="Calibri" w:hAnsi="Calibri"/>
          <w:lang w:val="es-CO"/>
        </w:rPr>
        <w:t xml:space="preserve">STC3931-2016 y </w:t>
      </w:r>
      <w:r w:rsidR="008F02FE" w:rsidRPr="000473E8">
        <w:rPr>
          <w:rFonts w:ascii="Calibri" w:hAnsi="Calibri"/>
        </w:rPr>
        <w:t>STC2349-2017</w:t>
      </w:r>
      <w:r>
        <w:rPr>
          <w:rFonts w:asciiTheme="minorHAnsi" w:hAnsiTheme="minorHAnsi" w:cs="Calibri"/>
          <w:w w:val="110"/>
          <w:lang w:val="es-CO"/>
        </w:rPr>
        <w:t>.</w:t>
      </w:r>
    </w:p>
  </w:footnote>
  <w:footnote w:id="23">
    <w:p w:rsidR="001409B8" w:rsidRPr="00C83734" w:rsidRDefault="001409B8" w:rsidP="001409B8">
      <w:pPr>
        <w:pStyle w:val="Notedebasdepage"/>
        <w:rPr>
          <w:rFonts w:asciiTheme="minorHAnsi" w:hAnsiTheme="minorHAnsi"/>
          <w:lang w:val="fr-FR"/>
        </w:rPr>
      </w:pPr>
      <w:r w:rsidRPr="00E501C4">
        <w:rPr>
          <w:rStyle w:val="Appelnotedebasdep"/>
          <w:rFonts w:asciiTheme="minorHAnsi" w:hAnsiTheme="minorHAnsi" w:cs="Calibri"/>
        </w:rPr>
        <w:footnoteRef/>
      </w:r>
      <w:r w:rsidRPr="00C83734">
        <w:rPr>
          <w:rFonts w:asciiTheme="minorHAnsi" w:hAnsiTheme="minorHAnsi" w:cs="Calibri"/>
          <w:lang w:val="fr-FR"/>
        </w:rPr>
        <w:t xml:space="preserve"> CC. T-323 de 2016.</w:t>
      </w:r>
    </w:p>
  </w:footnote>
  <w:footnote w:id="24">
    <w:p w:rsidR="001409B8" w:rsidRPr="00C83734" w:rsidRDefault="001409B8" w:rsidP="001409B8">
      <w:pPr>
        <w:pStyle w:val="Notedebasdepage"/>
        <w:rPr>
          <w:lang w:val="fr-FR"/>
        </w:rPr>
      </w:pPr>
      <w:r>
        <w:rPr>
          <w:rStyle w:val="Appelnotedebasdep"/>
        </w:rPr>
        <w:footnoteRef/>
      </w:r>
      <w:r w:rsidRPr="00C83734">
        <w:rPr>
          <w:lang w:val="fr-FR"/>
        </w:rPr>
        <w:t xml:space="preserve"> </w:t>
      </w:r>
      <w:r w:rsidRPr="00C83734">
        <w:rPr>
          <w:rFonts w:ascii="Calibri" w:hAnsi="Calibri" w:cs="Courier New"/>
          <w:lang w:val="fr-FR"/>
        </w:rPr>
        <w:t xml:space="preserve">CC. </w:t>
      </w:r>
      <w:r w:rsidR="00107781">
        <w:fldChar w:fldCharType="begin"/>
      </w:r>
      <w:r w:rsidR="00107781" w:rsidRPr="00623724">
        <w:rPr>
          <w:lang w:val="fr-FR"/>
        </w:rPr>
        <w:instrText xml:space="preserve"> HYPERLINK "http://www.corteconstitucional.gov.co/sentencias/2016/SU499-16.rtf" </w:instrText>
      </w:r>
      <w:r w:rsidR="00107781">
        <w:fldChar w:fldCharType="separate"/>
      </w:r>
      <w:r w:rsidRPr="00C83734">
        <w:rPr>
          <w:rStyle w:val="Lienhypertexte"/>
          <w:rFonts w:ascii="Calibri" w:hAnsi="Calibri" w:cs="Courier New"/>
          <w:color w:val="auto"/>
          <w:u w:val="none"/>
          <w:lang w:val="fr-FR"/>
        </w:rPr>
        <w:t>SU-499 de 2016</w:t>
      </w:r>
      <w:r w:rsidR="00107781">
        <w:rPr>
          <w:rStyle w:val="Lienhypertexte"/>
          <w:rFonts w:ascii="Calibri" w:hAnsi="Calibri" w:cs="Courier New"/>
          <w:color w:val="auto"/>
          <w:u w:val="none"/>
          <w:lang w:val="fr-FR"/>
        </w:rPr>
        <w:fldChar w:fldCharType="end"/>
      </w:r>
      <w:r w:rsidRPr="00C83734">
        <w:rPr>
          <w:rStyle w:val="Lienhypertexte"/>
          <w:rFonts w:ascii="Calibri" w:hAnsi="Calibri" w:cs="Courier New"/>
          <w:color w:val="auto"/>
          <w:u w:val="none"/>
          <w:lang w:val="fr-FR"/>
        </w:rPr>
        <w:t>.</w:t>
      </w:r>
    </w:p>
  </w:footnote>
  <w:footnote w:id="25">
    <w:p w:rsidR="001409B8" w:rsidRPr="00C83734" w:rsidRDefault="001409B8" w:rsidP="001409B8">
      <w:pPr>
        <w:pStyle w:val="Notedebasdepage"/>
        <w:rPr>
          <w:rFonts w:asciiTheme="minorHAnsi" w:hAnsiTheme="minorHAnsi"/>
          <w:lang w:val="fr-FR"/>
        </w:rPr>
      </w:pPr>
      <w:r w:rsidRPr="004905B4">
        <w:rPr>
          <w:rStyle w:val="Appelnotedebasdep"/>
          <w:rFonts w:asciiTheme="minorHAnsi" w:hAnsiTheme="minorHAnsi"/>
        </w:rPr>
        <w:footnoteRef/>
      </w:r>
      <w:r w:rsidRPr="00C83734">
        <w:rPr>
          <w:rFonts w:asciiTheme="minorHAnsi" w:hAnsiTheme="minorHAnsi"/>
          <w:lang w:val="fr-FR"/>
        </w:rPr>
        <w:t xml:space="preserve"> </w:t>
      </w:r>
      <w:r w:rsidRPr="00C83734">
        <w:rPr>
          <w:rFonts w:asciiTheme="minorHAnsi" w:hAnsiTheme="minorHAnsi" w:cs="Calibri"/>
          <w:lang w:val="fr-FR"/>
        </w:rPr>
        <w:t xml:space="preserve">CC. Ob. </w:t>
      </w:r>
      <w:proofErr w:type="spellStart"/>
      <w:r w:rsidRPr="00C83734">
        <w:rPr>
          <w:rFonts w:asciiTheme="minorHAnsi" w:hAnsiTheme="minorHAnsi" w:cs="Calibri"/>
          <w:lang w:val="fr-FR"/>
        </w:rPr>
        <w:t>Cit</w:t>
      </w:r>
      <w:proofErr w:type="spellEnd"/>
      <w:r w:rsidRPr="00C83734">
        <w:rPr>
          <w:rFonts w:asciiTheme="minorHAnsi" w:hAnsiTheme="minorHAnsi" w:cs="Calibri"/>
          <w:lang w:val="fr-FR"/>
        </w:rPr>
        <w:t>.</w:t>
      </w:r>
      <w:r w:rsidR="00107781">
        <w:fldChar w:fldCharType="begin"/>
      </w:r>
      <w:r w:rsidR="00107781" w:rsidRPr="00623724">
        <w:rPr>
          <w:lang w:val="fr-FR"/>
        </w:rPr>
        <w:instrText xml:space="preserve"> HYPERLINK "http://www.corteconstitucional.gov.co/sentencias/2016/SU499-16.rtf" </w:instrText>
      </w:r>
      <w:r w:rsidR="00107781">
        <w:fldChar w:fldCharType="separate"/>
      </w:r>
      <w:r w:rsidR="00107781">
        <w:fldChar w:fldCharType="end"/>
      </w:r>
    </w:p>
  </w:footnote>
  <w:footnote w:id="26">
    <w:p w:rsidR="00A16951" w:rsidRPr="00C83734" w:rsidRDefault="00A16951" w:rsidP="00A16951">
      <w:pPr>
        <w:pStyle w:val="Notedebasdepage"/>
        <w:rPr>
          <w:lang w:val="fr-FR"/>
        </w:rPr>
      </w:pPr>
      <w:r>
        <w:rPr>
          <w:rStyle w:val="Appelnotedebasdep"/>
        </w:rPr>
        <w:footnoteRef/>
      </w:r>
      <w:r w:rsidRPr="00C83734">
        <w:rPr>
          <w:lang w:val="fr-FR"/>
        </w:rPr>
        <w:t xml:space="preserve"> </w:t>
      </w:r>
      <w:r w:rsidRPr="00C83734">
        <w:rPr>
          <w:rFonts w:asciiTheme="minorHAnsi" w:hAnsiTheme="minorHAnsi" w:cs="Calibri"/>
          <w:lang w:val="fr-FR"/>
        </w:rPr>
        <w:t>CC. T-526 de 2005 y T-410 de 2013.</w:t>
      </w:r>
    </w:p>
  </w:footnote>
  <w:footnote w:id="27">
    <w:p w:rsidR="00311AAE" w:rsidRPr="00C83734" w:rsidRDefault="00311AAE" w:rsidP="00311AAE">
      <w:pPr>
        <w:pStyle w:val="Notedebasdepage"/>
        <w:rPr>
          <w:rFonts w:ascii="Calibri" w:hAnsi="Calibri"/>
          <w:lang w:val="fr-FR"/>
        </w:rPr>
      </w:pPr>
      <w:r w:rsidRPr="000473E8">
        <w:rPr>
          <w:rStyle w:val="Appelnotedebasdep"/>
          <w:rFonts w:ascii="Calibri" w:hAnsi="Calibri"/>
        </w:rPr>
        <w:footnoteRef/>
      </w:r>
      <w:r w:rsidRPr="00C83734">
        <w:rPr>
          <w:rFonts w:ascii="Calibri" w:hAnsi="Calibri"/>
          <w:lang w:val="fr-FR"/>
        </w:rPr>
        <w:t xml:space="preserve"> CSJ, Civil. STC2349-2017</w:t>
      </w:r>
      <w:r w:rsidR="008F02FE" w:rsidRPr="00C83734">
        <w:rPr>
          <w:rFonts w:ascii="Calibri" w:hAnsi="Calibri"/>
          <w:lang w:val="fr-FR"/>
        </w:rPr>
        <w:t>.</w:t>
      </w:r>
    </w:p>
  </w:footnote>
  <w:footnote w:id="28">
    <w:p w:rsidR="00AB69A6" w:rsidRPr="00C83734" w:rsidRDefault="00AB69A6" w:rsidP="00AB69A6">
      <w:pPr>
        <w:pStyle w:val="Notedebasdepage"/>
        <w:jc w:val="both"/>
        <w:rPr>
          <w:lang w:val="fr-FR"/>
        </w:rPr>
      </w:pPr>
      <w:r>
        <w:rPr>
          <w:rStyle w:val="Appelnotedebasdep"/>
          <w:rFonts w:asciiTheme="minorHAnsi" w:hAnsiTheme="minorHAnsi" w:cs="Calibri"/>
        </w:rPr>
        <w:footnoteRef/>
      </w:r>
      <w:r w:rsidRPr="00C83734">
        <w:rPr>
          <w:rFonts w:asciiTheme="minorHAnsi" w:hAnsiTheme="minorHAnsi" w:cs="Calibri"/>
          <w:lang w:val="fr-FR"/>
        </w:rPr>
        <w:t xml:space="preserve"> CC. T-103 de 2014</w:t>
      </w:r>
      <w:r w:rsidR="005E276A" w:rsidRPr="00C83734">
        <w:rPr>
          <w:rFonts w:asciiTheme="minorHAnsi" w:hAnsiTheme="minorHAnsi" w:cs="Calibri"/>
          <w:lang w:val="fr-FR"/>
        </w:rPr>
        <w:t xml:space="preserve"> y </w:t>
      </w:r>
      <w:r w:rsidRPr="00C83734">
        <w:rPr>
          <w:rFonts w:asciiTheme="minorHAnsi" w:hAnsiTheme="minorHAnsi" w:cs="Calibri"/>
          <w:bCs/>
          <w:lang w:val="fr-FR"/>
        </w:rPr>
        <w:t>SU-297 de 2015.</w:t>
      </w:r>
    </w:p>
  </w:footnote>
  <w:footnote w:id="29">
    <w:p w:rsidR="00D10AEC" w:rsidRPr="00C83734" w:rsidRDefault="00D10AEC" w:rsidP="00D10AEC">
      <w:pPr>
        <w:pStyle w:val="Notedebasdepage"/>
        <w:rPr>
          <w:lang w:val="fr-FR"/>
        </w:rPr>
      </w:pPr>
      <w:r>
        <w:rPr>
          <w:rStyle w:val="Appelnotedebasdep"/>
        </w:rPr>
        <w:footnoteRef/>
      </w:r>
      <w:r w:rsidRPr="00C83734">
        <w:rPr>
          <w:lang w:val="fr-FR"/>
        </w:rPr>
        <w:t xml:space="preserve"> </w:t>
      </w:r>
      <w:r w:rsidRPr="00C83734">
        <w:rPr>
          <w:rFonts w:asciiTheme="minorHAnsi" w:hAnsiTheme="minorHAnsi" w:cs="Calibri"/>
          <w:lang w:val="fr-FR"/>
        </w:rPr>
        <w:t>CC. T-717 de 2011.</w:t>
      </w:r>
    </w:p>
  </w:footnote>
  <w:footnote w:id="30">
    <w:p w:rsidR="00D10AEC" w:rsidRPr="008B43C6" w:rsidRDefault="00D10AEC" w:rsidP="00D10AEC">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623724">
      <w:rPr>
        <w:rFonts w:ascii="Calibri" w:hAnsi="Calibri" w:cs="Calibri"/>
        <w:i/>
        <w:noProof/>
        <w:sz w:val="20"/>
      </w:rPr>
      <w:t>10</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41111B">
      <w:rPr>
        <w:rFonts w:ascii="Calibri" w:hAnsi="Calibri" w:cs="Calibri"/>
        <w:i/>
        <w:sz w:val="20"/>
        <w:szCs w:val="22"/>
      </w:rPr>
      <w:t>2017-00</w:t>
    </w:r>
    <w:r w:rsidR="005638DD">
      <w:rPr>
        <w:rFonts w:ascii="Calibri" w:hAnsi="Calibri" w:cs="Calibri"/>
        <w:i/>
        <w:sz w:val="20"/>
        <w:szCs w:val="22"/>
      </w:rPr>
      <w:t>249</w:t>
    </w:r>
    <w:r w:rsidR="0041111B">
      <w:rPr>
        <w:rFonts w:ascii="Calibri" w:hAnsi="Calibri" w:cs="Calibri"/>
        <w:i/>
        <w:sz w:val="20"/>
        <w:szCs w:val="22"/>
      </w:rPr>
      <w:t>-00</w:t>
    </w:r>
    <w:r w:rsidR="007229B8">
      <w:rPr>
        <w:rFonts w:ascii="Calibri" w:hAnsi="Calibri" w:cs="Calibri"/>
        <w:i/>
        <w:sz w:val="20"/>
        <w:szCs w:val="22"/>
      </w:rPr>
      <w:t xml:space="preserve"> </w:t>
    </w:r>
    <w:r w:rsidR="00B60C39">
      <w:rPr>
        <w:rFonts w:ascii="Calibri" w:hAnsi="Calibri" w:cs="Calibri"/>
        <w:i/>
        <w:sz w:val="20"/>
        <w:szCs w:val="22"/>
      </w:rPr>
      <w:t xml:space="preserve"> ACUMULADA</w:t>
    </w:r>
    <w:r w:rsidR="00311AAE">
      <w:rPr>
        <w:rFonts w:ascii="Calibri" w:hAnsi="Calibri" w:cs="Calibri"/>
        <w:i/>
        <w:sz w:val="20"/>
        <w:szCs w:val="22"/>
      </w:rPr>
      <w:t>S</w:t>
    </w:r>
    <w:r w:rsidR="00B60C39">
      <w:rPr>
        <w:rFonts w:ascii="Calibri" w:hAnsi="Calibri" w:cs="Calibri"/>
        <w:i/>
        <w:sz w:val="20"/>
        <w:szCs w:val="22"/>
      </w:rPr>
      <w:t xml:space="preserve"> </w:t>
    </w:r>
    <w:r w:rsidR="00311AAE">
      <w:rPr>
        <w:rFonts w:ascii="Calibri" w:hAnsi="Calibri" w:cs="Calibri"/>
        <w:i/>
        <w:sz w:val="20"/>
        <w:szCs w:val="22"/>
      </w:rPr>
      <w:t>DOS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1FE7FFC"/>
    <w:multiLevelType w:val="hybridMultilevel"/>
    <w:tmpl w:val="8EEA493A"/>
    <w:lvl w:ilvl="0" w:tplc="E9F885A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AB7084A"/>
    <w:multiLevelType w:val="multilevel"/>
    <w:tmpl w:val="7E9C9B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4"/>
  </w:num>
  <w:num w:numId="4">
    <w:abstractNumId w:val="3"/>
  </w:num>
  <w:num w:numId="5">
    <w:abstractNumId w:val="28"/>
  </w:num>
  <w:num w:numId="6">
    <w:abstractNumId w:val="0"/>
  </w:num>
  <w:num w:numId="7">
    <w:abstractNumId w:val="23"/>
  </w:num>
  <w:num w:numId="8">
    <w:abstractNumId w:val="1"/>
  </w:num>
  <w:num w:numId="9">
    <w:abstractNumId w:val="29"/>
  </w:num>
  <w:num w:numId="10">
    <w:abstractNumId w:val="24"/>
  </w:num>
  <w:num w:numId="11">
    <w:abstractNumId w:val="20"/>
  </w:num>
  <w:num w:numId="12">
    <w:abstractNumId w:val="26"/>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5"/>
  </w:num>
  <w:num w:numId="23">
    <w:abstractNumId w:val="7"/>
  </w:num>
  <w:num w:numId="24">
    <w:abstractNumId w:val="11"/>
  </w:num>
  <w:num w:numId="25">
    <w:abstractNumId w:val="8"/>
  </w:num>
  <w:num w:numId="26">
    <w:abstractNumId w:val="2"/>
  </w:num>
  <w:num w:numId="27">
    <w:abstractNumId w:val="30"/>
  </w:num>
  <w:num w:numId="28">
    <w:abstractNumId w:val="6"/>
  </w:num>
  <w:num w:numId="29">
    <w:abstractNumId w:val="27"/>
  </w:num>
  <w:num w:numId="30">
    <w:abstractNumId w:val="10"/>
  </w:num>
  <w:num w:numId="31">
    <w:abstractNumId w:val="15"/>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D1"/>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9B4"/>
    <w:rsid w:val="00035E46"/>
    <w:rsid w:val="00035F00"/>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3273"/>
    <w:rsid w:val="0005410F"/>
    <w:rsid w:val="0005443E"/>
    <w:rsid w:val="00054679"/>
    <w:rsid w:val="000547E1"/>
    <w:rsid w:val="00055048"/>
    <w:rsid w:val="00055173"/>
    <w:rsid w:val="00055FDD"/>
    <w:rsid w:val="00057150"/>
    <w:rsid w:val="00060303"/>
    <w:rsid w:val="000605AB"/>
    <w:rsid w:val="00060C31"/>
    <w:rsid w:val="00060CFD"/>
    <w:rsid w:val="00060EAC"/>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9F3"/>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36A"/>
    <w:rsid w:val="000A6668"/>
    <w:rsid w:val="000A6800"/>
    <w:rsid w:val="000A7C26"/>
    <w:rsid w:val="000B0256"/>
    <w:rsid w:val="000B133E"/>
    <w:rsid w:val="000B1650"/>
    <w:rsid w:val="000B1B8C"/>
    <w:rsid w:val="000B2347"/>
    <w:rsid w:val="000B2478"/>
    <w:rsid w:val="000B2D52"/>
    <w:rsid w:val="000B329C"/>
    <w:rsid w:val="000B3ADE"/>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1ADA"/>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019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781"/>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79A"/>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09B8"/>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424"/>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2C6"/>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39AE"/>
    <w:rsid w:val="00204EF6"/>
    <w:rsid w:val="002056C9"/>
    <w:rsid w:val="00205B17"/>
    <w:rsid w:val="00205B8C"/>
    <w:rsid w:val="00205CAA"/>
    <w:rsid w:val="00205F8A"/>
    <w:rsid w:val="002060F5"/>
    <w:rsid w:val="00206398"/>
    <w:rsid w:val="002064F4"/>
    <w:rsid w:val="00206857"/>
    <w:rsid w:val="0020765B"/>
    <w:rsid w:val="002078C7"/>
    <w:rsid w:val="00207AFB"/>
    <w:rsid w:val="00210558"/>
    <w:rsid w:val="002117A8"/>
    <w:rsid w:val="00211BD4"/>
    <w:rsid w:val="00211DE4"/>
    <w:rsid w:val="0021226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5A7C"/>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2C8"/>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49"/>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0C2A"/>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12"/>
    <w:rsid w:val="00303E85"/>
    <w:rsid w:val="00304C7E"/>
    <w:rsid w:val="00305B90"/>
    <w:rsid w:val="00305D07"/>
    <w:rsid w:val="003065E0"/>
    <w:rsid w:val="00307BEF"/>
    <w:rsid w:val="00307D28"/>
    <w:rsid w:val="003109EF"/>
    <w:rsid w:val="00310F89"/>
    <w:rsid w:val="00311AAE"/>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279FC"/>
    <w:rsid w:val="00330025"/>
    <w:rsid w:val="003327BC"/>
    <w:rsid w:val="00333B52"/>
    <w:rsid w:val="00333FB6"/>
    <w:rsid w:val="00334539"/>
    <w:rsid w:val="00334A5D"/>
    <w:rsid w:val="00334C3A"/>
    <w:rsid w:val="00335FCF"/>
    <w:rsid w:val="00336336"/>
    <w:rsid w:val="0033655A"/>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897"/>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2B58"/>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8E3"/>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1CBC"/>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60CC"/>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0316"/>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2EF2"/>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213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469"/>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6E6"/>
    <w:rsid w:val="00561C54"/>
    <w:rsid w:val="00561F4D"/>
    <w:rsid w:val="0056345F"/>
    <w:rsid w:val="005634DD"/>
    <w:rsid w:val="005638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97D91"/>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0FE"/>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C7DF6"/>
    <w:rsid w:val="005D019C"/>
    <w:rsid w:val="005D125C"/>
    <w:rsid w:val="005D135A"/>
    <w:rsid w:val="005D1E61"/>
    <w:rsid w:val="005D1F60"/>
    <w:rsid w:val="005D2FDF"/>
    <w:rsid w:val="005D3A35"/>
    <w:rsid w:val="005D3B4D"/>
    <w:rsid w:val="005D3F12"/>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309"/>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24"/>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3DF"/>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3C4"/>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94A"/>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C97"/>
    <w:rsid w:val="00716E68"/>
    <w:rsid w:val="00717574"/>
    <w:rsid w:val="00720F6E"/>
    <w:rsid w:val="007229B8"/>
    <w:rsid w:val="00722FB5"/>
    <w:rsid w:val="00723794"/>
    <w:rsid w:val="0072424E"/>
    <w:rsid w:val="0072436C"/>
    <w:rsid w:val="00724BAB"/>
    <w:rsid w:val="00725242"/>
    <w:rsid w:val="0072524B"/>
    <w:rsid w:val="00725E62"/>
    <w:rsid w:val="007263B2"/>
    <w:rsid w:val="007264FC"/>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4A6"/>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5F06"/>
    <w:rsid w:val="00746514"/>
    <w:rsid w:val="00746707"/>
    <w:rsid w:val="00746775"/>
    <w:rsid w:val="00746A59"/>
    <w:rsid w:val="00746D51"/>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03C"/>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079"/>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BF7"/>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327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34B"/>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969"/>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88F"/>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2FE"/>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005"/>
    <w:rsid w:val="00910CA4"/>
    <w:rsid w:val="009114DB"/>
    <w:rsid w:val="0091158C"/>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172AF"/>
    <w:rsid w:val="00920533"/>
    <w:rsid w:val="00920BD9"/>
    <w:rsid w:val="009217C1"/>
    <w:rsid w:val="00921EBD"/>
    <w:rsid w:val="00922BE1"/>
    <w:rsid w:val="0092303A"/>
    <w:rsid w:val="00923780"/>
    <w:rsid w:val="00924A60"/>
    <w:rsid w:val="00925BFB"/>
    <w:rsid w:val="00925F41"/>
    <w:rsid w:val="009261AA"/>
    <w:rsid w:val="009263E6"/>
    <w:rsid w:val="00926792"/>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5E6"/>
    <w:rsid w:val="00945766"/>
    <w:rsid w:val="009459CE"/>
    <w:rsid w:val="00946C0A"/>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D6"/>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779C2"/>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43"/>
    <w:rsid w:val="00987CEF"/>
    <w:rsid w:val="0099045D"/>
    <w:rsid w:val="0099058A"/>
    <w:rsid w:val="00990666"/>
    <w:rsid w:val="0099181C"/>
    <w:rsid w:val="00992012"/>
    <w:rsid w:val="00992104"/>
    <w:rsid w:val="00992468"/>
    <w:rsid w:val="00992EF5"/>
    <w:rsid w:val="00992F8C"/>
    <w:rsid w:val="00993486"/>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8F3"/>
    <w:rsid w:val="009B5D04"/>
    <w:rsid w:val="009B6057"/>
    <w:rsid w:val="009B6351"/>
    <w:rsid w:val="009B646D"/>
    <w:rsid w:val="009B6486"/>
    <w:rsid w:val="009B6610"/>
    <w:rsid w:val="009B6815"/>
    <w:rsid w:val="009B7690"/>
    <w:rsid w:val="009B7DAB"/>
    <w:rsid w:val="009C04CF"/>
    <w:rsid w:val="009C0B8C"/>
    <w:rsid w:val="009C0D66"/>
    <w:rsid w:val="009C1D55"/>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F69"/>
    <w:rsid w:val="009F408C"/>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519"/>
    <w:rsid w:val="00A167FB"/>
    <w:rsid w:val="00A16951"/>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0A"/>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DEE"/>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00D"/>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012"/>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5EC3"/>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4B0"/>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180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DA"/>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AF7"/>
    <w:rsid w:val="00C23F1E"/>
    <w:rsid w:val="00C24301"/>
    <w:rsid w:val="00C244B0"/>
    <w:rsid w:val="00C2502D"/>
    <w:rsid w:val="00C2529A"/>
    <w:rsid w:val="00C25439"/>
    <w:rsid w:val="00C25731"/>
    <w:rsid w:val="00C25D14"/>
    <w:rsid w:val="00C262F5"/>
    <w:rsid w:val="00C26380"/>
    <w:rsid w:val="00C26E04"/>
    <w:rsid w:val="00C27B65"/>
    <w:rsid w:val="00C27CAE"/>
    <w:rsid w:val="00C27E25"/>
    <w:rsid w:val="00C27E67"/>
    <w:rsid w:val="00C27F55"/>
    <w:rsid w:val="00C30A21"/>
    <w:rsid w:val="00C30A46"/>
    <w:rsid w:val="00C323F1"/>
    <w:rsid w:val="00C3244D"/>
    <w:rsid w:val="00C325C8"/>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5D44"/>
    <w:rsid w:val="00C47C36"/>
    <w:rsid w:val="00C47E58"/>
    <w:rsid w:val="00C50150"/>
    <w:rsid w:val="00C51210"/>
    <w:rsid w:val="00C51A42"/>
    <w:rsid w:val="00C51C81"/>
    <w:rsid w:val="00C5301B"/>
    <w:rsid w:val="00C531DB"/>
    <w:rsid w:val="00C538EC"/>
    <w:rsid w:val="00C53ACD"/>
    <w:rsid w:val="00C53EB4"/>
    <w:rsid w:val="00C544F1"/>
    <w:rsid w:val="00C5453F"/>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65"/>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0F3"/>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734"/>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3DA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F86"/>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2C0"/>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13B"/>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0223"/>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ADD"/>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421"/>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290"/>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7DE"/>
    <w:rsid w:val="00DB0F88"/>
    <w:rsid w:val="00DB12FC"/>
    <w:rsid w:val="00DB1942"/>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0AE"/>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45F"/>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4E6D"/>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EE2"/>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34D9"/>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316"/>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11"/>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2DB0"/>
    <w:rsid w:val="00F43421"/>
    <w:rsid w:val="00F4370F"/>
    <w:rsid w:val="00F4386E"/>
    <w:rsid w:val="00F43B13"/>
    <w:rsid w:val="00F44440"/>
    <w:rsid w:val="00F447C9"/>
    <w:rsid w:val="00F44D4A"/>
    <w:rsid w:val="00F45311"/>
    <w:rsid w:val="00F455DA"/>
    <w:rsid w:val="00F45680"/>
    <w:rsid w:val="00F460C1"/>
    <w:rsid w:val="00F46225"/>
    <w:rsid w:val="00F46816"/>
    <w:rsid w:val="00F46BEB"/>
    <w:rsid w:val="00F46D27"/>
    <w:rsid w:val="00F4746E"/>
    <w:rsid w:val="00F5025F"/>
    <w:rsid w:val="00F50380"/>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481"/>
    <w:rsid w:val="00F655AD"/>
    <w:rsid w:val="00F65E15"/>
    <w:rsid w:val="00F65E77"/>
    <w:rsid w:val="00F65FD9"/>
    <w:rsid w:val="00F6614C"/>
    <w:rsid w:val="00F66C7F"/>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EB4"/>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7C8"/>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AD1"/>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8794-EC54-445E-93DD-1716CCDF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3408</Words>
  <Characters>18749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5</cp:revision>
  <cp:lastPrinted>2017-03-31T14:34:00Z</cp:lastPrinted>
  <dcterms:created xsi:type="dcterms:W3CDTF">2017-03-31T15:25:00Z</dcterms:created>
  <dcterms:modified xsi:type="dcterms:W3CDTF">2017-05-11T02:07:00Z</dcterms:modified>
</cp:coreProperties>
</file>