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6F" w:rsidRPr="006E4540" w:rsidRDefault="0058626F" w:rsidP="0058626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58626F" w:rsidRDefault="0058626F" w:rsidP="002403C8">
      <w:pPr>
        <w:pStyle w:val="Sansinterligne"/>
        <w:tabs>
          <w:tab w:val="left" w:pos="3579"/>
        </w:tabs>
        <w:spacing w:line="360" w:lineRule="auto"/>
        <w:jc w:val="center"/>
        <w:rPr>
          <w:rFonts w:ascii="Arial" w:hAnsi="Arial" w:cs="Arial"/>
          <w:w w:val="140"/>
          <w:sz w:val="14"/>
        </w:rPr>
      </w:pPr>
    </w:p>
    <w:p w:rsidR="0058626F"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14:anchorId="78D2CD6A" wp14:editId="4A1F42D5">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58626F">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58626F">
        <w:rPr>
          <w:rFonts w:ascii="Arial" w:hAnsi="Arial" w:cs="Arial"/>
          <w:sz w:val="22"/>
          <w:szCs w:val="22"/>
        </w:rPr>
        <w:t>– 1ª instancia – 07 de abril de 2017</w:t>
      </w:r>
    </w:p>
    <w:p w:rsidR="0058626F" w:rsidRPr="002060F5" w:rsidRDefault="0058626F"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C85A30" w:rsidRDefault="00970930" w:rsidP="00C600AE">
      <w:pPr>
        <w:pStyle w:val="Corpsdetexte"/>
        <w:tabs>
          <w:tab w:val="clear" w:pos="4248"/>
          <w:tab w:val="left" w:pos="3122"/>
        </w:tabs>
        <w:spacing w:line="360" w:lineRule="auto"/>
        <w:ind w:left="3686" w:hanging="3540"/>
        <w:rPr>
          <w:rFonts w:ascii="Arial" w:hAnsi="Arial" w:cs="Arial"/>
          <w:sz w:val="22"/>
          <w:szCs w:val="22"/>
          <w:lang w:val="es-ES"/>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proofErr w:type="spellStart"/>
      <w:r w:rsidR="00C85A30">
        <w:rPr>
          <w:rFonts w:ascii="Arial" w:hAnsi="Arial" w:cs="Arial"/>
          <w:sz w:val="22"/>
          <w:szCs w:val="22"/>
        </w:rPr>
        <w:t>SAMS</w:t>
      </w:r>
      <w:proofErr w:type="spellEnd"/>
      <w:r w:rsidR="00C85A30">
        <w:rPr>
          <w:rFonts w:ascii="Arial" w:hAnsi="Arial" w:cs="Arial"/>
          <w:sz w:val="22"/>
          <w:szCs w:val="22"/>
        </w:rPr>
        <w:t xml:space="preserve"> y </w:t>
      </w:r>
      <w:proofErr w:type="spellStart"/>
      <w:r w:rsidR="00C85A30">
        <w:rPr>
          <w:rFonts w:ascii="Arial" w:hAnsi="Arial" w:cs="Arial"/>
          <w:sz w:val="22"/>
          <w:szCs w:val="22"/>
        </w:rPr>
        <w:t>MAMS</w:t>
      </w:r>
      <w:proofErr w:type="spellEnd"/>
      <w:r w:rsidR="00C85A30" w:rsidRPr="00C85A30">
        <w:rPr>
          <w:rFonts w:ascii="Arial" w:hAnsi="Arial" w:cs="Arial"/>
          <w:sz w:val="22"/>
          <w:szCs w:val="22"/>
          <w:lang w:val="es-ES"/>
        </w:rPr>
        <w:t xml:space="preserve"> </w:t>
      </w:r>
    </w:p>
    <w:p w:rsidR="0099045D" w:rsidRPr="002060F5" w:rsidRDefault="00C85A30" w:rsidP="00C600AE">
      <w:pPr>
        <w:pStyle w:val="Corpsdetexte"/>
        <w:tabs>
          <w:tab w:val="clear" w:pos="4248"/>
          <w:tab w:val="left" w:pos="3122"/>
        </w:tabs>
        <w:spacing w:line="360" w:lineRule="auto"/>
        <w:ind w:left="3686" w:hanging="3540"/>
        <w:rPr>
          <w:rFonts w:ascii="Arial" w:hAnsi="Arial" w:cs="Arial"/>
          <w:sz w:val="22"/>
          <w:szCs w:val="22"/>
        </w:rPr>
      </w:pPr>
      <w:r>
        <w:rPr>
          <w:rFonts w:ascii="Arial" w:hAnsi="Arial" w:cs="Arial"/>
          <w:sz w:val="22"/>
          <w:szCs w:val="22"/>
          <w:lang w:val="es-ES"/>
        </w:rPr>
        <w:tab/>
      </w:r>
      <w:r>
        <w:rPr>
          <w:rFonts w:ascii="Arial" w:hAnsi="Arial" w:cs="Arial"/>
          <w:sz w:val="22"/>
          <w:szCs w:val="22"/>
          <w:lang w:val="es-ES"/>
        </w:rPr>
        <w:tab/>
        <w:t xml:space="preserve">Agente oficiosos </w:t>
      </w:r>
      <w:r>
        <w:rPr>
          <w:rFonts w:ascii="Arial" w:hAnsi="Arial" w:cs="Arial"/>
          <w:sz w:val="22"/>
          <w:szCs w:val="22"/>
          <w:lang w:val="es-ES"/>
        </w:rPr>
        <w:tab/>
      </w:r>
      <w:r>
        <w:rPr>
          <w:rFonts w:ascii="Arial" w:hAnsi="Arial" w:cs="Arial"/>
          <w:sz w:val="22"/>
          <w:szCs w:val="22"/>
          <w:lang w:val="es-ES"/>
        </w:rPr>
        <w:tab/>
        <w:t xml:space="preserve">: </w:t>
      </w:r>
      <w:r w:rsidR="00B42659">
        <w:rPr>
          <w:rFonts w:ascii="Arial" w:hAnsi="Arial" w:cs="Arial"/>
          <w:sz w:val="22"/>
          <w:szCs w:val="22"/>
        </w:rPr>
        <w:t>Instituto Colombiano de Bienestar Familiar</w:t>
      </w:r>
      <w:r w:rsidR="00C458D8">
        <w:rPr>
          <w:rFonts w:ascii="Arial" w:hAnsi="Arial" w:cs="Arial"/>
          <w:sz w:val="22"/>
          <w:szCs w:val="22"/>
        </w:rPr>
        <w:t xml:space="preserve"> - </w:t>
      </w:r>
      <w:proofErr w:type="spellStart"/>
      <w:r w:rsidR="00C458D8">
        <w:rPr>
          <w:rFonts w:ascii="Arial" w:hAnsi="Arial" w:cs="Arial"/>
          <w:sz w:val="22"/>
          <w:szCs w:val="22"/>
        </w:rPr>
        <w:t>ICBF</w:t>
      </w:r>
      <w:proofErr w:type="spellEnd"/>
    </w:p>
    <w:p w:rsidR="00C85A30" w:rsidRPr="00C85A30" w:rsidRDefault="00C85A30" w:rsidP="00C85A30">
      <w:pPr>
        <w:pStyle w:val="Corpsdetexte"/>
        <w:spacing w:line="360" w:lineRule="auto"/>
        <w:ind w:left="3686" w:hanging="3540"/>
        <w:rPr>
          <w:rFonts w:ascii="Arial" w:hAnsi="Arial"/>
          <w:sz w:val="22"/>
          <w:szCs w:val="22"/>
        </w:rPr>
      </w:pPr>
      <w:r>
        <w:rPr>
          <w:rFonts w:ascii="Arial" w:hAnsi="Arial"/>
          <w:sz w:val="22"/>
          <w:szCs w:val="22"/>
        </w:rPr>
        <w:tab/>
      </w:r>
      <w:r>
        <w:rPr>
          <w:rFonts w:ascii="Arial" w:hAnsi="Arial"/>
          <w:sz w:val="22"/>
          <w:szCs w:val="22"/>
        </w:rPr>
        <w:tab/>
      </w:r>
      <w:r w:rsidRPr="00C85A30">
        <w:rPr>
          <w:rFonts w:ascii="Arial" w:hAnsi="Arial"/>
          <w:sz w:val="22"/>
          <w:szCs w:val="22"/>
        </w:rPr>
        <w:t>Accionado (s)</w:t>
      </w:r>
      <w:r w:rsidRPr="00C85A30">
        <w:rPr>
          <w:rFonts w:ascii="Arial" w:hAnsi="Arial"/>
          <w:sz w:val="22"/>
          <w:szCs w:val="22"/>
        </w:rPr>
        <w:tab/>
      </w:r>
      <w:r w:rsidRPr="00C85A30">
        <w:rPr>
          <w:rFonts w:ascii="Arial" w:hAnsi="Arial"/>
          <w:sz w:val="22"/>
          <w:szCs w:val="22"/>
        </w:rPr>
        <w:tab/>
        <w:t>: Juzgado de Familia de Dosquebradas</w:t>
      </w:r>
    </w:p>
    <w:p w:rsidR="00C85A30" w:rsidRPr="00C85A30" w:rsidRDefault="00C85A30" w:rsidP="00C85A30">
      <w:pPr>
        <w:pStyle w:val="Corpsdetexte"/>
        <w:spacing w:line="360" w:lineRule="auto"/>
        <w:ind w:left="3686" w:hanging="3540"/>
        <w:rPr>
          <w:rFonts w:ascii="Arial" w:hAnsi="Arial"/>
          <w:sz w:val="22"/>
          <w:szCs w:val="22"/>
        </w:rPr>
      </w:pPr>
      <w:r>
        <w:rPr>
          <w:rFonts w:ascii="Arial" w:hAnsi="Arial"/>
          <w:sz w:val="22"/>
          <w:szCs w:val="22"/>
        </w:rPr>
        <w:tab/>
      </w:r>
      <w:r>
        <w:rPr>
          <w:rFonts w:ascii="Arial" w:hAnsi="Arial"/>
          <w:sz w:val="22"/>
          <w:szCs w:val="22"/>
        </w:rPr>
        <w:tab/>
      </w:r>
      <w:r w:rsidRPr="00C85A30">
        <w:rPr>
          <w:rFonts w:ascii="Arial" w:hAnsi="Arial"/>
          <w:sz w:val="22"/>
          <w:szCs w:val="22"/>
        </w:rPr>
        <w:t>Vinculado (s)</w:t>
      </w:r>
      <w:r w:rsidRPr="00C85A30">
        <w:rPr>
          <w:rFonts w:ascii="Arial" w:hAnsi="Arial"/>
          <w:sz w:val="22"/>
          <w:szCs w:val="22"/>
        </w:rPr>
        <w:tab/>
      </w:r>
      <w:r>
        <w:rPr>
          <w:rFonts w:ascii="Arial" w:hAnsi="Arial"/>
          <w:sz w:val="22"/>
          <w:szCs w:val="22"/>
        </w:rPr>
        <w:tab/>
      </w:r>
      <w:r w:rsidRPr="00C85A30">
        <w:rPr>
          <w:rFonts w:ascii="Arial" w:hAnsi="Arial"/>
          <w:sz w:val="22"/>
          <w:szCs w:val="22"/>
        </w:rPr>
        <w:t xml:space="preserve">: </w:t>
      </w:r>
      <w:proofErr w:type="spellStart"/>
      <w:r>
        <w:rPr>
          <w:rFonts w:ascii="Arial" w:hAnsi="Arial"/>
          <w:sz w:val="22"/>
          <w:szCs w:val="22"/>
        </w:rPr>
        <w:t>JAM</w:t>
      </w:r>
      <w:proofErr w:type="spellEnd"/>
      <w:r>
        <w:rPr>
          <w:rFonts w:ascii="Arial" w:hAnsi="Arial"/>
          <w:sz w:val="22"/>
          <w:szCs w:val="22"/>
        </w:rPr>
        <w:t xml:space="preserve"> </w:t>
      </w:r>
      <w:r w:rsidRPr="00C85A30">
        <w:rPr>
          <w:rFonts w:ascii="Arial" w:hAnsi="Arial"/>
          <w:sz w:val="22"/>
          <w:szCs w:val="22"/>
        </w:rPr>
        <w:t>y otros</w:t>
      </w:r>
    </w:p>
    <w:p w:rsidR="00BF622E" w:rsidRPr="0060190E" w:rsidRDefault="00C85A30" w:rsidP="00C85A30">
      <w:pPr>
        <w:pStyle w:val="Corpsdetexte"/>
        <w:tabs>
          <w:tab w:val="clear" w:pos="4248"/>
        </w:tabs>
        <w:spacing w:line="360" w:lineRule="auto"/>
        <w:ind w:left="3686" w:hanging="3540"/>
        <w:rPr>
          <w:rFonts w:ascii="Arial" w:hAnsi="Arial" w:cs="Arial"/>
          <w:sz w:val="22"/>
          <w:szCs w:val="22"/>
        </w:rPr>
      </w:pPr>
      <w:r>
        <w:rPr>
          <w:rFonts w:ascii="Arial" w:hAnsi="Arial"/>
          <w:sz w:val="22"/>
          <w:szCs w:val="22"/>
        </w:rPr>
        <w:tab/>
      </w:r>
      <w:r>
        <w:rPr>
          <w:rFonts w:ascii="Arial" w:hAnsi="Arial"/>
          <w:sz w:val="22"/>
          <w:szCs w:val="22"/>
        </w:rPr>
        <w:tab/>
      </w:r>
      <w:r w:rsidRPr="00C85A30">
        <w:rPr>
          <w:rFonts w:ascii="Arial" w:hAnsi="Arial"/>
          <w:sz w:val="22"/>
          <w:szCs w:val="22"/>
        </w:rPr>
        <w:t>Radicación</w:t>
      </w:r>
      <w:r w:rsidRPr="00C85A30">
        <w:rPr>
          <w:rFonts w:ascii="Arial" w:hAnsi="Arial"/>
          <w:sz w:val="22"/>
          <w:szCs w:val="22"/>
        </w:rPr>
        <w:tab/>
      </w:r>
      <w:r w:rsidRPr="00C85A30">
        <w:rPr>
          <w:rFonts w:ascii="Arial" w:hAnsi="Arial"/>
          <w:sz w:val="22"/>
          <w:szCs w:val="22"/>
        </w:rPr>
        <w:tab/>
        <w:t xml:space="preserve">: 2017-00276-00 (interno </w:t>
      </w:r>
      <w:proofErr w:type="spellStart"/>
      <w:r w:rsidRPr="00C85A30">
        <w:rPr>
          <w:rFonts w:ascii="Arial" w:hAnsi="Arial"/>
          <w:sz w:val="22"/>
          <w:szCs w:val="22"/>
        </w:rPr>
        <w:t>No.276</w:t>
      </w:r>
      <w:proofErr w:type="spellEnd"/>
      <w:r w:rsidRPr="00C85A30">
        <w:rPr>
          <w:rFonts w:ascii="Arial" w:hAnsi="Arial"/>
          <w:sz w:val="22"/>
          <w:szCs w:val="22"/>
        </w:rPr>
        <w:t>)</w:t>
      </w:r>
      <w:r w:rsidR="005A53EA">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470983">
        <w:rPr>
          <w:rFonts w:ascii="Arial" w:hAnsi="Arial"/>
          <w:sz w:val="22"/>
          <w:szCs w:val="22"/>
        </w:rPr>
        <w:t>185 de 07-04-2017</w:t>
      </w:r>
    </w:p>
    <w:p w:rsidR="0058626F" w:rsidRDefault="0058626F" w:rsidP="00D70A1B">
      <w:pPr>
        <w:spacing w:line="360" w:lineRule="auto"/>
        <w:ind w:left="708" w:firstLine="708"/>
        <w:rPr>
          <w:rFonts w:ascii="Arial" w:hAnsi="Arial"/>
          <w:sz w:val="22"/>
          <w:szCs w:val="22"/>
        </w:rPr>
      </w:pPr>
    </w:p>
    <w:p w:rsidR="0058626F" w:rsidRPr="0058626F" w:rsidRDefault="0058626F" w:rsidP="0058626F">
      <w:pPr>
        <w:pStyle w:val="Corpsdetexte"/>
        <w:spacing w:line="240" w:lineRule="auto"/>
        <w:ind w:left="1416" w:hanging="1416"/>
        <w:rPr>
          <w:rFonts w:ascii="Arial" w:hAnsi="Arial" w:cs="Arial"/>
          <w:b/>
          <w:sz w:val="22"/>
          <w:szCs w:val="22"/>
        </w:rPr>
      </w:pPr>
      <w:r w:rsidRPr="002060F5">
        <w:rPr>
          <w:rFonts w:ascii="Arial" w:hAnsi="Arial" w:cs="Arial"/>
          <w:sz w:val="22"/>
          <w:szCs w:val="22"/>
        </w:rPr>
        <w:tab/>
      </w:r>
      <w:r w:rsidRPr="002060F5">
        <w:rPr>
          <w:rFonts w:ascii="Arial" w:hAnsi="Arial" w:cs="Arial"/>
          <w:sz w:val="22"/>
          <w:szCs w:val="22"/>
        </w:rPr>
        <w:tab/>
      </w:r>
      <w:r w:rsidRPr="0058626F">
        <w:rPr>
          <w:rFonts w:ascii="Arial" w:hAnsi="Arial" w:cs="Arial"/>
          <w:b/>
          <w:sz w:val="22"/>
          <w:szCs w:val="22"/>
        </w:rPr>
        <w:t>TEMAS</w:t>
      </w:r>
      <w:r w:rsidRPr="0058626F">
        <w:rPr>
          <w:rFonts w:ascii="Arial" w:hAnsi="Arial" w:cs="Arial"/>
          <w:b/>
          <w:sz w:val="22"/>
          <w:szCs w:val="22"/>
        </w:rPr>
        <w:tab/>
      </w:r>
      <w:r w:rsidRPr="0058626F">
        <w:rPr>
          <w:rFonts w:ascii="Arial" w:hAnsi="Arial" w:cs="Arial"/>
          <w:b/>
          <w:sz w:val="22"/>
          <w:szCs w:val="22"/>
        </w:rPr>
        <w:tab/>
        <w:t xml:space="preserve">: </w:t>
      </w:r>
      <w:r>
        <w:rPr>
          <w:rFonts w:ascii="Arial" w:hAnsi="Arial" w:cs="Arial"/>
          <w:b/>
          <w:sz w:val="22"/>
          <w:szCs w:val="22"/>
        </w:rPr>
        <w:t xml:space="preserve">INEXISTENCIA DE </w:t>
      </w:r>
      <w:r w:rsidRPr="0058626F">
        <w:rPr>
          <w:rFonts w:ascii="Arial" w:hAnsi="Arial" w:cs="Arial"/>
          <w:b/>
          <w:sz w:val="22"/>
          <w:szCs w:val="22"/>
        </w:rPr>
        <w:t>DEFECTO SUSTANTIVO O MATERIAL – DEFECTO FÁCTICO</w:t>
      </w:r>
      <w:r>
        <w:rPr>
          <w:rFonts w:ascii="Arial" w:hAnsi="Arial" w:cs="Arial"/>
          <w:b/>
          <w:sz w:val="22"/>
          <w:szCs w:val="22"/>
        </w:rPr>
        <w:t xml:space="preserve">. </w:t>
      </w:r>
      <w:r w:rsidRPr="0058626F">
        <w:rPr>
          <w:rFonts w:ascii="Arial" w:hAnsi="Arial" w:cs="Arial"/>
          <w:sz w:val="22"/>
          <w:szCs w:val="22"/>
        </w:rPr>
        <w:t>“</w:t>
      </w:r>
      <w:r w:rsidRPr="0058626F">
        <w:rPr>
          <w:rFonts w:ascii="Arial" w:hAnsi="Arial" w:cs="Arial"/>
          <w:sz w:val="22"/>
          <w:szCs w:val="22"/>
          <w:lang w:val="es-CO"/>
        </w:rPr>
        <w:t>[I]</w:t>
      </w:r>
      <w:proofErr w:type="spellStart"/>
      <w:r w:rsidRPr="0058626F">
        <w:rPr>
          <w:rFonts w:ascii="Arial" w:hAnsi="Arial" w:cs="Arial"/>
          <w:sz w:val="22"/>
          <w:szCs w:val="22"/>
          <w:lang w:val="es-CO"/>
        </w:rPr>
        <w:t>nexiste</w:t>
      </w:r>
      <w:proofErr w:type="spellEnd"/>
      <w:r w:rsidRPr="0058626F">
        <w:rPr>
          <w:rFonts w:ascii="Arial" w:hAnsi="Arial" w:cs="Arial"/>
          <w:sz w:val="22"/>
          <w:szCs w:val="22"/>
          <w:lang w:val="es-CO"/>
        </w:rPr>
        <w:t xml:space="preserve"> </w:t>
      </w:r>
      <w:r w:rsidRPr="0058626F">
        <w:rPr>
          <w:rFonts w:ascii="Arial" w:hAnsi="Arial" w:cs="Arial"/>
          <w:sz w:val="22"/>
          <w:szCs w:val="22"/>
          <w:lang w:val="es-ES"/>
        </w:rPr>
        <w:t>vulneración o amenaza a los derechos invocados, puesto que no se advierte arbitraria ni antojadiza la decisión controvertida. Comparta o no la Sala la posición del juez accionado, es evidente que tiene un fundamento jurídico claro, es decir, en normas vigentes aplicables a estos trámites administrativos (Artículo 100 de la Ley 1098).”.</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C85A30" w:rsidRDefault="006617DD" w:rsidP="006617DD">
      <w:pPr>
        <w:spacing w:line="360" w:lineRule="auto"/>
        <w:jc w:val="center"/>
        <w:rPr>
          <w:rFonts w:ascii="Arial" w:hAnsi="Arial" w:cs="Arial"/>
          <w:iCs/>
          <w:sz w:val="28"/>
          <w:szCs w:val="28"/>
          <w:lang w:val="es-CO"/>
        </w:rPr>
      </w:pPr>
      <w:r w:rsidRPr="00C85A30">
        <w:rPr>
          <w:rFonts w:ascii="Arial" w:hAnsi="Arial" w:cs="Arial"/>
          <w:iCs/>
          <w:smallCaps/>
          <w:sz w:val="28"/>
          <w:szCs w:val="28"/>
          <w:lang w:val="es-CO"/>
        </w:rPr>
        <w:t xml:space="preserve">Pereira, </w:t>
      </w:r>
      <w:r w:rsidR="005A53EA" w:rsidRPr="00C85A30">
        <w:rPr>
          <w:rFonts w:ascii="Arial" w:hAnsi="Arial" w:cs="Arial"/>
          <w:iCs/>
          <w:smallCaps/>
          <w:sz w:val="28"/>
          <w:szCs w:val="28"/>
          <w:lang w:val="es-CO"/>
        </w:rPr>
        <w:t>R.</w:t>
      </w:r>
      <w:r w:rsidRPr="00C85A30">
        <w:rPr>
          <w:rFonts w:ascii="Arial" w:hAnsi="Arial" w:cs="Arial"/>
          <w:iCs/>
          <w:smallCaps/>
          <w:sz w:val="28"/>
          <w:szCs w:val="28"/>
          <w:lang w:val="es-CO"/>
        </w:rPr>
        <w:t xml:space="preserve">, </w:t>
      </w:r>
      <w:r w:rsidR="00470983">
        <w:rPr>
          <w:rFonts w:ascii="Arial" w:hAnsi="Arial" w:cs="Arial"/>
          <w:iCs/>
          <w:smallCaps/>
          <w:sz w:val="28"/>
          <w:szCs w:val="28"/>
          <w:lang w:val="es-CO"/>
        </w:rPr>
        <w:t xml:space="preserve">siete </w:t>
      </w:r>
      <w:r w:rsidRPr="00C85A30">
        <w:rPr>
          <w:rFonts w:ascii="Arial" w:hAnsi="Arial" w:cs="Arial"/>
          <w:iCs/>
          <w:smallCaps/>
          <w:sz w:val="28"/>
          <w:szCs w:val="28"/>
          <w:lang w:val="es-CO"/>
        </w:rPr>
        <w:t>(</w:t>
      </w:r>
      <w:r w:rsidR="00470983">
        <w:rPr>
          <w:rFonts w:ascii="Arial" w:hAnsi="Arial" w:cs="Arial"/>
          <w:iCs/>
          <w:smallCaps/>
          <w:sz w:val="28"/>
          <w:szCs w:val="28"/>
          <w:lang w:val="es-CO"/>
        </w:rPr>
        <w:t>7</w:t>
      </w:r>
      <w:r w:rsidRPr="00C85A30">
        <w:rPr>
          <w:rFonts w:ascii="Arial" w:hAnsi="Arial" w:cs="Arial"/>
          <w:iCs/>
          <w:smallCaps/>
          <w:sz w:val="28"/>
          <w:szCs w:val="28"/>
          <w:lang w:val="es-CO"/>
        </w:rPr>
        <w:t xml:space="preserve">) de </w:t>
      </w:r>
      <w:r w:rsidR="00B42659" w:rsidRPr="00C85A30">
        <w:rPr>
          <w:rFonts w:ascii="Arial" w:hAnsi="Arial" w:cs="Arial"/>
          <w:iCs/>
          <w:smallCaps/>
          <w:sz w:val="28"/>
          <w:szCs w:val="28"/>
          <w:lang w:val="es-CO"/>
        </w:rPr>
        <w:t xml:space="preserve">abril </w:t>
      </w:r>
      <w:r w:rsidRPr="00C85A30">
        <w:rPr>
          <w:rFonts w:ascii="Arial" w:hAnsi="Arial" w:cs="Arial"/>
          <w:iCs/>
          <w:smallCaps/>
          <w:sz w:val="28"/>
          <w:szCs w:val="28"/>
          <w:lang w:val="es-CO"/>
        </w:rPr>
        <w:t xml:space="preserve">de dos mil </w:t>
      </w:r>
      <w:r w:rsidR="00C85A30">
        <w:rPr>
          <w:rFonts w:ascii="Arial" w:hAnsi="Arial" w:cs="Arial"/>
          <w:iCs/>
          <w:smallCaps/>
          <w:sz w:val="28"/>
          <w:szCs w:val="28"/>
          <w:lang w:val="es-CO"/>
        </w:rPr>
        <w:t xml:space="preserve">diecisiete </w:t>
      </w:r>
      <w:r w:rsidRPr="00C85A30">
        <w:rPr>
          <w:rFonts w:ascii="Arial" w:hAnsi="Arial" w:cs="Arial"/>
          <w:iCs/>
          <w:smallCaps/>
          <w:sz w:val="28"/>
          <w:szCs w:val="28"/>
          <w:lang w:val="es-CO"/>
        </w:rPr>
        <w:t>(</w:t>
      </w:r>
      <w:r w:rsidR="00C85A30">
        <w:rPr>
          <w:rFonts w:ascii="Arial" w:hAnsi="Arial" w:cs="Arial"/>
          <w:iCs/>
          <w:smallCaps/>
          <w:sz w:val="28"/>
          <w:szCs w:val="28"/>
          <w:lang w:val="es-CO"/>
        </w:rPr>
        <w:t>2017</w:t>
      </w:r>
      <w:r w:rsidRPr="00C85A30">
        <w:rPr>
          <w:rFonts w:ascii="Arial" w:hAnsi="Arial" w:cs="Arial"/>
          <w:iCs/>
          <w:smallCaps/>
          <w:sz w:val="28"/>
          <w:szCs w:val="28"/>
          <w:lang w:val="es-CO"/>
        </w:rPr>
        <w:t>)</w:t>
      </w:r>
      <w:r w:rsidRPr="00C85A30">
        <w:rPr>
          <w:rFonts w:ascii="Arial" w:hAnsi="Arial" w:cs="Arial"/>
          <w:iCs/>
          <w:sz w:val="28"/>
          <w:szCs w:val="28"/>
          <w:lang w:val="es-CO"/>
        </w:rPr>
        <w:t>.</w:t>
      </w: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Corpsdetexte"/>
        <w:spacing w:line="360" w:lineRule="auto"/>
        <w:rPr>
          <w:rFonts w:ascii="Arial" w:hAnsi="Arial"/>
          <w:szCs w:val="24"/>
        </w:rPr>
      </w:pPr>
    </w:p>
    <w:p w:rsidR="002627F4" w:rsidRPr="00F9418E" w:rsidRDefault="00B42659" w:rsidP="002627F4">
      <w:pPr>
        <w:pStyle w:val="Corpsdetexte"/>
        <w:spacing w:line="360" w:lineRule="auto"/>
        <w:rPr>
          <w:rFonts w:ascii="Arial" w:hAnsi="Arial"/>
          <w:szCs w:val="24"/>
        </w:rPr>
      </w:pPr>
      <w:r>
        <w:rPr>
          <w:rFonts w:ascii="Arial" w:hAnsi="Arial"/>
          <w:szCs w:val="24"/>
        </w:rPr>
        <w:t xml:space="preserve">La acción constitucional de la referencia, </w:t>
      </w:r>
      <w:r w:rsidR="002627F4">
        <w:rPr>
          <w:rFonts w:ascii="Arial" w:hAnsi="Arial"/>
          <w:szCs w:val="24"/>
        </w:rPr>
        <w:t>surtida</w:t>
      </w:r>
      <w:r w:rsidR="005A53EA">
        <w:rPr>
          <w:rFonts w:ascii="Arial" w:hAnsi="Arial"/>
          <w:szCs w:val="24"/>
        </w:rPr>
        <w:t>s</w:t>
      </w:r>
      <w:r w:rsidR="002627F4">
        <w:rPr>
          <w:rFonts w:ascii="Arial" w:hAnsi="Arial"/>
          <w:szCs w:val="24"/>
        </w:rPr>
        <w:t xml:space="preserve"> </w:t>
      </w:r>
      <w:r w:rsidR="002627F4" w:rsidRPr="00F9418E">
        <w:rPr>
          <w:rFonts w:ascii="Arial" w:hAnsi="Arial"/>
          <w:szCs w:val="24"/>
        </w:rPr>
        <w:t>la</w:t>
      </w:r>
      <w:r w:rsidR="005A53EA">
        <w:rPr>
          <w:rFonts w:ascii="Arial" w:hAnsi="Arial"/>
          <w:szCs w:val="24"/>
        </w:rPr>
        <w:t>s</w:t>
      </w:r>
      <w:r w:rsidR="002627F4" w:rsidRPr="00F9418E">
        <w:rPr>
          <w:rFonts w:ascii="Arial" w:hAnsi="Arial"/>
          <w:szCs w:val="24"/>
        </w:rPr>
        <w:t xml:space="preserve"> </w:t>
      </w:r>
      <w:r w:rsidR="005A53EA">
        <w:rPr>
          <w:rFonts w:ascii="Arial" w:hAnsi="Arial"/>
          <w:szCs w:val="24"/>
        </w:rPr>
        <w:t xml:space="preserve">actuaciones </w:t>
      </w:r>
      <w:r w:rsidR="002627F4" w:rsidRPr="00F9418E">
        <w:rPr>
          <w:rFonts w:ascii="Arial" w:hAnsi="Arial"/>
          <w:szCs w:val="24"/>
        </w:rPr>
        <w:t>respectiva</w:t>
      </w:r>
      <w:r w:rsidR="005A53EA">
        <w:rPr>
          <w:rFonts w:ascii="Arial" w:hAnsi="Arial"/>
          <w:szCs w:val="24"/>
        </w:rPr>
        <w:t>s</w:t>
      </w:r>
      <w:r w:rsidR="002627F4" w:rsidRPr="00F9418E">
        <w:rPr>
          <w:rFonts w:ascii="Arial" w:hAnsi="Arial"/>
          <w:szCs w:val="24"/>
        </w:rPr>
        <w:t xml:space="preserve"> con el</w:t>
      </w:r>
      <w:r w:rsidR="002627F4">
        <w:rPr>
          <w:rFonts w:ascii="Arial" w:hAnsi="Arial"/>
          <w:szCs w:val="24"/>
        </w:rPr>
        <w:t xml:space="preserve"> </w:t>
      </w:r>
      <w:r w:rsidR="002627F4" w:rsidRPr="00F9418E">
        <w:rPr>
          <w:rFonts w:ascii="Arial" w:hAnsi="Arial"/>
          <w:szCs w:val="24"/>
        </w:rPr>
        <w:t xml:space="preserve">trámite preferente y sumario, sin que se </w:t>
      </w:r>
      <w:r w:rsidR="002627F4">
        <w:rPr>
          <w:rFonts w:ascii="Arial" w:hAnsi="Arial"/>
          <w:szCs w:val="24"/>
        </w:rPr>
        <w:t xml:space="preserve">evidencien </w:t>
      </w:r>
      <w:r w:rsidR="002627F4" w:rsidRPr="00F9418E">
        <w:rPr>
          <w:rFonts w:ascii="Arial" w:hAnsi="Arial"/>
          <w:szCs w:val="24"/>
        </w:rPr>
        <w:t>causales de nulidad que la</w:t>
      </w:r>
      <w:r w:rsidR="005A53EA">
        <w:rPr>
          <w:rFonts w:ascii="Arial" w:hAnsi="Arial"/>
          <w:szCs w:val="24"/>
        </w:rPr>
        <w:t>s</w:t>
      </w:r>
      <w:r w:rsidR="002627F4" w:rsidRPr="00F9418E">
        <w:rPr>
          <w:rFonts w:ascii="Arial" w:hAnsi="Arial"/>
          <w:szCs w:val="24"/>
        </w:rPr>
        <w:t xml:space="preserve"> invaliden.</w:t>
      </w:r>
    </w:p>
    <w:p w:rsidR="000147A2" w:rsidRPr="00BA69B4" w:rsidRDefault="000147A2" w:rsidP="0099045D">
      <w:pPr>
        <w:pStyle w:val="Corpsdetexte"/>
        <w:spacing w:line="360" w:lineRule="auto"/>
        <w:rPr>
          <w:rFonts w:ascii="Arial" w:hAnsi="Arial"/>
          <w:szCs w:val="24"/>
        </w:rPr>
      </w:pPr>
    </w:p>
    <w:p w:rsidR="0099045D" w:rsidRPr="00F9418E" w:rsidRDefault="0099045D" w:rsidP="0099045D">
      <w:pPr>
        <w:pStyle w:val="Corpsdetex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Corpsdetexte"/>
        <w:spacing w:line="360" w:lineRule="auto"/>
        <w:rPr>
          <w:rFonts w:ascii="Arial" w:hAnsi="Arial" w:cs="Arial"/>
          <w:szCs w:val="24"/>
        </w:rPr>
      </w:pPr>
    </w:p>
    <w:p w:rsidR="00126644" w:rsidRDefault="00C85A30" w:rsidP="00AF753A">
      <w:pPr>
        <w:spacing w:line="360" w:lineRule="auto"/>
        <w:jc w:val="both"/>
        <w:rPr>
          <w:rFonts w:ascii="Arial" w:hAnsi="Arial" w:cs="Arial"/>
        </w:rPr>
      </w:pPr>
      <w:r>
        <w:rPr>
          <w:rFonts w:ascii="Arial" w:hAnsi="Arial" w:cs="Arial"/>
        </w:rPr>
        <w:t xml:space="preserve">Mencionó la defensora de familia </w:t>
      </w:r>
      <w:r w:rsidR="00B42659">
        <w:rPr>
          <w:rFonts w:ascii="Arial" w:hAnsi="Arial" w:cs="Arial"/>
        </w:rPr>
        <w:t xml:space="preserve">que una vez adelantados los trámites administrativos de restablecimiento de derechos de los menores </w:t>
      </w:r>
      <w:proofErr w:type="spellStart"/>
      <w:r>
        <w:rPr>
          <w:rFonts w:ascii="Arial" w:hAnsi="Arial" w:cs="Arial"/>
        </w:rPr>
        <w:t>SAMS</w:t>
      </w:r>
      <w:proofErr w:type="spellEnd"/>
      <w:r>
        <w:rPr>
          <w:rFonts w:ascii="Arial" w:hAnsi="Arial" w:cs="Arial"/>
        </w:rPr>
        <w:t xml:space="preserve"> y </w:t>
      </w:r>
      <w:proofErr w:type="spellStart"/>
      <w:r>
        <w:rPr>
          <w:rFonts w:ascii="Arial" w:hAnsi="Arial" w:cs="Arial"/>
        </w:rPr>
        <w:t>MAMS</w:t>
      </w:r>
      <w:proofErr w:type="spellEnd"/>
      <w:r w:rsidR="00A12158">
        <w:rPr>
          <w:rStyle w:val="Appelnotedebasdep"/>
          <w:rFonts w:ascii="Arial" w:hAnsi="Arial"/>
        </w:rPr>
        <w:footnoteReference w:id="1"/>
      </w:r>
      <w:r w:rsidR="00B42659">
        <w:rPr>
          <w:rFonts w:ascii="Arial" w:hAnsi="Arial" w:cs="Arial"/>
        </w:rPr>
        <w:t xml:space="preserve">, en </w:t>
      </w:r>
      <w:r w:rsidR="00126644">
        <w:rPr>
          <w:rFonts w:ascii="Arial" w:hAnsi="Arial" w:cs="Arial"/>
        </w:rPr>
        <w:t xml:space="preserve">la </w:t>
      </w:r>
      <w:r w:rsidR="00B42659">
        <w:rPr>
          <w:rFonts w:ascii="Arial" w:hAnsi="Arial" w:cs="Arial"/>
        </w:rPr>
        <w:t>audiencia de fallo</w:t>
      </w:r>
      <w:r>
        <w:rPr>
          <w:rFonts w:ascii="Arial" w:hAnsi="Arial" w:cs="Arial"/>
        </w:rPr>
        <w:t xml:space="preserve"> celebrada el </w:t>
      </w:r>
      <w:r w:rsidR="00EB4B8E">
        <w:rPr>
          <w:rFonts w:ascii="Arial" w:hAnsi="Arial" w:cs="Arial"/>
        </w:rPr>
        <w:t>22-09</w:t>
      </w:r>
      <w:r>
        <w:rPr>
          <w:rFonts w:ascii="Arial" w:hAnsi="Arial" w:cs="Arial"/>
        </w:rPr>
        <w:t xml:space="preserve">-2016, </w:t>
      </w:r>
      <w:r w:rsidR="00C458D8">
        <w:rPr>
          <w:rFonts w:ascii="Arial" w:hAnsi="Arial" w:cs="Arial"/>
        </w:rPr>
        <w:t xml:space="preserve">los declaró en </w:t>
      </w:r>
      <w:r w:rsidR="00B42659">
        <w:rPr>
          <w:rFonts w:ascii="Arial" w:hAnsi="Arial" w:cs="Arial"/>
        </w:rPr>
        <w:t xml:space="preserve">situación de </w:t>
      </w:r>
      <w:proofErr w:type="spellStart"/>
      <w:r w:rsidR="00B42659">
        <w:rPr>
          <w:rFonts w:ascii="Arial" w:hAnsi="Arial" w:cs="Arial"/>
        </w:rPr>
        <w:t>adoptabilidad</w:t>
      </w:r>
      <w:proofErr w:type="spellEnd"/>
      <w:r w:rsidR="00B42659">
        <w:rPr>
          <w:rFonts w:ascii="Arial" w:hAnsi="Arial" w:cs="Arial"/>
        </w:rPr>
        <w:t xml:space="preserve">; seguidamente, </w:t>
      </w:r>
      <w:r w:rsidR="00EB4B8E">
        <w:rPr>
          <w:rFonts w:ascii="Arial" w:hAnsi="Arial" w:cs="Arial"/>
        </w:rPr>
        <w:t>los padres recurr</w:t>
      </w:r>
      <w:r w:rsidR="00887300">
        <w:rPr>
          <w:rFonts w:ascii="Arial" w:hAnsi="Arial" w:cs="Arial"/>
        </w:rPr>
        <w:t xml:space="preserve">ieron </w:t>
      </w:r>
      <w:r w:rsidR="00EB4B8E">
        <w:rPr>
          <w:rFonts w:ascii="Arial" w:hAnsi="Arial" w:cs="Arial"/>
        </w:rPr>
        <w:t xml:space="preserve">extemporáneamente, por lo que no </w:t>
      </w:r>
      <w:r w:rsidR="00887300">
        <w:rPr>
          <w:rFonts w:ascii="Arial" w:hAnsi="Arial" w:cs="Arial"/>
        </w:rPr>
        <w:t>adelantó el recurso</w:t>
      </w:r>
      <w:r w:rsidR="00EB4B8E">
        <w:rPr>
          <w:rFonts w:ascii="Arial" w:hAnsi="Arial" w:cs="Arial"/>
        </w:rPr>
        <w:t xml:space="preserve">, </w:t>
      </w:r>
      <w:r w:rsidR="00760115">
        <w:rPr>
          <w:rFonts w:ascii="Arial" w:hAnsi="Arial" w:cs="Arial"/>
          <w:lang w:val="es-CO"/>
        </w:rPr>
        <w:t xml:space="preserve">sin </w:t>
      </w:r>
      <w:r w:rsidR="00760115">
        <w:rPr>
          <w:rFonts w:ascii="Arial" w:hAnsi="Arial" w:cs="Arial"/>
          <w:lang w:val="es-CO"/>
        </w:rPr>
        <w:lastRenderedPageBreak/>
        <w:t>embargo</w:t>
      </w:r>
      <w:r w:rsidR="00887300">
        <w:rPr>
          <w:rFonts w:ascii="Arial" w:hAnsi="Arial" w:cs="Arial"/>
          <w:lang w:val="es-CO"/>
        </w:rPr>
        <w:t xml:space="preserve">, </w:t>
      </w:r>
      <w:r w:rsidR="00EB4B8E">
        <w:rPr>
          <w:rFonts w:ascii="Arial" w:hAnsi="Arial" w:cs="Arial"/>
        </w:rPr>
        <w:t xml:space="preserve">consideró </w:t>
      </w:r>
      <w:r w:rsidR="00887300">
        <w:rPr>
          <w:rFonts w:ascii="Arial" w:hAnsi="Arial" w:cs="Arial"/>
        </w:rPr>
        <w:t xml:space="preserve">que se trataba de una </w:t>
      </w:r>
      <w:r w:rsidR="00B42659">
        <w:rPr>
          <w:rFonts w:ascii="Arial" w:hAnsi="Arial" w:cs="Arial"/>
        </w:rPr>
        <w:t>oposición</w:t>
      </w:r>
      <w:r w:rsidR="00EB4B8E">
        <w:rPr>
          <w:rFonts w:ascii="Arial" w:hAnsi="Arial" w:cs="Arial"/>
        </w:rPr>
        <w:t xml:space="preserve"> y</w:t>
      </w:r>
      <w:r w:rsidR="00B42659">
        <w:rPr>
          <w:rFonts w:ascii="Arial" w:hAnsi="Arial" w:cs="Arial"/>
        </w:rPr>
        <w:t xml:space="preserve"> decidió </w:t>
      </w:r>
      <w:r w:rsidR="00EB4B8E">
        <w:rPr>
          <w:rFonts w:ascii="Arial" w:hAnsi="Arial" w:cs="Arial"/>
        </w:rPr>
        <w:t xml:space="preserve">remitir </w:t>
      </w:r>
      <w:r w:rsidR="00B42659">
        <w:rPr>
          <w:rFonts w:ascii="Arial" w:hAnsi="Arial" w:cs="Arial"/>
        </w:rPr>
        <w:t xml:space="preserve">los procesos </w:t>
      </w:r>
      <w:r w:rsidR="00EB4B8E">
        <w:rPr>
          <w:rFonts w:ascii="Arial" w:hAnsi="Arial" w:cs="Arial"/>
        </w:rPr>
        <w:t xml:space="preserve">al Juzgado de Familia de Dosquebradas </w:t>
      </w:r>
      <w:r w:rsidR="00B42659">
        <w:rPr>
          <w:rFonts w:ascii="Arial" w:hAnsi="Arial" w:cs="Arial"/>
        </w:rPr>
        <w:t xml:space="preserve">para </w:t>
      </w:r>
      <w:r w:rsidR="00EB4B8E">
        <w:rPr>
          <w:rFonts w:ascii="Arial" w:hAnsi="Arial" w:cs="Arial"/>
        </w:rPr>
        <w:t xml:space="preserve">el trámite de </w:t>
      </w:r>
      <w:r w:rsidR="00126644">
        <w:rPr>
          <w:rFonts w:ascii="Arial" w:hAnsi="Arial" w:cs="Arial"/>
        </w:rPr>
        <w:t>homologación.</w:t>
      </w:r>
    </w:p>
    <w:p w:rsidR="00126644" w:rsidRDefault="00126644" w:rsidP="00AF753A">
      <w:pPr>
        <w:spacing w:line="360" w:lineRule="auto"/>
        <w:jc w:val="both"/>
        <w:rPr>
          <w:rFonts w:ascii="Arial" w:hAnsi="Arial" w:cs="Arial"/>
        </w:rPr>
      </w:pPr>
    </w:p>
    <w:p w:rsidR="006A7A1D" w:rsidRDefault="00C458D8" w:rsidP="00AF753A">
      <w:pPr>
        <w:spacing w:line="360" w:lineRule="auto"/>
        <w:jc w:val="both"/>
        <w:rPr>
          <w:rFonts w:ascii="Arial" w:hAnsi="Arial" w:cs="Arial"/>
        </w:rPr>
      </w:pPr>
      <w:r>
        <w:rPr>
          <w:rFonts w:ascii="Arial" w:hAnsi="Arial" w:cs="Arial"/>
        </w:rPr>
        <w:t xml:space="preserve">Dijo </w:t>
      </w:r>
      <w:r w:rsidR="00126644">
        <w:rPr>
          <w:rFonts w:ascii="Arial" w:hAnsi="Arial" w:cs="Arial"/>
        </w:rPr>
        <w:t xml:space="preserve">que el juzgado accionado, con providencia del </w:t>
      </w:r>
      <w:r w:rsidR="00EB4B8E">
        <w:rPr>
          <w:rFonts w:ascii="Arial" w:hAnsi="Arial" w:cs="Arial"/>
        </w:rPr>
        <w:t>06-03-2017</w:t>
      </w:r>
      <w:r w:rsidR="00126644">
        <w:rPr>
          <w:rFonts w:ascii="Arial" w:hAnsi="Arial" w:cs="Arial"/>
        </w:rPr>
        <w:t xml:space="preserve">, </w:t>
      </w:r>
      <w:r>
        <w:rPr>
          <w:rFonts w:ascii="Arial" w:hAnsi="Arial" w:cs="Arial"/>
        </w:rPr>
        <w:t xml:space="preserve">no homologó </w:t>
      </w:r>
      <w:r w:rsidR="00305056">
        <w:rPr>
          <w:rFonts w:ascii="Arial" w:hAnsi="Arial" w:cs="Arial"/>
        </w:rPr>
        <w:t xml:space="preserve">la decisión administrativa, entre otras razones, </w:t>
      </w:r>
      <w:r w:rsidR="00EB4B8E">
        <w:rPr>
          <w:rFonts w:ascii="Arial" w:hAnsi="Arial" w:cs="Arial"/>
        </w:rPr>
        <w:t xml:space="preserve">por pérdida de competencia de la defensora, errores en la notificación de la fecha para audiencia, </w:t>
      </w:r>
      <w:r w:rsidR="00305056">
        <w:rPr>
          <w:rFonts w:ascii="Arial" w:hAnsi="Arial" w:cs="Arial"/>
        </w:rPr>
        <w:t xml:space="preserve">porque </w:t>
      </w:r>
      <w:r w:rsidR="00887300">
        <w:rPr>
          <w:rFonts w:ascii="Arial" w:hAnsi="Arial" w:cs="Arial"/>
        </w:rPr>
        <w:t xml:space="preserve">el decreto de </w:t>
      </w:r>
      <w:proofErr w:type="spellStart"/>
      <w:r w:rsidR="00887300">
        <w:rPr>
          <w:rFonts w:ascii="Arial" w:hAnsi="Arial" w:cs="Arial"/>
        </w:rPr>
        <w:t>adoptabilidad</w:t>
      </w:r>
      <w:proofErr w:type="spellEnd"/>
      <w:r w:rsidR="00887300">
        <w:rPr>
          <w:rFonts w:ascii="Arial" w:hAnsi="Arial" w:cs="Arial"/>
        </w:rPr>
        <w:t xml:space="preserve"> se hizo desde la situación económica familiar, </w:t>
      </w:r>
      <w:r w:rsidR="00305056">
        <w:rPr>
          <w:rFonts w:ascii="Arial" w:hAnsi="Arial" w:cs="Arial"/>
        </w:rPr>
        <w:t xml:space="preserve">y </w:t>
      </w:r>
      <w:r w:rsidR="00887300">
        <w:rPr>
          <w:rFonts w:ascii="Arial" w:hAnsi="Arial" w:cs="Arial"/>
        </w:rPr>
        <w:t xml:space="preserve">la familia está en condiciones de asumir el cuidado de los niños, argumentos que considera carentes de validez, </w:t>
      </w:r>
      <w:r w:rsidR="00305056">
        <w:rPr>
          <w:rFonts w:ascii="Arial" w:hAnsi="Arial" w:cs="Arial"/>
        </w:rPr>
        <w:t xml:space="preserve">debido a que </w:t>
      </w:r>
      <w:r w:rsidR="00887300">
        <w:rPr>
          <w:rFonts w:ascii="Arial" w:hAnsi="Arial" w:cs="Arial"/>
        </w:rPr>
        <w:t xml:space="preserve">no están sustentados desde el punto de vista jurídico y fáctico </w:t>
      </w:r>
      <w:r w:rsidR="00CC2232" w:rsidRPr="00AF753A">
        <w:rPr>
          <w:rFonts w:ascii="Arial" w:hAnsi="Arial" w:cs="Arial"/>
        </w:rPr>
        <w:t>(Folio</w:t>
      </w:r>
      <w:r w:rsidR="008B6D6F">
        <w:rPr>
          <w:rFonts w:ascii="Arial" w:hAnsi="Arial" w:cs="Arial"/>
        </w:rPr>
        <w:t xml:space="preserve">s </w:t>
      </w:r>
      <w:r w:rsidR="00887300">
        <w:rPr>
          <w:rFonts w:ascii="Arial" w:hAnsi="Arial" w:cs="Arial"/>
        </w:rPr>
        <w:t>1 a 10</w:t>
      </w:r>
      <w:r w:rsidR="007555FD">
        <w:rPr>
          <w:rFonts w:ascii="Arial" w:hAnsi="Arial" w:cs="Arial"/>
        </w:rPr>
        <w:t xml:space="preserve">, </w:t>
      </w:r>
      <w:r w:rsidR="008B6D6F">
        <w:rPr>
          <w:rFonts w:ascii="Arial" w:hAnsi="Arial" w:cs="Arial"/>
        </w:rPr>
        <w:t>de este cuaderno</w:t>
      </w:r>
      <w:r w:rsidR="00AB506D">
        <w:rPr>
          <w:rFonts w:ascii="Arial" w:hAnsi="Arial" w:cs="Arial"/>
        </w:rPr>
        <w:t>)</w:t>
      </w:r>
      <w:r w:rsidR="006A7A1D" w:rsidRPr="00AF753A">
        <w:rPr>
          <w:rFonts w:ascii="Arial" w:hAnsi="Arial" w:cs="Arial"/>
        </w:rPr>
        <w:t xml:space="preserve">. </w:t>
      </w:r>
    </w:p>
    <w:p w:rsidR="002B0607" w:rsidRDefault="002B0607" w:rsidP="0099045D">
      <w:pPr>
        <w:pStyle w:val="Corpsdetexte"/>
        <w:spacing w:line="360" w:lineRule="auto"/>
        <w:rPr>
          <w:rFonts w:ascii="Arial" w:hAnsi="Arial"/>
          <w:szCs w:val="24"/>
          <w:lang w:val="es-ES"/>
        </w:rPr>
      </w:pPr>
    </w:p>
    <w:p w:rsidR="00FF2437" w:rsidRPr="0023648D" w:rsidRDefault="00FF2437" w:rsidP="00FF2437">
      <w:pPr>
        <w:pStyle w:val="Corpsdetex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385686"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FF2437" w:rsidRDefault="007555FD"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887300">
        <w:rPr>
          <w:rFonts w:ascii="Arial" w:hAnsi="Arial" w:cs="Arial"/>
          <w:spacing w:val="-3"/>
          <w:lang w:val="es-ES_tradnl"/>
        </w:rPr>
        <w:t xml:space="preserve">al debido proceso, a tener una familia que garantice a los agenciados el ejercicio de sus derechos, a la protección contra el abandono y a la integridad personal </w:t>
      </w:r>
      <w:r w:rsidR="008B6D6F" w:rsidRPr="00AF753A">
        <w:rPr>
          <w:rFonts w:ascii="Arial" w:hAnsi="Arial" w:cs="Arial"/>
        </w:rPr>
        <w:t>(Folio</w:t>
      </w:r>
      <w:r w:rsidR="008B6D6F">
        <w:rPr>
          <w:rFonts w:ascii="Arial" w:hAnsi="Arial" w:cs="Arial"/>
        </w:rPr>
        <w:t xml:space="preserve">s </w:t>
      </w:r>
      <w:r w:rsidR="00887300">
        <w:rPr>
          <w:rFonts w:ascii="Arial" w:hAnsi="Arial" w:cs="Arial"/>
        </w:rPr>
        <w:t>7</w:t>
      </w:r>
      <w:r>
        <w:rPr>
          <w:rFonts w:ascii="Arial" w:hAnsi="Arial" w:cs="Arial"/>
        </w:rPr>
        <w:t xml:space="preserve">, </w:t>
      </w:r>
      <w:r w:rsidR="008B6D6F">
        <w:rPr>
          <w:rFonts w:ascii="Arial" w:hAnsi="Arial" w:cs="Arial"/>
        </w:rPr>
        <w:t>de este cuaderno)</w:t>
      </w:r>
      <w:r w:rsidR="008B6D6F" w:rsidRPr="00AF753A">
        <w:rPr>
          <w:rFonts w:ascii="Arial" w:hAnsi="Arial" w:cs="Arial"/>
        </w:rPr>
        <w:t>.</w:t>
      </w:r>
    </w:p>
    <w:p w:rsidR="007555FD" w:rsidRPr="007555FD" w:rsidRDefault="007555FD"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Corpsdetexte"/>
        <w:spacing w:line="360" w:lineRule="auto"/>
        <w:ind w:left="360"/>
        <w:rPr>
          <w:rFonts w:ascii="Arial" w:hAnsi="Arial"/>
          <w:szCs w:val="24"/>
        </w:rPr>
      </w:pPr>
    </w:p>
    <w:p w:rsidR="008154F0" w:rsidRDefault="008B6D6F" w:rsidP="000145EA">
      <w:pPr>
        <w:pStyle w:val="Sansinterligne"/>
        <w:spacing w:line="360" w:lineRule="auto"/>
        <w:jc w:val="both"/>
        <w:rPr>
          <w:rFonts w:ascii="Arial" w:hAnsi="Arial" w:cs="Arial"/>
          <w:szCs w:val="24"/>
        </w:rPr>
      </w:pPr>
      <w:r>
        <w:rPr>
          <w:rFonts w:ascii="Arial" w:hAnsi="Arial" w:cs="Arial"/>
          <w:szCs w:val="24"/>
        </w:rPr>
        <w:t xml:space="preserve">Pretende el accionante que </w:t>
      </w:r>
      <w:r w:rsidRPr="00D55E5A">
        <w:rPr>
          <w:rFonts w:ascii="Arial" w:hAnsi="Arial" w:cs="Arial"/>
          <w:szCs w:val="24"/>
        </w:rPr>
        <w:t xml:space="preserve">(i) </w:t>
      </w:r>
      <w:r>
        <w:rPr>
          <w:rFonts w:ascii="Arial" w:hAnsi="Arial" w:cs="Arial"/>
          <w:szCs w:val="24"/>
        </w:rPr>
        <w:t xml:space="preserve">Se </w:t>
      </w:r>
      <w:r w:rsidR="00887300">
        <w:rPr>
          <w:rFonts w:ascii="Arial" w:hAnsi="Arial" w:cs="Arial"/>
          <w:szCs w:val="24"/>
        </w:rPr>
        <w:t>deje sin efectos la sentencia dictada por el accionado el 06-03-2017</w:t>
      </w:r>
      <w:r>
        <w:rPr>
          <w:rFonts w:ascii="Arial" w:hAnsi="Arial" w:cs="Arial"/>
          <w:szCs w:val="24"/>
        </w:rPr>
        <w:t>;</w:t>
      </w:r>
      <w:r w:rsidRPr="004B019A">
        <w:rPr>
          <w:rFonts w:ascii="Arial" w:hAnsi="Arial" w:cs="Arial"/>
          <w:color w:val="000000"/>
          <w:szCs w:val="24"/>
        </w:rPr>
        <w:t xml:space="preserve"> (</w:t>
      </w:r>
      <w:r>
        <w:rPr>
          <w:rFonts w:ascii="Arial" w:hAnsi="Arial" w:cs="Arial"/>
          <w:color w:val="000000"/>
          <w:szCs w:val="24"/>
        </w:rPr>
        <w:t>i</w:t>
      </w:r>
      <w:r w:rsidRPr="004B019A">
        <w:rPr>
          <w:rFonts w:ascii="Arial" w:hAnsi="Arial" w:cs="Arial"/>
          <w:color w:val="000000"/>
          <w:szCs w:val="24"/>
        </w:rPr>
        <w:t xml:space="preserve">i) </w:t>
      </w:r>
      <w:r>
        <w:rPr>
          <w:rFonts w:ascii="Arial" w:hAnsi="Arial" w:cs="Arial"/>
          <w:szCs w:val="24"/>
        </w:rPr>
        <w:t xml:space="preserve">Se </w:t>
      </w:r>
      <w:r w:rsidR="00887300">
        <w:rPr>
          <w:rFonts w:ascii="Arial" w:hAnsi="Arial" w:cs="Arial"/>
          <w:szCs w:val="24"/>
        </w:rPr>
        <w:t xml:space="preserve">disponga que el control judicial de homologación se realice por un Juzgado de Familia diferente, o en su defecto, (iii) Se ordene al accionado modificar la sentencia y expida una nueva teniendo en cuenta el material probatorio y con la garantía de los derechos fundamentales de los menores </w:t>
      </w:r>
      <w:r w:rsidRPr="00AF753A">
        <w:rPr>
          <w:rFonts w:ascii="Arial" w:hAnsi="Arial" w:cs="Arial"/>
        </w:rPr>
        <w:t>(Folio</w:t>
      </w:r>
      <w:r>
        <w:rPr>
          <w:rFonts w:ascii="Arial" w:hAnsi="Arial" w:cs="Arial"/>
        </w:rPr>
        <w:t xml:space="preserve"> </w:t>
      </w:r>
      <w:r w:rsidR="00887300">
        <w:rPr>
          <w:rFonts w:ascii="Arial" w:hAnsi="Arial" w:cs="Arial"/>
        </w:rPr>
        <w:t>9</w:t>
      </w:r>
      <w:r w:rsidR="007555FD">
        <w:rPr>
          <w:rFonts w:ascii="Arial" w:hAnsi="Arial" w:cs="Arial"/>
        </w:rPr>
        <w:t xml:space="preserve">, </w:t>
      </w:r>
      <w:r>
        <w:rPr>
          <w:rFonts w:ascii="Arial" w:hAnsi="Arial" w:cs="Arial"/>
        </w:rPr>
        <w:t>de este cuaderno)</w:t>
      </w:r>
      <w:r w:rsidRPr="00AF753A">
        <w:rPr>
          <w:rFonts w:ascii="Arial" w:hAnsi="Arial" w:cs="Arial"/>
        </w:rPr>
        <w:t>.</w:t>
      </w:r>
    </w:p>
    <w:p w:rsidR="00CE71D8" w:rsidRPr="00B5411C"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8B6D6F" w:rsidRDefault="008B6D6F" w:rsidP="008B6D6F">
      <w:pPr>
        <w:spacing w:line="360" w:lineRule="auto"/>
        <w:jc w:val="both"/>
        <w:rPr>
          <w:rFonts w:ascii="Arial" w:hAnsi="Arial"/>
        </w:rPr>
      </w:pPr>
      <w:r w:rsidRPr="00B74361">
        <w:rPr>
          <w:rFonts w:ascii="Arial" w:hAnsi="Arial"/>
        </w:rPr>
        <w:t xml:space="preserve">En reparto ordinario del </w:t>
      </w:r>
      <w:r w:rsidR="00887300">
        <w:rPr>
          <w:rFonts w:ascii="Arial" w:hAnsi="Arial"/>
        </w:rPr>
        <w:t>24</w:t>
      </w:r>
      <w:r>
        <w:rPr>
          <w:rFonts w:ascii="Arial" w:hAnsi="Arial"/>
        </w:rPr>
        <w:t>-</w:t>
      </w:r>
      <w:r w:rsidR="007555FD">
        <w:rPr>
          <w:rFonts w:ascii="Arial" w:hAnsi="Arial"/>
        </w:rPr>
        <w:t>04</w:t>
      </w:r>
      <w:r>
        <w:rPr>
          <w:rFonts w:ascii="Arial" w:hAnsi="Arial"/>
        </w:rPr>
        <w:t>-</w:t>
      </w:r>
      <w:r w:rsidR="00887300">
        <w:rPr>
          <w:rFonts w:ascii="Arial" w:hAnsi="Arial"/>
        </w:rPr>
        <w:t xml:space="preserve">2017 </w:t>
      </w:r>
      <w:r w:rsidR="007555FD">
        <w:rPr>
          <w:rFonts w:ascii="Arial" w:hAnsi="Arial"/>
        </w:rPr>
        <w:t xml:space="preserve">correspondió </w:t>
      </w:r>
      <w:r w:rsidRPr="00B74361">
        <w:rPr>
          <w:rFonts w:ascii="Arial" w:hAnsi="Arial"/>
        </w:rPr>
        <w:t>a este Despacho</w:t>
      </w:r>
      <w:r>
        <w:rPr>
          <w:rFonts w:ascii="Arial" w:hAnsi="Arial"/>
        </w:rPr>
        <w:t xml:space="preserve"> </w:t>
      </w:r>
      <w:r w:rsidR="007555FD">
        <w:rPr>
          <w:rFonts w:ascii="Arial" w:hAnsi="Arial"/>
        </w:rPr>
        <w:t xml:space="preserve">y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sidR="007555FD">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Pr>
          <w:rFonts w:ascii="Arial" w:hAnsi="Arial"/>
        </w:rPr>
        <w:t xml:space="preserve">(Folios </w:t>
      </w:r>
      <w:r w:rsidR="002A01D9">
        <w:rPr>
          <w:rFonts w:ascii="Arial" w:hAnsi="Arial"/>
        </w:rPr>
        <w:t>48 a 49</w:t>
      </w:r>
      <w:r>
        <w:rPr>
          <w:rFonts w:ascii="Arial" w:hAnsi="Arial"/>
        </w:rPr>
        <w:t>, ibídem)</w:t>
      </w:r>
      <w:r w:rsidRPr="008E5A62">
        <w:rPr>
          <w:rFonts w:ascii="Arial" w:hAnsi="Arial"/>
        </w:rPr>
        <w:t xml:space="preserve">. Fueron debidamente </w:t>
      </w:r>
      <w:r>
        <w:rPr>
          <w:rFonts w:ascii="Arial" w:hAnsi="Arial"/>
        </w:rPr>
        <w:t xml:space="preserve">enterados </w:t>
      </w:r>
      <w:r w:rsidRPr="008E5A62">
        <w:rPr>
          <w:rFonts w:ascii="Arial" w:hAnsi="Arial"/>
        </w:rPr>
        <w:t>l</w:t>
      </w:r>
      <w:r w:rsidR="007555FD">
        <w:rPr>
          <w:rFonts w:ascii="Arial" w:hAnsi="Arial"/>
        </w:rPr>
        <w:t>os extremos de la acción (Folio</w:t>
      </w:r>
      <w:r w:rsidR="002F6B8E">
        <w:rPr>
          <w:rFonts w:ascii="Arial" w:hAnsi="Arial"/>
        </w:rPr>
        <w:t xml:space="preserve">s </w:t>
      </w:r>
      <w:r w:rsidR="002A01D9">
        <w:rPr>
          <w:rFonts w:ascii="Arial" w:hAnsi="Arial"/>
        </w:rPr>
        <w:t>50 a 55, 16 a 129</w:t>
      </w:r>
      <w:r>
        <w:rPr>
          <w:rFonts w:ascii="Arial" w:hAnsi="Arial"/>
        </w:rPr>
        <w:t>, ibídem</w:t>
      </w:r>
      <w:r w:rsidRPr="008E5A62">
        <w:rPr>
          <w:rFonts w:ascii="Arial" w:hAnsi="Arial"/>
        </w:rPr>
        <w:t xml:space="preserve">). </w:t>
      </w:r>
      <w:r w:rsidR="002A01D9">
        <w:rPr>
          <w:rFonts w:ascii="Arial" w:hAnsi="Arial"/>
        </w:rPr>
        <w:t xml:space="preserve">El 30-03-2017 se realizó la inspección judicial (Folio 64, ibídem). </w:t>
      </w:r>
      <w:r w:rsidRPr="003B7741">
        <w:rPr>
          <w:rFonts w:ascii="Arial" w:hAnsi="Arial"/>
        </w:rPr>
        <w:t>Contestaron</w:t>
      </w:r>
      <w:r>
        <w:rPr>
          <w:rFonts w:ascii="Arial" w:hAnsi="Arial"/>
        </w:rPr>
        <w:t xml:space="preserve"> </w:t>
      </w:r>
      <w:r w:rsidR="007555FD">
        <w:rPr>
          <w:rFonts w:ascii="Arial" w:hAnsi="Arial"/>
        </w:rPr>
        <w:t xml:space="preserve">el accionado </w:t>
      </w:r>
      <w:r w:rsidR="007555FD">
        <w:rPr>
          <w:rFonts w:ascii="Arial" w:hAnsi="Arial" w:cs="Arial"/>
        </w:rPr>
        <w:t xml:space="preserve">(Folio </w:t>
      </w:r>
      <w:r w:rsidR="002A01D9">
        <w:rPr>
          <w:rFonts w:ascii="Arial" w:hAnsi="Arial" w:cs="Arial"/>
        </w:rPr>
        <w:t>56</w:t>
      </w:r>
      <w:r w:rsidR="007555FD">
        <w:rPr>
          <w:rFonts w:ascii="Arial" w:hAnsi="Arial" w:cs="Arial"/>
        </w:rPr>
        <w:t xml:space="preserve">, </w:t>
      </w:r>
      <w:r w:rsidR="002A01D9">
        <w:rPr>
          <w:rFonts w:ascii="Arial" w:hAnsi="Arial" w:cs="Arial"/>
        </w:rPr>
        <w:t>ib.</w:t>
      </w:r>
      <w:r w:rsidR="002F6B8E">
        <w:rPr>
          <w:rFonts w:ascii="Arial" w:hAnsi="Arial" w:cs="Arial"/>
        </w:rPr>
        <w:t xml:space="preserve">), </w:t>
      </w:r>
      <w:r w:rsidR="002A01D9">
        <w:rPr>
          <w:rFonts w:ascii="Arial" w:hAnsi="Arial" w:cs="Arial"/>
        </w:rPr>
        <w:t xml:space="preserve">los señores </w:t>
      </w:r>
      <w:proofErr w:type="spellStart"/>
      <w:r w:rsidR="002A01D9">
        <w:rPr>
          <w:rFonts w:ascii="Arial" w:hAnsi="Arial" w:cs="Arial"/>
        </w:rPr>
        <w:t>JSO</w:t>
      </w:r>
      <w:proofErr w:type="spellEnd"/>
      <w:r w:rsidR="002A01D9">
        <w:rPr>
          <w:rFonts w:ascii="Arial" w:hAnsi="Arial" w:cs="Arial"/>
        </w:rPr>
        <w:t xml:space="preserve">, </w:t>
      </w:r>
      <w:proofErr w:type="spellStart"/>
      <w:r w:rsidR="002A01D9">
        <w:rPr>
          <w:rFonts w:ascii="Arial" w:hAnsi="Arial" w:cs="Arial"/>
        </w:rPr>
        <w:t>JAMR</w:t>
      </w:r>
      <w:proofErr w:type="spellEnd"/>
      <w:r w:rsidR="002A01D9">
        <w:rPr>
          <w:rFonts w:ascii="Arial" w:hAnsi="Arial" w:cs="Arial"/>
        </w:rPr>
        <w:t xml:space="preserve">, </w:t>
      </w:r>
      <w:proofErr w:type="spellStart"/>
      <w:r w:rsidR="002A01D9">
        <w:rPr>
          <w:rFonts w:ascii="Arial" w:hAnsi="Arial" w:cs="Arial"/>
        </w:rPr>
        <w:t>FOA</w:t>
      </w:r>
      <w:proofErr w:type="spellEnd"/>
      <w:r w:rsidR="002A01D9">
        <w:rPr>
          <w:rFonts w:ascii="Arial" w:hAnsi="Arial" w:cs="Arial"/>
        </w:rPr>
        <w:t xml:space="preserve"> y </w:t>
      </w:r>
      <w:proofErr w:type="spellStart"/>
      <w:r w:rsidR="002A01D9">
        <w:rPr>
          <w:rFonts w:ascii="Arial" w:hAnsi="Arial" w:cs="Arial"/>
        </w:rPr>
        <w:t>NSO</w:t>
      </w:r>
      <w:proofErr w:type="spellEnd"/>
      <w:r w:rsidR="002A01D9">
        <w:rPr>
          <w:rFonts w:ascii="Arial" w:hAnsi="Arial" w:cs="Arial"/>
        </w:rPr>
        <w:t xml:space="preserve"> (Folios 58 a 62, ib.) y </w:t>
      </w:r>
      <w:r w:rsidR="003419B1">
        <w:rPr>
          <w:rFonts w:ascii="Arial" w:hAnsi="Arial" w:cs="Arial"/>
        </w:rPr>
        <w:t xml:space="preserve">el </w:t>
      </w:r>
      <w:r w:rsidR="002A01D9">
        <w:rPr>
          <w:rFonts w:ascii="Arial" w:hAnsi="Arial" w:cs="Arial"/>
        </w:rPr>
        <w:t xml:space="preserve">Procurador 21 Judicial II de Pereira </w:t>
      </w:r>
      <w:r w:rsidR="003419B1">
        <w:rPr>
          <w:rFonts w:ascii="Arial" w:hAnsi="Arial" w:cs="Arial"/>
        </w:rPr>
        <w:t xml:space="preserve">(Folios </w:t>
      </w:r>
      <w:r w:rsidR="002A01D9">
        <w:rPr>
          <w:rFonts w:ascii="Arial" w:hAnsi="Arial" w:cs="Arial"/>
        </w:rPr>
        <w:t>1</w:t>
      </w:r>
      <w:r w:rsidR="0063257E">
        <w:rPr>
          <w:rFonts w:ascii="Arial" w:hAnsi="Arial" w:cs="Arial"/>
        </w:rPr>
        <w:t>27</w:t>
      </w:r>
      <w:r w:rsidR="002A01D9">
        <w:rPr>
          <w:rFonts w:ascii="Arial" w:hAnsi="Arial" w:cs="Arial"/>
        </w:rPr>
        <w:t xml:space="preserve"> a </w:t>
      </w:r>
      <w:r w:rsidR="0063257E">
        <w:rPr>
          <w:rFonts w:ascii="Arial" w:hAnsi="Arial" w:cs="Arial"/>
        </w:rPr>
        <w:t>135</w:t>
      </w:r>
      <w:r w:rsidR="003419B1">
        <w:rPr>
          <w:rFonts w:ascii="Arial" w:hAnsi="Arial" w:cs="Arial"/>
        </w:rPr>
        <w:t>, ib.)</w:t>
      </w:r>
      <w:r w:rsidRPr="003B6DD2">
        <w:rPr>
          <w:rFonts w:ascii="Arial" w:hAnsi="Arial"/>
        </w:rPr>
        <w:t>.</w:t>
      </w: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Default="00725242" w:rsidP="00725242">
      <w:pPr>
        <w:spacing w:line="360" w:lineRule="auto"/>
        <w:jc w:val="both"/>
        <w:rPr>
          <w:rFonts w:ascii="Arial" w:hAnsi="Arial"/>
          <w:sz w:val="22"/>
        </w:rPr>
      </w:pPr>
    </w:p>
    <w:p w:rsidR="003419B1" w:rsidRDefault="003419B1" w:rsidP="002A01D9">
      <w:pPr>
        <w:spacing w:line="360" w:lineRule="auto"/>
        <w:jc w:val="both"/>
        <w:rPr>
          <w:rFonts w:ascii="Arial" w:hAnsi="Arial"/>
        </w:rPr>
      </w:pPr>
      <w:r w:rsidRPr="002A01D9">
        <w:rPr>
          <w:rFonts w:ascii="Arial" w:hAnsi="Arial"/>
        </w:rPr>
        <w:t xml:space="preserve">El Juzgado </w:t>
      </w:r>
      <w:r w:rsidR="002A01D9">
        <w:rPr>
          <w:rFonts w:ascii="Arial" w:hAnsi="Arial"/>
        </w:rPr>
        <w:t xml:space="preserve">accionado refirió que en la resolución del trámite administrativo se excedió </w:t>
      </w:r>
      <w:r w:rsidR="002A01D9">
        <w:rPr>
          <w:rFonts w:ascii="Arial" w:hAnsi="Arial"/>
        </w:rPr>
        <w:lastRenderedPageBreak/>
        <w:t xml:space="preserve">el término de cuatro meses para fallar el asunto (Artículo 100, Ley 1098 de 2006), sin que se realizara prórroga alguna. Agregó que los elementos de prueba contra la madre de los menores fueron recaudados con posterioridad al trámite de homologación, y no los pudo valorar, </w:t>
      </w:r>
      <w:r w:rsidR="003E23D8">
        <w:rPr>
          <w:rFonts w:ascii="Arial" w:hAnsi="Arial"/>
        </w:rPr>
        <w:t xml:space="preserve">además </w:t>
      </w:r>
      <w:r w:rsidR="002A01D9">
        <w:rPr>
          <w:rFonts w:ascii="Arial" w:hAnsi="Arial"/>
        </w:rPr>
        <w:t xml:space="preserve">de que fueron tenidos en cuenta para el proceso de restablecimiento de derechos de </w:t>
      </w:r>
      <w:r w:rsidR="003E23D8">
        <w:rPr>
          <w:rFonts w:ascii="Arial" w:hAnsi="Arial"/>
        </w:rPr>
        <w:t xml:space="preserve">sus </w:t>
      </w:r>
      <w:r w:rsidR="002A01D9">
        <w:rPr>
          <w:rFonts w:ascii="Arial" w:hAnsi="Arial"/>
        </w:rPr>
        <w:t xml:space="preserve">nuevos hijos gemelos y no para declarar la </w:t>
      </w:r>
      <w:proofErr w:type="spellStart"/>
      <w:r w:rsidR="002A01D9">
        <w:rPr>
          <w:rFonts w:ascii="Arial" w:hAnsi="Arial"/>
        </w:rPr>
        <w:t>adoptabilidad</w:t>
      </w:r>
      <w:proofErr w:type="spellEnd"/>
      <w:r w:rsidR="002A01D9">
        <w:rPr>
          <w:rFonts w:ascii="Arial" w:hAnsi="Arial"/>
        </w:rPr>
        <w:t xml:space="preserve"> de los </w:t>
      </w:r>
      <w:r w:rsidR="00470983">
        <w:rPr>
          <w:rFonts w:ascii="Arial" w:hAnsi="Arial"/>
        </w:rPr>
        <w:t>menores</w:t>
      </w:r>
      <w:r w:rsidR="002A01D9">
        <w:rPr>
          <w:rFonts w:ascii="Arial" w:hAnsi="Arial"/>
        </w:rPr>
        <w:t xml:space="preserve"> </w:t>
      </w:r>
      <w:r w:rsidR="003E23D8">
        <w:rPr>
          <w:rFonts w:ascii="Arial" w:hAnsi="Arial"/>
        </w:rPr>
        <w:t xml:space="preserve">de los que aquí </w:t>
      </w:r>
      <w:r w:rsidR="002A01D9">
        <w:rPr>
          <w:rFonts w:ascii="Arial" w:hAnsi="Arial"/>
        </w:rPr>
        <w:t>agencia</w:t>
      </w:r>
      <w:r w:rsidR="003E23D8">
        <w:rPr>
          <w:rFonts w:ascii="Arial" w:hAnsi="Arial"/>
        </w:rPr>
        <w:t xml:space="preserve"> sus derechos. Pidió denegar el amparo (Folios 56 y 57, ib.).</w:t>
      </w:r>
    </w:p>
    <w:p w:rsidR="00305056" w:rsidRDefault="00305056" w:rsidP="002A01D9">
      <w:pPr>
        <w:spacing w:line="360" w:lineRule="auto"/>
        <w:jc w:val="both"/>
        <w:rPr>
          <w:rFonts w:ascii="Arial" w:hAnsi="Arial"/>
        </w:rPr>
      </w:pPr>
    </w:p>
    <w:p w:rsidR="00290575" w:rsidRDefault="003E23D8" w:rsidP="002A01D9">
      <w:pPr>
        <w:spacing w:line="360" w:lineRule="auto"/>
        <w:jc w:val="both"/>
        <w:rPr>
          <w:rFonts w:ascii="Arial" w:hAnsi="Arial"/>
        </w:rPr>
      </w:pPr>
      <w:r>
        <w:rPr>
          <w:rFonts w:ascii="Arial" w:hAnsi="Arial"/>
        </w:rPr>
        <w:t xml:space="preserve">Los señores </w:t>
      </w:r>
      <w:proofErr w:type="spellStart"/>
      <w:r>
        <w:rPr>
          <w:rFonts w:ascii="Arial" w:hAnsi="Arial"/>
        </w:rPr>
        <w:t>JSO</w:t>
      </w:r>
      <w:proofErr w:type="spellEnd"/>
      <w:r>
        <w:rPr>
          <w:rFonts w:ascii="Arial" w:hAnsi="Arial"/>
        </w:rPr>
        <w:t xml:space="preserve">, </w:t>
      </w:r>
      <w:proofErr w:type="spellStart"/>
      <w:r>
        <w:rPr>
          <w:rFonts w:ascii="Arial" w:hAnsi="Arial"/>
        </w:rPr>
        <w:t>JAMR</w:t>
      </w:r>
      <w:proofErr w:type="spellEnd"/>
      <w:r>
        <w:rPr>
          <w:rFonts w:ascii="Arial" w:hAnsi="Arial"/>
        </w:rPr>
        <w:t xml:space="preserve">, </w:t>
      </w:r>
      <w:proofErr w:type="spellStart"/>
      <w:r>
        <w:rPr>
          <w:rFonts w:ascii="Arial" w:hAnsi="Arial"/>
        </w:rPr>
        <w:t>FOA</w:t>
      </w:r>
      <w:proofErr w:type="spellEnd"/>
      <w:r>
        <w:rPr>
          <w:rFonts w:ascii="Arial" w:hAnsi="Arial"/>
        </w:rPr>
        <w:t xml:space="preserve"> y NASO manifestaron que los niños no están en estado de vulnerabilidad, que les proveen el sustento integral, y que están dispuestos a acceder al acompañamiento psicosocial. </w:t>
      </w:r>
      <w:r w:rsidR="00290575">
        <w:rPr>
          <w:rFonts w:ascii="Arial" w:hAnsi="Arial"/>
        </w:rPr>
        <w:t>También a</w:t>
      </w:r>
      <w:r>
        <w:rPr>
          <w:rFonts w:ascii="Arial" w:hAnsi="Arial"/>
        </w:rPr>
        <w:t xml:space="preserve">legan </w:t>
      </w:r>
      <w:r w:rsidR="00290575">
        <w:rPr>
          <w:rFonts w:ascii="Arial" w:hAnsi="Arial"/>
        </w:rPr>
        <w:t xml:space="preserve">supuestas </w:t>
      </w:r>
      <w:r>
        <w:rPr>
          <w:rFonts w:ascii="Arial" w:hAnsi="Arial"/>
        </w:rPr>
        <w:t>irregularidades en los trámites administrativos</w:t>
      </w:r>
      <w:r w:rsidR="00290575">
        <w:rPr>
          <w:rFonts w:ascii="Arial" w:hAnsi="Arial"/>
        </w:rPr>
        <w:t>. Solicitaron declarar improcedente la tutela y ordenar la entrega de los menores (Folios 58 a 62, ib.).</w:t>
      </w:r>
    </w:p>
    <w:p w:rsidR="003E23D8" w:rsidRDefault="00290575" w:rsidP="002A01D9">
      <w:pPr>
        <w:spacing w:line="360" w:lineRule="auto"/>
        <w:jc w:val="both"/>
        <w:rPr>
          <w:rFonts w:ascii="Arial" w:hAnsi="Arial"/>
        </w:rPr>
      </w:pPr>
      <w:r>
        <w:rPr>
          <w:rFonts w:ascii="Arial" w:hAnsi="Arial"/>
        </w:rPr>
        <w:t xml:space="preserve"> </w:t>
      </w:r>
      <w:r w:rsidR="003E23D8">
        <w:rPr>
          <w:rFonts w:ascii="Arial" w:hAnsi="Arial"/>
        </w:rPr>
        <w:t xml:space="preserve"> </w:t>
      </w:r>
    </w:p>
    <w:p w:rsidR="00E20153" w:rsidRDefault="00B24C7C" w:rsidP="00E20153">
      <w:pPr>
        <w:spacing w:line="360" w:lineRule="auto"/>
        <w:jc w:val="both"/>
        <w:rPr>
          <w:rFonts w:ascii="Arial" w:hAnsi="Arial"/>
        </w:rPr>
      </w:pPr>
      <w:r>
        <w:rPr>
          <w:rFonts w:ascii="Arial" w:hAnsi="Arial"/>
        </w:rPr>
        <w:t xml:space="preserve">El Procurador Judicial 21 local, consideró que el amparo es procedente, pero solicitó </w:t>
      </w:r>
      <w:r w:rsidR="007B425D">
        <w:rPr>
          <w:rFonts w:ascii="Arial" w:hAnsi="Arial"/>
        </w:rPr>
        <w:t xml:space="preserve">su </w:t>
      </w:r>
      <w:r>
        <w:rPr>
          <w:rFonts w:ascii="Arial" w:hAnsi="Arial"/>
        </w:rPr>
        <w:t>concesión parcial. Para ello expuso que el juez accionado</w:t>
      </w:r>
      <w:r w:rsidR="007B425D">
        <w:rPr>
          <w:rFonts w:ascii="Arial" w:hAnsi="Arial"/>
        </w:rPr>
        <w:t>,</w:t>
      </w:r>
      <w:r>
        <w:rPr>
          <w:rFonts w:ascii="Arial" w:hAnsi="Arial"/>
        </w:rPr>
        <w:t xml:space="preserve"> pese a que advirtió la pérdida de competencia por parte de la Defensora de Familia para decidir los trámites administrativos, se abstuvo de declararla y asumir su conocimiento para resolver de fondo los asuntos, según lo establece el artículo 100 </w:t>
      </w:r>
      <w:r w:rsidR="00305056">
        <w:rPr>
          <w:rFonts w:ascii="Arial" w:hAnsi="Arial"/>
        </w:rPr>
        <w:t xml:space="preserve">de la Ley 1098; Asimismo, pidió, </w:t>
      </w:r>
      <w:r>
        <w:rPr>
          <w:rFonts w:ascii="Arial" w:hAnsi="Arial"/>
        </w:rPr>
        <w:t xml:space="preserve">en caso de </w:t>
      </w:r>
      <w:r w:rsidR="007B425D">
        <w:rPr>
          <w:rFonts w:ascii="Arial" w:hAnsi="Arial"/>
        </w:rPr>
        <w:t xml:space="preserve">que </w:t>
      </w:r>
      <w:r>
        <w:rPr>
          <w:rFonts w:ascii="Arial" w:hAnsi="Arial"/>
        </w:rPr>
        <w:t xml:space="preserve">no </w:t>
      </w:r>
      <w:r w:rsidR="007B425D">
        <w:rPr>
          <w:rFonts w:ascii="Arial" w:hAnsi="Arial"/>
        </w:rPr>
        <w:t xml:space="preserve">se acojan esos </w:t>
      </w:r>
      <w:r>
        <w:rPr>
          <w:rFonts w:ascii="Arial" w:hAnsi="Arial"/>
        </w:rPr>
        <w:t xml:space="preserve">argumentos, </w:t>
      </w:r>
      <w:r w:rsidR="00305056">
        <w:rPr>
          <w:rFonts w:ascii="Arial" w:hAnsi="Arial"/>
        </w:rPr>
        <w:t xml:space="preserve">negar </w:t>
      </w:r>
      <w:r>
        <w:rPr>
          <w:rFonts w:ascii="Arial" w:hAnsi="Arial"/>
        </w:rPr>
        <w:t xml:space="preserve">el amparo constitucional, porque la Defensoría incurrió en varios errores en los trámites administrativos que impiden su homologación </w:t>
      </w:r>
      <w:r w:rsidR="00E20153">
        <w:rPr>
          <w:rFonts w:ascii="Arial" w:hAnsi="Arial" w:cs="Arial"/>
          <w:spacing w:val="3"/>
        </w:rPr>
        <w:t xml:space="preserve">(Folio </w:t>
      </w:r>
      <w:r w:rsidR="0063257E">
        <w:rPr>
          <w:rFonts w:ascii="Arial" w:hAnsi="Arial" w:cs="Arial"/>
          <w:spacing w:val="3"/>
        </w:rPr>
        <w:t>12</w:t>
      </w:r>
      <w:r>
        <w:rPr>
          <w:rFonts w:ascii="Arial" w:hAnsi="Arial" w:cs="Arial"/>
          <w:spacing w:val="3"/>
        </w:rPr>
        <w:t>7 a 1</w:t>
      </w:r>
      <w:r w:rsidR="0063257E">
        <w:rPr>
          <w:rFonts w:ascii="Arial" w:hAnsi="Arial" w:cs="Arial"/>
          <w:spacing w:val="3"/>
        </w:rPr>
        <w:t>3</w:t>
      </w:r>
      <w:r>
        <w:rPr>
          <w:rFonts w:ascii="Arial" w:hAnsi="Arial" w:cs="Arial"/>
          <w:spacing w:val="3"/>
        </w:rPr>
        <w:t>5</w:t>
      </w:r>
      <w:r w:rsidR="00E20153">
        <w:rPr>
          <w:rFonts w:ascii="Arial" w:hAnsi="Arial" w:cs="Arial"/>
          <w:spacing w:val="3"/>
        </w:rPr>
        <w:t>, ib.)</w:t>
      </w:r>
      <w:r w:rsidR="00E20153">
        <w:rPr>
          <w:rFonts w:ascii="Arial" w:hAnsi="Arial"/>
        </w:rPr>
        <w:t xml:space="preserve">. </w:t>
      </w:r>
    </w:p>
    <w:p w:rsidR="002F6B8E" w:rsidRDefault="002F6B8E" w:rsidP="00E20153">
      <w:pPr>
        <w:spacing w:line="360" w:lineRule="auto"/>
        <w:jc w:val="both"/>
        <w:rPr>
          <w:rFonts w:ascii="Arial" w:hAnsi="Arial"/>
          <w:sz w:val="22"/>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470983" w:rsidRDefault="00470983" w:rsidP="00470983">
      <w:pPr>
        <w:pStyle w:val="Corpsdetexte"/>
        <w:spacing w:line="360" w:lineRule="auto"/>
        <w:rPr>
          <w:rFonts w:ascii="Arial" w:hAnsi="Arial"/>
          <w:szCs w:val="24"/>
        </w:rPr>
      </w:pPr>
    </w:p>
    <w:p w:rsidR="00CF429F" w:rsidRPr="007B425D" w:rsidRDefault="00CF429F" w:rsidP="007B425D">
      <w:pPr>
        <w:pStyle w:val="Corpsdetexte"/>
        <w:numPr>
          <w:ilvl w:val="1"/>
          <w:numId w:val="18"/>
        </w:numPr>
        <w:tabs>
          <w:tab w:val="clear" w:pos="0"/>
        </w:tabs>
        <w:spacing w:line="360" w:lineRule="auto"/>
        <w:ind w:left="709"/>
        <w:rPr>
          <w:rFonts w:ascii="Arial" w:hAnsi="Arial" w:cs="Arial"/>
          <w:szCs w:val="24"/>
        </w:rPr>
      </w:pPr>
      <w:r w:rsidRPr="007B425D">
        <w:rPr>
          <w:rFonts w:ascii="Arial" w:hAnsi="Arial"/>
          <w:smallCaps/>
          <w:szCs w:val="24"/>
        </w:rPr>
        <w:t>La competencia</w:t>
      </w:r>
      <w:r w:rsidR="007B425D" w:rsidRPr="007B425D">
        <w:rPr>
          <w:rFonts w:ascii="Arial" w:hAnsi="Arial"/>
          <w:smallCaps/>
          <w:szCs w:val="24"/>
        </w:rPr>
        <w:t>.</w:t>
      </w:r>
      <w:r w:rsidR="007B425D" w:rsidRPr="007B425D">
        <w:rPr>
          <w:rFonts w:ascii="Arial" w:hAnsi="Arial"/>
          <w:szCs w:val="24"/>
        </w:rPr>
        <w:t xml:space="preserve"> </w:t>
      </w:r>
      <w:r w:rsidR="005427D5" w:rsidRPr="007B425D">
        <w:rPr>
          <w:rFonts w:ascii="Arial" w:hAnsi="Arial" w:cs="Arial"/>
          <w:szCs w:val="24"/>
        </w:rPr>
        <w:t xml:space="preserve">Este Tribunal es competente para conocer la acción en razón a que esta Corporación es el superior jerárquico del accionado, el Juzgado </w:t>
      </w:r>
      <w:r w:rsidR="0069058D" w:rsidRPr="007B425D">
        <w:rPr>
          <w:rFonts w:ascii="Arial" w:hAnsi="Arial" w:cs="Arial"/>
          <w:szCs w:val="24"/>
        </w:rPr>
        <w:t xml:space="preserve">de Familia </w:t>
      </w:r>
      <w:r w:rsidR="005427D5" w:rsidRPr="007B425D">
        <w:rPr>
          <w:rFonts w:ascii="Arial" w:hAnsi="Arial" w:cs="Arial"/>
          <w:szCs w:val="24"/>
        </w:rPr>
        <w:t xml:space="preserve">de </w:t>
      </w:r>
      <w:r w:rsidR="00305056">
        <w:rPr>
          <w:rFonts w:ascii="Arial" w:hAnsi="Arial" w:cs="Arial"/>
          <w:szCs w:val="24"/>
        </w:rPr>
        <w:t>Dosquebradas</w:t>
      </w:r>
      <w:r w:rsidR="005427D5" w:rsidRPr="007B425D">
        <w:rPr>
          <w:rFonts w:ascii="Arial" w:hAnsi="Arial" w:cs="Arial"/>
          <w:szCs w:val="24"/>
        </w:rPr>
        <w:t>.</w:t>
      </w:r>
    </w:p>
    <w:p w:rsidR="00CF429F" w:rsidRDefault="00CF429F" w:rsidP="00CF429F">
      <w:pPr>
        <w:pStyle w:val="Retraitcorpsdetexte2"/>
        <w:spacing w:after="0" w:line="360" w:lineRule="auto"/>
        <w:ind w:left="0"/>
        <w:jc w:val="both"/>
        <w:rPr>
          <w:rFonts w:ascii="Arial" w:hAnsi="Arial" w:cs="Arial"/>
          <w:sz w:val="24"/>
          <w:szCs w:val="24"/>
        </w:rPr>
      </w:pPr>
    </w:p>
    <w:p w:rsidR="009B64B3" w:rsidRPr="007B425D" w:rsidRDefault="00CF429F" w:rsidP="004B274F">
      <w:pPr>
        <w:pStyle w:val="Corpsdetexte"/>
        <w:numPr>
          <w:ilvl w:val="1"/>
          <w:numId w:val="18"/>
        </w:numPr>
        <w:tabs>
          <w:tab w:val="clear" w:pos="0"/>
          <w:tab w:val="clear" w:pos="1416"/>
        </w:tabs>
        <w:spacing w:line="360" w:lineRule="auto"/>
        <w:rPr>
          <w:rFonts w:ascii="Arial" w:hAnsi="Arial" w:cs="Arial"/>
          <w:szCs w:val="24"/>
        </w:rPr>
      </w:pPr>
      <w:r w:rsidRPr="007B425D">
        <w:rPr>
          <w:rFonts w:ascii="Arial" w:hAnsi="Arial"/>
          <w:smallCaps/>
          <w:szCs w:val="24"/>
        </w:rPr>
        <w:t>La legitimación en la causa</w:t>
      </w:r>
      <w:r w:rsidR="007B425D" w:rsidRPr="007B425D">
        <w:rPr>
          <w:rFonts w:ascii="Arial" w:hAnsi="Arial"/>
          <w:smallCaps/>
          <w:szCs w:val="24"/>
        </w:rPr>
        <w:t>.</w:t>
      </w:r>
      <w:r w:rsidR="007B425D" w:rsidRPr="007B425D">
        <w:rPr>
          <w:rFonts w:ascii="Arial" w:hAnsi="Arial"/>
          <w:szCs w:val="24"/>
        </w:rPr>
        <w:t xml:space="preserve"> </w:t>
      </w:r>
      <w:r w:rsidR="009B64B3" w:rsidRPr="007B425D">
        <w:rPr>
          <w:rFonts w:ascii="Arial" w:hAnsi="Arial" w:cs="Arial"/>
          <w:szCs w:val="24"/>
          <w:lang w:val="es-CO"/>
        </w:rPr>
        <w:t xml:space="preserve">Por activa se cumple en consideración a que </w:t>
      </w:r>
      <w:r w:rsidR="00305056">
        <w:rPr>
          <w:rFonts w:ascii="Arial" w:hAnsi="Arial" w:cs="Arial"/>
          <w:szCs w:val="24"/>
          <w:lang w:val="es-CO"/>
        </w:rPr>
        <w:t>los menores fueron objeto</w:t>
      </w:r>
      <w:r w:rsidR="007B425D">
        <w:rPr>
          <w:rFonts w:ascii="Arial" w:hAnsi="Arial" w:cs="Arial"/>
          <w:szCs w:val="24"/>
          <w:lang w:val="es-CO"/>
        </w:rPr>
        <w:t xml:space="preserve"> de decisiones administrativas de restablecimiento de derechos de </w:t>
      </w:r>
      <w:r w:rsidR="00305056">
        <w:rPr>
          <w:rFonts w:ascii="Arial" w:hAnsi="Arial" w:cs="Arial"/>
          <w:szCs w:val="24"/>
          <w:lang w:val="es-CO"/>
        </w:rPr>
        <w:t xml:space="preserve">las que </w:t>
      </w:r>
      <w:r w:rsidR="007B425D">
        <w:rPr>
          <w:rFonts w:ascii="Arial" w:hAnsi="Arial" w:cs="Arial"/>
          <w:szCs w:val="24"/>
          <w:lang w:val="es-CO"/>
        </w:rPr>
        <w:t>se exige su homologación</w:t>
      </w:r>
      <w:r w:rsidR="009B64B3" w:rsidRPr="007B425D">
        <w:rPr>
          <w:rFonts w:ascii="Arial" w:hAnsi="Arial" w:cs="Arial"/>
          <w:szCs w:val="24"/>
        </w:rPr>
        <w:t>.</w:t>
      </w:r>
    </w:p>
    <w:p w:rsidR="009B64B3" w:rsidRDefault="009B64B3" w:rsidP="009B64B3">
      <w:pPr>
        <w:pStyle w:val="Corpsdetexte"/>
        <w:spacing w:line="360" w:lineRule="auto"/>
        <w:rPr>
          <w:rFonts w:ascii="Arial" w:hAnsi="Arial" w:cs="Arial"/>
          <w:szCs w:val="24"/>
        </w:rPr>
      </w:pPr>
    </w:p>
    <w:p w:rsidR="009B64B3" w:rsidRDefault="009B64B3" w:rsidP="007B425D">
      <w:pPr>
        <w:widowControl/>
        <w:autoSpaceDE/>
        <w:adjustRightInd/>
        <w:spacing w:line="360" w:lineRule="auto"/>
        <w:ind w:left="708"/>
        <w:jc w:val="both"/>
        <w:rPr>
          <w:rFonts w:ascii="Arial" w:hAnsi="Arial" w:cs="Arial"/>
        </w:rPr>
      </w:pPr>
      <w:r>
        <w:rPr>
          <w:rFonts w:ascii="Arial" w:hAnsi="Arial" w:cs="Arial"/>
          <w:lang w:val="es-CO"/>
        </w:rPr>
        <w:t xml:space="preserve">La Defensora de Familia del </w:t>
      </w:r>
      <w:proofErr w:type="spellStart"/>
      <w:r>
        <w:rPr>
          <w:rFonts w:ascii="Arial" w:hAnsi="Arial" w:cs="Arial"/>
          <w:lang w:val="es-CO"/>
        </w:rPr>
        <w:t>ICBF</w:t>
      </w:r>
      <w:proofErr w:type="spellEnd"/>
      <w:r>
        <w:rPr>
          <w:rFonts w:ascii="Arial" w:hAnsi="Arial" w:cs="Arial"/>
          <w:lang w:val="es-CO"/>
        </w:rPr>
        <w:t xml:space="preserve"> se encuen</w:t>
      </w:r>
      <w:r w:rsidR="00305056">
        <w:rPr>
          <w:rFonts w:ascii="Arial" w:hAnsi="Arial" w:cs="Arial"/>
          <w:lang w:val="es-CO"/>
        </w:rPr>
        <w:t>tra legitimada para representar</w:t>
      </w:r>
      <w:r>
        <w:rPr>
          <w:rFonts w:ascii="Arial" w:hAnsi="Arial" w:cs="Arial"/>
          <w:lang w:val="es-CO"/>
        </w:rPr>
        <w:t xml:space="preserve">los, </w:t>
      </w:r>
      <w:r w:rsidR="007B0B00">
        <w:rPr>
          <w:rFonts w:ascii="Arial" w:hAnsi="Arial" w:cs="Arial"/>
          <w:lang w:val="es-CO"/>
        </w:rPr>
        <w:t>porque</w:t>
      </w:r>
      <w:r>
        <w:rPr>
          <w:rFonts w:ascii="Arial" w:hAnsi="Arial" w:cs="Arial"/>
          <w:lang w:val="es-CO"/>
        </w:rPr>
        <w:t xml:space="preserve"> se trata de infantes que no pueden </w:t>
      </w:r>
      <w:r>
        <w:rPr>
          <w:rFonts w:ascii="Arial" w:hAnsi="Arial" w:cs="Arial"/>
        </w:rPr>
        <w:t>reclamar directamente la protección de sus derechos fundamentales</w:t>
      </w:r>
      <w:r w:rsidR="007B425D">
        <w:rPr>
          <w:rFonts w:ascii="Arial" w:hAnsi="Arial" w:cs="Arial"/>
        </w:rPr>
        <w:t xml:space="preserve">; </w:t>
      </w:r>
      <w:r w:rsidR="007B0B00">
        <w:rPr>
          <w:rFonts w:ascii="Arial" w:hAnsi="Arial" w:cs="Arial"/>
          <w:lang w:val="es-CO"/>
        </w:rPr>
        <w:t>además</w:t>
      </w:r>
      <w:r w:rsidR="007B425D">
        <w:rPr>
          <w:rFonts w:ascii="Arial" w:hAnsi="Arial" w:cs="Arial"/>
          <w:lang w:val="es-CO"/>
        </w:rPr>
        <w:t>,</w:t>
      </w:r>
      <w:r w:rsidR="007B0B00">
        <w:rPr>
          <w:rFonts w:ascii="Arial" w:hAnsi="Arial" w:cs="Arial"/>
          <w:lang w:val="es-CO"/>
        </w:rPr>
        <w:t xml:space="preserve"> </w:t>
      </w:r>
      <w:r w:rsidR="00C458D8">
        <w:rPr>
          <w:rFonts w:ascii="Arial" w:hAnsi="Arial" w:cs="Arial"/>
          <w:lang w:val="es-CO"/>
        </w:rPr>
        <w:t xml:space="preserve">por </w:t>
      </w:r>
      <w:r w:rsidR="00C458D8">
        <w:rPr>
          <w:rFonts w:ascii="Arial" w:hAnsi="Arial" w:cs="Arial"/>
          <w:iCs/>
        </w:rPr>
        <w:t xml:space="preserve">virtud </w:t>
      </w:r>
      <w:r w:rsidR="007B425D">
        <w:rPr>
          <w:rFonts w:ascii="Arial" w:hAnsi="Arial" w:cs="Arial"/>
          <w:iCs/>
        </w:rPr>
        <w:t xml:space="preserve">del precepto contenido en el </w:t>
      </w:r>
      <w:r w:rsidR="00C458D8">
        <w:rPr>
          <w:rFonts w:ascii="Arial" w:hAnsi="Arial" w:cs="Arial"/>
          <w:iCs/>
        </w:rPr>
        <w:t>artículo 82-</w:t>
      </w:r>
      <w:r w:rsidRPr="009B64B3">
        <w:rPr>
          <w:rFonts w:ascii="Arial" w:hAnsi="Arial" w:cs="Arial"/>
          <w:iCs/>
        </w:rPr>
        <w:t>11</w:t>
      </w:r>
      <w:r w:rsidR="00C458D8">
        <w:rPr>
          <w:rFonts w:ascii="Arial" w:hAnsi="Arial" w:cs="Arial"/>
          <w:iCs/>
        </w:rPr>
        <w:t>°</w:t>
      </w:r>
      <w:r w:rsidR="00F87511">
        <w:rPr>
          <w:rFonts w:ascii="Arial" w:hAnsi="Arial" w:cs="Arial"/>
          <w:iCs/>
        </w:rPr>
        <w:t>,</w:t>
      </w:r>
      <w:r w:rsidR="00C458D8">
        <w:rPr>
          <w:rFonts w:ascii="Arial" w:hAnsi="Arial" w:cs="Arial"/>
          <w:iCs/>
        </w:rPr>
        <w:t xml:space="preserve"> CIA</w:t>
      </w:r>
      <w:r w:rsidRPr="009B64B3">
        <w:rPr>
          <w:rFonts w:ascii="Arial" w:hAnsi="Arial" w:cs="Arial"/>
          <w:i/>
          <w:iCs/>
        </w:rPr>
        <w:t>.</w:t>
      </w:r>
    </w:p>
    <w:p w:rsidR="009B64B3" w:rsidRDefault="009B64B3" w:rsidP="009B64B3">
      <w:pPr>
        <w:widowControl/>
        <w:autoSpaceDE/>
        <w:adjustRightInd/>
        <w:spacing w:line="360" w:lineRule="auto"/>
        <w:jc w:val="both"/>
        <w:rPr>
          <w:rFonts w:ascii="Arial" w:hAnsi="Arial" w:cs="Arial"/>
        </w:rPr>
      </w:pPr>
    </w:p>
    <w:p w:rsidR="00DF74B6" w:rsidRDefault="009B64B3" w:rsidP="007B425D">
      <w:pPr>
        <w:widowControl/>
        <w:autoSpaceDE/>
        <w:adjustRightInd/>
        <w:spacing w:line="360" w:lineRule="auto"/>
        <w:ind w:left="708"/>
        <w:jc w:val="both"/>
        <w:rPr>
          <w:rFonts w:ascii="Arial" w:hAnsi="Arial" w:cs="Arial"/>
        </w:rPr>
      </w:pPr>
      <w:r>
        <w:rPr>
          <w:rFonts w:ascii="Arial" w:hAnsi="Arial" w:cs="Arial"/>
        </w:rPr>
        <w:lastRenderedPageBreak/>
        <w:t>En el extremo pasivo</w:t>
      </w:r>
      <w:r w:rsidR="005427D5" w:rsidRPr="00902F93">
        <w:rPr>
          <w:rFonts w:ascii="Arial" w:hAnsi="Arial" w:cs="Arial"/>
        </w:rPr>
        <w:t xml:space="preserve">, </w:t>
      </w:r>
      <w:r w:rsidR="005427D5">
        <w:rPr>
          <w:rFonts w:ascii="Arial" w:hAnsi="Arial" w:cs="Arial"/>
        </w:rPr>
        <w:t xml:space="preserve">lo es el Juzgado </w:t>
      </w:r>
      <w:r w:rsidR="007B425D">
        <w:rPr>
          <w:rFonts w:ascii="Arial" w:hAnsi="Arial" w:cs="Arial"/>
        </w:rPr>
        <w:t xml:space="preserve">de </w:t>
      </w:r>
      <w:r>
        <w:rPr>
          <w:rFonts w:ascii="Arial" w:hAnsi="Arial" w:cs="Arial"/>
        </w:rPr>
        <w:t xml:space="preserve">Familia </w:t>
      </w:r>
      <w:r w:rsidR="005427D5">
        <w:rPr>
          <w:rFonts w:ascii="Arial" w:hAnsi="Arial" w:cs="Arial"/>
        </w:rPr>
        <w:t xml:space="preserve">de </w:t>
      </w:r>
      <w:r w:rsidR="007B425D">
        <w:rPr>
          <w:rFonts w:ascii="Arial" w:hAnsi="Arial" w:cs="Arial"/>
        </w:rPr>
        <w:t>Dosquebradas</w:t>
      </w:r>
      <w:r w:rsidR="005427D5">
        <w:rPr>
          <w:rFonts w:ascii="Arial" w:hAnsi="Arial" w:cs="Arial"/>
        </w:rPr>
        <w:t>, por ser</w:t>
      </w:r>
      <w:r w:rsidR="005427D5" w:rsidRPr="009A3C9D">
        <w:rPr>
          <w:rFonts w:ascii="Arial" w:hAnsi="Arial" w:cs="Arial"/>
        </w:rPr>
        <w:t xml:space="preserve"> la autoridad judicial que </w:t>
      </w:r>
      <w:r>
        <w:rPr>
          <w:rFonts w:ascii="Arial" w:hAnsi="Arial" w:cs="Arial"/>
        </w:rPr>
        <w:t xml:space="preserve">conoció </w:t>
      </w:r>
      <w:r w:rsidR="007B425D">
        <w:rPr>
          <w:rFonts w:ascii="Arial" w:hAnsi="Arial" w:cs="Arial"/>
        </w:rPr>
        <w:t xml:space="preserve">del trámite de </w:t>
      </w:r>
      <w:r>
        <w:rPr>
          <w:rFonts w:ascii="Arial" w:hAnsi="Arial" w:cs="Arial"/>
        </w:rPr>
        <w:t>homologación</w:t>
      </w:r>
      <w:r w:rsidR="005427D5">
        <w:rPr>
          <w:rFonts w:ascii="Arial" w:hAnsi="Arial" w:cs="Arial"/>
        </w:rPr>
        <w:t>.</w:t>
      </w:r>
    </w:p>
    <w:p w:rsidR="00FD49FE" w:rsidRDefault="00FD49FE" w:rsidP="00DF74B6">
      <w:pPr>
        <w:pStyle w:val="Corpsdetexte"/>
        <w:spacing w:line="360" w:lineRule="auto"/>
        <w:rPr>
          <w:rFonts w:ascii="Arial" w:hAnsi="Arial" w:cs="Arial"/>
          <w:szCs w:val="24"/>
        </w:rPr>
      </w:pPr>
    </w:p>
    <w:p w:rsidR="005427D5" w:rsidRPr="007B425D" w:rsidRDefault="00CF429F" w:rsidP="004B274F">
      <w:pPr>
        <w:pStyle w:val="Corpsdetexte"/>
        <w:numPr>
          <w:ilvl w:val="1"/>
          <w:numId w:val="18"/>
        </w:numPr>
        <w:spacing w:line="360" w:lineRule="auto"/>
        <w:rPr>
          <w:rFonts w:ascii="Arial" w:hAnsi="Arial" w:cs="Arial"/>
        </w:rPr>
      </w:pPr>
      <w:r w:rsidRPr="007B425D">
        <w:rPr>
          <w:rFonts w:ascii="Arial" w:hAnsi="Arial"/>
          <w:smallCaps/>
          <w:szCs w:val="24"/>
        </w:rPr>
        <w:t>El problema jurídico a resolver</w:t>
      </w:r>
      <w:r w:rsidR="007B425D" w:rsidRPr="007B425D">
        <w:rPr>
          <w:rFonts w:ascii="Arial" w:hAnsi="Arial"/>
          <w:smallCaps/>
          <w:szCs w:val="24"/>
        </w:rPr>
        <w:t>.</w:t>
      </w:r>
      <w:r w:rsidR="007B425D">
        <w:rPr>
          <w:rFonts w:ascii="Arial" w:hAnsi="Arial"/>
          <w:szCs w:val="24"/>
        </w:rPr>
        <w:t xml:space="preserve"> </w:t>
      </w:r>
      <w:r w:rsidR="005427D5" w:rsidRPr="007B425D">
        <w:rPr>
          <w:rFonts w:ascii="Arial" w:hAnsi="Arial" w:cs="Arial"/>
        </w:rPr>
        <w:t xml:space="preserve">¿El Juzgado </w:t>
      </w:r>
      <w:r w:rsidR="007B425D">
        <w:rPr>
          <w:rFonts w:ascii="Arial" w:hAnsi="Arial" w:cs="Arial"/>
        </w:rPr>
        <w:t xml:space="preserve">accionado </w:t>
      </w:r>
      <w:r w:rsidR="005427D5" w:rsidRPr="007B425D">
        <w:rPr>
          <w:rFonts w:ascii="Arial" w:hAnsi="Arial" w:cs="Arial"/>
        </w:rPr>
        <w:t>ha vulnerado o amenazado los derechos fundamentales de</w:t>
      </w:r>
      <w:r w:rsidR="007B0B00" w:rsidRPr="007B425D">
        <w:rPr>
          <w:rFonts w:ascii="Arial" w:hAnsi="Arial" w:cs="Arial"/>
        </w:rPr>
        <w:t xml:space="preserve"> </w:t>
      </w:r>
      <w:r w:rsidR="005427D5" w:rsidRPr="007B425D">
        <w:rPr>
          <w:rFonts w:ascii="Arial" w:hAnsi="Arial" w:cs="Arial"/>
        </w:rPr>
        <w:t>l</w:t>
      </w:r>
      <w:r w:rsidR="007B0B00" w:rsidRPr="007B425D">
        <w:rPr>
          <w:rFonts w:ascii="Arial" w:hAnsi="Arial" w:cs="Arial"/>
        </w:rPr>
        <w:t>os</w:t>
      </w:r>
      <w:r w:rsidR="005427D5" w:rsidRPr="007B425D">
        <w:rPr>
          <w:rFonts w:ascii="Arial" w:hAnsi="Arial" w:cs="Arial"/>
        </w:rPr>
        <w:t xml:space="preserve"> accionante</w:t>
      </w:r>
      <w:r w:rsidR="007B0B00" w:rsidRPr="007B425D">
        <w:rPr>
          <w:rFonts w:ascii="Arial" w:hAnsi="Arial" w:cs="Arial"/>
        </w:rPr>
        <w:t>s</w:t>
      </w:r>
      <w:r w:rsidR="005427D5" w:rsidRPr="007B425D">
        <w:rPr>
          <w:rFonts w:ascii="Arial" w:hAnsi="Arial" w:cs="Arial"/>
        </w:rPr>
        <w:t xml:space="preserve"> con ocasión </w:t>
      </w:r>
      <w:r w:rsidR="007B0B00" w:rsidRPr="007B425D">
        <w:rPr>
          <w:rFonts w:ascii="Arial" w:hAnsi="Arial" w:cs="Arial"/>
        </w:rPr>
        <w:t xml:space="preserve">de la decisión de no homologar la Resolución </w:t>
      </w:r>
      <w:proofErr w:type="spellStart"/>
      <w:r w:rsidR="007B0B00" w:rsidRPr="007B425D">
        <w:rPr>
          <w:rFonts w:ascii="Arial" w:hAnsi="Arial" w:cs="Arial"/>
        </w:rPr>
        <w:t>No.</w:t>
      </w:r>
      <w:r w:rsidR="007B425D">
        <w:rPr>
          <w:rFonts w:ascii="Arial" w:hAnsi="Arial" w:cs="Arial"/>
        </w:rPr>
        <w:t>067</w:t>
      </w:r>
      <w:proofErr w:type="spellEnd"/>
      <w:r w:rsidR="007B425D">
        <w:rPr>
          <w:rFonts w:ascii="Arial" w:hAnsi="Arial" w:cs="Arial"/>
        </w:rPr>
        <w:t xml:space="preserve"> de 22-09-2016</w:t>
      </w:r>
      <w:r w:rsidR="005427D5" w:rsidRPr="007B425D">
        <w:rPr>
          <w:rFonts w:ascii="Arial" w:hAnsi="Arial" w:cs="Arial"/>
        </w:rPr>
        <w:t>, según lo expuesto en el escrito de tutela?</w:t>
      </w:r>
    </w:p>
    <w:p w:rsidR="007B425D" w:rsidRDefault="007B425D" w:rsidP="007B425D">
      <w:pPr>
        <w:pStyle w:val="Corpsdetexte"/>
        <w:tabs>
          <w:tab w:val="clear" w:pos="708"/>
          <w:tab w:val="clear" w:pos="1416"/>
          <w:tab w:val="left" w:pos="709"/>
          <w:tab w:val="left" w:pos="1418"/>
        </w:tabs>
        <w:spacing w:line="360" w:lineRule="auto"/>
        <w:rPr>
          <w:rFonts w:ascii="Arial" w:hAnsi="Arial" w:cs="Arial"/>
          <w:szCs w:val="24"/>
        </w:rPr>
      </w:pPr>
    </w:p>
    <w:p w:rsidR="00CF429F" w:rsidRDefault="007B425D" w:rsidP="00470983">
      <w:pPr>
        <w:pStyle w:val="Corpsdetexte"/>
        <w:numPr>
          <w:ilvl w:val="0"/>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7B425D" w:rsidRPr="002A0C2A" w:rsidRDefault="007B425D" w:rsidP="007B425D">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2A0C2A">
        <w:rPr>
          <w:rFonts w:ascii="Arial" w:hAnsi="Arial" w:cs="Verdana"/>
          <w:smallCaps/>
          <w:spacing w:val="0"/>
          <w:szCs w:val="24"/>
          <w:lang w:val="es-ES"/>
        </w:rPr>
        <w:t>Las sub-reglas de análisis en la procedibilidad frente a decisiones judiciales</w:t>
      </w:r>
    </w:p>
    <w:p w:rsidR="007B425D" w:rsidRPr="00A8313B" w:rsidRDefault="007B425D" w:rsidP="007B425D">
      <w:pPr>
        <w:pStyle w:val="Corpsdetexte"/>
        <w:spacing w:line="360" w:lineRule="auto"/>
        <w:rPr>
          <w:rFonts w:ascii="Arial" w:hAnsi="Arial" w:cs="Arial"/>
          <w:sz w:val="20"/>
          <w:szCs w:val="24"/>
        </w:rPr>
      </w:pPr>
    </w:p>
    <w:p w:rsidR="007B425D" w:rsidRPr="00907C22" w:rsidRDefault="007B425D" w:rsidP="007B425D">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2"/>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3"/>
      </w:r>
      <w:r w:rsidRPr="00DC6BEA">
        <w:rPr>
          <w:rFonts w:ascii="Arial" w:hAnsi="Arial" w:cs="Arial"/>
          <w:szCs w:val="24"/>
        </w:rPr>
        <w:t>.</w:t>
      </w:r>
    </w:p>
    <w:p w:rsidR="007B425D" w:rsidRPr="004B7598" w:rsidRDefault="007B425D" w:rsidP="007B425D">
      <w:pPr>
        <w:pStyle w:val="Corpsdetexte"/>
        <w:spacing w:line="360" w:lineRule="auto"/>
        <w:rPr>
          <w:rFonts w:ascii="Arial" w:hAnsi="Arial" w:cs="Arial"/>
          <w:sz w:val="20"/>
          <w:szCs w:val="24"/>
        </w:rPr>
      </w:pPr>
    </w:p>
    <w:p w:rsidR="007B425D" w:rsidRPr="00907C22" w:rsidRDefault="007B425D" w:rsidP="007B425D">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4"/>
      </w:r>
      <w:r w:rsidRPr="00907C22">
        <w:rPr>
          <w:rFonts w:ascii="Arial" w:hAnsi="Arial" w:cs="Arial"/>
          <w:szCs w:val="24"/>
        </w:rPr>
        <w:t>.</w:t>
      </w:r>
    </w:p>
    <w:p w:rsidR="007B425D" w:rsidRPr="00F44440" w:rsidRDefault="007B425D" w:rsidP="007B425D">
      <w:pPr>
        <w:pStyle w:val="Corpsdetexte"/>
        <w:spacing w:line="360" w:lineRule="auto"/>
        <w:rPr>
          <w:rFonts w:ascii="Arial" w:hAnsi="Arial" w:cs="Arial"/>
          <w:sz w:val="20"/>
          <w:szCs w:val="24"/>
        </w:rPr>
      </w:pPr>
    </w:p>
    <w:p w:rsidR="007B425D" w:rsidRDefault="007B425D" w:rsidP="007B425D">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w:t>
      </w:r>
      <w:r w:rsidR="00470983">
        <w:rPr>
          <w:rFonts w:ascii="Arial" w:hAnsi="Arial" w:cs="Arial"/>
          <w:szCs w:val="24"/>
        </w:rPr>
        <w:t xml:space="preserve"> </w:t>
      </w:r>
      <w:r w:rsidRPr="00907C22">
        <w:rPr>
          <w:rFonts w:ascii="Arial" w:hAnsi="Arial" w:cs="Arial"/>
          <w:szCs w:val="24"/>
        </w:rPr>
        <w:t>2005</w:t>
      </w:r>
      <w:r w:rsidRPr="00907C22">
        <w:rPr>
          <w:rStyle w:val="Appelnotedebasdep"/>
          <w:rFonts w:ascii="Arial" w:hAnsi="Arial" w:cs="Arial"/>
          <w:szCs w:val="24"/>
        </w:rPr>
        <w:footnoteReference w:id="5"/>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6"/>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7"/>
      </w:r>
      <w:r w:rsidRPr="00907C22">
        <w:rPr>
          <w:rFonts w:ascii="Arial" w:hAnsi="Arial" w:cs="Arial"/>
          <w:szCs w:val="24"/>
        </w:rPr>
        <w:t>.</w:t>
      </w:r>
    </w:p>
    <w:p w:rsidR="007B425D" w:rsidRDefault="007B425D" w:rsidP="007B425D">
      <w:pPr>
        <w:pStyle w:val="Corpsdetexte"/>
        <w:spacing w:line="360" w:lineRule="auto"/>
        <w:rPr>
          <w:rFonts w:ascii="Arial" w:hAnsi="Arial" w:cs="Arial"/>
          <w:szCs w:val="24"/>
        </w:rPr>
      </w:pPr>
    </w:p>
    <w:p w:rsidR="007B425D" w:rsidRDefault="007B425D" w:rsidP="007B425D">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7B425D" w:rsidRPr="00907C22" w:rsidRDefault="007B425D" w:rsidP="007B425D">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Pr>
          <w:rFonts w:ascii="Arial" w:hAnsi="Arial" w:cs="Arial"/>
          <w:szCs w:val="24"/>
        </w:rPr>
        <w:t xml:space="preserve">a de la Carta. </w:t>
      </w:r>
      <w:r w:rsidRPr="00907C22">
        <w:rPr>
          <w:rFonts w:ascii="Arial" w:hAnsi="Arial" w:cs="Arial"/>
          <w:szCs w:val="24"/>
        </w:rPr>
        <w:t xml:space="preserve">Un sistemático </w:t>
      </w:r>
      <w:r>
        <w:rPr>
          <w:rFonts w:ascii="Arial" w:hAnsi="Arial" w:cs="Arial"/>
          <w:szCs w:val="24"/>
        </w:rPr>
        <w:t xml:space="preserve"> </w:t>
      </w:r>
      <w:r w:rsidRPr="00907C22">
        <w:rPr>
          <w:rFonts w:ascii="Arial" w:hAnsi="Arial" w:cs="Arial"/>
          <w:szCs w:val="24"/>
        </w:rPr>
        <w:t xml:space="preserve">recuento </w:t>
      </w:r>
      <w:r>
        <w:rPr>
          <w:rFonts w:ascii="Arial" w:hAnsi="Arial" w:cs="Arial"/>
          <w:szCs w:val="24"/>
        </w:rPr>
        <w:t xml:space="preserve"> </w:t>
      </w:r>
      <w:r w:rsidRPr="00907C22">
        <w:rPr>
          <w:rFonts w:ascii="Arial" w:hAnsi="Arial" w:cs="Arial"/>
          <w:szCs w:val="24"/>
        </w:rPr>
        <w:t xml:space="preserve">puede </w:t>
      </w:r>
      <w:r>
        <w:rPr>
          <w:rFonts w:ascii="Arial" w:hAnsi="Arial" w:cs="Arial"/>
          <w:szCs w:val="24"/>
        </w:rPr>
        <w:t xml:space="preserve"> </w:t>
      </w:r>
      <w:r w:rsidRPr="00907C22">
        <w:rPr>
          <w:rFonts w:ascii="Arial" w:hAnsi="Arial" w:cs="Arial"/>
          <w:szCs w:val="24"/>
        </w:rPr>
        <w:t>leerse</w:t>
      </w:r>
      <w:r>
        <w:rPr>
          <w:rFonts w:ascii="Arial" w:hAnsi="Arial" w:cs="Arial"/>
          <w:szCs w:val="24"/>
        </w:rPr>
        <w:t xml:space="preserve"> </w:t>
      </w:r>
      <w:r w:rsidRPr="00907C22">
        <w:rPr>
          <w:rFonts w:ascii="Arial" w:hAnsi="Arial" w:cs="Arial"/>
          <w:szCs w:val="24"/>
        </w:rPr>
        <w:t xml:space="preserve"> en</w:t>
      </w:r>
      <w:r>
        <w:rPr>
          <w:rFonts w:ascii="Arial" w:hAnsi="Arial" w:cs="Arial"/>
          <w:szCs w:val="24"/>
        </w:rPr>
        <w:t xml:space="preserve"> </w:t>
      </w:r>
      <w:r w:rsidRPr="00907C22">
        <w:rPr>
          <w:rFonts w:ascii="Arial" w:hAnsi="Arial" w:cs="Arial"/>
          <w:szCs w:val="24"/>
        </w:rPr>
        <w:t xml:space="preserve"> la </w:t>
      </w:r>
      <w:r>
        <w:rPr>
          <w:rFonts w:ascii="Arial" w:hAnsi="Arial" w:cs="Arial"/>
          <w:szCs w:val="24"/>
        </w:rPr>
        <w:t xml:space="preserve"> </w:t>
      </w:r>
      <w:r w:rsidRPr="00907C22">
        <w:rPr>
          <w:rFonts w:ascii="Arial" w:hAnsi="Arial" w:cs="Arial"/>
          <w:szCs w:val="24"/>
        </w:rPr>
        <w:t>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Appelnotedebasdep"/>
          <w:rFonts w:ascii="Arial" w:hAnsi="Arial" w:cs="Arial"/>
          <w:szCs w:val="24"/>
        </w:rPr>
        <w:footnoteReference w:id="9"/>
      </w:r>
      <w:r w:rsidRPr="00907C22">
        <w:rPr>
          <w:rFonts w:ascii="Arial" w:hAnsi="Arial" w:cs="Arial"/>
          <w:szCs w:val="24"/>
        </w:rPr>
        <w:t>.</w:t>
      </w:r>
    </w:p>
    <w:p w:rsidR="008F34B8" w:rsidRDefault="008F34B8" w:rsidP="008F34B8">
      <w:pPr>
        <w:pStyle w:val="Corpsdetexte"/>
        <w:spacing w:line="360" w:lineRule="auto"/>
        <w:rPr>
          <w:rFonts w:ascii="Arial" w:hAnsi="Arial" w:cs="Arial"/>
          <w:szCs w:val="24"/>
        </w:rPr>
      </w:pPr>
    </w:p>
    <w:p w:rsidR="007B425D" w:rsidRPr="007B425D" w:rsidRDefault="007B425D" w:rsidP="007B425D">
      <w:pPr>
        <w:pStyle w:val="Paragraphedeliste"/>
        <w:numPr>
          <w:ilvl w:val="1"/>
          <w:numId w:val="18"/>
        </w:numPr>
        <w:spacing w:line="360" w:lineRule="auto"/>
        <w:ind w:right="51"/>
        <w:jc w:val="both"/>
        <w:rPr>
          <w:rFonts w:ascii="Arial" w:hAnsi="Arial"/>
          <w:smallCaps/>
          <w:lang w:val="es-ES_tradnl"/>
        </w:rPr>
      </w:pPr>
      <w:r w:rsidRPr="007B425D">
        <w:rPr>
          <w:rFonts w:ascii="Arial" w:hAnsi="Arial" w:cs="Arial"/>
          <w:smallCaps/>
        </w:rPr>
        <w:t xml:space="preserve">El defecto fáctico </w:t>
      </w:r>
    </w:p>
    <w:p w:rsidR="007B425D" w:rsidRPr="00C36E8C" w:rsidRDefault="007B425D" w:rsidP="007B425D">
      <w:pPr>
        <w:spacing w:line="360" w:lineRule="auto"/>
        <w:ind w:right="51"/>
        <w:jc w:val="both"/>
        <w:rPr>
          <w:rFonts w:ascii="Arial" w:hAnsi="Arial"/>
          <w:sz w:val="20"/>
          <w:lang w:val="es-ES_tradnl"/>
        </w:rPr>
      </w:pPr>
    </w:p>
    <w:p w:rsidR="007B425D" w:rsidRDefault="007B425D" w:rsidP="007B425D">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Cs w:val="22"/>
        </w:rPr>
      </w:pPr>
      <w:r>
        <w:rPr>
          <w:rFonts w:ascii="Arial" w:hAnsi="Arial" w:cs="Arial"/>
          <w:szCs w:val="22"/>
        </w:rPr>
        <w:t>La</w:t>
      </w:r>
      <w:r w:rsidRPr="00744633">
        <w:rPr>
          <w:rFonts w:ascii="Arial" w:hAnsi="Arial" w:cs="Arial"/>
          <w:szCs w:val="22"/>
        </w:rPr>
        <w:t xml:space="preserve"> doctrina constitucional</w:t>
      </w:r>
      <w:r w:rsidRPr="00744633">
        <w:rPr>
          <w:rStyle w:val="Appelnotedebasdep"/>
          <w:rFonts w:ascii="Arial" w:hAnsi="Arial"/>
          <w:szCs w:val="22"/>
        </w:rPr>
        <w:footnoteReference w:id="10"/>
      </w:r>
      <w:r>
        <w:rPr>
          <w:rFonts w:ascii="Arial" w:hAnsi="Arial" w:cs="Arial"/>
          <w:szCs w:val="22"/>
        </w:rPr>
        <w:t xml:space="preserve"> </w:t>
      </w:r>
      <w:r w:rsidRPr="00744633">
        <w:rPr>
          <w:rFonts w:ascii="Arial" w:hAnsi="Arial" w:cs="Arial"/>
          <w:szCs w:val="22"/>
        </w:rPr>
        <w:t xml:space="preserve">sobre </w:t>
      </w:r>
      <w:r>
        <w:rPr>
          <w:rFonts w:ascii="Arial" w:hAnsi="Arial" w:cs="Arial"/>
          <w:szCs w:val="22"/>
        </w:rPr>
        <w:t>esta específica causal</w:t>
      </w:r>
      <w:r w:rsidRPr="00744633">
        <w:rPr>
          <w:rFonts w:ascii="Arial" w:hAnsi="Arial" w:cs="Arial"/>
          <w:szCs w:val="22"/>
        </w:rPr>
        <w:t xml:space="preserve"> de procedibilidad </w:t>
      </w:r>
      <w:r>
        <w:rPr>
          <w:rFonts w:ascii="Arial" w:hAnsi="Arial" w:cs="Arial"/>
          <w:szCs w:val="22"/>
        </w:rPr>
        <w:t xml:space="preserve">tiene dicho que: </w:t>
      </w:r>
      <w:r w:rsidRPr="00744633">
        <w:rPr>
          <w:rFonts w:ascii="Arial" w:hAnsi="Arial"/>
          <w:szCs w:val="22"/>
          <w:lang w:val="es-ES_tradnl"/>
        </w:rPr>
        <w:t>“</w:t>
      </w:r>
      <w:r w:rsidRPr="00C21350">
        <w:rPr>
          <w:rFonts w:ascii="Arial" w:hAnsi="Arial"/>
          <w:i/>
          <w:sz w:val="22"/>
          <w:szCs w:val="22"/>
          <w:lang w:val="es-ES_tradnl"/>
        </w:rPr>
        <w:t xml:space="preserve">(…) </w:t>
      </w:r>
      <w:r w:rsidRPr="00C21350">
        <w:rPr>
          <w:rFonts w:ascii="Arial" w:hAnsi="Arial" w:cs="Arial"/>
          <w:i/>
          <w:sz w:val="22"/>
          <w:szCs w:val="22"/>
        </w:rPr>
        <w:t>se produce cuando el juez toma una decisión sin que se encuentren plenamente comprobados los hechos que legalmente la determinan</w:t>
      </w:r>
      <w:r w:rsidRPr="00C21350">
        <w:rPr>
          <w:rStyle w:val="Appelnotedebasdep"/>
          <w:rFonts w:ascii="Arial" w:hAnsi="Arial" w:cs="Arial"/>
          <w:i/>
          <w:sz w:val="22"/>
          <w:szCs w:val="22"/>
        </w:rPr>
        <w:footnoteReference w:id="11"/>
      </w:r>
      <w:r w:rsidRPr="00C21350">
        <w:rPr>
          <w:rFonts w:ascii="Arial" w:hAnsi="Arial" w:cs="Arial"/>
          <w:i/>
          <w:sz w:val="22"/>
          <w:szCs w:val="22"/>
        </w:rPr>
        <w:t>, como consecuencia de una omisión en el decreto o valoración de las pruebas</w:t>
      </w:r>
      <w:r w:rsidRPr="00C21350">
        <w:rPr>
          <w:rStyle w:val="Appelnotedebasdep"/>
          <w:rFonts w:ascii="Arial" w:hAnsi="Arial" w:cs="Arial"/>
          <w:i/>
          <w:sz w:val="22"/>
          <w:szCs w:val="22"/>
        </w:rPr>
        <w:footnoteReference w:id="12"/>
      </w:r>
      <w:r w:rsidRPr="00C21350">
        <w:rPr>
          <w:rFonts w:ascii="Arial" w:hAnsi="Arial" w:cs="Arial"/>
          <w:i/>
          <w:sz w:val="22"/>
          <w:szCs w:val="22"/>
        </w:rPr>
        <w:t>, la valoración irrazonable o contra evidente de los medios probatorios, o la suposición de pruebas.</w:t>
      </w:r>
      <w:r>
        <w:rPr>
          <w:rFonts w:ascii="Arial" w:hAnsi="Arial" w:cs="Arial"/>
          <w:szCs w:val="28"/>
        </w:rPr>
        <w:t>”</w:t>
      </w:r>
      <w:r w:rsidRPr="00CB4081">
        <w:rPr>
          <w:rFonts w:ascii="Arial" w:hAnsi="Arial"/>
          <w:szCs w:val="20"/>
          <w:lang w:val="es-ES_tradnl"/>
        </w:rPr>
        <w:t>,</w:t>
      </w:r>
      <w:r w:rsidRPr="00744633">
        <w:rPr>
          <w:rFonts w:ascii="Arial" w:hAnsi="Arial"/>
          <w:sz w:val="22"/>
          <w:szCs w:val="20"/>
          <w:lang w:val="es-ES_tradnl"/>
        </w:rPr>
        <w:t xml:space="preserve"> </w:t>
      </w:r>
      <w:r w:rsidRPr="00744633">
        <w:rPr>
          <w:rFonts w:ascii="Arial" w:hAnsi="Arial"/>
          <w:szCs w:val="20"/>
          <w:lang w:val="es-ES_tradnl"/>
        </w:rPr>
        <w:t>luego en otra decisión posterior se precisó</w:t>
      </w:r>
      <w:r w:rsidRPr="00744633">
        <w:rPr>
          <w:rStyle w:val="Appelnotedebasdep"/>
          <w:rFonts w:ascii="Arial" w:hAnsi="Arial"/>
          <w:sz w:val="22"/>
          <w:szCs w:val="20"/>
          <w:lang w:val="es-ES_tradnl"/>
        </w:rPr>
        <w:footnoteReference w:id="13"/>
      </w:r>
      <w:r w:rsidRPr="00744633">
        <w:rPr>
          <w:rFonts w:ascii="Arial" w:hAnsi="Arial" w:cs="Arial"/>
          <w:szCs w:val="22"/>
        </w:rPr>
        <w:t>:</w:t>
      </w:r>
    </w:p>
    <w:p w:rsidR="007B425D" w:rsidRPr="00E649FA" w:rsidRDefault="007B425D" w:rsidP="007B425D">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 w:val="18"/>
          <w:szCs w:val="22"/>
        </w:rPr>
      </w:pPr>
    </w:p>
    <w:p w:rsidR="007B425D" w:rsidRPr="00FA2FC1" w:rsidRDefault="007B425D" w:rsidP="007B425D">
      <w:pPr>
        <w:ind w:left="567" w:right="567"/>
        <w:jc w:val="both"/>
        <w:rPr>
          <w:rFonts w:ascii="Arial" w:hAnsi="Arial"/>
          <w:szCs w:val="22"/>
          <w:lang w:val="es-ES_tradnl"/>
        </w:rPr>
      </w:pPr>
      <w:r w:rsidRPr="00FA2FC1">
        <w:rPr>
          <w:rFonts w:ascii="Arial" w:hAnsi="Arial"/>
          <w:szCs w:val="22"/>
          <w:lang w:val="es-ES_tradnl"/>
        </w:rPr>
        <w:t>Ahora bien, para mayor ilustración se tiene que en la valoración de las pruebas puede ocurrir: “</w:t>
      </w:r>
      <w:r w:rsidRPr="00FA2FC1">
        <w:rPr>
          <w:rFonts w:ascii="Arial" w:hAnsi="Arial"/>
          <w:szCs w:val="22"/>
          <w:u w:val="single"/>
          <w:lang w:val="es-ES_tradnl"/>
        </w:rPr>
        <w:t>defecto fáctico por omisión en el decreto y práctica de pruebas</w:t>
      </w:r>
      <w:r w:rsidRPr="00FA2FC1">
        <w:rPr>
          <w:rFonts w:ascii="Arial" w:hAnsi="Arial"/>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7B425D" w:rsidRDefault="007B425D" w:rsidP="007B425D">
      <w:pPr>
        <w:ind w:left="567" w:right="567"/>
        <w:jc w:val="both"/>
        <w:rPr>
          <w:rFonts w:ascii="Arial" w:hAnsi="Arial"/>
          <w:szCs w:val="22"/>
          <w:u w:val="single"/>
          <w:lang w:val="es-ES_tradnl"/>
        </w:rPr>
      </w:pPr>
    </w:p>
    <w:p w:rsidR="007B425D" w:rsidRDefault="007B425D" w:rsidP="007B425D">
      <w:pPr>
        <w:ind w:left="567" w:right="567"/>
        <w:jc w:val="both"/>
        <w:rPr>
          <w:rFonts w:ascii="Arial" w:hAnsi="Arial"/>
          <w:szCs w:val="22"/>
          <w:lang w:val="es-ES_tradnl"/>
        </w:rPr>
      </w:pPr>
      <w:r w:rsidRPr="00FA2FC1">
        <w:rPr>
          <w:rFonts w:ascii="Arial" w:hAnsi="Arial"/>
          <w:szCs w:val="22"/>
          <w:u w:val="single"/>
          <w:lang w:val="es-ES_tradnl"/>
        </w:rPr>
        <w:t xml:space="preserve">Defecto fáctico por la no valoración del acervo probatorio: </w:t>
      </w:r>
      <w:r w:rsidRPr="00FA2FC1">
        <w:rPr>
          <w:rFonts w:ascii="Arial" w:hAnsi="Arial"/>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7B425D" w:rsidRDefault="007B425D" w:rsidP="007B425D">
      <w:pPr>
        <w:ind w:left="567" w:right="567"/>
        <w:jc w:val="both"/>
        <w:rPr>
          <w:rFonts w:ascii="Arial" w:hAnsi="Arial"/>
          <w:szCs w:val="22"/>
          <w:u w:val="single"/>
          <w:lang w:val="es-ES_tradnl"/>
        </w:rPr>
      </w:pPr>
    </w:p>
    <w:p w:rsidR="007B425D" w:rsidRPr="00C21350" w:rsidRDefault="007B425D" w:rsidP="007B425D">
      <w:pPr>
        <w:ind w:left="567" w:right="567"/>
        <w:jc w:val="both"/>
        <w:rPr>
          <w:rFonts w:ascii="Arial" w:hAnsi="Arial"/>
          <w:szCs w:val="22"/>
          <w:lang w:val="es-ES_tradnl"/>
        </w:rPr>
      </w:pPr>
      <w:r w:rsidRPr="00FA2FC1">
        <w:rPr>
          <w:rFonts w:ascii="Arial" w:hAnsi="Arial"/>
          <w:szCs w:val="22"/>
          <w:u w:val="single"/>
          <w:lang w:val="es-ES_tradnl"/>
        </w:rPr>
        <w:t xml:space="preserve">Defecto fáctico por valoración defectuosa del material </w:t>
      </w:r>
      <w:proofErr w:type="spellStart"/>
      <w:r w:rsidRPr="00FA2FC1">
        <w:rPr>
          <w:rFonts w:ascii="Arial" w:hAnsi="Arial"/>
          <w:szCs w:val="22"/>
          <w:u w:val="single"/>
          <w:lang w:val="es-ES_tradnl"/>
        </w:rPr>
        <w:t>probatorio:</w:t>
      </w:r>
      <w:r w:rsidRPr="00FA2FC1">
        <w:rPr>
          <w:rFonts w:ascii="Arial" w:hAnsi="Arial"/>
          <w:szCs w:val="22"/>
          <w:lang w:val="es-ES_tradnl"/>
        </w:rPr>
        <w:t>1</w:t>
      </w:r>
      <w:proofErr w:type="spellEnd"/>
      <w:r w:rsidRPr="00FA2FC1">
        <w:rPr>
          <w:rFonts w:ascii="Arial" w:hAnsi="Arial"/>
          <w:szCs w:val="22"/>
          <w:lang w:val="es-ES_tradnl"/>
        </w:rPr>
        <w:t xml:space="preserve">) el funcionario judicial, en contra de la evidencia probatoria, decide separarse por completo de los hechos, </w:t>
      </w:r>
      <w:r w:rsidRPr="00882F5A">
        <w:rPr>
          <w:rFonts w:ascii="Arial" w:hAnsi="Arial"/>
          <w:szCs w:val="22"/>
          <w:u w:val="single"/>
          <w:lang w:val="es-ES_tradnl"/>
        </w:rPr>
        <w:t>debidamente probados</w:t>
      </w:r>
      <w:r w:rsidRPr="00FA2FC1">
        <w:rPr>
          <w:rFonts w:ascii="Arial" w:hAnsi="Arial"/>
          <w:szCs w:val="22"/>
          <w:lang w:val="es-ES_tradnl"/>
        </w:rPr>
        <w:t xml:space="preserve"> y resolver a su arbitrio el asunto jurídico debatido.</w:t>
      </w:r>
      <w:r w:rsidR="00305056">
        <w:rPr>
          <w:rFonts w:ascii="Arial" w:hAnsi="Arial"/>
          <w:szCs w:val="22"/>
          <w:lang w:val="es-ES_tradnl"/>
        </w:rPr>
        <w:t xml:space="preserve"> </w:t>
      </w:r>
      <w:r w:rsidRPr="00FA2FC1">
        <w:rPr>
          <w:rFonts w:ascii="Arial" w:hAnsi="Arial"/>
          <w:szCs w:val="22"/>
          <w:lang w:val="es-ES_tradnl"/>
        </w:rPr>
        <w:t xml:space="preserve">2) cuando a pesar de existir pruebas ilícitas no se abstiene de excluirlas y con base en ellas fundamenta la decisión respectiva. </w:t>
      </w:r>
      <w:r w:rsidRPr="00FA2FC1">
        <w:rPr>
          <w:rFonts w:ascii="Arial" w:hAnsi="Arial"/>
          <w:i/>
          <w:szCs w:val="22"/>
          <w:lang w:val="es-ES_tradnl"/>
        </w:rPr>
        <w:t xml:space="preserve">  </w:t>
      </w:r>
      <w:r w:rsidRPr="00FA2FC1">
        <w:rPr>
          <w:rFonts w:ascii="Arial" w:hAnsi="Arial"/>
          <w:szCs w:val="22"/>
          <w:lang w:val="es-ES_tradnl"/>
        </w:rPr>
        <w:t>El resaltado es de este Tribunal.</w:t>
      </w:r>
    </w:p>
    <w:p w:rsidR="007B425D" w:rsidRDefault="007B425D" w:rsidP="007B425D">
      <w:pPr>
        <w:pStyle w:val="Corpsdetexte"/>
        <w:spacing w:line="360" w:lineRule="auto"/>
        <w:rPr>
          <w:rFonts w:ascii="Arial" w:hAnsi="Arial" w:cs="Arial"/>
          <w:szCs w:val="24"/>
        </w:rPr>
      </w:pPr>
    </w:p>
    <w:p w:rsidR="007B425D" w:rsidRDefault="007B425D" w:rsidP="007B425D">
      <w:pPr>
        <w:pStyle w:val="Corpsdetexte"/>
        <w:spacing w:line="360" w:lineRule="auto"/>
        <w:rPr>
          <w:rFonts w:ascii="Arial" w:hAnsi="Arial" w:cs="Arial"/>
          <w:szCs w:val="24"/>
        </w:rPr>
      </w:pPr>
      <w:r>
        <w:rPr>
          <w:rFonts w:ascii="Arial" w:hAnsi="Arial" w:cs="Arial"/>
          <w:szCs w:val="24"/>
        </w:rPr>
        <w:lastRenderedPageBreak/>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Pr>
          <w:rStyle w:val="Appelnotedebasdep"/>
          <w:rFonts w:ascii="Arial" w:hAnsi="Arial"/>
          <w:szCs w:val="24"/>
        </w:rPr>
        <w:footnoteReference w:id="14"/>
      </w:r>
      <w:r>
        <w:rPr>
          <w:rFonts w:ascii="Arial" w:hAnsi="Arial" w:cs="Arial"/>
          <w:szCs w:val="24"/>
        </w:rPr>
        <w:t>.</w:t>
      </w:r>
    </w:p>
    <w:p w:rsidR="007B425D" w:rsidRPr="006A3AB9" w:rsidRDefault="007B425D" w:rsidP="008F34B8">
      <w:pPr>
        <w:pStyle w:val="Corpsdetexte"/>
        <w:spacing w:line="360" w:lineRule="auto"/>
        <w:rPr>
          <w:rFonts w:ascii="Arial" w:hAnsi="Arial" w:cs="Arial"/>
          <w:szCs w:val="24"/>
        </w:rPr>
      </w:pPr>
    </w:p>
    <w:p w:rsidR="007B425D" w:rsidRPr="004F147E" w:rsidRDefault="007B425D" w:rsidP="004F147E">
      <w:pPr>
        <w:pStyle w:val="Paragraphedeliste"/>
        <w:numPr>
          <w:ilvl w:val="1"/>
          <w:numId w:val="18"/>
        </w:numPr>
        <w:spacing w:line="360" w:lineRule="auto"/>
        <w:ind w:right="22"/>
        <w:jc w:val="both"/>
        <w:rPr>
          <w:rFonts w:ascii="Arial" w:hAnsi="Arial" w:cs="Arial"/>
          <w:smallCaps/>
          <w:szCs w:val="22"/>
          <w:lang w:val="es-ES_tradnl"/>
        </w:rPr>
      </w:pPr>
      <w:r w:rsidRPr="004F147E">
        <w:rPr>
          <w:rFonts w:ascii="Arial" w:hAnsi="Arial" w:cs="Arial"/>
          <w:smallCaps/>
          <w:szCs w:val="22"/>
          <w:lang w:val="es-ES_tradnl"/>
        </w:rPr>
        <w:t>El defecto sustantivo o material</w:t>
      </w:r>
    </w:p>
    <w:p w:rsidR="007B425D" w:rsidRPr="00FE5FF3" w:rsidRDefault="007B425D" w:rsidP="007B425D">
      <w:pPr>
        <w:spacing w:line="360" w:lineRule="auto"/>
        <w:ind w:right="22"/>
        <w:jc w:val="both"/>
        <w:rPr>
          <w:rFonts w:ascii="Arial" w:hAnsi="Arial" w:cs="Arial"/>
          <w:sz w:val="20"/>
          <w:szCs w:val="22"/>
          <w:lang w:val="es-ES_tradnl"/>
        </w:rPr>
      </w:pPr>
    </w:p>
    <w:p w:rsidR="007B425D" w:rsidRDefault="007B425D" w:rsidP="007B425D">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15"/>
      </w:r>
      <w:r>
        <w:rPr>
          <w:rFonts w:ascii="Arial" w:hAnsi="Arial" w:cs="Arial"/>
          <w:szCs w:val="22"/>
          <w:lang w:val="es-ES_tradnl"/>
        </w:rPr>
        <w:t>, luego en otra decisión</w:t>
      </w:r>
      <w:r>
        <w:rPr>
          <w:rStyle w:val="Appelnotedebasdep"/>
          <w:rFonts w:ascii="Arial" w:hAnsi="Arial"/>
          <w:szCs w:val="22"/>
          <w:lang w:val="es-ES_tradnl"/>
        </w:rPr>
        <w:footnoteReference w:id="16"/>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En desarrollo de esta teoría, se ha ido ampliando esa noción, para prodigar protección en varios eventos</w:t>
      </w:r>
      <w:r>
        <w:rPr>
          <w:rStyle w:val="Appelnotedebasdep"/>
          <w:rFonts w:ascii="Arial" w:hAnsi="Arial"/>
          <w:szCs w:val="22"/>
          <w:lang w:val="es-ES_tradnl"/>
        </w:rPr>
        <w:footnoteReference w:id="17"/>
      </w:r>
      <w:r>
        <w:rPr>
          <w:rFonts w:ascii="Arial" w:hAnsi="Arial" w:cs="Arial"/>
          <w:szCs w:val="22"/>
          <w:lang w:val="es-ES_tradnl"/>
        </w:rPr>
        <w:t>, al efecto tiene precisadas distintas variables:</w:t>
      </w:r>
    </w:p>
    <w:p w:rsidR="007B425D" w:rsidRPr="00F165D9" w:rsidRDefault="007B425D" w:rsidP="007B425D">
      <w:pPr>
        <w:ind w:left="567" w:right="22"/>
        <w:jc w:val="both"/>
        <w:rPr>
          <w:rFonts w:ascii="Arial" w:hAnsi="Arial" w:cs="Arial"/>
          <w:szCs w:val="22"/>
          <w:lang w:val="es-ES_tradnl"/>
        </w:rPr>
      </w:pPr>
    </w:p>
    <w:p w:rsidR="007B425D" w:rsidRPr="007C12E8" w:rsidRDefault="007B425D" w:rsidP="007B425D">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8"/>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9"/>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20"/>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B425D" w:rsidRPr="000A1B5D" w:rsidRDefault="007B425D" w:rsidP="007B425D">
      <w:pPr>
        <w:ind w:left="567" w:right="567"/>
        <w:jc w:val="both"/>
        <w:rPr>
          <w:rFonts w:ascii="Arial" w:hAnsi="Arial" w:cs="Arial"/>
        </w:rPr>
      </w:pPr>
      <w:r w:rsidRPr="007C12E8">
        <w:rPr>
          <w:rStyle w:val="Appelnotedebasdep"/>
          <w:rFonts w:ascii="Arial" w:hAnsi="Arial"/>
          <w:iCs/>
        </w:rPr>
        <w:footnoteReference w:id="21"/>
      </w:r>
      <w:r>
        <w:rPr>
          <w:rFonts w:ascii="Arial" w:hAnsi="Arial" w:cs="Arial"/>
          <w:iCs/>
          <w:vertAlign w:val="superscript"/>
        </w:rPr>
        <w:t>-</w:t>
      </w:r>
      <w:r>
        <w:rPr>
          <w:rStyle w:val="Appelnotedebasdep"/>
          <w:rFonts w:ascii="Arial" w:hAnsi="Arial"/>
          <w:iCs/>
        </w:rPr>
        <w:footnoteReference w:id="22"/>
      </w:r>
    </w:p>
    <w:p w:rsidR="007B425D" w:rsidRPr="00F165D9" w:rsidRDefault="007B425D" w:rsidP="007B425D">
      <w:pPr>
        <w:pStyle w:val="Corpsdetexte"/>
        <w:spacing w:line="360" w:lineRule="auto"/>
        <w:rPr>
          <w:rFonts w:ascii="Arial" w:hAnsi="Arial" w:cs="Arial"/>
        </w:rPr>
      </w:pPr>
    </w:p>
    <w:p w:rsidR="007B425D" w:rsidRDefault="007B425D" w:rsidP="007B425D">
      <w:pPr>
        <w:pStyle w:val="Corpsdetexte"/>
        <w:spacing w:line="360" w:lineRule="auto"/>
        <w:rPr>
          <w:rFonts w:ascii="Arial" w:hAnsi="Arial" w:cs="Arial"/>
          <w:spacing w:val="0"/>
          <w:szCs w:val="24"/>
          <w:lang w:val="es-ES"/>
        </w:rPr>
      </w:pPr>
      <w:r w:rsidRPr="00651F25">
        <w:rPr>
          <w:rFonts w:ascii="Arial" w:hAnsi="Arial" w:cs="Arial"/>
        </w:rPr>
        <w:t>Así mismo el alto Tribunal Constitucional</w:t>
      </w:r>
      <w:r w:rsidRPr="00651F25">
        <w:rPr>
          <w:rStyle w:val="Appelnotedebasdep"/>
          <w:rFonts w:ascii="Arial" w:hAnsi="Arial"/>
        </w:rPr>
        <w:footnoteReference w:id="23"/>
      </w:r>
      <w:r w:rsidRPr="00651F25">
        <w:rPr>
          <w:rFonts w:ascii="Arial" w:hAnsi="Arial" w:cs="Arial"/>
        </w:rPr>
        <w:t>, señaló:</w:t>
      </w:r>
      <w:r>
        <w:rPr>
          <w:rFonts w:ascii="Arial" w:hAnsi="Arial" w:cs="Arial"/>
        </w:rPr>
        <w:t xml:space="preserve"> </w:t>
      </w:r>
      <w:r w:rsidRPr="00F165D9">
        <w:rPr>
          <w:rFonts w:ascii="Arial" w:hAnsi="Arial" w:cs="Arial"/>
          <w:i/>
          <w:sz w:val="22"/>
        </w:rPr>
        <w:t xml:space="preserve">“(…) 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05056">
        <w:rPr>
          <w:rFonts w:ascii="Arial" w:hAnsi="Arial" w:cs="Arial"/>
          <w:i/>
          <w:sz w:val="22"/>
        </w:rPr>
        <w:t>o interprete en forma contraevidente, irrazonable o desproporcionada la norma aplicable (…)</w:t>
      </w:r>
      <w:r w:rsidRPr="00F165D9">
        <w:rPr>
          <w:rFonts w:ascii="Arial" w:hAnsi="Arial" w:cs="Arial"/>
          <w:i/>
          <w:sz w:val="22"/>
        </w:rPr>
        <w:t>”</w:t>
      </w:r>
      <w:r>
        <w:rPr>
          <w:rFonts w:ascii="Arial" w:hAnsi="Arial" w:cs="Arial"/>
          <w:i/>
          <w:sz w:val="22"/>
        </w:rPr>
        <w:t>.</w:t>
      </w:r>
      <w:r>
        <w:rPr>
          <w:rFonts w:ascii="Arial" w:hAnsi="Arial" w:cs="Arial"/>
          <w:i/>
        </w:rPr>
        <w:t xml:space="preserve"> </w:t>
      </w:r>
    </w:p>
    <w:p w:rsidR="007B425D" w:rsidRDefault="007B425D" w:rsidP="007B425D">
      <w:pPr>
        <w:pStyle w:val="Corpsdetexte"/>
        <w:spacing w:line="360" w:lineRule="auto"/>
        <w:rPr>
          <w:rFonts w:ascii="Arial" w:hAnsi="Arial" w:cs="Arial"/>
          <w:spacing w:val="0"/>
          <w:szCs w:val="24"/>
          <w:lang w:val="es-ES"/>
        </w:rPr>
      </w:pPr>
    </w:p>
    <w:p w:rsidR="008F34B8" w:rsidRPr="0073519C" w:rsidRDefault="008F34B8" w:rsidP="008F34B8">
      <w:pPr>
        <w:pStyle w:val="Paragraphedeliste"/>
        <w:numPr>
          <w:ilvl w:val="0"/>
          <w:numId w:val="18"/>
        </w:numPr>
        <w:spacing w:line="360" w:lineRule="auto"/>
        <w:ind w:right="51"/>
        <w:jc w:val="both"/>
        <w:rPr>
          <w:rFonts w:ascii="Arial" w:hAnsi="Arial" w:cs="Arial"/>
          <w:lang w:val="es-ES_tradnl"/>
        </w:rPr>
      </w:pPr>
      <w:r w:rsidRPr="0073519C">
        <w:rPr>
          <w:rFonts w:ascii="Arial" w:hAnsi="Arial" w:cs="Arial"/>
          <w:lang w:val="es-ES_tradnl"/>
        </w:rPr>
        <w:t>EL ANÁLISIS DEL CASO EN CONCRETO</w:t>
      </w:r>
    </w:p>
    <w:p w:rsidR="008F34B8" w:rsidRDefault="00716966" w:rsidP="008F34B8">
      <w:pPr>
        <w:pStyle w:val="Corpsdetexte"/>
        <w:spacing w:line="360" w:lineRule="auto"/>
        <w:rPr>
          <w:rFonts w:ascii="Arial" w:hAnsi="Arial"/>
          <w:szCs w:val="24"/>
        </w:rPr>
      </w:pPr>
      <w:r w:rsidRPr="0073519C">
        <w:rPr>
          <w:rFonts w:ascii="Arial" w:hAnsi="Arial"/>
          <w:szCs w:val="24"/>
        </w:rPr>
        <w:t>En la metodología enseñada por la doctrina constitucional, el primer examen consiste en verificar</w:t>
      </w:r>
      <w:r w:rsidR="008F34B8" w:rsidRPr="0073519C">
        <w:rPr>
          <w:rFonts w:ascii="Arial" w:hAnsi="Arial"/>
          <w:szCs w:val="24"/>
        </w:rPr>
        <w:t xml:space="preserve"> los presupuestos generales de procedibilidad, y para el caso se hallan </w:t>
      </w:r>
      <w:r w:rsidR="008F34B8" w:rsidRPr="0073519C">
        <w:rPr>
          <w:rFonts w:ascii="Arial" w:hAnsi="Arial"/>
          <w:szCs w:val="24"/>
        </w:rPr>
        <w:lastRenderedPageBreak/>
        <w:t xml:space="preserve">debidamente cumplidos. El asunto es de relevancia constitucional; </w:t>
      </w:r>
      <w:r w:rsidR="007B0B00" w:rsidRPr="0073519C">
        <w:rPr>
          <w:rFonts w:ascii="Arial" w:hAnsi="Arial"/>
          <w:szCs w:val="24"/>
        </w:rPr>
        <w:t>no existen medios ordinarios adicionales que puedan agotarse por los accionantes, pues la providencia atacada es de única instancia</w:t>
      </w:r>
      <w:r w:rsidR="008F34B8" w:rsidRPr="0073519C">
        <w:rPr>
          <w:rFonts w:ascii="Arial" w:hAnsi="Arial"/>
          <w:szCs w:val="24"/>
        </w:rPr>
        <w:t xml:space="preserve"> </w:t>
      </w:r>
      <w:r w:rsidR="00177DFE">
        <w:rPr>
          <w:rFonts w:ascii="Arial" w:hAnsi="Arial"/>
          <w:szCs w:val="24"/>
        </w:rPr>
        <w:t xml:space="preserve">(Art. 21-18, </w:t>
      </w:r>
      <w:proofErr w:type="spellStart"/>
      <w:r w:rsidR="00177DFE">
        <w:rPr>
          <w:rFonts w:ascii="Arial" w:hAnsi="Arial"/>
          <w:szCs w:val="24"/>
        </w:rPr>
        <w:t>CGP</w:t>
      </w:r>
      <w:proofErr w:type="spellEnd"/>
      <w:r w:rsidR="00177DFE">
        <w:rPr>
          <w:rFonts w:ascii="Arial" w:hAnsi="Arial"/>
          <w:szCs w:val="24"/>
        </w:rPr>
        <w:t xml:space="preserve">) </w:t>
      </w:r>
      <w:r w:rsidR="008F34B8" w:rsidRPr="0073519C">
        <w:rPr>
          <w:rFonts w:ascii="Arial" w:hAnsi="Arial"/>
          <w:szCs w:val="24"/>
        </w:rPr>
        <w:t xml:space="preserve">(Subsidiariedad); </w:t>
      </w:r>
      <w:r w:rsidR="004B77EB" w:rsidRPr="0073519C">
        <w:rPr>
          <w:rFonts w:ascii="Arial" w:hAnsi="Arial"/>
          <w:szCs w:val="24"/>
        </w:rPr>
        <w:t xml:space="preserve">la </w:t>
      </w:r>
      <w:r w:rsidR="007B0B00" w:rsidRPr="0073519C">
        <w:rPr>
          <w:rFonts w:ascii="Arial" w:hAnsi="Arial"/>
          <w:szCs w:val="24"/>
        </w:rPr>
        <w:t xml:space="preserve">decisión </w:t>
      </w:r>
      <w:r w:rsidR="008F34B8" w:rsidRPr="0073519C">
        <w:rPr>
          <w:rFonts w:ascii="Arial" w:hAnsi="Arial"/>
          <w:szCs w:val="24"/>
        </w:rPr>
        <w:t xml:space="preserve">reprochada no es de tutela; hay inmediatez porque </w:t>
      </w:r>
      <w:r w:rsidR="00F87CB3" w:rsidRPr="0073519C">
        <w:rPr>
          <w:rFonts w:ascii="Arial" w:hAnsi="Arial"/>
          <w:szCs w:val="24"/>
        </w:rPr>
        <w:t xml:space="preserve">la sentencia </w:t>
      </w:r>
      <w:r w:rsidR="007B0B00" w:rsidRPr="0073519C">
        <w:rPr>
          <w:rFonts w:ascii="Arial" w:hAnsi="Arial"/>
          <w:szCs w:val="24"/>
        </w:rPr>
        <w:t xml:space="preserve">que resolvió sobre la homologación </w:t>
      </w:r>
      <w:r w:rsidR="003C0AF4">
        <w:rPr>
          <w:rFonts w:ascii="Arial" w:hAnsi="Arial"/>
          <w:szCs w:val="24"/>
        </w:rPr>
        <w:t xml:space="preserve">se dictó el 06-03-2017 </w:t>
      </w:r>
      <w:r w:rsidR="00F87CB3" w:rsidRPr="0073519C">
        <w:rPr>
          <w:rFonts w:ascii="Arial" w:hAnsi="Arial"/>
          <w:szCs w:val="24"/>
        </w:rPr>
        <w:t>(Folio</w:t>
      </w:r>
      <w:r w:rsidR="003C0AF4">
        <w:rPr>
          <w:rFonts w:ascii="Arial" w:hAnsi="Arial"/>
          <w:szCs w:val="24"/>
        </w:rPr>
        <w:t>s</w:t>
      </w:r>
      <w:r w:rsidR="008F34B8" w:rsidRPr="0073519C">
        <w:rPr>
          <w:rFonts w:ascii="Arial" w:hAnsi="Arial"/>
          <w:szCs w:val="24"/>
        </w:rPr>
        <w:t xml:space="preserve"> </w:t>
      </w:r>
      <w:r w:rsidR="003C0AF4">
        <w:rPr>
          <w:rFonts w:ascii="Arial" w:hAnsi="Arial"/>
          <w:szCs w:val="24"/>
        </w:rPr>
        <w:t>96 a 105</w:t>
      </w:r>
      <w:r w:rsidR="00F87CB3" w:rsidRPr="0073519C">
        <w:rPr>
          <w:rFonts w:ascii="Arial" w:hAnsi="Arial"/>
          <w:szCs w:val="24"/>
        </w:rPr>
        <w:t xml:space="preserve">, </w:t>
      </w:r>
      <w:r w:rsidR="003C0AF4">
        <w:rPr>
          <w:rFonts w:ascii="Arial" w:hAnsi="Arial"/>
          <w:szCs w:val="24"/>
        </w:rPr>
        <w:t>este cuaderno</w:t>
      </w:r>
      <w:r w:rsidR="008F34B8" w:rsidRPr="0073519C">
        <w:rPr>
          <w:rFonts w:ascii="Arial" w:hAnsi="Arial"/>
          <w:szCs w:val="24"/>
        </w:rPr>
        <w:t xml:space="preserve">) y la </w:t>
      </w:r>
      <w:r w:rsidR="00F87CB3" w:rsidRPr="0073519C">
        <w:rPr>
          <w:rFonts w:ascii="Arial" w:hAnsi="Arial"/>
          <w:szCs w:val="24"/>
        </w:rPr>
        <w:t xml:space="preserve">acción fue instaurada </w:t>
      </w:r>
      <w:r w:rsidR="003C0AF4">
        <w:rPr>
          <w:rFonts w:ascii="Arial" w:hAnsi="Arial"/>
          <w:szCs w:val="24"/>
        </w:rPr>
        <w:t>el 2</w:t>
      </w:r>
      <w:r w:rsidR="00F87CB3" w:rsidRPr="0073519C">
        <w:rPr>
          <w:rFonts w:ascii="Arial" w:hAnsi="Arial"/>
          <w:szCs w:val="24"/>
        </w:rPr>
        <w:t>4-04-</w:t>
      </w:r>
      <w:r w:rsidR="003C0AF4">
        <w:rPr>
          <w:rFonts w:ascii="Arial" w:hAnsi="Arial"/>
          <w:szCs w:val="24"/>
        </w:rPr>
        <w:t xml:space="preserve">2017 </w:t>
      </w:r>
      <w:r w:rsidR="008F34B8" w:rsidRPr="0073519C">
        <w:rPr>
          <w:rFonts w:ascii="Arial" w:hAnsi="Arial"/>
          <w:szCs w:val="24"/>
        </w:rPr>
        <w:t xml:space="preserve">(Folio </w:t>
      </w:r>
      <w:r w:rsidR="003C0AF4">
        <w:rPr>
          <w:rFonts w:ascii="Arial" w:hAnsi="Arial"/>
          <w:szCs w:val="24"/>
        </w:rPr>
        <w:t>45</w:t>
      </w:r>
      <w:r w:rsidR="00CB74A2" w:rsidRPr="0073519C">
        <w:rPr>
          <w:rFonts w:ascii="Arial" w:hAnsi="Arial"/>
          <w:szCs w:val="24"/>
        </w:rPr>
        <w:t xml:space="preserve">, </w:t>
      </w:r>
      <w:r w:rsidR="00F87CB3" w:rsidRPr="0073519C">
        <w:rPr>
          <w:rFonts w:ascii="Arial" w:hAnsi="Arial"/>
          <w:szCs w:val="24"/>
        </w:rPr>
        <w:t>este cuaderno</w:t>
      </w:r>
      <w:r w:rsidR="00CB74A2" w:rsidRPr="0073519C">
        <w:rPr>
          <w:rFonts w:ascii="Arial" w:hAnsi="Arial"/>
          <w:szCs w:val="24"/>
        </w:rPr>
        <w:t>.</w:t>
      </w:r>
      <w:r w:rsidR="008F34B8" w:rsidRPr="0073519C">
        <w:rPr>
          <w:rFonts w:ascii="Arial" w:hAnsi="Arial"/>
          <w:szCs w:val="24"/>
        </w:rPr>
        <w:t>); la</w:t>
      </w:r>
      <w:r w:rsidR="003C0AF4">
        <w:rPr>
          <w:rFonts w:ascii="Arial" w:hAnsi="Arial"/>
          <w:szCs w:val="24"/>
        </w:rPr>
        <w:t>s</w:t>
      </w:r>
      <w:r w:rsidR="008F34B8" w:rsidRPr="0073519C">
        <w:rPr>
          <w:rFonts w:ascii="Arial" w:hAnsi="Arial"/>
          <w:szCs w:val="24"/>
        </w:rPr>
        <w:t xml:space="preserve"> irregularidad</w:t>
      </w:r>
      <w:r w:rsidR="003C0AF4">
        <w:rPr>
          <w:rFonts w:ascii="Arial" w:hAnsi="Arial"/>
          <w:szCs w:val="24"/>
        </w:rPr>
        <w:t>es</w:t>
      </w:r>
      <w:r w:rsidR="008F34B8" w:rsidRPr="0073519C">
        <w:rPr>
          <w:rFonts w:ascii="Arial" w:hAnsi="Arial"/>
          <w:szCs w:val="24"/>
        </w:rPr>
        <w:t xml:space="preserve"> realzada</w:t>
      </w:r>
      <w:r w:rsidR="003C0AF4">
        <w:rPr>
          <w:rFonts w:ascii="Arial" w:hAnsi="Arial"/>
          <w:szCs w:val="24"/>
        </w:rPr>
        <w:t>s</w:t>
      </w:r>
      <w:r w:rsidR="00F87CB3" w:rsidRPr="0073519C">
        <w:rPr>
          <w:rFonts w:ascii="Arial" w:hAnsi="Arial"/>
          <w:szCs w:val="24"/>
        </w:rPr>
        <w:t>,</w:t>
      </w:r>
      <w:r w:rsidR="008F34B8" w:rsidRPr="0073519C">
        <w:rPr>
          <w:rFonts w:ascii="Arial" w:hAnsi="Arial"/>
          <w:szCs w:val="24"/>
        </w:rPr>
        <w:t xml:space="preserve"> resulta</w:t>
      </w:r>
      <w:r w:rsidR="003C0AF4">
        <w:rPr>
          <w:rFonts w:ascii="Arial" w:hAnsi="Arial"/>
          <w:szCs w:val="24"/>
        </w:rPr>
        <w:t>n</w:t>
      </w:r>
      <w:r w:rsidR="008F34B8" w:rsidRPr="0073519C">
        <w:rPr>
          <w:rFonts w:ascii="Arial" w:hAnsi="Arial"/>
          <w:szCs w:val="24"/>
        </w:rPr>
        <w:t xml:space="preserve"> ser trasce</w:t>
      </w:r>
      <w:r w:rsidR="00950AC0" w:rsidRPr="0073519C">
        <w:rPr>
          <w:rFonts w:ascii="Arial" w:hAnsi="Arial"/>
          <w:szCs w:val="24"/>
        </w:rPr>
        <w:t>n</w:t>
      </w:r>
      <w:r w:rsidR="00177DFE">
        <w:rPr>
          <w:rFonts w:ascii="Arial" w:hAnsi="Arial"/>
          <w:szCs w:val="24"/>
        </w:rPr>
        <w:t>dente</w:t>
      </w:r>
      <w:r w:rsidR="003C0AF4">
        <w:rPr>
          <w:rFonts w:ascii="Arial" w:hAnsi="Arial"/>
          <w:szCs w:val="24"/>
        </w:rPr>
        <w:t>s</w:t>
      </w:r>
      <w:r w:rsidR="00177DFE">
        <w:rPr>
          <w:rFonts w:ascii="Arial" w:hAnsi="Arial"/>
          <w:szCs w:val="24"/>
        </w:rPr>
        <w:t xml:space="preserve"> en el trámite</w:t>
      </w:r>
      <w:r w:rsidR="00F87511">
        <w:rPr>
          <w:rFonts w:ascii="Arial" w:hAnsi="Arial"/>
          <w:szCs w:val="24"/>
        </w:rPr>
        <w:t xml:space="preserve"> procedimental y fue</w:t>
      </w:r>
      <w:r w:rsidR="003C0AF4">
        <w:rPr>
          <w:rFonts w:ascii="Arial" w:hAnsi="Arial"/>
          <w:szCs w:val="24"/>
        </w:rPr>
        <w:t>ron</w:t>
      </w:r>
      <w:r w:rsidR="00177DFE">
        <w:rPr>
          <w:rFonts w:ascii="Arial" w:hAnsi="Arial"/>
          <w:szCs w:val="24"/>
        </w:rPr>
        <w:t xml:space="preserve"> identificada</w:t>
      </w:r>
      <w:r w:rsidR="003C0AF4">
        <w:rPr>
          <w:rFonts w:ascii="Arial" w:hAnsi="Arial"/>
          <w:szCs w:val="24"/>
        </w:rPr>
        <w:t>s</w:t>
      </w:r>
      <w:r w:rsidR="00177DFE">
        <w:rPr>
          <w:rFonts w:ascii="Arial" w:hAnsi="Arial"/>
          <w:szCs w:val="24"/>
        </w:rPr>
        <w:t xml:space="preserve"> en la tutela.</w:t>
      </w:r>
    </w:p>
    <w:p w:rsidR="00305056" w:rsidRPr="0073519C" w:rsidRDefault="00305056" w:rsidP="008F34B8">
      <w:pPr>
        <w:pStyle w:val="Corpsdetexte"/>
        <w:spacing w:line="360" w:lineRule="auto"/>
        <w:rPr>
          <w:rFonts w:ascii="Arial" w:hAnsi="Arial"/>
          <w:szCs w:val="24"/>
        </w:rPr>
      </w:pPr>
    </w:p>
    <w:p w:rsidR="00CB3861" w:rsidRDefault="00F87CB3" w:rsidP="00F87CB3">
      <w:pPr>
        <w:widowControl/>
        <w:spacing w:line="360" w:lineRule="auto"/>
        <w:jc w:val="both"/>
        <w:rPr>
          <w:rFonts w:ascii="Arial" w:hAnsi="Arial" w:cs="Arial"/>
        </w:rPr>
      </w:pPr>
      <w:r w:rsidRPr="0073519C">
        <w:rPr>
          <w:rFonts w:ascii="Arial" w:hAnsi="Arial" w:cs="Arial"/>
        </w:rPr>
        <w:t>Clausurado el estudio de los requisitos generales, corresponde proseguir con la revisión de las causales especiales que en el caso concreto se subsume</w:t>
      </w:r>
      <w:r w:rsidR="003C0AF4">
        <w:rPr>
          <w:rFonts w:ascii="Arial" w:hAnsi="Arial" w:cs="Arial"/>
        </w:rPr>
        <w:t>n</w:t>
      </w:r>
      <w:r w:rsidRPr="0073519C">
        <w:rPr>
          <w:rFonts w:ascii="Arial" w:hAnsi="Arial" w:cs="Arial"/>
        </w:rPr>
        <w:t xml:space="preserve"> en </w:t>
      </w:r>
      <w:r w:rsidR="003C0AF4">
        <w:rPr>
          <w:rFonts w:ascii="Arial" w:hAnsi="Arial" w:cs="Arial"/>
        </w:rPr>
        <w:t xml:space="preserve">los </w:t>
      </w:r>
      <w:r w:rsidRPr="0073519C">
        <w:rPr>
          <w:rFonts w:ascii="Arial" w:hAnsi="Arial" w:cs="Arial"/>
        </w:rPr>
        <w:t>d</w:t>
      </w:r>
      <w:r w:rsidRPr="0073519C">
        <w:rPr>
          <w:rFonts w:ascii="Arial" w:hAnsi="Arial" w:cs="Arial"/>
          <w:lang w:val="es-ES_tradnl"/>
        </w:rPr>
        <w:t>efecto</w:t>
      </w:r>
      <w:r w:rsidR="003C0AF4">
        <w:rPr>
          <w:rFonts w:ascii="Arial" w:hAnsi="Arial" w:cs="Arial"/>
          <w:lang w:val="es-ES_tradnl"/>
        </w:rPr>
        <w:t>s</w:t>
      </w:r>
      <w:r w:rsidRPr="0073519C">
        <w:rPr>
          <w:rFonts w:ascii="Arial" w:hAnsi="Arial" w:cs="Arial"/>
          <w:lang w:val="es-ES_tradnl"/>
        </w:rPr>
        <w:t xml:space="preserve"> </w:t>
      </w:r>
      <w:r w:rsidR="003C0AF4">
        <w:rPr>
          <w:rFonts w:ascii="Arial" w:hAnsi="Arial" w:cs="Arial"/>
          <w:lang w:val="es-ES_tradnl"/>
        </w:rPr>
        <w:t xml:space="preserve">fáctico y </w:t>
      </w:r>
      <w:r w:rsidRPr="0073519C">
        <w:rPr>
          <w:rFonts w:ascii="Arial" w:hAnsi="Arial" w:cs="Arial"/>
        </w:rPr>
        <w:t>sustantivo</w:t>
      </w:r>
      <w:r w:rsidR="00305056">
        <w:rPr>
          <w:rFonts w:ascii="Arial" w:hAnsi="Arial" w:cs="Arial"/>
        </w:rPr>
        <w:t>.</w:t>
      </w:r>
    </w:p>
    <w:p w:rsidR="00CB3861" w:rsidRDefault="00CB3861" w:rsidP="00F87CB3">
      <w:pPr>
        <w:widowControl/>
        <w:spacing w:line="360" w:lineRule="auto"/>
        <w:jc w:val="both"/>
        <w:rPr>
          <w:rFonts w:ascii="Arial" w:hAnsi="Arial" w:cs="Arial"/>
        </w:rPr>
      </w:pPr>
    </w:p>
    <w:p w:rsidR="005B4C50" w:rsidRPr="005B4C50" w:rsidRDefault="005B4C50" w:rsidP="00CB3861">
      <w:pPr>
        <w:pStyle w:val="Paragraphedeliste"/>
        <w:widowControl/>
        <w:numPr>
          <w:ilvl w:val="1"/>
          <w:numId w:val="18"/>
        </w:numPr>
        <w:spacing w:line="360" w:lineRule="auto"/>
        <w:jc w:val="both"/>
        <w:rPr>
          <w:rFonts w:ascii="Arial" w:hAnsi="Arial" w:cs="Arial"/>
          <w:smallCaps/>
        </w:rPr>
      </w:pPr>
      <w:r w:rsidRPr="005B4C50">
        <w:rPr>
          <w:rFonts w:ascii="Arial" w:hAnsi="Arial" w:cs="Arial"/>
          <w:smallCaps/>
        </w:rPr>
        <w:t xml:space="preserve">El defecto fáctico </w:t>
      </w:r>
    </w:p>
    <w:p w:rsidR="005B4C50" w:rsidRDefault="005B4C50" w:rsidP="005B4C50">
      <w:pPr>
        <w:widowControl/>
        <w:spacing w:line="360" w:lineRule="auto"/>
        <w:jc w:val="both"/>
        <w:rPr>
          <w:rFonts w:ascii="Arial" w:hAnsi="Arial" w:cs="Arial"/>
        </w:rPr>
      </w:pPr>
    </w:p>
    <w:p w:rsidR="005B4C50" w:rsidRDefault="005B4C50" w:rsidP="005B4C50">
      <w:pPr>
        <w:widowControl/>
        <w:spacing w:line="360" w:lineRule="auto"/>
        <w:jc w:val="both"/>
        <w:rPr>
          <w:rFonts w:ascii="Arial" w:hAnsi="Arial" w:cs="Arial"/>
        </w:rPr>
      </w:pPr>
      <w:r>
        <w:rPr>
          <w:rFonts w:ascii="Arial" w:hAnsi="Arial" w:cs="Arial"/>
        </w:rPr>
        <w:t xml:space="preserve">Se queja la parte actora de que </w:t>
      </w:r>
      <w:r w:rsidR="00F87CB3" w:rsidRPr="005B4C50">
        <w:rPr>
          <w:rFonts w:ascii="Arial" w:hAnsi="Arial" w:cs="Arial"/>
        </w:rPr>
        <w:t xml:space="preserve">el accionado </w:t>
      </w:r>
      <w:r>
        <w:rPr>
          <w:rFonts w:ascii="Arial" w:hAnsi="Arial" w:cs="Arial"/>
        </w:rPr>
        <w:t xml:space="preserve">haya decidido </w:t>
      </w:r>
      <w:r w:rsidR="00F87CB3" w:rsidRPr="005B4C50">
        <w:rPr>
          <w:rFonts w:ascii="Arial" w:hAnsi="Arial" w:cs="Arial"/>
        </w:rPr>
        <w:t xml:space="preserve">no homologar la resolución de </w:t>
      </w:r>
      <w:proofErr w:type="spellStart"/>
      <w:r w:rsidR="00F87CB3" w:rsidRPr="005B4C50">
        <w:rPr>
          <w:rFonts w:ascii="Arial" w:hAnsi="Arial" w:cs="Arial"/>
        </w:rPr>
        <w:t>adoptabilidad</w:t>
      </w:r>
      <w:proofErr w:type="spellEnd"/>
      <w:r w:rsidR="00F87CB3" w:rsidRPr="005B4C50">
        <w:rPr>
          <w:rFonts w:ascii="Arial" w:hAnsi="Arial" w:cs="Arial"/>
        </w:rPr>
        <w:t xml:space="preserve"> </w:t>
      </w:r>
      <w:r w:rsidR="003C0AF4" w:rsidRPr="005B4C50">
        <w:rPr>
          <w:rFonts w:ascii="Arial" w:hAnsi="Arial" w:cs="Arial"/>
        </w:rPr>
        <w:t>con fundamento en un análisis parcial de las pruebas</w:t>
      </w:r>
      <w:r w:rsidR="00410C8E" w:rsidRPr="005B4C50">
        <w:rPr>
          <w:rFonts w:ascii="Arial" w:hAnsi="Arial" w:cs="Arial"/>
        </w:rPr>
        <w:t xml:space="preserve">, </w:t>
      </w:r>
      <w:r>
        <w:rPr>
          <w:rFonts w:ascii="Arial" w:hAnsi="Arial" w:cs="Arial"/>
        </w:rPr>
        <w:t xml:space="preserve">específicamente porque solo tuvo en cuenta apartes de las valoraciones e intervenciones del equipo psicosocial del </w:t>
      </w:r>
      <w:proofErr w:type="spellStart"/>
      <w:r>
        <w:rPr>
          <w:rFonts w:ascii="Arial" w:hAnsi="Arial" w:cs="Arial"/>
        </w:rPr>
        <w:t>ICBF</w:t>
      </w:r>
      <w:proofErr w:type="spellEnd"/>
      <w:r>
        <w:rPr>
          <w:rFonts w:ascii="Arial" w:hAnsi="Arial" w:cs="Arial"/>
        </w:rPr>
        <w:t>. Además, porque arguyó que la familia s</w:t>
      </w:r>
      <w:r w:rsidR="00E34710">
        <w:rPr>
          <w:rFonts w:ascii="Arial" w:hAnsi="Arial" w:cs="Arial"/>
        </w:rPr>
        <w:t>í</w:t>
      </w:r>
      <w:r>
        <w:rPr>
          <w:rFonts w:ascii="Arial" w:hAnsi="Arial" w:cs="Arial"/>
        </w:rPr>
        <w:t xml:space="preserve"> ha tenido cambios</w:t>
      </w:r>
      <w:r w:rsidR="00627505">
        <w:rPr>
          <w:rFonts w:ascii="Arial" w:hAnsi="Arial" w:cs="Arial"/>
        </w:rPr>
        <w:t>, solo</w:t>
      </w:r>
      <w:r>
        <w:rPr>
          <w:rFonts w:ascii="Arial" w:hAnsi="Arial" w:cs="Arial"/>
        </w:rPr>
        <w:t xml:space="preserve"> con base en declaraciones </w:t>
      </w:r>
      <w:proofErr w:type="spellStart"/>
      <w:r>
        <w:rPr>
          <w:rFonts w:ascii="Arial" w:hAnsi="Arial" w:cs="Arial"/>
        </w:rPr>
        <w:t>extrajuicio</w:t>
      </w:r>
      <w:proofErr w:type="spellEnd"/>
      <w:r>
        <w:rPr>
          <w:rFonts w:ascii="Arial" w:hAnsi="Arial" w:cs="Arial"/>
        </w:rPr>
        <w:t xml:space="preserve">. </w:t>
      </w:r>
      <w:r w:rsidR="00E34710">
        <w:rPr>
          <w:rFonts w:ascii="Arial" w:hAnsi="Arial" w:cs="Arial"/>
        </w:rPr>
        <w:t xml:space="preserve">Finalmente lamenta </w:t>
      </w:r>
      <w:r>
        <w:rPr>
          <w:rFonts w:ascii="Arial" w:hAnsi="Arial" w:cs="Arial"/>
        </w:rPr>
        <w:t>la inactividad de la asistente social del Despacho</w:t>
      </w:r>
      <w:r w:rsidR="00E34710">
        <w:rPr>
          <w:rFonts w:ascii="Arial" w:hAnsi="Arial" w:cs="Arial"/>
        </w:rPr>
        <w:t>, pues</w:t>
      </w:r>
      <w:r>
        <w:rPr>
          <w:rFonts w:ascii="Arial" w:hAnsi="Arial" w:cs="Arial"/>
        </w:rPr>
        <w:t xml:space="preserve"> </w:t>
      </w:r>
      <w:r w:rsidR="00E34710">
        <w:rPr>
          <w:rFonts w:ascii="Arial" w:hAnsi="Arial" w:cs="Arial"/>
        </w:rPr>
        <w:t xml:space="preserve">si </w:t>
      </w:r>
      <w:r>
        <w:rPr>
          <w:rFonts w:ascii="Arial" w:hAnsi="Arial" w:cs="Arial"/>
        </w:rPr>
        <w:t xml:space="preserve">hubiera </w:t>
      </w:r>
      <w:r w:rsidR="00E34710">
        <w:rPr>
          <w:rFonts w:ascii="Arial" w:hAnsi="Arial" w:cs="Arial"/>
        </w:rPr>
        <w:t xml:space="preserve">investigado habría podido </w:t>
      </w:r>
      <w:r>
        <w:rPr>
          <w:rFonts w:ascii="Arial" w:hAnsi="Arial" w:cs="Arial"/>
        </w:rPr>
        <w:t>comprobar la inexistencia de cambios en el actuar de los padres</w:t>
      </w:r>
      <w:r w:rsidR="00E34710">
        <w:rPr>
          <w:rFonts w:ascii="Arial" w:hAnsi="Arial" w:cs="Arial"/>
        </w:rPr>
        <w:t xml:space="preserve">, como sí lo advirtió el </w:t>
      </w:r>
      <w:proofErr w:type="spellStart"/>
      <w:r w:rsidR="00E34710">
        <w:rPr>
          <w:rFonts w:ascii="Arial" w:hAnsi="Arial" w:cs="Arial"/>
        </w:rPr>
        <w:t>ICBF</w:t>
      </w:r>
      <w:proofErr w:type="spellEnd"/>
      <w:r w:rsidR="00E34710">
        <w:rPr>
          <w:rFonts w:ascii="Arial" w:hAnsi="Arial" w:cs="Arial"/>
        </w:rPr>
        <w:t xml:space="preserve"> por virtud de comunicación de la </w:t>
      </w:r>
      <w:r>
        <w:rPr>
          <w:rFonts w:ascii="Arial" w:hAnsi="Arial" w:cs="Arial"/>
        </w:rPr>
        <w:t>Cl</w:t>
      </w:r>
      <w:r w:rsidR="00E34710">
        <w:rPr>
          <w:rFonts w:ascii="Arial" w:hAnsi="Arial" w:cs="Arial"/>
        </w:rPr>
        <w:t xml:space="preserve">ínica </w:t>
      </w:r>
      <w:proofErr w:type="spellStart"/>
      <w:r w:rsidR="00E34710">
        <w:rPr>
          <w:rFonts w:ascii="Arial" w:hAnsi="Arial" w:cs="Arial"/>
        </w:rPr>
        <w:t>Confamiliar</w:t>
      </w:r>
      <w:proofErr w:type="spellEnd"/>
      <w:r w:rsidR="00E34710">
        <w:rPr>
          <w:rFonts w:ascii="Arial" w:hAnsi="Arial" w:cs="Arial"/>
        </w:rPr>
        <w:t xml:space="preserve"> el 13-03-2017 en la que se le informaba sobre la situación</w:t>
      </w:r>
      <w:r w:rsidR="004A5EF1">
        <w:rPr>
          <w:rFonts w:ascii="Arial" w:hAnsi="Arial" w:cs="Arial"/>
        </w:rPr>
        <w:t xml:space="preserve"> de vulnerabilidad de</w:t>
      </w:r>
      <w:r w:rsidR="00E34710">
        <w:rPr>
          <w:rFonts w:ascii="Arial" w:hAnsi="Arial" w:cs="Arial"/>
        </w:rPr>
        <w:t xml:space="preserve"> otros </w:t>
      </w:r>
      <w:r w:rsidR="004A5EF1">
        <w:rPr>
          <w:rFonts w:ascii="Arial" w:hAnsi="Arial" w:cs="Arial"/>
        </w:rPr>
        <w:t>dos hermanos de los menores</w:t>
      </w:r>
      <w:r w:rsidR="00E34710">
        <w:rPr>
          <w:rFonts w:ascii="Arial" w:hAnsi="Arial" w:cs="Arial"/>
        </w:rPr>
        <w:t>.</w:t>
      </w:r>
    </w:p>
    <w:p w:rsidR="00E34710" w:rsidRDefault="00E34710" w:rsidP="005B4C50">
      <w:pPr>
        <w:widowControl/>
        <w:spacing w:line="360" w:lineRule="auto"/>
        <w:jc w:val="both"/>
        <w:rPr>
          <w:rFonts w:ascii="Arial" w:hAnsi="Arial" w:cs="Arial"/>
        </w:rPr>
      </w:pPr>
    </w:p>
    <w:p w:rsidR="00EC7F58" w:rsidRDefault="00E34710" w:rsidP="005B4C50">
      <w:pPr>
        <w:widowControl/>
        <w:spacing w:line="360" w:lineRule="auto"/>
        <w:jc w:val="both"/>
        <w:rPr>
          <w:rFonts w:ascii="Arial" w:hAnsi="Arial" w:cs="Arial"/>
        </w:rPr>
      </w:pPr>
      <w:r>
        <w:rPr>
          <w:rFonts w:ascii="Arial" w:hAnsi="Arial" w:cs="Arial"/>
        </w:rPr>
        <w:t xml:space="preserve">En la sentencia reprochada </w:t>
      </w:r>
      <w:r w:rsidR="0063257E">
        <w:rPr>
          <w:rFonts w:ascii="Arial" w:hAnsi="Arial" w:cs="Arial"/>
        </w:rPr>
        <w:t xml:space="preserve">(Folios 96 a 105, ib.) </w:t>
      </w:r>
      <w:r>
        <w:rPr>
          <w:rFonts w:ascii="Arial" w:hAnsi="Arial" w:cs="Arial"/>
        </w:rPr>
        <w:t xml:space="preserve">el fallador tuvo a bien considerar </w:t>
      </w:r>
      <w:r w:rsidR="00C213BA">
        <w:rPr>
          <w:rFonts w:ascii="Arial" w:hAnsi="Arial" w:cs="Arial"/>
        </w:rPr>
        <w:t>la declaración rendida por la madre de los menores</w:t>
      </w:r>
      <w:r w:rsidR="002F02BB">
        <w:rPr>
          <w:rFonts w:ascii="Arial" w:hAnsi="Arial" w:cs="Arial"/>
        </w:rPr>
        <w:t xml:space="preserve"> (Folios </w:t>
      </w:r>
      <w:r w:rsidR="0063257E">
        <w:rPr>
          <w:rFonts w:ascii="Arial" w:hAnsi="Arial" w:cs="Arial"/>
        </w:rPr>
        <w:t>107 a 109</w:t>
      </w:r>
      <w:r w:rsidR="002F02BB">
        <w:rPr>
          <w:rFonts w:ascii="Arial" w:hAnsi="Arial" w:cs="Arial"/>
        </w:rPr>
        <w:t xml:space="preserve">, ib.), </w:t>
      </w:r>
      <w:r w:rsidR="00EC7F58">
        <w:rPr>
          <w:rFonts w:ascii="Arial" w:hAnsi="Arial" w:cs="Arial"/>
        </w:rPr>
        <w:t xml:space="preserve">de la que dedujo que su familia es disfuncional, tienen suspendidos los servicios de energía y gas, la abuela materna tiene una vida nocturna, la progenitora vive del rebusque, el padre es consumidor de SPA, la abuela paterna no puede ayudar con la crianza de sus nietos; en síntesis, concluyó la negligencia de la madre porque suele dejar a los niños al cuidado de su hijo mayor. </w:t>
      </w:r>
    </w:p>
    <w:p w:rsidR="00EC7F58" w:rsidRDefault="00EC7F58" w:rsidP="005B4C50">
      <w:pPr>
        <w:widowControl/>
        <w:spacing w:line="360" w:lineRule="auto"/>
        <w:jc w:val="both"/>
        <w:rPr>
          <w:rFonts w:ascii="Arial" w:hAnsi="Arial" w:cs="Arial"/>
        </w:rPr>
      </w:pPr>
    </w:p>
    <w:p w:rsidR="004B274F" w:rsidRPr="00682503" w:rsidRDefault="004B274F" w:rsidP="005B4C50">
      <w:pPr>
        <w:widowControl/>
        <w:spacing w:line="360" w:lineRule="auto"/>
        <w:jc w:val="both"/>
        <w:rPr>
          <w:rFonts w:ascii="Arial" w:hAnsi="Arial" w:cs="Arial"/>
          <w:i/>
          <w:sz w:val="22"/>
        </w:rPr>
      </w:pPr>
      <w:r>
        <w:rPr>
          <w:rFonts w:ascii="Arial" w:hAnsi="Arial" w:cs="Arial"/>
        </w:rPr>
        <w:t>T</w:t>
      </w:r>
      <w:r w:rsidR="00EC7F58">
        <w:rPr>
          <w:rFonts w:ascii="Arial" w:hAnsi="Arial" w:cs="Arial"/>
        </w:rPr>
        <w:t>ambién valoró el informe sicológico hecho a la madre</w:t>
      </w:r>
      <w:r>
        <w:rPr>
          <w:rFonts w:ascii="Arial" w:hAnsi="Arial" w:cs="Arial"/>
        </w:rPr>
        <w:t xml:space="preserve"> </w:t>
      </w:r>
      <w:r w:rsidR="002F02BB">
        <w:rPr>
          <w:rFonts w:ascii="Arial" w:hAnsi="Arial" w:cs="Arial"/>
        </w:rPr>
        <w:t xml:space="preserve">(Folios </w:t>
      </w:r>
      <w:r w:rsidR="0063257E">
        <w:rPr>
          <w:rFonts w:ascii="Arial" w:hAnsi="Arial" w:cs="Arial"/>
        </w:rPr>
        <w:t>110 a 113</w:t>
      </w:r>
      <w:r w:rsidR="002F02BB">
        <w:rPr>
          <w:rFonts w:ascii="Arial" w:hAnsi="Arial" w:cs="Arial"/>
        </w:rPr>
        <w:t xml:space="preserve">, ib.), </w:t>
      </w:r>
      <w:r>
        <w:rPr>
          <w:rFonts w:ascii="Arial" w:hAnsi="Arial" w:cs="Arial"/>
        </w:rPr>
        <w:t xml:space="preserve">en </w:t>
      </w:r>
      <w:r w:rsidR="002F02BB">
        <w:rPr>
          <w:rFonts w:ascii="Arial" w:hAnsi="Arial" w:cs="Arial"/>
        </w:rPr>
        <w:t xml:space="preserve">el </w:t>
      </w:r>
      <w:r>
        <w:rPr>
          <w:rFonts w:ascii="Arial" w:hAnsi="Arial" w:cs="Arial"/>
        </w:rPr>
        <w:t xml:space="preserve">que se </w:t>
      </w:r>
      <w:r w:rsidRPr="00682503">
        <w:rPr>
          <w:rFonts w:ascii="Arial" w:hAnsi="Arial" w:cs="Arial"/>
        </w:rPr>
        <w:t>concluyó</w:t>
      </w:r>
      <w:r w:rsidRPr="00682503">
        <w:rPr>
          <w:rFonts w:ascii="Arial" w:hAnsi="Arial" w:cs="Arial"/>
          <w:i/>
        </w:rPr>
        <w:t xml:space="preserve"> </w:t>
      </w:r>
      <w:r w:rsidRPr="00682503">
        <w:rPr>
          <w:rFonts w:ascii="Arial" w:hAnsi="Arial" w:cs="Arial"/>
          <w:i/>
          <w:sz w:val="22"/>
        </w:rPr>
        <w:t xml:space="preserve">“(…) si bien la evaluada refiere vínculo afectivo fuerte hacia sus hijos se hace evidente en ella falencias respecto a la apropiación y manejo de pautas de crianza </w:t>
      </w:r>
      <w:proofErr w:type="spellStart"/>
      <w:r w:rsidRPr="00682503">
        <w:rPr>
          <w:rFonts w:ascii="Arial" w:hAnsi="Arial" w:cs="Arial"/>
          <w:i/>
          <w:sz w:val="22"/>
        </w:rPr>
        <w:t>protectivos</w:t>
      </w:r>
      <w:proofErr w:type="spellEnd"/>
      <w:r w:rsidRPr="00682503">
        <w:rPr>
          <w:rFonts w:ascii="Arial" w:hAnsi="Arial" w:cs="Arial"/>
          <w:i/>
          <w:sz w:val="22"/>
        </w:rPr>
        <w:t>, así como de estrategias de acompañamiento en las diferentes etapas del ciclo vital que atraviesa cada uno de sus hijos (…)”.</w:t>
      </w:r>
    </w:p>
    <w:p w:rsidR="004B274F" w:rsidRDefault="004B274F" w:rsidP="005B4C50">
      <w:pPr>
        <w:widowControl/>
        <w:spacing w:line="360" w:lineRule="auto"/>
        <w:jc w:val="both"/>
        <w:rPr>
          <w:rFonts w:ascii="Arial" w:hAnsi="Arial" w:cs="Arial"/>
        </w:rPr>
      </w:pPr>
    </w:p>
    <w:p w:rsidR="004B274F" w:rsidRDefault="004B274F" w:rsidP="005B4C50">
      <w:pPr>
        <w:widowControl/>
        <w:spacing w:line="360" w:lineRule="auto"/>
        <w:jc w:val="both"/>
        <w:rPr>
          <w:rFonts w:ascii="Arial" w:hAnsi="Arial" w:cs="Arial"/>
        </w:rPr>
      </w:pPr>
      <w:r>
        <w:rPr>
          <w:rFonts w:ascii="Arial" w:hAnsi="Arial" w:cs="Arial"/>
        </w:rPr>
        <w:lastRenderedPageBreak/>
        <w:t xml:space="preserve">Destacó de la declaración de la señora </w:t>
      </w:r>
      <w:proofErr w:type="spellStart"/>
      <w:r>
        <w:rPr>
          <w:rFonts w:ascii="Arial" w:hAnsi="Arial" w:cs="Arial"/>
        </w:rPr>
        <w:t>FOA</w:t>
      </w:r>
      <w:proofErr w:type="spellEnd"/>
      <w:r>
        <w:rPr>
          <w:rFonts w:ascii="Arial" w:hAnsi="Arial" w:cs="Arial"/>
        </w:rPr>
        <w:t xml:space="preserve"> </w:t>
      </w:r>
      <w:r w:rsidR="002F02BB">
        <w:rPr>
          <w:rFonts w:ascii="Arial" w:hAnsi="Arial" w:cs="Arial"/>
        </w:rPr>
        <w:t xml:space="preserve">(Folios </w:t>
      </w:r>
      <w:r w:rsidR="0063257E">
        <w:rPr>
          <w:rFonts w:ascii="Arial" w:hAnsi="Arial" w:cs="Arial"/>
        </w:rPr>
        <w:t>114 a 116</w:t>
      </w:r>
      <w:r w:rsidR="002F02BB">
        <w:rPr>
          <w:rFonts w:ascii="Arial" w:hAnsi="Arial" w:cs="Arial"/>
        </w:rPr>
        <w:t xml:space="preserve">, ib.) </w:t>
      </w:r>
      <w:r>
        <w:rPr>
          <w:rFonts w:ascii="Arial" w:hAnsi="Arial" w:cs="Arial"/>
        </w:rPr>
        <w:t xml:space="preserve">que la madre está trabajando en oficios varios, cuida de sus hijos y su mayor dificultad es la económica, asimismo, que la abuela paterna tiene recursos suficientes. </w:t>
      </w:r>
    </w:p>
    <w:p w:rsidR="004B274F" w:rsidRDefault="004B274F" w:rsidP="005B4C50">
      <w:pPr>
        <w:widowControl/>
        <w:spacing w:line="360" w:lineRule="auto"/>
        <w:jc w:val="both"/>
        <w:rPr>
          <w:rFonts w:ascii="Arial" w:hAnsi="Arial" w:cs="Arial"/>
        </w:rPr>
      </w:pPr>
    </w:p>
    <w:p w:rsidR="00682503" w:rsidRDefault="004B274F" w:rsidP="005B4C50">
      <w:pPr>
        <w:widowControl/>
        <w:spacing w:line="360" w:lineRule="auto"/>
        <w:jc w:val="both"/>
        <w:rPr>
          <w:rFonts w:ascii="Arial" w:hAnsi="Arial" w:cs="Arial"/>
        </w:rPr>
      </w:pPr>
      <w:r>
        <w:rPr>
          <w:rFonts w:ascii="Arial" w:hAnsi="Arial" w:cs="Arial"/>
        </w:rPr>
        <w:t xml:space="preserve">El derecho de petición presentado por la madre </w:t>
      </w:r>
      <w:r w:rsidR="002F02BB">
        <w:rPr>
          <w:rFonts w:ascii="Arial" w:hAnsi="Arial" w:cs="Arial"/>
        </w:rPr>
        <w:t xml:space="preserve">(Folios </w:t>
      </w:r>
      <w:r w:rsidR="0063257E">
        <w:rPr>
          <w:rFonts w:ascii="Arial" w:hAnsi="Arial" w:cs="Arial"/>
        </w:rPr>
        <w:t>117 a 120</w:t>
      </w:r>
      <w:r w:rsidR="002F02BB">
        <w:rPr>
          <w:rFonts w:ascii="Arial" w:hAnsi="Arial" w:cs="Arial"/>
        </w:rPr>
        <w:t xml:space="preserve">, ib.) </w:t>
      </w:r>
      <w:r>
        <w:rPr>
          <w:rFonts w:ascii="Arial" w:hAnsi="Arial" w:cs="Arial"/>
        </w:rPr>
        <w:t xml:space="preserve">dirigido a que le entreguen sus hijos, con fundamento en que puede trabajar y cuenta con la ayuda de su madre, que el padre está presto a ayudar económicamente y que asistirá a las charlas, reuniones y seminarios que requiera el </w:t>
      </w:r>
      <w:proofErr w:type="spellStart"/>
      <w:r>
        <w:rPr>
          <w:rFonts w:ascii="Arial" w:hAnsi="Arial" w:cs="Arial"/>
        </w:rPr>
        <w:t>ICBF</w:t>
      </w:r>
      <w:proofErr w:type="spellEnd"/>
      <w:r>
        <w:rPr>
          <w:rFonts w:ascii="Arial" w:hAnsi="Arial" w:cs="Arial"/>
        </w:rPr>
        <w:t>.</w:t>
      </w:r>
    </w:p>
    <w:p w:rsidR="0058626F" w:rsidRDefault="0058626F" w:rsidP="005B4C50">
      <w:pPr>
        <w:widowControl/>
        <w:spacing w:line="360" w:lineRule="auto"/>
        <w:jc w:val="both"/>
        <w:rPr>
          <w:rFonts w:ascii="Arial" w:hAnsi="Arial" w:cs="Arial"/>
        </w:rPr>
      </w:pPr>
    </w:p>
    <w:p w:rsidR="004B274F" w:rsidRDefault="00682503" w:rsidP="005B4C50">
      <w:pPr>
        <w:widowControl/>
        <w:spacing w:line="360" w:lineRule="auto"/>
        <w:jc w:val="both"/>
        <w:rPr>
          <w:rFonts w:ascii="Arial" w:hAnsi="Arial" w:cs="Arial"/>
        </w:rPr>
      </w:pPr>
      <w:r>
        <w:rPr>
          <w:rFonts w:ascii="Arial" w:hAnsi="Arial" w:cs="Arial"/>
        </w:rPr>
        <w:t xml:space="preserve">El informe sicosocial </w:t>
      </w:r>
      <w:r w:rsidR="002F02BB">
        <w:rPr>
          <w:rFonts w:ascii="Arial" w:hAnsi="Arial" w:cs="Arial"/>
        </w:rPr>
        <w:t>(F</w:t>
      </w:r>
      <w:r>
        <w:rPr>
          <w:rFonts w:ascii="Arial" w:hAnsi="Arial" w:cs="Arial"/>
        </w:rPr>
        <w:t xml:space="preserve">olios </w:t>
      </w:r>
      <w:r w:rsidR="000F6768">
        <w:rPr>
          <w:rFonts w:ascii="Arial" w:hAnsi="Arial" w:cs="Arial"/>
        </w:rPr>
        <w:t>121 a 126</w:t>
      </w:r>
      <w:r w:rsidR="002F02BB">
        <w:rPr>
          <w:rFonts w:ascii="Arial" w:hAnsi="Arial" w:cs="Arial"/>
        </w:rPr>
        <w:t xml:space="preserve">, ib.) </w:t>
      </w:r>
      <w:r>
        <w:rPr>
          <w:rFonts w:ascii="Arial" w:hAnsi="Arial" w:cs="Arial"/>
        </w:rPr>
        <w:t>en el que la trabajadora social reconoce que el trámite administrativo ha generado en la madre de los menores movilización en la generación de cambios en su estilo de vida y en ejercicio del rol materno, que se ha visto reflejado en la vinculación escolar de los hijos mayores y sus actividades laborales, pero censura la ausencia de herramientas psicológicas en los niños</w:t>
      </w:r>
      <w:r w:rsidR="009833A2">
        <w:rPr>
          <w:rFonts w:ascii="Arial" w:hAnsi="Arial" w:cs="Arial"/>
        </w:rPr>
        <w:t>.</w:t>
      </w:r>
      <w:r>
        <w:rPr>
          <w:rFonts w:ascii="Arial" w:hAnsi="Arial" w:cs="Arial"/>
        </w:rPr>
        <w:t xml:space="preserve"> </w:t>
      </w:r>
      <w:r w:rsidR="004B274F">
        <w:rPr>
          <w:rFonts w:ascii="Arial" w:hAnsi="Arial" w:cs="Arial"/>
        </w:rPr>
        <w:t xml:space="preserve"> </w:t>
      </w:r>
    </w:p>
    <w:p w:rsidR="004B274F" w:rsidRDefault="004B274F" w:rsidP="005B4C50">
      <w:pPr>
        <w:widowControl/>
        <w:spacing w:line="360" w:lineRule="auto"/>
        <w:jc w:val="both"/>
        <w:rPr>
          <w:rFonts w:ascii="Arial" w:hAnsi="Arial" w:cs="Arial"/>
        </w:rPr>
      </w:pPr>
    </w:p>
    <w:p w:rsidR="002F02BB" w:rsidRDefault="009833A2" w:rsidP="005B4C50">
      <w:pPr>
        <w:widowControl/>
        <w:spacing w:line="360" w:lineRule="auto"/>
        <w:jc w:val="both"/>
        <w:rPr>
          <w:rFonts w:ascii="Arial" w:hAnsi="Arial" w:cs="Arial"/>
        </w:rPr>
      </w:pPr>
      <w:r>
        <w:rPr>
          <w:rFonts w:ascii="Arial" w:hAnsi="Arial" w:cs="Arial"/>
        </w:rPr>
        <w:t xml:space="preserve">El juzgador </w:t>
      </w:r>
      <w:r w:rsidR="00682503">
        <w:rPr>
          <w:rFonts w:ascii="Arial" w:hAnsi="Arial" w:cs="Arial"/>
        </w:rPr>
        <w:t xml:space="preserve">expuso que pese a que los informes del </w:t>
      </w:r>
      <w:proofErr w:type="spellStart"/>
      <w:r w:rsidR="00682503">
        <w:rPr>
          <w:rFonts w:ascii="Arial" w:hAnsi="Arial" w:cs="Arial"/>
        </w:rPr>
        <w:t>ICBF</w:t>
      </w:r>
      <w:proofErr w:type="spellEnd"/>
      <w:r w:rsidR="00682503">
        <w:rPr>
          <w:rFonts w:ascii="Arial" w:hAnsi="Arial" w:cs="Arial"/>
        </w:rPr>
        <w:t xml:space="preserve"> den cuenta de poca o nula respuesta de los padres a las terapias ofrecidas a lo largo del proceso</w:t>
      </w:r>
      <w:r w:rsidR="002F02BB">
        <w:rPr>
          <w:rFonts w:ascii="Arial" w:hAnsi="Arial" w:cs="Arial"/>
        </w:rPr>
        <w:t>, la madre sí reúne las condiciones mínimas para el retorno de sus hijos al hogar, porque cuenta con la ayuda de la abuela y espera que con las medidas decretadas en la providencia adquiriera las herramientas psicológicas necesarias para garantizar los derechos de sus hijos.</w:t>
      </w:r>
    </w:p>
    <w:p w:rsidR="002F02BB" w:rsidRDefault="002F02BB" w:rsidP="005B4C50">
      <w:pPr>
        <w:widowControl/>
        <w:spacing w:line="360" w:lineRule="auto"/>
        <w:jc w:val="both"/>
        <w:rPr>
          <w:rFonts w:ascii="Arial" w:hAnsi="Arial" w:cs="Arial"/>
        </w:rPr>
      </w:pPr>
    </w:p>
    <w:p w:rsidR="002F02BB" w:rsidRDefault="002A5A0C" w:rsidP="005B4C50">
      <w:pPr>
        <w:widowControl/>
        <w:spacing w:line="360" w:lineRule="auto"/>
        <w:jc w:val="both"/>
        <w:rPr>
          <w:rFonts w:ascii="Arial" w:hAnsi="Arial" w:cs="Arial"/>
        </w:rPr>
      </w:pPr>
      <w:r>
        <w:rPr>
          <w:rFonts w:ascii="Arial" w:hAnsi="Arial" w:cs="Arial"/>
        </w:rPr>
        <w:t>Valoró</w:t>
      </w:r>
      <w:r w:rsidR="009833A2">
        <w:rPr>
          <w:rFonts w:ascii="Arial" w:hAnsi="Arial" w:cs="Arial"/>
        </w:rPr>
        <w:t xml:space="preserve"> también </w:t>
      </w:r>
      <w:r w:rsidR="002F02BB">
        <w:rPr>
          <w:rFonts w:ascii="Arial" w:hAnsi="Arial" w:cs="Arial"/>
        </w:rPr>
        <w:t xml:space="preserve">los informes de visita </w:t>
      </w:r>
      <w:r w:rsidR="009833A2">
        <w:rPr>
          <w:rFonts w:ascii="Arial" w:hAnsi="Arial" w:cs="Arial"/>
        </w:rPr>
        <w:t xml:space="preserve">de </w:t>
      </w:r>
      <w:r>
        <w:rPr>
          <w:rFonts w:ascii="Arial" w:hAnsi="Arial" w:cs="Arial"/>
        </w:rPr>
        <w:t xml:space="preserve">la </w:t>
      </w:r>
      <w:r w:rsidR="009833A2">
        <w:rPr>
          <w:rFonts w:ascii="Arial" w:hAnsi="Arial" w:cs="Arial"/>
        </w:rPr>
        <w:t xml:space="preserve">madre </w:t>
      </w:r>
      <w:r w:rsidR="002F02BB">
        <w:rPr>
          <w:rFonts w:ascii="Arial" w:hAnsi="Arial" w:cs="Arial"/>
        </w:rPr>
        <w:t xml:space="preserve">que refieren el afecto reciproco y alegría de sus hijos, y las declaraciones </w:t>
      </w:r>
      <w:proofErr w:type="spellStart"/>
      <w:r w:rsidR="002F02BB">
        <w:rPr>
          <w:rFonts w:ascii="Arial" w:hAnsi="Arial" w:cs="Arial"/>
        </w:rPr>
        <w:t>extrajuicio</w:t>
      </w:r>
      <w:proofErr w:type="spellEnd"/>
      <w:r w:rsidR="002F02BB">
        <w:rPr>
          <w:rFonts w:ascii="Arial" w:hAnsi="Arial" w:cs="Arial"/>
        </w:rPr>
        <w:t xml:space="preserve"> arrimadas con la oposición presentada. </w:t>
      </w:r>
    </w:p>
    <w:p w:rsidR="00627505" w:rsidRDefault="00627505" w:rsidP="005B4C50">
      <w:pPr>
        <w:widowControl/>
        <w:spacing w:line="360" w:lineRule="auto"/>
        <w:jc w:val="both"/>
        <w:rPr>
          <w:rFonts w:ascii="Arial" w:hAnsi="Arial" w:cs="Arial"/>
        </w:rPr>
      </w:pPr>
    </w:p>
    <w:p w:rsidR="00627505" w:rsidRDefault="00627505" w:rsidP="005B4C50">
      <w:pPr>
        <w:widowControl/>
        <w:spacing w:line="360" w:lineRule="auto"/>
        <w:jc w:val="both"/>
        <w:rPr>
          <w:rFonts w:ascii="Arial" w:hAnsi="Arial" w:cs="Arial"/>
        </w:rPr>
      </w:pPr>
      <w:r>
        <w:rPr>
          <w:rFonts w:ascii="Arial" w:hAnsi="Arial" w:cs="Arial"/>
        </w:rPr>
        <w:t xml:space="preserve">En síntesis atinó a concluir que las dificultades económicas y patológicas de la madre, no pueden ser condicionantes para declarar la sanción máxima de </w:t>
      </w:r>
      <w:proofErr w:type="spellStart"/>
      <w:r>
        <w:rPr>
          <w:rFonts w:ascii="Arial" w:hAnsi="Arial" w:cs="Arial"/>
        </w:rPr>
        <w:t>adoptabilidad</w:t>
      </w:r>
      <w:proofErr w:type="spellEnd"/>
      <w:r>
        <w:rPr>
          <w:rFonts w:ascii="Arial" w:hAnsi="Arial" w:cs="Arial"/>
        </w:rPr>
        <w:t xml:space="preserve"> que repercute en la perdida de la partía potestad y alejamiento de los niños del seno del hogar, por el contrario, advirtió la urgencia que tiene la familia de recibir asistencia social y ayuda psicológica; asimismo, reconoció la actitud positiva tanto de la madre como de su abuela materna orientada a mejorar sus condiciones laborales y el cuidado de los menores; no desconoció </w:t>
      </w:r>
      <w:r w:rsidR="00866425">
        <w:rPr>
          <w:rFonts w:ascii="Arial" w:hAnsi="Arial" w:cs="Arial"/>
        </w:rPr>
        <w:t xml:space="preserve">el riesgo en que se encuentran los </w:t>
      </w:r>
      <w:r w:rsidR="009833A2">
        <w:rPr>
          <w:rFonts w:ascii="Arial" w:hAnsi="Arial" w:cs="Arial"/>
        </w:rPr>
        <w:t>niños</w:t>
      </w:r>
      <w:r w:rsidR="00866425">
        <w:rPr>
          <w:rFonts w:ascii="Arial" w:hAnsi="Arial" w:cs="Arial"/>
        </w:rPr>
        <w:t xml:space="preserve">, y por ello, impuso medidas de restablecimiento de derechos </w:t>
      </w:r>
      <w:r w:rsidR="009833A2">
        <w:rPr>
          <w:rFonts w:ascii="Arial" w:hAnsi="Arial" w:cs="Arial"/>
        </w:rPr>
        <w:t>destinadas</w:t>
      </w:r>
      <w:r w:rsidR="00866425">
        <w:rPr>
          <w:rFonts w:ascii="Arial" w:hAnsi="Arial" w:cs="Arial"/>
        </w:rPr>
        <w:t xml:space="preserve"> a que los padres se capaciten y reciban asistencia médica, con la advertencia de que si se reiteraba la conducta reprochada acarrearía la declaratoria de </w:t>
      </w:r>
      <w:proofErr w:type="spellStart"/>
      <w:r w:rsidR="00866425">
        <w:rPr>
          <w:rFonts w:ascii="Arial" w:hAnsi="Arial" w:cs="Arial"/>
        </w:rPr>
        <w:t>adoptabilidad</w:t>
      </w:r>
      <w:proofErr w:type="spellEnd"/>
      <w:r w:rsidR="00866425">
        <w:rPr>
          <w:rFonts w:ascii="Arial" w:hAnsi="Arial" w:cs="Arial"/>
        </w:rPr>
        <w:t>.</w:t>
      </w:r>
      <w:r>
        <w:rPr>
          <w:rFonts w:ascii="Arial" w:hAnsi="Arial" w:cs="Arial"/>
        </w:rPr>
        <w:t xml:space="preserve">  </w:t>
      </w:r>
    </w:p>
    <w:p w:rsidR="00627505" w:rsidRDefault="00627505" w:rsidP="005B4C50">
      <w:pPr>
        <w:widowControl/>
        <w:spacing w:line="360" w:lineRule="auto"/>
        <w:jc w:val="both"/>
        <w:rPr>
          <w:rFonts w:ascii="Arial" w:hAnsi="Arial" w:cs="Arial"/>
        </w:rPr>
      </w:pPr>
    </w:p>
    <w:p w:rsidR="00F21C19" w:rsidRDefault="002F02BB" w:rsidP="005B4C50">
      <w:pPr>
        <w:widowControl/>
        <w:spacing w:line="360" w:lineRule="auto"/>
        <w:jc w:val="both"/>
        <w:rPr>
          <w:rFonts w:ascii="Arial" w:hAnsi="Arial" w:cs="Arial"/>
        </w:rPr>
      </w:pPr>
      <w:r w:rsidRPr="00F21C19">
        <w:rPr>
          <w:rFonts w:ascii="Arial" w:hAnsi="Arial" w:cs="Arial"/>
        </w:rPr>
        <w:lastRenderedPageBreak/>
        <w:t xml:space="preserve">Para la Sala la valoración probatoria hecha por el accionado </w:t>
      </w:r>
      <w:r w:rsidR="00F21C19" w:rsidRPr="00F21C19">
        <w:rPr>
          <w:rFonts w:ascii="Arial" w:hAnsi="Arial" w:cs="Arial"/>
        </w:rPr>
        <w:t>no fue incompleta</w:t>
      </w:r>
      <w:r w:rsidR="009833A2">
        <w:rPr>
          <w:rFonts w:ascii="Arial" w:hAnsi="Arial" w:cs="Arial"/>
        </w:rPr>
        <w:t>,</w:t>
      </w:r>
      <w:r w:rsidR="00F21C19" w:rsidRPr="00F21C19">
        <w:rPr>
          <w:rFonts w:ascii="Arial" w:hAnsi="Arial" w:cs="Arial"/>
        </w:rPr>
        <w:t xml:space="preserve"> ni</w:t>
      </w:r>
      <w:r w:rsidR="00F21C19">
        <w:rPr>
          <w:rFonts w:ascii="Arial" w:hAnsi="Arial" w:cs="Arial"/>
        </w:rPr>
        <w:t xml:space="preserve"> defectuosa, consideró todas y cada una de las pruebas obrantes en los trámites administrativos, incluidas las valoraciones psicosociales hechas por el </w:t>
      </w:r>
      <w:proofErr w:type="spellStart"/>
      <w:r w:rsidR="00F21C19">
        <w:rPr>
          <w:rFonts w:ascii="Arial" w:hAnsi="Arial" w:cs="Arial"/>
        </w:rPr>
        <w:t>ICBF</w:t>
      </w:r>
      <w:proofErr w:type="spellEnd"/>
      <w:r w:rsidR="00F21C19">
        <w:rPr>
          <w:rFonts w:ascii="Arial" w:hAnsi="Arial" w:cs="Arial"/>
        </w:rPr>
        <w:t xml:space="preserve">; las conclusiones a las que arribo </w:t>
      </w:r>
      <w:r w:rsidR="00866425">
        <w:rPr>
          <w:rFonts w:ascii="Arial" w:hAnsi="Arial" w:cs="Arial"/>
        </w:rPr>
        <w:t>nunca</w:t>
      </w:r>
      <w:r w:rsidR="00F21C19">
        <w:rPr>
          <w:rFonts w:ascii="Arial" w:hAnsi="Arial" w:cs="Arial"/>
        </w:rPr>
        <w:t xml:space="preserve"> fueron producto de un análisis sesgado o parcial del material probatorio. </w:t>
      </w:r>
    </w:p>
    <w:p w:rsidR="00F21C19" w:rsidRDefault="00F21C19" w:rsidP="005B4C50">
      <w:pPr>
        <w:widowControl/>
        <w:spacing w:line="360" w:lineRule="auto"/>
        <w:jc w:val="both"/>
        <w:rPr>
          <w:rFonts w:ascii="Arial" w:hAnsi="Arial" w:cs="Arial"/>
        </w:rPr>
      </w:pPr>
    </w:p>
    <w:p w:rsidR="00866425" w:rsidRDefault="00F21C19" w:rsidP="00866425">
      <w:pPr>
        <w:pStyle w:val="Sansinterligne"/>
        <w:shd w:val="clear" w:color="auto" w:fill="FFFFFF"/>
        <w:spacing w:line="360" w:lineRule="auto"/>
        <w:ind w:right="51"/>
        <w:jc w:val="both"/>
        <w:rPr>
          <w:rFonts w:ascii="Arial" w:hAnsi="Arial" w:cs="Arial"/>
          <w:color w:val="000000"/>
          <w:szCs w:val="24"/>
        </w:rPr>
      </w:pPr>
      <w:r>
        <w:rPr>
          <w:rFonts w:ascii="Arial" w:hAnsi="Arial" w:cs="Arial"/>
        </w:rPr>
        <w:t xml:space="preserve">Es evidente que el ejercicio realizado por el accionado estuvo en todo momento circunscrito por la obligación que tiene el Estado de salvaguardar </w:t>
      </w:r>
      <w:r w:rsidR="00866425">
        <w:rPr>
          <w:rFonts w:ascii="Arial" w:hAnsi="Arial" w:cs="Arial"/>
        </w:rPr>
        <w:t>la unidad de la familia</w:t>
      </w:r>
      <w:r w:rsidR="00C04D0A">
        <w:rPr>
          <w:rStyle w:val="Appelnotedebasdep"/>
          <w:rFonts w:ascii="Arial" w:hAnsi="Arial"/>
          <w:bdr w:val="none" w:sz="0" w:space="0" w:color="auto" w:frame="1"/>
        </w:rPr>
        <w:footnoteReference w:id="24"/>
      </w:r>
      <w:r w:rsidR="00C04D0A">
        <w:rPr>
          <w:rFonts w:ascii="Arial" w:hAnsi="Arial" w:cs="Arial"/>
        </w:rPr>
        <w:t xml:space="preserve"> y</w:t>
      </w:r>
      <w:r w:rsidR="00866425">
        <w:rPr>
          <w:rFonts w:ascii="Arial" w:hAnsi="Arial" w:cs="Arial"/>
        </w:rPr>
        <w:t xml:space="preserve"> </w:t>
      </w:r>
      <w:r>
        <w:rPr>
          <w:rFonts w:ascii="Arial" w:hAnsi="Arial" w:cs="Arial"/>
        </w:rPr>
        <w:t>el interés superior del menor</w:t>
      </w:r>
      <w:r w:rsidR="00C04D0A">
        <w:rPr>
          <w:rStyle w:val="Appelnotedebasdep"/>
          <w:rFonts w:ascii="Arial" w:hAnsi="Arial"/>
          <w:szCs w:val="24"/>
        </w:rPr>
        <w:footnoteReference w:id="25"/>
      </w:r>
      <w:r w:rsidR="00866425">
        <w:rPr>
          <w:rFonts w:ascii="Arial" w:hAnsi="Arial" w:cs="Arial"/>
        </w:rPr>
        <w:t>. A este respecto cabe aludir el criterio del máximo órgano constitucional</w:t>
      </w:r>
      <w:r w:rsidR="00866425">
        <w:rPr>
          <w:rStyle w:val="Appelnotedebasdep"/>
          <w:rFonts w:ascii="Arial" w:hAnsi="Arial"/>
          <w:color w:val="000000"/>
          <w:szCs w:val="24"/>
        </w:rPr>
        <w:footnoteReference w:id="26"/>
      </w:r>
      <w:r w:rsidR="00866425">
        <w:rPr>
          <w:rFonts w:ascii="Arial" w:hAnsi="Arial" w:cs="Arial"/>
        </w:rPr>
        <w:t>:</w:t>
      </w:r>
      <w:r w:rsidR="00866425" w:rsidRPr="00C47156">
        <w:rPr>
          <w:rFonts w:ascii="Arial" w:hAnsi="Arial" w:cs="Arial"/>
          <w:i/>
          <w:color w:val="000000"/>
          <w:sz w:val="22"/>
          <w:szCs w:val="24"/>
        </w:rPr>
        <w:t xml:space="preserve">“(…) </w:t>
      </w:r>
      <w:r w:rsidR="00866425" w:rsidRPr="00C47156">
        <w:rPr>
          <w:rFonts w:ascii="Arial" w:hAnsi="Arial" w:cs="Arial"/>
          <w:i/>
          <w:iCs/>
          <w:color w:val="000000"/>
          <w:sz w:val="22"/>
          <w:szCs w:val="24"/>
        </w:rPr>
        <w:t xml:space="preserve">las autoridades administrativas y judiciales encargadas de determinar el contenido del interés superior de los niños en casos particulares </w:t>
      </w:r>
      <w:r w:rsidR="00866425" w:rsidRPr="00C47156">
        <w:rPr>
          <w:rFonts w:ascii="Arial" w:hAnsi="Arial" w:cs="Arial"/>
          <w:i/>
          <w:iCs/>
          <w:color w:val="000000"/>
          <w:sz w:val="22"/>
          <w:szCs w:val="24"/>
          <w:u w:val="single"/>
        </w:rPr>
        <w:t>cuentan con un margen de discrecionalidad importante para evaluar, en aplicación de las disposiciones jurídicas relevantes</w:t>
      </w:r>
      <w:r w:rsidR="00866425" w:rsidRPr="00C47156">
        <w:rPr>
          <w:rFonts w:ascii="Arial" w:hAnsi="Arial" w:cs="Arial"/>
          <w:i/>
          <w:iCs/>
          <w:color w:val="000000"/>
          <w:sz w:val="22"/>
          <w:szCs w:val="24"/>
        </w:rPr>
        <w:t xml:space="preserve"> </w:t>
      </w:r>
      <w:r w:rsidR="00866425" w:rsidRPr="00866425">
        <w:rPr>
          <w:rFonts w:ascii="Arial" w:hAnsi="Arial" w:cs="Arial"/>
          <w:i/>
          <w:iCs/>
          <w:color w:val="000000"/>
          <w:sz w:val="22"/>
          <w:szCs w:val="24"/>
          <w:u w:val="single"/>
        </w:rPr>
        <w:t>y en atención a las circunstancias fácticas de los menores de edad implicados, cuál es la solución que mejor satisface dicho interés</w:t>
      </w:r>
      <w:r w:rsidR="00866425" w:rsidRPr="00C47156">
        <w:rPr>
          <w:rFonts w:ascii="Arial" w:hAnsi="Arial" w:cs="Arial"/>
          <w:i/>
          <w:iCs/>
          <w:color w:val="000000"/>
          <w:sz w:val="22"/>
          <w:szCs w:val="24"/>
        </w:rPr>
        <w:t>”</w:t>
      </w:r>
      <w:r w:rsidR="00866425" w:rsidRPr="00064CF4">
        <w:rPr>
          <w:rFonts w:ascii="Arial" w:hAnsi="Arial" w:cs="Arial"/>
          <w:color w:val="000000"/>
          <w:szCs w:val="24"/>
        </w:rPr>
        <w:t xml:space="preserve">. </w:t>
      </w:r>
      <w:r w:rsidR="00866425">
        <w:rPr>
          <w:rFonts w:ascii="Arial" w:hAnsi="Arial" w:cs="Arial"/>
          <w:color w:val="000000"/>
          <w:szCs w:val="24"/>
        </w:rPr>
        <w:t>(</w:t>
      </w:r>
      <w:r w:rsidR="00866425" w:rsidRPr="00064CF4">
        <w:rPr>
          <w:rFonts w:ascii="Arial" w:hAnsi="Arial" w:cs="Arial"/>
          <w:color w:val="000000"/>
          <w:szCs w:val="24"/>
        </w:rPr>
        <w:t>Subrayas de la Sala</w:t>
      </w:r>
      <w:r w:rsidR="00866425">
        <w:rPr>
          <w:rFonts w:ascii="Arial" w:hAnsi="Arial" w:cs="Arial"/>
          <w:color w:val="000000"/>
          <w:szCs w:val="24"/>
        </w:rPr>
        <w:t>)</w:t>
      </w:r>
      <w:r w:rsidR="00866425" w:rsidRPr="00064CF4">
        <w:rPr>
          <w:rFonts w:ascii="Arial" w:hAnsi="Arial" w:cs="Arial"/>
          <w:color w:val="000000"/>
          <w:szCs w:val="24"/>
        </w:rPr>
        <w:t>.</w:t>
      </w:r>
    </w:p>
    <w:p w:rsidR="00866425" w:rsidRDefault="00866425" w:rsidP="00F21C19">
      <w:pPr>
        <w:widowControl/>
        <w:spacing w:line="360" w:lineRule="auto"/>
        <w:jc w:val="both"/>
        <w:rPr>
          <w:rFonts w:ascii="Arial" w:hAnsi="Arial" w:cs="Arial"/>
        </w:rPr>
      </w:pPr>
    </w:p>
    <w:p w:rsidR="00C04D0A" w:rsidRDefault="00C75ECA" w:rsidP="00F21C19">
      <w:pPr>
        <w:widowControl/>
        <w:spacing w:line="360" w:lineRule="auto"/>
        <w:jc w:val="both"/>
        <w:rPr>
          <w:rFonts w:ascii="Arial" w:hAnsi="Arial" w:cs="Arial"/>
        </w:rPr>
      </w:pPr>
      <w:r>
        <w:rPr>
          <w:rFonts w:ascii="Arial" w:hAnsi="Arial" w:cs="Arial"/>
        </w:rPr>
        <w:t>Además, e</w:t>
      </w:r>
      <w:r w:rsidR="00C04D0A">
        <w:rPr>
          <w:rFonts w:ascii="Arial" w:hAnsi="Arial" w:cs="Arial"/>
        </w:rPr>
        <w:t>s preciso advertir que</w:t>
      </w:r>
      <w:r>
        <w:rPr>
          <w:rFonts w:ascii="Arial" w:hAnsi="Arial" w:cs="Arial"/>
        </w:rPr>
        <w:t xml:space="preserve"> los</w:t>
      </w:r>
      <w:r w:rsidR="00C04D0A">
        <w:rPr>
          <w:rFonts w:ascii="Arial" w:hAnsi="Arial" w:cs="Arial"/>
        </w:rPr>
        <w:t xml:space="preserve"> hechos acaecidos con posterioridad a la decisión cuestionada no pueden oponerse a la valoración fáctica realizada por el despacho judicial accionado, puesto que los desconocía al momento de su </w:t>
      </w:r>
      <w:proofErr w:type="spellStart"/>
      <w:r w:rsidR="00C04D0A">
        <w:rPr>
          <w:rFonts w:ascii="Arial" w:hAnsi="Arial" w:cs="Arial"/>
        </w:rPr>
        <w:t>proferimiento</w:t>
      </w:r>
      <w:proofErr w:type="spellEnd"/>
      <w:r w:rsidR="00C04D0A">
        <w:rPr>
          <w:rFonts w:ascii="Arial" w:hAnsi="Arial" w:cs="Arial"/>
        </w:rPr>
        <w:t>.</w:t>
      </w:r>
    </w:p>
    <w:p w:rsidR="00C75ECA" w:rsidRDefault="00C75ECA" w:rsidP="00F21C19">
      <w:pPr>
        <w:widowControl/>
        <w:spacing w:line="360" w:lineRule="auto"/>
        <w:jc w:val="both"/>
        <w:rPr>
          <w:rFonts w:ascii="Arial" w:hAnsi="Arial" w:cs="Arial"/>
        </w:rPr>
      </w:pPr>
    </w:p>
    <w:p w:rsidR="00C04D0A" w:rsidRPr="00C75ECA" w:rsidRDefault="00C04D0A" w:rsidP="00C75ECA">
      <w:pPr>
        <w:pStyle w:val="Paragraphedeliste"/>
        <w:widowControl/>
        <w:numPr>
          <w:ilvl w:val="1"/>
          <w:numId w:val="18"/>
        </w:numPr>
        <w:spacing w:line="360" w:lineRule="auto"/>
        <w:jc w:val="both"/>
        <w:rPr>
          <w:rFonts w:ascii="Arial" w:hAnsi="Arial" w:cs="Arial"/>
          <w:smallCaps/>
        </w:rPr>
      </w:pPr>
      <w:r w:rsidRPr="00C75ECA">
        <w:rPr>
          <w:rFonts w:ascii="Arial" w:hAnsi="Arial" w:cs="Arial"/>
          <w:smallCaps/>
        </w:rPr>
        <w:t xml:space="preserve">El defecto sustantivo </w:t>
      </w:r>
    </w:p>
    <w:p w:rsidR="00C04D0A" w:rsidRDefault="00C04D0A" w:rsidP="00F21C19">
      <w:pPr>
        <w:widowControl/>
        <w:spacing w:line="360" w:lineRule="auto"/>
        <w:jc w:val="both"/>
        <w:rPr>
          <w:rFonts w:ascii="Arial" w:hAnsi="Arial" w:cs="Arial"/>
        </w:rPr>
      </w:pPr>
    </w:p>
    <w:p w:rsidR="00C75ECA" w:rsidRDefault="00C04D0A" w:rsidP="00F21C19">
      <w:pPr>
        <w:widowControl/>
        <w:spacing w:line="360" w:lineRule="auto"/>
        <w:jc w:val="both"/>
        <w:rPr>
          <w:rFonts w:ascii="Arial" w:hAnsi="Arial" w:cs="Arial"/>
        </w:rPr>
      </w:pPr>
      <w:r>
        <w:rPr>
          <w:rFonts w:ascii="Arial" w:hAnsi="Arial" w:cs="Arial"/>
        </w:rPr>
        <w:t xml:space="preserve">Fundado en </w:t>
      </w:r>
      <w:r w:rsidR="00C75ECA">
        <w:rPr>
          <w:rFonts w:ascii="Arial" w:hAnsi="Arial" w:cs="Arial"/>
        </w:rPr>
        <w:t xml:space="preserve">que la declaratoria de no homologación también devino de una interpretación errónea de la Ley 1098, puntualmente de su artículo 100, puesto que </w:t>
      </w:r>
      <w:r w:rsidR="00B219F0">
        <w:rPr>
          <w:rFonts w:ascii="Arial" w:hAnsi="Arial" w:cs="Arial"/>
        </w:rPr>
        <w:t xml:space="preserve">consideró que la defensora de familia perdió competencia por haber proferido dos fallos, pese a que reconoció </w:t>
      </w:r>
      <w:r w:rsidR="00C75ECA">
        <w:rPr>
          <w:rFonts w:ascii="Arial" w:hAnsi="Arial" w:cs="Arial"/>
        </w:rPr>
        <w:t xml:space="preserve">que la resolución del 01-07-2016 fue dictada dentro del término legal. </w:t>
      </w:r>
    </w:p>
    <w:p w:rsidR="00C75ECA" w:rsidRDefault="00C75ECA" w:rsidP="00F21C19">
      <w:pPr>
        <w:widowControl/>
        <w:spacing w:line="360" w:lineRule="auto"/>
        <w:jc w:val="both"/>
        <w:rPr>
          <w:rFonts w:ascii="Arial" w:hAnsi="Arial" w:cs="Arial"/>
        </w:rPr>
      </w:pPr>
    </w:p>
    <w:p w:rsidR="00991718" w:rsidRDefault="00C75ECA" w:rsidP="00F21C19">
      <w:pPr>
        <w:widowControl/>
        <w:spacing w:line="360" w:lineRule="auto"/>
        <w:jc w:val="both"/>
        <w:rPr>
          <w:rFonts w:ascii="Arial" w:hAnsi="Arial" w:cs="Arial"/>
        </w:rPr>
      </w:pPr>
      <w:r>
        <w:rPr>
          <w:rFonts w:ascii="Arial" w:hAnsi="Arial" w:cs="Arial"/>
        </w:rPr>
        <w:t xml:space="preserve">Sin que sea necesario un análisis exhaustivo, halla la Sala que este argumento está destinado al fracaso debido a la inexistencia </w:t>
      </w:r>
      <w:r w:rsidR="00991718">
        <w:rPr>
          <w:rFonts w:ascii="Arial" w:hAnsi="Arial" w:cs="Arial"/>
        </w:rPr>
        <w:t xml:space="preserve">de vulneración </w:t>
      </w:r>
      <w:r>
        <w:rPr>
          <w:rFonts w:ascii="Arial" w:hAnsi="Arial" w:cs="Arial"/>
        </w:rPr>
        <w:t>de los derechos invocados</w:t>
      </w:r>
      <w:r w:rsidR="00991718">
        <w:rPr>
          <w:rFonts w:ascii="Arial" w:hAnsi="Arial" w:cs="Arial"/>
        </w:rPr>
        <w:t>;</w:t>
      </w:r>
      <w:r>
        <w:rPr>
          <w:rFonts w:ascii="Arial" w:hAnsi="Arial" w:cs="Arial"/>
        </w:rPr>
        <w:t xml:space="preserve"> en efecto, en la sentencia reprochada el juzgador analizó el trámite surtido en los asuntos administrativos</w:t>
      </w:r>
      <w:r w:rsidR="00991718">
        <w:rPr>
          <w:rFonts w:ascii="Arial" w:hAnsi="Arial" w:cs="Arial"/>
        </w:rPr>
        <w:t xml:space="preserve">; </w:t>
      </w:r>
      <w:r>
        <w:rPr>
          <w:rFonts w:ascii="Arial" w:hAnsi="Arial" w:cs="Arial"/>
        </w:rPr>
        <w:t>advirtió q</w:t>
      </w:r>
      <w:r w:rsidR="00B219F0">
        <w:rPr>
          <w:rFonts w:ascii="Arial" w:hAnsi="Arial" w:cs="Arial"/>
        </w:rPr>
        <w:t xml:space="preserve">ue </w:t>
      </w:r>
      <w:r w:rsidR="00991718">
        <w:rPr>
          <w:rFonts w:ascii="Arial" w:hAnsi="Arial" w:cs="Arial"/>
        </w:rPr>
        <w:t>iniciaron el 04-03-2016</w:t>
      </w:r>
      <w:r w:rsidR="00ED4DEC">
        <w:rPr>
          <w:rFonts w:ascii="Arial" w:hAnsi="Arial" w:cs="Arial"/>
        </w:rPr>
        <w:t xml:space="preserve">, </w:t>
      </w:r>
      <w:r>
        <w:rPr>
          <w:rFonts w:ascii="Arial" w:hAnsi="Arial" w:cs="Arial"/>
        </w:rPr>
        <w:t xml:space="preserve">que se dictaron dos fallos, </w:t>
      </w:r>
      <w:r w:rsidR="00B219F0">
        <w:rPr>
          <w:rFonts w:ascii="Arial" w:hAnsi="Arial" w:cs="Arial"/>
        </w:rPr>
        <w:t xml:space="preserve">los días </w:t>
      </w:r>
      <w:r>
        <w:rPr>
          <w:rFonts w:ascii="Arial" w:hAnsi="Arial" w:cs="Arial"/>
        </w:rPr>
        <w:t>01-07-2016</w:t>
      </w:r>
      <w:r w:rsidR="00B219F0">
        <w:rPr>
          <w:rFonts w:ascii="Arial" w:hAnsi="Arial" w:cs="Arial"/>
        </w:rPr>
        <w:t xml:space="preserve"> y </w:t>
      </w:r>
      <w:r>
        <w:rPr>
          <w:rFonts w:ascii="Arial" w:hAnsi="Arial" w:cs="Arial"/>
        </w:rPr>
        <w:t xml:space="preserve">22-09-2016, </w:t>
      </w:r>
      <w:r w:rsidR="00991718">
        <w:rPr>
          <w:rFonts w:ascii="Arial" w:hAnsi="Arial" w:cs="Arial"/>
        </w:rPr>
        <w:t xml:space="preserve">pero </w:t>
      </w:r>
      <w:r w:rsidR="00803CE5">
        <w:rPr>
          <w:rFonts w:ascii="Arial" w:hAnsi="Arial" w:cs="Arial"/>
        </w:rPr>
        <w:t xml:space="preserve">determinó que </w:t>
      </w:r>
      <w:r w:rsidR="00B219F0">
        <w:rPr>
          <w:rFonts w:ascii="Arial" w:hAnsi="Arial" w:cs="Arial"/>
        </w:rPr>
        <w:t>solo este último fue el que dio fin a los procesos</w:t>
      </w:r>
      <w:r w:rsidR="00ED4DEC">
        <w:rPr>
          <w:rFonts w:ascii="Arial" w:hAnsi="Arial" w:cs="Arial"/>
        </w:rPr>
        <w:t>, en consecuencia, y como quiera que se dictó por fuera del término legal,  asumió su conocimiento y procedió a resolver de fondo</w:t>
      </w:r>
      <w:r w:rsidR="00991718">
        <w:rPr>
          <w:rFonts w:ascii="Arial" w:hAnsi="Arial" w:cs="Arial"/>
        </w:rPr>
        <w:t xml:space="preserve">. </w:t>
      </w:r>
    </w:p>
    <w:p w:rsidR="00991718" w:rsidRDefault="00991718" w:rsidP="00F21C19">
      <w:pPr>
        <w:widowControl/>
        <w:spacing w:line="360" w:lineRule="auto"/>
        <w:jc w:val="both"/>
        <w:rPr>
          <w:rFonts w:ascii="Arial" w:hAnsi="Arial" w:cs="Arial"/>
        </w:rPr>
      </w:pPr>
    </w:p>
    <w:p w:rsidR="00803CE5" w:rsidRDefault="00991718" w:rsidP="00F21C19">
      <w:pPr>
        <w:widowControl/>
        <w:spacing w:line="360" w:lineRule="auto"/>
        <w:jc w:val="both"/>
        <w:rPr>
          <w:rFonts w:ascii="Arial" w:hAnsi="Arial" w:cs="Arial"/>
        </w:rPr>
      </w:pPr>
      <w:r>
        <w:rPr>
          <w:rFonts w:ascii="Arial" w:hAnsi="Arial" w:cs="Arial"/>
        </w:rPr>
        <w:lastRenderedPageBreak/>
        <w:t xml:space="preserve">El </w:t>
      </w:r>
      <w:r w:rsidR="00803CE5">
        <w:rPr>
          <w:rFonts w:ascii="Arial" w:hAnsi="Arial" w:cs="Arial"/>
        </w:rPr>
        <w:t xml:space="preserve">parágrafo 2º del </w:t>
      </w:r>
      <w:r>
        <w:rPr>
          <w:rFonts w:ascii="Arial" w:hAnsi="Arial" w:cs="Arial"/>
        </w:rPr>
        <w:t xml:space="preserve">artículo 100 de la Ley </w:t>
      </w:r>
      <w:r w:rsidR="00803CE5">
        <w:rPr>
          <w:rFonts w:ascii="Arial" w:hAnsi="Arial" w:cs="Arial"/>
        </w:rPr>
        <w:t xml:space="preserve">1098 establece: </w:t>
      </w:r>
      <w:r w:rsidR="00803CE5" w:rsidRPr="00803CE5">
        <w:rPr>
          <w:rFonts w:ascii="Arial" w:hAnsi="Arial" w:cs="Arial"/>
          <w:i/>
          <w:sz w:val="22"/>
        </w:rPr>
        <w:t>“(…) En todo caso, la actuación administrativa deberá resolverse dentro de los cuatro meses siguientes a la fecha de la presentación de la solicitud o a la apertura oficiosa de la investigación, (…) Vencido el término para fallar (…) sin haberse emitido la decisión correspondiente la autoridad administrativa perderá competencia para seguir conociendo del asunto y remitirá el expediente al Juez de Familia para que, de oficio, adelante la actuación o el proceso respectivo (…)”</w:t>
      </w:r>
    </w:p>
    <w:p w:rsidR="00803CE5" w:rsidRDefault="00803CE5" w:rsidP="00F21C19">
      <w:pPr>
        <w:widowControl/>
        <w:spacing w:line="360" w:lineRule="auto"/>
        <w:jc w:val="both"/>
        <w:rPr>
          <w:rFonts w:ascii="Arial" w:hAnsi="Arial" w:cs="Arial"/>
        </w:rPr>
      </w:pPr>
    </w:p>
    <w:p w:rsidR="00776972" w:rsidRDefault="00803CE5" w:rsidP="00F21C19">
      <w:pPr>
        <w:widowControl/>
        <w:spacing w:line="360" w:lineRule="auto"/>
        <w:jc w:val="both"/>
        <w:rPr>
          <w:rFonts w:ascii="Arial" w:hAnsi="Arial" w:cs="Arial"/>
        </w:rPr>
      </w:pPr>
      <w:r>
        <w:rPr>
          <w:rFonts w:ascii="Arial" w:hAnsi="Arial" w:cs="Arial"/>
        </w:rPr>
        <w:t>Revisadas las resoluciones administrativas es claro que ambas se adelantaron en aplicación del aludido artículo 100, así se lee en su encabezamiento (Folios 14 y 27, ib.); también que nunca se prorrogó el termino para decidir (Inciso 3º del parágrafo 2º de la Ley 1098)</w:t>
      </w:r>
      <w:r w:rsidR="00776972">
        <w:rPr>
          <w:rFonts w:ascii="Arial" w:hAnsi="Arial" w:cs="Arial"/>
        </w:rPr>
        <w:t>; y que la remisión que se hizo de</w:t>
      </w:r>
      <w:r w:rsidR="002A5A0C">
        <w:rPr>
          <w:rFonts w:ascii="Arial" w:hAnsi="Arial" w:cs="Arial"/>
        </w:rPr>
        <w:t xml:space="preserve"> </w:t>
      </w:r>
      <w:r w:rsidR="00776972">
        <w:rPr>
          <w:rFonts w:ascii="Arial" w:hAnsi="Arial" w:cs="Arial"/>
        </w:rPr>
        <w:t>l</w:t>
      </w:r>
      <w:r w:rsidR="002A5A0C">
        <w:rPr>
          <w:rFonts w:ascii="Arial" w:hAnsi="Arial" w:cs="Arial"/>
        </w:rPr>
        <w:t>os</w:t>
      </w:r>
      <w:r w:rsidR="00776972">
        <w:rPr>
          <w:rFonts w:ascii="Arial" w:hAnsi="Arial" w:cs="Arial"/>
        </w:rPr>
        <w:t xml:space="preserve"> expediente</w:t>
      </w:r>
      <w:r w:rsidR="002A5A0C">
        <w:rPr>
          <w:rFonts w:ascii="Arial" w:hAnsi="Arial" w:cs="Arial"/>
        </w:rPr>
        <w:t>s</w:t>
      </w:r>
      <w:r w:rsidR="00776972">
        <w:rPr>
          <w:rFonts w:ascii="Arial" w:hAnsi="Arial" w:cs="Arial"/>
        </w:rPr>
        <w:t xml:space="preserve">, lo fue con ocasión de la oposición presentada contra la resolución que declaró en estado de </w:t>
      </w:r>
      <w:proofErr w:type="spellStart"/>
      <w:r w:rsidR="00776972">
        <w:rPr>
          <w:rFonts w:ascii="Arial" w:hAnsi="Arial" w:cs="Arial"/>
        </w:rPr>
        <w:t>adoptabilidad</w:t>
      </w:r>
      <w:proofErr w:type="spellEnd"/>
      <w:r w:rsidR="00776972">
        <w:rPr>
          <w:rFonts w:ascii="Arial" w:hAnsi="Arial" w:cs="Arial"/>
        </w:rPr>
        <w:t xml:space="preserve"> a los menores, datada el 22-09-2016. </w:t>
      </w:r>
    </w:p>
    <w:p w:rsidR="00776972" w:rsidRDefault="00776972" w:rsidP="00F21C19">
      <w:pPr>
        <w:widowControl/>
        <w:spacing w:line="360" w:lineRule="auto"/>
        <w:jc w:val="both"/>
        <w:rPr>
          <w:rFonts w:ascii="Arial" w:hAnsi="Arial" w:cs="Arial"/>
        </w:rPr>
      </w:pPr>
    </w:p>
    <w:p w:rsidR="00776B6A" w:rsidRDefault="00776972" w:rsidP="00F21C19">
      <w:pPr>
        <w:widowControl/>
        <w:spacing w:line="360" w:lineRule="auto"/>
        <w:jc w:val="both"/>
        <w:rPr>
          <w:rFonts w:ascii="Arial" w:hAnsi="Arial" w:cs="Arial"/>
        </w:rPr>
      </w:pPr>
      <w:r>
        <w:rPr>
          <w:rFonts w:ascii="Arial" w:hAnsi="Arial" w:cs="Arial"/>
        </w:rPr>
        <w:t xml:space="preserve">Evidentemente </w:t>
      </w:r>
      <w:r w:rsidR="005C6C2C">
        <w:rPr>
          <w:rFonts w:ascii="Arial" w:hAnsi="Arial" w:cs="Arial"/>
        </w:rPr>
        <w:t>el</w:t>
      </w:r>
      <w:r>
        <w:rPr>
          <w:rFonts w:ascii="Arial" w:hAnsi="Arial" w:cs="Arial"/>
        </w:rPr>
        <w:t xml:space="preserve"> </w:t>
      </w:r>
      <w:r w:rsidR="005C6C2C">
        <w:rPr>
          <w:rFonts w:ascii="Arial" w:hAnsi="Arial" w:cs="Arial"/>
        </w:rPr>
        <w:t>aludido</w:t>
      </w:r>
      <w:r>
        <w:rPr>
          <w:rFonts w:ascii="Arial" w:hAnsi="Arial" w:cs="Arial"/>
        </w:rPr>
        <w:t xml:space="preserve"> </w:t>
      </w:r>
      <w:r w:rsidR="005C6C2C">
        <w:rPr>
          <w:rFonts w:ascii="Arial" w:hAnsi="Arial" w:cs="Arial"/>
        </w:rPr>
        <w:t xml:space="preserve">acto administrativo </w:t>
      </w:r>
      <w:r>
        <w:rPr>
          <w:rFonts w:ascii="Arial" w:hAnsi="Arial" w:cs="Arial"/>
        </w:rPr>
        <w:t xml:space="preserve">se profirió luego de que venciera el término legal para ello, por lo tanto, </w:t>
      </w:r>
      <w:r w:rsidR="00ED4DEC">
        <w:rPr>
          <w:rFonts w:ascii="Arial" w:hAnsi="Arial" w:cs="Arial"/>
        </w:rPr>
        <w:t xml:space="preserve">la Defensora de Familia </w:t>
      </w:r>
      <w:r>
        <w:rPr>
          <w:rFonts w:ascii="Arial" w:hAnsi="Arial" w:cs="Arial"/>
        </w:rPr>
        <w:t xml:space="preserve">carecía de competencia para </w:t>
      </w:r>
      <w:r w:rsidR="005C6C2C">
        <w:rPr>
          <w:rFonts w:ascii="Arial" w:hAnsi="Arial" w:cs="Arial"/>
        </w:rPr>
        <w:t>dictarlo</w:t>
      </w:r>
      <w:r>
        <w:rPr>
          <w:rFonts w:ascii="Arial" w:hAnsi="Arial" w:cs="Arial"/>
        </w:rPr>
        <w:t xml:space="preserve"> y debió </w:t>
      </w:r>
      <w:r w:rsidR="002A5A0C">
        <w:rPr>
          <w:rFonts w:ascii="Arial" w:hAnsi="Arial" w:cs="Arial"/>
        </w:rPr>
        <w:t>enviar</w:t>
      </w:r>
      <w:r>
        <w:rPr>
          <w:rFonts w:ascii="Arial" w:hAnsi="Arial" w:cs="Arial"/>
        </w:rPr>
        <w:t xml:space="preserve"> el expediente</w:t>
      </w:r>
      <w:r w:rsidR="005C6C2C">
        <w:rPr>
          <w:rFonts w:ascii="Arial" w:hAnsi="Arial" w:cs="Arial"/>
        </w:rPr>
        <w:t xml:space="preserve"> al Juzgado de Familia </w:t>
      </w:r>
      <w:r>
        <w:rPr>
          <w:rFonts w:ascii="Arial" w:hAnsi="Arial" w:cs="Arial"/>
        </w:rPr>
        <w:t xml:space="preserve">para que </w:t>
      </w:r>
      <w:r w:rsidR="00776B6A">
        <w:rPr>
          <w:rFonts w:ascii="Arial" w:hAnsi="Arial" w:cs="Arial"/>
        </w:rPr>
        <w:t xml:space="preserve">decidiera de fondo el asunto. Ahora, si aquella resolución se </w:t>
      </w:r>
      <w:r w:rsidR="00ED4DEC">
        <w:rPr>
          <w:rFonts w:ascii="Arial" w:hAnsi="Arial" w:cs="Arial"/>
        </w:rPr>
        <w:t xml:space="preserve">dictó </w:t>
      </w:r>
      <w:r w:rsidR="00776B6A">
        <w:rPr>
          <w:rFonts w:ascii="Arial" w:hAnsi="Arial" w:cs="Arial"/>
        </w:rPr>
        <w:t>en aplicación del artículo 103 de la Ley 1098, debió así advertir</w:t>
      </w:r>
      <w:r w:rsidR="00ED4DEC">
        <w:rPr>
          <w:rFonts w:ascii="Arial" w:hAnsi="Arial" w:cs="Arial"/>
        </w:rPr>
        <w:t>se</w:t>
      </w:r>
      <w:r w:rsidR="00776B6A">
        <w:rPr>
          <w:rFonts w:ascii="Arial" w:hAnsi="Arial" w:cs="Arial"/>
        </w:rPr>
        <w:t xml:space="preserve"> en su contenido.</w:t>
      </w:r>
    </w:p>
    <w:p w:rsidR="00776B6A" w:rsidRDefault="00776B6A" w:rsidP="00F21C19">
      <w:pPr>
        <w:widowControl/>
        <w:spacing w:line="360" w:lineRule="auto"/>
        <w:jc w:val="both"/>
        <w:rPr>
          <w:rFonts w:ascii="Arial" w:hAnsi="Arial" w:cs="Arial"/>
        </w:rPr>
      </w:pPr>
    </w:p>
    <w:p w:rsidR="005C6C2C" w:rsidRDefault="005C6C2C" w:rsidP="005C6C2C">
      <w:pPr>
        <w:widowControl/>
        <w:spacing w:line="360" w:lineRule="auto"/>
        <w:jc w:val="both"/>
        <w:rPr>
          <w:rFonts w:ascii="Arial" w:hAnsi="Arial" w:cs="Arial"/>
        </w:rPr>
      </w:pPr>
      <w:r>
        <w:rPr>
          <w:rFonts w:ascii="Arial" w:hAnsi="Arial" w:cs="Arial"/>
        </w:rPr>
        <w:t xml:space="preserve">Si bien el juzgador nunca retornó el expediente para que la Defensora declarara su falta de competencia, fue claro en señalar que no lo haría por considerarlo una </w:t>
      </w:r>
      <w:r w:rsidRPr="005C6C2C">
        <w:rPr>
          <w:rFonts w:ascii="Arial" w:hAnsi="Arial" w:cs="Arial"/>
          <w:i/>
        </w:rPr>
        <w:t>“</w:t>
      </w:r>
      <w:r w:rsidRPr="005C6C2C">
        <w:rPr>
          <w:rFonts w:ascii="Arial" w:hAnsi="Arial" w:cs="Arial"/>
          <w:i/>
          <w:sz w:val="22"/>
        </w:rPr>
        <w:t>(…) vuelta innecesaria si se tiene en cuenta que ante la pérdida de competencia que en este caso es evidente, el juez debe resolver (…)”</w:t>
      </w:r>
      <w:r>
        <w:rPr>
          <w:rFonts w:ascii="Arial" w:hAnsi="Arial" w:cs="Arial"/>
          <w:i/>
          <w:sz w:val="22"/>
        </w:rPr>
        <w:t xml:space="preserve"> </w:t>
      </w:r>
      <w:r w:rsidR="00760115">
        <w:rPr>
          <w:rFonts w:ascii="Arial" w:hAnsi="Arial" w:cs="Arial"/>
        </w:rPr>
        <w:t>(Folio 96 vuelto, ib.)</w:t>
      </w:r>
      <w:r w:rsidRPr="005C6C2C">
        <w:rPr>
          <w:rFonts w:ascii="Arial" w:hAnsi="Arial" w:cs="Arial"/>
          <w:sz w:val="28"/>
        </w:rPr>
        <w:t xml:space="preserve">.  </w:t>
      </w:r>
    </w:p>
    <w:p w:rsidR="005C6C2C" w:rsidRDefault="005C6C2C" w:rsidP="00F21C19">
      <w:pPr>
        <w:widowControl/>
        <w:spacing w:line="360" w:lineRule="auto"/>
        <w:jc w:val="both"/>
        <w:rPr>
          <w:rFonts w:ascii="Arial" w:hAnsi="Arial" w:cs="Arial"/>
        </w:rPr>
      </w:pPr>
    </w:p>
    <w:p w:rsidR="0063257E" w:rsidRDefault="0063257E" w:rsidP="0063257E">
      <w:pPr>
        <w:pStyle w:val="Retraitcorpsdetexte"/>
        <w:spacing w:after="0" w:line="360" w:lineRule="auto"/>
        <w:ind w:left="0"/>
        <w:jc w:val="both"/>
        <w:rPr>
          <w:rFonts w:ascii="Arial" w:hAnsi="Arial"/>
        </w:rPr>
      </w:pPr>
      <w:r w:rsidRPr="00F54A43">
        <w:rPr>
          <w:rFonts w:ascii="Arial" w:hAnsi="Arial" w:cs="Arial"/>
          <w:color w:val="000000"/>
        </w:rPr>
        <w:t xml:space="preserve">A partir de lo dicho, </w:t>
      </w:r>
      <w:r>
        <w:rPr>
          <w:rFonts w:ascii="Arial" w:hAnsi="Arial" w:cs="Arial"/>
          <w:lang w:val="es-CO"/>
        </w:rPr>
        <w:t>inexiste</w:t>
      </w:r>
      <w:r w:rsidRPr="00F54A43">
        <w:rPr>
          <w:rFonts w:ascii="Arial" w:hAnsi="Arial" w:cs="Arial"/>
          <w:lang w:val="es-CO"/>
        </w:rPr>
        <w:t xml:space="preserve"> </w:t>
      </w:r>
      <w:r w:rsidRPr="00F54A43">
        <w:rPr>
          <w:rFonts w:ascii="Arial" w:hAnsi="Arial"/>
        </w:rPr>
        <w:t xml:space="preserve">vulneración o amenaza a los derechos invocados, puesto que no se advierte arbitraria ni antojadiza la decisión controvertida. Comparta o no la Sala la posición </w:t>
      </w:r>
      <w:r>
        <w:rPr>
          <w:rFonts w:ascii="Arial" w:hAnsi="Arial"/>
        </w:rPr>
        <w:t>del juez accionado</w:t>
      </w:r>
      <w:r w:rsidRPr="00F54A43">
        <w:rPr>
          <w:rFonts w:ascii="Arial" w:hAnsi="Arial"/>
        </w:rPr>
        <w:t xml:space="preserve">, </w:t>
      </w:r>
      <w:r>
        <w:rPr>
          <w:rFonts w:ascii="Arial" w:hAnsi="Arial"/>
        </w:rPr>
        <w:t>es evidente</w:t>
      </w:r>
      <w:r w:rsidRPr="00F54A43">
        <w:rPr>
          <w:rFonts w:ascii="Arial" w:hAnsi="Arial"/>
        </w:rPr>
        <w:t xml:space="preserve"> que </w:t>
      </w:r>
      <w:r>
        <w:rPr>
          <w:rFonts w:ascii="Arial" w:hAnsi="Arial"/>
        </w:rPr>
        <w:t xml:space="preserve">tiene </w:t>
      </w:r>
      <w:r w:rsidRPr="00F54A43">
        <w:rPr>
          <w:rFonts w:ascii="Arial" w:hAnsi="Arial"/>
        </w:rPr>
        <w:t xml:space="preserve">un fundamento jurídico claro, es decir, en normas vigentes aplicables </w:t>
      </w:r>
      <w:r>
        <w:rPr>
          <w:rFonts w:ascii="Arial" w:hAnsi="Arial"/>
        </w:rPr>
        <w:t xml:space="preserve">a estos trámites administrativos </w:t>
      </w:r>
      <w:r w:rsidRPr="00F54A43">
        <w:rPr>
          <w:rFonts w:ascii="Arial" w:hAnsi="Arial"/>
        </w:rPr>
        <w:t xml:space="preserve">(Artículo </w:t>
      </w:r>
      <w:r>
        <w:rPr>
          <w:rFonts w:ascii="Arial" w:hAnsi="Arial"/>
        </w:rPr>
        <w:t xml:space="preserve">100 </w:t>
      </w:r>
      <w:r w:rsidRPr="00F54A43">
        <w:rPr>
          <w:rFonts w:ascii="Arial" w:hAnsi="Arial"/>
        </w:rPr>
        <w:t xml:space="preserve">de la Ley </w:t>
      </w:r>
      <w:r>
        <w:rPr>
          <w:rFonts w:ascii="Arial" w:hAnsi="Arial"/>
        </w:rPr>
        <w:t>1098</w:t>
      </w:r>
      <w:r w:rsidRPr="00F54A43">
        <w:rPr>
          <w:rFonts w:ascii="Arial" w:hAnsi="Arial"/>
        </w:rPr>
        <w:t xml:space="preserve">). </w:t>
      </w:r>
    </w:p>
    <w:p w:rsidR="0063257E" w:rsidRDefault="0063257E" w:rsidP="00F21C19">
      <w:pPr>
        <w:widowControl/>
        <w:spacing w:line="360" w:lineRule="auto"/>
        <w:jc w:val="both"/>
        <w:rPr>
          <w:rFonts w:ascii="Arial" w:hAnsi="Arial" w:cs="Arial"/>
        </w:rPr>
      </w:pPr>
    </w:p>
    <w:p w:rsidR="004F147E" w:rsidRDefault="002A5A0C" w:rsidP="00F21C19">
      <w:pPr>
        <w:widowControl/>
        <w:spacing w:line="360" w:lineRule="auto"/>
        <w:jc w:val="both"/>
        <w:rPr>
          <w:rFonts w:ascii="Arial" w:hAnsi="Arial" w:cs="Arial"/>
        </w:rPr>
      </w:pPr>
      <w:r>
        <w:rPr>
          <w:rFonts w:ascii="Arial" w:hAnsi="Arial" w:cs="Arial"/>
        </w:rPr>
        <w:t>De otro lado, n</w:t>
      </w:r>
      <w:r w:rsidR="00433E96">
        <w:rPr>
          <w:rFonts w:ascii="Arial" w:hAnsi="Arial" w:cs="Arial"/>
        </w:rPr>
        <w:t xml:space="preserve">o se acoge el argumento expuesto por el Procurador Judicial local, toda vez que alude al defecto orgánico, nunca invocado en el petitorio de tutela; </w:t>
      </w:r>
      <w:r w:rsidR="004F147E">
        <w:rPr>
          <w:rFonts w:ascii="Arial" w:hAnsi="Arial" w:cs="Arial"/>
        </w:rPr>
        <w:t xml:space="preserve">indica </w:t>
      </w:r>
      <w:r w:rsidR="00433E96">
        <w:rPr>
          <w:rFonts w:ascii="Arial" w:hAnsi="Arial" w:cs="Arial"/>
        </w:rPr>
        <w:t xml:space="preserve">que el despacho accionado </w:t>
      </w:r>
      <w:r w:rsidR="00760115">
        <w:rPr>
          <w:rFonts w:ascii="Arial" w:hAnsi="Arial" w:cs="Arial"/>
        </w:rPr>
        <w:t xml:space="preserve">era incompetente </w:t>
      </w:r>
      <w:r w:rsidR="00433E96">
        <w:rPr>
          <w:rFonts w:ascii="Arial" w:hAnsi="Arial" w:cs="Arial"/>
        </w:rPr>
        <w:t xml:space="preserve">para revisar la </w:t>
      </w:r>
      <w:r w:rsidR="004F147E">
        <w:rPr>
          <w:rFonts w:ascii="Arial" w:hAnsi="Arial" w:cs="Arial"/>
        </w:rPr>
        <w:t xml:space="preserve">decisión </w:t>
      </w:r>
      <w:r w:rsidR="00433E96">
        <w:rPr>
          <w:rFonts w:ascii="Arial" w:hAnsi="Arial" w:cs="Arial"/>
        </w:rPr>
        <w:t>administrativa, ya que carecía de validez</w:t>
      </w:r>
      <w:r w:rsidR="004F147E">
        <w:rPr>
          <w:rFonts w:ascii="Arial" w:hAnsi="Arial" w:cs="Arial"/>
        </w:rPr>
        <w:t xml:space="preserve">, y en consecuencia, debió obrar como autoridad judicial que definiera la situación de restablecimiento de derechos. El amparo constitucional no puede convertirse en una herramienta destinada para auscultar cuanto defecto especial pueda </w:t>
      </w:r>
      <w:r w:rsidR="004F147E">
        <w:rPr>
          <w:rFonts w:ascii="Arial" w:hAnsi="Arial" w:cs="Arial"/>
        </w:rPr>
        <w:lastRenderedPageBreak/>
        <w:t>presentar</w:t>
      </w:r>
      <w:r w:rsidR="00760115">
        <w:rPr>
          <w:rFonts w:ascii="Arial" w:hAnsi="Arial" w:cs="Arial"/>
        </w:rPr>
        <w:t>se en una providencia judicial. No se trata, entonces, de un control de legalidad sobre todo el proceso</w:t>
      </w:r>
      <w:r w:rsidR="004F147E">
        <w:rPr>
          <w:rFonts w:ascii="Arial" w:hAnsi="Arial" w:cs="Arial"/>
        </w:rPr>
        <w:t xml:space="preserve">. </w:t>
      </w:r>
    </w:p>
    <w:p w:rsidR="00433E96" w:rsidRDefault="00433E96" w:rsidP="00F21C19">
      <w:pPr>
        <w:widowControl/>
        <w:spacing w:line="360" w:lineRule="auto"/>
        <w:jc w:val="both"/>
        <w:rPr>
          <w:rFonts w:ascii="Arial" w:hAnsi="Arial" w:cs="Arial"/>
        </w:rPr>
      </w:pPr>
    </w:p>
    <w:p w:rsidR="008F34B8" w:rsidRPr="00A12158" w:rsidRDefault="008F34B8" w:rsidP="008F34B8">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A12158">
        <w:rPr>
          <w:rFonts w:ascii="Arial" w:hAnsi="Arial" w:cs="Arial"/>
          <w:szCs w:val="24"/>
        </w:rPr>
        <w:t xml:space="preserve">LAS CONCLUSIONES </w:t>
      </w:r>
    </w:p>
    <w:p w:rsidR="008F34B8" w:rsidRPr="00A12158" w:rsidRDefault="008F34B8" w:rsidP="008F34B8">
      <w:pPr>
        <w:pStyle w:val="Corpsdetexte"/>
        <w:spacing w:line="360" w:lineRule="auto"/>
        <w:rPr>
          <w:rFonts w:ascii="Arial" w:hAnsi="Arial" w:cs="Arial"/>
          <w:szCs w:val="24"/>
        </w:rPr>
      </w:pPr>
    </w:p>
    <w:p w:rsidR="008F34B8" w:rsidRPr="00A12158" w:rsidRDefault="008F34B8" w:rsidP="00402111">
      <w:pPr>
        <w:pStyle w:val="Textopredeterminado"/>
        <w:spacing w:line="360" w:lineRule="auto"/>
        <w:jc w:val="both"/>
        <w:rPr>
          <w:rFonts w:ascii="Arial" w:hAnsi="Arial" w:cs="Arial"/>
          <w:spacing w:val="3"/>
          <w:szCs w:val="24"/>
        </w:rPr>
      </w:pPr>
      <w:r w:rsidRPr="00A12158">
        <w:rPr>
          <w:rFonts w:ascii="Arial" w:hAnsi="Arial" w:cs="Arial"/>
          <w:szCs w:val="24"/>
          <w:lang w:val="es-ES"/>
        </w:rPr>
        <w:t>Con fundamento en las consideraciones expuestas</w:t>
      </w:r>
      <w:r w:rsidR="009019C0" w:rsidRPr="00A12158">
        <w:rPr>
          <w:rFonts w:ascii="Arial" w:hAnsi="Arial" w:cs="Arial"/>
          <w:szCs w:val="24"/>
          <w:lang w:val="es-ES"/>
        </w:rPr>
        <w:t>,</w:t>
      </w:r>
      <w:r w:rsidRPr="00A12158">
        <w:rPr>
          <w:rFonts w:ascii="Arial" w:hAnsi="Arial" w:cs="Arial"/>
          <w:szCs w:val="24"/>
          <w:lang w:val="es-ES"/>
        </w:rPr>
        <w:t xml:space="preserve"> </w:t>
      </w:r>
      <w:r w:rsidR="004F147E">
        <w:rPr>
          <w:rFonts w:ascii="Arial" w:hAnsi="Arial" w:cs="Arial"/>
          <w:szCs w:val="24"/>
          <w:lang w:val="es-ES"/>
        </w:rPr>
        <w:t>s</w:t>
      </w:r>
      <w:r w:rsidRPr="00A12158">
        <w:rPr>
          <w:rFonts w:ascii="Arial" w:hAnsi="Arial" w:cs="Arial"/>
          <w:szCs w:val="24"/>
          <w:lang w:val="es-ES"/>
        </w:rPr>
        <w:t xml:space="preserve">e denegará </w:t>
      </w:r>
      <w:r w:rsidR="00BB74B3" w:rsidRPr="00A12158">
        <w:rPr>
          <w:rFonts w:ascii="Arial" w:hAnsi="Arial" w:cs="Arial"/>
          <w:szCs w:val="24"/>
          <w:lang w:val="es-ES"/>
        </w:rPr>
        <w:t>la</w:t>
      </w:r>
      <w:r w:rsidR="00402111" w:rsidRPr="00A12158">
        <w:rPr>
          <w:rFonts w:ascii="Arial" w:hAnsi="Arial" w:cs="Arial"/>
          <w:szCs w:val="24"/>
          <w:lang w:val="es-ES"/>
        </w:rPr>
        <w:t xml:space="preserve"> </w:t>
      </w:r>
      <w:r w:rsidR="00BB74B3" w:rsidRPr="00A12158">
        <w:rPr>
          <w:rFonts w:ascii="Arial" w:hAnsi="Arial" w:cs="Arial"/>
          <w:szCs w:val="24"/>
          <w:lang w:val="es-ES"/>
        </w:rPr>
        <w:t xml:space="preserve">acción constitucional </w:t>
      </w:r>
      <w:r w:rsidRPr="00A12158">
        <w:rPr>
          <w:rFonts w:ascii="Arial" w:hAnsi="Arial" w:cs="Arial"/>
          <w:szCs w:val="24"/>
          <w:lang w:val="es-ES"/>
        </w:rPr>
        <w:t xml:space="preserve">invocada con estribo </w:t>
      </w:r>
      <w:r w:rsidR="009019C0" w:rsidRPr="00A12158">
        <w:rPr>
          <w:rFonts w:ascii="Arial" w:hAnsi="Arial" w:cs="Arial"/>
          <w:szCs w:val="24"/>
          <w:lang w:val="es-ES"/>
        </w:rPr>
        <w:t xml:space="preserve">en que </w:t>
      </w:r>
      <w:r w:rsidR="004F147E">
        <w:rPr>
          <w:rFonts w:ascii="Arial" w:hAnsi="Arial" w:cs="Arial"/>
          <w:szCs w:val="24"/>
          <w:lang w:val="es-ES"/>
        </w:rPr>
        <w:t>son</w:t>
      </w:r>
      <w:r w:rsidRPr="00A12158">
        <w:rPr>
          <w:rFonts w:ascii="Arial" w:hAnsi="Arial" w:cs="Arial"/>
          <w:szCs w:val="24"/>
          <w:lang w:val="es-ES"/>
        </w:rPr>
        <w:t xml:space="preserve"> inexistente</w:t>
      </w:r>
      <w:r w:rsidR="004F147E">
        <w:rPr>
          <w:rFonts w:ascii="Arial" w:hAnsi="Arial" w:cs="Arial"/>
          <w:szCs w:val="24"/>
          <w:lang w:val="es-ES"/>
        </w:rPr>
        <w:t>s</w:t>
      </w:r>
      <w:r w:rsidRPr="00A12158">
        <w:rPr>
          <w:rFonts w:ascii="Arial" w:hAnsi="Arial" w:cs="Arial"/>
          <w:szCs w:val="24"/>
          <w:lang w:val="es-ES"/>
        </w:rPr>
        <w:t xml:space="preserve"> </w:t>
      </w:r>
      <w:r w:rsidR="004F147E">
        <w:rPr>
          <w:rFonts w:ascii="Arial" w:hAnsi="Arial" w:cs="Arial"/>
          <w:szCs w:val="24"/>
          <w:lang w:val="es-ES"/>
        </w:rPr>
        <w:t xml:space="preserve">los </w:t>
      </w:r>
      <w:r w:rsidRPr="00A12158">
        <w:rPr>
          <w:rFonts w:ascii="Arial" w:hAnsi="Arial" w:cs="Arial"/>
          <w:szCs w:val="24"/>
          <w:lang w:val="es-ES"/>
        </w:rPr>
        <w:t>defecto</w:t>
      </w:r>
      <w:r w:rsidR="004F147E">
        <w:rPr>
          <w:rFonts w:ascii="Arial" w:hAnsi="Arial" w:cs="Arial"/>
          <w:szCs w:val="24"/>
          <w:lang w:val="es-ES"/>
        </w:rPr>
        <w:t>s</w:t>
      </w:r>
      <w:r w:rsidRPr="00A12158">
        <w:rPr>
          <w:rFonts w:ascii="Arial" w:hAnsi="Arial" w:cs="Arial"/>
          <w:szCs w:val="24"/>
          <w:lang w:val="es-ES"/>
        </w:rPr>
        <w:t xml:space="preserve"> </w:t>
      </w:r>
      <w:r w:rsidR="004F147E">
        <w:rPr>
          <w:rFonts w:ascii="Arial" w:hAnsi="Arial" w:cs="Arial"/>
          <w:szCs w:val="24"/>
          <w:lang w:val="es-ES"/>
        </w:rPr>
        <w:t xml:space="preserve">fáctico y </w:t>
      </w:r>
      <w:r w:rsidRPr="00A12158">
        <w:rPr>
          <w:rFonts w:ascii="Arial" w:hAnsi="Arial" w:cs="Arial"/>
          <w:szCs w:val="24"/>
        </w:rPr>
        <w:t xml:space="preserve">sustantivo </w:t>
      </w:r>
      <w:r w:rsidR="009019C0" w:rsidRPr="00A12158">
        <w:rPr>
          <w:rFonts w:ascii="Arial" w:hAnsi="Arial" w:cs="Arial"/>
          <w:szCs w:val="24"/>
        </w:rPr>
        <w:t>alegado</w:t>
      </w:r>
      <w:r w:rsidR="004F147E">
        <w:rPr>
          <w:rFonts w:ascii="Arial" w:hAnsi="Arial" w:cs="Arial"/>
          <w:szCs w:val="24"/>
        </w:rPr>
        <w:t>s</w:t>
      </w:r>
      <w:r w:rsidRPr="00A12158">
        <w:rPr>
          <w:rFonts w:ascii="Arial" w:hAnsi="Arial" w:cs="Arial"/>
          <w:szCs w:val="24"/>
        </w:rPr>
        <w:t>.</w:t>
      </w:r>
    </w:p>
    <w:p w:rsidR="008F34B8" w:rsidRPr="00A12158" w:rsidRDefault="008F34B8" w:rsidP="008F34B8">
      <w:pPr>
        <w:pStyle w:val="Corpsdetexte"/>
        <w:spacing w:line="360" w:lineRule="auto"/>
        <w:rPr>
          <w:rFonts w:ascii="Arial" w:hAnsi="Arial" w:cs="Arial"/>
          <w:szCs w:val="24"/>
          <w:lang w:val="es-ES"/>
        </w:rPr>
      </w:pPr>
    </w:p>
    <w:p w:rsidR="008F34B8" w:rsidRPr="00A12158" w:rsidRDefault="008F34B8" w:rsidP="008F34B8">
      <w:pPr>
        <w:tabs>
          <w:tab w:val="left" w:pos="-720"/>
        </w:tabs>
        <w:suppressAutoHyphens/>
        <w:spacing w:line="360" w:lineRule="auto"/>
        <w:jc w:val="both"/>
        <w:rPr>
          <w:rFonts w:ascii="Arial" w:hAnsi="Arial" w:cs="Arial"/>
        </w:rPr>
      </w:pPr>
      <w:r w:rsidRPr="00A12158">
        <w:rPr>
          <w:rFonts w:ascii="Arial" w:hAnsi="Arial" w:cs="Arial"/>
        </w:rPr>
        <w:t xml:space="preserve">En mérito de lo expuesto, el </w:t>
      </w:r>
      <w:r w:rsidRPr="00A12158">
        <w:rPr>
          <w:rFonts w:ascii="Arial" w:hAnsi="Arial" w:cs="Arial"/>
          <w:bCs/>
          <w:smallCaps/>
        </w:rPr>
        <w:t>Tribunal Superior del Distrito Judicial de Pereira, Sala de Decisión Civil -Familia</w:t>
      </w:r>
      <w:r w:rsidRPr="00A12158">
        <w:rPr>
          <w:rFonts w:ascii="Arial" w:hAnsi="Arial" w:cs="Arial"/>
        </w:rPr>
        <w:t>, administrando Justicia, en nombre de la República y por autoridad de la Ley,</w:t>
      </w:r>
    </w:p>
    <w:p w:rsidR="008F34B8" w:rsidRPr="00A12158" w:rsidRDefault="008F34B8" w:rsidP="008F34B8">
      <w:pPr>
        <w:pStyle w:val="Corpsdetexte"/>
        <w:spacing w:line="360" w:lineRule="auto"/>
        <w:jc w:val="center"/>
        <w:rPr>
          <w:rFonts w:ascii="Arial" w:hAnsi="Arial" w:cs="Arial"/>
          <w:bCs/>
          <w:smallCaps/>
          <w:sz w:val="6"/>
          <w:szCs w:val="24"/>
        </w:rPr>
      </w:pPr>
    </w:p>
    <w:p w:rsidR="002A5A0C" w:rsidRDefault="002A5A0C" w:rsidP="008F34B8">
      <w:pPr>
        <w:pStyle w:val="Corpsdetexte"/>
        <w:spacing w:line="360" w:lineRule="auto"/>
        <w:jc w:val="center"/>
        <w:rPr>
          <w:rFonts w:ascii="Arial" w:hAnsi="Arial" w:cs="Arial"/>
          <w:bCs/>
          <w:smallCaps/>
          <w:szCs w:val="24"/>
        </w:rPr>
      </w:pPr>
    </w:p>
    <w:p w:rsidR="008F34B8" w:rsidRDefault="008F34B8" w:rsidP="008F34B8">
      <w:pPr>
        <w:pStyle w:val="Corpsdetexte"/>
        <w:spacing w:line="360" w:lineRule="auto"/>
        <w:jc w:val="center"/>
        <w:rPr>
          <w:rFonts w:ascii="Arial" w:hAnsi="Arial" w:cs="Arial"/>
          <w:bCs/>
          <w:smallCaps/>
          <w:szCs w:val="24"/>
        </w:rPr>
      </w:pPr>
      <w:r w:rsidRPr="00A12158">
        <w:rPr>
          <w:rFonts w:ascii="Arial" w:hAnsi="Arial" w:cs="Arial"/>
          <w:bCs/>
          <w:smallCaps/>
          <w:szCs w:val="24"/>
        </w:rPr>
        <w:t xml:space="preserve">F A L </w:t>
      </w:r>
      <w:proofErr w:type="spellStart"/>
      <w:r w:rsidRPr="00A12158">
        <w:rPr>
          <w:rFonts w:ascii="Arial" w:hAnsi="Arial" w:cs="Arial"/>
          <w:bCs/>
          <w:smallCaps/>
          <w:szCs w:val="24"/>
        </w:rPr>
        <w:t>L</w:t>
      </w:r>
      <w:proofErr w:type="spellEnd"/>
      <w:r w:rsidRPr="00A12158">
        <w:rPr>
          <w:rFonts w:ascii="Arial" w:hAnsi="Arial" w:cs="Arial"/>
          <w:bCs/>
          <w:smallCaps/>
          <w:szCs w:val="24"/>
        </w:rPr>
        <w:t xml:space="preserve"> A,</w:t>
      </w:r>
    </w:p>
    <w:p w:rsidR="002A5A0C" w:rsidRPr="00A12158" w:rsidRDefault="002A5A0C" w:rsidP="008F34B8">
      <w:pPr>
        <w:pStyle w:val="Corpsdetexte"/>
        <w:spacing w:line="360" w:lineRule="auto"/>
        <w:jc w:val="center"/>
        <w:rPr>
          <w:rFonts w:ascii="Arial" w:hAnsi="Arial" w:cs="Arial"/>
          <w:bCs/>
          <w:smallCaps/>
          <w:szCs w:val="24"/>
        </w:rPr>
      </w:pPr>
    </w:p>
    <w:p w:rsidR="008F34B8" w:rsidRPr="002A5A0C" w:rsidRDefault="008F34B8" w:rsidP="008F34B8">
      <w:pPr>
        <w:pStyle w:val="Corpsdetexte"/>
        <w:numPr>
          <w:ilvl w:val="0"/>
          <w:numId w:val="6"/>
        </w:numPr>
        <w:tabs>
          <w:tab w:val="clear" w:pos="720"/>
          <w:tab w:val="num" w:pos="360"/>
        </w:tabs>
        <w:spacing w:line="360" w:lineRule="auto"/>
        <w:ind w:left="360"/>
        <w:rPr>
          <w:rFonts w:ascii="Arial" w:hAnsi="Arial" w:cs="Arial"/>
          <w:szCs w:val="24"/>
        </w:rPr>
      </w:pPr>
      <w:r w:rsidRPr="00A12158">
        <w:rPr>
          <w:rFonts w:ascii="Arial" w:hAnsi="Arial" w:cs="Arial"/>
          <w:szCs w:val="24"/>
        </w:rPr>
        <w:t xml:space="preserve">DENEGAR </w:t>
      </w:r>
      <w:r w:rsidR="00BB74B3" w:rsidRPr="00A12158">
        <w:rPr>
          <w:rFonts w:ascii="Arial" w:hAnsi="Arial" w:cs="Arial"/>
          <w:szCs w:val="24"/>
        </w:rPr>
        <w:t xml:space="preserve">la acción </w:t>
      </w:r>
      <w:r w:rsidRPr="00A12158">
        <w:rPr>
          <w:rFonts w:ascii="Arial" w:hAnsi="Arial" w:cs="Arial"/>
          <w:szCs w:val="24"/>
        </w:rPr>
        <w:t xml:space="preserve">de tutela por inexistencia de </w:t>
      </w:r>
      <w:r w:rsidRPr="00A12158">
        <w:rPr>
          <w:rFonts w:ascii="Arial" w:hAnsi="Arial" w:cs="Arial"/>
          <w:szCs w:val="24"/>
          <w:lang w:val="es-ES"/>
        </w:rPr>
        <w:t>defecto</w:t>
      </w:r>
      <w:r w:rsidR="004F147E">
        <w:rPr>
          <w:rFonts w:ascii="Arial" w:hAnsi="Arial" w:cs="Arial"/>
          <w:szCs w:val="24"/>
          <w:lang w:val="es-ES"/>
        </w:rPr>
        <w:t>s</w:t>
      </w:r>
      <w:r w:rsidRPr="00A12158">
        <w:rPr>
          <w:rFonts w:ascii="Arial" w:hAnsi="Arial" w:cs="Arial"/>
          <w:szCs w:val="24"/>
          <w:lang w:val="es-ES"/>
        </w:rPr>
        <w:t xml:space="preserve"> </w:t>
      </w:r>
      <w:r w:rsidR="004F147E">
        <w:rPr>
          <w:rFonts w:ascii="Arial" w:hAnsi="Arial" w:cs="Arial"/>
          <w:szCs w:val="24"/>
          <w:lang w:val="es-ES"/>
        </w:rPr>
        <w:t xml:space="preserve">fáctico y </w:t>
      </w:r>
      <w:r w:rsidRPr="00A12158">
        <w:rPr>
          <w:rFonts w:ascii="Arial" w:hAnsi="Arial" w:cs="Arial"/>
          <w:szCs w:val="24"/>
        </w:rPr>
        <w:t xml:space="preserve">sustantivo </w:t>
      </w:r>
      <w:r w:rsidRPr="00A12158">
        <w:rPr>
          <w:rFonts w:ascii="Arial" w:hAnsi="Arial" w:cs="Arial"/>
          <w:szCs w:val="24"/>
          <w:lang w:val="es-ES"/>
        </w:rPr>
        <w:t xml:space="preserve">en </w:t>
      </w:r>
      <w:r w:rsidR="004F147E">
        <w:rPr>
          <w:rFonts w:ascii="Arial" w:hAnsi="Arial" w:cs="Arial"/>
          <w:szCs w:val="24"/>
          <w:lang w:val="es-ES"/>
        </w:rPr>
        <w:t>la decisión de no homologación dictada el 06-03-2017 por el Juzgado de Familia de Dosquebradas.</w:t>
      </w:r>
    </w:p>
    <w:p w:rsidR="002A5A0C" w:rsidRPr="00A12158" w:rsidRDefault="002A5A0C" w:rsidP="002A5A0C">
      <w:pPr>
        <w:pStyle w:val="Corpsdetexte"/>
        <w:tabs>
          <w:tab w:val="clear" w:pos="708"/>
        </w:tabs>
        <w:spacing w:line="360" w:lineRule="auto"/>
        <w:ind w:left="360"/>
        <w:rPr>
          <w:rFonts w:ascii="Arial" w:hAnsi="Arial" w:cs="Arial"/>
          <w:szCs w:val="24"/>
        </w:rPr>
      </w:pPr>
    </w:p>
    <w:p w:rsidR="00402111" w:rsidRPr="00A12158" w:rsidRDefault="00402111" w:rsidP="0040211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2158">
        <w:rPr>
          <w:rFonts w:ascii="Arial" w:hAnsi="Arial" w:cs="Arial"/>
        </w:rPr>
        <w:t>NOTIFICAR esta decisión a todas las partes, por el medio más expedito y eficaz.</w:t>
      </w:r>
    </w:p>
    <w:p w:rsidR="002A5A0C" w:rsidRDefault="002A5A0C" w:rsidP="002A5A0C">
      <w:pPr>
        <w:pStyle w:val="Corpsdetexte"/>
        <w:tabs>
          <w:tab w:val="clear" w:pos="708"/>
        </w:tabs>
        <w:spacing w:line="360" w:lineRule="auto"/>
        <w:ind w:left="360"/>
        <w:rPr>
          <w:rFonts w:ascii="Arial" w:hAnsi="Arial" w:cs="Arial"/>
          <w:szCs w:val="24"/>
        </w:rPr>
      </w:pPr>
    </w:p>
    <w:p w:rsidR="00402111" w:rsidRDefault="00402111" w:rsidP="00402111">
      <w:pPr>
        <w:pStyle w:val="Corpsdetexte"/>
        <w:numPr>
          <w:ilvl w:val="0"/>
          <w:numId w:val="6"/>
        </w:numPr>
        <w:tabs>
          <w:tab w:val="clear" w:pos="720"/>
          <w:tab w:val="num" w:pos="360"/>
        </w:tabs>
        <w:spacing w:line="360" w:lineRule="auto"/>
        <w:ind w:left="360"/>
        <w:rPr>
          <w:rFonts w:ascii="Arial" w:hAnsi="Arial" w:cs="Arial"/>
          <w:szCs w:val="24"/>
        </w:rPr>
      </w:pPr>
      <w:r w:rsidRPr="00A12158">
        <w:rPr>
          <w:rFonts w:ascii="Arial" w:hAnsi="Arial" w:cs="Arial"/>
          <w:szCs w:val="24"/>
        </w:rPr>
        <w:t>REMITIR este expediente, a la Corte Constitucional para su eventual revisión, de no ser impugnada.</w:t>
      </w:r>
    </w:p>
    <w:p w:rsidR="002A5A0C" w:rsidRPr="002A5A0C" w:rsidRDefault="002A5A0C" w:rsidP="002A5A0C">
      <w:pPr>
        <w:pStyle w:val="Paragraphedeliste"/>
        <w:widowControl/>
        <w:autoSpaceDE/>
        <w:autoSpaceDN/>
        <w:adjustRightInd/>
        <w:spacing w:line="360" w:lineRule="auto"/>
        <w:ind w:left="360" w:right="51"/>
        <w:contextualSpacing/>
        <w:jc w:val="both"/>
        <w:rPr>
          <w:rFonts w:ascii="Arial" w:hAnsi="Arial"/>
        </w:rPr>
      </w:pPr>
    </w:p>
    <w:p w:rsidR="00402111" w:rsidRPr="00A12158" w:rsidRDefault="00402111" w:rsidP="00402111">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12158">
        <w:rPr>
          <w:rFonts w:ascii="Arial" w:hAnsi="Arial" w:cs="Arial"/>
        </w:rPr>
        <w:t>ORDENAR el archivo del expediente, surtidos los trámites anteriores.</w:t>
      </w:r>
    </w:p>
    <w:p w:rsidR="00984EE4" w:rsidRPr="001F61DF" w:rsidRDefault="00984EE4" w:rsidP="00126266">
      <w:pPr>
        <w:pStyle w:val="Corpsdetexte"/>
        <w:spacing w:line="360" w:lineRule="auto"/>
        <w:jc w:val="center"/>
        <w:rPr>
          <w:rFonts w:ascii="Arial" w:hAnsi="Arial"/>
          <w:smallCaps/>
          <w:sz w:val="6"/>
          <w:szCs w:val="24"/>
        </w:rPr>
      </w:pPr>
    </w:p>
    <w:p w:rsidR="00126266" w:rsidRPr="00B42659" w:rsidRDefault="00126266" w:rsidP="00126266">
      <w:pPr>
        <w:pStyle w:val="Corpsdetexte"/>
        <w:spacing w:line="360" w:lineRule="auto"/>
        <w:jc w:val="center"/>
        <w:rPr>
          <w:rFonts w:ascii="Arial" w:hAnsi="Arial"/>
          <w:smallCaps/>
          <w:szCs w:val="24"/>
          <w:lang w:val="en-US"/>
        </w:rPr>
      </w:pPr>
      <w:proofErr w:type="spellStart"/>
      <w:r w:rsidRPr="00B42659">
        <w:rPr>
          <w:rFonts w:ascii="Arial" w:hAnsi="Arial"/>
          <w:smallCaps/>
          <w:szCs w:val="24"/>
          <w:lang w:val="en-US"/>
        </w:rPr>
        <w:t>Notifíquese</w:t>
      </w:r>
      <w:proofErr w:type="spellEnd"/>
      <w:r w:rsidRPr="00B42659">
        <w:rPr>
          <w:rFonts w:ascii="Arial" w:hAnsi="Arial"/>
          <w:smallCaps/>
          <w:szCs w:val="24"/>
          <w:lang w:val="en-US"/>
        </w:rPr>
        <w:t>,</w:t>
      </w:r>
    </w:p>
    <w:p w:rsidR="00C136DB" w:rsidRPr="001F61DF" w:rsidRDefault="00C136DB" w:rsidP="00C641FE">
      <w:pPr>
        <w:pStyle w:val="Corpsdetexte"/>
        <w:spacing w:line="360" w:lineRule="auto"/>
        <w:jc w:val="center"/>
        <w:rPr>
          <w:rFonts w:ascii="Arial" w:hAnsi="Arial"/>
          <w:sz w:val="2"/>
          <w:lang w:val="en-US"/>
        </w:rPr>
      </w:pPr>
    </w:p>
    <w:p w:rsidR="00C136DB" w:rsidRDefault="00C136DB" w:rsidP="00C641FE">
      <w:pPr>
        <w:pStyle w:val="Corpsdetexte"/>
        <w:spacing w:line="360" w:lineRule="auto"/>
        <w:jc w:val="center"/>
        <w:rPr>
          <w:rFonts w:ascii="Arial" w:hAnsi="Arial"/>
          <w:sz w:val="16"/>
          <w:lang w:val="en-US"/>
        </w:rPr>
      </w:pPr>
    </w:p>
    <w:p w:rsidR="00A12158" w:rsidRDefault="00A12158" w:rsidP="00C641FE">
      <w:pPr>
        <w:pStyle w:val="Corpsdetexte"/>
        <w:spacing w:line="360" w:lineRule="auto"/>
        <w:jc w:val="center"/>
        <w:rPr>
          <w:rFonts w:ascii="Arial" w:hAnsi="Arial"/>
          <w:sz w:val="16"/>
          <w:lang w:val="en-US"/>
        </w:rPr>
      </w:pPr>
    </w:p>
    <w:p w:rsidR="002A5A0C" w:rsidRDefault="002A5A0C" w:rsidP="00C641FE">
      <w:pPr>
        <w:pStyle w:val="Corpsdetexte"/>
        <w:spacing w:line="360" w:lineRule="auto"/>
        <w:jc w:val="center"/>
        <w:rPr>
          <w:rFonts w:ascii="Arial" w:hAnsi="Arial"/>
          <w:sz w:val="16"/>
          <w:lang w:val="en-US"/>
        </w:rPr>
      </w:pPr>
    </w:p>
    <w:p w:rsidR="002A5A0C" w:rsidRPr="00B42659" w:rsidRDefault="002A5A0C" w:rsidP="00C641FE">
      <w:pPr>
        <w:pStyle w:val="Corpsdetexte"/>
        <w:spacing w:line="360" w:lineRule="auto"/>
        <w:jc w:val="center"/>
        <w:rPr>
          <w:rFonts w:ascii="Arial" w:hAnsi="Arial"/>
          <w:sz w:val="16"/>
          <w:lang w:val="en-US"/>
        </w:rPr>
      </w:pPr>
    </w:p>
    <w:p w:rsidR="00951517" w:rsidRPr="00B4265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B42659">
        <w:rPr>
          <w:rFonts w:ascii="Arial" w:hAnsi="Arial" w:cs="Arial"/>
          <w:i/>
          <w:spacing w:val="-3"/>
          <w:w w:val="150"/>
          <w:sz w:val="28"/>
          <w:lang w:val="en-US"/>
        </w:rPr>
        <w:t>D</w:t>
      </w:r>
      <w:r w:rsidRPr="00B42659">
        <w:rPr>
          <w:rFonts w:ascii="Arial" w:hAnsi="Arial" w:cs="Arial"/>
          <w:i/>
          <w:spacing w:val="-3"/>
          <w:w w:val="150"/>
          <w:sz w:val="18"/>
          <w:szCs w:val="16"/>
          <w:lang w:val="en-US"/>
        </w:rPr>
        <w:t>UBERNEY</w:t>
      </w:r>
      <w:proofErr w:type="spellEnd"/>
      <w:r w:rsidRPr="00B42659">
        <w:rPr>
          <w:rFonts w:ascii="Arial" w:hAnsi="Arial" w:cs="Arial"/>
          <w:i/>
          <w:spacing w:val="-3"/>
          <w:w w:val="150"/>
          <w:sz w:val="18"/>
          <w:szCs w:val="16"/>
          <w:lang w:val="en-US"/>
        </w:rPr>
        <w:t xml:space="preserve"> </w:t>
      </w:r>
      <w:proofErr w:type="spellStart"/>
      <w:r w:rsidRPr="00B42659">
        <w:rPr>
          <w:rFonts w:ascii="Arial" w:hAnsi="Arial" w:cs="Arial"/>
          <w:i/>
          <w:spacing w:val="-3"/>
          <w:w w:val="150"/>
          <w:sz w:val="28"/>
          <w:lang w:val="en-US"/>
        </w:rPr>
        <w:t>G</w:t>
      </w:r>
      <w:r w:rsidRPr="00B42659">
        <w:rPr>
          <w:rFonts w:ascii="Arial" w:hAnsi="Arial" w:cs="Arial"/>
          <w:i/>
          <w:spacing w:val="-3"/>
          <w:w w:val="150"/>
          <w:sz w:val="18"/>
          <w:szCs w:val="16"/>
          <w:lang w:val="en-US"/>
        </w:rPr>
        <w:t>RISALES</w:t>
      </w:r>
      <w:proofErr w:type="spellEnd"/>
      <w:r w:rsidRPr="00B42659">
        <w:rPr>
          <w:rFonts w:ascii="Arial" w:hAnsi="Arial" w:cs="Arial"/>
          <w:i/>
          <w:spacing w:val="-3"/>
          <w:w w:val="150"/>
          <w:sz w:val="18"/>
          <w:szCs w:val="16"/>
          <w:lang w:val="en-US"/>
        </w:rPr>
        <w:t xml:space="preserve"> </w:t>
      </w:r>
      <w:r w:rsidRPr="00B42659">
        <w:rPr>
          <w:rFonts w:ascii="Arial" w:hAnsi="Arial" w:cs="Arial"/>
          <w:i/>
          <w:spacing w:val="-3"/>
          <w:w w:val="150"/>
          <w:sz w:val="28"/>
          <w:lang w:val="en-US"/>
        </w:rPr>
        <w:t>H</w:t>
      </w:r>
      <w:r w:rsidRPr="00B42659">
        <w:rPr>
          <w:rFonts w:ascii="Arial" w:hAnsi="Arial" w:cs="Arial"/>
          <w:i/>
          <w:spacing w:val="-3"/>
          <w:w w:val="150"/>
          <w:sz w:val="18"/>
          <w:szCs w:val="16"/>
          <w:lang w:val="en-US"/>
        </w:rPr>
        <w:t>ERRERA</w:t>
      </w:r>
    </w:p>
    <w:p w:rsidR="00951517" w:rsidRPr="00B4265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B42659">
        <w:rPr>
          <w:rFonts w:ascii="Arial" w:hAnsi="Arial" w:cs="Arial"/>
          <w:i/>
          <w:spacing w:val="-3"/>
          <w:w w:val="150"/>
          <w:sz w:val="28"/>
          <w:lang w:val="en-US"/>
        </w:rPr>
        <w:t>M</w:t>
      </w:r>
      <w:r w:rsidRPr="00B42659">
        <w:rPr>
          <w:rFonts w:ascii="Arial" w:hAnsi="Arial" w:cs="Arial"/>
          <w:i/>
          <w:spacing w:val="-3"/>
          <w:w w:val="150"/>
          <w:lang w:val="en-US"/>
        </w:rPr>
        <w:t xml:space="preserve"> </w:t>
      </w:r>
      <w:r w:rsidRPr="00B42659">
        <w:rPr>
          <w:rFonts w:ascii="Arial" w:hAnsi="Arial" w:cs="Arial"/>
          <w:i/>
          <w:spacing w:val="-3"/>
          <w:w w:val="150"/>
          <w:sz w:val="18"/>
          <w:szCs w:val="20"/>
          <w:lang w:val="en-US"/>
        </w:rPr>
        <w:t>A G I S T R A D O</w:t>
      </w:r>
    </w:p>
    <w:p w:rsidR="00C136DB" w:rsidRPr="00B42659" w:rsidRDefault="00C136D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n-US"/>
        </w:rPr>
      </w:pPr>
    </w:p>
    <w:p w:rsidR="00973BD3" w:rsidRDefault="00973BD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2A5A0C" w:rsidRPr="00B42659" w:rsidRDefault="002A5A0C"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951517" w:rsidRPr="00B42659"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B42659">
        <w:rPr>
          <w:rFonts w:ascii="Arial" w:hAnsi="Arial"/>
          <w:i/>
          <w:w w:val="150"/>
          <w:sz w:val="28"/>
          <w:szCs w:val="18"/>
          <w:lang w:val="en-US"/>
        </w:rPr>
        <w:t>E</w:t>
      </w:r>
      <w:r w:rsidRPr="00B42659">
        <w:rPr>
          <w:rFonts w:ascii="Arial" w:hAnsi="Arial"/>
          <w:i/>
          <w:w w:val="150"/>
          <w:sz w:val="18"/>
          <w:szCs w:val="18"/>
          <w:lang w:val="en-US"/>
        </w:rPr>
        <w:t>DDER</w:t>
      </w:r>
      <w:proofErr w:type="spellEnd"/>
      <w:r w:rsidRPr="00B42659">
        <w:rPr>
          <w:rFonts w:ascii="Arial" w:hAnsi="Arial"/>
          <w:i/>
          <w:w w:val="150"/>
          <w:sz w:val="18"/>
          <w:lang w:val="en-US"/>
        </w:rPr>
        <w:t xml:space="preserve"> </w:t>
      </w:r>
      <w:r w:rsidRPr="00B42659">
        <w:rPr>
          <w:rFonts w:ascii="Arial" w:hAnsi="Arial"/>
          <w:i/>
          <w:w w:val="150"/>
          <w:sz w:val="28"/>
          <w:lang w:val="en-US"/>
        </w:rPr>
        <w:t>J</w:t>
      </w:r>
      <w:r w:rsidRPr="00B42659">
        <w:rPr>
          <w:rFonts w:ascii="Arial" w:hAnsi="Arial"/>
          <w:i/>
          <w:w w:val="150"/>
          <w:sz w:val="18"/>
          <w:szCs w:val="18"/>
          <w:lang w:val="en-US"/>
        </w:rPr>
        <w:t xml:space="preserve">IMMY </w:t>
      </w:r>
      <w:r w:rsidRPr="00B42659">
        <w:rPr>
          <w:rFonts w:ascii="Arial" w:hAnsi="Arial"/>
          <w:i/>
          <w:w w:val="150"/>
          <w:sz w:val="28"/>
          <w:lang w:val="en-US"/>
        </w:rPr>
        <w:t>S</w:t>
      </w:r>
      <w:r w:rsidRPr="00B42659">
        <w:rPr>
          <w:rFonts w:ascii="Arial" w:hAnsi="Arial"/>
          <w:i/>
          <w:w w:val="150"/>
          <w:sz w:val="18"/>
          <w:szCs w:val="18"/>
          <w:lang w:val="en-US"/>
        </w:rPr>
        <w:t xml:space="preserve">ÁNCHEZ </w:t>
      </w:r>
      <w:r w:rsidRPr="00B42659">
        <w:rPr>
          <w:rFonts w:ascii="Arial" w:hAnsi="Arial"/>
          <w:i/>
          <w:w w:val="150"/>
          <w:sz w:val="28"/>
          <w:szCs w:val="18"/>
          <w:lang w:val="en-US"/>
        </w:rPr>
        <w:t>C.</w:t>
      </w:r>
      <w:r w:rsidRPr="00B42659">
        <w:rPr>
          <w:rFonts w:ascii="Arial" w:hAnsi="Arial"/>
          <w:i/>
          <w:w w:val="150"/>
          <w:sz w:val="28"/>
          <w:szCs w:val="18"/>
          <w:lang w:val="en-US"/>
        </w:rPr>
        <w:tab/>
      </w:r>
      <w:r w:rsidRPr="00B42659">
        <w:rPr>
          <w:rFonts w:ascii="Arial" w:hAnsi="Arial"/>
          <w:i/>
          <w:w w:val="150"/>
          <w:sz w:val="28"/>
          <w:szCs w:val="18"/>
          <w:lang w:val="en-US"/>
        </w:rPr>
        <w:tab/>
      </w:r>
      <w:r w:rsidRPr="00B42659">
        <w:rPr>
          <w:rFonts w:ascii="Arial" w:hAnsi="Arial" w:cs="Arial"/>
          <w:i/>
          <w:spacing w:val="-3"/>
          <w:w w:val="150"/>
          <w:sz w:val="28"/>
          <w:szCs w:val="18"/>
          <w:lang w:val="en-US"/>
        </w:rPr>
        <w:t>J</w:t>
      </w:r>
      <w:r w:rsidRPr="00B42659">
        <w:rPr>
          <w:rFonts w:ascii="Arial" w:hAnsi="Arial" w:cs="Arial"/>
          <w:i/>
          <w:spacing w:val="-3"/>
          <w:w w:val="150"/>
          <w:sz w:val="18"/>
          <w:szCs w:val="18"/>
          <w:lang w:val="en-US"/>
        </w:rPr>
        <w:t xml:space="preserve">AIME </w:t>
      </w:r>
      <w:r w:rsidRPr="00B42659">
        <w:rPr>
          <w:rFonts w:ascii="Arial" w:hAnsi="Arial" w:cs="Arial"/>
          <w:i/>
          <w:spacing w:val="-3"/>
          <w:w w:val="150"/>
          <w:sz w:val="28"/>
          <w:szCs w:val="18"/>
          <w:lang w:val="en-US"/>
        </w:rPr>
        <w:t>A</w:t>
      </w:r>
      <w:r w:rsidRPr="00B42659">
        <w:rPr>
          <w:rFonts w:ascii="Arial" w:hAnsi="Arial"/>
          <w:i/>
          <w:w w:val="150"/>
          <w:sz w:val="18"/>
          <w:szCs w:val="18"/>
          <w:lang w:val="en-US"/>
        </w:rPr>
        <w:t xml:space="preserve">LBERTO </w:t>
      </w:r>
      <w:proofErr w:type="spellStart"/>
      <w:r w:rsidRPr="00B42659">
        <w:rPr>
          <w:rFonts w:ascii="Arial" w:hAnsi="Arial" w:cs="Arial"/>
          <w:i/>
          <w:spacing w:val="-3"/>
          <w:w w:val="150"/>
          <w:sz w:val="28"/>
          <w:szCs w:val="18"/>
          <w:lang w:val="en-US"/>
        </w:rPr>
        <w:t>S</w:t>
      </w:r>
      <w:r w:rsidRPr="00B42659">
        <w:rPr>
          <w:rFonts w:ascii="Arial" w:hAnsi="Arial" w:cs="Arial"/>
          <w:i/>
          <w:spacing w:val="-3"/>
          <w:w w:val="150"/>
          <w:sz w:val="18"/>
          <w:szCs w:val="16"/>
          <w:lang w:val="en-US"/>
        </w:rPr>
        <w:t>ARAZA</w:t>
      </w:r>
      <w:proofErr w:type="spellEnd"/>
      <w:r w:rsidRPr="00B42659">
        <w:rPr>
          <w:rFonts w:ascii="Arial" w:hAnsi="Arial" w:cs="Arial"/>
          <w:i/>
          <w:spacing w:val="-3"/>
          <w:w w:val="150"/>
          <w:sz w:val="18"/>
          <w:szCs w:val="16"/>
          <w:lang w:val="en-US"/>
        </w:rPr>
        <w:t xml:space="preserve"> </w:t>
      </w:r>
      <w:r w:rsidRPr="00B42659">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B42659">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136DB" w:rsidRDefault="00C136DB" w:rsidP="00E126DB">
      <w:pPr>
        <w:pStyle w:val="Corpsdetexte"/>
        <w:spacing w:line="360" w:lineRule="auto"/>
        <w:jc w:val="right"/>
        <w:rPr>
          <w:rFonts w:ascii="Arial" w:hAnsi="Arial"/>
          <w:w w:val="150"/>
          <w:sz w:val="8"/>
          <w:szCs w:val="10"/>
          <w:lang w:val="en-US"/>
        </w:rPr>
      </w:pPr>
      <w:proofErr w:type="spellStart"/>
      <w:r w:rsidRPr="00984EE4">
        <w:rPr>
          <w:rFonts w:ascii="Arial" w:hAnsi="Arial"/>
          <w:w w:val="150"/>
          <w:sz w:val="8"/>
          <w:szCs w:val="10"/>
          <w:lang w:val="en-US"/>
        </w:rPr>
        <w:t>DGH</w:t>
      </w:r>
      <w:proofErr w:type="spellEnd"/>
      <w:r w:rsidRPr="00984EE4">
        <w:rPr>
          <w:rFonts w:ascii="Arial" w:hAnsi="Arial"/>
          <w:w w:val="150"/>
          <w:sz w:val="8"/>
          <w:szCs w:val="10"/>
          <w:lang w:val="en-US"/>
        </w:rPr>
        <w:t>/</w:t>
      </w:r>
      <w:proofErr w:type="spellStart"/>
      <w:r w:rsidR="00A12158">
        <w:rPr>
          <w:rFonts w:ascii="Arial" w:hAnsi="Arial"/>
          <w:w w:val="150"/>
          <w:sz w:val="8"/>
          <w:szCs w:val="10"/>
          <w:lang w:val="en-US"/>
        </w:rPr>
        <w:t>ODCD</w:t>
      </w:r>
      <w:proofErr w:type="spellEnd"/>
      <w:r w:rsidRPr="00984EE4">
        <w:rPr>
          <w:rFonts w:ascii="Arial" w:hAnsi="Arial"/>
          <w:w w:val="150"/>
          <w:sz w:val="8"/>
          <w:szCs w:val="10"/>
          <w:lang w:val="en-US"/>
        </w:rPr>
        <w:t>/</w:t>
      </w:r>
      <w:r w:rsidR="0063257E">
        <w:rPr>
          <w:rFonts w:ascii="Arial" w:hAnsi="Arial"/>
          <w:w w:val="150"/>
          <w:sz w:val="8"/>
          <w:szCs w:val="10"/>
          <w:lang w:val="en-US"/>
        </w:rPr>
        <w:t>2017</w:t>
      </w:r>
    </w:p>
    <w:p w:rsidR="003C0AF4" w:rsidRDefault="003C0AF4" w:rsidP="00E126DB">
      <w:pPr>
        <w:pStyle w:val="Corpsdetexte"/>
        <w:spacing w:line="360" w:lineRule="auto"/>
        <w:jc w:val="right"/>
        <w:rPr>
          <w:rFonts w:ascii="Arial" w:hAnsi="Arial"/>
          <w:w w:val="150"/>
          <w:sz w:val="8"/>
          <w:szCs w:val="10"/>
          <w:lang w:val="en-US"/>
        </w:rPr>
      </w:pPr>
    </w:p>
    <w:p w:rsidR="003C0AF4" w:rsidRDefault="003C0AF4" w:rsidP="00E126DB">
      <w:pPr>
        <w:pStyle w:val="Corpsdetexte"/>
        <w:spacing w:line="360" w:lineRule="auto"/>
        <w:jc w:val="right"/>
        <w:rPr>
          <w:rFonts w:ascii="Arial" w:hAnsi="Arial"/>
          <w:w w:val="150"/>
          <w:sz w:val="8"/>
          <w:szCs w:val="10"/>
          <w:lang w:val="en-US"/>
        </w:rPr>
      </w:pPr>
    </w:p>
    <w:p w:rsidR="003C0AF4" w:rsidRDefault="003C0AF4" w:rsidP="00E126DB">
      <w:pPr>
        <w:pStyle w:val="Corpsdetexte"/>
        <w:spacing w:line="360" w:lineRule="auto"/>
        <w:jc w:val="right"/>
        <w:rPr>
          <w:rFonts w:ascii="Arial" w:hAnsi="Arial"/>
          <w:w w:val="150"/>
          <w:sz w:val="8"/>
          <w:szCs w:val="10"/>
          <w:lang w:val="en-US"/>
        </w:rPr>
      </w:pPr>
    </w:p>
    <w:p w:rsidR="003C0AF4" w:rsidRDefault="003C0AF4">
      <w:pPr>
        <w:widowControl/>
        <w:autoSpaceDE/>
        <w:autoSpaceDN/>
        <w:adjustRightInd/>
        <w:rPr>
          <w:rFonts w:ascii="Arial" w:hAnsi="Arial" w:cs="Times New Roman"/>
          <w:spacing w:val="-3"/>
          <w:w w:val="150"/>
          <w:sz w:val="8"/>
          <w:szCs w:val="10"/>
          <w:lang w:val="en-US"/>
        </w:rPr>
      </w:pPr>
    </w:p>
    <w:sectPr w:rsidR="003C0AF4" w:rsidSect="001E433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94" w:rsidRDefault="00CD0094" w:rsidP="0099045D">
      <w:r>
        <w:separator/>
      </w:r>
    </w:p>
  </w:endnote>
  <w:endnote w:type="continuationSeparator" w:id="0">
    <w:p w:rsidR="00CD0094" w:rsidRDefault="00CD009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4F" w:rsidRDefault="004B274F"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B274F" w:rsidRDefault="004B274F" w:rsidP="0013771A">
    <w:pPr>
      <w:pStyle w:val="Pieddepage"/>
      <w:spacing w:line="360" w:lineRule="auto"/>
      <w:jc w:val="right"/>
      <w:rPr>
        <w:rFonts w:ascii="Arial" w:hAnsi="Arial" w:cs="Arial"/>
        <w:spacing w:val="20"/>
        <w:w w:val="200"/>
        <w:sz w:val="14"/>
        <w:szCs w:val="10"/>
        <w:lang w:val="es-CO"/>
      </w:rPr>
    </w:pPr>
  </w:p>
  <w:p w:rsidR="004B274F" w:rsidRPr="003E18D8" w:rsidRDefault="004B274F"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B274F" w:rsidRPr="007F7D49" w:rsidRDefault="004B274F"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94" w:rsidRDefault="00CD0094" w:rsidP="0099045D">
      <w:r>
        <w:separator/>
      </w:r>
    </w:p>
  </w:footnote>
  <w:footnote w:type="continuationSeparator" w:id="0">
    <w:p w:rsidR="00CD0094" w:rsidRDefault="00CD0094" w:rsidP="0099045D">
      <w:r>
        <w:continuationSeparator/>
      </w:r>
    </w:p>
  </w:footnote>
  <w:footnote w:id="1">
    <w:p w:rsidR="004B274F" w:rsidRPr="00A12158" w:rsidRDefault="004B274F" w:rsidP="00C85A30">
      <w:pPr>
        <w:pStyle w:val="Notedebasdepage"/>
        <w:jc w:val="both"/>
        <w:rPr>
          <w:rFonts w:ascii="Calibri" w:hAnsi="Calibri"/>
          <w:lang w:val="es-CO"/>
        </w:rPr>
      </w:pPr>
      <w:r>
        <w:rPr>
          <w:rStyle w:val="Appelnotedebasdep"/>
        </w:rPr>
        <w:footnoteRef/>
      </w:r>
      <w:r>
        <w:t xml:space="preserve"> </w:t>
      </w:r>
      <w:r>
        <w:rPr>
          <w:rFonts w:ascii="Calibri" w:hAnsi="Calibri"/>
        </w:rPr>
        <w:t>CC</w:t>
      </w:r>
      <w:r w:rsidRPr="001F61DF">
        <w:rPr>
          <w:rFonts w:ascii="Calibri" w:hAnsi="Calibri"/>
        </w:rPr>
        <w:t xml:space="preserve">. T-664 de 2012, en donde se determinó como medida de </w:t>
      </w:r>
      <w:r w:rsidRPr="001F61DF">
        <w:rPr>
          <w:rFonts w:ascii="Calibri" w:hAnsi="Calibri"/>
          <w:u w:val="single"/>
        </w:rPr>
        <w:t>protección de la intimidad de los menores involucrados</w:t>
      </w:r>
      <w:r w:rsidRPr="001F61DF">
        <w:rPr>
          <w:rFonts w:ascii="Calibri" w:hAnsi="Calibri"/>
        </w:rPr>
        <w:t xml:space="preserve"> suprimir sus nombres y los de sus familiares. </w:t>
      </w:r>
    </w:p>
  </w:footnote>
  <w:footnote w:id="2">
    <w:p w:rsidR="004B274F" w:rsidRPr="00E17BD7" w:rsidRDefault="004B274F" w:rsidP="007B425D">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58626F">
        <w:rPr>
          <w:rFonts w:asciiTheme="minorHAnsi" w:hAnsiTheme="minorHAnsi" w:cs="Calibri"/>
          <w:spacing w:val="-6"/>
        </w:rPr>
        <w:t xml:space="preserve">QUINCHE R., Manuel F. Vías de hecho, acción de tutela contra providencias, Editorial Temis </w:t>
      </w:r>
      <w:proofErr w:type="spellStart"/>
      <w:r w:rsidRPr="0058626F">
        <w:rPr>
          <w:rFonts w:asciiTheme="minorHAnsi" w:hAnsiTheme="minorHAnsi" w:cs="Calibri"/>
          <w:spacing w:val="-6"/>
        </w:rPr>
        <w:t>SA</w:t>
      </w:r>
      <w:proofErr w:type="spellEnd"/>
      <w:r w:rsidRPr="0058626F">
        <w:rPr>
          <w:rFonts w:asciiTheme="minorHAnsi" w:hAnsiTheme="minorHAnsi" w:cs="Calibri"/>
          <w:spacing w:val="-6"/>
        </w:rPr>
        <w:t xml:space="preserve">, Bogotá, 2013, </w:t>
      </w:r>
      <w:proofErr w:type="spellStart"/>
      <w:r w:rsidRPr="0058626F">
        <w:rPr>
          <w:rFonts w:asciiTheme="minorHAnsi" w:hAnsiTheme="minorHAnsi" w:cs="Calibri"/>
          <w:spacing w:val="-6"/>
        </w:rPr>
        <w:t>p.103</w:t>
      </w:r>
      <w:proofErr w:type="spellEnd"/>
      <w:r w:rsidRPr="0058626F">
        <w:rPr>
          <w:rFonts w:asciiTheme="minorHAnsi" w:hAnsiTheme="minorHAnsi" w:cs="Calibri"/>
          <w:spacing w:val="-6"/>
        </w:rPr>
        <w:t>.</w:t>
      </w:r>
    </w:p>
  </w:footnote>
  <w:footnote w:id="3">
    <w:p w:rsidR="004B274F" w:rsidRPr="0058626F" w:rsidRDefault="004B274F" w:rsidP="007B425D">
      <w:pPr>
        <w:pStyle w:val="Notedebasdepage"/>
        <w:jc w:val="both"/>
        <w:rPr>
          <w:rFonts w:asciiTheme="minorHAnsi" w:hAnsiTheme="minorHAnsi"/>
          <w:spacing w:val="-8"/>
        </w:rPr>
      </w:pPr>
      <w:r w:rsidRPr="0058626F">
        <w:rPr>
          <w:rStyle w:val="Appelnotedebasdep"/>
          <w:rFonts w:asciiTheme="minorHAnsi" w:hAnsiTheme="minorHAnsi"/>
          <w:spacing w:val="-8"/>
        </w:rPr>
        <w:footnoteRef/>
      </w:r>
      <w:r w:rsidRPr="0058626F">
        <w:rPr>
          <w:rFonts w:asciiTheme="minorHAnsi" w:hAnsiTheme="minorHAnsi"/>
          <w:spacing w:val="-8"/>
        </w:rPr>
        <w:t xml:space="preserve"> </w:t>
      </w:r>
      <w:r w:rsidRPr="0058626F">
        <w:rPr>
          <w:rFonts w:asciiTheme="minorHAnsi" w:hAnsiTheme="minorHAnsi" w:cs="Calibri"/>
          <w:spacing w:val="-8"/>
        </w:rPr>
        <w:t xml:space="preserve">QUIROGA N., Édgar A. Tutela contra decisiones judiciales, Universidad Santo Tomás y editorial Ibáñez, Bogotá DC, 2014, </w:t>
      </w:r>
      <w:proofErr w:type="spellStart"/>
      <w:r w:rsidRPr="0058626F">
        <w:rPr>
          <w:rFonts w:asciiTheme="minorHAnsi" w:hAnsiTheme="minorHAnsi" w:cs="Calibri"/>
          <w:spacing w:val="-8"/>
        </w:rPr>
        <w:t>p.83</w:t>
      </w:r>
      <w:proofErr w:type="spellEnd"/>
      <w:r w:rsidRPr="0058626F">
        <w:rPr>
          <w:rFonts w:asciiTheme="minorHAnsi" w:hAnsiTheme="minorHAnsi" w:cs="Calibri"/>
          <w:spacing w:val="-8"/>
        </w:rPr>
        <w:t>.</w:t>
      </w:r>
    </w:p>
  </w:footnote>
  <w:footnote w:id="4">
    <w:p w:rsidR="004B274F" w:rsidRPr="0058626F" w:rsidRDefault="004B274F" w:rsidP="007B425D">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8626F">
        <w:rPr>
          <w:rFonts w:asciiTheme="minorHAnsi" w:hAnsiTheme="minorHAnsi" w:cs="Calibri"/>
          <w:lang w:val="fr-FR"/>
        </w:rPr>
        <w:t xml:space="preserve"> CC. T-917 de 2011.</w:t>
      </w:r>
    </w:p>
  </w:footnote>
  <w:footnote w:id="5">
    <w:p w:rsidR="004B274F" w:rsidRPr="0058626F" w:rsidRDefault="004B274F" w:rsidP="007B425D">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8626F">
        <w:rPr>
          <w:rFonts w:asciiTheme="minorHAnsi" w:hAnsiTheme="minorHAnsi" w:cs="Calibri"/>
          <w:lang w:val="fr-FR"/>
        </w:rPr>
        <w:t xml:space="preserve"> CC. C-590 de 2005.</w:t>
      </w:r>
    </w:p>
  </w:footnote>
  <w:footnote w:id="6">
    <w:p w:rsidR="004B274F" w:rsidRPr="0058626F" w:rsidRDefault="004B274F" w:rsidP="007B425D">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58626F">
        <w:rPr>
          <w:rFonts w:asciiTheme="minorHAnsi" w:hAnsiTheme="minorHAnsi" w:cs="Calibri"/>
          <w:lang w:val="fr-FR"/>
        </w:rPr>
        <w:t xml:space="preserve"> CC. </w:t>
      </w:r>
      <w:proofErr w:type="spellStart"/>
      <w:r w:rsidRPr="0058626F">
        <w:rPr>
          <w:rFonts w:asciiTheme="minorHAnsi" w:hAnsiTheme="minorHAnsi" w:cs="Calibri"/>
          <w:bCs/>
          <w:lang w:val="fr-FR"/>
        </w:rPr>
        <w:t>SU-222</w:t>
      </w:r>
      <w:proofErr w:type="spellEnd"/>
      <w:r w:rsidRPr="0058626F">
        <w:rPr>
          <w:rFonts w:asciiTheme="minorHAnsi" w:hAnsiTheme="minorHAnsi" w:cs="Calibri"/>
          <w:bCs/>
          <w:lang w:val="fr-FR"/>
        </w:rPr>
        <w:t xml:space="preserve"> de 2016</w:t>
      </w:r>
      <w:r w:rsidRPr="0058626F">
        <w:rPr>
          <w:rFonts w:asciiTheme="minorHAnsi" w:hAnsiTheme="minorHAnsi" w:cs="Calibri"/>
          <w:lang w:val="fr-FR"/>
        </w:rPr>
        <w:t>.</w:t>
      </w:r>
    </w:p>
  </w:footnote>
  <w:footnote w:id="7">
    <w:p w:rsidR="004B274F" w:rsidRPr="0058626F" w:rsidRDefault="004B274F" w:rsidP="007B425D">
      <w:pPr>
        <w:pStyle w:val="Notedebasdepage"/>
        <w:rPr>
          <w:rFonts w:asciiTheme="minorHAnsi" w:hAnsiTheme="minorHAnsi"/>
          <w:lang w:val="fr-FR"/>
        </w:rPr>
      </w:pPr>
      <w:r w:rsidRPr="00E17BD7">
        <w:rPr>
          <w:rStyle w:val="Appelnotedebasdep"/>
          <w:rFonts w:asciiTheme="minorHAnsi" w:hAnsiTheme="minorHAnsi"/>
        </w:rPr>
        <w:footnoteRef/>
      </w:r>
      <w:r w:rsidRPr="0058626F">
        <w:rPr>
          <w:rFonts w:asciiTheme="minorHAnsi" w:hAnsiTheme="minorHAnsi"/>
          <w:lang w:val="fr-FR"/>
        </w:rPr>
        <w:t xml:space="preserve"> </w:t>
      </w:r>
      <w:r w:rsidRPr="0058626F">
        <w:rPr>
          <w:rFonts w:asciiTheme="minorHAnsi" w:hAnsiTheme="minorHAnsi" w:cs="Calibri"/>
          <w:lang w:val="fr-FR"/>
        </w:rPr>
        <w:t>CC. T-307 de 2015.</w:t>
      </w:r>
    </w:p>
  </w:footnote>
  <w:footnote w:id="8">
    <w:p w:rsidR="004B274F" w:rsidRPr="00E17BD7" w:rsidRDefault="004B274F" w:rsidP="007B425D">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w:t>
      </w:r>
      <w:proofErr w:type="spellStart"/>
      <w:r w:rsidRPr="00E17BD7">
        <w:rPr>
          <w:rFonts w:asciiTheme="minorHAnsi" w:hAnsiTheme="minorHAnsi" w:cs="Calibri"/>
          <w:lang w:val="es-CO"/>
        </w:rPr>
        <w:t>p.61</w:t>
      </w:r>
      <w:proofErr w:type="spellEnd"/>
      <w:r w:rsidRPr="00E17BD7">
        <w:rPr>
          <w:rFonts w:asciiTheme="minorHAnsi" w:hAnsiTheme="minorHAnsi" w:cs="Calibri"/>
          <w:lang w:val="es-CO"/>
        </w:rPr>
        <w:t>-75.</w:t>
      </w:r>
    </w:p>
  </w:footnote>
  <w:footnote w:id="9">
    <w:p w:rsidR="004B274F" w:rsidRPr="00E17BD7" w:rsidRDefault="004B274F" w:rsidP="007B425D">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xml:space="preserve">, Manuel F. La acción de tutela, el amparo en Colombia, Bogotá DC, 2011, </w:t>
      </w:r>
      <w:proofErr w:type="spellStart"/>
      <w:r w:rsidRPr="00E17BD7">
        <w:rPr>
          <w:rFonts w:asciiTheme="minorHAnsi" w:hAnsiTheme="minorHAnsi" w:cs="Calibri"/>
        </w:rPr>
        <w:t>p.233</w:t>
      </w:r>
      <w:proofErr w:type="spellEnd"/>
      <w:r w:rsidRPr="00E17BD7">
        <w:rPr>
          <w:rFonts w:asciiTheme="minorHAnsi" w:hAnsiTheme="minorHAnsi" w:cs="Calibri"/>
        </w:rPr>
        <w:t>-285.</w:t>
      </w:r>
    </w:p>
  </w:footnote>
  <w:footnote w:id="10">
    <w:p w:rsidR="004B274F" w:rsidRPr="00E17BD7" w:rsidRDefault="004B274F" w:rsidP="007B425D">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 xml:space="preserve">CC. </w:t>
      </w:r>
      <w:r w:rsidRPr="00E17BD7">
        <w:rPr>
          <w:rFonts w:asciiTheme="minorHAnsi" w:hAnsiTheme="minorHAnsi" w:cs="Calibri"/>
        </w:rPr>
        <w:t>SU-222 de 2016.</w:t>
      </w:r>
    </w:p>
  </w:footnote>
  <w:footnote w:id="11">
    <w:p w:rsidR="004B274F" w:rsidRPr="00E17BD7" w:rsidRDefault="004B274F" w:rsidP="007B425D">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Así, por ejemplo, en la SU-159 de 2002, se define el defecto fáctico como “la aplicación del derecho sin contar con el apoyo de los hechos determinantes del supuesto legal a partir de pruebas válidas”.</w:t>
      </w:r>
    </w:p>
  </w:footnote>
  <w:footnote w:id="12">
    <w:p w:rsidR="004B274F" w:rsidRPr="00E17BD7" w:rsidRDefault="004B274F" w:rsidP="007B425D">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Cabe resaltar que si esta omisión obedece a una negativa injustificada de practicar una prueba solicitada por una de las partes, se torna en un defecto procedimental, que recae en el ejercicio del derecho de contradicción.</w:t>
      </w:r>
    </w:p>
  </w:footnote>
  <w:footnote w:id="13">
    <w:p w:rsidR="004B274F" w:rsidRPr="0058626F" w:rsidRDefault="004B274F" w:rsidP="007B425D">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8626F">
        <w:rPr>
          <w:rFonts w:asciiTheme="minorHAnsi" w:hAnsiTheme="minorHAnsi" w:cs="Calibri"/>
          <w:lang w:val="fr-FR"/>
        </w:rPr>
        <w:t xml:space="preserve"> CC. T-902 de 2005.</w:t>
      </w:r>
    </w:p>
  </w:footnote>
  <w:footnote w:id="14">
    <w:p w:rsidR="004B274F" w:rsidRPr="0058626F" w:rsidRDefault="004B274F" w:rsidP="007B425D">
      <w:pPr>
        <w:pStyle w:val="Notedebasdepage"/>
        <w:rPr>
          <w:rFonts w:asciiTheme="minorHAnsi" w:hAnsiTheme="minorHAnsi"/>
          <w:lang w:val="fr-FR"/>
        </w:rPr>
      </w:pPr>
      <w:r w:rsidRPr="00E17BD7">
        <w:rPr>
          <w:rStyle w:val="Appelnotedebasdep"/>
          <w:rFonts w:asciiTheme="minorHAnsi" w:hAnsiTheme="minorHAnsi"/>
        </w:rPr>
        <w:footnoteRef/>
      </w:r>
      <w:r w:rsidRPr="0058626F">
        <w:rPr>
          <w:rFonts w:asciiTheme="minorHAnsi" w:hAnsiTheme="minorHAnsi"/>
          <w:lang w:val="fr-FR"/>
        </w:rPr>
        <w:t xml:space="preserve"> </w:t>
      </w:r>
      <w:r w:rsidRPr="0058626F">
        <w:rPr>
          <w:rFonts w:asciiTheme="minorHAnsi" w:hAnsiTheme="minorHAnsi" w:cs="Calibri"/>
          <w:lang w:val="fr-FR"/>
        </w:rPr>
        <w:t xml:space="preserve">CC. </w:t>
      </w:r>
      <w:proofErr w:type="spellStart"/>
      <w:r w:rsidRPr="0058626F">
        <w:rPr>
          <w:rFonts w:asciiTheme="minorHAnsi" w:hAnsiTheme="minorHAnsi" w:cs="Calibri"/>
          <w:lang w:val="fr-FR"/>
        </w:rPr>
        <w:t>Ibídem</w:t>
      </w:r>
      <w:proofErr w:type="spellEnd"/>
      <w:r w:rsidRPr="0058626F">
        <w:rPr>
          <w:rFonts w:asciiTheme="minorHAnsi" w:hAnsiTheme="minorHAnsi" w:cs="Calibri"/>
          <w:lang w:val="fr-FR"/>
        </w:rPr>
        <w:t>.</w:t>
      </w:r>
    </w:p>
  </w:footnote>
  <w:footnote w:id="15">
    <w:p w:rsidR="004B274F" w:rsidRPr="0058626F" w:rsidRDefault="004B274F" w:rsidP="007B425D">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58626F">
        <w:rPr>
          <w:rFonts w:asciiTheme="minorHAnsi" w:hAnsiTheme="minorHAnsi" w:cs="Calibri"/>
          <w:lang w:val="fr-FR"/>
        </w:rPr>
        <w:t xml:space="preserve"> CC. T-231 de 1994.</w:t>
      </w:r>
    </w:p>
  </w:footnote>
  <w:footnote w:id="16">
    <w:p w:rsidR="004B274F" w:rsidRPr="0058626F" w:rsidRDefault="004B274F" w:rsidP="007B425D">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58626F">
        <w:rPr>
          <w:rFonts w:asciiTheme="minorHAnsi" w:hAnsiTheme="minorHAnsi" w:cs="Calibri"/>
          <w:lang w:val="fr-FR"/>
        </w:rPr>
        <w:t xml:space="preserve"> CC. T-831 de 2012.</w:t>
      </w:r>
    </w:p>
  </w:footnote>
  <w:footnote w:id="17">
    <w:p w:rsidR="004B274F" w:rsidRPr="00052412" w:rsidRDefault="004B274F" w:rsidP="007B425D">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w:t>
      </w:r>
      <w:r>
        <w:rPr>
          <w:rFonts w:asciiTheme="minorHAnsi" w:hAnsiTheme="minorHAnsi" w:cs="Calibri"/>
        </w:rPr>
        <w:t>.</w:t>
      </w:r>
      <w:r w:rsidRPr="00052412">
        <w:rPr>
          <w:rFonts w:asciiTheme="minorHAnsi" w:hAnsiTheme="minorHAnsi" w:cs="Calibri"/>
        </w:rPr>
        <w:t>, Manuel F</w:t>
      </w:r>
      <w:r>
        <w:rPr>
          <w:rFonts w:asciiTheme="minorHAnsi" w:hAnsiTheme="minorHAnsi" w:cs="Calibri"/>
        </w:rPr>
        <w:t>.</w:t>
      </w:r>
      <w:r w:rsidRPr="00052412">
        <w:rPr>
          <w:rFonts w:asciiTheme="minorHAnsi" w:hAnsiTheme="minorHAnsi" w:cs="Calibri"/>
        </w:rPr>
        <w:t xml:space="preserve"> La acción de tutela, el amparo en Colombia, Bogotá DC, 2011, </w:t>
      </w:r>
      <w:proofErr w:type="spellStart"/>
      <w:r w:rsidRPr="00052412">
        <w:rPr>
          <w:rFonts w:asciiTheme="minorHAnsi" w:hAnsiTheme="minorHAnsi" w:cs="Calibri"/>
        </w:rPr>
        <w:t>p.268</w:t>
      </w:r>
      <w:proofErr w:type="spellEnd"/>
      <w:r w:rsidRPr="00052412">
        <w:rPr>
          <w:rFonts w:asciiTheme="minorHAnsi" w:hAnsiTheme="minorHAnsi" w:cs="Calibri"/>
        </w:rPr>
        <w:t>.</w:t>
      </w:r>
    </w:p>
  </w:footnote>
  <w:footnote w:id="18">
    <w:p w:rsidR="004B274F" w:rsidRPr="0058626F" w:rsidRDefault="004B274F" w:rsidP="007B425D">
      <w:pPr>
        <w:pStyle w:val="Notedebasdepage"/>
        <w:jc w:val="both"/>
        <w:rPr>
          <w:rFonts w:asciiTheme="minorHAnsi" w:hAnsiTheme="minorHAnsi"/>
          <w:lang w:val="fr-FR"/>
        </w:rPr>
      </w:pPr>
      <w:r w:rsidRPr="000A1B5D">
        <w:rPr>
          <w:rFonts w:asciiTheme="minorHAnsi" w:hAnsiTheme="minorHAnsi"/>
          <w:vertAlign w:val="superscript"/>
        </w:rPr>
        <w:footnoteRef/>
      </w:r>
      <w:r w:rsidRPr="0058626F">
        <w:rPr>
          <w:rFonts w:asciiTheme="minorHAnsi" w:hAnsiTheme="minorHAnsi"/>
          <w:lang w:val="fr-FR"/>
        </w:rPr>
        <w:t xml:space="preserve"> </w:t>
      </w:r>
      <w:r w:rsidRPr="0058626F">
        <w:rPr>
          <w:rFonts w:asciiTheme="minorHAnsi" w:hAnsiTheme="minorHAnsi" w:cs="Calibri"/>
          <w:lang w:val="fr-FR"/>
        </w:rPr>
        <w:t>CC</w:t>
      </w:r>
      <w:r w:rsidRPr="0058626F">
        <w:rPr>
          <w:rFonts w:asciiTheme="minorHAnsi" w:hAnsiTheme="minorHAnsi"/>
          <w:lang w:val="fr-FR"/>
        </w:rPr>
        <w:t>. T-573 de 1997.</w:t>
      </w:r>
    </w:p>
  </w:footnote>
  <w:footnote w:id="19">
    <w:p w:rsidR="004B274F" w:rsidRPr="0058626F" w:rsidRDefault="004B274F" w:rsidP="007B425D">
      <w:pPr>
        <w:pStyle w:val="Notedebasdepage"/>
        <w:jc w:val="both"/>
        <w:rPr>
          <w:rFonts w:asciiTheme="minorHAnsi" w:hAnsiTheme="minorHAnsi"/>
          <w:lang w:val="fr-FR"/>
        </w:rPr>
      </w:pPr>
      <w:r w:rsidRPr="000A1B5D">
        <w:rPr>
          <w:rFonts w:asciiTheme="minorHAnsi" w:hAnsiTheme="minorHAnsi"/>
          <w:vertAlign w:val="superscript"/>
        </w:rPr>
        <w:footnoteRef/>
      </w:r>
      <w:r w:rsidRPr="0058626F">
        <w:rPr>
          <w:rFonts w:asciiTheme="minorHAnsi" w:hAnsiTheme="minorHAnsi"/>
          <w:lang w:val="fr-FR"/>
        </w:rPr>
        <w:t xml:space="preserve"> </w:t>
      </w:r>
      <w:r w:rsidRPr="0058626F">
        <w:rPr>
          <w:rFonts w:asciiTheme="minorHAnsi" w:hAnsiTheme="minorHAnsi" w:cs="Calibri"/>
          <w:lang w:val="fr-FR"/>
        </w:rPr>
        <w:t>CC</w:t>
      </w:r>
      <w:r w:rsidRPr="0058626F">
        <w:rPr>
          <w:rFonts w:asciiTheme="minorHAnsi" w:hAnsiTheme="minorHAnsi"/>
          <w:lang w:val="fr-FR"/>
        </w:rPr>
        <w:t>. T-567 de 1998.</w:t>
      </w:r>
    </w:p>
  </w:footnote>
  <w:footnote w:id="20">
    <w:p w:rsidR="004B274F" w:rsidRPr="0058626F" w:rsidRDefault="004B274F" w:rsidP="007B425D">
      <w:pPr>
        <w:pStyle w:val="Notedebasdepage"/>
        <w:jc w:val="both"/>
        <w:rPr>
          <w:rFonts w:asciiTheme="minorHAnsi" w:hAnsiTheme="minorHAnsi"/>
          <w:lang w:val="fr-FR"/>
        </w:rPr>
      </w:pPr>
      <w:r w:rsidRPr="000A1B5D">
        <w:rPr>
          <w:rFonts w:asciiTheme="minorHAnsi" w:hAnsiTheme="minorHAnsi"/>
          <w:vertAlign w:val="superscript"/>
        </w:rPr>
        <w:footnoteRef/>
      </w:r>
      <w:r w:rsidRPr="0058626F">
        <w:rPr>
          <w:rFonts w:asciiTheme="minorHAnsi" w:hAnsiTheme="minorHAnsi"/>
          <w:lang w:val="fr-FR"/>
        </w:rPr>
        <w:t xml:space="preserve"> </w:t>
      </w:r>
      <w:r w:rsidRPr="0058626F">
        <w:rPr>
          <w:rFonts w:asciiTheme="minorHAnsi" w:hAnsiTheme="minorHAnsi" w:cs="Calibri"/>
          <w:lang w:val="fr-FR"/>
        </w:rPr>
        <w:t>CC</w:t>
      </w:r>
      <w:r w:rsidRPr="0058626F">
        <w:rPr>
          <w:rFonts w:asciiTheme="minorHAnsi" w:hAnsiTheme="minorHAnsi"/>
          <w:lang w:val="fr-FR"/>
        </w:rPr>
        <w:t>. T-001 de 1999.</w:t>
      </w:r>
    </w:p>
  </w:footnote>
  <w:footnote w:id="21">
    <w:p w:rsidR="004B274F" w:rsidRPr="0058626F" w:rsidRDefault="004B274F" w:rsidP="007B425D">
      <w:pPr>
        <w:pStyle w:val="Notedebasdepage"/>
        <w:rPr>
          <w:rFonts w:asciiTheme="minorHAnsi" w:hAnsiTheme="minorHAnsi"/>
          <w:lang w:val="fr-FR"/>
        </w:rPr>
      </w:pPr>
      <w:r w:rsidRPr="000A1B5D">
        <w:rPr>
          <w:rStyle w:val="Appelnotedebasdep"/>
          <w:rFonts w:asciiTheme="minorHAnsi" w:hAnsiTheme="minorHAnsi"/>
        </w:rPr>
        <w:footnoteRef/>
      </w:r>
      <w:r w:rsidRPr="0058626F">
        <w:rPr>
          <w:rFonts w:asciiTheme="minorHAnsi" w:hAnsiTheme="minorHAnsi"/>
          <w:lang w:val="fr-FR"/>
        </w:rPr>
        <w:t xml:space="preserve"> </w:t>
      </w:r>
      <w:r w:rsidRPr="0058626F">
        <w:rPr>
          <w:rFonts w:asciiTheme="minorHAnsi" w:hAnsiTheme="minorHAnsi" w:cs="Calibri"/>
          <w:lang w:val="fr-FR"/>
        </w:rPr>
        <w:t xml:space="preserve">CC. </w:t>
      </w:r>
      <w:proofErr w:type="spellStart"/>
      <w:r w:rsidRPr="0058626F">
        <w:rPr>
          <w:rFonts w:asciiTheme="minorHAnsi" w:hAnsiTheme="minorHAnsi" w:cs="Calibri"/>
          <w:lang w:val="fr-FR"/>
        </w:rPr>
        <w:t>SU-949</w:t>
      </w:r>
      <w:proofErr w:type="spellEnd"/>
      <w:r w:rsidRPr="0058626F">
        <w:rPr>
          <w:rFonts w:asciiTheme="minorHAnsi" w:hAnsiTheme="minorHAnsi" w:cs="Calibri"/>
          <w:lang w:val="fr-FR"/>
        </w:rPr>
        <w:t xml:space="preserve"> de 2014.</w:t>
      </w:r>
    </w:p>
  </w:footnote>
  <w:footnote w:id="22">
    <w:p w:rsidR="004B274F" w:rsidRPr="0058626F" w:rsidRDefault="004B274F" w:rsidP="007B425D">
      <w:pPr>
        <w:pStyle w:val="Notedebasdepage"/>
        <w:rPr>
          <w:rFonts w:asciiTheme="minorHAnsi" w:hAnsiTheme="minorHAnsi" w:cs="Calibri"/>
          <w:lang w:val="fr-FR"/>
        </w:rPr>
      </w:pPr>
      <w:r>
        <w:rPr>
          <w:rStyle w:val="Appelnotedebasdep"/>
        </w:rPr>
        <w:footnoteRef/>
      </w:r>
      <w:r w:rsidRPr="0058626F">
        <w:rPr>
          <w:lang w:val="fr-FR"/>
        </w:rPr>
        <w:t xml:space="preserve"> </w:t>
      </w:r>
      <w:r w:rsidRPr="0058626F">
        <w:rPr>
          <w:rFonts w:asciiTheme="minorHAnsi" w:hAnsiTheme="minorHAnsi" w:cs="Calibri"/>
          <w:lang w:val="fr-FR"/>
        </w:rPr>
        <w:t>CC. T-192 de 2015.</w:t>
      </w:r>
    </w:p>
  </w:footnote>
  <w:footnote w:id="23">
    <w:p w:rsidR="004B274F" w:rsidRPr="0058626F" w:rsidRDefault="004B274F" w:rsidP="007B425D">
      <w:pPr>
        <w:pStyle w:val="Notedebasdepage"/>
        <w:rPr>
          <w:rFonts w:asciiTheme="minorHAnsi" w:hAnsiTheme="minorHAnsi"/>
          <w:lang w:val="fr-FR"/>
        </w:rPr>
      </w:pPr>
      <w:r w:rsidRPr="003F120A">
        <w:rPr>
          <w:rStyle w:val="Appelnotedebasdep"/>
          <w:rFonts w:asciiTheme="minorHAnsi" w:hAnsiTheme="minorHAnsi"/>
        </w:rPr>
        <w:footnoteRef/>
      </w:r>
      <w:r w:rsidRPr="0058626F">
        <w:rPr>
          <w:rFonts w:asciiTheme="minorHAnsi" w:hAnsiTheme="minorHAnsi"/>
          <w:lang w:val="fr-FR"/>
        </w:rPr>
        <w:t xml:space="preserve"> </w:t>
      </w:r>
      <w:r w:rsidRPr="0058626F">
        <w:rPr>
          <w:rFonts w:asciiTheme="minorHAnsi" w:hAnsiTheme="minorHAnsi" w:cs="Calibri"/>
          <w:lang w:val="fr-FR"/>
        </w:rPr>
        <w:t xml:space="preserve">CC. </w:t>
      </w:r>
      <w:proofErr w:type="spellStart"/>
      <w:r w:rsidRPr="0058626F">
        <w:rPr>
          <w:rFonts w:asciiTheme="minorHAnsi" w:hAnsiTheme="minorHAnsi" w:cs="Calibri"/>
          <w:lang w:val="fr-FR"/>
        </w:rPr>
        <w:t>SU-949</w:t>
      </w:r>
      <w:proofErr w:type="spellEnd"/>
      <w:r w:rsidRPr="0058626F">
        <w:rPr>
          <w:rFonts w:asciiTheme="minorHAnsi" w:hAnsiTheme="minorHAnsi" w:cs="Calibri"/>
          <w:lang w:val="fr-FR"/>
        </w:rPr>
        <w:t xml:space="preserve"> de 2014.</w:t>
      </w:r>
      <w:r w:rsidRPr="0058626F">
        <w:rPr>
          <w:rFonts w:asciiTheme="minorHAnsi" w:hAnsiTheme="minorHAnsi"/>
          <w:lang w:val="fr-FR"/>
        </w:rPr>
        <w:t xml:space="preserve"> </w:t>
      </w:r>
    </w:p>
  </w:footnote>
  <w:footnote w:id="24">
    <w:p w:rsidR="00C04D0A" w:rsidRPr="0058626F" w:rsidRDefault="00C04D0A" w:rsidP="00C04D0A">
      <w:pPr>
        <w:pStyle w:val="Notedebasdepage"/>
        <w:jc w:val="both"/>
        <w:rPr>
          <w:rFonts w:ascii="Calibri" w:hAnsi="Calibri"/>
          <w:lang w:val="fr-FR"/>
        </w:rPr>
      </w:pPr>
      <w:r>
        <w:rPr>
          <w:rStyle w:val="Appelnotedebasdep"/>
        </w:rPr>
        <w:footnoteRef/>
      </w:r>
      <w:r w:rsidRPr="0058626F">
        <w:rPr>
          <w:lang w:val="fr-FR"/>
        </w:rPr>
        <w:t xml:space="preserve"> </w:t>
      </w:r>
      <w:r w:rsidR="0063257E" w:rsidRPr="0058626F">
        <w:rPr>
          <w:rFonts w:ascii="Calibri" w:hAnsi="Calibri"/>
          <w:lang w:val="fr-FR"/>
        </w:rPr>
        <w:t>CC</w:t>
      </w:r>
      <w:r w:rsidRPr="0058626F">
        <w:rPr>
          <w:rFonts w:ascii="Calibri" w:hAnsi="Calibri"/>
          <w:lang w:val="fr-FR"/>
        </w:rPr>
        <w:t>. T-071 de 2016.</w:t>
      </w:r>
    </w:p>
  </w:footnote>
  <w:footnote w:id="25">
    <w:p w:rsidR="00C04D0A" w:rsidRPr="0058626F" w:rsidRDefault="00C04D0A" w:rsidP="00C04D0A">
      <w:pPr>
        <w:pStyle w:val="Notedebasdepage"/>
        <w:jc w:val="both"/>
        <w:rPr>
          <w:rFonts w:asciiTheme="minorHAnsi" w:hAnsiTheme="minorHAnsi"/>
          <w:lang w:val="fr-FR"/>
        </w:rPr>
      </w:pPr>
      <w:r w:rsidRPr="00064CF4">
        <w:rPr>
          <w:rStyle w:val="Appelnotedebasdep"/>
          <w:rFonts w:asciiTheme="minorHAnsi" w:hAnsiTheme="minorHAnsi"/>
        </w:rPr>
        <w:footnoteRef/>
      </w:r>
      <w:r w:rsidRPr="0058626F">
        <w:rPr>
          <w:rFonts w:asciiTheme="minorHAnsi" w:hAnsiTheme="minorHAnsi"/>
          <w:lang w:val="fr-FR"/>
        </w:rPr>
        <w:t xml:space="preserve"> </w:t>
      </w:r>
      <w:r w:rsidR="0063257E" w:rsidRPr="0058626F">
        <w:rPr>
          <w:rFonts w:asciiTheme="minorHAnsi" w:hAnsiTheme="minorHAnsi"/>
          <w:lang w:val="fr-FR"/>
        </w:rPr>
        <w:t>CC</w:t>
      </w:r>
      <w:r w:rsidRPr="0058626F">
        <w:rPr>
          <w:rFonts w:asciiTheme="minorHAnsi" w:hAnsiTheme="minorHAnsi"/>
          <w:lang w:val="fr-FR"/>
        </w:rPr>
        <w:t xml:space="preserve">. T-955 de 2013, </w:t>
      </w:r>
      <w:proofErr w:type="spellStart"/>
      <w:r w:rsidRPr="0058626F">
        <w:rPr>
          <w:rFonts w:asciiTheme="minorHAnsi" w:hAnsiTheme="minorHAnsi"/>
          <w:lang w:val="fr-FR"/>
        </w:rPr>
        <w:t>reiterada</w:t>
      </w:r>
      <w:proofErr w:type="spellEnd"/>
      <w:r w:rsidRPr="0058626F">
        <w:rPr>
          <w:rFonts w:asciiTheme="minorHAnsi" w:hAnsiTheme="minorHAnsi"/>
          <w:lang w:val="fr-FR"/>
        </w:rPr>
        <w:t xml:space="preserve"> en la T-044 de 2014.</w:t>
      </w:r>
    </w:p>
  </w:footnote>
  <w:footnote w:id="26">
    <w:p w:rsidR="00866425" w:rsidRPr="00064CF4" w:rsidRDefault="00866425" w:rsidP="00866425">
      <w:pPr>
        <w:pStyle w:val="Notedebasdepage"/>
        <w:jc w:val="both"/>
        <w:rPr>
          <w:rFonts w:asciiTheme="minorHAnsi" w:hAnsiTheme="minorHAnsi"/>
          <w:lang w:val="es-CO"/>
        </w:rPr>
      </w:pPr>
      <w:r w:rsidRPr="00064CF4">
        <w:rPr>
          <w:rStyle w:val="Appelnotedebasdep"/>
          <w:rFonts w:asciiTheme="minorHAnsi" w:hAnsiTheme="minorHAnsi"/>
        </w:rPr>
        <w:footnoteRef/>
      </w:r>
      <w:r w:rsidRPr="00064CF4">
        <w:rPr>
          <w:rFonts w:asciiTheme="minorHAnsi" w:hAnsiTheme="minorHAnsi"/>
        </w:rPr>
        <w:t xml:space="preserve"> </w:t>
      </w:r>
      <w:r w:rsidR="0063257E">
        <w:rPr>
          <w:rFonts w:asciiTheme="minorHAnsi" w:hAnsiTheme="minorHAnsi"/>
          <w:lang w:val="es-CO"/>
        </w:rPr>
        <w:t>CC</w:t>
      </w:r>
      <w:r w:rsidRPr="00064CF4">
        <w:rPr>
          <w:rFonts w:asciiTheme="minorHAnsi" w:hAnsiTheme="minorHAnsi"/>
          <w:lang w:val="es-CO"/>
        </w:rPr>
        <w:t xml:space="preserve">. </w:t>
      </w:r>
      <w:r w:rsidRPr="00064CF4">
        <w:rPr>
          <w:rFonts w:asciiTheme="minorHAnsi" w:hAnsiTheme="minorHAnsi"/>
        </w:rPr>
        <w:t>T-</w:t>
      </w:r>
      <w:proofErr w:type="spellStart"/>
      <w:r w:rsidRPr="00064CF4">
        <w:rPr>
          <w:rFonts w:asciiTheme="minorHAnsi" w:hAnsiTheme="minorHAnsi"/>
        </w:rPr>
        <w:t>580A</w:t>
      </w:r>
      <w:proofErr w:type="spellEnd"/>
      <w:r w:rsidRPr="00064CF4">
        <w:rPr>
          <w:rFonts w:asciiTheme="minorHAnsi" w:hAnsiTheme="minorHAnsi"/>
        </w:rPr>
        <w:t xml:space="preserve"> de 2011</w:t>
      </w:r>
      <w:r w:rsidRPr="00064CF4">
        <w:rPr>
          <w:rFonts w:asciiTheme="minorHAnsi" w:hAnsiTheme="minorHAnsi"/>
          <w:lang w:val="es-CO"/>
        </w:rPr>
        <w:t>, reiterada en la T-044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4F" w:rsidRPr="006414F7" w:rsidRDefault="004B274F">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8626F">
      <w:rPr>
        <w:rFonts w:ascii="Calibri" w:hAnsi="Calibri" w:cs="Calibri"/>
        <w:i/>
        <w:noProof/>
        <w:sz w:val="20"/>
      </w:rPr>
      <w:t>1</w:t>
    </w:r>
    <w:r w:rsidRPr="006414F7">
      <w:rPr>
        <w:rFonts w:ascii="Calibri" w:hAnsi="Calibri" w:cs="Calibri"/>
        <w:i/>
        <w:sz w:val="20"/>
      </w:rPr>
      <w:fldChar w:fldCharType="end"/>
    </w:r>
  </w:p>
  <w:p w:rsidR="004B274F" w:rsidRPr="006414F7" w:rsidRDefault="004B274F" w:rsidP="00F41FF0">
    <w:pPr>
      <w:pStyle w:val="En-tte"/>
      <w:ind w:right="360"/>
      <w:jc w:val="both"/>
      <w:rPr>
        <w:rFonts w:ascii="Calibri" w:hAnsi="Calibri" w:cs="Calibri"/>
        <w:i/>
        <w:sz w:val="20"/>
        <w:szCs w:val="22"/>
      </w:rPr>
    </w:pPr>
    <w:r w:rsidRPr="006414F7">
      <w:rPr>
        <w:rFonts w:ascii="Calibri" w:hAnsi="Calibri" w:cs="Calibri"/>
        <w:i/>
        <w:sz w:val="20"/>
        <w:szCs w:val="22"/>
      </w:rPr>
      <w:t xml:space="preserve">EXPEDIENTE </w:t>
    </w:r>
    <w:proofErr w:type="spellStart"/>
    <w:r w:rsidRPr="006414F7">
      <w:rPr>
        <w:rFonts w:ascii="Calibri" w:hAnsi="Calibri" w:cs="Calibri"/>
        <w:i/>
        <w:sz w:val="20"/>
        <w:szCs w:val="22"/>
      </w:rPr>
      <w:t>No.</w:t>
    </w:r>
    <w:r>
      <w:rPr>
        <w:rFonts w:ascii="Calibri" w:hAnsi="Calibri" w:cs="Calibri"/>
        <w:i/>
        <w:sz w:val="20"/>
        <w:szCs w:val="22"/>
      </w:rPr>
      <w:t>2017</w:t>
    </w:r>
    <w:proofErr w:type="spellEnd"/>
    <w:r>
      <w:rPr>
        <w:rFonts w:ascii="Calibri" w:hAnsi="Calibri" w:cs="Calibri"/>
        <w:i/>
        <w:sz w:val="20"/>
        <w:szCs w:val="22"/>
      </w:rPr>
      <w:t>-00276-00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7A0100"/>
    <w:multiLevelType w:val="hybridMultilevel"/>
    <w:tmpl w:val="3E1E5EA8"/>
    <w:lvl w:ilvl="0" w:tplc="61989742">
      <w:start w:val="1"/>
      <w:numFmt w:val="decimal"/>
      <w:lvlText w:val="%1."/>
      <w:lvlJc w:val="left"/>
      <w:pPr>
        <w:ind w:left="4330" w:hanging="360"/>
      </w:pPr>
      <w:rPr>
        <w:rFonts w:cs="Times New Roman"/>
        <w:b w:val="0"/>
        <w:i w:val="0"/>
        <w:color w:val="auto"/>
      </w:rPr>
    </w:lvl>
    <w:lvl w:ilvl="1" w:tplc="54B4D2A4">
      <w:start w:val="5"/>
      <w:numFmt w:val="bullet"/>
      <w:lvlText w:val="·"/>
      <w:lvlJc w:val="left"/>
      <w:pPr>
        <w:ind w:left="1455" w:hanging="375"/>
      </w:pPr>
      <w:rPr>
        <w:rFonts w:ascii="Calibri" w:eastAsia="Times New Roman" w:hAnsi="Calibri" w:hint="default"/>
      </w:rPr>
    </w:lvl>
    <w:lvl w:ilvl="2" w:tplc="E828C242">
      <w:start w:val="1"/>
      <w:numFmt w:val="lowerLetter"/>
      <w:lvlText w:val="%3)"/>
      <w:lvlJc w:val="left"/>
      <w:pPr>
        <w:ind w:left="2340" w:hanging="360"/>
      </w:pPr>
      <w:rPr>
        <w:rFonts w:cs="Times New Roman" w:hint="default"/>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16"/>
  </w:num>
  <w:num w:numId="22">
    <w:abstractNumId w:val="19"/>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1E2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3F5"/>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CF4"/>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79B"/>
    <w:rsid w:val="00073248"/>
    <w:rsid w:val="000735CB"/>
    <w:rsid w:val="00073953"/>
    <w:rsid w:val="00074032"/>
    <w:rsid w:val="0007464B"/>
    <w:rsid w:val="00075471"/>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9B6"/>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6768"/>
    <w:rsid w:val="000F715E"/>
    <w:rsid w:val="000F7E6A"/>
    <w:rsid w:val="000F7FE2"/>
    <w:rsid w:val="00100C47"/>
    <w:rsid w:val="00100C96"/>
    <w:rsid w:val="00100DAC"/>
    <w:rsid w:val="00100F9F"/>
    <w:rsid w:val="00100FFF"/>
    <w:rsid w:val="00101AE0"/>
    <w:rsid w:val="00101AF2"/>
    <w:rsid w:val="00101B32"/>
    <w:rsid w:val="00101EF3"/>
    <w:rsid w:val="001022A9"/>
    <w:rsid w:val="00102604"/>
    <w:rsid w:val="00102C9B"/>
    <w:rsid w:val="001032C6"/>
    <w:rsid w:val="00103321"/>
    <w:rsid w:val="00103488"/>
    <w:rsid w:val="00103725"/>
    <w:rsid w:val="00103E2D"/>
    <w:rsid w:val="00103EFB"/>
    <w:rsid w:val="00104848"/>
    <w:rsid w:val="00104975"/>
    <w:rsid w:val="00104B78"/>
    <w:rsid w:val="001055BE"/>
    <w:rsid w:val="00105D27"/>
    <w:rsid w:val="00105D7D"/>
    <w:rsid w:val="00105FFB"/>
    <w:rsid w:val="001072F0"/>
    <w:rsid w:val="00107310"/>
    <w:rsid w:val="0010744C"/>
    <w:rsid w:val="001074E1"/>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644"/>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27F"/>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55F"/>
    <w:rsid w:val="00170F1F"/>
    <w:rsid w:val="00171238"/>
    <w:rsid w:val="0017157E"/>
    <w:rsid w:val="00173831"/>
    <w:rsid w:val="001747C9"/>
    <w:rsid w:val="001753AB"/>
    <w:rsid w:val="00175C70"/>
    <w:rsid w:val="00175D2D"/>
    <w:rsid w:val="00176C9B"/>
    <w:rsid w:val="001778CF"/>
    <w:rsid w:val="00177DFE"/>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6E93"/>
    <w:rsid w:val="001C7A2A"/>
    <w:rsid w:val="001C7B73"/>
    <w:rsid w:val="001C7E8E"/>
    <w:rsid w:val="001C7FDD"/>
    <w:rsid w:val="001D00F0"/>
    <w:rsid w:val="001D019C"/>
    <w:rsid w:val="001D025F"/>
    <w:rsid w:val="001D04B1"/>
    <w:rsid w:val="001D0884"/>
    <w:rsid w:val="001D0CCA"/>
    <w:rsid w:val="001D0F25"/>
    <w:rsid w:val="001D1325"/>
    <w:rsid w:val="001D13B2"/>
    <w:rsid w:val="001D210B"/>
    <w:rsid w:val="001D24F3"/>
    <w:rsid w:val="001D25A6"/>
    <w:rsid w:val="001D33DC"/>
    <w:rsid w:val="001D3AEC"/>
    <w:rsid w:val="001D48C5"/>
    <w:rsid w:val="001D49C6"/>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33D"/>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1DF"/>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08D"/>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70CC"/>
    <w:rsid w:val="00247994"/>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3C5"/>
    <w:rsid w:val="00261879"/>
    <w:rsid w:val="00261943"/>
    <w:rsid w:val="00262566"/>
    <w:rsid w:val="002627F4"/>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575"/>
    <w:rsid w:val="00290DB8"/>
    <w:rsid w:val="0029164C"/>
    <w:rsid w:val="002916F2"/>
    <w:rsid w:val="00291730"/>
    <w:rsid w:val="0029187F"/>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1D9"/>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A0C"/>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A3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C42"/>
    <w:rsid w:val="002E7E3A"/>
    <w:rsid w:val="002F02BB"/>
    <w:rsid w:val="002F05F4"/>
    <w:rsid w:val="002F0909"/>
    <w:rsid w:val="002F11E7"/>
    <w:rsid w:val="002F1A51"/>
    <w:rsid w:val="002F24C2"/>
    <w:rsid w:val="002F37F9"/>
    <w:rsid w:val="002F3875"/>
    <w:rsid w:val="002F3E1D"/>
    <w:rsid w:val="002F413A"/>
    <w:rsid w:val="002F4C69"/>
    <w:rsid w:val="002F55D1"/>
    <w:rsid w:val="002F5CFC"/>
    <w:rsid w:val="002F6B8E"/>
    <w:rsid w:val="002F6CFE"/>
    <w:rsid w:val="0030086F"/>
    <w:rsid w:val="00301345"/>
    <w:rsid w:val="00301699"/>
    <w:rsid w:val="00302001"/>
    <w:rsid w:val="00302228"/>
    <w:rsid w:val="0030262F"/>
    <w:rsid w:val="00303DD9"/>
    <w:rsid w:val="00304C7E"/>
    <w:rsid w:val="00305056"/>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1FE4"/>
    <w:rsid w:val="003222EF"/>
    <w:rsid w:val="0032256F"/>
    <w:rsid w:val="003232B0"/>
    <w:rsid w:val="00323F7B"/>
    <w:rsid w:val="0032445C"/>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B1"/>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949"/>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C6C"/>
    <w:rsid w:val="003B2EC7"/>
    <w:rsid w:val="003B3673"/>
    <w:rsid w:val="003B37F0"/>
    <w:rsid w:val="003B4005"/>
    <w:rsid w:val="003B50F3"/>
    <w:rsid w:val="003B5178"/>
    <w:rsid w:val="003B691D"/>
    <w:rsid w:val="003B6E96"/>
    <w:rsid w:val="003B7AD3"/>
    <w:rsid w:val="003C0AF4"/>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3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280"/>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53"/>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C8E"/>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E96"/>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34B"/>
    <w:rsid w:val="0046344B"/>
    <w:rsid w:val="00463819"/>
    <w:rsid w:val="00463C79"/>
    <w:rsid w:val="00464F84"/>
    <w:rsid w:val="00465137"/>
    <w:rsid w:val="00465173"/>
    <w:rsid w:val="0046657E"/>
    <w:rsid w:val="0046667A"/>
    <w:rsid w:val="00466EA1"/>
    <w:rsid w:val="004673BB"/>
    <w:rsid w:val="00467960"/>
    <w:rsid w:val="00467F80"/>
    <w:rsid w:val="0047000C"/>
    <w:rsid w:val="00470983"/>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5EF1"/>
    <w:rsid w:val="004A6046"/>
    <w:rsid w:val="004A6342"/>
    <w:rsid w:val="004A6376"/>
    <w:rsid w:val="004A6566"/>
    <w:rsid w:val="004B0FC2"/>
    <w:rsid w:val="004B115F"/>
    <w:rsid w:val="004B1986"/>
    <w:rsid w:val="004B1BC3"/>
    <w:rsid w:val="004B2143"/>
    <w:rsid w:val="004B274F"/>
    <w:rsid w:val="004B36EB"/>
    <w:rsid w:val="004B3732"/>
    <w:rsid w:val="004B3F03"/>
    <w:rsid w:val="004B3F1F"/>
    <w:rsid w:val="004B452A"/>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47E"/>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59CB"/>
    <w:rsid w:val="005363AE"/>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815"/>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26F"/>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63B"/>
    <w:rsid w:val="005A28DF"/>
    <w:rsid w:val="005A2A11"/>
    <w:rsid w:val="005A2D9A"/>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C5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C2"/>
    <w:rsid w:val="005C65F4"/>
    <w:rsid w:val="005C6A5E"/>
    <w:rsid w:val="005C6C2C"/>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054"/>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505"/>
    <w:rsid w:val="006277C7"/>
    <w:rsid w:val="006277EE"/>
    <w:rsid w:val="006278D9"/>
    <w:rsid w:val="00627A7C"/>
    <w:rsid w:val="00627C1B"/>
    <w:rsid w:val="006304B5"/>
    <w:rsid w:val="00630872"/>
    <w:rsid w:val="00630CCB"/>
    <w:rsid w:val="00631011"/>
    <w:rsid w:val="00631466"/>
    <w:rsid w:val="006319BF"/>
    <w:rsid w:val="00631F9A"/>
    <w:rsid w:val="006320EA"/>
    <w:rsid w:val="0063257E"/>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5B0B"/>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8F4"/>
    <w:rsid w:val="00681A85"/>
    <w:rsid w:val="006824C3"/>
    <w:rsid w:val="00682503"/>
    <w:rsid w:val="00682BD7"/>
    <w:rsid w:val="00683A69"/>
    <w:rsid w:val="00683DC4"/>
    <w:rsid w:val="00684255"/>
    <w:rsid w:val="00684CBB"/>
    <w:rsid w:val="00685170"/>
    <w:rsid w:val="006857EF"/>
    <w:rsid w:val="0068618F"/>
    <w:rsid w:val="006869C9"/>
    <w:rsid w:val="00686A03"/>
    <w:rsid w:val="00687E4B"/>
    <w:rsid w:val="00690466"/>
    <w:rsid w:val="00690473"/>
    <w:rsid w:val="0069058D"/>
    <w:rsid w:val="00690658"/>
    <w:rsid w:val="0069134C"/>
    <w:rsid w:val="00691C48"/>
    <w:rsid w:val="0069262B"/>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2EA8"/>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51"/>
    <w:rsid w:val="00701E3F"/>
    <w:rsid w:val="00701F8A"/>
    <w:rsid w:val="00701FD1"/>
    <w:rsid w:val="00702578"/>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61AC"/>
    <w:rsid w:val="00716966"/>
    <w:rsid w:val="00717574"/>
    <w:rsid w:val="00720F6E"/>
    <w:rsid w:val="00722FB5"/>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519C"/>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55FD"/>
    <w:rsid w:val="007561FF"/>
    <w:rsid w:val="00756584"/>
    <w:rsid w:val="00756756"/>
    <w:rsid w:val="00757AEF"/>
    <w:rsid w:val="00760115"/>
    <w:rsid w:val="007601A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972"/>
    <w:rsid w:val="00776A75"/>
    <w:rsid w:val="00776B6A"/>
    <w:rsid w:val="007776C1"/>
    <w:rsid w:val="00777898"/>
    <w:rsid w:val="00777DDF"/>
    <w:rsid w:val="00780C46"/>
    <w:rsid w:val="00783061"/>
    <w:rsid w:val="00783425"/>
    <w:rsid w:val="00784E9E"/>
    <w:rsid w:val="007858AD"/>
    <w:rsid w:val="00785963"/>
    <w:rsid w:val="00785D6C"/>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B00"/>
    <w:rsid w:val="007B100D"/>
    <w:rsid w:val="007B17E8"/>
    <w:rsid w:val="007B1CE6"/>
    <w:rsid w:val="007B255A"/>
    <w:rsid w:val="007B28E5"/>
    <w:rsid w:val="007B3A5B"/>
    <w:rsid w:val="007B425D"/>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08D"/>
    <w:rsid w:val="007D2261"/>
    <w:rsid w:val="007D2580"/>
    <w:rsid w:val="007D273C"/>
    <w:rsid w:val="007D4C9C"/>
    <w:rsid w:val="007D5761"/>
    <w:rsid w:val="007D5895"/>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6D"/>
    <w:rsid w:val="008028C8"/>
    <w:rsid w:val="00802D8F"/>
    <w:rsid w:val="00802EA3"/>
    <w:rsid w:val="008031C7"/>
    <w:rsid w:val="00803CE5"/>
    <w:rsid w:val="00803E05"/>
    <w:rsid w:val="00803EA2"/>
    <w:rsid w:val="00804242"/>
    <w:rsid w:val="00804404"/>
    <w:rsid w:val="0080457F"/>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1081"/>
    <w:rsid w:val="008335F7"/>
    <w:rsid w:val="0083382D"/>
    <w:rsid w:val="008338A8"/>
    <w:rsid w:val="00833A49"/>
    <w:rsid w:val="00834BB8"/>
    <w:rsid w:val="00836314"/>
    <w:rsid w:val="00836963"/>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425"/>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6B5"/>
    <w:rsid w:val="0088687D"/>
    <w:rsid w:val="00887300"/>
    <w:rsid w:val="00887F89"/>
    <w:rsid w:val="00887FBC"/>
    <w:rsid w:val="008904A3"/>
    <w:rsid w:val="008904C0"/>
    <w:rsid w:val="0089101F"/>
    <w:rsid w:val="008914F4"/>
    <w:rsid w:val="00891BA7"/>
    <w:rsid w:val="00892529"/>
    <w:rsid w:val="00892B26"/>
    <w:rsid w:val="00892EA7"/>
    <w:rsid w:val="00893C4D"/>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0C9"/>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AC"/>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73B5"/>
    <w:rsid w:val="008F7558"/>
    <w:rsid w:val="008F7F4F"/>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3A2"/>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718"/>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4B3"/>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796"/>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2B52"/>
    <w:rsid w:val="00A039B2"/>
    <w:rsid w:val="00A03A22"/>
    <w:rsid w:val="00A03FD8"/>
    <w:rsid w:val="00A042BA"/>
    <w:rsid w:val="00A04E12"/>
    <w:rsid w:val="00A054D8"/>
    <w:rsid w:val="00A05AF6"/>
    <w:rsid w:val="00A06239"/>
    <w:rsid w:val="00A064C7"/>
    <w:rsid w:val="00A06890"/>
    <w:rsid w:val="00A06EB8"/>
    <w:rsid w:val="00A07CF3"/>
    <w:rsid w:val="00A07E5A"/>
    <w:rsid w:val="00A1129E"/>
    <w:rsid w:val="00A12158"/>
    <w:rsid w:val="00A12D3F"/>
    <w:rsid w:val="00A131C0"/>
    <w:rsid w:val="00A1320F"/>
    <w:rsid w:val="00A132ED"/>
    <w:rsid w:val="00A13483"/>
    <w:rsid w:val="00A13E15"/>
    <w:rsid w:val="00A14098"/>
    <w:rsid w:val="00A1487A"/>
    <w:rsid w:val="00A149AF"/>
    <w:rsid w:val="00A1553C"/>
    <w:rsid w:val="00A155F8"/>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0C2"/>
    <w:rsid w:val="00A7317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04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5139"/>
    <w:rsid w:val="00AD5147"/>
    <w:rsid w:val="00AD5463"/>
    <w:rsid w:val="00AD5778"/>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9F0"/>
    <w:rsid w:val="00B21AAA"/>
    <w:rsid w:val="00B22C13"/>
    <w:rsid w:val="00B22D06"/>
    <w:rsid w:val="00B22D1D"/>
    <w:rsid w:val="00B23AF4"/>
    <w:rsid w:val="00B23D95"/>
    <w:rsid w:val="00B23EE8"/>
    <w:rsid w:val="00B245E5"/>
    <w:rsid w:val="00B245FA"/>
    <w:rsid w:val="00B24C7C"/>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659"/>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49D"/>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56B"/>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A7480"/>
    <w:rsid w:val="00BB1333"/>
    <w:rsid w:val="00BB1428"/>
    <w:rsid w:val="00BB2BA3"/>
    <w:rsid w:val="00BB30AC"/>
    <w:rsid w:val="00BB4040"/>
    <w:rsid w:val="00BB43B1"/>
    <w:rsid w:val="00BB4676"/>
    <w:rsid w:val="00BB52AC"/>
    <w:rsid w:val="00BB569F"/>
    <w:rsid w:val="00BB5BCF"/>
    <w:rsid w:val="00BB61C0"/>
    <w:rsid w:val="00BB64A6"/>
    <w:rsid w:val="00BB67A7"/>
    <w:rsid w:val="00BB73D1"/>
    <w:rsid w:val="00BB74B3"/>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0A"/>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3BA"/>
    <w:rsid w:val="00C21F22"/>
    <w:rsid w:val="00C224E8"/>
    <w:rsid w:val="00C230C3"/>
    <w:rsid w:val="00C235B7"/>
    <w:rsid w:val="00C236E4"/>
    <w:rsid w:val="00C23F1E"/>
    <w:rsid w:val="00C24301"/>
    <w:rsid w:val="00C244B0"/>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8D8"/>
    <w:rsid w:val="00C45D1C"/>
    <w:rsid w:val="00C47156"/>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5ECA"/>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30"/>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7D"/>
    <w:rsid w:val="00CB0834"/>
    <w:rsid w:val="00CB08B8"/>
    <w:rsid w:val="00CB0EBD"/>
    <w:rsid w:val="00CB16FB"/>
    <w:rsid w:val="00CB291D"/>
    <w:rsid w:val="00CB2FD7"/>
    <w:rsid w:val="00CB3126"/>
    <w:rsid w:val="00CB37FA"/>
    <w:rsid w:val="00CB3861"/>
    <w:rsid w:val="00CB3B98"/>
    <w:rsid w:val="00CB4807"/>
    <w:rsid w:val="00CB5BE1"/>
    <w:rsid w:val="00CB6B86"/>
    <w:rsid w:val="00CB6B9D"/>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094"/>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2A25"/>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AB"/>
    <w:rsid w:val="00D446E3"/>
    <w:rsid w:val="00D45E7D"/>
    <w:rsid w:val="00D4647F"/>
    <w:rsid w:val="00D46B5E"/>
    <w:rsid w:val="00D477F7"/>
    <w:rsid w:val="00D50341"/>
    <w:rsid w:val="00D506BF"/>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335"/>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0C0B"/>
    <w:rsid w:val="00DA1514"/>
    <w:rsid w:val="00DA22FB"/>
    <w:rsid w:val="00DA37F5"/>
    <w:rsid w:val="00DA3DFC"/>
    <w:rsid w:val="00DA4AEC"/>
    <w:rsid w:val="00DA59FF"/>
    <w:rsid w:val="00DA5B56"/>
    <w:rsid w:val="00DA6B15"/>
    <w:rsid w:val="00DA6FAB"/>
    <w:rsid w:val="00DA7AF6"/>
    <w:rsid w:val="00DA7F49"/>
    <w:rsid w:val="00DB02C2"/>
    <w:rsid w:val="00DB12FC"/>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4EF"/>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710"/>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B8E"/>
    <w:rsid w:val="00EB4C2C"/>
    <w:rsid w:val="00EB5036"/>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C7F58"/>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4DEC"/>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4FC0"/>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553"/>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BD6"/>
    <w:rsid w:val="00F21319"/>
    <w:rsid w:val="00F215F7"/>
    <w:rsid w:val="00F21887"/>
    <w:rsid w:val="00F21C19"/>
    <w:rsid w:val="00F22E83"/>
    <w:rsid w:val="00F23840"/>
    <w:rsid w:val="00F2395B"/>
    <w:rsid w:val="00F244B0"/>
    <w:rsid w:val="00F24C5F"/>
    <w:rsid w:val="00F24CEA"/>
    <w:rsid w:val="00F25348"/>
    <w:rsid w:val="00F25DB6"/>
    <w:rsid w:val="00F263E2"/>
    <w:rsid w:val="00F26725"/>
    <w:rsid w:val="00F27DCF"/>
    <w:rsid w:val="00F3020D"/>
    <w:rsid w:val="00F30383"/>
    <w:rsid w:val="00F30ADE"/>
    <w:rsid w:val="00F30E3D"/>
    <w:rsid w:val="00F316B0"/>
    <w:rsid w:val="00F3260D"/>
    <w:rsid w:val="00F330CE"/>
    <w:rsid w:val="00F332B5"/>
    <w:rsid w:val="00F336C8"/>
    <w:rsid w:val="00F33A29"/>
    <w:rsid w:val="00F34295"/>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4974"/>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1"/>
    <w:rsid w:val="00F87514"/>
    <w:rsid w:val="00F87C59"/>
    <w:rsid w:val="00F87CB3"/>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1052">
      <w:bodyDiv w:val="1"/>
      <w:marLeft w:val="0"/>
      <w:marRight w:val="0"/>
      <w:marTop w:val="0"/>
      <w:marBottom w:val="0"/>
      <w:divBdr>
        <w:top w:val="none" w:sz="0" w:space="0" w:color="auto"/>
        <w:left w:val="none" w:sz="0" w:space="0" w:color="auto"/>
        <w:bottom w:val="none" w:sz="0" w:space="0" w:color="auto"/>
        <w:right w:val="none" w:sz="0" w:space="0" w:color="auto"/>
      </w:divBdr>
    </w:div>
    <w:div w:id="243415613">
      <w:bodyDiv w:val="1"/>
      <w:marLeft w:val="0"/>
      <w:marRight w:val="0"/>
      <w:marTop w:val="0"/>
      <w:marBottom w:val="0"/>
      <w:divBdr>
        <w:top w:val="none" w:sz="0" w:space="0" w:color="auto"/>
        <w:left w:val="none" w:sz="0" w:space="0" w:color="auto"/>
        <w:bottom w:val="none" w:sz="0" w:space="0" w:color="auto"/>
        <w:right w:val="none" w:sz="0" w:space="0" w:color="auto"/>
      </w:divBdr>
    </w:div>
    <w:div w:id="265580488">
      <w:bodyDiv w:val="1"/>
      <w:marLeft w:val="0"/>
      <w:marRight w:val="0"/>
      <w:marTop w:val="0"/>
      <w:marBottom w:val="0"/>
      <w:divBdr>
        <w:top w:val="none" w:sz="0" w:space="0" w:color="auto"/>
        <w:left w:val="none" w:sz="0" w:space="0" w:color="auto"/>
        <w:bottom w:val="none" w:sz="0" w:space="0" w:color="auto"/>
        <w:right w:val="none" w:sz="0" w:space="0" w:color="auto"/>
      </w:divBdr>
    </w:div>
    <w:div w:id="83160864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E330-E394-48A4-B500-35FAB1B3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3702</Words>
  <Characters>20362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3</cp:revision>
  <cp:lastPrinted>2017-04-07T17:26:00Z</cp:lastPrinted>
  <dcterms:created xsi:type="dcterms:W3CDTF">2017-04-07T18:12:00Z</dcterms:created>
  <dcterms:modified xsi:type="dcterms:W3CDTF">2017-06-21T03:39:00Z</dcterms:modified>
</cp:coreProperties>
</file>