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E8" w:rsidRPr="006E4540" w:rsidRDefault="00AB25E8" w:rsidP="00AB25E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AB25E8" w:rsidRPr="00AB25E8" w:rsidRDefault="00AB25E8"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AB25E8" w:rsidRDefault="00486062" w:rsidP="00AB25E8">
      <w:pPr>
        <w:jc w:val="center"/>
        <w:rPr>
          <w:rFonts w:ascii="Arial" w:hAnsi="Arial" w:cs="Arial"/>
          <w:w w:val="140"/>
          <w:sz w:val="16"/>
          <w:szCs w:val="16"/>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AB25E8">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w:t>
      </w:r>
      <w:r w:rsidR="00AB25E8">
        <w:rPr>
          <w:rFonts w:ascii="Arial" w:hAnsi="Arial" w:cs="Arial"/>
          <w:sz w:val="22"/>
          <w:szCs w:val="22"/>
        </w:rPr>
        <w:t>Sentencia – 1ª instancia – 26 de abril de 2017</w:t>
      </w:r>
    </w:p>
    <w:p w:rsidR="00AB25E8" w:rsidRPr="002060F5" w:rsidRDefault="00AB25E8"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xml:space="preserve">: Acción de Tutela – Niega los amparos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8134BD">
        <w:rPr>
          <w:rFonts w:ascii="Arial" w:hAnsi="Arial" w:cs="Arial"/>
          <w:sz w:val="22"/>
        </w:rPr>
        <w:t xml:space="preserve">Tercero </w:t>
      </w:r>
      <w:r w:rsidR="008134BD">
        <w:rPr>
          <w:rFonts w:ascii="Arial" w:hAnsi="Arial" w:cs="Arial"/>
          <w:sz w:val="22"/>
          <w:lang w:val="es-CO"/>
        </w:rPr>
        <w:t xml:space="preserve">Civil del Circuito de Pereira y otras </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w:t>
      </w:r>
      <w:r w:rsidR="008134BD">
        <w:rPr>
          <w:rFonts w:ascii="Arial" w:hAnsi="Arial" w:cs="Arial"/>
          <w:sz w:val="22"/>
          <w:szCs w:val="22"/>
        </w:rPr>
        <w:t xml:space="preserve">, </w:t>
      </w:r>
      <w:r w:rsidRPr="00A00766">
        <w:rPr>
          <w:rFonts w:ascii="Arial" w:hAnsi="Arial" w:cs="Arial"/>
          <w:sz w:val="22"/>
          <w:szCs w:val="22"/>
        </w:rPr>
        <w:t xml:space="preserve">Regional </w:t>
      </w:r>
      <w:r w:rsidR="008134BD">
        <w:rPr>
          <w:rFonts w:ascii="Arial" w:hAnsi="Arial" w:cs="Arial"/>
          <w:sz w:val="22"/>
          <w:szCs w:val="22"/>
        </w:rPr>
        <w:t xml:space="preserve">Cundinamarca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8134BD">
        <w:rPr>
          <w:rFonts w:ascii="Arial" w:hAnsi="Arial" w:cs="Arial"/>
          <w:sz w:val="22"/>
        </w:rPr>
        <w:t>2017-00336-00 y 2017-00339-00</w:t>
      </w:r>
    </w:p>
    <w:p w:rsidR="0099045D" w:rsidRPr="002060F5" w:rsidRDefault="00970930" w:rsidP="00AB25E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sidRPr="002060F5">
        <w:rPr>
          <w:rFonts w:ascii="Arial" w:hAnsi="Arial" w:cs="Arial"/>
          <w:sz w:val="22"/>
          <w:szCs w:val="22"/>
        </w:rPr>
        <w:tab/>
      </w:r>
      <w:r w:rsidR="008E5334">
        <w:rPr>
          <w:rFonts w:ascii="Arial" w:hAnsi="Arial"/>
          <w:sz w:val="22"/>
          <w:szCs w:val="22"/>
        </w:rPr>
        <w:tab/>
      </w:r>
      <w:r w:rsidR="008E5334">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F7F0A">
        <w:rPr>
          <w:rFonts w:ascii="Arial" w:hAnsi="Arial"/>
          <w:sz w:val="22"/>
          <w:szCs w:val="22"/>
        </w:rPr>
        <w:t>211 de 26-04-2017</w:t>
      </w:r>
    </w:p>
    <w:p w:rsidR="00AB25E8" w:rsidRDefault="00AB25E8" w:rsidP="00D70A1B">
      <w:pPr>
        <w:spacing w:line="360" w:lineRule="auto"/>
        <w:ind w:left="708" w:firstLine="708"/>
        <w:rPr>
          <w:rFonts w:ascii="Arial" w:hAnsi="Arial"/>
          <w:sz w:val="22"/>
          <w:szCs w:val="22"/>
        </w:rPr>
      </w:pPr>
    </w:p>
    <w:p w:rsidR="00AB25E8" w:rsidRPr="00AB25E8" w:rsidRDefault="00AB25E8" w:rsidP="00AB25E8">
      <w:pPr>
        <w:tabs>
          <w:tab w:val="left" w:pos="851"/>
        </w:tabs>
        <w:ind w:left="1416" w:hanging="1416"/>
        <w:jc w:val="both"/>
        <w:rPr>
          <w:rFonts w:ascii="Arial" w:eastAsia="Arial" w:hAnsi="Arial" w:cs="Arial"/>
          <w:b/>
          <w:sz w:val="22"/>
          <w:szCs w:val="22"/>
        </w:rPr>
      </w:pPr>
      <w:r w:rsidRPr="00AB25E8">
        <w:rPr>
          <w:rFonts w:ascii="Arial" w:hAnsi="Arial" w:cs="Arial"/>
          <w:b/>
          <w:sz w:val="22"/>
          <w:szCs w:val="22"/>
        </w:rPr>
        <w:tab/>
      </w:r>
      <w:r w:rsidRPr="00AB25E8">
        <w:rPr>
          <w:rFonts w:ascii="Arial" w:hAnsi="Arial" w:cs="Arial"/>
          <w:b/>
          <w:sz w:val="22"/>
          <w:szCs w:val="22"/>
        </w:rPr>
        <w:tab/>
        <w:t>TEMAS</w:t>
      </w:r>
      <w:r w:rsidRPr="00AB25E8">
        <w:rPr>
          <w:rFonts w:ascii="Arial" w:hAnsi="Arial" w:cs="Arial"/>
          <w:b/>
          <w:sz w:val="22"/>
          <w:szCs w:val="22"/>
        </w:rPr>
        <w:tab/>
      </w:r>
      <w:r w:rsidRPr="00AB25E8">
        <w:rPr>
          <w:rFonts w:ascii="Arial" w:hAnsi="Arial" w:cs="Arial"/>
          <w:b/>
          <w:sz w:val="22"/>
          <w:szCs w:val="22"/>
        </w:rPr>
        <w:tab/>
        <w:t xml:space="preserve">: </w:t>
      </w:r>
      <w:r w:rsidRPr="00AB25E8">
        <w:rPr>
          <w:rFonts w:ascii="Arial" w:hAnsi="Arial" w:cs="Arial"/>
          <w:b/>
          <w:sz w:val="21"/>
          <w:szCs w:val="21"/>
        </w:rPr>
        <w:t xml:space="preserve">MORA JUDICIAL – INEXISTENCIA DE VULNERACIÓN - </w:t>
      </w:r>
      <w:r w:rsidRPr="00AB25E8">
        <w:rPr>
          <w:rFonts w:ascii="Arial" w:eastAsia="Arial" w:hAnsi="Arial" w:cs="Arial"/>
          <w:b/>
          <w:sz w:val="22"/>
          <w:szCs w:val="22"/>
        </w:rPr>
        <w:t>COSA JUZGADA CONSTITUCIONAL – TEMERIDAD</w:t>
      </w:r>
      <w:r>
        <w:rPr>
          <w:rFonts w:ascii="Arial" w:eastAsia="Arial" w:hAnsi="Arial" w:cs="Arial"/>
          <w:b/>
          <w:sz w:val="22"/>
          <w:szCs w:val="22"/>
        </w:rPr>
        <w:t xml:space="preserve">. </w:t>
      </w:r>
      <w:r w:rsidRPr="00AB25E8">
        <w:rPr>
          <w:rFonts w:ascii="Arial" w:eastAsia="Arial" w:hAnsi="Arial" w:cs="Arial"/>
          <w:sz w:val="22"/>
          <w:szCs w:val="22"/>
        </w:rPr>
        <w:t>“</w:t>
      </w:r>
      <w:r w:rsidRPr="00AB25E8">
        <w:rPr>
          <w:rFonts w:ascii="Arial" w:eastAsia="Arial" w:hAnsi="Arial" w:cs="Arial"/>
          <w:sz w:val="22"/>
          <w:szCs w:val="22"/>
          <w:lang w:val="es-ES_tradnl"/>
        </w:rPr>
        <w:t>[E]</w:t>
      </w:r>
      <w:proofErr w:type="spellStart"/>
      <w:r w:rsidRPr="00AB25E8">
        <w:rPr>
          <w:rFonts w:ascii="Arial" w:eastAsia="Arial" w:hAnsi="Arial" w:cs="Arial"/>
          <w:sz w:val="22"/>
          <w:szCs w:val="22"/>
          <w:lang w:val="es-ES_tradnl"/>
        </w:rPr>
        <w:t>xisten</w:t>
      </w:r>
      <w:proofErr w:type="spellEnd"/>
      <w:r w:rsidRPr="00AB25E8">
        <w:rPr>
          <w:rFonts w:ascii="Arial" w:eastAsia="Arial" w:hAnsi="Arial" w:cs="Arial"/>
          <w:sz w:val="22"/>
          <w:szCs w:val="22"/>
          <w:lang w:val="es-ES_tradnl"/>
        </w:rPr>
        <w:t xml:space="preserve"> varias decisiones de esta Corporación en las que se analizaron petitorios iguales, entre ellas las radicadas 2016-00526-00, 2016-00554-00 y 2016-00750-00 con sentencias de primera instancia de los días 11-05-2016, 30-06-2016 y 11-08-2016, todas confirmadas por la CSJ</w:t>
      </w:r>
      <w:r w:rsidRPr="00AB25E8">
        <w:rPr>
          <w:rFonts w:ascii="Arial" w:eastAsia="Arial" w:hAnsi="Arial" w:cs="Arial"/>
          <w:sz w:val="22"/>
          <w:szCs w:val="22"/>
        </w:rPr>
        <w:t xml:space="preserve">, inclusive, la Sala de Casación Civil de la CSJ, en tutela presentada contra esta Sala, resolvió un tema idéntico, decisión confirmada en segunda instancia por la Sala de Casación Laboral. Asuntos que fueron conocidos por </w:t>
      </w:r>
      <w:r w:rsidRPr="00AB25E8">
        <w:rPr>
          <w:rFonts w:ascii="Arial" w:eastAsia="Arial" w:hAnsi="Arial" w:cs="Arial"/>
          <w:sz w:val="22"/>
          <w:szCs w:val="22"/>
          <w:lang w:val="es-CO"/>
        </w:rPr>
        <w:t xml:space="preserve">este Tribunal y </w:t>
      </w:r>
      <w:r w:rsidRPr="00AB25E8">
        <w:rPr>
          <w:rFonts w:ascii="Arial" w:eastAsia="Arial" w:hAnsi="Arial" w:cs="Arial"/>
          <w:sz w:val="22"/>
          <w:szCs w:val="22"/>
        </w:rPr>
        <w:t>son de público conocimiento. En consecuencia, es claro que el presente amparo es improcedente por el acaecimiento del fenómeno de la cosa juzgada constitucional, y así se declarará. 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r w:rsidRPr="00AB25E8">
        <w:rPr>
          <w:rFonts w:ascii="Arial" w:eastAsia="Arial" w:hAnsi="Arial" w:cs="Arial"/>
          <w:b/>
          <w:sz w:val="22"/>
          <w:szCs w:val="22"/>
        </w:rPr>
        <w:t xml:space="preserve">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1F7F0A">
        <w:rPr>
          <w:rFonts w:ascii="Arial" w:hAnsi="Arial" w:cs="Arial"/>
          <w:iCs/>
          <w:smallCaps/>
          <w:sz w:val="28"/>
          <w:szCs w:val="28"/>
          <w:lang w:val="es-CO"/>
        </w:rPr>
        <w:t xml:space="preserve">veintiséis </w:t>
      </w:r>
      <w:r w:rsidR="00437198" w:rsidRPr="00303E85">
        <w:rPr>
          <w:rFonts w:ascii="Arial" w:hAnsi="Arial" w:cs="Arial"/>
          <w:iCs/>
          <w:smallCaps/>
          <w:sz w:val="28"/>
          <w:szCs w:val="28"/>
          <w:lang w:val="es-CO"/>
        </w:rPr>
        <w:t>(</w:t>
      </w:r>
      <w:r w:rsidR="001F7F0A">
        <w:rPr>
          <w:rFonts w:ascii="Arial" w:hAnsi="Arial" w:cs="Arial"/>
          <w:iCs/>
          <w:smallCaps/>
          <w:sz w:val="28"/>
          <w:szCs w:val="28"/>
          <w:lang w:val="es-CO"/>
        </w:rPr>
        <w:t>26</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8134BD">
        <w:rPr>
          <w:rFonts w:ascii="Arial" w:hAnsi="Arial" w:cs="Arial"/>
          <w:iCs/>
          <w:smallCaps/>
          <w:sz w:val="28"/>
          <w:szCs w:val="28"/>
          <w:lang w:val="es-CO"/>
        </w:rPr>
        <w:t xml:space="preserve">abril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w:t>
      </w:r>
      <w:r w:rsidR="008907D4">
        <w:rPr>
          <w:rFonts w:ascii="Arial" w:hAnsi="Arial" w:cs="Arial"/>
        </w:rPr>
        <w:t>la</w:t>
      </w:r>
      <w:r w:rsidR="00480426">
        <w:rPr>
          <w:rFonts w:ascii="Arial" w:hAnsi="Arial" w:cs="Arial"/>
        </w:rPr>
        <w:t>s</w:t>
      </w:r>
      <w:r w:rsidR="008907D4">
        <w:rPr>
          <w:rFonts w:ascii="Arial" w:hAnsi="Arial" w:cs="Arial"/>
        </w:rPr>
        <w:t xml:space="preserve"> </w:t>
      </w:r>
      <w:r w:rsidR="00480426">
        <w:rPr>
          <w:rFonts w:ascii="Arial" w:hAnsi="Arial" w:cs="Arial"/>
        </w:rPr>
        <w:t xml:space="preserve">acciones </w:t>
      </w:r>
      <w:r w:rsidR="008907D4">
        <w:rPr>
          <w:rFonts w:ascii="Arial" w:hAnsi="Arial" w:cs="Arial"/>
        </w:rPr>
        <w:t>popular</w:t>
      </w:r>
      <w:r w:rsidR="00480426">
        <w:rPr>
          <w:rFonts w:ascii="Arial" w:hAnsi="Arial" w:cs="Arial"/>
        </w:rPr>
        <w:t>es</w:t>
      </w:r>
      <w:r w:rsidR="008907D4">
        <w:rPr>
          <w:rFonts w:ascii="Arial" w:hAnsi="Arial" w:cs="Arial"/>
        </w:rPr>
        <w:t xml:space="preserve"> radicada</w:t>
      </w:r>
      <w:r w:rsidR="00480426">
        <w:rPr>
          <w:rFonts w:ascii="Arial" w:hAnsi="Arial" w:cs="Arial"/>
        </w:rPr>
        <w:t>s</w:t>
      </w:r>
      <w:r w:rsidR="008907D4">
        <w:rPr>
          <w:rFonts w:ascii="Arial" w:hAnsi="Arial" w:cs="Arial"/>
        </w:rPr>
        <w:t xml:space="preserve"> </w:t>
      </w:r>
      <w:r w:rsidR="00480426">
        <w:rPr>
          <w:rFonts w:ascii="Arial" w:hAnsi="Arial" w:cs="Arial"/>
        </w:rPr>
        <w:t xml:space="preserve">a los </w:t>
      </w:r>
      <w:r w:rsidR="008907D4">
        <w:rPr>
          <w:rFonts w:ascii="Arial" w:hAnsi="Arial" w:cs="Arial"/>
        </w:rPr>
        <w:t>No</w:t>
      </w:r>
      <w:r w:rsidR="00480426">
        <w:rPr>
          <w:rFonts w:ascii="Arial" w:hAnsi="Arial" w:cs="Arial"/>
        </w:rPr>
        <w:t>s</w:t>
      </w:r>
      <w:r>
        <w:rPr>
          <w:rFonts w:ascii="Arial" w:hAnsi="Arial" w:cs="Arial"/>
        </w:rPr>
        <w:t>.</w:t>
      </w:r>
      <w:r w:rsidR="008134BD">
        <w:rPr>
          <w:rFonts w:ascii="Arial" w:hAnsi="Arial" w:cs="Arial"/>
        </w:rPr>
        <w:t>2015-01172-00 y 2015-01202-00</w:t>
      </w:r>
      <w:r>
        <w:rPr>
          <w:rFonts w:ascii="Arial" w:hAnsi="Arial" w:cs="Arial"/>
        </w:rPr>
        <w:t xml:space="preserve">, </w:t>
      </w:r>
      <w:r w:rsidR="008907D4">
        <w:rPr>
          <w:rFonts w:ascii="Arial" w:hAnsi="Arial" w:cs="Arial"/>
        </w:rPr>
        <w:t>en la</w:t>
      </w:r>
      <w:r w:rsidR="00480426">
        <w:rPr>
          <w:rFonts w:ascii="Arial" w:hAnsi="Arial" w:cs="Arial"/>
        </w:rPr>
        <w:t>s</w:t>
      </w:r>
      <w:r w:rsidR="007229B8">
        <w:rPr>
          <w:rFonts w:ascii="Arial" w:hAnsi="Arial" w:cs="Arial"/>
        </w:rPr>
        <w:t xml:space="preserve"> que </w:t>
      </w:r>
      <w:r w:rsidR="00D669DC">
        <w:rPr>
          <w:rFonts w:ascii="Arial" w:hAnsi="Arial" w:cs="Arial"/>
          <w:lang w:val="es-CO"/>
        </w:rPr>
        <w:t xml:space="preserve">no se ha dado el respectivo impulso oficioso y se han inaplicado los artículos </w:t>
      </w:r>
      <w:r w:rsidR="009F507B">
        <w:rPr>
          <w:rFonts w:ascii="Arial" w:hAnsi="Arial" w:cs="Arial"/>
        </w:rPr>
        <w:t>5</w:t>
      </w:r>
      <w:r w:rsidR="00AA1C66">
        <w:rPr>
          <w:rFonts w:ascii="Arial" w:hAnsi="Arial" w:cs="Arial"/>
        </w:rPr>
        <w:t>º</w:t>
      </w:r>
      <w:r w:rsidR="009F507B">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B1EB8" w:rsidRPr="00AF753A">
        <w:rPr>
          <w:rFonts w:ascii="Arial" w:hAnsi="Arial" w:cs="Arial"/>
        </w:rPr>
        <w:t>(Folio</w:t>
      </w:r>
      <w:r w:rsidR="00D224FB">
        <w:rPr>
          <w:rFonts w:ascii="Arial" w:hAnsi="Arial" w:cs="Arial"/>
        </w:rPr>
        <w:t>s</w:t>
      </w:r>
      <w:r w:rsidR="004B1EB8">
        <w:rPr>
          <w:rFonts w:ascii="Arial" w:hAnsi="Arial" w:cs="Arial"/>
        </w:rPr>
        <w:t xml:space="preserve"> 1</w:t>
      </w:r>
      <w:r w:rsidR="008134BD">
        <w:rPr>
          <w:rFonts w:ascii="Arial" w:hAnsi="Arial" w:cs="Arial"/>
        </w:rPr>
        <w:t xml:space="preserve"> y 3</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99045D" w:rsidRPr="00F9418E" w:rsidRDefault="008134BD" w:rsidP="0099045D">
      <w:pPr>
        <w:pStyle w:val="Corpsdetexte"/>
        <w:numPr>
          <w:ilvl w:val="0"/>
          <w:numId w:val="1"/>
        </w:numPr>
        <w:spacing w:line="360" w:lineRule="auto"/>
        <w:rPr>
          <w:rFonts w:ascii="Arial" w:hAnsi="Arial"/>
          <w:szCs w:val="24"/>
        </w:rPr>
      </w:pPr>
      <w:r>
        <w:rPr>
          <w:rFonts w:ascii="Arial" w:hAnsi="Arial"/>
          <w:szCs w:val="24"/>
        </w:rPr>
        <w:lastRenderedPageBreak/>
        <w:t xml:space="preserve">EL </w:t>
      </w:r>
      <w:r w:rsidR="0099045D" w:rsidRPr="00F9418E">
        <w:rPr>
          <w:rFonts w:ascii="Arial" w:hAnsi="Arial"/>
          <w:szCs w:val="24"/>
        </w:rPr>
        <w:t xml:space="preserve">DERECHO </w:t>
      </w:r>
      <w:r>
        <w:rPr>
          <w:rFonts w:ascii="Arial" w:hAnsi="Arial"/>
          <w:szCs w:val="24"/>
        </w:rPr>
        <w:t>INVOCADO</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w:t>
      </w:r>
      <w:r w:rsidR="008134BD">
        <w:rPr>
          <w:rFonts w:ascii="Arial" w:hAnsi="Arial" w:cs="Arial"/>
          <w:spacing w:val="-3"/>
          <w:lang w:val="es-ES_tradnl"/>
        </w:rPr>
        <w:t xml:space="preserve">tor considera que se le vulnera el debido proceso </w:t>
      </w:r>
      <w:r w:rsidR="008907D4">
        <w:rPr>
          <w:rFonts w:ascii="Arial" w:hAnsi="Arial" w:cs="Arial"/>
          <w:spacing w:val="-3"/>
          <w:lang w:val="es-ES_tradnl"/>
        </w:rPr>
        <w:t>(Folio</w:t>
      </w:r>
      <w:r w:rsidR="0069231C">
        <w:rPr>
          <w:rFonts w:ascii="Arial" w:hAnsi="Arial" w:cs="Arial"/>
          <w:spacing w:val="-3"/>
          <w:lang w:val="es-ES_tradnl"/>
        </w:rPr>
        <w:t xml:space="preserve">s </w:t>
      </w:r>
      <w:r w:rsidR="008134BD">
        <w:rPr>
          <w:rFonts w:ascii="Arial" w:hAnsi="Arial" w:cs="Arial"/>
          <w:spacing w:val="-3"/>
          <w:lang w:val="es-ES_tradnl"/>
        </w:rPr>
        <w:t>1 y 3</w:t>
      </w:r>
      <w:r w:rsidR="009F507B">
        <w:rPr>
          <w:rFonts w:ascii="Arial" w:hAnsi="Arial" w:cs="Arial"/>
          <w:spacing w:val="-3"/>
          <w:lang w:val="es-ES_tradnl"/>
        </w:rPr>
        <w:t>, este cuaderno)</w:t>
      </w:r>
      <w:r w:rsidR="00D669DC">
        <w:rPr>
          <w:rFonts w:ascii="Arial" w:hAnsi="Arial" w:cs="Arial"/>
          <w:spacing w:val="-3"/>
          <w:lang w:val="es-ES_tradnl"/>
        </w:rPr>
        <w:t>.</w:t>
      </w:r>
    </w:p>
    <w:p w:rsidR="003F6C16"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7A0967" w:rsidRDefault="004B1EB8" w:rsidP="007A0967">
      <w:pPr>
        <w:spacing w:line="360" w:lineRule="auto"/>
        <w:jc w:val="both"/>
        <w:rPr>
          <w:rFonts w:ascii="Arial" w:hAnsi="Arial" w:cs="Arial"/>
        </w:rPr>
      </w:pPr>
      <w:r>
        <w:rPr>
          <w:rFonts w:ascii="Arial" w:hAnsi="Arial" w:cs="Arial"/>
        </w:rPr>
        <w:t>Se pretende que</w:t>
      </w:r>
      <w:r w:rsidR="008134BD">
        <w:rPr>
          <w:rFonts w:ascii="Arial" w:hAnsi="Arial" w:cs="Arial"/>
        </w:rPr>
        <w:t>: (i) S</w:t>
      </w:r>
      <w:r w:rsidR="00D669DC">
        <w:rPr>
          <w:rFonts w:ascii="Arial" w:hAnsi="Arial" w:cs="Arial"/>
        </w:rPr>
        <w:t xml:space="preserve">e ordene </w:t>
      </w:r>
      <w:r w:rsidR="008134BD">
        <w:rPr>
          <w:rFonts w:ascii="Arial" w:hAnsi="Arial" w:cs="Arial"/>
        </w:rPr>
        <w:t xml:space="preserve">al juzgado accionado aceptar el desistimiento que hizo de las acciones populares; (ii) Se expidan copias con destino al CSJ para que se </w:t>
      </w:r>
      <w:r w:rsidR="007A0967">
        <w:rPr>
          <w:rFonts w:ascii="Arial" w:hAnsi="Arial" w:cs="Arial"/>
        </w:rPr>
        <w:t xml:space="preserve">entere sobre la </w:t>
      </w:r>
      <w:r w:rsidR="007A0967" w:rsidRPr="007A0967">
        <w:rPr>
          <w:rFonts w:ascii="Arial" w:hAnsi="Arial" w:cs="Arial"/>
          <w:i/>
        </w:rPr>
        <w:t>“renuncia”</w:t>
      </w:r>
      <w:r w:rsidR="007A0967">
        <w:rPr>
          <w:rFonts w:ascii="Arial" w:hAnsi="Arial" w:cs="Arial"/>
        </w:rPr>
        <w:t xml:space="preserve"> de las acciones y obre conforme sus competencias; y, (iii) Se disponga que la Defensoría del Pueblo, Regional Caldas y el Procurador delegado en las acciones populares demuestren las gestiones que han realizado para proteger las garantías procesales del accionante </w:t>
      </w:r>
      <w:r w:rsidR="007A0967" w:rsidRPr="00AF753A">
        <w:rPr>
          <w:rFonts w:ascii="Arial" w:hAnsi="Arial" w:cs="Arial"/>
        </w:rPr>
        <w:t>(Folio</w:t>
      </w:r>
      <w:r w:rsidR="007A0967">
        <w:rPr>
          <w:rFonts w:ascii="Arial" w:hAnsi="Arial" w:cs="Arial"/>
        </w:rPr>
        <w:t>s 1 y 3, este cuaderno)</w:t>
      </w:r>
      <w:r w:rsidR="007A0967" w:rsidRPr="00AF753A">
        <w:rPr>
          <w:rFonts w:ascii="Arial" w:hAnsi="Arial" w:cs="Arial"/>
        </w:rPr>
        <w:t xml:space="preserve">. </w:t>
      </w:r>
    </w:p>
    <w:p w:rsidR="00CE71D8" w:rsidRPr="00C95109" w:rsidRDefault="00CE71D8" w:rsidP="000145EA">
      <w:pPr>
        <w:pStyle w:val="Sansinterligne"/>
        <w:spacing w:line="360" w:lineRule="auto"/>
        <w:jc w:val="both"/>
        <w:rPr>
          <w:rFonts w:ascii="Arial" w:hAnsi="Arial" w:cs="Arial"/>
          <w:sz w:val="20"/>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Corpsdetex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7A0967">
        <w:rPr>
          <w:rFonts w:ascii="Arial" w:hAnsi="Arial"/>
        </w:rPr>
        <w:t xml:space="preserve">05-04-2017 </w:t>
      </w:r>
      <w:r w:rsidR="00480426">
        <w:rPr>
          <w:rFonts w:ascii="Arial" w:hAnsi="Arial"/>
        </w:rPr>
        <w:t xml:space="preserve">se 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7A0967">
        <w:rPr>
          <w:rFonts w:ascii="Arial" w:hAnsi="Arial" w:cs="Arial"/>
          <w:color w:val="000000"/>
        </w:rPr>
        <w:t>07-04-2017</w:t>
      </w:r>
      <w:r w:rsidR="0069231C">
        <w:rPr>
          <w:rFonts w:ascii="Arial" w:hAnsi="Arial" w:cs="Arial"/>
          <w:color w:val="000000"/>
        </w:rPr>
        <w:t xml:space="preserve">, </w:t>
      </w:r>
      <w:r w:rsidR="007A0967">
        <w:rPr>
          <w:rFonts w:ascii="Arial" w:hAnsi="Arial" w:cs="Arial"/>
          <w:color w:val="000000"/>
        </w:rPr>
        <w:t xml:space="preserve">se acumularon y </w:t>
      </w:r>
      <w:r w:rsidR="0069231C">
        <w:rPr>
          <w:rFonts w:ascii="Arial" w:hAnsi="Arial" w:cs="Arial"/>
          <w:color w:val="000000"/>
        </w:rPr>
        <w:t>admitieron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7A0967">
        <w:rPr>
          <w:rFonts w:ascii="Arial" w:hAnsi="Arial"/>
        </w:rPr>
        <w:t>6 y 7</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7A0967">
        <w:rPr>
          <w:rFonts w:ascii="Arial" w:hAnsi="Arial" w:cs="Arial"/>
          <w:color w:val="000000"/>
        </w:rPr>
        <w:t>8 a 12</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7A0967">
        <w:rPr>
          <w:rFonts w:ascii="Arial" w:hAnsi="Arial" w:cs="Arial"/>
          <w:color w:val="000000"/>
        </w:rPr>
        <w:t>la Alcaldía de Girardot, C. (Folios 13 y 14, ibídem)</w:t>
      </w:r>
      <w:r w:rsidR="00544B0D">
        <w:rPr>
          <w:rFonts w:ascii="Arial" w:hAnsi="Arial" w:cs="Arial"/>
          <w:color w:val="000000"/>
        </w:rPr>
        <w:t xml:space="preserve"> y</w:t>
      </w:r>
      <w:r w:rsidR="007A0967">
        <w:rPr>
          <w:rFonts w:ascii="Arial" w:hAnsi="Arial" w:cs="Arial"/>
          <w:color w:val="000000"/>
        </w:rPr>
        <w:t xml:space="preserve"> </w:t>
      </w:r>
      <w:r w:rsidR="00544B0D">
        <w:rPr>
          <w:rFonts w:ascii="Arial" w:hAnsi="Arial" w:cs="Arial"/>
          <w:color w:val="000000"/>
        </w:rPr>
        <w:t>la Defensoría del Pueblo, Regional Caldas</w:t>
      </w:r>
      <w:r w:rsidR="007A0967">
        <w:rPr>
          <w:rFonts w:ascii="Arial" w:hAnsi="Arial" w:cs="Arial"/>
          <w:color w:val="000000"/>
        </w:rPr>
        <w:t xml:space="preserve"> </w:t>
      </w:r>
      <w:r w:rsidR="00544B0D">
        <w:rPr>
          <w:rFonts w:ascii="Arial" w:hAnsi="Arial" w:cs="Arial"/>
          <w:color w:val="000000"/>
        </w:rPr>
        <w:t>(Folios 23  a 41. Ib.). El Juzgado accionado arrimó la documentación requerida (Folio 21, ib.).</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Corpsdetexte"/>
        <w:spacing w:line="360" w:lineRule="auto"/>
        <w:rPr>
          <w:rFonts w:ascii="Arial" w:hAnsi="Arial"/>
          <w:szCs w:val="24"/>
        </w:rPr>
      </w:pPr>
    </w:p>
    <w:p w:rsidR="00AE621B" w:rsidRPr="00930478" w:rsidRDefault="00544B0D" w:rsidP="00AE621B">
      <w:pPr>
        <w:spacing w:line="360" w:lineRule="auto"/>
        <w:jc w:val="both"/>
        <w:rPr>
          <w:rFonts w:ascii="Arial" w:hAnsi="Arial"/>
        </w:rPr>
      </w:pPr>
      <w:r>
        <w:rPr>
          <w:rFonts w:ascii="Arial" w:hAnsi="Arial" w:cs="Arial"/>
          <w:color w:val="000000"/>
        </w:rPr>
        <w:t xml:space="preserve">La Alcaldía de Girardot, C. refirió que carece de legitimación porque la presunta vulneración solo se </w:t>
      </w:r>
      <w:r w:rsidR="001842E5">
        <w:rPr>
          <w:rFonts w:ascii="Arial" w:hAnsi="Arial" w:cs="Arial"/>
          <w:color w:val="000000"/>
        </w:rPr>
        <w:t xml:space="preserve">le </w:t>
      </w:r>
      <w:r>
        <w:rPr>
          <w:rFonts w:ascii="Arial" w:hAnsi="Arial" w:cs="Arial"/>
          <w:color w:val="000000"/>
        </w:rPr>
        <w:t>imputa al Juzgado accionado</w:t>
      </w:r>
      <w:r w:rsidR="001842E5">
        <w:rPr>
          <w:rFonts w:ascii="Arial" w:hAnsi="Arial" w:cs="Arial"/>
          <w:color w:val="000000"/>
        </w:rPr>
        <w:t>;</w:t>
      </w:r>
      <w:r>
        <w:rPr>
          <w:rFonts w:ascii="Arial" w:hAnsi="Arial" w:cs="Arial"/>
          <w:color w:val="000000"/>
        </w:rPr>
        <w:t xml:space="preserve"> también, que el amparo es improcedente porque el actor no hizo uso de los recursos con que contaba </w:t>
      </w:r>
      <w:r w:rsidR="001842E5">
        <w:rPr>
          <w:rFonts w:ascii="Arial" w:hAnsi="Arial" w:cs="Arial"/>
          <w:color w:val="000000"/>
        </w:rPr>
        <w:t xml:space="preserve">en los trámites populares </w:t>
      </w:r>
      <w:r>
        <w:rPr>
          <w:rFonts w:ascii="Arial" w:hAnsi="Arial" w:cs="Arial"/>
          <w:color w:val="000000"/>
        </w:rPr>
        <w:t xml:space="preserve">para que </w:t>
      </w:r>
      <w:r w:rsidR="001842E5">
        <w:rPr>
          <w:rFonts w:ascii="Arial" w:hAnsi="Arial" w:cs="Arial"/>
          <w:color w:val="000000"/>
        </w:rPr>
        <w:t xml:space="preserve">se le resolvieran </w:t>
      </w:r>
      <w:r>
        <w:rPr>
          <w:rFonts w:ascii="Arial" w:hAnsi="Arial" w:cs="Arial"/>
          <w:color w:val="000000"/>
        </w:rPr>
        <w:t xml:space="preserve">las solicitudes de desistimiento tácito </w:t>
      </w:r>
      <w:r w:rsidR="00AE621B" w:rsidRPr="00930478">
        <w:rPr>
          <w:rFonts w:ascii="Arial" w:hAnsi="Arial"/>
        </w:rPr>
        <w:t xml:space="preserve">(Folios </w:t>
      </w:r>
      <w:r>
        <w:rPr>
          <w:rFonts w:ascii="Arial" w:hAnsi="Arial"/>
        </w:rPr>
        <w:t>13 y 14</w:t>
      </w:r>
      <w:r w:rsidR="00AE621B" w:rsidRPr="00930478">
        <w:rPr>
          <w:rFonts w:ascii="Arial" w:hAnsi="Arial"/>
        </w:rPr>
        <w:t>, ib.).</w:t>
      </w:r>
    </w:p>
    <w:p w:rsidR="00930478" w:rsidRPr="00930478" w:rsidRDefault="00930478" w:rsidP="00AE621B">
      <w:pPr>
        <w:spacing w:line="360" w:lineRule="auto"/>
        <w:jc w:val="both"/>
        <w:rPr>
          <w:rFonts w:ascii="Arial" w:hAnsi="Arial"/>
        </w:rPr>
      </w:pPr>
    </w:p>
    <w:p w:rsidR="001842E5" w:rsidRDefault="001842E5" w:rsidP="001842E5">
      <w:pPr>
        <w:spacing w:line="360" w:lineRule="auto"/>
        <w:jc w:val="both"/>
        <w:rPr>
          <w:rFonts w:ascii="Arial" w:hAnsi="Arial"/>
        </w:rPr>
      </w:pPr>
      <w:r>
        <w:rPr>
          <w:rFonts w:ascii="Arial" w:hAnsi="Arial"/>
        </w:rPr>
        <w:t>La Defensoría del Pueblo, Regional Caldas,  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en los últimos años ha promovido 470 tutelas por los mismos hechos ante distintos Tribunales del país, por consiguiente, solicitó declarar su improcedencia, sancionar al accionante y compulsar copias a la Fiscalía General de la Nación</w:t>
      </w:r>
      <w:r w:rsidRPr="00253A38">
        <w:rPr>
          <w:rFonts w:ascii="Arial" w:hAnsi="Arial"/>
        </w:rPr>
        <w:t xml:space="preserve"> </w:t>
      </w:r>
      <w:r>
        <w:rPr>
          <w:rFonts w:ascii="Arial" w:hAnsi="Arial"/>
        </w:rPr>
        <w:t>(</w:t>
      </w:r>
      <w:r>
        <w:rPr>
          <w:rFonts w:ascii="Arial" w:hAnsi="Arial" w:cs="Arial"/>
          <w:spacing w:val="3"/>
        </w:rPr>
        <w:t>Folios 23 a 41</w:t>
      </w:r>
      <w:r>
        <w:rPr>
          <w:rFonts w:ascii="Arial" w:hAnsi="Arial"/>
        </w:rPr>
        <w:t>, ib.).</w:t>
      </w: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6232EF" w:rsidRDefault="006232EF" w:rsidP="006232EF">
      <w:pPr>
        <w:pStyle w:val="Corpsdetexte"/>
        <w:spacing w:line="360" w:lineRule="auto"/>
        <w:ind w:left="400"/>
        <w:rPr>
          <w:rFonts w:ascii="Arial" w:hAnsi="Arial"/>
          <w:szCs w:val="24"/>
        </w:rPr>
      </w:pPr>
    </w:p>
    <w:p w:rsidR="00CF429F" w:rsidRPr="001842E5" w:rsidRDefault="00CF429F" w:rsidP="001842E5">
      <w:pPr>
        <w:pStyle w:val="Corpsdetex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Este Tribunal es competente para conocer la</w:t>
      </w:r>
      <w:r w:rsidR="00A15670" w:rsidRPr="001842E5">
        <w:rPr>
          <w:rFonts w:ascii="Arial" w:hAnsi="Arial" w:cs="Arial"/>
          <w:szCs w:val="24"/>
        </w:rPr>
        <w:t>s</w:t>
      </w:r>
      <w:r w:rsidR="005427D5" w:rsidRPr="001842E5">
        <w:rPr>
          <w:rFonts w:ascii="Arial" w:hAnsi="Arial" w:cs="Arial"/>
          <w:szCs w:val="24"/>
        </w:rPr>
        <w:t xml:space="preserve"> </w:t>
      </w:r>
      <w:r w:rsidR="00A15670" w:rsidRPr="001842E5">
        <w:rPr>
          <w:rFonts w:ascii="Arial" w:hAnsi="Arial" w:cs="Arial"/>
          <w:szCs w:val="24"/>
        </w:rPr>
        <w:t xml:space="preserve">acciones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424EC5" w:rsidRDefault="00730CA7" w:rsidP="00CF429F">
      <w:pPr>
        <w:pStyle w:val="Retraitcorpsdetexte2"/>
        <w:spacing w:after="0" w:line="360" w:lineRule="auto"/>
        <w:ind w:left="0"/>
        <w:jc w:val="both"/>
        <w:rPr>
          <w:rFonts w:ascii="Arial" w:hAnsi="Arial" w:cs="Arial"/>
          <w:szCs w:val="24"/>
        </w:rPr>
      </w:pPr>
    </w:p>
    <w:p w:rsidR="005427D5" w:rsidRDefault="00CF429F" w:rsidP="004D182D">
      <w:pPr>
        <w:pStyle w:val="Corpsdetex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1842E5">
        <w:rPr>
          <w:rFonts w:ascii="Arial" w:hAnsi="Arial" w:cs="Arial"/>
        </w:rPr>
        <w:t xml:space="preserve">Tercero Civil del Circuito de Pereira, La Defensoría del Pueblo, Regional Caldas y la Procuraduría General de la Nación, Regionales de Cundinamarca y </w:t>
      </w:r>
      <w:r w:rsidR="00D41D77">
        <w:rPr>
          <w:rFonts w:ascii="Arial" w:hAnsi="Arial" w:cs="Arial"/>
        </w:rPr>
        <w:t>Cesar</w:t>
      </w:r>
      <w:r w:rsidR="00D27E97" w:rsidRPr="001842E5">
        <w:rPr>
          <w:rFonts w:ascii="Arial" w:hAnsi="Arial" w:cs="Arial"/>
        </w:rPr>
        <w:t xml:space="preserve">, </w:t>
      </w:r>
      <w:r w:rsidR="005427D5" w:rsidRPr="001842E5">
        <w:rPr>
          <w:rFonts w:ascii="Arial" w:hAnsi="Arial" w:cs="Arial"/>
        </w:rPr>
        <w:t>ha</w:t>
      </w:r>
      <w:r w:rsidR="001842E5">
        <w:rPr>
          <w:rFonts w:ascii="Arial" w:hAnsi="Arial" w:cs="Arial"/>
        </w:rPr>
        <w:t>n</w:t>
      </w:r>
      <w:r w:rsidR="005427D5" w:rsidRPr="001842E5">
        <w:rPr>
          <w:rFonts w:ascii="Arial" w:hAnsi="Arial" w:cs="Arial"/>
        </w:rPr>
        <w:t xml:space="preserve">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1842E5" w:rsidRDefault="001F7F0A" w:rsidP="001F7F0A">
      <w:pPr>
        <w:pStyle w:val="Corpsdetexte"/>
        <w:spacing w:line="360" w:lineRule="auto"/>
        <w:rPr>
          <w:rFonts w:ascii="Arial" w:hAnsi="Arial" w:cs="Arial"/>
        </w:rPr>
      </w:pPr>
    </w:p>
    <w:p w:rsidR="006232EF" w:rsidRPr="002E5AEF" w:rsidRDefault="006232EF" w:rsidP="001842E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885A62" w:rsidRPr="001842E5" w:rsidRDefault="00885A62" w:rsidP="001842E5">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1842E5">
        <w:rPr>
          <w:rFonts w:ascii="Arial" w:hAnsi="Arial"/>
          <w:smallCaps/>
          <w:szCs w:val="24"/>
        </w:rPr>
        <w:t>La legitimación en la causa</w:t>
      </w:r>
    </w:p>
    <w:p w:rsidR="001842E5" w:rsidRDefault="001842E5" w:rsidP="001842E5">
      <w:pPr>
        <w:pStyle w:val="Textopredeterminado"/>
        <w:spacing w:line="360" w:lineRule="auto"/>
        <w:jc w:val="both"/>
        <w:rPr>
          <w:rFonts w:ascii="Arial" w:hAnsi="Arial"/>
          <w:color w:val="auto"/>
          <w:spacing w:val="-3"/>
          <w:szCs w:val="24"/>
          <w:lang w:val="es-ES_tradnl"/>
        </w:rPr>
      </w:pPr>
    </w:p>
    <w:p w:rsidR="001842E5" w:rsidRPr="00FC2001" w:rsidRDefault="00885A62" w:rsidP="001842E5">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w:t>
      </w:r>
      <w:r w:rsidR="005C50E4">
        <w:rPr>
          <w:rFonts w:ascii="Arial" w:hAnsi="Arial" w:cs="Arial"/>
          <w:szCs w:val="24"/>
        </w:rPr>
        <w:t xml:space="preserve">el accionante </w:t>
      </w:r>
      <w:r w:rsidR="001842E5">
        <w:rPr>
          <w:rFonts w:ascii="Arial" w:hAnsi="Arial" w:cs="Arial"/>
          <w:szCs w:val="24"/>
        </w:rPr>
        <w:t xml:space="preserve">promovió las acciones populares en las que se </w:t>
      </w:r>
      <w:r>
        <w:rPr>
          <w:rFonts w:ascii="Arial" w:hAnsi="Arial" w:cs="Arial"/>
          <w:szCs w:val="24"/>
        </w:rPr>
        <w:t>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1842E5">
        <w:rPr>
          <w:rFonts w:ascii="Arial" w:hAnsi="Arial" w:cs="Arial"/>
          <w:szCs w:val="24"/>
        </w:rPr>
        <w:t>Tercero Civil del Circuito de Pereira</w:t>
      </w:r>
      <w:r>
        <w:rPr>
          <w:rFonts w:ascii="Arial" w:hAnsi="Arial" w:cs="Arial"/>
          <w:szCs w:val="24"/>
        </w:rPr>
        <w:t>,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l</w:t>
      </w:r>
      <w:r w:rsidR="006A1CF2">
        <w:rPr>
          <w:rFonts w:ascii="Arial" w:hAnsi="Arial" w:cs="Arial"/>
          <w:szCs w:val="24"/>
        </w:rPr>
        <w:t>os</w:t>
      </w:r>
      <w:r w:rsidR="004E1BFB">
        <w:rPr>
          <w:rFonts w:ascii="Arial" w:hAnsi="Arial" w:cs="Arial"/>
          <w:szCs w:val="24"/>
        </w:rPr>
        <w:t xml:space="preserve"> juicio</w:t>
      </w:r>
      <w:r w:rsidR="006A1CF2">
        <w:rPr>
          <w:rFonts w:ascii="Arial" w:hAnsi="Arial" w:cs="Arial"/>
          <w:szCs w:val="24"/>
        </w:rPr>
        <w:t>s</w:t>
      </w:r>
      <w:r w:rsidR="001842E5">
        <w:rPr>
          <w:rFonts w:ascii="Arial" w:hAnsi="Arial" w:cs="Arial"/>
          <w:szCs w:val="24"/>
        </w:rPr>
        <w:t xml:space="preserve">, también, la Defensoría del Pueblo, Regional Caldas, toda vez que puede promover amparos constitucionales en interés de cualquier persona que así se lo solicite </w:t>
      </w:r>
      <w:r w:rsidR="001842E5">
        <w:rPr>
          <w:rFonts w:ascii="Arial" w:hAnsi="Arial" w:cs="Arial"/>
        </w:rPr>
        <w:t>(Artículo 46 del Decreto No.</w:t>
      </w:r>
      <w:r w:rsidR="001842E5" w:rsidRPr="00E17BC5">
        <w:rPr>
          <w:color w:val="6A6A6A"/>
          <w:sz w:val="45"/>
          <w:szCs w:val="45"/>
          <w:shd w:val="clear" w:color="auto" w:fill="FFFFFF"/>
        </w:rPr>
        <w:t xml:space="preserve"> </w:t>
      </w:r>
      <w:r w:rsidR="001842E5" w:rsidRPr="00E17BC5">
        <w:rPr>
          <w:rFonts w:ascii="Arial" w:hAnsi="Arial" w:cs="Arial"/>
        </w:rPr>
        <w:t>2591 de 1991</w:t>
      </w:r>
      <w:r w:rsidR="001842E5">
        <w:rPr>
          <w:rFonts w:ascii="Arial" w:hAnsi="Arial" w:cs="Arial"/>
        </w:rPr>
        <w:t>)</w:t>
      </w:r>
      <w:r w:rsidR="001842E5" w:rsidRPr="00E17BC5">
        <w:rPr>
          <w:rFonts w:ascii="Arial" w:hAnsi="Arial" w:cs="Arial"/>
        </w:rPr>
        <w:t>.</w:t>
      </w:r>
    </w:p>
    <w:p w:rsidR="00885A62" w:rsidRDefault="00885A62" w:rsidP="00885A62">
      <w:pPr>
        <w:pStyle w:val="Corpsdetexte"/>
        <w:spacing w:line="360" w:lineRule="auto"/>
        <w:rPr>
          <w:rFonts w:ascii="Arial" w:hAnsi="Arial" w:cs="Arial"/>
          <w:szCs w:val="24"/>
        </w:rPr>
      </w:pPr>
    </w:p>
    <w:p w:rsidR="001842E5" w:rsidRDefault="001842E5" w:rsidP="001842E5">
      <w:pPr>
        <w:pStyle w:val="Corpsdetexte"/>
        <w:spacing w:line="360" w:lineRule="auto"/>
        <w:rPr>
          <w:rFonts w:ascii="Arial" w:hAnsi="Arial" w:cs="Arial"/>
          <w:szCs w:val="24"/>
        </w:rPr>
      </w:pPr>
      <w:r>
        <w:rPr>
          <w:rFonts w:ascii="Arial" w:hAnsi="Arial" w:cs="Arial"/>
          <w:szCs w:val="24"/>
        </w:rPr>
        <w:t xml:space="preserve">Diferente es respecto de la Procuraduría General de la Nación, Regionales de Cundinamarca y </w:t>
      </w:r>
      <w:r w:rsidR="00D41D77">
        <w:rPr>
          <w:rFonts w:ascii="Arial" w:hAnsi="Arial" w:cs="Arial"/>
          <w:szCs w:val="24"/>
        </w:rPr>
        <w:t>Cesar</w:t>
      </w:r>
      <w:r>
        <w:rPr>
          <w:rFonts w:ascii="Arial" w:hAnsi="Arial" w:cs="Arial"/>
          <w:szCs w:val="24"/>
        </w:rPr>
        <w:t xml:space="preserve">, toda vez que no han participado en las acciones populares y los petitorios de tutela carecen de prueba que acredite que se les haya solicitado por el accionante su intervención en procura de garantizar sus derechos procesales en dichos asuntos. </w:t>
      </w:r>
    </w:p>
    <w:p w:rsidR="001842E5" w:rsidRDefault="001842E5" w:rsidP="001842E5">
      <w:pPr>
        <w:pStyle w:val="Corpsdetexte"/>
        <w:spacing w:line="360" w:lineRule="auto"/>
        <w:rPr>
          <w:rFonts w:ascii="Arial" w:hAnsi="Arial" w:cs="Arial"/>
          <w:szCs w:val="24"/>
        </w:rPr>
      </w:pPr>
    </w:p>
    <w:p w:rsidR="001842E5" w:rsidRDefault="001842E5" w:rsidP="001842E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1842E5" w:rsidRPr="00AB5228" w:rsidRDefault="001842E5" w:rsidP="001842E5">
      <w:pPr>
        <w:pStyle w:val="Corpsdetexte"/>
        <w:spacing w:line="360" w:lineRule="auto"/>
        <w:rPr>
          <w:rFonts w:ascii="Arial" w:hAnsi="Arial"/>
          <w:szCs w:val="24"/>
        </w:rPr>
      </w:pPr>
    </w:p>
    <w:p w:rsidR="001842E5" w:rsidRDefault="001842E5" w:rsidP="001842E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1842E5" w:rsidRDefault="001842E5" w:rsidP="001842E5">
      <w:pPr>
        <w:pStyle w:val="Corpsdetexte"/>
        <w:tabs>
          <w:tab w:val="clear" w:pos="0"/>
        </w:tabs>
        <w:spacing w:line="240" w:lineRule="auto"/>
        <w:ind w:left="567" w:right="618"/>
        <w:rPr>
          <w:rFonts w:ascii="Arial" w:hAnsi="Arial"/>
          <w:szCs w:val="24"/>
          <w:lang w:val="es-ES"/>
        </w:rPr>
      </w:pPr>
      <w:r>
        <w:rPr>
          <w:rFonts w:ascii="Arial" w:hAnsi="Arial"/>
          <w:szCs w:val="24"/>
        </w:rPr>
        <w:t> </w:t>
      </w:r>
    </w:p>
    <w:p w:rsidR="001842E5" w:rsidRDefault="001842E5" w:rsidP="001842E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1842E5" w:rsidRDefault="001842E5" w:rsidP="001842E5">
      <w:pPr>
        <w:pStyle w:val="Corpsdetexte"/>
        <w:spacing w:line="360" w:lineRule="auto"/>
        <w:rPr>
          <w:rFonts w:ascii="Arial" w:hAnsi="Arial" w:cs="Arial"/>
          <w:szCs w:val="24"/>
          <w:lang w:val="es-CO"/>
        </w:rPr>
      </w:pPr>
    </w:p>
    <w:p w:rsidR="001842E5" w:rsidRDefault="001842E5" w:rsidP="001842E5">
      <w:pPr>
        <w:pStyle w:val="Corpsdetexte"/>
        <w:spacing w:line="360" w:lineRule="auto"/>
        <w:rPr>
          <w:szCs w:val="24"/>
        </w:rPr>
      </w:pPr>
      <w:r>
        <w:rPr>
          <w:rFonts w:ascii="Arial" w:hAnsi="Arial" w:cs="Arial"/>
          <w:szCs w:val="24"/>
        </w:rPr>
        <w:lastRenderedPageBreak/>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1842E5" w:rsidRPr="00AB5228" w:rsidRDefault="001842E5" w:rsidP="001842E5">
      <w:pPr>
        <w:spacing w:line="360" w:lineRule="auto"/>
        <w:ind w:left="567" w:right="335"/>
        <w:jc w:val="both"/>
        <w:rPr>
          <w:rFonts w:ascii="Arial" w:hAnsi="Arial" w:cs="Arial"/>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1842E5" w:rsidRDefault="001842E5" w:rsidP="001842E5">
      <w:pPr>
        <w:ind w:left="567" w:right="567"/>
        <w:jc w:val="both"/>
        <w:rPr>
          <w:rFonts w:ascii="Arial" w:hAnsi="Arial" w:cs="Arial"/>
          <w:sz w:val="28"/>
          <w:u w:val="single"/>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1842E5" w:rsidRPr="001F7F0A" w:rsidRDefault="001842E5" w:rsidP="001842E5">
      <w:pPr>
        <w:spacing w:line="360" w:lineRule="auto"/>
        <w:jc w:val="both"/>
        <w:rPr>
          <w:rFonts w:ascii="Arial" w:hAnsi="Arial" w:cs="Arial"/>
          <w:sz w:val="28"/>
          <w:lang w:val="es-ES_tradnl"/>
        </w:rPr>
      </w:pPr>
    </w:p>
    <w:p w:rsidR="001842E5" w:rsidRPr="00DC53D1" w:rsidRDefault="001842E5" w:rsidP="001842E5">
      <w:pPr>
        <w:spacing w:line="360" w:lineRule="auto"/>
        <w:jc w:val="both"/>
        <w:rPr>
          <w:rFonts w:ascii="Arial" w:hAnsi="Arial" w:cs="Arial"/>
          <w:lang w:val="es-ES_tradnl"/>
        </w:rPr>
      </w:pPr>
      <w:r w:rsidRPr="00DC53D1">
        <w:rPr>
          <w:rFonts w:ascii="Arial" w:hAnsi="Arial" w:cs="Arial"/>
          <w:lang w:val="es-ES_tradnl"/>
        </w:rPr>
        <w:t>Así las cosas, se declarará improcedente el amparo en su contra, pues, se itera, nunca ha</w:t>
      </w:r>
      <w:r>
        <w:rPr>
          <w:rFonts w:ascii="Arial" w:hAnsi="Arial" w:cs="Arial"/>
          <w:lang w:val="es-ES_tradnl"/>
        </w:rPr>
        <w:t>n</w:t>
      </w:r>
      <w:r w:rsidRPr="00DC53D1">
        <w:rPr>
          <w:rFonts w:ascii="Arial" w:hAnsi="Arial" w:cs="Arial"/>
          <w:lang w:val="es-ES_tradnl"/>
        </w:rPr>
        <w:t xml:space="preserve"> sido destinataria</w:t>
      </w:r>
      <w:r>
        <w:rPr>
          <w:rFonts w:ascii="Arial" w:hAnsi="Arial" w:cs="Arial"/>
          <w:lang w:val="es-ES_tradnl"/>
        </w:rPr>
        <w:t>s</w:t>
      </w:r>
      <w:r w:rsidRPr="00DC53D1">
        <w:rPr>
          <w:rFonts w:ascii="Arial" w:hAnsi="Arial" w:cs="Arial"/>
          <w:lang w:val="es-ES_tradnl"/>
        </w:rPr>
        <w:t xml:space="preserve"> de petición alguna </w:t>
      </w:r>
      <w:r>
        <w:rPr>
          <w:rFonts w:ascii="Arial" w:hAnsi="Arial" w:cs="Arial"/>
          <w:lang w:val="es-ES_tradnl"/>
        </w:rPr>
        <w:t>por el actor</w:t>
      </w:r>
      <w:r w:rsidRPr="00DC53D1">
        <w:rPr>
          <w:rFonts w:ascii="Arial" w:hAnsi="Arial" w:cs="Arial"/>
          <w:lang w:val="es-ES_tradnl"/>
        </w:rPr>
        <w:t xml:space="preserve">. </w:t>
      </w:r>
    </w:p>
    <w:p w:rsidR="00885A62" w:rsidRPr="00424EC5" w:rsidRDefault="00885A62" w:rsidP="00730CA7">
      <w:pPr>
        <w:pStyle w:val="Corpsdetexte"/>
        <w:spacing w:line="360" w:lineRule="auto"/>
        <w:rPr>
          <w:rFonts w:ascii="Arial" w:hAnsi="Arial"/>
          <w:sz w:val="20"/>
          <w:szCs w:val="24"/>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424EC5" w:rsidRDefault="006232EF" w:rsidP="006232EF">
      <w:pPr>
        <w:pStyle w:val="Corpsdetexte"/>
        <w:spacing w:line="360" w:lineRule="auto"/>
        <w:rPr>
          <w:rFonts w:ascii="Arial" w:hAnsi="Arial"/>
          <w:sz w:val="20"/>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4"/>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(i) el funcionario haya incurrido en mora judicial injustificada y que (ii) se este (Sic) ante la posibilidad de que se materialice un daño que genere un perjuicio que no pueda ser subsanado</w:t>
      </w:r>
      <w:r w:rsidRPr="00DB4FF1">
        <w:rPr>
          <w:rFonts w:ascii="Arial" w:hAnsi="Arial" w:cs="Arial"/>
          <w:i/>
          <w:sz w:val="22"/>
          <w:szCs w:val="22"/>
          <w:vertAlign w:val="superscript"/>
          <w:lang w:val="es-CO"/>
        </w:rPr>
        <w:footnoteReference w:id="5"/>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424EC5" w:rsidRDefault="006232EF" w:rsidP="006232EF">
      <w:pPr>
        <w:spacing w:line="360" w:lineRule="auto"/>
        <w:ind w:right="567"/>
        <w:jc w:val="both"/>
        <w:rPr>
          <w:rFonts w:ascii="Arial" w:hAnsi="Arial" w:cs="Arial"/>
          <w:sz w:val="20"/>
          <w:lang w:val="es-CO"/>
        </w:rPr>
      </w:pPr>
    </w:p>
    <w:p w:rsidR="006232EF"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6"/>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xml:space="preserve">(…)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w:t>
      </w:r>
      <w:r w:rsidRPr="00DB4FF1">
        <w:rPr>
          <w:rFonts w:ascii="Arial" w:hAnsi="Arial" w:cs="Arial"/>
          <w:i/>
          <w:sz w:val="22"/>
          <w:szCs w:val="22"/>
        </w:rPr>
        <w:lastRenderedPageBreak/>
        <w:t>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424EC5" w:rsidRDefault="00424EC5" w:rsidP="006232EF">
      <w:pPr>
        <w:pStyle w:val="NormalWeb"/>
        <w:spacing w:after="0" w:line="360" w:lineRule="auto"/>
        <w:jc w:val="both"/>
        <w:rPr>
          <w:rFonts w:ascii="Arial" w:hAnsi="Arial" w:cs="Arial"/>
          <w:i/>
          <w:sz w:val="22"/>
          <w:szCs w:val="22"/>
          <w:lang w:val="es-ES_tradnl"/>
        </w:rPr>
      </w:pPr>
    </w:p>
    <w:p w:rsidR="009C0048" w:rsidRPr="00251C3F" w:rsidRDefault="009C0048" w:rsidP="009C0048">
      <w:pPr>
        <w:pStyle w:val="Corpsdetex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9C0048" w:rsidRPr="00FE5FF3" w:rsidRDefault="009C0048" w:rsidP="009C0048">
      <w:pPr>
        <w:pStyle w:val="Corpsdetexte"/>
        <w:tabs>
          <w:tab w:val="clear" w:pos="708"/>
          <w:tab w:val="left" w:pos="709"/>
        </w:tabs>
        <w:spacing w:line="360" w:lineRule="auto"/>
        <w:ind w:left="720"/>
        <w:rPr>
          <w:rFonts w:ascii="Arial" w:hAnsi="Arial" w:cs="Arial"/>
          <w:smallCaps/>
          <w:szCs w:val="24"/>
        </w:rPr>
      </w:pPr>
    </w:p>
    <w:p w:rsidR="009C0048" w:rsidRPr="009C5C1C" w:rsidRDefault="009C0048" w:rsidP="009C0048">
      <w:pPr>
        <w:pStyle w:val="Corpsdetex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9C0048" w:rsidRPr="00FE5FF3" w:rsidRDefault="009C0048" w:rsidP="009C0048">
      <w:pPr>
        <w:pStyle w:val="Corpsdetexte"/>
        <w:tabs>
          <w:tab w:val="clear" w:pos="0"/>
          <w:tab w:val="clear" w:pos="708"/>
          <w:tab w:val="left" w:pos="709"/>
        </w:tabs>
        <w:spacing w:line="360" w:lineRule="auto"/>
        <w:rPr>
          <w:rFonts w:ascii="Arial" w:hAnsi="Arial" w:cs="Arial"/>
          <w:sz w:val="20"/>
          <w:szCs w:val="22"/>
        </w:rPr>
      </w:pPr>
    </w:p>
    <w:p w:rsidR="009C0048" w:rsidRPr="00556F7F" w:rsidRDefault="009C0048" w:rsidP="009C0048">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Appelnotedebasdep"/>
          <w:rFonts w:ascii="Arial" w:hAnsi="Arial"/>
          <w:szCs w:val="22"/>
        </w:rPr>
        <w:footnoteReference w:id="7"/>
      </w:r>
      <w:r w:rsidRPr="00556F7F">
        <w:rPr>
          <w:rFonts w:ascii="Arial" w:hAnsi="Arial" w:cs="Arial"/>
          <w:sz w:val="22"/>
          <w:szCs w:val="22"/>
        </w:rPr>
        <w:t>.</w:t>
      </w:r>
    </w:p>
    <w:p w:rsidR="009C0048" w:rsidRPr="001971C0" w:rsidRDefault="009C0048" w:rsidP="009C0048">
      <w:pPr>
        <w:pStyle w:val="Corpsdetexte"/>
        <w:tabs>
          <w:tab w:val="clear" w:pos="708"/>
          <w:tab w:val="left" w:pos="709"/>
        </w:tabs>
        <w:spacing w:line="360" w:lineRule="auto"/>
        <w:rPr>
          <w:rFonts w:ascii="Arial" w:hAnsi="Arial"/>
          <w:sz w:val="20"/>
          <w:szCs w:val="24"/>
        </w:rPr>
      </w:pPr>
    </w:p>
    <w:p w:rsidR="009C0048" w:rsidRDefault="009C0048" w:rsidP="009C0048">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8"/>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9"/>
      </w:r>
      <w:r w:rsidRPr="00556F7F">
        <w:rPr>
          <w:rFonts w:ascii="Arial" w:hAnsi="Arial" w:cs="Arial"/>
          <w:szCs w:val="22"/>
        </w:rPr>
        <w:t>, sostiene:</w:t>
      </w:r>
    </w:p>
    <w:p w:rsidR="009C0048" w:rsidRPr="00FE5FF3" w:rsidRDefault="009C0048" w:rsidP="009C0048">
      <w:pPr>
        <w:pStyle w:val="Corpsdetexte"/>
        <w:tabs>
          <w:tab w:val="clear" w:pos="0"/>
          <w:tab w:val="clear" w:pos="708"/>
          <w:tab w:val="left" w:pos="709"/>
        </w:tabs>
        <w:spacing w:line="360" w:lineRule="auto"/>
        <w:rPr>
          <w:rFonts w:ascii="Arial" w:hAnsi="Arial" w:cs="Arial"/>
          <w:sz w:val="16"/>
          <w:szCs w:val="22"/>
          <w:lang w:val="es-CO"/>
        </w:rPr>
      </w:pPr>
    </w:p>
    <w:p w:rsidR="009C0048" w:rsidRPr="00556F7F" w:rsidRDefault="009C0048" w:rsidP="009C0048">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rPr>
      </w:pPr>
      <w:r>
        <w:rPr>
          <w:rFonts w:ascii="Arial" w:hAnsi="Arial" w:cs="Arial"/>
        </w:rPr>
        <w:t xml:space="preserve">… </w:t>
      </w:r>
      <w:r w:rsidRPr="00556F7F">
        <w:rPr>
          <w:rFonts w:ascii="Arial" w:hAnsi="Arial" w:cs="Arial"/>
        </w:rPr>
        <w:t>es importante señalar que no se configura la temeridad a pesar de existir identidad de las partes, identidad de pretensiones e identidad de objeto, si la actuación se funda “</w:t>
      </w:r>
      <w:r w:rsidRPr="00556F7F">
        <w:rPr>
          <w:rFonts w:ascii="Arial" w:hAnsi="Arial" w:cs="Arial"/>
          <w:i/>
          <w:iCs/>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rPr>
        <w:t>l.”</w:t>
      </w:r>
    </w:p>
    <w:p w:rsidR="009C0048" w:rsidRPr="00FE5FF3" w:rsidRDefault="009C0048" w:rsidP="009C004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9C0048" w:rsidRDefault="009C0048" w:rsidP="009C004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Appelnotedebasdep"/>
          <w:rFonts w:ascii="Arial" w:hAnsi="Arial"/>
          <w:spacing w:val="-3"/>
          <w:szCs w:val="20"/>
          <w:lang w:val="es-ES_tradnl"/>
        </w:rPr>
        <w:footnoteReference w:id="10"/>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 xml:space="preserve">es fundamental tener en cuenta que la actuación temeraria, para serlo requiere de la </w:t>
      </w:r>
      <w:r w:rsidRPr="00530413">
        <w:rPr>
          <w:rFonts w:ascii="Arial" w:hAnsi="Arial" w:cs="Times New Roman"/>
          <w:i/>
          <w:spacing w:val="-3"/>
          <w:sz w:val="22"/>
          <w:szCs w:val="20"/>
          <w:lang w:val="es-ES_tradnl"/>
        </w:rPr>
        <w:lastRenderedPageBreak/>
        <w:t>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1"/>
      </w:r>
      <w:r>
        <w:rPr>
          <w:rFonts w:ascii="Arial" w:hAnsi="Arial" w:cs="Times New Roman"/>
          <w:spacing w:val="-3"/>
          <w:szCs w:val="20"/>
          <w:lang w:val="es-ES_tradnl"/>
        </w:rPr>
        <w:t>.</w:t>
      </w:r>
    </w:p>
    <w:p w:rsidR="009C0048" w:rsidRPr="001971C0" w:rsidRDefault="009C0048" w:rsidP="009C0048">
      <w:pPr>
        <w:pStyle w:val="Corpsdetexte"/>
        <w:spacing w:line="360" w:lineRule="auto"/>
        <w:rPr>
          <w:rFonts w:ascii="Arial" w:hAnsi="Arial"/>
          <w:sz w:val="20"/>
          <w:szCs w:val="24"/>
        </w:rPr>
      </w:pPr>
    </w:p>
    <w:p w:rsidR="009C0048" w:rsidRDefault="009C0048" w:rsidP="009C0048">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2"/>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sz w:val="22"/>
        </w:rPr>
        <w:footnoteReference w:id="13"/>
      </w:r>
      <w:r w:rsidRPr="007F030F">
        <w:rPr>
          <w:rFonts w:ascii="Arial" w:hAnsi="Arial" w:cs="Arial"/>
          <w:lang w:val="es-ES_tradnl"/>
        </w:rPr>
        <w:t xml:space="preserve">: </w:t>
      </w:r>
      <w:r w:rsidRPr="007F030F">
        <w:rPr>
          <w:rFonts w:ascii="Arial" w:hAnsi="Arial" w:cs="Arial"/>
          <w:i/>
          <w:iCs/>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sz w:val="22"/>
        </w:rPr>
        <w:t>. (…)”</w:t>
      </w:r>
      <w:r>
        <w:rPr>
          <w:rFonts w:ascii="Arial" w:hAnsi="Arial" w:cs="Arial"/>
          <w:i/>
          <w:iCs/>
          <w:sz w:val="22"/>
        </w:rPr>
        <w:t xml:space="preserve"> </w:t>
      </w:r>
      <w:r w:rsidRPr="0053783F">
        <w:rPr>
          <w:rFonts w:ascii="Arial" w:hAnsi="Arial" w:cs="Arial"/>
          <w:lang w:val="es-ES_tradnl"/>
        </w:rPr>
        <w:t>Subrayas de la Sala.</w:t>
      </w:r>
    </w:p>
    <w:p w:rsidR="009C0048" w:rsidRDefault="009C0048" w:rsidP="009C0048">
      <w:pPr>
        <w:spacing w:line="360" w:lineRule="auto"/>
        <w:ind w:right="51"/>
        <w:jc w:val="both"/>
        <w:rPr>
          <w:rFonts w:ascii="Arial" w:hAnsi="Arial" w:cs="Arial"/>
          <w:sz w:val="22"/>
          <w:lang w:val="es-ES_tradnl"/>
        </w:rPr>
      </w:pPr>
    </w:p>
    <w:p w:rsidR="009C0048" w:rsidRDefault="009C0048" w:rsidP="009C0048">
      <w:pPr>
        <w:spacing w:line="360" w:lineRule="auto"/>
        <w:ind w:right="51"/>
        <w:jc w:val="both"/>
        <w:rPr>
          <w:rFonts w:ascii="Arial" w:hAnsi="Arial" w:cs="Arial"/>
          <w:iCs/>
        </w:rPr>
      </w:pPr>
      <w:r w:rsidRPr="00A4402B">
        <w:rPr>
          <w:rFonts w:ascii="Arial" w:hAnsi="Arial" w:cs="Arial"/>
          <w:iCs/>
        </w:rPr>
        <w:t>Así entonces existe la pos</w:t>
      </w:r>
      <w:r>
        <w:rPr>
          <w:rFonts w:ascii="Arial" w:hAnsi="Arial" w:cs="Arial"/>
          <w:iCs/>
        </w:rPr>
        <w:t>ibilidad de que se presenten las siguientes situaciones</w:t>
      </w:r>
      <w:r>
        <w:rPr>
          <w:rStyle w:val="Appelnotedebasdep"/>
          <w:rFonts w:ascii="Arial" w:hAnsi="Arial"/>
          <w:iCs/>
        </w:rPr>
        <w:footnoteReference w:id="14"/>
      </w:r>
      <w:r>
        <w:rPr>
          <w:rFonts w:ascii="Arial" w:hAnsi="Arial" w:cs="Arial"/>
          <w:iCs/>
        </w:rPr>
        <w:t xml:space="preserve">: (i) Cosa juzgada </w:t>
      </w:r>
      <w:r w:rsidRPr="00A4402B">
        <w:rPr>
          <w:rFonts w:ascii="Arial" w:hAnsi="Arial" w:cs="Arial"/>
          <w:iCs/>
        </w:rPr>
        <w:t>y temeridad</w:t>
      </w:r>
      <w:r>
        <w:rPr>
          <w:rFonts w:ascii="Arial" w:hAnsi="Arial" w:cs="Arial"/>
          <w:iCs/>
        </w:rPr>
        <w:t xml:space="preserve">, </w:t>
      </w:r>
      <w:r w:rsidRPr="00A4402B">
        <w:rPr>
          <w:rFonts w:ascii="Arial" w:hAnsi="Arial" w:cs="Arial"/>
          <w:iCs/>
        </w:rPr>
        <w:t>cuando se presenta una tutela sobre un asunto ya decidido</w:t>
      </w:r>
      <w:r>
        <w:rPr>
          <w:rFonts w:ascii="Arial" w:hAnsi="Arial" w:cs="Arial"/>
          <w:iCs/>
        </w:rPr>
        <w:t xml:space="preserve"> pero</w:t>
      </w:r>
      <w:r w:rsidRPr="00A4402B">
        <w:rPr>
          <w:rFonts w:ascii="Arial" w:hAnsi="Arial" w:cs="Arial"/>
          <w:iCs/>
        </w:rPr>
        <w:t xml:space="preserve"> sin justificación para su presentación;</w:t>
      </w:r>
      <w:r>
        <w:rPr>
          <w:rFonts w:ascii="Arial" w:hAnsi="Arial" w:cs="Arial"/>
          <w:iCs/>
        </w:rPr>
        <w:t xml:space="preserve"> (ii)</w:t>
      </w:r>
      <w:r w:rsidRPr="00A4402B">
        <w:rPr>
          <w:rFonts w:ascii="Arial" w:hAnsi="Arial" w:cs="Arial"/>
          <w:iCs/>
        </w:rPr>
        <w:t xml:space="preserve"> </w:t>
      </w:r>
      <w:r>
        <w:rPr>
          <w:rFonts w:ascii="Arial" w:hAnsi="Arial" w:cs="Arial"/>
          <w:iCs/>
        </w:rPr>
        <w:t>C</w:t>
      </w:r>
      <w:r w:rsidRPr="00A4402B">
        <w:rPr>
          <w:rFonts w:ascii="Arial" w:hAnsi="Arial" w:cs="Arial"/>
          <w:iCs/>
        </w:rPr>
        <w:t xml:space="preserve">osa juzgada sin temeridad, cuando se interpone el amparo con expresa manifestación de que </w:t>
      </w:r>
      <w:r>
        <w:rPr>
          <w:rFonts w:ascii="Arial" w:hAnsi="Arial" w:cs="Arial"/>
          <w:iCs/>
        </w:rPr>
        <w:t xml:space="preserve">se </w:t>
      </w:r>
      <w:r w:rsidRPr="00A4402B">
        <w:rPr>
          <w:rFonts w:ascii="Arial" w:hAnsi="Arial" w:cs="Arial"/>
          <w:iCs/>
        </w:rPr>
        <w:t xml:space="preserve">hace por segunda vez y con la convicción de que no ha operado el fenómeno de la cosa juzgada; y, </w:t>
      </w:r>
      <w:r>
        <w:rPr>
          <w:rFonts w:ascii="Arial" w:hAnsi="Arial" w:cs="Arial"/>
          <w:iCs/>
        </w:rPr>
        <w:t>(iii) T</w:t>
      </w:r>
      <w:r w:rsidRPr="00A4402B">
        <w:rPr>
          <w:rFonts w:ascii="Arial" w:hAnsi="Arial" w:cs="Arial"/>
          <w:iCs/>
        </w:rPr>
        <w:t>emeridad sin cosa juzgada, cuando se presenta simultaneidad entre dos o más solicitudes de amparo que presentan la trip</w:t>
      </w:r>
      <w:r>
        <w:rPr>
          <w:rFonts w:ascii="Arial" w:hAnsi="Arial" w:cs="Arial"/>
          <w:iCs/>
        </w:rPr>
        <w:t>l</w:t>
      </w:r>
      <w:r w:rsidRPr="00A4402B">
        <w:rPr>
          <w:rFonts w:ascii="Arial" w:hAnsi="Arial" w:cs="Arial"/>
          <w:iCs/>
        </w:rPr>
        <w:t>e identidad (</w:t>
      </w:r>
      <w:r>
        <w:rPr>
          <w:rFonts w:ascii="Arial" w:hAnsi="Arial" w:cs="Arial"/>
          <w:iCs/>
        </w:rPr>
        <w:t>O</w:t>
      </w:r>
      <w:r w:rsidRPr="00A4402B">
        <w:rPr>
          <w:rFonts w:ascii="Arial" w:hAnsi="Arial" w:cs="Arial"/>
          <w:iCs/>
        </w:rPr>
        <w:t xml:space="preserve">bjeto, causa y partes), sin que ninguna haya hecho tránsito a cosa juzgada. </w:t>
      </w:r>
    </w:p>
    <w:p w:rsidR="009C0048" w:rsidRPr="001971C0" w:rsidRDefault="009C0048" w:rsidP="009C0048">
      <w:pPr>
        <w:pStyle w:val="Corpsdetexte"/>
        <w:spacing w:line="360" w:lineRule="auto"/>
        <w:rPr>
          <w:rFonts w:ascii="Arial" w:hAnsi="Arial"/>
          <w:sz w:val="20"/>
          <w:szCs w:val="24"/>
        </w:rPr>
      </w:pPr>
    </w:p>
    <w:p w:rsidR="009C0048" w:rsidRPr="00A4402B" w:rsidRDefault="009C0048" w:rsidP="009C0048">
      <w:pPr>
        <w:spacing w:line="360" w:lineRule="auto"/>
        <w:ind w:right="51"/>
        <w:jc w:val="both"/>
        <w:rPr>
          <w:rFonts w:ascii="Arial" w:hAnsi="Arial" w:cs="Arial"/>
        </w:rPr>
      </w:pPr>
      <w:r>
        <w:rPr>
          <w:rFonts w:ascii="Arial" w:hAnsi="Arial" w:cs="Arial"/>
          <w:iCs/>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9C0048" w:rsidRPr="00DB4FF1" w:rsidRDefault="009C0048" w:rsidP="006232EF">
      <w:pPr>
        <w:pStyle w:val="NormalWeb"/>
        <w:spacing w:after="0" w:line="360" w:lineRule="auto"/>
        <w:jc w:val="both"/>
        <w:rPr>
          <w:rFonts w:ascii="Arial" w:hAnsi="Arial" w:cs="Arial"/>
          <w:i/>
          <w:sz w:val="22"/>
          <w:szCs w:val="22"/>
          <w:lang w:val="es-ES_tradnl"/>
        </w:rPr>
      </w:pPr>
    </w:p>
    <w:p w:rsidR="00AB5BDE" w:rsidRDefault="008E1295" w:rsidP="009C0048">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0E3B41" w:rsidRDefault="000E3B41" w:rsidP="000E3B41">
      <w:pPr>
        <w:pStyle w:val="Corpsdetexte"/>
        <w:spacing w:line="360" w:lineRule="auto"/>
        <w:rPr>
          <w:rFonts w:ascii="Arial" w:hAnsi="Arial"/>
          <w:sz w:val="20"/>
          <w:szCs w:val="24"/>
        </w:rPr>
      </w:pPr>
    </w:p>
    <w:p w:rsidR="000E3B41" w:rsidRPr="009C0048" w:rsidRDefault="009C0048" w:rsidP="009C0048">
      <w:pPr>
        <w:pStyle w:val="Corpsdetexte"/>
        <w:numPr>
          <w:ilvl w:val="1"/>
          <w:numId w:val="18"/>
        </w:numPr>
        <w:spacing w:line="360" w:lineRule="auto"/>
        <w:rPr>
          <w:rFonts w:ascii="Arial" w:hAnsi="Arial"/>
          <w:smallCaps/>
          <w:szCs w:val="24"/>
        </w:rPr>
      </w:pPr>
      <w:r>
        <w:rPr>
          <w:rFonts w:ascii="Arial" w:hAnsi="Arial"/>
          <w:smallCaps/>
          <w:szCs w:val="24"/>
        </w:rPr>
        <w:t>I</w:t>
      </w:r>
      <w:r w:rsidRPr="009C0048">
        <w:rPr>
          <w:rFonts w:ascii="Arial" w:hAnsi="Arial"/>
          <w:smallCaps/>
          <w:szCs w:val="24"/>
        </w:rPr>
        <w:t>nexistencia de vulneración</w:t>
      </w:r>
    </w:p>
    <w:p w:rsidR="000E3B41" w:rsidRPr="000E3B41" w:rsidRDefault="000E3B41" w:rsidP="000E3B41">
      <w:pPr>
        <w:pStyle w:val="Corpsdetexte"/>
        <w:spacing w:line="360" w:lineRule="auto"/>
        <w:ind w:left="720"/>
        <w:rPr>
          <w:rFonts w:ascii="Arial" w:hAnsi="Arial"/>
          <w:sz w:val="20"/>
          <w:szCs w:val="24"/>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 oficiosamente </w:t>
      </w:r>
      <w:r w:rsidR="00AB5BDE">
        <w:rPr>
          <w:rFonts w:ascii="Arial" w:hAnsi="Arial"/>
        </w:rPr>
        <w:t>los</w:t>
      </w:r>
      <w:r w:rsidR="00A86AD8">
        <w:rPr>
          <w:rFonts w:ascii="Arial" w:hAnsi="Arial"/>
        </w:rPr>
        <w:t xml:space="preserve"> amparo</w:t>
      </w:r>
      <w:r w:rsidR="00AB5BDE">
        <w:rPr>
          <w:rFonts w:ascii="Arial" w:hAnsi="Arial"/>
        </w:rPr>
        <w:t>s</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w:t>
      </w:r>
      <w:r w:rsidR="0010701C">
        <w:rPr>
          <w:rFonts w:ascii="Arial" w:hAnsi="Arial"/>
        </w:rPr>
        <w:lastRenderedPageBreak/>
        <w:t>omisiv</w:t>
      </w:r>
      <w:r w:rsidR="002E5AEF">
        <w:rPr>
          <w:rFonts w:ascii="Arial" w:hAnsi="Arial"/>
        </w:rPr>
        <w:t>a</w:t>
      </w:r>
      <w:r w:rsidR="0010701C">
        <w:rPr>
          <w:rFonts w:ascii="Arial" w:hAnsi="Arial"/>
        </w:rPr>
        <w:t xml:space="preserve"> que comporte una tardanza injustificada por parte del despacho judicial accionado</w:t>
      </w:r>
      <w:r w:rsidR="0010701C" w:rsidRPr="0010701C">
        <w:rPr>
          <w:rFonts w:ascii="Arial" w:hAnsi="Arial"/>
          <w:lang w:val="es-CO"/>
        </w:rPr>
        <w:t>.</w:t>
      </w:r>
    </w:p>
    <w:p w:rsidR="009C0048" w:rsidRDefault="009C0048" w:rsidP="0010701C">
      <w:pPr>
        <w:widowControl/>
        <w:spacing w:line="360" w:lineRule="auto"/>
        <w:jc w:val="both"/>
        <w:rPr>
          <w:rFonts w:ascii="Arial" w:hAnsi="Arial"/>
          <w:lang w:val="es-CO"/>
        </w:rPr>
      </w:pPr>
    </w:p>
    <w:p w:rsidR="00C138D8" w:rsidRDefault="0010701C" w:rsidP="0010701C">
      <w:pPr>
        <w:widowControl/>
        <w:spacing w:line="360" w:lineRule="auto"/>
        <w:jc w:val="both"/>
        <w:rPr>
          <w:rFonts w:ascii="Arial" w:hAnsi="Arial"/>
          <w:lang w:val="es-CO"/>
        </w:rPr>
      </w:pPr>
      <w:r w:rsidRPr="00C138D8">
        <w:rPr>
          <w:rFonts w:ascii="Arial" w:hAnsi="Arial"/>
          <w:lang w:val="es-CO"/>
        </w:rPr>
        <w:t xml:space="preserve">De acuerdo con las copias arrimadas </w:t>
      </w:r>
      <w:r w:rsidR="00AB5BDE" w:rsidRPr="00C138D8">
        <w:rPr>
          <w:rFonts w:ascii="Arial" w:hAnsi="Arial"/>
          <w:lang w:val="es-CO"/>
        </w:rPr>
        <w:t xml:space="preserve">y la descripción del estado de los </w:t>
      </w:r>
      <w:r w:rsidR="00E2544B">
        <w:rPr>
          <w:rFonts w:ascii="Arial" w:hAnsi="Arial"/>
          <w:lang w:val="es-CO"/>
        </w:rPr>
        <w:t xml:space="preserve">asuntos </w:t>
      </w:r>
      <w:r w:rsidRPr="00C138D8">
        <w:rPr>
          <w:rFonts w:ascii="Arial" w:hAnsi="Arial"/>
          <w:lang w:val="es-CO"/>
        </w:rPr>
        <w:t xml:space="preserve">se </w:t>
      </w:r>
      <w:r w:rsidR="00AA6AB1" w:rsidRPr="00C138D8">
        <w:rPr>
          <w:rFonts w:ascii="Arial" w:hAnsi="Arial"/>
          <w:lang w:val="es-CO"/>
        </w:rPr>
        <w:t xml:space="preserve">observa </w:t>
      </w:r>
      <w:r w:rsidRPr="00C138D8">
        <w:rPr>
          <w:rFonts w:ascii="Arial" w:hAnsi="Arial"/>
          <w:lang w:val="es-CO"/>
        </w:rPr>
        <w:t>que</w:t>
      </w:r>
      <w:r w:rsidR="00AB5BDE" w:rsidRPr="00C138D8">
        <w:rPr>
          <w:rFonts w:ascii="Arial" w:hAnsi="Arial"/>
          <w:lang w:val="es-CO"/>
        </w:rPr>
        <w:t xml:space="preserve"> las acciones populares han </w:t>
      </w:r>
      <w:r w:rsidR="00A86AD8" w:rsidRPr="00C138D8">
        <w:rPr>
          <w:rFonts w:ascii="Arial" w:hAnsi="Arial"/>
          <w:lang w:val="es-CO"/>
        </w:rPr>
        <w:t>sido atendida</w:t>
      </w:r>
      <w:r w:rsidR="00AB5BDE" w:rsidRPr="00C138D8">
        <w:rPr>
          <w:rFonts w:ascii="Arial" w:hAnsi="Arial"/>
          <w:lang w:val="es-CO"/>
        </w:rPr>
        <w:t>s</w:t>
      </w:r>
      <w:r w:rsidRPr="00C138D8">
        <w:rPr>
          <w:rFonts w:ascii="Arial" w:hAnsi="Arial"/>
          <w:lang w:val="es-CO"/>
        </w:rPr>
        <w:t xml:space="preserve"> con dilig</w:t>
      </w:r>
      <w:r w:rsidR="00AA6AB1" w:rsidRPr="00C138D8">
        <w:rPr>
          <w:rFonts w:ascii="Arial" w:hAnsi="Arial"/>
          <w:lang w:val="es-CO"/>
        </w:rPr>
        <w:t>encia y celeridad</w:t>
      </w:r>
      <w:r w:rsidR="00C647F7" w:rsidRPr="00C138D8">
        <w:rPr>
          <w:rFonts w:ascii="Arial" w:hAnsi="Arial"/>
          <w:lang w:val="es-CO"/>
        </w:rPr>
        <w:t>.</w:t>
      </w:r>
      <w:r w:rsidR="00AB5BDE" w:rsidRPr="00C138D8">
        <w:rPr>
          <w:rFonts w:ascii="Arial" w:hAnsi="Arial"/>
          <w:lang w:val="es-CO"/>
        </w:rPr>
        <w:t xml:space="preserve"> </w:t>
      </w:r>
    </w:p>
    <w:p w:rsidR="00C138D8" w:rsidRPr="00424EC5" w:rsidRDefault="00C138D8" w:rsidP="0010701C">
      <w:pPr>
        <w:widowControl/>
        <w:spacing w:line="360" w:lineRule="auto"/>
        <w:jc w:val="both"/>
        <w:rPr>
          <w:rFonts w:ascii="Arial" w:hAnsi="Arial"/>
          <w:sz w:val="20"/>
          <w:lang w:val="es-CO"/>
        </w:rPr>
      </w:pPr>
    </w:p>
    <w:p w:rsidR="000E3B41" w:rsidRDefault="001A0527" w:rsidP="0010701C">
      <w:pPr>
        <w:widowControl/>
        <w:spacing w:line="360" w:lineRule="auto"/>
        <w:jc w:val="both"/>
        <w:rPr>
          <w:rFonts w:ascii="Arial" w:hAnsi="Arial"/>
          <w:lang w:val="es-CO"/>
        </w:rPr>
      </w:pPr>
      <w:r>
        <w:rPr>
          <w:rFonts w:ascii="Arial" w:hAnsi="Arial"/>
          <w:lang w:val="es-CO"/>
        </w:rPr>
        <w:t xml:space="preserve">Se tiene que </w:t>
      </w:r>
      <w:r w:rsidR="007E403B">
        <w:rPr>
          <w:rFonts w:ascii="Arial" w:hAnsi="Arial"/>
          <w:lang w:val="es-CO"/>
        </w:rPr>
        <w:t xml:space="preserve">con </w:t>
      </w:r>
      <w:r w:rsidR="000E3B41">
        <w:rPr>
          <w:rFonts w:ascii="Arial" w:hAnsi="Arial"/>
          <w:lang w:val="es-CO"/>
        </w:rPr>
        <w:t xml:space="preserve">sendos autos del </w:t>
      </w:r>
      <w:r w:rsidR="00F96CD6">
        <w:rPr>
          <w:rFonts w:ascii="Arial" w:hAnsi="Arial"/>
          <w:lang w:val="es-CO"/>
        </w:rPr>
        <w:t xml:space="preserve">20-05-2016 </w:t>
      </w:r>
      <w:r w:rsidR="000E3B41">
        <w:rPr>
          <w:rFonts w:ascii="Arial" w:hAnsi="Arial"/>
          <w:lang w:val="es-CO"/>
        </w:rPr>
        <w:t xml:space="preserve">y 13-07-2016 </w:t>
      </w:r>
      <w:r w:rsidR="007E403B">
        <w:rPr>
          <w:rFonts w:ascii="Arial" w:hAnsi="Arial"/>
          <w:lang w:val="es-CO"/>
        </w:rPr>
        <w:t>fueron admitidas</w:t>
      </w:r>
      <w:r w:rsidR="00F96CD6">
        <w:rPr>
          <w:rFonts w:ascii="Arial" w:hAnsi="Arial"/>
          <w:lang w:val="es-CO"/>
        </w:rPr>
        <w:t xml:space="preserve">, se corrió </w:t>
      </w:r>
      <w:r w:rsidR="007E403B">
        <w:rPr>
          <w:rFonts w:ascii="Arial" w:hAnsi="Arial"/>
          <w:lang w:val="es-CO"/>
        </w:rPr>
        <w:t xml:space="preserve">el </w:t>
      </w:r>
      <w:r w:rsidR="00F96CD6">
        <w:rPr>
          <w:rFonts w:ascii="Arial" w:hAnsi="Arial"/>
          <w:lang w:val="es-CO"/>
        </w:rPr>
        <w:t xml:space="preserve">traslado </w:t>
      </w:r>
      <w:r w:rsidR="000E3B41">
        <w:rPr>
          <w:rFonts w:ascii="Arial" w:hAnsi="Arial"/>
          <w:lang w:val="es-CO"/>
        </w:rPr>
        <w:t xml:space="preserve">a los accionados </w:t>
      </w:r>
      <w:r w:rsidR="00F96CD6">
        <w:rPr>
          <w:rFonts w:ascii="Arial" w:hAnsi="Arial"/>
          <w:lang w:val="es-CO"/>
        </w:rPr>
        <w:t xml:space="preserve">y se dispuso la vinculación del Ministerio Público; seguidamente, se enviaron las comunicaciones respectivas y </w:t>
      </w:r>
      <w:r w:rsidR="000E3B41">
        <w:rPr>
          <w:rFonts w:ascii="Arial" w:hAnsi="Arial"/>
          <w:lang w:val="es-CO"/>
        </w:rPr>
        <w:t xml:space="preserve">se encuentran </w:t>
      </w:r>
      <w:r w:rsidR="00F96CD6">
        <w:rPr>
          <w:rFonts w:ascii="Arial" w:hAnsi="Arial"/>
          <w:lang w:val="es-CO"/>
        </w:rPr>
        <w:t xml:space="preserve">pendientes de surtirse la notificación </w:t>
      </w:r>
      <w:r w:rsidR="007E403B">
        <w:rPr>
          <w:rFonts w:ascii="Arial" w:hAnsi="Arial"/>
          <w:lang w:val="es-CO"/>
        </w:rPr>
        <w:t xml:space="preserve">de la parte pasiva </w:t>
      </w:r>
      <w:r w:rsidR="00F96CD6">
        <w:rPr>
          <w:rFonts w:ascii="Arial" w:hAnsi="Arial"/>
          <w:lang w:val="es-CO"/>
        </w:rPr>
        <w:t xml:space="preserve">y la publicación </w:t>
      </w:r>
      <w:r w:rsidR="000E3B41">
        <w:rPr>
          <w:rFonts w:ascii="Arial" w:hAnsi="Arial"/>
          <w:lang w:val="es-CO"/>
        </w:rPr>
        <w:t xml:space="preserve">de los </w:t>
      </w:r>
      <w:r w:rsidR="00F96CD6">
        <w:rPr>
          <w:rFonts w:ascii="Arial" w:hAnsi="Arial"/>
          <w:lang w:val="es-CO"/>
        </w:rPr>
        <w:t>aviso</w:t>
      </w:r>
      <w:r w:rsidR="000E3B41">
        <w:rPr>
          <w:rFonts w:ascii="Arial" w:hAnsi="Arial"/>
          <w:lang w:val="es-CO"/>
        </w:rPr>
        <w:t>s</w:t>
      </w:r>
      <w:r w:rsidR="00F96CD6">
        <w:rPr>
          <w:rFonts w:ascii="Arial" w:hAnsi="Arial"/>
          <w:lang w:val="es-CO"/>
        </w:rPr>
        <w:t xml:space="preserve"> a la comunidad; son inexistentes peticiones </w:t>
      </w:r>
      <w:r w:rsidR="000E3B41">
        <w:rPr>
          <w:rFonts w:ascii="Arial" w:hAnsi="Arial"/>
          <w:lang w:val="es-CO"/>
        </w:rPr>
        <w:t xml:space="preserve">de desistimiento del accionante </w:t>
      </w:r>
      <w:r w:rsidR="00F96CD6">
        <w:rPr>
          <w:rFonts w:ascii="Arial" w:hAnsi="Arial"/>
          <w:lang w:val="es-CO"/>
        </w:rPr>
        <w:t xml:space="preserve">(Disco compacto visible a folio 21, ib.) </w:t>
      </w:r>
    </w:p>
    <w:p w:rsidR="001F7F0A" w:rsidRDefault="001F7F0A" w:rsidP="0010701C">
      <w:pPr>
        <w:widowControl/>
        <w:spacing w:line="360" w:lineRule="auto"/>
        <w:jc w:val="both"/>
        <w:rPr>
          <w:rFonts w:ascii="Arial" w:hAnsi="Arial"/>
          <w:lang w:val="es-CO"/>
        </w:rPr>
      </w:pPr>
    </w:p>
    <w:p w:rsidR="00760ECB" w:rsidRDefault="00B04848" w:rsidP="00566506">
      <w:pPr>
        <w:widowControl/>
        <w:spacing w:line="360" w:lineRule="auto"/>
        <w:jc w:val="both"/>
        <w:rPr>
          <w:rFonts w:ascii="Arial" w:hAnsi="Arial"/>
          <w:lang w:val="es-CO"/>
        </w:rPr>
      </w:pPr>
      <w:r>
        <w:rPr>
          <w:rFonts w:ascii="Arial" w:hAnsi="Arial"/>
          <w:lang w:val="es-CO"/>
        </w:rPr>
        <w:t>Conforme lo expuesto</w:t>
      </w:r>
      <w:r w:rsidR="007E403B">
        <w:rPr>
          <w:rFonts w:ascii="Arial" w:hAnsi="Arial"/>
          <w:lang w:val="es-CO"/>
        </w:rPr>
        <w:t>,</w:t>
      </w:r>
      <w:r>
        <w:rPr>
          <w:rFonts w:ascii="Arial" w:hAnsi="Arial"/>
          <w:lang w:val="es-CO"/>
        </w:rPr>
        <w:t xml:space="preserve"> es evidente la ausencia de mora judicial </w:t>
      </w:r>
      <w:r w:rsidR="007E403B">
        <w:rPr>
          <w:rFonts w:ascii="Arial" w:hAnsi="Arial"/>
          <w:lang w:val="es-CO"/>
        </w:rPr>
        <w:t>en su trámite;</w:t>
      </w:r>
      <w:r>
        <w:rPr>
          <w:rFonts w:ascii="Arial" w:hAnsi="Arial"/>
          <w:lang w:val="es-CO"/>
        </w:rPr>
        <w:t xml:space="preserve"> </w:t>
      </w:r>
      <w:r w:rsidR="00760ECB">
        <w:rPr>
          <w:rFonts w:ascii="Arial" w:hAnsi="Arial"/>
          <w:lang w:val="es-CO"/>
        </w:rPr>
        <w:t xml:space="preserve">en ninguna de ellas </w:t>
      </w:r>
      <w:r w:rsidR="007E403B">
        <w:rPr>
          <w:rFonts w:ascii="Arial" w:hAnsi="Arial"/>
          <w:lang w:val="es-CO"/>
        </w:rPr>
        <w:t xml:space="preserve">hay </w:t>
      </w:r>
      <w:r w:rsidR="00760ECB">
        <w:rPr>
          <w:rFonts w:ascii="Arial" w:hAnsi="Arial"/>
          <w:lang w:val="es-CO"/>
        </w:rPr>
        <w:t>peticiones pendientes de resolver</w:t>
      </w:r>
      <w:r w:rsidR="007E403B">
        <w:rPr>
          <w:rFonts w:ascii="Arial" w:hAnsi="Arial"/>
          <w:lang w:val="es-CO"/>
        </w:rPr>
        <w:t>se</w:t>
      </w:r>
      <w:r w:rsidR="00760ECB">
        <w:rPr>
          <w:rFonts w:ascii="Arial" w:hAnsi="Arial"/>
          <w:lang w:val="es-CO"/>
        </w:rPr>
        <w:t xml:space="preserve"> o etapas procesales suspendidas, inclusive, </w:t>
      </w:r>
      <w:r w:rsidR="000E3B41">
        <w:rPr>
          <w:rFonts w:ascii="Arial" w:hAnsi="Arial"/>
          <w:lang w:val="es-CO"/>
        </w:rPr>
        <w:t xml:space="preserve">se halla </w:t>
      </w:r>
      <w:r w:rsidR="007E403B">
        <w:rPr>
          <w:rFonts w:ascii="Arial" w:hAnsi="Arial"/>
          <w:lang w:val="es-CO"/>
        </w:rPr>
        <w:t xml:space="preserve">que </w:t>
      </w:r>
      <w:r w:rsidR="000E3B41">
        <w:rPr>
          <w:rFonts w:ascii="Arial" w:hAnsi="Arial"/>
          <w:lang w:val="es-CO"/>
        </w:rPr>
        <w:t xml:space="preserve">no </w:t>
      </w:r>
      <w:r w:rsidR="007E403B">
        <w:rPr>
          <w:rFonts w:ascii="Arial" w:hAnsi="Arial"/>
          <w:lang w:val="es-CO"/>
        </w:rPr>
        <w:t>se ha</w:t>
      </w:r>
      <w:r w:rsidR="000E3B41">
        <w:rPr>
          <w:rFonts w:ascii="Arial" w:hAnsi="Arial"/>
          <w:lang w:val="es-CO"/>
        </w:rPr>
        <w:t xml:space="preserve"> podido proseguir con la etapa subsiguiente </w:t>
      </w:r>
      <w:r w:rsidR="007E403B">
        <w:rPr>
          <w:rFonts w:ascii="Arial" w:hAnsi="Arial"/>
          <w:lang w:val="es-CO"/>
        </w:rPr>
        <w:t xml:space="preserve">debido a que </w:t>
      </w:r>
      <w:r w:rsidR="000E3B41">
        <w:rPr>
          <w:rFonts w:ascii="Arial" w:hAnsi="Arial"/>
          <w:lang w:val="es-CO"/>
        </w:rPr>
        <w:t xml:space="preserve">el accionante </w:t>
      </w:r>
      <w:r w:rsidR="007E403B">
        <w:rPr>
          <w:rFonts w:ascii="Arial" w:hAnsi="Arial"/>
          <w:lang w:val="es-CO"/>
        </w:rPr>
        <w:t xml:space="preserve">ha incumplido con </w:t>
      </w:r>
      <w:r w:rsidR="000E3B41">
        <w:rPr>
          <w:rFonts w:ascii="Arial" w:hAnsi="Arial"/>
          <w:lang w:val="es-CO"/>
        </w:rPr>
        <w:t>la</w:t>
      </w:r>
      <w:r w:rsidR="007E403B">
        <w:rPr>
          <w:rFonts w:ascii="Arial" w:hAnsi="Arial"/>
          <w:lang w:val="es-CO"/>
        </w:rPr>
        <w:t>s</w:t>
      </w:r>
      <w:r w:rsidR="000E3B41">
        <w:rPr>
          <w:rFonts w:ascii="Arial" w:hAnsi="Arial"/>
          <w:lang w:val="es-CO"/>
        </w:rPr>
        <w:t xml:space="preserve"> </w:t>
      </w:r>
      <w:r w:rsidR="00760ECB">
        <w:rPr>
          <w:rFonts w:ascii="Arial" w:hAnsi="Arial"/>
          <w:lang w:val="es-CO"/>
        </w:rPr>
        <w:t>carga</w:t>
      </w:r>
      <w:r w:rsidR="007E403B">
        <w:rPr>
          <w:rFonts w:ascii="Arial" w:hAnsi="Arial"/>
          <w:lang w:val="es-CO"/>
        </w:rPr>
        <w:t>s</w:t>
      </w:r>
      <w:r w:rsidR="00760ECB">
        <w:rPr>
          <w:rFonts w:ascii="Arial" w:hAnsi="Arial"/>
          <w:lang w:val="es-CO"/>
        </w:rPr>
        <w:t xml:space="preserve"> </w:t>
      </w:r>
      <w:r w:rsidR="000E3B41">
        <w:rPr>
          <w:rFonts w:ascii="Arial" w:hAnsi="Arial"/>
          <w:lang w:val="es-CO"/>
        </w:rPr>
        <w:t xml:space="preserve">de notificar los autos </w:t>
      </w:r>
      <w:proofErr w:type="spellStart"/>
      <w:r w:rsidR="000E3B41">
        <w:rPr>
          <w:rFonts w:ascii="Arial" w:hAnsi="Arial"/>
          <w:lang w:val="es-CO"/>
        </w:rPr>
        <w:t>admisorios</w:t>
      </w:r>
      <w:proofErr w:type="spellEnd"/>
      <w:r w:rsidR="000E3B41">
        <w:rPr>
          <w:rFonts w:ascii="Arial" w:hAnsi="Arial"/>
          <w:lang w:val="es-CO"/>
        </w:rPr>
        <w:t xml:space="preserve"> y </w:t>
      </w:r>
      <w:r w:rsidR="007E403B">
        <w:rPr>
          <w:rFonts w:ascii="Arial" w:hAnsi="Arial"/>
          <w:lang w:val="es-CO"/>
        </w:rPr>
        <w:t xml:space="preserve">de </w:t>
      </w:r>
      <w:r w:rsidR="000E3B41">
        <w:rPr>
          <w:rFonts w:ascii="Arial" w:hAnsi="Arial"/>
          <w:lang w:val="es-CO"/>
        </w:rPr>
        <w:t>publicar los avisos a la comunidad</w:t>
      </w:r>
      <w:r w:rsidR="00760ECB">
        <w:rPr>
          <w:rFonts w:ascii="Arial" w:hAnsi="Arial"/>
          <w:lang w:val="es-CO"/>
        </w:rPr>
        <w:t xml:space="preserve">. </w:t>
      </w:r>
    </w:p>
    <w:p w:rsidR="00760ECB" w:rsidRPr="00424EC5" w:rsidRDefault="00760ECB" w:rsidP="00566506">
      <w:pPr>
        <w:widowControl/>
        <w:spacing w:line="360" w:lineRule="auto"/>
        <w:jc w:val="both"/>
        <w:rPr>
          <w:rFonts w:ascii="Arial" w:hAnsi="Arial"/>
          <w:sz w:val="20"/>
          <w:lang w:val="es-CO"/>
        </w:rPr>
      </w:pPr>
    </w:p>
    <w:p w:rsidR="00A33758" w:rsidRDefault="00760ECB" w:rsidP="00566506">
      <w:pPr>
        <w:widowControl/>
        <w:spacing w:line="360" w:lineRule="auto"/>
        <w:jc w:val="both"/>
        <w:rPr>
          <w:rFonts w:ascii="Arial" w:hAnsi="Arial"/>
        </w:rPr>
      </w:pPr>
      <w:r>
        <w:rPr>
          <w:rFonts w:ascii="Arial" w:hAnsi="Arial"/>
          <w:lang w:val="es-CO"/>
        </w:rPr>
        <w:t xml:space="preserve">Los espacios de tiempo tomados por el juzgado para proferir sus decisiones no </w:t>
      </w:r>
      <w:r w:rsidR="007E403B">
        <w:rPr>
          <w:rFonts w:ascii="Arial" w:hAnsi="Arial"/>
          <w:lang w:val="es-CO"/>
        </w:rPr>
        <w:t xml:space="preserve">son </w:t>
      </w:r>
      <w:r>
        <w:rPr>
          <w:rFonts w:ascii="Arial" w:hAnsi="Arial"/>
          <w:lang w:val="es-CO"/>
        </w:rPr>
        <w:t xml:space="preserve">antojadizos ni desproporcionados, máxime cuando es de público conocimiento el alto cúmulo de </w:t>
      </w:r>
      <w:r w:rsidR="007E403B">
        <w:rPr>
          <w:rFonts w:ascii="Arial" w:hAnsi="Arial"/>
          <w:lang w:val="es-CO"/>
        </w:rPr>
        <w:t xml:space="preserve">asuntos </w:t>
      </w:r>
      <w:r>
        <w:rPr>
          <w:rFonts w:ascii="Arial" w:hAnsi="Arial"/>
          <w:lang w:val="es-CO"/>
        </w:rPr>
        <w:t xml:space="preserve">populares </w:t>
      </w:r>
      <w:r w:rsidR="007E403B">
        <w:rPr>
          <w:rFonts w:ascii="Arial" w:hAnsi="Arial"/>
        </w:rPr>
        <w:t>presentado</w:t>
      </w:r>
      <w:r w:rsidR="003D3F80">
        <w:rPr>
          <w:rFonts w:ascii="Arial" w:hAnsi="Arial"/>
        </w:rPr>
        <w:t>s</w:t>
      </w:r>
      <w:r w:rsidR="00A33758">
        <w:rPr>
          <w:rFonts w:ascii="Arial" w:hAnsi="Arial"/>
        </w:rPr>
        <w:t xml:space="preserve"> por el </w:t>
      </w:r>
      <w:r w:rsidR="001F7F0A">
        <w:rPr>
          <w:rFonts w:ascii="Arial" w:hAnsi="Arial"/>
        </w:rPr>
        <w:t>actor</w:t>
      </w:r>
      <w:r w:rsidR="00A33758">
        <w:rPr>
          <w:rFonts w:ascii="Arial" w:hAnsi="Arial"/>
        </w:rPr>
        <w:t xml:space="preserve"> ante esa autoridad judicial</w:t>
      </w:r>
      <w:r w:rsidR="000848B7">
        <w:rPr>
          <w:rFonts w:ascii="Arial" w:hAnsi="Arial"/>
        </w:rPr>
        <w:t>.</w:t>
      </w:r>
    </w:p>
    <w:p w:rsidR="004D732D" w:rsidRDefault="004D732D" w:rsidP="00AB25E8">
      <w:pPr>
        <w:widowControl/>
        <w:jc w:val="both"/>
        <w:rPr>
          <w:rFonts w:ascii="Arial" w:hAnsi="Arial"/>
        </w:rPr>
      </w:pPr>
    </w:p>
    <w:p w:rsidR="000E3B41" w:rsidRPr="009C0048" w:rsidRDefault="000E3B41" w:rsidP="009C0048">
      <w:pPr>
        <w:pStyle w:val="Paragraphedeliste"/>
        <w:widowControl/>
        <w:numPr>
          <w:ilvl w:val="1"/>
          <w:numId w:val="18"/>
        </w:numPr>
        <w:spacing w:line="360" w:lineRule="auto"/>
        <w:jc w:val="both"/>
        <w:rPr>
          <w:rFonts w:ascii="Arial" w:hAnsi="Arial"/>
          <w:smallCaps/>
        </w:rPr>
      </w:pPr>
      <w:r w:rsidRPr="009C0048">
        <w:rPr>
          <w:rFonts w:ascii="Arial" w:hAnsi="Arial"/>
          <w:smallCaps/>
        </w:rPr>
        <w:t>Inexistencia de hechos</w:t>
      </w:r>
    </w:p>
    <w:p w:rsidR="000E3B41" w:rsidRDefault="000E3B41" w:rsidP="00AB25E8">
      <w:pPr>
        <w:widowControl/>
        <w:jc w:val="both"/>
        <w:rPr>
          <w:rFonts w:ascii="Arial" w:hAnsi="Arial"/>
        </w:rPr>
      </w:pPr>
    </w:p>
    <w:p w:rsidR="000E3B41" w:rsidRDefault="000E3B41" w:rsidP="000E3B41">
      <w:pPr>
        <w:spacing w:line="360" w:lineRule="auto"/>
        <w:jc w:val="both"/>
        <w:rPr>
          <w:rFonts w:ascii="Arial" w:hAnsi="Arial" w:cs="Arial"/>
        </w:rPr>
      </w:pPr>
      <w:r>
        <w:rPr>
          <w:rFonts w:ascii="Arial" w:hAnsi="Arial" w:cs="Arial"/>
          <w:lang w:val="es-ES_tradnl"/>
        </w:rPr>
        <w:t xml:space="preserve">De otro lado, </w:t>
      </w:r>
      <w:r w:rsidR="007E403B">
        <w:rPr>
          <w:rFonts w:ascii="Arial" w:hAnsi="Arial" w:cs="Arial"/>
          <w:lang w:val="es-ES_tradnl"/>
        </w:rPr>
        <w:t xml:space="preserve">encuentra </w:t>
      </w:r>
      <w:r>
        <w:rPr>
          <w:rFonts w:ascii="Arial" w:hAnsi="Arial" w:cs="Arial"/>
          <w:lang w:val="es-ES_tradnl"/>
        </w:rPr>
        <w:t xml:space="preserve">la Sala que </w:t>
      </w:r>
      <w:r w:rsidR="007E403B">
        <w:rPr>
          <w:rFonts w:ascii="Arial" w:hAnsi="Arial" w:cs="Arial"/>
          <w:lang w:val="es-ES_tradnl"/>
        </w:rPr>
        <w:t xml:space="preserve">también </w:t>
      </w:r>
      <w:r>
        <w:rPr>
          <w:rFonts w:ascii="Arial" w:hAnsi="Arial" w:cs="Arial"/>
          <w:lang w:val="es-ES_tradnl"/>
        </w:rPr>
        <w:t xml:space="preserve">los </w:t>
      </w:r>
      <w:r w:rsidR="007E403B">
        <w:rPr>
          <w:rFonts w:ascii="Arial" w:hAnsi="Arial" w:cs="Arial"/>
          <w:lang w:val="es-ES_tradnl"/>
        </w:rPr>
        <w:t xml:space="preserve">petitorios </w:t>
      </w:r>
      <w:r>
        <w:rPr>
          <w:rFonts w:ascii="Arial" w:hAnsi="Arial" w:cs="Arial"/>
          <w:lang w:val="es-ES_tradnl"/>
        </w:rPr>
        <w:t xml:space="preserve">constitucionales están destinados al fracaso, debido a que son inexistentes los hechos generadores de la vulneración o amenaza al derecho fundamental invocado, en cuanto a que el Despacho Judicial </w:t>
      </w:r>
      <w:r w:rsidR="007E403B">
        <w:rPr>
          <w:rFonts w:ascii="Arial" w:hAnsi="Arial" w:cs="Arial"/>
          <w:lang w:val="es-ES_tradnl"/>
        </w:rPr>
        <w:t xml:space="preserve">negó los </w:t>
      </w:r>
      <w:r>
        <w:rPr>
          <w:rFonts w:ascii="Arial" w:hAnsi="Arial" w:cs="Arial"/>
          <w:lang w:val="es-ES_tradnl"/>
        </w:rPr>
        <w:t>desistimiento</w:t>
      </w:r>
      <w:r w:rsidR="007E403B">
        <w:rPr>
          <w:rFonts w:ascii="Arial" w:hAnsi="Arial" w:cs="Arial"/>
          <w:lang w:val="es-ES_tradnl"/>
        </w:rPr>
        <w:t>s</w:t>
      </w:r>
      <w:r>
        <w:rPr>
          <w:rFonts w:ascii="Arial" w:hAnsi="Arial" w:cs="Arial"/>
          <w:lang w:val="es-ES_tradnl"/>
        </w:rPr>
        <w:t xml:space="preserve"> que </w:t>
      </w:r>
      <w:r w:rsidR="007E403B">
        <w:rPr>
          <w:rFonts w:ascii="Arial" w:hAnsi="Arial" w:cs="Arial"/>
          <w:lang w:val="es-ES_tradnl"/>
        </w:rPr>
        <w:t xml:space="preserve">hiciera el actor </w:t>
      </w:r>
      <w:r>
        <w:rPr>
          <w:rFonts w:ascii="Arial" w:hAnsi="Arial" w:cs="Arial"/>
        </w:rPr>
        <w:t xml:space="preserve">de los trámites. </w:t>
      </w:r>
    </w:p>
    <w:p w:rsidR="000E3B41" w:rsidRDefault="000E3B41" w:rsidP="00AB25E8">
      <w:pPr>
        <w:jc w:val="both"/>
        <w:rPr>
          <w:rFonts w:ascii="Arial" w:hAnsi="Arial" w:cs="Arial"/>
        </w:rPr>
      </w:pPr>
    </w:p>
    <w:p w:rsidR="000E3B41" w:rsidRPr="000E3B41" w:rsidRDefault="000E3B41" w:rsidP="000E3B41">
      <w:pPr>
        <w:widowControl/>
        <w:spacing w:line="360" w:lineRule="auto"/>
        <w:jc w:val="both"/>
        <w:rPr>
          <w:rFonts w:ascii="Arial" w:hAnsi="Arial"/>
        </w:rPr>
      </w:pPr>
      <w:r>
        <w:rPr>
          <w:rFonts w:ascii="Arial" w:hAnsi="Arial" w:cs="Arial"/>
        </w:rPr>
        <w:t>Revisado el acervo probatorio, se tiene que carecen de peticiones en este sentido</w:t>
      </w:r>
      <w:r w:rsidR="009C0048">
        <w:rPr>
          <w:rFonts w:ascii="Arial" w:hAnsi="Arial" w:cs="Arial"/>
        </w:rPr>
        <w:t>;</w:t>
      </w:r>
      <w:r>
        <w:rPr>
          <w:rFonts w:ascii="Arial" w:hAnsi="Arial" w:cs="Arial"/>
        </w:rPr>
        <w:t xml:space="preserve"> </w:t>
      </w:r>
      <w:r w:rsidR="009C0048">
        <w:rPr>
          <w:rFonts w:ascii="Arial" w:hAnsi="Arial" w:cs="Arial"/>
        </w:rPr>
        <w:t xml:space="preserve">es inviable endilgar omisión alguna cuando ni siquiera se han presentado los memoriales correspondientes, de tal suerte, que se advierten </w:t>
      </w:r>
      <w:r>
        <w:rPr>
          <w:rFonts w:ascii="Arial" w:hAnsi="Arial" w:cs="Arial"/>
        </w:rPr>
        <w:t xml:space="preserve">ausentes los supuestos hechos vulneradores o amenazantes y, </w:t>
      </w:r>
      <w:r w:rsidR="009C0048">
        <w:rPr>
          <w:rFonts w:ascii="Arial" w:hAnsi="Arial" w:cs="Arial"/>
        </w:rPr>
        <w:t xml:space="preserve">se negarán </w:t>
      </w:r>
      <w:r>
        <w:rPr>
          <w:rFonts w:ascii="Arial" w:hAnsi="Arial" w:cs="Arial"/>
        </w:rPr>
        <w:t>los amparos constitucionales</w:t>
      </w:r>
      <w:r w:rsidR="009C0048">
        <w:rPr>
          <w:rFonts w:ascii="Arial" w:hAnsi="Arial" w:cs="Arial"/>
        </w:rPr>
        <w:t>.</w:t>
      </w:r>
    </w:p>
    <w:p w:rsidR="004D732D" w:rsidRDefault="004D732D" w:rsidP="00AB25E8">
      <w:pPr>
        <w:widowControl/>
        <w:jc w:val="both"/>
        <w:rPr>
          <w:rFonts w:ascii="Arial" w:hAnsi="Arial"/>
        </w:rPr>
      </w:pPr>
    </w:p>
    <w:p w:rsidR="009C0048" w:rsidRPr="009C0048" w:rsidRDefault="009C0048" w:rsidP="009C0048">
      <w:pPr>
        <w:pStyle w:val="Paragraphedeliste"/>
        <w:widowControl/>
        <w:numPr>
          <w:ilvl w:val="1"/>
          <w:numId w:val="18"/>
        </w:numPr>
        <w:spacing w:line="360" w:lineRule="auto"/>
        <w:jc w:val="both"/>
        <w:rPr>
          <w:rFonts w:ascii="Arial" w:hAnsi="Arial"/>
          <w:smallCaps/>
        </w:rPr>
      </w:pPr>
      <w:r w:rsidRPr="009C0048">
        <w:rPr>
          <w:rFonts w:ascii="Arial" w:hAnsi="Arial"/>
          <w:smallCaps/>
        </w:rPr>
        <w:t>La cosa juzgada constitucional y la temeridad</w:t>
      </w:r>
    </w:p>
    <w:p w:rsidR="009C0048" w:rsidRDefault="009C0048" w:rsidP="00AB25E8">
      <w:pPr>
        <w:widowControl/>
        <w:jc w:val="both"/>
        <w:rPr>
          <w:rFonts w:ascii="Arial" w:hAnsi="Arial"/>
        </w:rPr>
      </w:pPr>
    </w:p>
    <w:p w:rsidR="009C0048" w:rsidRPr="002128C2" w:rsidRDefault="009C0048" w:rsidP="009C0048">
      <w:pPr>
        <w:pStyle w:val="Corpsdetexte"/>
        <w:spacing w:line="360" w:lineRule="auto"/>
        <w:rPr>
          <w:rFonts w:ascii="Arial" w:hAnsi="Arial" w:cs="Arial"/>
          <w:szCs w:val="24"/>
        </w:rPr>
      </w:pPr>
      <w:r>
        <w:rPr>
          <w:rFonts w:ascii="Arial" w:hAnsi="Arial" w:cs="Arial"/>
          <w:szCs w:val="24"/>
        </w:rPr>
        <w:t xml:space="preserve">También se queja </w:t>
      </w:r>
      <w:r w:rsidRPr="002128C2">
        <w:rPr>
          <w:rFonts w:ascii="Arial" w:hAnsi="Arial" w:cs="Arial"/>
          <w:szCs w:val="24"/>
        </w:rPr>
        <w:t>el actor de la renuencia de la Defensoría del Pueblo, Regional 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9C0048" w:rsidRDefault="009C0048" w:rsidP="009C0048">
      <w:pPr>
        <w:pStyle w:val="Corpsdetexte"/>
        <w:spacing w:line="360" w:lineRule="auto"/>
        <w:rPr>
          <w:rFonts w:ascii="Arial" w:hAnsi="Arial" w:cs="Arial"/>
          <w:szCs w:val="24"/>
        </w:rPr>
      </w:pPr>
      <w:r>
        <w:rPr>
          <w:rFonts w:ascii="Arial" w:hAnsi="Arial" w:cs="Arial"/>
          <w:szCs w:val="24"/>
        </w:rPr>
        <w:lastRenderedPageBreak/>
        <w:t>Importa</w:t>
      </w:r>
      <w:r w:rsidRPr="009774F5">
        <w:rPr>
          <w:rFonts w:ascii="Arial" w:hAnsi="Arial" w:cs="Arial"/>
          <w:szCs w:val="24"/>
        </w:rPr>
        <w:t xml:space="preserve"> 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w:t>
      </w:r>
    </w:p>
    <w:p w:rsidR="009C0048" w:rsidRDefault="009C0048" w:rsidP="009C0048">
      <w:pPr>
        <w:pStyle w:val="Corpsdetexte"/>
        <w:spacing w:line="360" w:lineRule="auto"/>
        <w:rPr>
          <w:rFonts w:ascii="Arial" w:hAnsi="Arial" w:cs="Arial"/>
          <w:szCs w:val="24"/>
        </w:rPr>
      </w:pPr>
    </w:p>
    <w:p w:rsidR="009C0048" w:rsidRDefault="009C0048" w:rsidP="009C0048">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15"/>
      </w:r>
      <w:r>
        <w:rPr>
          <w:rFonts w:ascii="Arial" w:hAnsi="Arial"/>
          <w:szCs w:val="24"/>
          <w:lang w:val="es-ES"/>
        </w:rPr>
        <w:t>, inclusive, la Sala de Casación Civil de la CSJ, en tutela presentada contra esta Sala, resolvió un tema idéntico</w:t>
      </w:r>
      <w:r>
        <w:rPr>
          <w:rStyle w:val="Appelnotedebasdep"/>
          <w:rFonts w:ascii="Arial" w:hAnsi="Arial"/>
          <w:szCs w:val="24"/>
          <w:lang w:val="es-ES"/>
        </w:rPr>
        <w:footnoteReference w:id="16"/>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17"/>
      </w:r>
      <w:r>
        <w:rPr>
          <w:rFonts w:ascii="Arial" w:hAnsi="Arial"/>
          <w:szCs w:val="24"/>
          <w:lang w:val="es-ES"/>
        </w:rPr>
        <w:t xml:space="preserve">. Asuntos que fueron conocidos por </w:t>
      </w:r>
      <w:r>
        <w:rPr>
          <w:rFonts w:ascii="Arial" w:hAnsi="Arial"/>
          <w:szCs w:val="24"/>
          <w:lang w:val="es-CO"/>
        </w:rPr>
        <w:t xml:space="preserve">este Tribunal y </w:t>
      </w:r>
      <w:r>
        <w:rPr>
          <w:rFonts w:ascii="Arial" w:hAnsi="Arial"/>
          <w:szCs w:val="24"/>
          <w:lang w:val="es-ES"/>
        </w:rPr>
        <w:t>son de público conocimiento.</w:t>
      </w:r>
      <w:r>
        <w:rPr>
          <w:rFonts w:ascii="Arial" w:hAnsi="Arial"/>
          <w:b/>
          <w:szCs w:val="24"/>
          <w:lang w:val="es-ES"/>
        </w:rPr>
        <w:t xml:space="preserve"> </w:t>
      </w:r>
    </w:p>
    <w:p w:rsidR="009C0048" w:rsidRDefault="009C0048" w:rsidP="009C0048">
      <w:pPr>
        <w:pStyle w:val="Corpsdetexte"/>
        <w:spacing w:line="360" w:lineRule="auto"/>
        <w:rPr>
          <w:rFonts w:ascii="Arial" w:hAnsi="Arial"/>
          <w:b/>
          <w:szCs w:val="24"/>
          <w:lang w:val="es-ES"/>
        </w:rPr>
      </w:pPr>
    </w:p>
    <w:p w:rsidR="009C0048" w:rsidRDefault="009C0048" w:rsidP="009C0048">
      <w:pPr>
        <w:pStyle w:val="Corpsdetexte"/>
        <w:spacing w:line="360" w:lineRule="auto"/>
        <w:rPr>
          <w:rFonts w:ascii="Arial" w:hAnsi="Arial"/>
          <w:szCs w:val="24"/>
          <w:lang w:val="es-ES"/>
        </w:rPr>
      </w:pPr>
      <w:r w:rsidRPr="00515CCF">
        <w:rPr>
          <w:rFonts w:ascii="Arial" w:hAnsi="Arial"/>
          <w:szCs w:val="24"/>
          <w:lang w:val="es-ES"/>
        </w:rPr>
        <w:t>En consecuencia, es claro que el presente amparo es improcedente por el acaecimiento del fenómeno de la cosa juzgada constitucional, y así se declarará.</w:t>
      </w:r>
    </w:p>
    <w:p w:rsidR="009C0048" w:rsidRPr="00515CCF" w:rsidRDefault="009C0048" w:rsidP="009C0048">
      <w:pPr>
        <w:pStyle w:val="Corpsdetexte"/>
        <w:spacing w:line="360" w:lineRule="auto"/>
        <w:rPr>
          <w:rFonts w:ascii="Arial" w:hAnsi="Arial"/>
          <w:szCs w:val="24"/>
          <w:lang w:val="es-ES"/>
        </w:rPr>
      </w:pPr>
    </w:p>
    <w:p w:rsidR="009C0048" w:rsidRDefault="009C0048" w:rsidP="009C0048">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Pr>
          <w:rFonts w:ascii="Arial" w:hAnsi="Arial"/>
          <w:szCs w:val="24"/>
          <w:lang w:val="es-ES"/>
        </w:rPr>
        <w:t xml:space="preserve">al accionante </w:t>
      </w:r>
      <w:r w:rsidRPr="00515CCF">
        <w:rPr>
          <w:rFonts w:ascii="Arial" w:hAnsi="Arial"/>
          <w:szCs w:val="24"/>
          <w:lang w:val="es-ES"/>
        </w:rPr>
        <w:t xml:space="preserve">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9C0048" w:rsidRDefault="009C0048" w:rsidP="009C0048">
      <w:pPr>
        <w:pStyle w:val="Corpsdetexte"/>
        <w:spacing w:line="360" w:lineRule="auto"/>
        <w:rPr>
          <w:rFonts w:ascii="Arial" w:hAnsi="Arial"/>
          <w:szCs w:val="24"/>
          <w:lang w:val="es-ES"/>
        </w:rPr>
      </w:pPr>
    </w:p>
    <w:p w:rsidR="009C0048" w:rsidRPr="00515CCF" w:rsidRDefault="009C0048" w:rsidP="009C0048">
      <w:pPr>
        <w:pStyle w:val="Corpsdetexte"/>
        <w:spacing w:line="360" w:lineRule="auto"/>
        <w:rPr>
          <w:rFonts w:ascii="Arial" w:hAnsi="Arial" w:cs="Arial"/>
          <w:szCs w:val="24"/>
        </w:rPr>
      </w:pPr>
      <w:r>
        <w:rPr>
          <w:rFonts w:ascii="Arial" w:hAnsi="Arial"/>
          <w:szCs w:val="24"/>
          <w:lang w:val="es-ES"/>
        </w:rPr>
        <w:t xml:space="preserve">Cabe acotar que </w:t>
      </w:r>
      <w:r w:rsidR="00D41D77">
        <w:rPr>
          <w:rFonts w:ascii="Arial" w:hAnsi="Arial"/>
          <w:szCs w:val="24"/>
          <w:lang w:val="es-ES"/>
        </w:rPr>
        <w:t xml:space="preserve">la </w:t>
      </w:r>
      <w:r w:rsidR="007E403B">
        <w:rPr>
          <w:rFonts w:ascii="Arial" w:hAnsi="Arial"/>
          <w:szCs w:val="24"/>
          <w:lang w:val="es-ES"/>
        </w:rPr>
        <w:t xml:space="preserve">actividad del accionante no </w:t>
      </w:r>
      <w:r w:rsidR="00D41D77">
        <w:rPr>
          <w:rFonts w:ascii="Arial" w:hAnsi="Arial"/>
          <w:szCs w:val="24"/>
          <w:lang w:val="es-ES"/>
        </w:rPr>
        <w:t xml:space="preserve">se </w:t>
      </w:r>
      <w:r w:rsidR="007E403B">
        <w:rPr>
          <w:rFonts w:ascii="Arial" w:hAnsi="Arial"/>
          <w:szCs w:val="24"/>
          <w:lang w:val="es-ES"/>
        </w:rPr>
        <w:t xml:space="preserve">encuadra </w:t>
      </w:r>
      <w:r>
        <w:rPr>
          <w:rFonts w:ascii="Arial" w:hAnsi="Arial"/>
          <w:szCs w:val="24"/>
          <w:lang w:val="es-ES"/>
        </w:rPr>
        <w:t xml:space="preserve">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18"/>
      </w:r>
      <w:r>
        <w:rPr>
          <w:rFonts w:ascii="Arial" w:hAnsi="Arial" w:cs="Arial"/>
          <w:szCs w:val="22"/>
        </w:rPr>
        <w:t>.</w:t>
      </w:r>
      <w:r>
        <w:rPr>
          <w:rFonts w:ascii="Arial" w:hAnsi="Arial"/>
          <w:szCs w:val="24"/>
          <w:lang w:val="es-ES"/>
        </w:rPr>
        <w:t xml:space="preserve"> </w:t>
      </w:r>
      <w:r w:rsidR="00D41D77">
        <w:rPr>
          <w:rFonts w:ascii="Arial" w:hAnsi="Arial"/>
          <w:szCs w:val="24"/>
          <w:lang w:val="es-ES"/>
        </w:rPr>
        <w:t>En efecto, e</w:t>
      </w:r>
      <w:r>
        <w:rPr>
          <w:rFonts w:ascii="Arial" w:hAnsi="Arial"/>
          <w:szCs w:val="24"/>
          <w:lang w:val="es-ES"/>
        </w:rPr>
        <w:t xml:space="preserve">s un asiduo usuario de la administración de justicia, por lo que </w:t>
      </w:r>
      <w:r w:rsidR="007E403B">
        <w:rPr>
          <w:rFonts w:ascii="Arial" w:hAnsi="Arial"/>
          <w:szCs w:val="24"/>
          <w:lang w:val="es-CO"/>
        </w:rPr>
        <w:t xml:space="preserve">es </w:t>
      </w:r>
      <w:r w:rsidR="001F7F0A">
        <w:rPr>
          <w:rFonts w:ascii="Arial" w:hAnsi="Arial"/>
          <w:szCs w:val="24"/>
          <w:lang w:val="es-CO"/>
        </w:rPr>
        <w:t>impreciso</w:t>
      </w:r>
      <w:r w:rsidR="007E403B">
        <w:rPr>
          <w:rFonts w:ascii="Arial" w:hAnsi="Arial"/>
          <w:szCs w:val="24"/>
          <w:lang w:val="es-CO"/>
        </w:rPr>
        <w:t xml:space="preserve"> </w:t>
      </w:r>
      <w:r>
        <w:rPr>
          <w:rFonts w:ascii="Arial" w:hAnsi="Arial"/>
          <w:szCs w:val="24"/>
          <w:lang w:val="es-ES"/>
        </w:rPr>
        <w:t xml:space="preserve">considerarlo ignorante de las repercusiones de </w:t>
      </w:r>
      <w:r w:rsidR="00D41D77">
        <w:rPr>
          <w:rFonts w:ascii="Arial" w:hAnsi="Arial"/>
          <w:szCs w:val="24"/>
          <w:lang w:val="es-ES"/>
        </w:rPr>
        <w:t xml:space="preserve">promover repetidas peticiones de amparo; tampoco se </w:t>
      </w:r>
      <w:r>
        <w:rPr>
          <w:rFonts w:ascii="Arial" w:hAnsi="Arial"/>
          <w:szCs w:val="24"/>
          <w:lang w:val="es-ES"/>
        </w:rPr>
        <w:t>encuentra en estado de vulnerabilidad o indefensión</w:t>
      </w:r>
      <w:r w:rsidR="00D41D77">
        <w:rPr>
          <w:rFonts w:ascii="Arial" w:hAnsi="Arial"/>
          <w:szCs w:val="24"/>
          <w:lang w:val="es-ES"/>
        </w:rPr>
        <w:t>,</w:t>
      </w:r>
      <w:r>
        <w:rPr>
          <w:rFonts w:ascii="Arial" w:hAnsi="Arial"/>
          <w:szCs w:val="24"/>
          <w:lang w:val="es-ES"/>
        </w:rPr>
        <w:t xml:space="preserve"> ni </w:t>
      </w:r>
      <w:r w:rsidR="00D41D77">
        <w:rPr>
          <w:rFonts w:ascii="Arial" w:hAnsi="Arial"/>
          <w:szCs w:val="24"/>
          <w:lang w:val="es-ES"/>
        </w:rPr>
        <w:t xml:space="preserve">obra </w:t>
      </w:r>
      <w:r>
        <w:rPr>
          <w:rFonts w:ascii="Arial" w:hAnsi="Arial"/>
          <w:szCs w:val="24"/>
          <w:lang w:val="es-ES"/>
        </w:rPr>
        <w:t xml:space="preserve">por miedo insuperable o necesidad extrema; </w:t>
      </w:r>
      <w:r w:rsidR="00D41D77">
        <w:rPr>
          <w:rFonts w:ascii="Arial" w:hAnsi="Arial"/>
          <w:szCs w:val="24"/>
          <w:lang w:val="es-ES"/>
        </w:rPr>
        <w:t xml:space="preserve">el petitorio jamás se presentó con </w:t>
      </w:r>
      <w:r>
        <w:rPr>
          <w:rFonts w:ascii="Arial" w:hAnsi="Arial"/>
          <w:szCs w:val="24"/>
          <w:lang w:val="es-ES"/>
        </w:rPr>
        <w:t>ocasión de un asesoramiento equivocado</w:t>
      </w:r>
      <w:r w:rsidR="00D41D77">
        <w:rPr>
          <w:rFonts w:ascii="Arial" w:hAnsi="Arial"/>
          <w:szCs w:val="24"/>
          <w:lang w:val="es-ES"/>
        </w:rPr>
        <w:t>;</w:t>
      </w:r>
      <w:r>
        <w:rPr>
          <w:rFonts w:ascii="Arial" w:hAnsi="Arial"/>
          <w:szCs w:val="24"/>
          <w:lang w:val="es-ES"/>
        </w:rPr>
        <w:t xml:space="preserve"> inexisten hechos nuevos</w:t>
      </w:r>
      <w:r w:rsidR="00D41D77">
        <w:rPr>
          <w:rFonts w:ascii="Arial" w:hAnsi="Arial"/>
          <w:szCs w:val="24"/>
          <w:lang w:val="es-ES"/>
        </w:rPr>
        <w:t>;</w:t>
      </w:r>
      <w:r>
        <w:rPr>
          <w:rFonts w:ascii="Arial" w:hAnsi="Arial"/>
          <w:szCs w:val="24"/>
          <w:lang w:val="es-ES"/>
        </w:rPr>
        <w:t xml:space="preserve"> y</w:t>
      </w:r>
      <w:r w:rsidR="00D41D77">
        <w:rPr>
          <w:rFonts w:ascii="Arial" w:hAnsi="Arial"/>
          <w:szCs w:val="24"/>
          <w:lang w:val="es-ES"/>
        </w:rPr>
        <w:t>,</w:t>
      </w:r>
      <w:r>
        <w:rPr>
          <w:rFonts w:ascii="Arial" w:hAnsi="Arial"/>
          <w:szCs w:val="24"/>
          <w:lang w:val="es-ES"/>
        </w:rPr>
        <w:t xml:space="preserve"> </w:t>
      </w:r>
      <w:r w:rsidR="00D41D77">
        <w:rPr>
          <w:rFonts w:ascii="Arial" w:hAnsi="Arial"/>
          <w:szCs w:val="24"/>
          <w:lang w:val="es-ES"/>
        </w:rPr>
        <w:t xml:space="preserve">menos se ha proferido </w:t>
      </w:r>
      <w:r>
        <w:rPr>
          <w:rFonts w:ascii="Arial" w:hAnsi="Arial"/>
          <w:szCs w:val="24"/>
          <w:lang w:val="es-ES"/>
        </w:rPr>
        <w:t xml:space="preserve">sentencia unificadora que dé lugar a la interposición de la misma tutela. </w:t>
      </w:r>
    </w:p>
    <w:p w:rsidR="009C0048" w:rsidRPr="00515CCF" w:rsidRDefault="009C0048" w:rsidP="009C0048">
      <w:pPr>
        <w:pStyle w:val="Corpsdetexte"/>
        <w:spacing w:line="360" w:lineRule="auto"/>
        <w:rPr>
          <w:rFonts w:ascii="Arial" w:hAnsi="Arial" w:cs="Arial"/>
          <w:szCs w:val="24"/>
        </w:rPr>
      </w:pPr>
    </w:p>
    <w:p w:rsidR="009C0048" w:rsidRDefault="009C0048" w:rsidP="009C0048">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19"/>
      </w:r>
      <w:r w:rsidRPr="00515CCF">
        <w:rPr>
          <w:rFonts w:ascii="Arial" w:hAnsi="Arial"/>
        </w:rPr>
        <w:t xml:space="preserve"> que para declarar la existencia de la temeridad se debe verificar la existencia de alguna de las siguientes situaciones:</w:t>
      </w:r>
    </w:p>
    <w:p w:rsidR="009C0048" w:rsidRPr="007116B7" w:rsidRDefault="009C0048" w:rsidP="009C0048">
      <w:pPr>
        <w:spacing w:line="360" w:lineRule="auto"/>
        <w:jc w:val="both"/>
        <w:rPr>
          <w:rFonts w:ascii="Arial" w:hAnsi="Arial"/>
          <w:sz w:val="20"/>
        </w:rPr>
      </w:pPr>
    </w:p>
    <w:p w:rsidR="009C0048" w:rsidRPr="000848B7" w:rsidRDefault="009C0048" w:rsidP="009C0048">
      <w:pPr>
        <w:spacing w:line="360" w:lineRule="auto"/>
        <w:jc w:val="both"/>
        <w:rPr>
          <w:rFonts w:ascii="Arial" w:hAnsi="Arial" w:cs="Arial"/>
          <w:b/>
          <w:bCs/>
          <w:sz w:val="2"/>
          <w:szCs w:val="22"/>
        </w:rPr>
      </w:pPr>
    </w:p>
    <w:p w:rsidR="009C0048" w:rsidRPr="00F2155F" w:rsidRDefault="009C0048" w:rsidP="009C0048">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20"/>
      </w:r>
      <w:r w:rsidRPr="00F2155F">
        <w:rPr>
          <w:rFonts w:ascii="Arial" w:hAnsi="Arial" w:cs="Arial"/>
        </w:rPr>
        <w:t>-,  para sancionar pecuniariamente a los responsables</w:t>
      </w:r>
      <w:r w:rsidRPr="00F2155F">
        <w:rPr>
          <w:rStyle w:val="Appelnotedebasdep"/>
          <w:rFonts w:ascii="Arial" w:hAnsi="Arial" w:cs="Arial"/>
        </w:rPr>
        <w:footnoteReference w:id="2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22"/>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23"/>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24"/>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25"/>
      </w:r>
      <w:r w:rsidRPr="00F2155F">
        <w:rPr>
          <w:rFonts w:ascii="Arial" w:hAnsi="Arial" w:cs="Arial"/>
          <w:i/>
          <w:iCs/>
        </w:rPr>
        <w:t>.</w:t>
      </w:r>
      <w:r w:rsidRPr="00F2155F">
        <w:rPr>
          <w:rFonts w:ascii="Arial" w:hAnsi="Arial" w:cs="Arial"/>
          <w:iCs/>
        </w:rPr>
        <w:t xml:space="preserve">  El resaltado es propio de esta Colegiatura.</w:t>
      </w:r>
    </w:p>
    <w:p w:rsidR="009C0048" w:rsidRDefault="009C0048" w:rsidP="009C0048">
      <w:pPr>
        <w:spacing w:line="360" w:lineRule="auto"/>
        <w:ind w:right="51"/>
        <w:jc w:val="both"/>
        <w:rPr>
          <w:rFonts w:ascii="Arial" w:hAnsi="Arial"/>
        </w:rPr>
      </w:pPr>
    </w:p>
    <w:p w:rsidR="009C0048" w:rsidRDefault="009C0048" w:rsidP="009C0048">
      <w:pPr>
        <w:spacing w:line="360" w:lineRule="auto"/>
        <w:jc w:val="both"/>
        <w:rPr>
          <w:rFonts w:ascii="Arial" w:hAnsi="Arial" w:cs="Arial"/>
          <w:spacing w:val="-3"/>
          <w:lang w:val="es-CO"/>
        </w:rPr>
      </w:pPr>
      <w:r>
        <w:rPr>
          <w:rFonts w:ascii="Arial" w:hAnsi="Arial"/>
        </w:rPr>
        <w:t xml:space="preserve">Así las cosas, en aplicación del inciso 3º del artículo 25 del Decreto 2591 de 1991, se condenará en </w:t>
      </w:r>
      <w:r w:rsidRPr="009C0048">
        <w:rPr>
          <w:rFonts w:ascii="Arial" w:hAnsi="Arial"/>
          <w:i/>
        </w:rPr>
        <w:t>“costas”</w:t>
      </w:r>
      <w:r>
        <w:rPr>
          <w:rStyle w:val="Appelnotedebasdep"/>
          <w:rFonts w:ascii="Arial" w:hAnsi="Arial"/>
        </w:rPr>
        <w:footnoteReference w:id="26"/>
      </w:r>
      <w:r>
        <w:rPr>
          <w:rFonts w:ascii="Arial" w:hAnsi="Arial"/>
        </w:rPr>
        <w:t xml:space="preserve"> al señor Javier Elías Arias </w:t>
      </w:r>
      <w:proofErr w:type="spellStart"/>
      <w:r>
        <w:rPr>
          <w:rFonts w:ascii="Arial" w:hAnsi="Arial"/>
        </w:rPr>
        <w:t>Idárraga</w:t>
      </w:r>
      <w:proofErr w:type="spellEnd"/>
      <w:r>
        <w:rPr>
          <w:rFonts w:ascii="Arial" w:hAnsi="Arial"/>
        </w:rPr>
        <w:t>,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w:t>
      </w:r>
      <w:proofErr w:type="spellStart"/>
      <w:r>
        <w:rPr>
          <w:rFonts w:ascii="Arial" w:hAnsi="Arial"/>
        </w:rPr>
        <w:t>smmlv</w:t>
      </w:r>
      <w:proofErr w:type="spellEnd"/>
      <w:r>
        <w:rPr>
          <w:rFonts w:ascii="Arial" w:hAnsi="Arial"/>
        </w:rPr>
        <w:t xml:space="preserve">,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r>
        <w:rPr>
          <w:rFonts w:ascii="Arial" w:hAnsi="Arial" w:cs="Arial"/>
          <w:spacing w:val="-3"/>
          <w:lang w:val="es-CO"/>
        </w:rPr>
        <w:t xml:space="preserve">En el petitorio de tutela no reportó dirección física para notificaciones, pero informó que las recibiría en el correo electrónico </w:t>
      </w:r>
      <w:hyperlink r:id="rId10" w:history="1">
        <w:r w:rsidRPr="009C0048">
          <w:rPr>
            <w:rStyle w:val="Lienhypertexte"/>
            <w:rFonts w:ascii="Arial" w:hAnsi="Arial" w:cs="Arial"/>
            <w:color w:val="000000" w:themeColor="text1"/>
            <w:spacing w:val="-3"/>
            <w:u w:val="none"/>
            <w:lang w:val="es-CO"/>
          </w:rPr>
          <w:t>dinosaurio013@hotmail.com</w:t>
        </w:r>
      </w:hyperlink>
      <w:r w:rsidRPr="009C0048">
        <w:rPr>
          <w:rFonts w:ascii="Arial" w:hAnsi="Arial" w:cs="Arial"/>
          <w:color w:val="000000" w:themeColor="text1"/>
          <w:spacing w:val="-3"/>
          <w:lang w:val="es-CO"/>
        </w:rPr>
        <w:t xml:space="preserve"> </w:t>
      </w:r>
      <w:r>
        <w:rPr>
          <w:rFonts w:ascii="Arial" w:hAnsi="Arial" w:cs="Arial"/>
          <w:spacing w:val="-3"/>
          <w:lang w:val="es-CO"/>
        </w:rPr>
        <w:t>(</w:t>
      </w:r>
      <w:r>
        <w:rPr>
          <w:rFonts w:ascii="Arial" w:hAnsi="Arial" w:cs="Arial"/>
          <w:spacing w:val="-3"/>
        </w:rPr>
        <w:t xml:space="preserve">Circular </w:t>
      </w:r>
      <w:r w:rsidRPr="00D54CD1">
        <w:rPr>
          <w:rFonts w:ascii="Arial" w:hAnsi="Arial" w:cs="Arial"/>
          <w:spacing w:val="-3"/>
        </w:rPr>
        <w:t>DESAJPEC17-3</w:t>
      </w:r>
      <w:r>
        <w:rPr>
          <w:rFonts w:ascii="Arial" w:hAnsi="Arial" w:cs="Arial"/>
          <w:spacing w:val="-3"/>
        </w:rPr>
        <w:t xml:space="preserve"> de 16-03-2017)</w:t>
      </w:r>
      <w:r w:rsidRPr="006722D7">
        <w:rPr>
          <w:rFonts w:ascii="Arial" w:hAnsi="Arial" w:cs="Arial"/>
          <w:spacing w:val="-3"/>
          <w:lang w:val="es-CO"/>
        </w:rPr>
        <w:t>.</w:t>
      </w:r>
      <w:r>
        <w:rPr>
          <w:rFonts w:ascii="Arial" w:hAnsi="Arial" w:cs="Arial"/>
          <w:spacing w:val="-3"/>
          <w:lang w:val="es-CO"/>
        </w:rPr>
        <w:t xml:space="preserve"> </w:t>
      </w:r>
    </w:p>
    <w:p w:rsidR="009C0048" w:rsidRPr="009C0048" w:rsidRDefault="009C0048" w:rsidP="009C0048">
      <w:pPr>
        <w:widowControl/>
        <w:spacing w:line="360" w:lineRule="auto"/>
        <w:jc w:val="both"/>
        <w:rPr>
          <w:rFonts w:ascii="Arial" w:hAnsi="Arial"/>
        </w:rPr>
      </w:pPr>
    </w:p>
    <w:p w:rsidR="00FF5B57" w:rsidRDefault="00FF5B57" w:rsidP="009C0048">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424EC5" w:rsidRDefault="00AC77C2" w:rsidP="00AC77C2">
      <w:pPr>
        <w:pStyle w:val="Corpsdetexte"/>
        <w:spacing w:line="360" w:lineRule="auto"/>
        <w:ind w:left="585"/>
        <w:rPr>
          <w:rFonts w:ascii="Arial" w:hAnsi="Arial"/>
          <w:sz w:val="20"/>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357C99">
        <w:rPr>
          <w:rFonts w:ascii="Arial" w:hAnsi="Arial" w:cs="Arial"/>
          <w:szCs w:val="24"/>
          <w:lang w:val="es-ES"/>
        </w:rPr>
        <w:t xml:space="preserve"> Se negarán los amparos por inexistencia de vulneración o amenaza del derecho fundamental al debido proceso</w:t>
      </w:r>
      <w:r w:rsidR="00C86CC1">
        <w:rPr>
          <w:rFonts w:ascii="Arial" w:hAnsi="Arial" w:cs="Arial"/>
          <w:szCs w:val="24"/>
          <w:lang w:val="es-ES"/>
        </w:rPr>
        <w:t xml:space="preserve"> por </w:t>
      </w:r>
      <w:r w:rsidR="00C86CC1">
        <w:rPr>
          <w:rFonts w:ascii="Arial" w:hAnsi="Arial" w:cs="Arial"/>
          <w:szCs w:val="24"/>
          <w:lang w:val="es-ES"/>
        </w:rPr>
        <w:lastRenderedPageBreak/>
        <w:t>mora judicial</w:t>
      </w:r>
      <w:r w:rsidR="009C0048">
        <w:rPr>
          <w:rFonts w:ascii="Arial" w:hAnsi="Arial" w:cs="Arial"/>
          <w:szCs w:val="24"/>
          <w:lang w:val="es-ES"/>
        </w:rPr>
        <w:t xml:space="preserve">, también por </w:t>
      </w:r>
      <w:r w:rsidR="00D41D77">
        <w:rPr>
          <w:rFonts w:ascii="Arial" w:hAnsi="Arial" w:cs="Arial"/>
          <w:szCs w:val="24"/>
          <w:lang w:val="es-ES"/>
        </w:rPr>
        <w:t>inexistencia</w:t>
      </w:r>
      <w:r w:rsidR="009C0048">
        <w:rPr>
          <w:rFonts w:ascii="Arial" w:hAnsi="Arial" w:cs="Arial"/>
          <w:szCs w:val="24"/>
          <w:lang w:val="es-ES"/>
        </w:rPr>
        <w:t xml:space="preserve"> de hechos, pues nunca se solicitó el desistimiento de las acciones populares</w:t>
      </w:r>
      <w:r w:rsidR="006E5BE8">
        <w:rPr>
          <w:rFonts w:ascii="Arial" w:hAnsi="Arial" w:cs="Arial"/>
          <w:szCs w:val="24"/>
          <w:lang w:val="es-ES"/>
        </w:rPr>
        <w:t>;</w:t>
      </w:r>
      <w:r w:rsidR="009C0048">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 xml:space="preserve">s </w:t>
      </w:r>
      <w:r w:rsidR="00357C99">
        <w:rPr>
          <w:rFonts w:ascii="Arial" w:hAnsi="Arial" w:cs="Arial"/>
        </w:rPr>
        <w:t xml:space="preserve">respecto </w:t>
      </w:r>
      <w:r w:rsidR="00760ECB">
        <w:rPr>
          <w:rFonts w:ascii="Arial" w:hAnsi="Arial" w:cs="Arial"/>
        </w:rPr>
        <w:t>de la Procuraduría General de la Nación</w:t>
      </w:r>
      <w:r w:rsidR="009C0048">
        <w:rPr>
          <w:rFonts w:ascii="Arial" w:hAnsi="Arial" w:cs="Arial"/>
        </w:rPr>
        <w:t xml:space="preserve">, Regionales de Cundinamarca y </w:t>
      </w:r>
      <w:r w:rsidR="00D41D77">
        <w:rPr>
          <w:rFonts w:ascii="Arial" w:hAnsi="Arial" w:cs="Arial"/>
        </w:rPr>
        <w:t>Cesar</w:t>
      </w:r>
      <w:r w:rsidR="009C0048">
        <w:rPr>
          <w:rFonts w:ascii="Arial" w:hAnsi="Arial" w:cs="Arial"/>
        </w:rPr>
        <w:t xml:space="preserve">, y </w:t>
      </w:r>
      <w:r w:rsidR="00760ECB">
        <w:rPr>
          <w:rFonts w:ascii="Arial" w:hAnsi="Arial" w:cs="Arial"/>
        </w:rPr>
        <w:t>la D</w:t>
      </w:r>
      <w:r w:rsidR="009C0048">
        <w:rPr>
          <w:rFonts w:ascii="Arial" w:hAnsi="Arial" w:cs="Arial"/>
        </w:rPr>
        <w:t>efensoría del Pueblo, Regional</w:t>
      </w:r>
      <w:r w:rsidR="00760ECB">
        <w:rPr>
          <w:rFonts w:ascii="Arial" w:hAnsi="Arial" w:cs="Arial"/>
        </w:rPr>
        <w:t xml:space="preserve"> </w:t>
      </w:r>
      <w:r w:rsidR="009C0048">
        <w:rPr>
          <w:rFonts w:ascii="Arial" w:hAnsi="Arial" w:cs="Arial"/>
        </w:rPr>
        <w:t>Caldas</w:t>
      </w:r>
      <w:r w:rsidR="006E5BE8">
        <w:rPr>
          <w:rFonts w:ascii="Arial" w:hAnsi="Arial" w:cs="Arial"/>
        </w:rPr>
        <w:t>; y, (iii) Se condenará en costas a cargo del actor, conforme lo expuesto</w:t>
      </w:r>
      <w:r w:rsidR="00424EC5" w:rsidRPr="003C1983">
        <w:rPr>
          <w:rFonts w:ascii="Arial" w:hAnsi="Arial" w:cs="Arial"/>
          <w:szCs w:val="24"/>
        </w:rPr>
        <w:t>.</w:t>
      </w:r>
    </w:p>
    <w:p w:rsidR="006E5BE8"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424EC5"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9C0048" w:rsidRDefault="00357C99" w:rsidP="009C0048">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C86CC1">
        <w:rPr>
          <w:rFonts w:ascii="Arial" w:hAnsi="Arial" w:cs="Arial"/>
        </w:rPr>
        <w:t>los</w:t>
      </w:r>
      <w:r w:rsidR="00AE6C59">
        <w:rPr>
          <w:rFonts w:ascii="Arial" w:hAnsi="Arial" w:cs="Arial"/>
        </w:rPr>
        <w:t xml:space="preserve"> amparo</w:t>
      </w:r>
      <w:r w:rsidR="00C86CC1">
        <w:rPr>
          <w:rFonts w:ascii="Arial" w:hAnsi="Arial" w:cs="Arial"/>
        </w:rPr>
        <w:t>s</w:t>
      </w:r>
      <w:r w:rsidR="00AE6C59">
        <w:rPr>
          <w:rFonts w:ascii="Arial" w:hAnsi="Arial" w:cs="Arial"/>
        </w:rPr>
        <w:t xml:space="preserve"> constitucional</w:t>
      </w:r>
      <w:r w:rsidR="00C86CC1">
        <w:rPr>
          <w:rFonts w:ascii="Arial" w:hAnsi="Arial" w:cs="Arial"/>
        </w:rPr>
        <w:t>es</w:t>
      </w:r>
      <w:r w:rsidR="00AE6C59">
        <w:rPr>
          <w:rFonts w:ascii="Arial" w:hAnsi="Arial" w:cs="Arial"/>
        </w:rPr>
        <w:t xml:space="preserve"> presentado</w:t>
      </w:r>
      <w:r w:rsidR="00C86CC1">
        <w:rPr>
          <w:rFonts w:ascii="Arial" w:hAnsi="Arial" w:cs="Arial"/>
        </w:rPr>
        <w:t>s</w:t>
      </w:r>
      <w:r w:rsidRPr="00A71827">
        <w:rPr>
          <w:rFonts w:ascii="Arial" w:hAnsi="Arial" w:cs="Arial"/>
        </w:rPr>
        <w:t xml:space="preserve"> por el señor Arias Idárraga </w:t>
      </w:r>
      <w:r w:rsidR="00FF5B57" w:rsidRPr="00A71827">
        <w:rPr>
          <w:rFonts w:ascii="Arial" w:hAnsi="Arial" w:cs="Arial"/>
        </w:rPr>
        <w:t xml:space="preserve"> </w:t>
      </w:r>
      <w:r w:rsidRPr="00A71827">
        <w:rPr>
          <w:rFonts w:ascii="Arial" w:hAnsi="Arial" w:cs="Arial"/>
        </w:rPr>
        <w:t xml:space="preserve">contra el </w:t>
      </w:r>
      <w:r w:rsidR="00C86CC1">
        <w:rPr>
          <w:rFonts w:ascii="Arial" w:hAnsi="Arial" w:cs="Arial"/>
        </w:rPr>
        <w:t xml:space="preserve">Juzgado </w:t>
      </w:r>
      <w:r w:rsidR="009C0048">
        <w:rPr>
          <w:rFonts w:ascii="Arial" w:hAnsi="Arial" w:cs="Arial"/>
        </w:rPr>
        <w:t>Tercero Civil del Circuito de Pereira</w:t>
      </w:r>
      <w:r w:rsidR="0023296A" w:rsidRPr="00A71827">
        <w:rPr>
          <w:rFonts w:ascii="Arial" w:hAnsi="Arial" w:cs="Arial"/>
        </w:rPr>
        <w:t>.</w:t>
      </w:r>
    </w:p>
    <w:p w:rsidR="009C0048" w:rsidRDefault="009C0048" w:rsidP="009C0048">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6E5BE8" w:rsidRDefault="00357C99" w:rsidP="006E5BE8">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C0048">
        <w:rPr>
          <w:rFonts w:ascii="Arial" w:hAnsi="Arial"/>
        </w:rPr>
        <w:t>DECLARAR</w:t>
      </w:r>
      <w:r w:rsidR="00AE6C59" w:rsidRPr="009C0048">
        <w:rPr>
          <w:rFonts w:ascii="Arial" w:hAnsi="Arial" w:cs="Arial"/>
        </w:rPr>
        <w:t xml:space="preserve"> improcedente</w:t>
      </w:r>
      <w:r w:rsidR="00424EC5" w:rsidRPr="009C0048">
        <w:rPr>
          <w:rFonts w:ascii="Arial" w:hAnsi="Arial" w:cs="Arial"/>
        </w:rPr>
        <w:t>s</w:t>
      </w:r>
      <w:r w:rsidRPr="009C0048">
        <w:rPr>
          <w:rFonts w:ascii="Arial" w:hAnsi="Arial" w:cs="Arial"/>
        </w:rPr>
        <w:t xml:space="preserve"> </w:t>
      </w:r>
      <w:r w:rsidR="00AE6C59" w:rsidRPr="009C0048">
        <w:rPr>
          <w:rFonts w:ascii="Arial" w:hAnsi="Arial" w:cs="Arial"/>
        </w:rPr>
        <w:t>la</w:t>
      </w:r>
      <w:r w:rsidR="00C86CC1" w:rsidRPr="009C0048">
        <w:rPr>
          <w:rFonts w:ascii="Arial" w:hAnsi="Arial" w:cs="Arial"/>
        </w:rPr>
        <w:t>s</w:t>
      </w:r>
      <w:r w:rsidR="00AE6C59" w:rsidRPr="009C0048">
        <w:rPr>
          <w:rFonts w:ascii="Arial" w:hAnsi="Arial" w:cs="Arial"/>
        </w:rPr>
        <w:t xml:space="preserve"> tutela</w:t>
      </w:r>
      <w:r w:rsidR="00C86CC1" w:rsidRPr="009C0048">
        <w:rPr>
          <w:rFonts w:ascii="Arial" w:hAnsi="Arial" w:cs="Arial"/>
        </w:rPr>
        <w:t>s</w:t>
      </w:r>
      <w:r w:rsidRPr="009C0048">
        <w:rPr>
          <w:rFonts w:ascii="Arial" w:hAnsi="Arial" w:cs="Arial"/>
        </w:rPr>
        <w:t xml:space="preserve"> </w:t>
      </w:r>
      <w:r w:rsidR="00AE6C59" w:rsidRPr="009C0048">
        <w:rPr>
          <w:rFonts w:ascii="Arial" w:hAnsi="Arial" w:cs="Arial"/>
        </w:rPr>
        <w:t>propuesta</w:t>
      </w:r>
      <w:r w:rsidR="00C86CC1" w:rsidRPr="009C0048">
        <w:rPr>
          <w:rFonts w:ascii="Arial" w:hAnsi="Arial" w:cs="Arial"/>
        </w:rPr>
        <w:t>s</w:t>
      </w:r>
      <w:r w:rsidRPr="009C0048">
        <w:rPr>
          <w:rFonts w:ascii="Arial" w:hAnsi="Arial" w:cs="Arial"/>
        </w:rPr>
        <w:t xml:space="preserve"> </w:t>
      </w:r>
      <w:r w:rsidR="009C0048" w:rsidRPr="009C0048">
        <w:rPr>
          <w:rFonts w:ascii="Arial" w:hAnsi="Arial" w:cs="Arial"/>
        </w:rPr>
        <w:t xml:space="preserve">Procuraduría General de la Nación, Regionales de Cundinamarca y </w:t>
      </w:r>
      <w:r w:rsidR="00D41D77">
        <w:rPr>
          <w:rFonts w:ascii="Arial" w:hAnsi="Arial" w:cs="Arial"/>
        </w:rPr>
        <w:t>Cesar</w:t>
      </w:r>
      <w:r w:rsidR="009C0048" w:rsidRPr="009C0048">
        <w:rPr>
          <w:rFonts w:ascii="Arial" w:hAnsi="Arial" w:cs="Arial"/>
        </w:rPr>
        <w:t>, y la Defensoría del Pueblo, Regional Caldas.</w:t>
      </w:r>
    </w:p>
    <w:p w:rsidR="006E5BE8" w:rsidRPr="006E5BE8" w:rsidRDefault="006E5BE8" w:rsidP="006E5BE8">
      <w:pPr>
        <w:pStyle w:val="Paragraphedeliste"/>
        <w:rPr>
          <w:rFonts w:ascii="Arial" w:hAnsi="Arial" w:cs="Arial"/>
        </w:rPr>
      </w:pPr>
    </w:p>
    <w:p w:rsidR="006E5BE8" w:rsidRPr="006E5BE8" w:rsidRDefault="006E5BE8" w:rsidP="006E5BE8">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cs="Arial"/>
        </w:rPr>
        <w:t xml:space="preserve">CONDENAR en “costas” al señor Javier Elías Arias  </w:t>
      </w:r>
      <w:proofErr w:type="spellStart"/>
      <w:r w:rsidRPr="006E5BE8">
        <w:rPr>
          <w:rFonts w:ascii="Arial" w:hAnsi="Arial" w:cs="Arial"/>
        </w:rPr>
        <w:t>Idárraga</w:t>
      </w:r>
      <w:proofErr w:type="spellEnd"/>
      <w:r w:rsidRPr="006E5BE8">
        <w:rPr>
          <w:rFonts w:ascii="Arial" w:hAnsi="Arial" w:cs="Arial"/>
        </w:rPr>
        <w:t xml:space="preserve">, </w:t>
      </w:r>
      <w:r w:rsidRPr="006E5BE8">
        <w:rPr>
          <w:rFonts w:ascii="Arial" w:hAnsi="Arial"/>
        </w:rPr>
        <w:t>identificado con la cédula de ciudadanía No.10.141.947,</w:t>
      </w:r>
      <w:r w:rsidRPr="006E5BE8">
        <w:rPr>
          <w:rFonts w:ascii="Arial" w:hAnsi="Arial" w:cs="Arial"/>
        </w:rPr>
        <w:t xml:space="preserve">  </w:t>
      </w:r>
      <w:r w:rsidRPr="006E5BE8">
        <w:rPr>
          <w:rFonts w:ascii="Arial" w:hAnsi="Arial"/>
        </w:rPr>
        <w:t xml:space="preserve">a favor del Consejo Superior de la Judicatura, en la suma de un (1) </w:t>
      </w:r>
      <w:proofErr w:type="spellStart"/>
      <w:r w:rsidRPr="006E5BE8">
        <w:rPr>
          <w:rFonts w:ascii="Arial" w:hAnsi="Arial"/>
        </w:rPr>
        <w:t>smmlv</w:t>
      </w:r>
      <w:proofErr w:type="spellEnd"/>
      <w:r w:rsidRPr="006E5BE8">
        <w:rPr>
          <w:rFonts w:ascii="Arial" w:hAnsi="Arial"/>
        </w:rPr>
        <w:t>, que deberá pagar en un término de tres (3) días, -contados a partir de la notificación esta providencia, en la cuenta No.3-0070-000030-4 del Banco Agrario de Colombia.</w:t>
      </w:r>
    </w:p>
    <w:p w:rsidR="006E5BE8" w:rsidRPr="006E5BE8" w:rsidRDefault="006E5BE8" w:rsidP="006E5BE8">
      <w:pPr>
        <w:pStyle w:val="Paragraphedeliste"/>
        <w:rPr>
          <w:rFonts w:ascii="Arial" w:hAnsi="Arial"/>
        </w:rPr>
      </w:pPr>
    </w:p>
    <w:p w:rsidR="006E5BE8" w:rsidRPr="006E5BE8" w:rsidRDefault="006E5BE8" w:rsidP="006E5BE8">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rPr>
        <w:t xml:space="preserve">En caso </w:t>
      </w:r>
      <w:r w:rsidRPr="006E5BE8">
        <w:rPr>
          <w:rFonts w:ascii="Arial" w:hAnsi="Arial"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6E5BE8" w:rsidRPr="00A67FA2" w:rsidRDefault="006E5BE8" w:rsidP="006E5BE8">
      <w:pPr>
        <w:pStyle w:val="Paragraphedeliste"/>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r w:rsidRPr="0069231C">
        <w:rPr>
          <w:rFonts w:ascii="Arial" w:hAnsi="Arial"/>
          <w:smallCaps/>
          <w:szCs w:val="24"/>
          <w:lang w:val="en-US"/>
        </w:rPr>
        <w:t>Notifíquese,</w:t>
      </w:r>
    </w:p>
    <w:p w:rsidR="00DA569C" w:rsidRPr="0069231C" w:rsidRDefault="00DA569C" w:rsidP="00417DA5">
      <w:pPr>
        <w:pStyle w:val="Corpsdetexte"/>
        <w:spacing w:line="360" w:lineRule="auto"/>
        <w:jc w:val="center"/>
        <w:rPr>
          <w:rFonts w:ascii="Arial" w:hAnsi="Arial"/>
          <w:sz w:val="2"/>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23520"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9C0048">
        <w:rPr>
          <w:rFonts w:ascii="Arial" w:hAnsi="Arial"/>
          <w:w w:val="150"/>
          <w:sz w:val="8"/>
          <w:szCs w:val="10"/>
          <w:lang w:val="en-US"/>
        </w:rPr>
        <w:t>2017</w:t>
      </w:r>
    </w:p>
    <w:sectPr w:rsidR="00E606C4" w:rsidSect="004E71F0">
      <w:headerReference w:type="default" r:id="rId11"/>
      <w:footerReference w:type="default" r:id="rId12"/>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76" w:rsidRDefault="00F66076" w:rsidP="0099045D">
      <w:r>
        <w:separator/>
      </w:r>
    </w:p>
  </w:endnote>
  <w:endnote w:type="continuationSeparator" w:id="0">
    <w:p w:rsidR="00F66076" w:rsidRDefault="00F6607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76" w:rsidRDefault="00F66076" w:rsidP="0099045D">
      <w:r>
        <w:separator/>
      </w:r>
    </w:p>
  </w:footnote>
  <w:footnote w:type="continuationSeparator" w:id="0">
    <w:p w:rsidR="00F66076" w:rsidRDefault="00F66076" w:rsidP="0099045D">
      <w:r>
        <w:continuationSeparator/>
      </w:r>
    </w:p>
  </w:footnote>
  <w:footnote w:id="1">
    <w:p w:rsidR="001842E5" w:rsidRPr="00AB25E8" w:rsidRDefault="001842E5" w:rsidP="001842E5">
      <w:pPr>
        <w:pStyle w:val="Notedebasdepage"/>
        <w:rPr>
          <w:rFonts w:ascii="Calibri" w:hAnsi="Calibri"/>
          <w:lang w:val="fr-FR"/>
        </w:rPr>
      </w:pPr>
      <w:r>
        <w:rPr>
          <w:rStyle w:val="Appelnotedebasdep"/>
          <w:rFonts w:ascii="Calibri" w:hAnsi="Calibri"/>
        </w:rPr>
        <w:footnoteRef/>
      </w:r>
      <w:r w:rsidRPr="00AB25E8">
        <w:rPr>
          <w:rFonts w:ascii="Calibri" w:hAnsi="Calibri"/>
          <w:lang w:val="fr-FR"/>
        </w:rPr>
        <w:t xml:space="preserve"> CC. T-382 de 2016</w:t>
      </w:r>
    </w:p>
  </w:footnote>
  <w:footnote w:id="2">
    <w:p w:rsidR="001842E5" w:rsidRPr="00AB25E8" w:rsidRDefault="001842E5" w:rsidP="001842E5">
      <w:pPr>
        <w:pStyle w:val="Notedebasdepage"/>
        <w:rPr>
          <w:rFonts w:ascii="Calibri" w:hAnsi="Calibri"/>
          <w:lang w:val="fr-FR"/>
        </w:rPr>
      </w:pPr>
      <w:r>
        <w:rPr>
          <w:rStyle w:val="Appelnotedebasdep"/>
          <w:rFonts w:ascii="Calibri" w:hAnsi="Calibri"/>
        </w:rPr>
        <w:footnoteRef/>
      </w:r>
      <w:r w:rsidRPr="00AB25E8">
        <w:rPr>
          <w:rFonts w:ascii="Calibri" w:hAnsi="Calibri"/>
          <w:lang w:val="fr-FR"/>
        </w:rPr>
        <w:t xml:space="preserve"> CC. T–1191 de 2004 </w:t>
      </w:r>
    </w:p>
  </w:footnote>
  <w:footnote w:id="3">
    <w:p w:rsidR="001842E5" w:rsidRPr="00AB25E8" w:rsidRDefault="001842E5" w:rsidP="001842E5">
      <w:pPr>
        <w:pStyle w:val="Notedebasdepage"/>
        <w:rPr>
          <w:rFonts w:ascii="Calibri" w:hAnsi="Calibri"/>
          <w:lang w:val="fr-FR"/>
        </w:rPr>
      </w:pPr>
      <w:r>
        <w:rPr>
          <w:rStyle w:val="Appelnotedebasdep"/>
          <w:rFonts w:ascii="Calibri" w:hAnsi="Calibri"/>
          <w:lang w:val="es-CO"/>
        </w:rPr>
        <w:footnoteRef/>
      </w:r>
      <w:r w:rsidRPr="00AB25E8">
        <w:rPr>
          <w:rFonts w:ascii="Calibri" w:hAnsi="Calibri"/>
          <w:lang w:val="fr-FR"/>
        </w:rPr>
        <w:t xml:space="preserve"> CC. T-928 de 2012, </w:t>
      </w:r>
      <w:proofErr w:type="spellStart"/>
      <w:r w:rsidRPr="00AB25E8">
        <w:rPr>
          <w:rFonts w:ascii="Calibri" w:hAnsi="Calibri"/>
          <w:lang w:val="fr-FR"/>
        </w:rPr>
        <w:t>reiterada</w:t>
      </w:r>
      <w:proofErr w:type="spellEnd"/>
      <w:r w:rsidRPr="00AB25E8">
        <w:rPr>
          <w:rFonts w:ascii="Calibri" w:hAnsi="Calibri"/>
          <w:lang w:val="fr-FR"/>
        </w:rPr>
        <w:t xml:space="preserve"> en la T-464 de 2013.</w:t>
      </w:r>
    </w:p>
  </w:footnote>
  <w:footnote w:id="4">
    <w:p w:rsidR="006232EF" w:rsidRPr="00AB25E8" w:rsidRDefault="006232EF" w:rsidP="006232EF">
      <w:pPr>
        <w:pStyle w:val="Notedebasdepage"/>
        <w:rPr>
          <w:rFonts w:asciiTheme="minorHAnsi" w:hAnsiTheme="minorHAnsi"/>
          <w:lang w:val="fr-FR"/>
        </w:rPr>
      </w:pPr>
      <w:r w:rsidRPr="00574D42">
        <w:rPr>
          <w:rStyle w:val="Appelnotedebasdep"/>
          <w:rFonts w:asciiTheme="minorHAnsi" w:hAnsiTheme="minorHAnsi"/>
        </w:rPr>
        <w:footnoteRef/>
      </w:r>
      <w:r w:rsidRPr="00AB25E8">
        <w:rPr>
          <w:rFonts w:asciiTheme="minorHAnsi" w:hAnsiTheme="minorHAnsi"/>
          <w:lang w:val="fr-FR"/>
        </w:rPr>
        <w:t xml:space="preserve"> CC. T-230 de 2013.</w:t>
      </w:r>
    </w:p>
  </w:footnote>
  <w:footnote w:id="5">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6">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7">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T-193 de 2008.</w:t>
      </w:r>
    </w:p>
  </w:footnote>
  <w:footnote w:id="8">
    <w:p w:rsidR="009C0048" w:rsidRPr="00AB25E8" w:rsidRDefault="009C0048" w:rsidP="009C0048">
      <w:pPr>
        <w:pStyle w:val="Notedebasdepage"/>
        <w:rPr>
          <w:lang w:val="fr-FR"/>
        </w:rPr>
      </w:pPr>
      <w:r>
        <w:rPr>
          <w:rStyle w:val="Appelnotedebasdep"/>
        </w:rPr>
        <w:footnoteRef/>
      </w:r>
      <w:r w:rsidRPr="00AB25E8">
        <w:rPr>
          <w:lang w:val="fr-FR"/>
        </w:rPr>
        <w:t xml:space="preserve"> </w:t>
      </w:r>
      <w:r w:rsidRPr="00AB25E8">
        <w:rPr>
          <w:rFonts w:asciiTheme="minorHAnsi" w:hAnsiTheme="minorHAnsi" w:cs="Calibri"/>
          <w:lang w:val="fr-FR"/>
        </w:rPr>
        <w:t xml:space="preserve">CC. </w:t>
      </w:r>
      <w:proofErr w:type="spellStart"/>
      <w:r w:rsidRPr="00AB25E8">
        <w:rPr>
          <w:rFonts w:asciiTheme="minorHAnsi" w:hAnsiTheme="minorHAnsi"/>
          <w:bCs/>
          <w:lang w:val="fr-FR"/>
        </w:rPr>
        <w:t>SU-240</w:t>
      </w:r>
      <w:proofErr w:type="spellEnd"/>
      <w:r w:rsidRPr="00AB25E8">
        <w:rPr>
          <w:rFonts w:asciiTheme="minorHAnsi" w:hAnsiTheme="minorHAnsi"/>
          <w:bCs/>
          <w:lang w:val="fr-FR"/>
        </w:rPr>
        <w:t xml:space="preserve"> de 2015 y </w:t>
      </w:r>
      <w:r w:rsidRPr="00AB25E8">
        <w:rPr>
          <w:rFonts w:asciiTheme="minorHAnsi" w:hAnsiTheme="minorHAnsi" w:cs="Calibri"/>
          <w:lang w:val="fr-FR"/>
        </w:rPr>
        <w:t>T-185 de 2013.</w:t>
      </w:r>
    </w:p>
  </w:footnote>
  <w:footnote w:id="9">
    <w:p w:rsidR="009C0048" w:rsidRPr="00833A61" w:rsidRDefault="009C0048" w:rsidP="009C0048">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0">
    <w:p w:rsidR="009C0048" w:rsidRPr="00AB25E8" w:rsidRDefault="009C0048" w:rsidP="009C0048">
      <w:pPr>
        <w:pStyle w:val="Notedebasdepage"/>
        <w:jc w:val="both"/>
        <w:rPr>
          <w:rFonts w:ascii="Calibri" w:hAnsi="Calibri"/>
          <w:spacing w:val="-20"/>
          <w:lang w:val="es-CO"/>
        </w:rPr>
      </w:pPr>
      <w:r w:rsidRPr="00AB25E8">
        <w:rPr>
          <w:rStyle w:val="Appelnotedebasdep"/>
          <w:rFonts w:ascii="Calibri" w:hAnsi="Calibri"/>
          <w:spacing w:val="-20"/>
        </w:rPr>
        <w:footnoteRef/>
      </w:r>
      <w:r w:rsidRPr="00AB25E8">
        <w:rPr>
          <w:rFonts w:ascii="Calibri" w:hAnsi="Calibri"/>
          <w:spacing w:val="-20"/>
        </w:rPr>
        <w:t xml:space="preserve"> </w:t>
      </w:r>
      <w:r w:rsidRPr="00AB25E8">
        <w:rPr>
          <w:rFonts w:ascii="Calibri" w:hAnsi="Calibri" w:cs="Calibri"/>
          <w:spacing w:val="-20"/>
        </w:rPr>
        <w:t xml:space="preserve">BOTERO M., Catalina. La acción de tutela en el ordenamiento constitucional colombiano, </w:t>
      </w:r>
      <w:proofErr w:type="spellStart"/>
      <w:r w:rsidRPr="00AB25E8">
        <w:rPr>
          <w:rFonts w:ascii="Calibri" w:hAnsi="Calibri" w:cs="Calibri"/>
          <w:spacing w:val="-20"/>
        </w:rPr>
        <w:t>Ediprime</w:t>
      </w:r>
      <w:proofErr w:type="spellEnd"/>
      <w:r w:rsidRPr="00AB25E8">
        <w:rPr>
          <w:rFonts w:ascii="Calibri" w:hAnsi="Calibri" w:cs="Calibri"/>
          <w:spacing w:val="-20"/>
        </w:rPr>
        <w:t xml:space="preserve"> </w:t>
      </w:r>
      <w:proofErr w:type="spellStart"/>
      <w:r w:rsidRPr="00AB25E8">
        <w:rPr>
          <w:rFonts w:ascii="Calibri" w:hAnsi="Calibri" w:cs="Calibri"/>
          <w:spacing w:val="-20"/>
        </w:rPr>
        <w:t>Ltda</w:t>
      </w:r>
      <w:proofErr w:type="spellEnd"/>
      <w:r w:rsidRPr="00AB25E8">
        <w:rPr>
          <w:rFonts w:ascii="Calibri" w:hAnsi="Calibri" w:cs="Calibri"/>
          <w:spacing w:val="-20"/>
        </w:rPr>
        <w:t>, Bogotá, 2006, p.120.</w:t>
      </w:r>
    </w:p>
  </w:footnote>
  <w:footnote w:id="11">
    <w:p w:rsidR="009C0048" w:rsidRPr="00104D5D" w:rsidRDefault="009C0048" w:rsidP="009C0048">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12">
    <w:p w:rsidR="009C0048" w:rsidRPr="00AB25E8" w:rsidRDefault="009C0048" w:rsidP="009C0048">
      <w:pPr>
        <w:pStyle w:val="Notedebasdepage"/>
        <w:jc w:val="both"/>
        <w:rPr>
          <w:rFonts w:ascii="Calibri" w:hAnsi="Calibri"/>
          <w:lang w:val="fr-FR"/>
        </w:rPr>
      </w:pPr>
      <w:r w:rsidRPr="008C531D">
        <w:rPr>
          <w:rStyle w:val="Appelnotedebasdep"/>
          <w:rFonts w:ascii="Calibri" w:hAnsi="Calibri"/>
        </w:rPr>
        <w:footnoteRef/>
      </w:r>
      <w:r w:rsidRPr="00AB25E8">
        <w:rPr>
          <w:rFonts w:ascii="Calibri" w:hAnsi="Calibri"/>
          <w:lang w:val="fr-FR"/>
        </w:rPr>
        <w:t xml:space="preserve"> CC. T-057 de 2016.</w:t>
      </w:r>
    </w:p>
  </w:footnote>
  <w:footnote w:id="13">
    <w:p w:rsidR="009C0048" w:rsidRPr="00AB25E8" w:rsidRDefault="009C0048" w:rsidP="009C0048">
      <w:pPr>
        <w:pStyle w:val="Notedebasdepage"/>
        <w:jc w:val="both"/>
        <w:rPr>
          <w:rFonts w:ascii="Calibri" w:hAnsi="Calibri"/>
          <w:lang w:val="fr-FR"/>
        </w:rPr>
      </w:pPr>
      <w:r w:rsidRPr="008C531D">
        <w:rPr>
          <w:rStyle w:val="Appelnotedebasdep"/>
          <w:rFonts w:ascii="Calibri" w:hAnsi="Calibri"/>
        </w:rPr>
        <w:footnoteRef/>
      </w:r>
      <w:r w:rsidRPr="00AB25E8">
        <w:rPr>
          <w:rFonts w:ascii="Calibri" w:hAnsi="Calibri"/>
          <w:lang w:val="fr-FR"/>
        </w:rPr>
        <w:t xml:space="preserve"> CC. T-095 de 2015.</w:t>
      </w:r>
    </w:p>
  </w:footnote>
  <w:footnote w:id="14">
    <w:p w:rsidR="009C0048" w:rsidRPr="00A4402B" w:rsidRDefault="009C0048" w:rsidP="009C0048">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15">
    <w:p w:rsidR="009C0048" w:rsidRPr="00534D20" w:rsidRDefault="009C0048" w:rsidP="009C0048">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16">
    <w:p w:rsidR="009C0048" w:rsidRPr="00DD18FC" w:rsidRDefault="009C0048" w:rsidP="009C0048">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17">
    <w:p w:rsidR="009C0048" w:rsidRPr="00AB25E8" w:rsidRDefault="009C0048" w:rsidP="009C0048">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proofErr w:type="spellStart"/>
      <w:r w:rsidRPr="00AB25E8">
        <w:rPr>
          <w:rFonts w:ascii="Calibri" w:hAnsi="Calibri"/>
          <w:lang w:val="fr-FR"/>
        </w:rPr>
        <w:t>STL1363</w:t>
      </w:r>
      <w:proofErr w:type="spellEnd"/>
      <w:r w:rsidRPr="00AB25E8">
        <w:rPr>
          <w:rFonts w:ascii="Calibri" w:hAnsi="Calibri"/>
          <w:lang w:val="fr-FR"/>
        </w:rPr>
        <w:t>-2017.</w:t>
      </w:r>
    </w:p>
  </w:footnote>
  <w:footnote w:id="18">
    <w:p w:rsidR="009C0048" w:rsidRPr="00AB25E8" w:rsidRDefault="009C0048" w:rsidP="009C0048">
      <w:pPr>
        <w:pStyle w:val="Notedebasdepage"/>
        <w:rPr>
          <w:lang w:val="fr-FR"/>
        </w:rPr>
      </w:pPr>
      <w:r>
        <w:rPr>
          <w:rStyle w:val="Appelnotedebasdep"/>
        </w:rPr>
        <w:footnoteRef/>
      </w:r>
      <w:r w:rsidRPr="00AB25E8">
        <w:rPr>
          <w:lang w:val="fr-FR"/>
        </w:rPr>
        <w:t xml:space="preserve"> </w:t>
      </w:r>
      <w:r w:rsidRPr="00AB25E8">
        <w:rPr>
          <w:rFonts w:asciiTheme="minorHAnsi" w:hAnsiTheme="minorHAnsi"/>
          <w:lang w:val="fr-FR"/>
        </w:rPr>
        <w:t xml:space="preserve">CC. </w:t>
      </w:r>
      <w:r w:rsidRPr="00AB25E8">
        <w:rPr>
          <w:rFonts w:asciiTheme="minorHAnsi" w:hAnsiTheme="minorHAnsi"/>
          <w:bCs/>
          <w:lang w:val="fr-FR"/>
        </w:rPr>
        <w:t>T-001 de 2016.</w:t>
      </w:r>
    </w:p>
  </w:footnote>
  <w:footnote w:id="19">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T-001 de 2016 y T-184 de 2005.</w:t>
      </w:r>
    </w:p>
  </w:footnote>
  <w:footnote w:id="20">
    <w:p w:rsidR="009C0048" w:rsidRDefault="009C0048" w:rsidP="009C0048">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1">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T-443 de 1995.</w:t>
      </w:r>
    </w:p>
  </w:footnote>
  <w:footnote w:id="22">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T-149 de 1995.</w:t>
      </w:r>
    </w:p>
  </w:footnote>
  <w:footnote w:id="23">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T-308 de 1995.</w:t>
      </w:r>
    </w:p>
  </w:footnote>
  <w:footnote w:id="24">
    <w:p w:rsidR="009C0048" w:rsidRPr="00AB25E8" w:rsidRDefault="009C0048" w:rsidP="009C0048">
      <w:pPr>
        <w:pStyle w:val="Notedebasdepage"/>
        <w:jc w:val="both"/>
        <w:rPr>
          <w:lang w:val="fr-FR"/>
        </w:rPr>
      </w:pPr>
      <w:r w:rsidRPr="00623B4F">
        <w:rPr>
          <w:rStyle w:val="Appelnotedebasdep"/>
          <w:rFonts w:asciiTheme="minorHAnsi" w:hAnsiTheme="minorHAnsi" w:cs="Calibri"/>
        </w:rPr>
        <w:footnoteRef/>
      </w:r>
      <w:r w:rsidRPr="00AB25E8">
        <w:rPr>
          <w:rFonts w:asciiTheme="minorHAnsi" w:hAnsiTheme="minorHAnsi" w:cs="Calibri"/>
          <w:lang w:val="fr-FR"/>
        </w:rPr>
        <w:t xml:space="preserve"> CC. T-443 de 1995.</w:t>
      </w:r>
    </w:p>
  </w:footnote>
  <w:footnote w:id="25">
    <w:p w:rsidR="009C0048" w:rsidRDefault="009C0048" w:rsidP="009C0048">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26">
    <w:p w:rsidR="009C0048" w:rsidRPr="001815DA" w:rsidRDefault="009C0048" w:rsidP="009C0048">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9C0048" w:rsidRPr="001815DA" w:rsidRDefault="009C0048" w:rsidP="009C004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AB25E8">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 xml:space="preserve">2017-00336-00 </w:t>
    </w:r>
    <w:r w:rsidR="0069231C">
      <w:rPr>
        <w:rFonts w:ascii="Calibri" w:hAnsi="Calibri" w:cs="Calibri"/>
        <w:i/>
        <w:sz w:val="20"/>
        <w:szCs w:val="22"/>
      </w:rPr>
      <w:t xml:space="preserve">ACUMULADA </w:t>
    </w:r>
    <w:r w:rsidR="008134BD">
      <w:rPr>
        <w:rFonts w:ascii="Calibri" w:hAnsi="Calibri" w:cs="Calibri"/>
        <w:i/>
        <w:sz w:val="20"/>
        <w:szCs w:val="22"/>
      </w:rPr>
      <w:t>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5E8"/>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076"/>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nosaurio013@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1209-D9C7-4E5E-8F99-B2E9E82B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3562</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2017-04-26T15:50:00Z</cp:lastPrinted>
  <dcterms:created xsi:type="dcterms:W3CDTF">2017-04-24T14:21:00Z</dcterms:created>
  <dcterms:modified xsi:type="dcterms:W3CDTF">2017-06-21T04:24:00Z</dcterms:modified>
</cp:coreProperties>
</file>