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F2" w:rsidRDefault="00BD34F2" w:rsidP="00BD34F2">
      <w:pPr>
        <w:shd w:val="clear" w:color="auto" w:fill="FFFFFF"/>
        <w:tabs>
          <w:tab w:val="left" w:pos="2024"/>
        </w:tabs>
        <w:rPr>
          <w:rFonts w:ascii="Calibri" w:eastAsia="Calibri" w:hAnsi="Calibri" w:cs="Calibri"/>
          <w:color w:val="222222"/>
          <w:sz w:val="18"/>
          <w:szCs w:val="18"/>
          <w:lang w:val="es-MX" w:eastAsia="fr-FR"/>
        </w:rPr>
      </w:pPr>
    </w:p>
    <w:p w:rsidR="00BD34F2" w:rsidRPr="006E4540" w:rsidRDefault="00BD34F2" w:rsidP="00BD34F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86062" w:rsidRPr="00055048" w:rsidRDefault="002D4B6F" w:rsidP="00D469B5">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 xml:space="preserve">LA </w:t>
      </w:r>
      <w:r w:rsidR="00493E24" w:rsidRPr="00493E24">
        <w:rPr>
          <w:rFonts w:ascii="Arial" w:hAnsi="Arial" w:cs="Arial"/>
          <w:w w:val="140"/>
          <w:sz w:val="16"/>
          <w:szCs w:val="16"/>
        </w:rPr>
        <w:t>DE DECISIÓN</w:t>
      </w:r>
      <w:r w:rsidR="00493E24">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IVIL –</w:t>
      </w:r>
      <w:r w:rsidR="00ED5CEA">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00493E24" w:rsidRPr="00493E24">
        <w:rPr>
          <w:rFonts w:ascii="Arial" w:hAnsi="Arial" w:cs="Arial"/>
          <w:w w:val="140"/>
          <w:sz w:val="16"/>
          <w:szCs w:val="18"/>
        </w:rPr>
        <w:t>DE</w:t>
      </w:r>
      <w:r w:rsidR="00493E24">
        <w:rPr>
          <w:rFonts w:ascii="Arial" w:hAnsi="Arial" w:cs="Arial"/>
          <w:w w:val="140"/>
          <w:sz w:val="18"/>
          <w:szCs w:val="18"/>
        </w:rPr>
        <w:t xml:space="preserve"> </w:t>
      </w:r>
      <w:r>
        <w:rPr>
          <w:rFonts w:ascii="Arial" w:hAnsi="Arial" w:cs="Arial"/>
          <w:w w:val="140"/>
          <w:sz w:val="18"/>
          <w:szCs w:val="18"/>
        </w:rPr>
        <w:t>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970930">
      <w:pPr>
        <w:pStyle w:val="Corpsdetexte"/>
        <w:spacing w:line="360" w:lineRule="auto"/>
        <w:rPr>
          <w:rFonts w:ascii="Arial" w:hAnsi="Arial" w:cs="Arial"/>
          <w:sz w:val="22"/>
          <w:szCs w:val="22"/>
        </w:rPr>
      </w:pPr>
      <w:r w:rsidRPr="00B55CB0">
        <w:rPr>
          <w:rFonts w:ascii="Arial" w:hAnsi="Arial" w:cs="Arial"/>
          <w:sz w:val="22"/>
          <w:szCs w:val="22"/>
        </w:rPr>
        <w:tab/>
      </w:r>
      <w:r w:rsidR="00D70A1B" w:rsidRPr="00B55CB0">
        <w:rPr>
          <w:rFonts w:ascii="Arial" w:hAnsi="Arial" w:cs="Arial"/>
          <w:sz w:val="22"/>
          <w:szCs w:val="22"/>
        </w:rPr>
        <w:tab/>
      </w:r>
      <w:r w:rsidR="00BD34F2">
        <w:rPr>
          <w:rFonts w:ascii="Arial" w:hAnsi="Arial" w:cs="Arial"/>
          <w:sz w:val="22"/>
          <w:szCs w:val="22"/>
        </w:rPr>
        <w:t>Providencia</w:t>
      </w:r>
      <w:r w:rsidR="0099045D" w:rsidRPr="00B55CB0">
        <w:rPr>
          <w:rFonts w:ascii="Arial" w:hAnsi="Arial" w:cs="Arial"/>
          <w:sz w:val="22"/>
          <w:szCs w:val="22"/>
        </w:rPr>
        <w:tab/>
      </w:r>
      <w:r w:rsidR="0099045D" w:rsidRPr="00B55CB0">
        <w:rPr>
          <w:rFonts w:ascii="Arial" w:hAnsi="Arial" w:cs="Arial"/>
          <w:sz w:val="22"/>
          <w:szCs w:val="22"/>
        </w:rPr>
        <w:tab/>
        <w:t xml:space="preserve">: Sentencia </w:t>
      </w:r>
      <w:r w:rsidR="00BD34F2">
        <w:rPr>
          <w:rFonts w:ascii="Arial" w:hAnsi="Arial" w:cs="Arial"/>
          <w:sz w:val="22"/>
          <w:szCs w:val="22"/>
        </w:rPr>
        <w:t>– 1ª instancia – 28 de abril de 2017</w:t>
      </w:r>
    </w:p>
    <w:p w:rsidR="00BD34F2" w:rsidRPr="00B55CB0" w:rsidRDefault="00BD34F2" w:rsidP="009709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Accionante (s)</w:t>
      </w:r>
      <w:r w:rsidRPr="004D0FCE">
        <w:rPr>
          <w:rFonts w:ascii="Arial" w:hAnsi="Arial" w:cs="Arial"/>
          <w:sz w:val="22"/>
        </w:rPr>
        <w:tab/>
      </w:r>
      <w:r w:rsidRPr="004D0FCE">
        <w:rPr>
          <w:rFonts w:ascii="Arial" w:hAnsi="Arial" w:cs="Arial"/>
          <w:sz w:val="22"/>
        </w:rPr>
        <w:tab/>
        <w:t xml:space="preserve">: </w:t>
      </w:r>
      <w:r w:rsidR="00F4018C">
        <w:rPr>
          <w:rFonts w:ascii="Arial" w:hAnsi="Arial" w:cs="Arial"/>
          <w:sz w:val="22"/>
        </w:rPr>
        <w:t>Luz Mary Ruiz Vélez</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Accionado (s)</w:t>
      </w:r>
      <w:r w:rsidRPr="004D0FCE">
        <w:rPr>
          <w:rFonts w:ascii="Arial" w:hAnsi="Arial" w:cs="Arial"/>
          <w:sz w:val="22"/>
        </w:rPr>
        <w:tab/>
      </w:r>
      <w:r w:rsidRPr="004D0FCE">
        <w:rPr>
          <w:rFonts w:ascii="Arial" w:hAnsi="Arial" w:cs="Arial"/>
          <w:sz w:val="22"/>
        </w:rPr>
        <w:tab/>
        <w:t xml:space="preserve">: Juzgados </w:t>
      </w:r>
      <w:r w:rsidR="00F4018C">
        <w:rPr>
          <w:rFonts w:ascii="Arial" w:hAnsi="Arial" w:cs="Arial"/>
          <w:sz w:val="22"/>
        </w:rPr>
        <w:t xml:space="preserve">Tercero </w:t>
      </w:r>
      <w:r w:rsidRPr="004D0FCE">
        <w:rPr>
          <w:rFonts w:ascii="Arial" w:hAnsi="Arial" w:cs="Arial"/>
          <w:sz w:val="22"/>
        </w:rPr>
        <w:t>Civil del Circuito de Pereira y otro</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Vinculado (s)</w:t>
      </w:r>
      <w:r w:rsidRPr="004D0FCE">
        <w:rPr>
          <w:rFonts w:ascii="Arial" w:hAnsi="Arial" w:cs="Arial"/>
          <w:sz w:val="22"/>
        </w:rPr>
        <w:tab/>
      </w:r>
      <w:r w:rsidRPr="004D0FCE">
        <w:rPr>
          <w:rFonts w:ascii="Arial" w:hAnsi="Arial" w:cs="Arial"/>
          <w:sz w:val="22"/>
        </w:rPr>
        <w:tab/>
        <w:t xml:space="preserve">: </w:t>
      </w:r>
      <w:r w:rsidR="00F4018C">
        <w:rPr>
          <w:rFonts w:ascii="Arial" w:hAnsi="Arial" w:cs="Arial"/>
          <w:sz w:val="22"/>
        </w:rPr>
        <w:t>Allianz Seguros de Vida SA y otra</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Radicación</w:t>
      </w:r>
      <w:r w:rsidRPr="004D0FCE">
        <w:rPr>
          <w:rFonts w:ascii="Arial" w:hAnsi="Arial" w:cs="Arial"/>
          <w:sz w:val="22"/>
        </w:rPr>
        <w:tab/>
      </w:r>
      <w:r w:rsidRPr="004D0FCE">
        <w:rPr>
          <w:rFonts w:ascii="Arial" w:hAnsi="Arial" w:cs="Arial"/>
          <w:sz w:val="22"/>
        </w:rPr>
        <w:tab/>
        <w:t xml:space="preserve">: </w:t>
      </w:r>
      <w:r w:rsidR="00F4018C">
        <w:rPr>
          <w:rFonts w:ascii="Arial" w:hAnsi="Arial" w:cs="Arial"/>
          <w:sz w:val="22"/>
        </w:rPr>
        <w:t xml:space="preserve">2017-00365-00 </w:t>
      </w:r>
      <w:r w:rsidRPr="004D0FCE">
        <w:rPr>
          <w:rFonts w:ascii="Arial" w:hAnsi="Arial" w:cs="Arial"/>
          <w:sz w:val="22"/>
        </w:rPr>
        <w:t>(Interno No.</w:t>
      </w:r>
      <w:r w:rsidR="00F4018C">
        <w:rPr>
          <w:rFonts w:ascii="Arial" w:hAnsi="Arial" w:cs="Arial"/>
          <w:sz w:val="22"/>
        </w:rPr>
        <w:t>365</w:t>
      </w:r>
      <w:r w:rsidRPr="004D0FCE">
        <w:rPr>
          <w:rFonts w:ascii="Arial" w:hAnsi="Arial" w:cs="Arial"/>
          <w:sz w:val="22"/>
        </w:rPr>
        <w:t>)</w:t>
      </w:r>
    </w:p>
    <w:p w:rsidR="0099045D" w:rsidRPr="00B55CB0" w:rsidRDefault="0099045D" w:rsidP="00D70A1B">
      <w:pPr>
        <w:spacing w:line="360" w:lineRule="auto"/>
        <w:ind w:left="708" w:firstLine="708"/>
        <w:rPr>
          <w:rFonts w:ascii="Arial" w:hAnsi="Arial" w:cs="Arial"/>
          <w:sz w:val="22"/>
          <w:szCs w:val="22"/>
        </w:rPr>
      </w:pPr>
      <w:r w:rsidRPr="00B55CB0">
        <w:rPr>
          <w:rFonts w:ascii="Arial" w:hAnsi="Arial" w:cs="Arial"/>
          <w:sz w:val="22"/>
          <w:szCs w:val="22"/>
        </w:rPr>
        <w:t>Magistrado</w:t>
      </w:r>
      <w:r w:rsidR="00785D90" w:rsidRPr="00B55CB0">
        <w:rPr>
          <w:rFonts w:ascii="Arial" w:hAnsi="Arial" w:cs="Arial"/>
          <w:sz w:val="22"/>
          <w:szCs w:val="22"/>
        </w:rPr>
        <w:t xml:space="preserve"> ponente</w:t>
      </w:r>
      <w:r w:rsidR="00D469B5" w:rsidRPr="00B55CB0">
        <w:rPr>
          <w:rFonts w:ascii="Arial" w:hAnsi="Arial" w:cs="Arial"/>
          <w:sz w:val="22"/>
          <w:szCs w:val="22"/>
        </w:rPr>
        <w:tab/>
      </w:r>
      <w:r w:rsidRPr="00B55CB0">
        <w:rPr>
          <w:rFonts w:ascii="Arial" w:hAnsi="Arial" w:cs="Arial"/>
          <w:sz w:val="22"/>
          <w:szCs w:val="22"/>
        </w:rPr>
        <w:t xml:space="preserve">: </w:t>
      </w:r>
      <w:proofErr w:type="spellStart"/>
      <w:r w:rsidRPr="00B55CB0">
        <w:rPr>
          <w:rFonts w:ascii="Arial" w:hAnsi="Arial" w:cs="Arial"/>
          <w:smallCaps/>
          <w:sz w:val="22"/>
          <w:szCs w:val="22"/>
        </w:rPr>
        <w:t>Duberney</w:t>
      </w:r>
      <w:proofErr w:type="spellEnd"/>
      <w:r w:rsidRPr="00B55CB0">
        <w:rPr>
          <w:rFonts w:ascii="Arial" w:hAnsi="Arial" w:cs="Arial"/>
          <w:smallCaps/>
          <w:sz w:val="22"/>
          <w:szCs w:val="22"/>
        </w:rPr>
        <w:t xml:space="preserve"> Grisales Herrera</w:t>
      </w:r>
    </w:p>
    <w:p w:rsidR="0099045D" w:rsidRDefault="007E004A" w:rsidP="00D70A1B">
      <w:pPr>
        <w:spacing w:line="360" w:lineRule="auto"/>
        <w:ind w:left="708" w:firstLine="708"/>
        <w:rPr>
          <w:rFonts w:ascii="Arial" w:hAnsi="Arial" w:cs="Arial"/>
          <w:sz w:val="22"/>
          <w:szCs w:val="22"/>
        </w:rPr>
      </w:pPr>
      <w:r w:rsidRPr="00B55CB0">
        <w:rPr>
          <w:rFonts w:ascii="Arial" w:hAnsi="Arial" w:cs="Arial"/>
          <w:sz w:val="22"/>
          <w:szCs w:val="22"/>
        </w:rPr>
        <w:t>Acta número</w:t>
      </w:r>
      <w:r w:rsidRPr="00B55CB0">
        <w:rPr>
          <w:rFonts w:ascii="Arial" w:hAnsi="Arial" w:cs="Arial"/>
          <w:sz w:val="22"/>
          <w:szCs w:val="22"/>
        </w:rPr>
        <w:tab/>
      </w:r>
      <w:r w:rsidR="005D510B" w:rsidRPr="00B55CB0">
        <w:rPr>
          <w:rFonts w:ascii="Arial" w:hAnsi="Arial" w:cs="Arial"/>
          <w:sz w:val="22"/>
          <w:szCs w:val="22"/>
        </w:rPr>
        <w:tab/>
      </w:r>
      <w:r w:rsidR="0099045D" w:rsidRPr="00B55CB0">
        <w:rPr>
          <w:rFonts w:ascii="Arial" w:hAnsi="Arial" w:cs="Arial"/>
          <w:sz w:val="22"/>
          <w:szCs w:val="22"/>
        </w:rPr>
        <w:t>:</w:t>
      </w:r>
      <w:r w:rsidR="008271AC" w:rsidRPr="00B55CB0">
        <w:rPr>
          <w:rFonts w:ascii="Arial" w:hAnsi="Arial" w:cs="Arial"/>
          <w:sz w:val="22"/>
          <w:szCs w:val="22"/>
        </w:rPr>
        <w:t xml:space="preserve"> </w:t>
      </w:r>
      <w:r w:rsidR="007245FF">
        <w:rPr>
          <w:rFonts w:ascii="Arial" w:hAnsi="Arial" w:cs="Arial"/>
          <w:sz w:val="22"/>
          <w:szCs w:val="22"/>
        </w:rPr>
        <w:t>221 de 28-04-2017</w:t>
      </w:r>
    </w:p>
    <w:p w:rsidR="00BD34F2" w:rsidRPr="00BD34F2" w:rsidRDefault="00BD34F2" w:rsidP="00D70A1B">
      <w:pPr>
        <w:spacing w:line="360" w:lineRule="auto"/>
        <w:ind w:left="708" w:firstLine="708"/>
        <w:rPr>
          <w:rFonts w:ascii="Arial" w:hAnsi="Arial" w:cs="Arial"/>
          <w:sz w:val="10"/>
          <w:szCs w:val="10"/>
        </w:rPr>
      </w:pPr>
    </w:p>
    <w:p w:rsidR="00BD34F2" w:rsidRPr="00BD34F2" w:rsidRDefault="00BD34F2" w:rsidP="00BD34F2">
      <w:pPr>
        <w:pStyle w:val="Corpsdetexte"/>
        <w:ind w:left="1416" w:hanging="1416"/>
        <w:rPr>
          <w:rFonts w:ascii="Arial" w:hAnsi="Arial" w:cs="Arial"/>
          <w:sz w:val="22"/>
          <w:szCs w:val="22"/>
          <w:lang w:val="es-ES"/>
        </w:rPr>
      </w:pPr>
      <w:r w:rsidRPr="00BD34F2">
        <w:rPr>
          <w:rFonts w:ascii="Arial" w:hAnsi="Arial" w:cs="Arial"/>
          <w:b/>
          <w:sz w:val="22"/>
          <w:szCs w:val="22"/>
        </w:rPr>
        <w:tab/>
      </w:r>
      <w:r w:rsidRPr="00BD34F2">
        <w:rPr>
          <w:rFonts w:ascii="Arial" w:hAnsi="Arial" w:cs="Arial"/>
          <w:b/>
          <w:sz w:val="22"/>
          <w:szCs w:val="22"/>
        </w:rPr>
        <w:tab/>
        <w:t>TEMA (S)</w:t>
      </w:r>
      <w:r w:rsidRPr="00BD34F2">
        <w:rPr>
          <w:rFonts w:ascii="Arial" w:hAnsi="Arial" w:cs="Arial"/>
          <w:b/>
          <w:sz w:val="22"/>
          <w:szCs w:val="22"/>
        </w:rPr>
        <w:tab/>
      </w:r>
      <w:r w:rsidRPr="00BD34F2">
        <w:rPr>
          <w:rFonts w:ascii="Arial" w:hAnsi="Arial" w:cs="Arial"/>
          <w:b/>
          <w:sz w:val="22"/>
          <w:szCs w:val="22"/>
        </w:rPr>
        <w:tab/>
        <w:t>: CAUSALES ESPECIALES – PRECEDENTE JUDICIAL.</w:t>
      </w:r>
      <w:r>
        <w:rPr>
          <w:rFonts w:ascii="Arial" w:hAnsi="Arial" w:cs="Arial"/>
          <w:b/>
          <w:sz w:val="22"/>
          <w:szCs w:val="22"/>
        </w:rPr>
        <w:t xml:space="preserve"> </w:t>
      </w:r>
      <w:r w:rsidRPr="00BD34F2">
        <w:rPr>
          <w:rFonts w:ascii="Arial" w:hAnsi="Arial" w:cs="Arial"/>
          <w:sz w:val="22"/>
          <w:szCs w:val="22"/>
        </w:rPr>
        <w:t>“</w:t>
      </w:r>
      <w:r w:rsidRPr="00BD34F2">
        <w:rPr>
          <w:rFonts w:ascii="Arial" w:hAnsi="Arial" w:cs="Arial"/>
          <w:sz w:val="22"/>
          <w:szCs w:val="22"/>
          <w:lang w:val="es-ES"/>
        </w:rPr>
        <w:t>Así las cosas, como las decisiones cuestionadas fueron tomadas por jueces en ejercicio de su jurisdicción civil, debían entonces acatar en sus decisiones la doctrina jurisprudencial que su órgano de cierre (Precedente vertical) haya instituido en materia de seguros, puntualmente, la preexistencia y reticencia, salvo que, eso sí, hayan tenido razones suficientes para apartarse y que estaban en la obligación de referir en sus decisiones. En ese asunto el precedente de la CC es utilizable como criterio auxiliar de interpretación, y por ello sin obligatoriedad, por lo tanto, era susceptible de que el juez no lo valorara, sin necesidad de justificación alguna. Las decisiones fueron razonables y tomadas dentro del ámbito de autonomía que cobija a los jueces.”.</w:t>
      </w:r>
    </w:p>
    <w:p w:rsidR="002060F5" w:rsidRDefault="002060F5" w:rsidP="002060F5">
      <w:pPr>
        <w:pBdr>
          <w:bottom w:val="double" w:sz="6" w:space="1" w:color="auto"/>
        </w:pBdr>
        <w:spacing w:line="360" w:lineRule="auto"/>
        <w:jc w:val="center"/>
        <w:rPr>
          <w:rFonts w:ascii="Arial" w:hAnsi="Arial" w:cs="Arial"/>
          <w:b/>
          <w:bCs/>
          <w:sz w:val="22"/>
          <w:szCs w:val="22"/>
        </w:rPr>
      </w:pPr>
    </w:p>
    <w:p w:rsidR="00F42BAF" w:rsidRDefault="00F42BAF" w:rsidP="009C254F">
      <w:pPr>
        <w:spacing w:line="360" w:lineRule="auto"/>
        <w:jc w:val="center"/>
        <w:rPr>
          <w:rFonts w:ascii="Arial" w:hAnsi="Arial" w:cs="Arial"/>
          <w:iCs/>
          <w:smallCaps/>
          <w:szCs w:val="28"/>
          <w:lang w:val="es-CO"/>
        </w:rPr>
      </w:pPr>
    </w:p>
    <w:p w:rsidR="009C254F" w:rsidRPr="00F4018C" w:rsidRDefault="009C254F" w:rsidP="009C254F">
      <w:pPr>
        <w:spacing w:line="360" w:lineRule="auto"/>
        <w:jc w:val="center"/>
        <w:rPr>
          <w:rFonts w:ascii="Arial" w:hAnsi="Arial" w:cs="Arial"/>
          <w:iCs/>
          <w:sz w:val="28"/>
          <w:szCs w:val="28"/>
          <w:lang w:val="es-CO"/>
        </w:rPr>
      </w:pPr>
      <w:r w:rsidRPr="00F4018C">
        <w:rPr>
          <w:rFonts w:ascii="Arial" w:hAnsi="Arial" w:cs="Arial"/>
          <w:iCs/>
          <w:smallCaps/>
          <w:sz w:val="28"/>
          <w:szCs w:val="28"/>
          <w:lang w:val="es-CO"/>
        </w:rPr>
        <w:t>Pereira, R</w:t>
      </w:r>
      <w:r w:rsidR="00F4018C">
        <w:rPr>
          <w:rFonts w:ascii="Arial" w:hAnsi="Arial" w:cs="Arial"/>
          <w:iCs/>
          <w:smallCaps/>
          <w:sz w:val="28"/>
          <w:szCs w:val="28"/>
          <w:lang w:val="es-CO"/>
        </w:rPr>
        <w:t>.</w:t>
      </w:r>
      <w:r w:rsidRPr="00F4018C">
        <w:rPr>
          <w:rFonts w:ascii="Arial" w:hAnsi="Arial" w:cs="Arial"/>
          <w:iCs/>
          <w:smallCaps/>
          <w:sz w:val="28"/>
          <w:szCs w:val="28"/>
          <w:lang w:val="es-CO"/>
        </w:rPr>
        <w:t xml:space="preserve">, </w:t>
      </w:r>
      <w:r w:rsidR="007245FF">
        <w:rPr>
          <w:rFonts w:ascii="Arial" w:hAnsi="Arial" w:cs="Arial"/>
          <w:iCs/>
          <w:smallCaps/>
          <w:sz w:val="28"/>
          <w:szCs w:val="28"/>
          <w:lang w:val="es-CO"/>
        </w:rPr>
        <w:t xml:space="preserve">veintiocho </w:t>
      </w:r>
      <w:r w:rsidRPr="00F4018C">
        <w:rPr>
          <w:rFonts w:ascii="Arial" w:hAnsi="Arial" w:cs="Arial"/>
          <w:iCs/>
          <w:smallCaps/>
          <w:sz w:val="28"/>
          <w:szCs w:val="28"/>
          <w:lang w:val="es-CO"/>
        </w:rPr>
        <w:t>(</w:t>
      </w:r>
      <w:r w:rsidR="007245FF">
        <w:rPr>
          <w:rFonts w:ascii="Arial" w:hAnsi="Arial" w:cs="Arial"/>
          <w:iCs/>
          <w:smallCaps/>
          <w:sz w:val="28"/>
          <w:szCs w:val="28"/>
          <w:lang w:val="es-CO"/>
        </w:rPr>
        <w:t>28</w:t>
      </w:r>
      <w:r w:rsidR="00BC6BB0" w:rsidRPr="00F4018C">
        <w:rPr>
          <w:rFonts w:ascii="Arial" w:hAnsi="Arial" w:cs="Arial"/>
          <w:iCs/>
          <w:smallCaps/>
          <w:sz w:val="28"/>
          <w:szCs w:val="28"/>
          <w:lang w:val="es-CO"/>
        </w:rPr>
        <w:t>)</w:t>
      </w:r>
      <w:r w:rsidRPr="00F4018C">
        <w:rPr>
          <w:rFonts w:ascii="Arial" w:hAnsi="Arial" w:cs="Arial"/>
          <w:iCs/>
          <w:smallCaps/>
          <w:sz w:val="28"/>
          <w:szCs w:val="28"/>
          <w:lang w:val="es-CO"/>
        </w:rPr>
        <w:t xml:space="preserve"> de </w:t>
      </w:r>
      <w:r w:rsidR="00F4018C">
        <w:rPr>
          <w:rFonts w:ascii="Arial" w:hAnsi="Arial" w:cs="Arial"/>
          <w:iCs/>
          <w:smallCaps/>
          <w:sz w:val="28"/>
          <w:szCs w:val="28"/>
          <w:lang w:val="es-CO"/>
        </w:rPr>
        <w:t xml:space="preserve">abril </w:t>
      </w:r>
      <w:r w:rsidR="00567722" w:rsidRPr="00F4018C">
        <w:rPr>
          <w:rFonts w:ascii="Arial" w:hAnsi="Arial" w:cs="Arial"/>
          <w:iCs/>
          <w:smallCaps/>
          <w:sz w:val="28"/>
          <w:szCs w:val="28"/>
          <w:lang w:val="es-CO"/>
        </w:rPr>
        <w:t>de</w:t>
      </w:r>
      <w:r w:rsidRPr="00F4018C">
        <w:rPr>
          <w:rFonts w:ascii="Arial" w:hAnsi="Arial" w:cs="Arial"/>
          <w:iCs/>
          <w:smallCaps/>
          <w:sz w:val="28"/>
          <w:szCs w:val="28"/>
          <w:lang w:val="es-CO"/>
        </w:rPr>
        <w:t xml:space="preserve"> dos mil </w:t>
      </w:r>
      <w:r w:rsidR="00F4018C">
        <w:rPr>
          <w:rFonts w:ascii="Arial" w:hAnsi="Arial" w:cs="Arial"/>
          <w:iCs/>
          <w:smallCaps/>
          <w:sz w:val="28"/>
          <w:szCs w:val="28"/>
          <w:lang w:val="es-CO"/>
        </w:rPr>
        <w:t xml:space="preserve">diecisiete </w:t>
      </w:r>
      <w:r w:rsidRPr="00F4018C">
        <w:rPr>
          <w:rFonts w:ascii="Arial" w:hAnsi="Arial" w:cs="Arial"/>
          <w:iCs/>
          <w:smallCaps/>
          <w:sz w:val="28"/>
          <w:szCs w:val="28"/>
          <w:lang w:val="es-CO"/>
        </w:rPr>
        <w:t>(201</w:t>
      </w:r>
      <w:r w:rsidR="00F4018C">
        <w:rPr>
          <w:rFonts w:ascii="Arial" w:hAnsi="Arial" w:cs="Arial"/>
          <w:iCs/>
          <w:smallCaps/>
          <w:sz w:val="28"/>
          <w:szCs w:val="28"/>
          <w:lang w:val="es-CO"/>
        </w:rPr>
        <w:t>7</w:t>
      </w:r>
      <w:r w:rsidRPr="00F4018C">
        <w:rPr>
          <w:rFonts w:ascii="Arial" w:hAnsi="Arial" w:cs="Arial"/>
          <w:iCs/>
          <w:smallCaps/>
          <w:sz w:val="28"/>
          <w:szCs w:val="28"/>
          <w:lang w:val="es-CO"/>
        </w:rPr>
        <w:t>)</w:t>
      </w:r>
      <w:r w:rsidRPr="00F4018C">
        <w:rPr>
          <w:rFonts w:ascii="Arial" w:hAnsi="Arial" w:cs="Arial"/>
          <w:iCs/>
          <w:sz w:val="28"/>
          <w:szCs w:val="28"/>
          <w:lang w:val="es-CO"/>
        </w:rPr>
        <w:t>.</w:t>
      </w:r>
    </w:p>
    <w:p w:rsidR="001D44AC" w:rsidRDefault="001D44AC" w:rsidP="0099045D">
      <w:pPr>
        <w:spacing w:line="360" w:lineRule="auto"/>
        <w:jc w:val="center"/>
        <w:rPr>
          <w:rFonts w:ascii="Arial" w:hAnsi="Arial" w:cs="Arial"/>
          <w:b/>
          <w:bCs/>
          <w:lang w:val="es-CO"/>
        </w:rPr>
      </w:pPr>
    </w:p>
    <w:p w:rsidR="0099045D" w:rsidRPr="00902F93" w:rsidRDefault="0099045D" w:rsidP="0099045D">
      <w:pPr>
        <w:pStyle w:val="Corpsdetexte"/>
        <w:numPr>
          <w:ilvl w:val="0"/>
          <w:numId w:val="1"/>
        </w:numPr>
        <w:spacing w:line="360" w:lineRule="auto"/>
        <w:rPr>
          <w:rFonts w:ascii="Arial" w:hAnsi="Arial"/>
          <w:sz w:val="24"/>
          <w:szCs w:val="24"/>
        </w:rPr>
      </w:pPr>
      <w:r w:rsidRPr="00902F93">
        <w:rPr>
          <w:rFonts w:ascii="Arial" w:hAnsi="Arial"/>
          <w:sz w:val="24"/>
          <w:szCs w:val="24"/>
        </w:rPr>
        <w:t xml:space="preserve">EL ASUNTO </w:t>
      </w:r>
      <w:r w:rsidR="00055DB5">
        <w:rPr>
          <w:rFonts w:ascii="Arial" w:hAnsi="Arial"/>
          <w:sz w:val="24"/>
          <w:szCs w:val="24"/>
        </w:rPr>
        <w:t>POR</w:t>
      </w:r>
      <w:r w:rsidRPr="00902F93">
        <w:rPr>
          <w:rFonts w:ascii="Arial" w:hAnsi="Arial"/>
          <w:sz w:val="24"/>
          <w:szCs w:val="24"/>
        </w:rPr>
        <w:t xml:space="preserve"> DECIDIR</w:t>
      </w:r>
    </w:p>
    <w:p w:rsidR="00134F0A" w:rsidRPr="00902F93" w:rsidRDefault="00134F0A" w:rsidP="0099045D">
      <w:pPr>
        <w:pStyle w:val="Corpsdetexte"/>
        <w:spacing w:line="360" w:lineRule="auto"/>
        <w:rPr>
          <w:rFonts w:ascii="Arial" w:hAnsi="Arial"/>
          <w:sz w:val="24"/>
          <w:szCs w:val="24"/>
        </w:rPr>
      </w:pPr>
    </w:p>
    <w:p w:rsidR="0099045D" w:rsidRPr="00902F93" w:rsidRDefault="0026743C" w:rsidP="0099045D">
      <w:pPr>
        <w:pStyle w:val="Corpsdetexte"/>
        <w:spacing w:line="360" w:lineRule="auto"/>
        <w:rPr>
          <w:rFonts w:ascii="Arial" w:hAnsi="Arial"/>
          <w:sz w:val="24"/>
          <w:szCs w:val="24"/>
        </w:rPr>
      </w:pPr>
      <w:r>
        <w:rPr>
          <w:rFonts w:ascii="Arial" w:hAnsi="Arial"/>
          <w:sz w:val="24"/>
          <w:szCs w:val="24"/>
        </w:rPr>
        <w:t>L</w:t>
      </w:r>
      <w:r w:rsidR="00134F0A" w:rsidRPr="00902F93">
        <w:rPr>
          <w:rFonts w:ascii="Arial" w:hAnsi="Arial"/>
          <w:sz w:val="24"/>
          <w:szCs w:val="24"/>
        </w:rPr>
        <w:t xml:space="preserve">a acción constitucional </w:t>
      </w:r>
      <w:r w:rsidR="00B71787">
        <w:rPr>
          <w:rFonts w:ascii="Arial" w:hAnsi="Arial"/>
          <w:sz w:val="24"/>
          <w:szCs w:val="24"/>
        </w:rPr>
        <w:t>en referencia</w:t>
      </w:r>
      <w:r w:rsidR="00134F0A" w:rsidRPr="00902F93">
        <w:rPr>
          <w:rFonts w:ascii="Arial" w:hAnsi="Arial"/>
          <w:sz w:val="24"/>
          <w:szCs w:val="24"/>
        </w:rPr>
        <w:t xml:space="preserve">, </w:t>
      </w:r>
      <w:r w:rsidR="008B0C9A">
        <w:rPr>
          <w:rFonts w:ascii="Arial" w:hAnsi="Arial"/>
          <w:sz w:val="24"/>
          <w:szCs w:val="24"/>
        </w:rPr>
        <w:t xml:space="preserve">una vez se ha surtido </w:t>
      </w:r>
      <w:r w:rsidR="0057516E">
        <w:rPr>
          <w:rFonts w:ascii="Arial" w:hAnsi="Arial"/>
          <w:sz w:val="24"/>
          <w:szCs w:val="24"/>
        </w:rPr>
        <w:t xml:space="preserve">el trámite </w:t>
      </w:r>
      <w:r w:rsidR="00CD4E89">
        <w:rPr>
          <w:rFonts w:ascii="Arial" w:hAnsi="Arial"/>
          <w:sz w:val="24"/>
          <w:szCs w:val="24"/>
        </w:rPr>
        <w:t>procedimental respectivo</w:t>
      </w:r>
      <w:r w:rsidR="00134F0A" w:rsidRPr="00902F93">
        <w:rPr>
          <w:rFonts w:ascii="Arial" w:hAnsi="Arial"/>
          <w:sz w:val="24"/>
          <w:szCs w:val="24"/>
        </w:rPr>
        <w:t>, sin que se aprecien causales de nulidad que la invaliden.</w:t>
      </w:r>
    </w:p>
    <w:p w:rsidR="000147A2" w:rsidRPr="003F2D97" w:rsidRDefault="000147A2" w:rsidP="0099045D">
      <w:pPr>
        <w:pStyle w:val="Corpsdetexte"/>
        <w:spacing w:line="360" w:lineRule="auto"/>
        <w:rPr>
          <w:rFonts w:ascii="Arial" w:hAnsi="Arial"/>
          <w:sz w:val="24"/>
          <w:szCs w:val="24"/>
        </w:rPr>
      </w:pPr>
    </w:p>
    <w:p w:rsidR="0099045D" w:rsidRPr="00902F93" w:rsidRDefault="0099045D" w:rsidP="0099045D">
      <w:pPr>
        <w:pStyle w:val="Corpsdetexte"/>
        <w:numPr>
          <w:ilvl w:val="0"/>
          <w:numId w:val="1"/>
        </w:numPr>
        <w:spacing w:line="360" w:lineRule="auto"/>
        <w:rPr>
          <w:rFonts w:ascii="Arial" w:hAnsi="Arial"/>
          <w:sz w:val="24"/>
          <w:szCs w:val="24"/>
        </w:rPr>
      </w:pPr>
      <w:smartTag w:uri="urn:schemas-microsoft-com:office:smarttags" w:element="PersonName">
        <w:smartTagPr>
          <w:attr w:name="ProductID" w:val="LA SￍNTESIS DE"/>
        </w:smartTagPr>
        <w:r w:rsidRPr="00902F93">
          <w:rPr>
            <w:rFonts w:ascii="Arial" w:hAnsi="Arial"/>
            <w:sz w:val="24"/>
            <w:szCs w:val="24"/>
          </w:rPr>
          <w:t>LA SÍNTESIS DE</w:t>
        </w:r>
      </w:smartTag>
      <w:r w:rsidRPr="00902F93">
        <w:rPr>
          <w:rFonts w:ascii="Arial" w:hAnsi="Arial"/>
          <w:sz w:val="24"/>
          <w:szCs w:val="24"/>
        </w:rPr>
        <w:t xml:space="preserve"> LOS SUPUESTOS FÁCTICOS RELEVANTES</w:t>
      </w:r>
    </w:p>
    <w:p w:rsidR="0099045D" w:rsidRPr="00EE0DA0" w:rsidRDefault="0099045D" w:rsidP="0099045D">
      <w:pPr>
        <w:pStyle w:val="Corpsdetexte"/>
        <w:spacing w:line="360" w:lineRule="auto"/>
        <w:rPr>
          <w:rFonts w:ascii="Arial" w:hAnsi="Arial" w:cs="Arial"/>
          <w:sz w:val="24"/>
          <w:szCs w:val="24"/>
        </w:rPr>
      </w:pPr>
    </w:p>
    <w:p w:rsidR="00877795" w:rsidRDefault="00877795" w:rsidP="00533ABA">
      <w:pPr>
        <w:spacing w:line="360" w:lineRule="auto"/>
        <w:jc w:val="both"/>
        <w:rPr>
          <w:rFonts w:ascii="Arial" w:hAnsi="Arial" w:cs="Arial"/>
        </w:rPr>
      </w:pPr>
      <w:r>
        <w:rPr>
          <w:rFonts w:ascii="Arial" w:hAnsi="Arial" w:cs="Arial"/>
        </w:rPr>
        <w:t xml:space="preserve">Se relató </w:t>
      </w:r>
      <w:r w:rsidR="00F4018C">
        <w:rPr>
          <w:rFonts w:ascii="Arial" w:hAnsi="Arial" w:cs="Arial"/>
        </w:rPr>
        <w:t xml:space="preserve">que la actora promovió ante el </w:t>
      </w:r>
      <w:r w:rsidR="00950417">
        <w:rPr>
          <w:rFonts w:ascii="Arial" w:hAnsi="Arial" w:cs="Arial"/>
        </w:rPr>
        <w:t xml:space="preserve">Juzgado </w:t>
      </w:r>
      <w:r w:rsidR="00F4018C">
        <w:rPr>
          <w:rFonts w:ascii="Arial" w:hAnsi="Arial" w:cs="Arial"/>
        </w:rPr>
        <w:t xml:space="preserve">Octavo </w:t>
      </w:r>
      <w:r w:rsidR="00950417">
        <w:rPr>
          <w:rFonts w:ascii="Arial" w:hAnsi="Arial" w:cs="Arial"/>
        </w:rPr>
        <w:t xml:space="preserve">Civil Municipal de esta ciudad </w:t>
      </w:r>
      <w:r w:rsidR="00F4018C">
        <w:rPr>
          <w:rFonts w:ascii="Arial" w:hAnsi="Arial" w:cs="Arial"/>
        </w:rPr>
        <w:t>proceso ordinario radicado al No.2015-00065-00, con el fin de que se declarar</w:t>
      </w:r>
      <w:r w:rsidR="007245FF">
        <w:rPr>
          <w:rFonts w:ascii="Arial" w:hAnsi="Arial" w:cs="Arial"/>
        </w:rPr>
        <w:t>a</w:t>
      </w:r>
      <w:r w:rsidR="00F4018C">
        <w:rPr>
          <w:rFonts w:ascii="Arial" w:hAnsi="Arial" w:cs="Arial"/>
        </w:rPr>
        <w:t xml:space="preserve"> la existencia de </w:t>
      </w:r>
      <w:r w:rsidR="0028756B">
        <w:rPr>
          <w:rFonts w:ascii="Arial" w:hAnsi="Arial" w:cs="Arial"/>
        </w:rPr>
        <w:t xml:space="preserve">un </w:t>
      </w:r>
      <w:r w:rsidR="00F4018C">
        <w:rPr>
          <w:rFonts w:ascii="Arial" w:hAnsi="Arial" w:cs="Arial"/>
        </w:rPr>
        <w:t xml:space="preserve">contrato de seguro de vida grupo deudores que respaldaba la obligación No.10086317 adquirida por su esposo fallecido, señor Héctor Luis Roque </w:t>
      </w:r>
      <w:r w:rsidR="00F4018C">
        <w:rPr>
          <w:rFonts w:ascii="Arial" w:hAnsi="Arial" w:cs="Arial"/>
        </w:rPr>
        <w:lastRenderedPageBreak/>
        <w:t xml:space="preserve">Mercado, entre otras pretensiones, </w:t>
      </w:r>
      <w:r w:rsidR="0028756B">
        <w:rPr>
          <w:rFonts w:ascii="Arial" w:hAnsi="Arial" w:cs="Arial"/>
        </w:rPr>
        <w:t xml:space="preserve">pero </w:t>
      </w:r>
      <w:r w:rsidR="00F4018C">
        <w:rPr>
          <w:rFonts w:ascii="Arial" w:hAnsi="Arial" w:cs="Arial"/>
        </w:rPr>
        <w:t xml:space="preserve">se negaron </w:t>
      </w:r>
      <w:r w:rsidR="0028756B">
        <w:rPr>
          <w:rFonts w:ascii="Arial" w:hAnsi="Arial" w:cs="Arial"/>
        </w:rPr>
        <w:t xml:space="preserve">con </w:t>
      </w:r>
      <w:r w:rsidR="00F4018C">
        <w:rPr>
          <w:rFonts w:ascii="Arial" w:hAnsi="Arial" w:cs="Arial"/>
        </w:rPr>
        <w:t xml:space="preserve">sentencia del 24-06-2016 porque se consideró que existió reticencia por parte del asegurado, </w:t>
      </w:r>
      <w:r w:rsidR="0028756B">
        <w:rPr>
          <w:rFonts w:ascii="Arial" w:hAnsi="Arial" w:cs="Arial"/>
        </w:rPr>
        <w:t xml:space="preserve">pues </w:t>
      </w:r>
      <w:r w:rsidR="00F4018C">
        <w:rPr>
          <w:rFonts w:ascii="Arial" w:hAnsi="Arial" w:cs="Arial"/>
        </w:rPr>
        <w:t xml:space="preserve">ocultó </w:t>
      </w:r>
      <w:r w:rsidR="0028756B">
        <w:rPr>
          <w:rFonts w:ascii="Arial" w:hAnsi="Arial" w:cs="Arial"/>
        </w:rPr>
        <w:t xml:space="preserve">a la aseguradora que </w:t>
      </w:r>
      <w:r w:rsidR="00F4018C">
        <w:rPr>
          <w:rFonts w:ascii="Arial" w:hAnsi="Arial" w:cs="Arial"/>
        </w:rPr>
        <w:t>padecía de ciertas patologías</w:t>
      </w:r>
      <w:r w:rsidR="00776401">
        <w:rPr>
          <w:rFonts w:ascii="Arial" w:hAnsi="Arial" w:cs="Arial"/>
        </w:rPr>
        <w:t>;</w:t>
      </w:r>
      <w:r w:rsidR="00F4018C">
        <w:rPr>
          <w:rFonts w:ascii="Arial" w:hAnsi="Arial" w:cs="Arial"/>
        </w:rPr>
        <w:t xml:space="preserve"> recurrida en apelación, correspondió por reparto al Juzgado Tercero Civil del Circuito de Pereira, quien con fallo del 29-11-2016 la confirmó </w:t>
      </w:r>
      <w:r w:rsidR="0028756B">
        <w:rPr>
          <w:rFonts w:ascii="Arial" w:hAnsi="Arial" w:cs="Arial"/>
        </w:rPr>
        <w:t>con idénticos argumentos.</w:t>
      </w:r>
    </w:p>
    <w:p w:rsidR="0028756B" w:rsidRDefault="0028756B" w:rsidP="00533ABA">
      <w:pPr>
        <w:spacing w:line="360" w:lineRule="auto"/>
        <w:jc w:val="both"/>
        <w:rPr>
          <w:rFonts w:ascii="Arial" w:hAnsi="Arial" w:cs="Arial"/>
        </w:rPr>
      </w:pPr>
    </w:p>
    <w:p w:rsidR="00533ABA" w:rsidRDefault="0028756B" w:rsidP="00533ABA">
      <w:pPr>
        <w:spacing w:line="360" w:lineRule="auto"/>
        <w:jc w:val="both"/>
        <w:rPr>
          <w:rFonts w:ascii="Arial" w:hAnsi="Arial" w:cs="Arial"/>
        </w:rPr>
      </w:pPr>
      <w:r>
        <w:rPr>
          <w:rFonts w:ascii="Arial" w:hAnsi="Arial" w:cs="Arial"/>
        </w:rPr>
        <w:t xml:space="preserve">Apuntó que los accionados ignoraron en sus decisiones el precedente constitucional de la CC mediante el cual ha dado alcance al tema de la reticencia en contratos </w:t>
      </w:r>
      <w:r w:rsidR="00776401">
        <w:rPr>
          <w:rFonts w:ascii="Arial" w:hAnsi="Arial" w:cs="Arial"/>
        </w:rPr>
        <w:t xml:space="preserve">de </w:t>
      </w:r>
      <w:r>
        <w:rPr>
          <w:rFonts w:ascii="Arial" w:hAnsi="Arial" w:cs="Arial"/>
        </w:rPr>
        <w:t>seguros, no lo analizaron y menos lo rebatieron (Folio 3 a 37, este cuaderno)</w:t>
      </w:r>
      <w:r w:rsidR="009F3DAF">
        <w:rPr>
          <w:rFonts w:ascii="Arial" w:hAnsi="Arial" w:cs="Arial"/>
        </w:rPr>
        <w:t>.</w:t>
      </w:r>
    </w:p>
    <w:p w:rsidR="003F32F2" w:rsidRDefault="003F32F2" w:rsidP="00533ABA">
      <w:pPr>
        <w:spacing w:line="360" w:lineRule="auto"/>
        <w:jc w:val="both"/>
        <w:rPr>
          <w:rFonts w:ascii="Arial" w:hAnsi="Arial" w:cs="Arial"/>
        </w:rPr>
      </w:pPr>
    </w:p>
    <w:p w:rsidR="00533ABA" w:rsidRDefault="00533ABA" w:rsidP="00533ABA">
      <w:pPr>
        <w:pStyle w:val="Corpsdetexte"/>
        <w:numPr>
          <w:ilvl w:val="0"/>
          <w:numId w:val="1"/>
        </w:numPr>
        <w:spacing w:line="360" w:lineRule="auto"/>
        <w:rPr>
          <w:rFonts w:ascii="Arial" w:hAnsi="Arial"/>
          <w:sz w:val="24"/>
          <w:szCs w:val="24"/>
        </w:rPr>
      </w:pPr>
      <w:r w:rsidRPr="00902F93">
        <w:rPr>
          <w:rFonts w:ascii="Arial" w:hAnsi="Arial"/>
          <w:sz w:val="24"/>
          <w:szCs w:val="24"/>
        </w:rPr>
        <w:t xml:space="preserve">LOS DERECHOS PRESUNTAMENTE VULNERADOS </w:t>
      </w:r>
    </w:p>
    <w:p w:rsidR="001D44AC" w:rsidRPr="00902F93" w:rsidRDefault="001D44AC" w:rsidP="001D44AC">
      <w:pPr>
        <w:pStyle w:val="Corpsdetexte"/>
        <w:spacing w:line="360" w:lineRule="auto"/>
        <w:ind w:left="360"/>
        <w:rPr>
          <w:rFonts w:ascii="Arial" w:hAnsi="Arial"/>
          <w:sz w:val="24"/>
          <w:szCs w:val="24"/>
        </w:rPr>
      </w:pPr>
    </w:p>
    <w:p w:rsidR="00533ABA" w:rsidRDefault="00FF61EF"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28756B">
        <w:rPr>
          <w:rFonts w:ascii="Arial" w:hAnsi="Arial" w:cs="Arial"/>
          <w:spacing w:val="-3"/>
          <w:lang w:val="es-ES_tradnl"/>
        </w:rPr>
        <w:t xml:space="preserve">a la igualdad, </w:t>
      </w:r>
      <w:r w:rsidR="00533ABA">
        <w:rPr>
          <w:rFonts w:ascii="Arial" w:hAnsi="Arial" w:cs="Arial"/>
          <w:spacing w:val="-3"/>
          <w:lang w:val="es-ES_tradnl"/>
        </w:rPr>
        <w:t>debido proceso</w:t>
      </w:r>
      <w:r>
        <w:rPr>
          <w:rFonts w:ascii="Arial" w:hAnsi="Arial" w:cs="Arial"/>
          <w:spacing w:val="-3"/>
          <w:lang w:val="es-ES_tradnl"/>
        </w:rPr>
        <w:t xml:space="preserve">, </w:t>
      </w:r>
      <w:r w:rsidR="0028756B">
        <w:rPr>
          <w:rFonts w:ascii="Arial" w:hAnsi="Arial" w:cs="Arial"/>
          <w:spacing w:val="-3"/>
          <w:lang w:val="es-ES_tradnl"/>
        </w:rPr>
        <w:t xml:space="preserve">buena fe y seguridad jurídica </w:t>
      </w:r>
      <w:r w:rsidR="00533ABA" w:rsidRPr="00383E2F">
        <w:rPr>
          <w:rFonts w:ascii="Arial" w:hAnsi="Arial" w:cs="Arial"/>
          <w:spacing w:val="-3"/>
          <w:lang w:val="es-ES_tradnl"/>
        </w:rPr>
        <w:t xml:space="preserve">(Folio </w:t>
      </w:r>
      <w:r w:rsidR="0028756B">
        <w:rPr>
          <w:rFonts w:ascii="Arial" w:hAnsi="Arial" w:cs="Arial"/>
          <w:spacing w:val="-3"/>
          <w:lang w:val="es-ES_tradnl"/>
        </w:rPr>
        <w:t>3,</w:t>
      </w:r>
      <w:r w:rsidR="00533ABA">
        <w:rPr>
          <w:rFonts w:ascii="Arial" w:hAnsi="Arial" w:cs="Arial"/>
          <w:spacing w:val="-3"/>
          <w:lang w:val="es-ES_tradnl"/>
        </w:rPr>
        <w:t xml:space="preserve"> de este cuaderno</w:t>
      </w:r>
      <w:r w:rsidR="00533ABA" w:rsidRPr="00383E2F">
        <w:rPr>
          <w:rFonts w:ascii="Arial" w:hAnsi="Arial" w:cs="Arial"/>
          <w:spacing w:val="-3"/>
          <w:lang w:val="es-ES_tradnl"/>
        </w:rPr>
        <w:t>).</w:t>
      </w:r>
    </w:p>
    <w:p w:rsidR="00533ABA" w:rsidRPr="00E110FE"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533ABA" w:rsidRPr="00902F93" w:rsidRDefault="00533ABA" w:rsidP="00533ABA">
      <w:pPr>
        <w:pStyle w:val="Corpsdetexte"/>
        <w:numPr>
          <w:ilvl w:val="0"/>
          <w:numId w:val="1"/>
        </w:numPr>
        <w:spacing w:line="360" w:lineRule="auto"/>
        <w:rPr>
          <w:rFonts w:ascii="Arial" w:hAnsi="Arial"/>
          <w:sz w:val="24"/>
          <w:szCs w:val="24"/>
        </w:rPr>
      </w:pPr>
      <w:r w:rsidRPr="00902F93">
        <w:rPr>
          <w:rFonts w:ascii="Arial" w:hAnsi="Arial"/>
          <w:sz w:val="24"/>
          <w:szCs w:val="24"/>
        </w:rPr>
        <w:t>LA PETICIÓN DE PROTECCIÓN</w:t>
      </w:r>
    </w:p>
    <w:p w:rsidR="00533ABA" w:rsidRPr="00913657" w:rsidRDefault="00533ABA" w:rsidP="00533ABA">
      <w:pPr>
        <w:pStyle w:val="Sansinterligne"/>
        <w:spacing w:line="360" w:lineRule="auto"/>
        <w:jc w:val="both"/>
        <w:rPr>
          <w:rFonts w:ascii="Arial" w:hAnsi="Arial" w:cs="Arial"/>
          <w:spacing w:val="-3"/>
          <w:szCs w:val="22"/>
          <w:lang w:val="es-ES_tradnl"/>
        </w:rPr>
      </w:pPr>
    </w:p>
    <w:p w:rsidR="00D12A46" w:rsidRPr="00D55E5A" w:rsidRDefault="00D12A46" w:rsidP="00D12A46">
      <w:pPr>
        <w:pStyle w:val="Sansinterligne"/>
        <w:spacing w:line="360" w:lineRule="auto"/>
        <w:jc w:val="both"/>
        <w:rPr>
          <w:rFonts w:ascii="Arial" w:hAnsi="Arial" w:cs="Arial"/>
          <w:szCs w:val="24"/>
        </w:rPr>
      </w:pPr>
      <w:r>
        <w:rPr>
          <w:rFonts w:ascii="Arial" w:hAnsi="Arial" w:cs="Arial"/>
          <w:szCs w:val="24"/>
        </w:rPr>
        <w:t xml:space="preserve">Solicitaron </w:t>
      </w:r>
      <w:r w:rsidRPr="00D55E5A">
        <w:rPr>
          <w:rFonts w:ascii="Arial" w:hAnsi="Arial" w:cs="Arial"/>
          <w:szCs w:val="24"/>
        </w:rPr>
        <w:t xml:space="preserve">que: (i) Se </w:t>
      </w:r>
      <w:r w:rsidR="0028756B">
        <w:rPr>
          <w:rFonts w:ascii="Arial" w:hAnsi="Arial" w:cs="Arial"/>
          <w:szCs w:val="24"/>
        </w:rPr>
        <w:t xml:space="preserve">tutelen los derechos constitucionales invocados; (ii) Se dejen sin efecto las sentencias dictadas en el proceso; y, (iii) Se ordene </w:t>
      </w:r>
      <w:r w:rsidR="00CA0424">
        <w:rPr>
          <w:rFonts w:ascii="Arial" w:hAnsi="Arial" w:cs="Arial"/>
          <w:szCs w:val="24"/>
        </w:rPr>
        <w:t xml:space="preserve">dictar nuevo fallo en el que se acojan las pretensiones de acuerdo con el precedente de la CC </w:t>
      </w:r>
      <w:r w:rsidRPr="00D55E5A">
        <w:rPr>
          <w:rFonts w:ascii="Arial" w:hAnsi="Arial" w:cs="Arial"/>
          <w:szCs w:val="24"/>
        </w:rPr>
        <w:t xml:space="preserve">(Folio </w:t>
      </w:r>
      <w:r w:rsidR="002633BF">
        <w:rPr>
          <w:rFonts w:ascii="Arial" w:hAnsi="Arial" w:cs="Arial"/>
          <w:spacing w:val="-3"/>
          <w:lang w:val="es-ES_tradnl"/>
        </w:rPr>
        <w:t>14, este cuaderno</w:t>
      </w:r>
      <w:r w:rsidRPr="00D55E5A">
        <w:rPr>
          <w:rFonts w:ascii="Arial" w:hAnsi="Arial" w:cs="Arial"/>
          <w:szCs w:val="24"/>
        </w:rPr>
        <w:t xml:space="preserve">). </w:t>
      </w:r>
    </w:p>
    <w:p w:rsidR="00533ABA" w:rsidRPr="00E110FE" w:rsidRDefault="00533ABA" w:rsidP="00533ABA">
      <w:pPr>
        <w:pStyle w:val="Sansinterligne"/>
        <w:spacing w:line="360" w:lineRule="auto"/>
        <w:jc w:val="both"/>
        <w:rPr>
          <w:rFonts w:ascii="Arial" w:hAnsi="Arial" w:cs="Arial"/>
          <w:sz w:val="20"/>
          <w:szCs w:val="24"/>
        </w:rPr>
      </w:pPr>
    </w:p>
    <w:p w:rsidR="00533ABA" w:rsidRPr="00704D44" w:rsidRDefault="00533ABA" w:rsidP="00533ABA">
      <w:pPr>
        <w:pStyle w:val="Sansinterligne"/>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533ABA" w:rsidRPr="00913657" w:rsidRDefault="00533ABA" w:rsidP="00533ABA">
      <w:pPr>
        <w:pStyle w:val="Sansinterligne"/>
        <w:tabs>
          <w:tab w:val="left" w:pos="1200"/>
        </w:tabs>
        <w:spacing w:line="360" w:lineRule="auto"/>
        <w:jc w:val="both"/>
        <w:rPr>
          <w:rFonts w:ascii="Arial" w:hAnsi="Arial"/>
          <w:szCs w:val="24"/>
        </w:rPr>
      </w:pPr>
    </w:p>
    <w:p w:rsidR="003C676B" w:rsidRDefault="00127DDA" w:rsidP="003C676B">
      <w:pPr>
        <w:spacing w:line="360" w:lineRule="auto"/>
        <w:jc w:val="both"/>
        <w:rPr>
          <w:rFonts w:ascii="Arial" w:hAnsi="Arial"/>
        </w:rPr>
      </w:pPr>
      <w:r>
        <w:rPr>
          <w:rFonts w:ascii="Arial" w:hAnsi="Arial"/>
        </w:rPr>
        <w:t xml:space="preserve">Por reparto correspondió a este Despacho el </w:t>
      </w:r>
      <w:r w:rsidR="00CA0424">
        <w:rPr>
          <w:rFonts w:ascii="Arial" w:hAnsi="Arial"/>
        </w:rPr>
        <w:t>07-04-2017</w:t>
      </w:r>
      <w:r>
        <w:rPr>
          <w:rFonts w:ascii="Arial" w:hAnsi="Arial"/>
        </w:rPr>
        <w:t>,</w:t>
      </w:r>
      <w:r w:rsidR="00813087">
        <w:rPr>
          <w:rFonts w:ascii="Arial" w:hAnsi="Arial"/>
        </w:rPr>
        <w:t xml:space="preserve"> con auto </w:t>
      </w:r>
      <w:r w:rsidR="00CA0424">
        <w:rPr>
          <w:rFonts w:ascii="Arial" w:hAnsi="Arial"/>
        </w:rPr>
        <w:t xml:space="preserve">del día hábil siguiente </w:t>
      </w:r>
      <w:r w:rsidR="00533ABA">
        <w:rPr>
          <w:rFonts w:ascii="Arial" w:hAnsi="Arial"/>
        </w:rPr>
        <w:t xml:space="preserve">se </w:t>
      </w:r>
      <w:r w:rsidR="00533ABA" w:rsidRPr="00704D44">
        <w:rPr>
          <w:rFonts w:ascii="Arial" w:hAnsi="Arial"/>
        </w:rPr>
        <w:t>admitió</w:t>
      </w:r>
      <w:r w:rsidR="00533ABA">
        <w:rPr>
          <w:rFonts w:ascii="Arial" w:hAnsi="Arial"/>
        </w:rPr>
        <w:t xml:space="preserve"> la acción, se vincul</w:t>
      </w:r>
      <w:r w:rsidR="00813087">
        <w:rPr>
          <w:rFonts w:ascii="Arial" w:hAnsi="Arial"/>
        </w:rPr>
        <w:t xml:space="preserve">ó </w:t>
      </w:r>
      <w:r w:rsidR="00CA0424">
        <w:rPr>
          <w:rFonts w:ascii="Arial" w:hAnsi="Arial"/>
        </w:rPr>
        <w:t>a quienes se consideró pertinente</w:t>
      </w:r>
      <w:r w:rsidR="004A752D">
        <w:rPr>
          <w:rFonts w:ascii="Arial" w:hAnsi="Arial" w:cs="Arial"/>
        </w:rPr>
        <w:t xml:space="preserve"> </w:t>
      </w:r>
      <w:r w:rsidR="00533ABA">
        <w:rPr>
          <w:rFonts w:ascii="Arial" w:hAnsi="Arial"/>
        </w:rPr>
        <w:t xml:space="preserve">y se ordenó </w:t>
      </w:r>
      <w:r w:rsidR="00533ABA" w:rsidRPr="00704D44">
        <w:rPr>
          <w:rFonts w:ascii="Arial" w:hAnsi="Arial"/>
        </w:rPr>
        <w:t>notificar a las partes</w:t>
      </w:r>
      <w:r w:rsidR="00533ABA">
        <w:rPr>
          <w:rFonts w:ascii="Arial" w:hAnsi="Arial"/>
        </w:rPr>
        <w:t xml:space="preserve">, entre otros ordenamientos </w:t>
      </w:r>
      <w:r w:rsidR="00533ABA" w:rsidRPr="00704D44">
        <w:rPr>
          <w:rFonts w:ascii="Arial" w:hAnsi="Arial"/>
        </w:rPr>
        <w:t>(Folio</w:t>
      </w:r>
      <w:r w:rsidR="002633BF">
        <w:rPr>
          <w:rFonts w:ascii="Arial" w:hAnsi="Arial"/>
        </w:rPr>
        <w:t xml:space="preserve"> </w:t>
      </w:r>
      <w:r w:rsidR="00CA0424">
        <w:rPr>
          <w:rFonts w:ascii="Arial" w:hAnsi="Arial"/>
        </w:rPr>
        <w:t>168</w:t>
      </w:r>
      <w:r w:rsidR="00533ABA">
        <w:rPr>
          <w:rFonts w:ascii="Arial" w:hAnsi="Arial"/>
        </w:rPr>
        <w:t xml:space="preserve">, </w:t>
      </w:r>
      <w:r w:rsidR="004622F3">
        <w:rPr>
          <w:rFonts w:ascii="Arial" w:hAnsi="Arial"/>
        </w:rPr>
        <w:t>ibí</w:t>
      </w:r>
      <w:r w:rsidR="00533ABA">
        <w:rPr>
          <w:rFonts w:ascii="Arial" w:hAnsi="Arial"/>
        </w:rPr>
        <w:t xml:space="preserve">dem). </w:t>
      </w:r>
      <w:r w:rsidR="00417ACE">
        <w:rPr>
          <w:rFonts w:ascii="Arial" w:hAnsi="Arial"/>
        </w:rPr>
        <w:t xml:space="preserve">Fueron </w:t>
      </w:r>
      <w:r w:rsidR="00533ABA">
        <w:rPr>
          <w:rFonts w:ascii="Arial" w:hAnsi="Arial"/>
        </w:rPr>
        <w:t xml:space="preserve">debidamente </w:t>
      </w:r>
      <w:r w:rsidR="004A752D">
        <w:rPr>
          <w:rFonts w:ascii="Arial" w:hAnsi="Arial"/>
        </w:rPr>
        <w:t xml:space="preserve">enterados los extremos de la acción </w:t>
      </w:r>
      <w:r w:rsidR="00417ACE">
        <w:rPr>
          <w:rFonts w:ascii="Arial" w:hAnsi="Arial"/>
        </w:rPr>
        <w:t xml:space="preserve">y </w:t>
      </w:r>
      <w:r w:rsidR="004A752D">
        <w:rPr>
          <w:rFonts w:ascii="Arial" w:hAnsi="Arial"/>
        </w:rPr>
        <w:t xml:space="preserve">la parte </w:t>
      </w:r>
      <w:r w:rsidR="00417ACE">
        <w:rPr>
          <w:rFonts w:ascii="Arial" w:hAnsi="Arial"/>
        </w:rPr>
        <w:t>vinculad</w:t>
      </w:r>
      <w:r w:rsidR="00813087">
        <w:rPr>
          <w:rFonts w:ascii="Arial" w:hAnsi="Arial"/>
        </w:rPr>
        <w:t>a</w:t>
      </w:r>
      <w:r w:rsidR="00533ABA">
        <w:rPr>
          <w:rFonts w:ascii="Arial" w:hAnsi="Arial"/>
        </w:rPr>
        <w:t xml:space="preserve"> (Folios </w:t>
      </w:r>
      <w:r w:rsidR="00CA0424">
        <w:rPr>
          <w:rFonts w:ascii="Arial" w:hAnsi="Arial"/>
        </w:rPr>
        <w:t>169 a 174</w:t>
      </w:r>
      <w:r w:rsidR="004A752D">
        <w:rPr>
          <w:rFonts w:ascii="Arial" w:hAnsi="Arial"/>
        </w:rPr>
        <w:t xml:space="preserve">, </w:t>
      </w:r>
      <w:r w:rsidR="004622F3">
        <w:rPr>
          <w:rFonts w:ascii="Arial" w:hAnsi="Arial"/>
        </w:rPr>
        <w:t>ibídem</w:t>
      </w:r>
      <w:r w:rsidR="00533ABA">
        <w:rPr>
          <w:rFonts w:ascii="Arial" w:hAnsi="Arial"/>
        </w:rPr>
        <w:t>)</w:t>
      </w:r>
      <w:r w:rsidR="00D91662">
        <w:rPr>
          <w:rFonts w:ascii="Arial" w:hAnsi="Arial"/>
        </w:rPr>
        <w:t>.</w:t>
      </w:r>
      <w:r w:rsidR="00533ABA">
        <w:rPr>
          <w:rFonts w:ascii="Arial" w:hAnsi="Arial"/>
        </w:rPr>
        <w:t xml:space="preserve"> </w:t>
      </w:r>
      <w:r w:rsidR="003C676B" w:rsidRPr="008E5A62">
        <w:rPr>
          <w:rFonts w:ascii="Arial" w:hAnsi="Arial"/>
        </w:rPr>
        <w:t xml:space="preserve">El </w:t>
      </w:r>
      <w:r w:rsidR="00CA0424">
        <w:rPr>
          <w:rFonts w:ascii="Arial" w:hAnsi="Arial"/>
        </w:rPr>
        <w:t xml:space="preserve">21-04-2017 </w:t>
      </w:r>
      <w:r w:rsidR="003C676B" w:rsidRPr="008E5A62">
        <w:rPr>
          <w:rFonts w:ascii="Arial" w:hAnsi="Arial"/>
        </w:rPr>
        <w:t>se practicó inspección judicial al expediente</w:t>
      </w:r>
      <w:r w:rsidR="003C676B">
        <w:rPr>
          <w:rFonts w:ascii="Arial" w:hAnsi="Arial"/>
        </w:rPr>
        <w:t xml:space="preserve"> </w:t>
      </w:r>
      <w:r w:rsidR="003C676B" w:rsidRPr="008E5A62">
        <w:rPr>
          <w:rFonts w:ascii="Arial" w:hAnsi="Arial"/>
        </w:rPr>
        <w:t>(Folio</w:t>
      </w:r>
      <w:r w:rsidR="00260F52">
        <w:rPr>
          <w:rFonts w:ascii="Arial" w:hAnsi="Arial"/>
        </w:rPr>
        <w:t>s</w:t>
      </w:r>
      <w:r w:rsidR="003C676B" w:rsidRPr="008E5A62">
        <w:rPr>
          <w:rFonts w:ascii="Arial" w:hAnsi="Arial"/>
        </w:rPr>
        <w:t xml:space="preserve"> </w:t>
      </w:r>
      <w:r w:rsidR="00CA0424">
        <w:rPr>
          <w:rFonts w:ascii="Arial" w:hAnsi="Arial"/>
        </w:rPr>
        <w:t>206</w:t>
      </w:r>
      <w:r w:rsidR="003C676B">
        <w:rPr>
          <w:rFonts w:ascii="Arial" w:hAnsi="Arial"/>
        </w:rPr>
        <w:t>,</w:t>
      </w:r>
      <w:r w:rsidR="003C676B" w:rsidRPr="008E5A62">
        <w:rPr>
          <w:rFonts w:ascii="Arial" w:hAnsi="Arial"/>
        </w:rPr>
        <w:t xml:space="preserve"> </w:t>
      </w:r>
      <w:r w:rsidR="00260F52">
        <w:rPr>
          <w:rFonts w:ascii="Arial" w:hAnsi="Arial"/>
        </w:rPr>
        <w:t>ibídem</w:t>
      </w:r>
      <w:r w:rsidR="003C676B" w:rsidRPr="008E5A62">
        <w:rPr>
          <w:rFonts w:ascii="Arial" w:hAnsi="Arial"/>
        </w:rPr>
        <w:t xml:space="preserve">). </w:t>
      </w:r>
      <w:r w:rsidR="00CA0424">
        <w:rPr>
          <w:rFonts w:ascii="Arial" w:hAnsi="Arial"/>
        </w:rPr>
        <w:t xml:space="preserve">Contestó Finesa SA (Folios 175 a 177, ib.) y Allianz Seguros de Vida SA (Folios 193 a 199, ib.). </w:t>
      </w:r>
      <w:r w:rsidR="003C676B" w:rsidRPr="008E5A62">
        <w:rPr>
          <w:rFonts w:ascii="Arial" w:hAnsi="Arial"/>
        </w:rPr>
        <w:t>L</w:t>
      </w:r>
      <w:r w:rsidR="00260F52">
        <w:rPr>
          <w:rFonts w:ascii="Arial" w:hAnsi="Arial"/>
        </w:rPr>
        <w:t xml:space="preserve">os juzgados accionados, guardaron silencio (Folio </w:t>
      </w:r>
      <w:r w:rsidR="00CA0424">
        <w:rPr>
          <w:rFonts w:ascii="Arial" w:hAnsi="Arial"/>
        </w:rPr>
        <w:t>207</w:t>
      </w:r>
      <w:r w:rsidR="00260F52">
        <w:rPr>
          <w:rFonts w:ascii="Arial" w:hAnsi="Arial"/>
        </w:rPr>
        <w:t>, ib.)</w:t>
      </w:r>
      <w:r w:rsidR="00CA0424">
        <w:rPr>
          <w:rFonts w:ascii="Arial" w:hAnsi="Arial"/>
        </w:rPr>
        <w:t>.</w:t>
      </w:r>
    </w:p>
    <w:p w:rsidR="001C15CE" w:rsidRDefault="001C15CE" w:rsidP="003C676B">
      <w:pPr>
        <w:spacing w:line="360" w:lineRule="auto"/>
        <w:jc w:val="both"/>
        <w:rPr>
          <w:rFonts w:ascii="Arial" w:hAnsi="Arial"/>
        </w:rPr>
      </w:pPr>
    </w:p>
    <w:p w:rsidR="001C15CE" w:rsidRDefault="001C15CE" w:rsidP="001C15CE">
      <w:pPr>
        <w:numPr>
          <w:ilvl w:val="0"/>
          <w:numId w:val="18"/>
        </w:numPr>
        <w:spacing w:line="360" w:lineRule="auto"/>
        <w:jc w:val="both"/>
        <w:rPr>
          <w:rFonts w:ascii="Arial" w:hAnsi="Arial"/>
        </w:rPr>
      </w:pPr>
      <w:r>
        <w:rPr>
          <w:rFonts w:ascii="Arial" w:hAnsi="Arial"/>
        </w:rPr>
        <w:t>LA SINOPSIS DE LAS RESPUESTAS</w:t>
      </w:r>
    </w:p>
    <w:p w:rsidR="001C15CE" w:rsidRPr="004B7598" w:rsidRDefault="001C15CE" w:rsidP="001C15CE">
      <w:pPr>
        <w:pStyle w:val="Corpsdetexte"/>
        <w:spacing w:line="360" w:lineRule="auto"/>
        <w:rPr>
          <w:rFonts w:ascii="Arial" w:hAnsi="Arial"/>
          <w:szCs w:val="24"/>
        </w:rPr>
      </w:pPr>
    </w:p>
    <w:p w:rsidR="001C15CE" w:rsidRDefault="001C15CE" w:rsidP="001C15CE">
      <w:pPr>
        <w:widowControl/>
        <w:spacing w:line="360" w:lineRule="auto"/>
        <w:jc w:val="both"/>
        <w:rPr>
          <w:rFonts w:ascii="Arial" w:hAnsi="Arial" w:cs="Arial"/>
        </w:rPr>
      </w:pPr>
      <w:r>
        <w:rPr>
          <w:rFonts w:ascii="Arial" w:hAnsi="Arial"/>
        </w:rPr>
        <w:t xml:space="preserve">Finesa SA expuso que la tutela carece de fundamento en su contra porque está dirigida a que se </w:t>
      </w:r>
      <w:r>
        <w:rPr>
          <w:rFonts w:ascii="Arial" w:hAnsi="Arial"/>
          <w:lang w:val="es-CO"/>
        </w:rPr>
        <w:t xml:space="preserve">reconozca por </w:t>
      </w:r>
      <w:r>
        <w:rPr>
          <w:rFonts w:ascii="Arial" w:hAnsi="Arial"/>
        </w:rPr>
        <w:t xml:space="preserve">Allianz Seguros de Vida SA el pago del seguro grupo vida deudores que contrato con el esposo de la accionante. Se opuso a las pretensiones y pidió su desvinculación (Folios 175 a 177, ib.). Por su parte, Allianz Seguros de Vida SA  </w:t>
      </w:r>
      <w:r>
        <w:rPr>
          <w:rFonts w:ascii="Arial" w:hAnsi="Arial"/>
        </w:rPr>
        <w:lastRenderedPageBreak/>
        <w:t>que este asunto acaece el fenómeno de</w:t>
      </w:r>
      <w:r w:rsidR="00DE121B">
        <w:rPr>
          <w:rFonts w:ascii="Arial" w:hAnsi="Arial"/>
        </w:rPr>
        <w:t xml:space="preserve"> la</w:t>
      </w:r>
      <w:r>
        <w:rPr>
          <w:rFonts w:ascii="Arial" w:hAnsi="Arial"/>
        </w:rPr>
        <w:t xml:space="preserve"> </w:t>
      </w:r>
      <w:r w:rsidR="00DE121B">
        <w:rPr>
          <w:rFonts w:ascii="Arial" w:hAnsi="Arial"/>
        </w:rPr>
        <w:t xml:space="preserve">cosa </w:t>
      </w:r>
      <w:r>
        <w:rPr>
          <w:rFonts w:ascii="Arial" w:hAnsi="Arial"/>
        </w:rPr>
        <w:t xml:space="preserve">juzgada porque la actora ya había presentado una tutela con idénticos hechos y pretensiones, que fue declarada improcedente por los Juzgados de primera y segunda instancia en el año 2014. Asimismo indicó que este asunto no se acompasa con ninguno de los precedentes constitucionales citados. Solicitó negar la tutela (Folios </w:t>
      </w:r>
      <w:r w:rsidR="00DE121B">
        <w:rPr>
          <w:rFonts w:ascii="Arial" w:hAnsi="Arial"/>
        </w:rPr>
        <w:t>193 a 199</w:t>
      </w:r>
      <w:r>
        <w:rPr>
          <w:rFonts w:ascii="Arial" w:hAnsi="Arial"/>
        </w:rPr>
        <w:t>, ib.)</w:t>
      </w:r>
      <w:r>
        <w:rPr>
          <w:rFonts w:ascii="Arial" w:hAnsi="Arial" w:cs="Arial"/>
        </w:rPr>
        <w:t xml:space="preserve">. </w:t>
      </w:r>
    </w:p>
    <w:p w:rsidR="00D91662" w:rsidRPr="003C676B" w:rsidRDefault="00D91662" w:rsidP="00533ABA">
      <w:pPr>
        <w:spacing w:line="360" w:lineRule="auto"/>
        <w:jc w:val="both"/>
        <w:rPr>
          <w:rFonts w:ascii="Arial" w:hAnsi="Arial"/>
        </w:rPr>
      </w:pPr>
    </w:p>
    <w:p w:rsidR="00533ABA" w:rsidRDefault="00533ABA" w:rsidP="001C15CE">
      <w:pPr>
        <w:pStyle w:val="Corpsdetexte"/>
        <w:numPr>
          <w:ilvl w:val="0"/>
          <w:numId w:val="18"/>
        </w:numPr>
        <w:spacing w:line="360" w:lineRule="auto"/>
        <w:rPr>
          <w:rFonts w:ascii="Arial" w:hAnsi="Arial"/>
          <w:sz w:val="24"/>
          <w:szCs w:val="24"/>
        </w:rPr>
      </w:pPr>
      <w:r w:rsidRPr="00902F93">
        <w:rPr>
          <w:rFonts w:ascii="Arial" w:hAnsi="Arial"/>
          <w:sz w:val="24"/>
          <w:szCs w:val="24"/>
        </w:rPr>
        <w:t>LA FUNDAMENTACIÓN JURÍDICA PARA DECIDIR</w:t>
      </w:r>
    </w:p>
    <w:p w:rsidR="00260F52" w:rsidRDefault="00260F52" w:rsidP="00260F52">
      <w:pPr>
        <w:pStyle w:val="Corpsdetexte"/>
        <w:spacing w:line="360" w:lineRule="auto"/>
        <w:rPr>
          <w:rFonts w:ascii="Arial" w:hAnsi="Arial"/>
          <w:sz w:val="24"/>
          <w:szCs w:val="24"/>
        </w:rPr>
      </w:pPr>
    </w:p>
    <w:p w:rsidR="00533ABA" w:rsidRPr="00BD34F2" w:rsidRDefault="00260F52" w:rsidP="00CA0424">
      <w:pPr>
        <w:pStyle w:val="Paragraphedeliste"/>
        <w:numPr>
          <w:ilvl w:val="1"/>
          <w:numId w:val="18"/>
        </w:numPr>
        <w:tabs>
          <w:tab w:val="left" w:pos="709"/>
        </w:tabs>
        <w:spacing w:line="360" w:lineRule="auto"/>
        <w:jc w:val="both"/>
        <w:rPr>
          <w:rFonts w:ascii="Arial" w:hAnsi="Arial" w:cs="Verdana"/>
        </w:rPr>
      </w:pPr>
      <w:r w:rsidRPr="00CA0424">
        <w:rPr>
          <w:rFonts w:ascii="Arial" w:hAnsi="Arial"/>
          <w:smallCaps/>
        </w:rPr>
        <w:t>La competencia</w:t>
      </w:r>
      <w:r w:rsidR="00CA0424" w:rsidRPr="00CA0424">
        <w:rPr>
          <w:rFonts w:ascii="Arial" w:hAnsi="Arial"/>
          <w:smallCaps/>
        </w:rPr>
        <w:t>.</w:t>
      </w:r>
      <w:r w:rsidR="00CA0424" w:rsidRPr="00CA0424">
        <w:rPr>
          <w:rFonts w:ascii="Arial" w:hAnsi="Arial"/>
        </w:rPr>
        <w:t xml:space="preserve"> </w:t>
      </w:r>
      <w:r w:rsidR="00963352" w:rsidRPr="00CA0424">
        <w:rPr>
          <w:rFonts w:ascii="Arial" w:hAnsi="Arial" w:cs="Arial"/>
        </w:rPr>
        <w:t xml:space="preserve">Es </w:t>
      </w:r>
      <w:r w:rsidR="00533ABA" w:rsidRPr="00CA0424">
        <w:rPr>
          <w:rFonts w:ascii="Arial" w:hAnsi="Arial" w:cs="Arial"/>
        </w:rPr>
        <w:t xml:space="preserve">competente </w:t>
      </w:r>
      <w:r w:rsidR="00963352" w:rsidRPr="00CA0424">
        <w:rPr>
          <w:rFonts w:ascii="Arial" w:hAnsi="Arial" w:cs="Arial"/>
        </w:rPr>
        <w:t xml:space="preserve">este Tribunal </w:t>
      </w:r>
      <w:r w:rsidR="00533ABA" w:rsidRPr="00CA0424">
        <w:rPr>
          <w:rFonts w:ascii="Arial" w:hAnsi="Arial" w:cs="Arial"/>
        </w:rPr>
        <w:t>para conocer la acción en razón a que esta Corporación es el superior jerárquico de</w:t>
      </w:r>
      <w:r w:rsidR="00295188" w:rsidRPr="00CA0424">
        <w:rPr>
          <w:rFonts w:ascii="Arial" w:hAnsi="Arial" w:cs="Arial"/>
        </w:rPr>
        <w:t xml:space="preserve"> uno de los </w:t>
      </w:r>
      <w:r w:rsidR="00813087" w:rsidRPr="00CA0424">
        <w:rPr>
          <w:rFonts w:ascii="Arial" w:hAnsi="Arial" w:cs="Arial"/>
        </w:rPr>
        <w:t>accionado</w:t>
      </w:r>
      <w:r w:rsidR="00295188" w:rsidRPr="00CA0424">
        <w:rPr>
          <w:rFonts w:ascii="Arial" w:hAnsi="Arial" w:cs="Arial"/>
        </w:rPr>
        <w:t>s</w:t>
      </w:r>
      <w:r w:rsidR="00533ABA" w:rsidRPr="00CA0424">
        <w:rPr>
          <w:rFonts w:ascii="Arial" w:hAnsi="Arial" w:cs="Arial"/>
        </w:rPr>
        <w:t>.</w:t>
      </w:r>
    </w:p>
    <w:p w:rsidR="00BD34F2" w:rsidRPr="00CA0424" w:rsidRDefault="00BD34F2" w:rsidP="00BD34F2">
      <w:pPr>
        <w:pStyle w:val="Paragraphedeliste"/>
        <w:tabs>
          <w:tab w:val="left" w:pos="709"/>
        </w:tabs>
        <w:spacing w:line="360" w:lineRule="auto"/>
        <w:ind w:left="720"/>
        <w:jc w:val="both"/>
        <w:rPr>
          <w:rFonts w:ascii="Arial" w:hAnsi="Arial" w:cs="Verdana"/>
        </w:rPr>
      </w:pPr>
    </w:p>
    <w:p w:rsidR="00CA0424" w:rsidRPr="00CA0424" w:rsidRDefault="00CA0424" w:rsidP="00CA0424">
      <w:pPr>
        <w:pStyle w:val="Paragraphedeliste"/>
        <w:numPr>
          <w:ilvl w:val="1"/>
          <w:numId w:val="18"/>
        </w:numPr>
        <w:tabs>
          <w:tab w:val="left" w:pos="709"/>
        </w:tabs>
        <w:spacing w:line="360" w:lineRule="auto"/>
        <w:jc w:val="both"/>
        <w:rPr>
          <w:rFonts w:ascii="Arial" w:hAnsi="Arial" w:cs="Arial"/>
        </w:rPr>
      </w:pPr>
      <w:r w:rsidRPr="00CA0424">
        <w:rPr>
          <w:rFonts w:ascii="Arial" w:hAnsi="Arial"/>
          <w:smallCaps/>
        </w:rPr>
        <w:t>El problema jurídico a resolver</w:t>
      </w:r>
      <w:r>
        <w:rPr>
          <w:rFonts w:ascii="Arial" w:hAnsi="Arial" w:cs="Arial"/>
          <w:spacing w:val="-3"/>
          <w:lang w:val="es-ES_tradnl"/>
        </w:rPr>
        <w:t>.</w:t>
      </w:r>
      <w:r w:rsidRPr="00CA0424">
        <w:rPr>
          <w:rFonts w:ascii="Arial" w:hAnsi="Arial" w:cs="Arial"/>
          <w:spacing w:val="-3"/>
          <w:lang w:val="es-ES_tradnl"/>
        </w:rPr>
        <w:t xml:space="preserve"> ¿</w:t>
      </w:r>
      <w:r w:rsidRPr="00CA0424">
        <w:rPr>
          <w:rFonts w:ascii="Arial" w:hAnsi="Arial" w:cs="Arial"/>
        </w:rPr>
        <w:t xml:space="preserve">Los Juzgados </w:t>
      </w:r>
      <w:r>
        <w:rPr>
          <w:rFonts w:ascii="Arial" w:hAnsi="Arial" w:cs="Arial"/>
        </w:rPr>
        <w:t xml:space="preserve">Tercero </w:t>
      </w:r>
      <w:r w:rsidRPr="00CA0424">
        <w:rPr>
          <w:rFonts w:ascii="Arial" w:hAnsi="Arial" w:cs="Arial"/>
        </w:rPr>
        <w:t xml:space="preserve">Civil del Circuito y </w:t>
      </w:r>
      <w:r>
        <w:rPr>
          <w:rFonts w:ascii="Arial" w:hAnsi="Arial" w:cs="Arial"/>
        </w:rPr>
        <w:t xml:space="preserve">Octavo </w:t>
      </w:r>
      <w:r w:rsidRPr="00CA0424">
        <w:rPr>
          <w:rFonts w:ascii="Arial" w:hAnsi="Arial" w:cs="Arial"/>
        </w:rPr>
        <w:t>Civil Municipal de esta ciudad</w:t>
      </w:r>
      <w:r w:rsidRPr="00CA0424">
        <w:rPr>
          <w:rFonts w:ascii="Arial" w:hAnsi="Arial" w:cs="Arial"/>
          <w:spacing w:val="-3"/>
          <w:lang w:val="es-ES_tradnl"/>
        </w:rPr>
        <w:t xml:space="preserve"> han vulnerado o amenazado los derechos fundamentales </w:t>
      </w:r>
      <w:r>
        <w:rPr>
          <w:rFonts w:ascii="Arial" w:hAnsi="Arial" w:cs="Arial"/>
          <w:spacing w:val="-3"/>
          <w:lang w:val="es-ES_tradnl"/>
        </w:rPr>
        <w:t xml:space="preserve">de la accionante </w:t>
      </w:r>
      <w:r w:rsidRPr="00CA0424">
        <w:rPr>
          <w:rFonts w:ascii="Arial" w:hAnsi="Arial" w:cs="Arial"/>
          <w:spacing w:val="-3"/>
          <w:lang w:val="es-ES_tradnl"/>
        </w:rPr>
        <w:t>con ocasión de las decisiones adoptadas</w:t>
      </w:r>
      <w:r>
        <w:rPr>
          <w:rFonts w:ascii="Arial" w:hAnsi="Arial" w:cs="Arial"/>
          <w:spacing w:val="-3"/>
          <w:lang w:val="es-ES_tradnl"/>
        </w:rPr>
        <w:t xml:space="preserve"> en el proceso ordinario?</w:t>
      </w:r>
    </w:p>
    <w:p w:rsidR="00CA0424" w:rsidRPr="00CA0424" w:rsidRDefault="00CA0424" w:rsidP="00CA0424">
      <w:pPr>
        <w:tabs>
          <w:tab w:val="left" w:pos="709"/>
        </w:tabs>
        <w:spacing w:line="360" w:lineRule="auto"/>
        <w:jc w:val="both"/>
        <w:rPr>
          <w:rFonts w:ascii="Arial" w:hAnsi="Arial" w:cs="Arial"/>
        </w:rPr>
      </w:pPr>
    </w:p>
    <w:p w:rsidR="00533ABA" w:rsidRDefault="00533ABA" w:rsidP="00260F52">
      <w:pPr>
        <w:pStyle w:val="Paragraphedeliste"/>
        <w:numPr>
          <w:ilvl w:val="1"/>
          <w:numId w:val="18"/>
        </w:numPr>
        <w:spacing w:line="360" w:lineRule="auto"/>
        <w:jc w:val="both"/>
        <w:rPr>
          <w:rFonts w:ascii="Arial" w:hAnsi="Arial"/>
          <w:smallCaps/>
        </w:rPr>
      </w:pPr>
      <w:r w:rsidRPr="00CA0424">
        <w:rPr>
          <w:rFonts w:ascii="Arial" w:hAnsi="Arial"/>
          <w:smallCaps/>
        </w:rPr>
        <w:t>Los presupuestos materiales de la acción</w:t>
      </w:r>
    </w:p>
    <w:p w:rsidR="00CA0424" w:rsidRPr="00CA0424" w:rsidRDefault="00CA0424" w:rsidP="00CA0424">
      <w:pPr>
        <w:pStyle w:val="Paragraphedeliste"/>
        <w:rPr>
          <w:rFonts w:ascii="Arial" w:hAnsi="Arial"/>
          <w:smallCaps/>
        </w:rPr>
      </w:pPr>
    </w:p>
    <w:p w:rsidR="00CA0424" w:rsidRPr="00CA0424" w:rsidRDefault="00CA0424" w:rsidP="00CA0424">
      <w:pPr>
        <w:pStyle w:val="Paragraphedeliste"/>
        <w:numPr>
          <w:ilvl w:val="2"/>
          <w:numId w:val="18"/>
        </w:numPr>
        <w:spacing w:line="360" w:lineRule="auto"/>
        <w:jc w:val="both"/>
        <w:rPr>
          <w:rFonts w:ascii="Arial" w:hAnsi="Arial"/>
          <w:smallCaps/>
          <w:sz w:val="22"/>
        </w:rPr>
      </w:pPr>
      <w:r w:rsidRPr="00CA0424">
        <w:rPr>
          <w:rFonts w:ascii="Arial" w:hAnsi="Arial"/>
          <w:smallCaps/>
          <w:sz w:val="22"/>
        </w:rPr>
        <w:t>La Legitimación en la causa</w:t>
      </w:r>
    </w:p>
    <w:p w:rsidR="00533ABA" w:rsidRPr="00CB3FF7" w:rsidRDefault="00533ABA" w:rsidP="00533ABA">
      <w:pPr>
        <w:pStyle w:val="Corpsdetexte"/>
        <w:spacing w:line="360" w:lineRule="auto"/>
        <w:rPr>
          <w:rFonts w:ascii="Arial" w:hAnsi="Arial" w:cs="Arial"/>
          <w:sz w:val="24"/>
        </w:rPr>
      </w:pPr>
    </w:p>
    <w:p w:rsidR="00963352" w:rsidRPr="00260F52" w:rsidRDefault="00963352" w:rsidP="00963352">
      <w:pPr>
        <w:pStyle w:val="Corpsdetexte"/>
        <w:spacing w:line="360" w:lineRule="auto"/>
        <w:rPr>
          <w:rFonts w:ascii="Arial" w:hAnsi="Arial" w:cs="Arial"/>
          <w:sz w:val="24"/>
          <w:szCs w:val="24"/>
        </w:rPr>
      </w:pPr>
      <w:r w:rsidRPr="00260F52">
        <w:rPr>
          <w:rFonts w:ascii="Arial" w:hAnsi="Arial" w:cs="Arial"/>
          <w:sz w:val="24"/>
          <w:szCs w:val="24"/>
        </w:rPr>
        <w:t xml:space="preserve">Se cumple </w:t>
      </w:r>
      <w:r w:rsidR="00AA29D0" w:rsidRPr="00260F52">
        <w:rPr>
          <w:rFonts w:ascii="Arial" w:hAnsi="Arial" w:cs="Arial"/>
          <w:sz w:val="24"/>
          <w:szCs w:val="24"/>
        </w:rPr>
        <w:t xml:space="preserve">por activa dado que </w:t>
      </w:r>
      <w:r w:rsidR="00CA0424">
        <w:rPr>
          <w:rFonts w:ascii="Arial" w:hAnsi="Arial" w:cs="Arial"/>
          <w:sz w:val="24"/>
          <w:szCs w:val="24"/>
        </w:rPr>
        <w:t xml:space="preserve">la señora Luz Mary Ruiz Vélez promovió el proceso ordinario </w:t>
      </w:r>
      <w:r w:rsidRPr="00260F52">
        <w:rPr>
          <w:rFonts w:ascii="Arial" w:hAnsi="Arial" w:cs="Arial"/>
          <w:sz w:val="24"/>
          <w:szCs w:val="24"/>
        </w:rPr>
        <w:t>en el que se reprocha la falta al debido proceso. Y por pasiva, lo s</w:t>
      </w:r>
      <w:r w:rsidR="00AA29D0" w:rsidRPr="00260F52">
        <w:rPr>
          <w:rFonts w:ascii="Arial" w:hAnsi="Arial" w:cs="Arial"/>
          <w:sz w:val="24"/>
          <w:szCs w:val="24"/>
        </w:rPr>
        <w:t xml:space="preserve">on los Juzgados </w:t>
      </w:r>
      <w:r w:rsidR="00CA0424">
        <w:rPr>
          <w:rFonts w:ascii="Arial" w:hAnsi="Arial" w:cs="Arial"/>
          <w:sz w:val="24"/>
          <w:szCs w:val="24"/>
        </w:rPr>
        <w:t>3</w:t>
      </w:r>
      <w:r w:rsidR="00260F52">
        <w:rPr>
          <w:rFonts w:ascii="Arial" w:hAnsi="Arial" w:cs="Arial"/>
          <w:sz w:val="24"/>
          <w:szCs w:val="24"/>
        </w:rPr>
        <w:t>°</w:t>
      </w:r>
      <w:r w:rsidR="00AA29D0" w:rsidRPr="00260F52">
        <w:rPr>
          <w:rFonts w:ascii="Arial" w:hAnsi="Arial" w:cs="Arial"/>
          <w:sz w:val="24"/>
          <w:szCs w:val="24"/>
        </w:rPr>
        <w:t xml:space="preserve"> Civil del Circuito y </w:t>
      </w:r>
      <w:r w:rsidR="00CA0424">
        <w:rPr>
          <w:rFonts w:ascii="Arial" w:hAnsi="Arial" w:cs="Arial"/>
          <w:sz w:val="24"/>
          <w:szCs w:val="24"/>
        </w:rPr>
        <w:t>8</w:t>
      </w:r>
      <w:r w:rsidR="00260F52">
        <w:rPr>
          <w:rFonts w:ascii="Arial" w:hAnsi="Arial" w:cs="Arial"/>
          <w:sz w:val="24"/>
          <w:szCs w:val="24"/>
        </w:rPr>
        <w:t>°</w:t>
      </w:r>
      <w:r w:rsidR="00AA29D0" w:rsidRPr="00260F52">
        <w:rPr>
          <w:rFonts w:ascii="Arial" w:hAnsi="Arial" w:cs="Arial"/>
          <w:sz w:val="24"/>
          <w:szCs w:val="24"/>
        </w:rPr>
        <w:t xml:space="preserve"> Civil Municipal de esta ciudad</w:t>
      </w:r>
      <w:r w:rsidRPr="00260F52">
        <w:rPr>
          <w:rFonts w:ascii="Arial" w:hAnsi="Arial" w:cs="Arial"/>
          <w:sz w:val="24"/>
          <w:szCs w:val="24"/>
        </w:rPr>
        <w:t>, por ser la</w:t>
      </w:r>
      <w:r w:rsidR="00AA29D0" w:rsidRPr="00260F52">
        <w:rPr>
          <w:rFonts w:ascii="Arial" w:hAnsi="Arial" w:cs="Arial"/>
          <w:sz w:val="24"/>
          <w:szCs w:val="24"/>
        </w:rPr>
        <w:t>s</w:t>
      </w:r>
      <w:r w:rsidRPr="00260F52">
        <w:rPr>
          <w:rFonts w:ascii="Arial" w:hAnsi="Arial" w:cs="Arial"/>
          <w:sz w:val="24"/>
          <w:szCs w:val="24"/>
        </w:rPr>
        <w:t xml:space="preserve"> autoridad</w:t>
      </w:r>
      <w:r w:rsidR="00AA29D0" w:rsidRPr="00260F52">
        <w:rPr>
          <w:rFonts w:ascii="Arial" w:hAnsi="Arial" w:cs="Arial"/>
          <w:sz w:val="24"/>
          <w:szCs w:val="24"/>
        </w:rPr>
        <w:t>es</w:t>
      </w:r>
      <w:r w:rsidRPr="00260F52">
        <w:rPr>
          <w:rFonts w:ascii="Arial" w:hAnsi="Arial" w:cs="Arial"/>
          <w:sz w:val="24"/>
          <w:szCs w:val="24"/>
        </w:rPr>
        <w:t xml:space="preserve"> judicial</w:t>
      </w:r>
      <w:r w:rsidR="00AA29D0" w:rsidRPr="00260F52">
        <w:rPr>
          <w:rFonts w:ascii="Arial" w:hAnsi="Arial" w:cs="Arial"/>
          <w:sz w:val="24"/>
          <w:szCs w:val="24"/>
        </w:rPr>
        <w:t>es</w:t>
      </w:r>
      <w:r w:rsidRPr="00260F52">
        <w:rPr>
          <w:rFonts w:ascii="Arial" w:hAnsi="Arial" w:cs="Arial"/>
          <w:sz w:val="24"/>
          <w:szCs w:val="24"/>
        </w:rPr>
        <w:t xml:space="preserve"> que conoc</w:t>
      </w:r>
      <w:r w:rsidR="00AA29D0" w:rsidRPr="00260F52">
        <w:rPr>
          <w:rFonts w:ascii="Arial" w:hAnsi="Arial" w:cs="Arial"/>
          <w:sz w:val="24"/>
          <w:szCs w:val="24"/>
        </w:rPr>
        <w:t xml:space="preserve">ieron </w:t>
      </w:r>
      <w:r w:rsidRPr="00260F52">
        <w:rPr>
          <w:rFonts w:ascii="Arial" w:hAnsi="Arial" w:cs="Arial"/>
          <w:sz w:val="24"/>
          <w:szCs w:val="24"/>
        </w:rPr>
        <w:t>del asunto</w:t>
      </w:r>
      <w:r w:rsidR="00AA29D0" w:rsidRPr="00260F52">
        <w:rPr>
          <w:rFonts w:ascii="Arial" w:hAnsi="Arial" w:cs="Arial"/>
          <w:sz w:val="24"/>
          <w:szCs w:val="24"/>
        </w:rPr>
        <w:t xml:space="preserve"> y emitieron las decisiones cuestiona</w:t>
      </w:r>
      <w:r w:rsidR="00024160" w:rsidRPr="00260F52">
        <w:rPr>
          <w:rFonts w:ascii="Arial" w:hAnsi="Arial" w:cs="Arial"/>
          <w:sz w:val="24"/>
          <w:szCs w:val="24"/>
        </w:rPr>
        <w:t>das</w:t>
      </w:r>
      <w:r w:rsidRPr="00260F52">
        <w:rPr>
          <w:rFonts w:ascii="Arial" w:hAnsi="Arial" w:cs="Arial"/>
          <w:sz w:val="24"/>
          <w:szCs w:val="24"/>
        </w:rPr>
        <w:t>.</w:t>
      </w:r>
    </w:p>
    <w:p w:rsidR="00DC5F10" w:rsidRDefault="00DC5F10"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02470F" w:rsidRPr="005A7A13" w:rsidRDefault="0002470F" w:rsidP="00260F52">
      <w:pPr>
        <w:pStyle w:val="Corpsdetexte"/>
        <w:numPr>
          <w:ilvl w:val="2"/>
          <w:numId w:val="18"/>
        </w:numPr>
        <w:tabs>
          <w:tab w:val="clear" w:pos="0"/>
          <w:tab w:val="clear" w:pos="708"/>
          <w:tab w:val="left" w:pos="709"/>
        </w:tabs>
        <w:spacing w:line="360" w:lineRule="auto"/>
        <w:rPr>
          <w:rFonts w:ascii="Arial" w:hAnsi="Arial" w:cs="Arial"/>
          <w:smallCaps/>
          <w:sz w:val="22"/>
          <w:szCs w:val="24"/>
        </w:rPr>
      </w:pPr>
      <w:r w:rsidRPr="005A7A13">
        <w:rPr>
          <w:rFonts w:ascii="Arial" w:hAnsi="Arial" w:cs="Arial"/>
          <w:smallCaps/>
          <w:sz w:val="22"/>
          <w:szCs w:val="24"/>
        </w:rPr>
        <w:t>La procedencia de la acción frente a actuaciones judiciales</w:t>
      </w:r>
    </w:p>
    <w:p w:rsidR="0002470F" w:rsidRPr="009A45FF" w:rsidRDefault="0002470F" w:rsidP="0002470F">
      <w:pPr>
        <w:pStyle w:val="Corpsdetexte"/>
        <w:spacing w:line="360" w:lineRule="auto"/>
        <w:rPr>
          <w:rFonts w:ascii="Arial" w:hAnsi="Arial" w:cs="Arial"/>
          <w:sz w:val="18"/>
          <w:szCs w:val="24"/>
        </w:rPr>
      </w:pP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5A7A13">
        <w:rPr>
          <w:rFonts w:ascii="Arial" w:hAnsi="Arial" w:cs="Arial"/>
          <w:spacing w:val="-3"/>
          <w:lang w:val="es-ES_tradnl"/>
        </w:rPr>
        <w:t>Desde la sentencia C-543</w:t>
      </w:r>
      <w:r w:rsidRPr="005A7A13">
        <w:rPr>
          <w:rFonts w:ascii="Verdana" w:hAnsi="Verdana" w:cs="Times New Roman"/>
          <w:spacing w:val="-3"/>
          <w:szCs w:val="20"/>
          <w:lang w:val="es-ES_tradnl"/>
        </w:rPr>
        <w:t xml:space="preserve"> </w:t>
      </w:r>
      <w:r w:rsidRPr="005A7A13">
        <w:rPr>
          <w:rFonts w:ascii="Arial" w:hAnsi="Arial"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A7A13">
        <w:rPr>
          <w:rFonts w:ascii="Arial" w:hAnsi="Arial" w:cs="Arial"/>
          <w:spacing w:val="-3"/>
          <w:vertAlign w:val="superscript"/>
          <w:lang w:val="es-ES_tradnl"/>
        </w:rPr>
        <w:footnoteReference w:id="1"/>
      </w:r>
      <w:r w:rsidRPr="005A7A13">
        <w:rPr>
          <w:rFonts w:ascii="Arial" w:hAnsi="Arial" w:cs="Arial"/>
          <w:spacing w:val="-3"/>
          <w:lang w:val="es-ES_tradnl"/>
        </w:rPr>
        <w:t>, básicamente sustituyó la expresión “vías de hecho” por la de “causales genéricas de procedibilidad” y ensanchó las causales especiales, pasando de cuatro (4) a ocho (8).  En el mismo sentido Quiroga N.</w:t>
      </w:r>
      <w:r w:rsidRPr="005A7A13">
        <w:rPr>
          <w:rFonts w:ascii="Arial" w:hAnsi="Arial" w:cs="Times New Roman"/>
          <w:spacing w:val="-3"/>
          <w:vertAlign w:val="superscript"/>
          <w:lang w:val="es-ES_tradnl"/>
        </w:rPr>
        <w:footnoteReference w:id="2"/>
      </w:r>
      <w:r w:rsidRPr="005A7A13">
        <w:rPr>
          <w:rFonts w:ascii="Arial" w:hAnsi="Arial" w:cs="Arial"/>
          <w:spacing w:val="-3"/>
          <w:lang w:val="es-ES_tradnl"/>
        </w:rPr>
        <w:t>.</w:t>
      </w: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lang w:val="es-ES_tradnl"/>
        </w:rPr>
      </w:pP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5A7A13">
        <w:rPr>
          <w:rFonts w:ascii="Arial" w:hAnsi="Arial" w:cs="Arial"/>
          <w:spacing w:val="-3"/>
          <w:lang w:val="es-ES_tradnl"/>
        </w:rPr>
        <w:t xml:space="preserve">Ahora, en frente  del  examen que se reclama en sede constitucional, resulta de mayúscula </w:t>
      </w: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5A7A13">
        <w:rPr>
          <w:rFonts w:ascii="Arial" w:hAnsi="Arial" w:cs="Arial"/>
          <w:spacing w:val="-3"/>
          <w:lang w:val="es-ES_tradnl"/>
        </w:rPr>
        <w:lastRenderedPageBreak/>
        <w:t xml:space="preserve">trascendencia, precisar que </w:t>
      </w:r>
      <w:r w:rsidRPr="005A7A13">
        <w:rPr>
          <w:rFonts w:ascii="Arial" w:hAnsi="Arial" w:cs="Arial"/>
          <w:spacing w:val="-3"/>
          <w:u w:val="single"/>
          <w:lang w:val="es-ES_tradnl"/>
        </w:rPr>
        <w:t>se trata de un juicio de validez y no de corrección</w:t>
      </w:r>
      <w:r w:rsidRPr="005A7A13">
        <w:rPr>
          <w:rFonts w:ascii="Arial" w:hAnsi="Arial"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A7A13">
        <w:rPr>
          <w:rFonts w:ascii="Arial" w:hAnsi="Arial" w:cs="Arial"/>
          <w:spacing w:val="-3"/>
          <w:vertAlign w:val="superscript"/>
          <w:lang w:val="es-ES_tradnl"/>
        </w:rPr>
        <w:footnoteReference w:id="3"/>
      </w:r>
      <w:r w:rsidRPr="005A7A13">
        <w:rPr>
          <w:rFonts w:ascii="Arial" w:hAnsi="Arial" w:cs="Arial"/>
          <w:spacing w:val="-3"/>
          <w:lang w:val="es-ES_tradnl"/>
        </w:rPr>
        <w:t>.</w:t>
      </w: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lang w:val="es-ES_tradnl"/>
        </w:rPr>
      </w:pP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5A7A13">
        <w:rPr>
          <w:rFonts w:ascii="Arial" w:hAnsi="Arial" w:cs="Arial"/>
          <w:spacing w:val="-3"/>
          <w:lang w:val="es-ES_tradnl"/>
        </w:rPr>
        <w:t>Los requisitos generales de procedibilidad, explicados en amplitud en la C-590 de 2005</w:t>
      </w:r>
      <w:r w:rsidRPr="005A7A13">
        <w:rPr>
          <w:rFonts w:ascii="Arial" w:hAnsi="Arial" w:cs="Arial"/>
          <w:spacing w:val="-3"/>
          <w:vertAlign w:val="superscript"/>
          <w:lang w:val="es-ES_tradnl"/>
        </w:rPr>
        <w:footnoteReference w:id="4"/>
      </w:r>
      <w:r w:rsidRPr="005A7A13">
        <w:rPr>
          <w:rFonts w:ascii="Arial" w:hAnsi="Arial" w:cs="Arial"/>
          <w:spacing w:val="-3"/>
          <w:lang w:val="es-ES_tradnl"/>
        </w:rPr>
        <w:t xml:space="preserve"> y reiterados en la consolidada línea jurisprudencial de la CC</w:t>
      </w:r>
      <w:r w:rsidRPr="005A7A13">
        <w:rPr>
          <w:rFonts w:ascii="Arial" w:hAnsi="Arial" w:cs="Arial"/>
          <w:spacing w:val="-3"/>
          <w:vertAlign w:val="superscript"/>
          <w:lang w:val="es-ES_tradnl"/>
        </w:rPr>
        <w:footnoteReference w:id="5"/>
      </w:r>
      <w:r w:rsidRPr="005A7A13">
        <w:rPr>
          <w:rFonts w:ascii="Arial" w:hAnsi="Arial"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A7A13">
        <w:rPr>
          <w:rFonts w:ascii="Arial" w:hAnsi="Arial" w:cs="Times New Roman"/>
          <w:spacing w:val="-3"/>
          <w:vertAlign w:val="superscript"/>
          <w:lang w:val="es-ES_tradnl"/>
        </w:rPr>
        <w:footnoteReference w:id="6"/>
      </w:r>
      <w:r w:rsidRPr="005A7A13">
        <w:rPr>
          <w:rFonts w:ascii="Arial" w:hAnsi="Arial" w:cs="Arial"/>
          <w:spacing w:val="-3"/>
          <w:lang w:val="es-ES_tradnl"/>
        </w:rPr>
        <w:t>.</w:t>
      </w: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lang w:val="es-ES_tradnl"/>
        </w:rPr>
      </w:pPr>
    </w:p>
    <w:p w:rsidR="005A7A13"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5A7A13">
        <w:rPr>
          <w:rFonts w:ascii="Arial" w:hAnsi="Arial" w:cs="Arial"/>
          <w:spacing w:val="-3"/>
          <w:lang w:val="es-ES_tradnl"/>
        </w:rPr>
        <w:t xml:space="preserve">De otra parte, como requisitos o causales especiales de procedibilidad, se han definido los </w:t>
      </w:r>
    </w:p>
    <w:p w:rsidR="0002470F" w:rsidRPr="005A7A13" w:rsidRDefault="005A7A13" w:rsidP="005A7A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CO"/>
        </w:rPr>
      </w:pPr>
      <w:r w:rsidRPr="005A7A13">
        <w:rPr>
          <w:rFonts w:ascii="Arial" w:hAnsi="Arial" w:cs="Arial"/>
          <w:spacing w:val="-3"/>
          <w:lang w:val="es-ES_tradnl"/>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5A7A13">
        <w:rPr>
          <w:rFonts w:ascii="Arial" w:hAnsi="Arial" w:cs="Arial"/>
          <w:spacing w:val="-3"/>
          <w:vertAlign w:val="superscript"/>
          <w:lang w:val="es-ES_tradnl"/>
        </w:rPr>
        <w:footnoteReference w:id="7"/>
      </w:r>
      <w:r w:rsidRPr="005A7A13">
        <w:rPr>
          <w:rFonts w:ascii="Arial" w:hAnsi="Arial" w:cs="Arial"/>
          <w:spacing w:val="-3"/>
          <w:lang w:val="es-ES_tradnl"/>
        </w:rPr>
        <w:t xml:space="preserve"> y Quinche R.</w:t>
      </w:r>
      <w:r w:rsidRPr="005A7A13">
        <w:rPr>
          <w:rFonts w:ascii="Arial" w:hAnsi="Arial" w:cs="Arial"/>
          <w:spacing w:val="-3"/>
          <w:vertAlign w:val="superscript"/>
          <w:lang w:val="es-ES_tradnl"/>
        </w:rPr>
        <w:footnoteReference w:id="8"/>
      </w:r>
      <w:r w:rsidRPr="005A7A13">
        <w:rPr>
          <w:rFonts w:ascii="Arial" w:hAnsi="Arial" w:cs="Arial"/>
          <w:spacing w:val="-3"/>
          <w:lang w:val="es-ES_tradnl"/>
        </w:rPr>
        <w:t>.</w:t>
      </w:r>
    </w:p>
    <w:p w:rsidR="0002470F" w:rsidRPr="00BA5C57" w:rsidRDefault="0002470F" w:rsidP="0002470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lang w:val="es-ES"/>
        </w:rPr>
      </w:pPr>
    </w:p>
    <w:p w:rsidR="00D518EB" w:rsidRPr="005A7A13" w:rsidRDefault="009072D8" w:rsidP="005A7A13">
      <w:pPr>
        <w:pStyle w:val="Paragraphedeliste"/>
        <w:numPr>
          <w:ilvl w:val="2"/>
          <w:numId w:val="18"/>
        </w:numPr>
        <w:spacing w:line="360" w:lineRule="auto"/>
        <w:ind w:right="51"/>
        <w:jc w:val="both"/>
        <w:rPr>
          <w:rFonts w:ascii="Arial" w:hAnsi="Arial"/>
          <w:smallCaps/>
          <w:lang w:val="es-ES_tradnl"/>
        </w:rPr>
      </w:pPr>
      <w:r w:rsidRPr="005A7A13">
        <w:rPr>
          <w:rFonts w:ascii="Arial" w:hAnsi="Arial" w:cs="Arial"/>
          <w:smallCaps/>
          <w:lang w:val="es-ES_tradnl"/>
        </w:rPr>
        <w:t xml:space="preserve">La </w:t>
      </w:r>
      <w:r w:rsidR="005A7A13" w:rsidRPr="005A7A13">
        <w:rPr>
          <w:rFonts w:ascii="Arial" w:hAnsi="Arial" w:cs="Arial"/>
          <w:smallCaps/>
          <w:lang w:val="es-ES_tradnl"/>
        </w:rPr>
        <w:t>causal</w:t>
      </w:r>
      <w:r w:rsidRPr="005A7A13">
        <w:rPr>
          <w:rFonts w:ascii="Arial" w:hAnsi="Arial" w:cs="Arial"/>
          <w:smallCaps/>
          <w:lang w:val="es-ES_tradnl"/>
        </w:rPr>
        <w:t xml:space="preserve"> </w:t>
      </w:r>
      <w:r w:rsidR="005A7A13" w:rsidRPr="005A7A13">
        <w:rPr>
          <w:rFonts w:ascii="Arial" w:hAnsi="Arial" w:cs="Arial"/>
          <w:smallCaps/>
          <w:lang w:val="es-ES_tradnl"/>
        </w:rPr>
        <w:t>especial</w:t>
      </w:r>
      <w:r w:rsidR="00D518EB" w:rsidRPr="005A7A13">
        <w:rPr>
          <w:rFonts w:ascii="Arial" w:hAnsi="Arial" w:cs="Arial"/>
          <w:smallCaps/>
          <w:lang w:val="es-ES_tradnl"/>
        </w:rPr>
        <w:t xml:space="preserve"> </w:t>
      </w:r>
      <w:r w:rsidR="00D518EB" w:rsidRPr="005A7A13">
        <w:rPr>
          <w:rFonts w:ascii="Arial" w:hAnsi="Arial"/>
          <w:smallCaps/>
          <w:lang w:val="es-ES_tradnl"/>
        </w:rPr>
        <w:t xml:space="preserve">de procedibilidad </w:t>
      </w:r>
      <w:r w:rsidR="005A7A13" w:rsidRPr="005A7A13">
        <w:rPr>
          <w:rFonts w:ascii="Arial" w:hAnsi="Arial"/>
          <w:smallCaps/>
          <w:lang w:val="es-ES_tradnl"/>
        </w:rPr>
        <w:t>alegada</w:t>
      </w:r>
    </w:p>
    <w:p w:rsidR="00D518EB" w:rsidRDefault="00D518EB" w:rsidP="00533ABA">
      <w:pPr>
        <w:pStyle w:val="Corpsdetexte"/>
        <w:spacing w:line="360" w:lineRule="auto"/>
        <w:rPr>
          <w:rFonts w:ascii="Arial" w:hAnsi="Arial" w:cs="Arial"/>
          <w:sz w:val="24"/>
          <w:szCs w:val="24"/>
        </w:rPr>
      </w:pPr>
    </w:p>
    <w:p w:rsidR="00D518EB" w:rsidRPr="005A7A13" w:rsidRDefault="00D518EB" w:rsidP="005A7A13">
      <w:pPr>
        <w:pStyle w:val="Corpsdetexte"/>
        <w:numPr>
          <w:ilvl w:val="3"/>
          <w:numId w:val="18"/>
        </w:numPr>
        <w:spacing w:line="360" w:lineRule="auto"/>
        <w:rPr>
          <w:rFonts w:ascii="Arial" w:hAnsi="Arial" w:cs="Arial"/>
          <w:smallCaps/>
          <w:sz w:val="24"/>
          <w:szCs w:val="24"/>
        </w:rPr>
      </w:pPr>
      <w:r w:rsidRPr="005A7A13">
        <w:rPr>
          <w:rFonts w:ascii="Arial" w:hAnsi="Arial" w:cs="Arial"/>
          <w:smallCaps/>
          <w:sz w:val="22"/>
          <w:szCs w:val="24"/>
        </w:rPr>
        <w:t>El de</w:t>
      </w:r>
      <w:r w:rsidR="00BD5487" w:rsidRPr="005A7A13">
        <w:rPr>
          <w:rFonts w:ascii="Arial" w:hAnsi="Arial" w:cs="Arial"/>
          <w:smallCaps/>
          <w:sz w:val="22"/>
          <w:szCs w:val="24"/>
        </w:rPr>
        <w:t>sconocimiento del precedente</w:t>
      </w:r>
    </w:p>
    <w:p w:rsidR="00D518EB" w:rsidRPr="007E016E" w:rsidRDefault="00D518EB" w:rsidP="00D518EB">
      <w:pPr>
        <w:pStyle w:val="Corpsdetexte"/>
        <w:spacing w:line="360" w:lineRule="auto"/>
        <w:rPr>
          <w:rFonts w:ascii="Arial" w:hAnsi="Arial" w:cs="Arial"/>
        </w:rPr>
      </w:pPr>
    </w:p>
    <w:p w:rsidR="001A18C9" w:rsidRDefault="0072277B" w:rsidP="001A18C9">
      <w:pPr>
        <w:pStyle w:val="Corpsdetexte"/>
        <w:tabs>
          <w:tab w:val="clear" w:pos="0"/>
          <w:tab w:val="clear" w:pos="708"/>
          <w:tab w:val="left" w:pos="709"/>
        </w:tabs>
        <w:spacing w:line="360" w:lineRule="auto"/>
        <w:rPr>
          <w:rFonts w:ascii="Arial" w:hAnsi="Arial" w:cs="Arial"/>
          <w:sz w:val="24"/>
          <w:szCs w:val="24"/>
          <w:lang w:eastAsia="es-MX"/>
        </w:rPr>
      </w:pPr>
      <w:r w:rsidRPr="00DB05B2">
        <w:rPr>
          <w:rFonts w:ascii="Arial" w:hAnsi="Arial" w:cs="Arial"/>
          <w:sz w:val="24"/>
          <w:szCs w:val="24"/>
        </w:rPr>
        <w:t xml:space="preserve">Se </w:t>
      </w:r>
      <w:r w:rsidR="001A18C9" w:rsidRPr="00DB05B2">
        <w:rPr>
          <w:rFonts w:ascii="Arial" w:hAnsi="Arial" w:cs="Arial"/>
          <w:sz w:val="24"/>
          <w:szCs w:val="24"/>
        </w:rPr>
        <w:t xml:space="preserve">entiende por </w:t>
      </w:r>
      <w:r w:rsidR="001A18C9" w:rsidRPr="00DB05B2">
        <w:rPr>
          <w:rFonts w:ascii="Arial" w:hAnsi="Arial" w:cs="Arial"/>
          <w:bCs/>
          <w:sz w:val="24"/>
          <w:szCs w:val="24"/>
        </w:rPr>
        <w:t>precedente judicial</w:t>
      </w:r>
      <w:r w:rsidR="001A18C9" w:rsidRPr="00DB05B2">
        <w:rPr>
          <w:rFonts w:ascii="Arial" w:hAnsi="Arial" w:cs="Arial"/>
          <w:sz w:val="24"/>
          <w:szCs w:val="24"/>
          <w:vertAlign w:val="superscript"/>
        </w:rPr>
        <w:footnoteReference w:id="9"/>
      </w:r>
      <w:r w:rsidR="001A18C9" w:rsidRPr="00DB05B2">
        <w:rPr>
          <w:rFonts w:ascii="Arial" w:hAnsi="Arial" w:cs="Arial"/>
          <w:bCs/>
          <w:sz w:val="24"/>
          <w:szCs w:val="24"/>
        </w:rPr>
        <w:t xml:space="preserve">, </w:t>
      </w:r>
      <w:r>
        <w:rPr>
          <w:rFonts w:ascii="Arial" w:hAnsi="Arial" w:cs="Arial"/>
          <w:bCs/>
          <w:sz w:val="24"/>
          <w:szCs w:val="24"/>
        </w:rPr>
        <w:t xml:space="preserve">ha dicho </w:t>
      </w:r>
      <w:r w:rsidR="001A18C9" w:rsidRPr="00DB05B2">
        <w:rPr>
          <w:rFonts w:ascii="Arial" w:hAnsi="Arial" w:cs="Arial"/>
          <w:bCs/>
          <w:sz w:val="24"/>
          <w:szCs w:val="24"/>
        </w:rPr>
        <w:t xml:space="preserve">la </w:t>
      </w:r>
      <w:r w:rsidR="005A7A13">
        <w:rPr>
          <w:rFonts w:ascii="Arial" w:hAnsi="Arial" w:cs="Arial"/>
          <w:bCs/>
          <w:sz w:val="24"/>
          <w:szCs w:val="24"/>
        </w:rPr>
        <w:t>CC</w:t>
      </w:r>
      <w:r w:rsidR="005A7A13">
        <w:rPr>
          <w:rStyle w:val="Appelnotedebasdep"/>
          <w:rFonts w:ascii="Arial" w:hAnsi="Arial"/>
          <w:bCs/>
          <w:sz w:val="24"/>
          <w:szCs w:val="24"/>
        </w:rPr>
        <w:footnoteReference w:id="10"/>
      </w:r>
      <w:r>
        <w:rPr>
          <w:rFonts w:ascii="Arial" w:hAnsi="Arial" w:cs="Arial"/>
          <w:sz w:val="24"/>
          <w:szCs w:val="24"/>
        </w:rPr>
        <w:t xml:space="preserve">: </w:t>
      </w:r>
      <w:r w:rsidR="001A18C9" w:rsidRPr="005A7A13">
        <w:rPr>
          <w:rFonts w:ascii="Arial" w:hAnsi="Arial" w:cs="Arial"/>
          <w:i/>
          <w:sz w:val="22"/>
          <w:szCs w:val="24"/>
        </w:rPr>
        <w:t>“(…)</w:t>
      </w:r>
      <w:r w:rsidR="005A7A13">
        <w:rPr>
          <w:rFonts w:ascii="Arial" w:hAnsi="Arial" w:cs="Arial"/>
          <w:i/>
          <w:sz w:val="22"/>
          <w:szCs w:val="24"/>
        </w:rPr>
        <w:t xml:space="preserve"> </w:t>
      </w:r>
      <w:r w:rsidR="005A7A13" w:rsidRPr="005A7A13">
        <w:rPr>
          <w:rFonts w:ascii="Arial" w:hAnsi="Arial" w:cs="Arial"/>
          <w:i/>
          <w:iCs/>
          <w:sz w:val="22"/>
          <w:szCs w:val="24"/>
          <w:lang w:val="es-CO"/>
        </w:rPr>
        <w:t xml:space="preserve">por regla general, es aquella sentencia o conjunto de sentencias que presentan similitudes con un caso nuevo objeto de </w:t>
      </w:r>
      <w:r w:rsidR="005A7A13" w:rsidRPr="005A7A13">
        <w:rPr>
          <w:rFonts w:ascii="Arial" w:hAnsi="Arial" w:cs="Arial"/>
          <w:i/>
          <w:iCs/>
          <w:sz w:val="22"/>
          <w:szCs w:val="24"/>
          <w:lang w:val="es-CO"/>
        </w:rPr>
        <w:lastRenderedPageBreak/>
        <w:t>escrutinio en materia de (i) patrones fácticos y (ii) problemas jurídicos, y en las que en su ratio decidendi se ha fijado una regla para resolver la controversia, que sirve también para solucionar el nuevo caso</w:t>
      </w:r>
      <w:r w:rsidR="005A7A13" w:rsidRPr="005A7A13">
        <w:rPr>
          <w:rFonts w:ascii="Arial" w:hAnsi="Arial" w:cs="Arial"/>
          <w:i/>
          <w:sz w:val="22"/>
          <w:szCs w:val="24"/>
          <w:lang w:val="es-ES"/>
        </w:rPr>
        <w:t xml:space="preserve"> </w:t>
      </w:r>
      <w:r w:rsidR="005A7A13">
        <w:rPr>
          <w:rFonts w:ascii="Arial" w:hAnsi="Arial" w:cs="Arial"/>
          <w:i/>
          <w:sz w:val="22"/>
          <w:szCs w:val="24"/>
        </w:rPr>
        <w:t>(…)</w:t>
      </w:r>
      <w:r w:rsidR="001A18C9" w:rsidRPr="005A7A13">
        <w:rPr>
          <w:rFonts w:ascii="Arial" w:hAnsi="Arial" w:cs="Arial"/>
          <w:i/>
          <w:sz w:val="22"/>
          <w:szCs w:val="24"/>
        </w:rPr>
        <w:t>”</w:t>
      </w:r>
      <w:r w:rsidR="001A18C9" w:rsidRPr="00DB05B2">
        <w:rPr>
          <w:rFonts w:ascii="Arial" w:hAnsi="Arial" w:cs="Arial"/>
          <w:i/>
          <w:sz w:val="24"/>
          <w:szCs w:val="24"/>
        </w:rPr>
        <w:t>.</w:t>
      </w:r>
      <w:r w:rsidR="001A18C9" w:rsidRPr="00DB05B2">
        <w:rPr>
          <w:rFonts w:ascii="Arial" w:hAnsi="Arial" w:cs="Arial"/>
          <w:sz w:val="24"/>
          <w:szCs w:val="24"/>
        </w:rPr>
        <w:t xml:space="preserve">  La doctrina nacional más autorizada en esta materia, cuenta con la obra </w:t>
      </w:r>
      <w:r w:rsidR="001A18C9" w:rsidRPr="00DB05B2">
        <w:rPr>
          <w:rFonts w:ascii="Arial" w:hAnsi="Arial" w:cs="Arial"/>
          <w:sz w:val="24"/>
          <w:szCs w:val="24"/>
          <w:lang w:eastAsia="es-MX"/>
        </w:rPr>
        <w:t>del profesor López Medina</w:t>
      </w:r>
      <w:r w:rsidR="001A18C9" w:rsidRPr="00DB05B2">
        <w:rPr>
          <w:rStyle w:val="Appelnotedebasdep"/>
          <w:rFonts w:ascii="Arial" w:hAnsi="Arial" w:cs="Arial"/>
          <w:sz w:val="24"/>
          <w:szCs w:val="24"/>
          <w:lang w:eastAsia="es-MX"/>
        </w:rPr>
        <w:footnoteReference w:id="11"/>
      </w:r>
      <w:r w:rsidR="001A18C9" w:rsidRPr="00DB05B2">
        <w:rPr>
          <w:rFonts w:ascii="Arial" w:hAnsi="Arial" w:cs="Arial"/>
          <w:sz w:val="24"/>
          <w:szCs w:val="24"/>
          <w:lang w:eastAsia="es-MX"/>
        </w:rPr>
        <w:t>, que puede consultarse para mayor ilustración académica.</w:t>
      </w:r>
    </w:p>
    <w:p w:rsidR="00906CB3" w:rsidRPr="00DB05B2" w:rsidRDefault="00906CB3" w:rsidP="001A18C9">
      <w:pPr>
        <w:pStyle w:val="Corpsdetexte"/>
        <w:tabs>
          <w:tab w:val="clear" w:pos="0"/>
          <w:tab w:val="clear" w:pos="708"/>
          <w:tab w:val="left" w:pos="709"/>
        </w:tabs>
        <w:spacing w:line="360" w:lineRule="auto"/>
        <w:rPr>
          <w:rFonts w:ascii="Arial" w:hAnsi="Arial"/>
          <w:sz w:val="24"/>
          <w:szCs w:val="24"/>
        </w:rPr>
      </w:pPr>
    </w:p>
    <w:p w:rsidR="001A18C9" w:rsidRPr="00DB05B2" w:rsidRDefault="001A18C9" w:rsidP="001A18C9">
      <w:pPr>
        <w:pStyle w:val="Corpsdetexte"/>
        <w:tabs>
          <w:tab w:val="clear" w:pos="0"/>
          <w:tab w:val="clear" w:pos="708"/>
          <w:tab w:val="left" w:pos="709"/>
        </w:tabs>
        <w:spacing w:line="360" w:lineRule="auto"/>
        <w:rPr>
          <w:rFonts w:ascii="Arial" w:hAnsi="Arial"/>
          <w:sz w:val="24"/>
          <w:szCs w:val="24"/>
        </w:rPr>
      </w:pPr>
      <w:r w:rsidRPr="00DB05B2">
        <w:rPr>
          <w:rFonts w:ascii="Arial" w:hAnsi="Arial" w:cs="Arial"/>
          <w:sz w:val="24"/>
          <w:szCs w:val="24"/>
          <w:lang w:eastAsia="es-CO"/>
        </w:rPr>
        <w:t>En la teoría del derecho judicial y en particular nuestro Alto Tribunal constitucional, se distingue el precedente horizontal y el vertical</w:t>
      </w:r>
      <w:r w:rsidRPr="00DB05B2">
        <w:rPr>
          <w:rFonts w:ascii="Arial" w:hAnsi="Arial" w:cs="Arial"/>
          <w:sz w:val="24"/>
          <w:szCs w:val="24"/>
          <w:vertAlign w:val="superscript"/>
          <w:lang w:eastAsia="es-CO"/>
        </w:rPr>
        <w:footnoteReference w:id="12"/>
      </w:r>
      <w:r w:rsidR="00DE121B">
        <w:rPr>
          <w:rFonts w:ascii="Arial" w:hAnsi="Arial" w:cs="Arial"/>
          <w:sz w:val="24"/>
          <w:szCs w:val="24"/>
          <w:lang w:eastAsia="es-CO"/>
        </w:rPr>
        <w:t xml:space="preserve"> (2017)</w:t>
      </w:r>
      <w:r w:rsidRPr="00DB05B2">
        <w:rPr>
          <w:rFonts w:ascii="Arial" w:hAnsi="Arial" w:cs="Arial"/>
          <w:sz w:val="24"/>
          <w:szCs w:val="24"/>
          <w:lang w:eastAsia="es-CO"/>
        </w:rPr>
        <w:t xml:space="preserve">,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w:t>
      </w:r>
      <w:r w:rsidR="005A7A13">
        <w:rPr>
          <w:rFonts w:ascii="Arial" w:hAnsi="Arial" w:cs="Arial"/>
          <w:sz w:val="24"/>
          <w:szCs w:val="24"/>
          <w:lang w:eastAsia="es-CO"/>
        </w:rPr>
        <w:t>CC</w:t>
      </w:r>
      <w:r w:rsidRPr="00DB05B2">
        <w:rPr>
          <w:rStyle w:val="Appelnotedebasdep"/>
          <w:rFonts w:ascii="Arial" w:hAnsi="Arial"/>
          <w:sz w:val="24"/>
          <w:szCs w:val="24"/>
          <w:lang w:eastAsia="es-CO"/>
        </w:rPr>
        <w:footnoteReference w:id="13"/>
      </w:r>
      <w:r w:rsidRPr="00DB05B2">
        <w:rPr>
          <w:rFonts w:ascii="Arial" w:hAnsi="Arial" w:cs="Arial"/>
          <w:sz w:val="24"/>
          <w:szCs w:val="24"/>
          <w:lang w:eastAsia="es-CO"/>
        </w:rPr>
        <w:t>.</w:t>
      </w:r>
    </w:p>
    <w:p w:rsidR="001A18C9" w:rsidRPr="00DB05B2" w:rsidRDefault="001A18C9" w:rsidP="001A18C9">
      <w:pPr>
        <w:pStyle w:val="Corpsdetexte"/>
        <w:tabs>
          <w:tab w:val="clear" w:pos="0"/>
          <w:tab w:val="clear" w:pos="708"/>
          <w:tab w:val="left" w:pos="709"/>
        </w:tabs>
        <w:spacing w:line="360" w:lineRule="auto"/>
        <w:rPr>
          <w:rFonts w:ascii="Arial" w:hAnsi="Arial"/>
          <w:sz w:val="24"/>
          <w:szCs w:val="24"/>
        </w:rPr>
      </w:pPr>
    </w:p>
    <w:p w:rsidR="001A18C9" w:rsidRDefault="001A18C9" w:rsidP="001A18C9">
      <w:pPr>
        <w:pStyle w:val="Corpsdetexte"/>
        <w:tabs>
          <w:tab w:val="clear" w:pos="0"/>
          <w:tab w:val="clear" w:pos="708"/>
          <w:tab w:val="left" w:pos="709"/>
        </w:tabs>
        <w:spacing w:line="360" w:lineRule="auto"/>
        <w:rPr>
          <w:rFonts w:ascii="Arial" w:hAnsi="Arial" w:cs="Arial"/>
          <w:sz w:val="24"/>
          <w:szCs w:val="24"/>
          <w:lang w:eastAsia="es-CO"/>
        </w:rPr>
      </w:pPr>
      <w:r w:rsidRPr="00DB05B2">
        <w:rPr>
          <w:rFonts w:ascii="Arial" w:hAnsi="Arial"/>
          <w:sz w:val="24"/>
          <w:szCs w:val="24"/>
        </w:rPr>
        <w:t xml:space="preserve">En la decisión aludida concluyó la Corporación en los siguientes términos: </w:t>
      </w:r>
      <w:r w:rsidRPr="00CE364F">
        <w:rPr>
          <w:rFonts w:ascii="Arial" w:hAnsi="Arial" w:cs="Arial"/>
          <w:i/>
          <w:sz w:val="22"/>
          <w:szCs w:val="24"/>
          <w:lang w:eastAsia="es-CO"/>
        </w:rPr>
        <w:t>“Así, para la mayoría de asuntos, el precedente vertical que deben seguir los funcionarios judiciales es determinado por la Corte Suprema de Justicia o por el Consejo de Estado, como órganos de cierre dentro de su respectiva jurisdicción</w:t>
      </w:r>
      <w:r w:rsidRPr="00CE364F">
        <w:rPr>
          <w:rFonts w:ascii="Arial" w:hAnsi="Arial" w:cs="Arial"/>
          <w:i/>
          <w:sz w:val="22"/>
          <w:szCs w:val="24"/>
          <w:vertAlign w:val="superscript"/>
          <w:lang w:eastAsia="es-CO"/>
        </w:rPr>
        <w:footnoteReference w:id="14"/>
      </w:r>
      <w:r w:rsidRPr="00CE364F">
        <w:rPr>
          <w:rFonts w:ascii="Arial" w:hAnsi="Arial" w:cs="Arial"/>
          <w:i/>
          <w:sz w:val="22"/>
          <w:szCs w:val="24"/>
          <w:lang w:eastAsia="es-CO"/>
        </w:rPr>
        <w:t>. En los casos en los que no son susceptibles de ser revisados por las autoridades mencionadas, son los tribunales los encargados de establecer criterios hermenéuticos para los operadores judiciales inferiores</w:t>
      </w:r>
      <w:r>
        <w:rPr>
          <w:rFonts w:ascii="Arial" w:hAnsi="Arial" w:cs="Arial"/>
          <w:i/>
          <w:sz w:val="22"/>
          <w:szCs w:val="24"/>
          <w:lang w:eastAsia="es-CO"/>
        </w:rPr>
        <w:t>”</w:t>
      </w:r>
      <w:r w:rsidRPr="00DB05B2">
        <w:rPr>
          <w:rFonts w:ascii="Arial" w:hAnsi="Arial" w:cs="Arial"/>
          <w:i/>
          <w:sz w:val="24"/>
          <w:szCs w:val="24"/>
          <w:vertAlign w:val="superscript"/>
          <w:lang w:eastAsia="es-CO"/>
        </w:rPr>
        <w:footnoteReference w:id="15"/>
      </w:r>
      <w:r w:rsidRPr="00DB05B2">
        <w:rPr>
          <w:rFonts w:ascii="Arial" w:hAnsi="Arial" w:cs="Arial"/>
          <w:i/>
          <w:sz w:val="24"/>
          <w:szCs w:val="24"/>
          <w:lang w:eastAsia="es-CO"/>
        </w:rPr>
        <w:t>.</w:t>
      </w:r>
      <w:r w:rsidRPr="00DB05B2">
        <w:rPr>
          <w:rFonts w:ascii="Arial" w:hAnsi="Arial" w:cs="Arial"/>
          <w:sz w:val="24"/>
          <w:szCs w:val="24"/>
          <w:lang w:eastAsia="es-CO"/>
        </w:rPr>
        <w:t xml:space="preserve"> </w:t>
      </w:r>
    </w:p>
    <w:p w:rsidR="001A18C9" w:rsidRDefault="001A18C9" w:rsidP="001A18C9">
      <w:pPr>
        <w:pStyle w:val="Corpsdetexte"/>
        <w:tabs>
          <w:tab w:val="clear" w:pos="0"/>
          <w:tab w:val="clear" w:pos="708"/>
          <w:tab w:val="left" w:pos="709"/>
        </w:tabs>
        <w:spacing w:line="360" w:lineRule="auto"/>
        <w:rPr>
          <w:rFonts w:ascii="Arial" w:hAnsi="Arial" w:cs="Arial"/>
          <w:sz w:val="24"/>
          <w:szCs w:val="24"/>
          <w:lang w:eastAsia="es-CO"/>
        </w:rPr>
      </w:pPr>
    </w:p>
    <w:p w:rsidR="001A18C9" w:rsidRPr="007E2B6E" w:rsidRDefault="001A18C9" w:rsidP="001A18C9">
      <w:pPr>
        <w:pStyle w:val="Corpsdetexte"/>
        <w:tabs>
          <w:tab w:val="clear" w:pos="0"/>
          <w:tab w:val="clear" w:pos="708"/>
          <w:tab w:val="left" w:pos="709"/>
        </w:tabs>
        <w:spacing w:line="360" w:lineRule="auto"/>
        <w:rPr>
          <w:rFonts w:ascii="Arial" w:hAnsi="Arial" w:cs="Arial"/>
          <w:sz w:val="24"/>
          <w:szCs w:val="24"/>
          <w:lang w:val="es-CO"/>
        </w:rPr>
      </w:pPr>
      <w:r w:rsidRPr="00DB05B2">
        <w:rPr>
          <w:rFonts w:ascii="Arial" w:hAnsi="Arial"/>
          <w:sz w:val="24"/>
          <w:szCs w:val="24"/>
        </w:rPr>
        <w:t>También se tiene dicho que e</w:t>
      </w:r>
      <w:r w:rsidRPr="00DB05B2">
        <w:rPr>
          <w:rFonts w:ascii="Arial" w:hAnsi="Arial" w:cs="Arial"/>
          <w:sz w:val="24"/>
          <w:szCs w:val="24"/>
        </w:rPr>
        <w:t xml:space="preserve">l precedente no solo es orientador, sino </w:t>
      </w:r>
      <w:r w:rsidRPr="009B2AEA">
        <w:rPr>
          <w:rFonts w:ascii="Arial" w:hAnsi="Arial" w:cs="Arial"/>
          <w:bCs/>
          <w:sz w:val="24"/>
          <w:szCs w:val="24"/>
          <w:u w:val="single"/>
        </w:rPr>
        <w:t>obligatorio</w:t>
      </w:r>
      <w:r w:rsidRPr="00DB05B2">
        <w:rPr>
          <w:rFonts w:ascii="Arial" w:hAnsi="Arial" w:cs="Arial"/>
          <w:sz w:val="24"/>
          <w:szCs w:val="24"/>
        </w:rPr>
        <w:t xml:space="preserve">, aunque con la posibilidad de discrepar, a condición de </w:t>
      </w:r>
      <w:r>
        <w:rPr>
          <w:rFonts w:ascii="Arial" w:hAnsi="Arial" w:cs="Arial"/>
          <w:sz w:val="24"/>
          <w:szCs w:val="24"/>
        </w:rPr>
        <w:t xml:space="preserve">tener </w:t>
      </w:r>
      <w:r w:rsidRPr="00DB05B2">
        <w:rPr>
          <w:rFonts w:ascii="Arial" w:hAnsi="Arial" w:cs="Arial"/>
          <w:sz w:val="24"/>
          <w:szCs w:val="24"/>
        </w:rPr>
        <w:t>presente que</w:t>
      </w:r>
      <w:r>
        <w:rPr>
          <w:rFonts w:ascii="Arial" w:hAnsi="Arial" w:cs="Arial"/>
          <w:sz w:val="24"/>
          <w:szCs w:val="24"/>
        </w:rPr>
        <w:t>:</w:t>
      </w:r>
      <w:r w:rsidRPr="00DB05B2">
        <w:rPr>
          <w:rFonts w:ascii="Arial" w:hAnsi="Arial" w:cs="Arial"/>
          <w:sz w:val="24"/>
          <w:szCs w:val="24"/>
        </w:rPr>
        <w:t xml:space="preserve"> </w:t>
      </w:r>
      <w:r w:rsidRPr="00DB05B2">
        <w:rPr>
          <w:rFonts w:ascii="Arial" w:hAnsi="Arial" w:cs="Arial"/>
          <w:i/>
          <w:sz w:val="24"/>
          <w:szCs w:val="24"/>
        </w:rPr>
        <w:t>“</w:t>
      </w:r>
      <w:r w:rsidRPr="00761597">
        <w:rPr>
          <w:rFonts w:ascii="Arial" w:hAnsi="Arial" w:cs="Arial"/>
          <w:i/>
          <w:sz w:val="22"/>
          <w:szCs w:val="24"/>
        </w:rPr>
        <w:t xml:space="preserve">(…) </w:t>
      </w:r>
      <w:r w:rsidRPr="00761597">
        <w:rPr>
          <w:rFonts w:ascii="Arial" w:hAnsi="Arial" w:cs="Arial"/>
          <w:i/>
          <w:iCs/>
          <w:sz w:val="22"/>
          <w:szCs w:val="24"/>
        </w:rPr>
        <w:t>están obligados</w:t>
      </w:r>
      <w:r w:rsidR="006A4590">
        <w:rPr>
          <w:rFonts w:ascii="Arial" w:hAnsi="Arial" w:cs="Arial"/>
          <w:i/>
          <w:iCs/>
          <w:sz w:val="22"/>
          <w:szCs w:val="24"/>
        </w:rPr>
        <w:t xml:space="preserve"> </w:t>
      </w:r>
      <w:r w:rsidR="006A4590" w:rsidRPr="006A4590">
        <w:rPr>
          <w:rFonts w:ascii="Arial" w:hAnsi="Arial" w:cs="Arial"/>
          <w:iCs/>
          <w:sz w:val="22"/>
          <w:szCs w:val="24"/>
        </w:rPr>
        <w:t>(Sic)</w:t>
      </w:r>
      <w:r w:rsidRPr="00761597">
        <w:rPr>
          <w:rFonts w:ascii="Arial" w:hAnsi="Arial" w:cs="Arial"/>
          <w:i/>
          <w:iCs/>
          <w:sz w:val="22"/>
          <w:szCs w:val="24"/>
        </w:rPr>
        <w:t xml:space="preserve"> exponer clara y razonadamente los fundamentos jurídicos que justifican su decisión</w:t>
      </w:r>
      <w:r w:rsidRPr="00761597">
        <w:rPr>
          <w:rFonts w:ascii="Arial" w:hAnsi="Arial" w:cs="Arial"/>
          <w:i/>
          <w:sz w:val="22"/>
          <w:szCs w:val="24"/>
        </w:rPr>
        <w:t xml:space="preserve"> (…)</w:t>
      </w:r>
      <w:r w:rsidRPr="00DB05B2">
        <w:rPr>
          <w:rFonts w:ascii="Arial" w:hAnsi="Arial" w:cs="Arial"/>
          <w:i/>
          <w:sz w:val="24"/>
          <w:szCs w:val="24"/>
        </w:rPr>
        <w:t>”</w:t>
      </w:r>
      <w:r w:rsidRPr="00DB05B2">
        <w:rPr>
          <w:rStyle w:val="Appelnotedebasdep"/>
          <w:rFonts w:ascii="Arial" w:hAnsi="Arial"/>
          <w:i/>
          <w:sz w:val="24"/>
          <w:szCs w:val="24"/>
        </w:rPr>
        <w:footnoteReference w:id="16"/>
      </w:r>
      <w:r>
        <w:rPr>
          <w:rFonts w:ascii="Arial" w:hAnsi="Arial" w:cs="Arial"/>
          <w:i/>
          <w:sz w:val="24"/>
          <w:szCs w:val="24"/>
        </w:rPr>
        <w:t xml:space="preserve">, </w:t>
      </w:r>
      <w:r w:rsidRPr="007E2B6E">
        <w:rPr>
          <w:rFonts w:ascii="Arial" w:hAnsi="Arial" w:cs="Arial"/>
          <w:sz w:val="24"/>
          <w:szCs w:val="24"/>
        </w:rPr>
        <w:t xml:space="preserve">por eso </w:t>
      </w:r>
      <w:r>
        <w:rPr>
          <w:rFonts w:ascii="Arial" w:hAnsi="Arial" w:cs="Arial"/>
          <w:sz w:val="24"/>
          <w:szCs w:val="24"/>
        </w:rPr>
        <w:t>precisa la Corporación</w:t>
      </w:r>
      <w:r>
        <w:rPr>
          <w:rStyle w:val="Appelnotedebasdep"/>
          <w:rFonts w:ascii="Arial" w:hAnsi="Arial"/>
          <w:sz w:val="24"/>
          <w:szCs w:val="24"/>
        </w:rPr>
        <w:footnoteReference w:id="17"/>
      </w:r>
      <w:r>
        <w:rPr>
          <w:rFonts w:ascii="Arial" w:hAnsi="Arial" w:cs="Arial"/>
          <w:sz w:val="24"/>
          <w:szCs w:val="24"/>
        </w:rPr>
        <w:t xml:space="preserve">, tantas veces citada: </w:t>
      </w:r>
      <w:r w:rsidRPr="00B65A57">
        <w:rPr>
          <w:rFonts w:ascii="Arial" w:hAnsi="Arial" w:cs="Arial"/>
          <w:i/>
          <w:sz w:val="22"/>
          <w:szCs w:val="24"/>
        </w:rPr>
        <w:t xml:space="preserve">“(…) </w:t>
      </w:r>
      <w:r w:rsidRPr="00B65A57">
        <w:rPr>
          <w:rFonts w:ascii="Arial" w:hAnsi="Arial" w:cs="Arial"/>
          <w:i/>
          <w:iCs/>
          <w:color w:val="000000"/>
          <w:sz w:val="22"/>
          <w:szCs w:val="22"/>
          <w:shd w:val="clear" w:color="auto" w:fill="FFFFFF"/>
        </w:rPr>
        <w:t>el error no se presenta siempre que el funcionario jurisdiccional reconozca y señale las decisiones anteriores de las que se aparta, y argumente con suficiencia los motivos de su decisión. Ello sucede con un manejo legítimo del precedente, labor que obliga a que el juez i) se refiera al precedente anterior y ii) ofrezca un argumento suficiente para el abandono o cambio de la norma jurisprudencial.</w:t>
      </w:r>
      <w:r>
        <w:rPr>
          <w:rFonts w:ascii="Arial" w:hAnsi="Arial" w:cs="Arial"/>
          <w:i/>
          <w:iCs/>
          <w:color w:val="000000"/>
          <w:sz w:val="22"/>
          <w:szCs w:val="22"/>
          <w:shd w:val="clear" w:color="auto" w:fill="FFFFFF"/>
        </w:rPr>
        <w:t>”.</w:t>
      </w:r>
    </w:p>
    <w:p w:rsidR="001A18C9" w:rsidRPr="00DB05B2" w:rsidRDefault="001A18C9" w:rsidP="001A18C9">
      <w:pPr>
        <w:pStyle w:val="Corpsdetexte"/>
        <w:tabs>
          <w:tab w:val="clear" w:pos="0"/>
          <w:tab w:val="clear" w:pos="708"/>
          <w:tab w:val="left" w:pos="709"/>
        </w:tabs>
        <w:spacing w:line="360" w:lineRule="auto"/>
        <w:rPr>
          <w:rFonts w:ascii="Arial" w:hAnsi="Arial" w:cs="Arial"/>
          <w:sz w:val="24"/>
          <w:szCs w:val="24"/>
        </w:rPr>
      </w:pPr>
    </w:p>
    <w:p w:rsidR="001A18C9" w:rsidRPr="00DB05B2" w:rsidRDefault="001A18C9" w:rsidP="001A18C9">
      <w:pPr>
        <w:pStyle w:val="Corpsdetexte"/>
        <w:tabs>
          <w:tab w:val="clear" w:pos="0"/>
          <w:tab w:val="clear" w:pos="708"/>
          <w:tab w:val="left" w:pos="709"/>
        </w:tabs>
        <w:spacing w:line="360" w:lineRule="auto"/>
        <w:rPr>
          <w:rFonts w:ascii="Arial" w:hAnsi="Arial" w:cs="Arial"/>
          <w:sz w:val="24"/>
          <w:szCs w:val="24"/>
        </w:rPr>
      </w:pPr>
      <w:r w:rsidRPr="00DB05B2">
        <w:rPr>
          <w:rFonts w:ascii="Arial" w:hAnsi="Arial" w:cs="Arial"/>
          <w:sz w:val="24"/>
          <w:szCs w:val="24"/>
        </w:rPr>
        <w:t xml:space="preserve">En suma, la doctrina del precedente judicial y su nivel de obligatoriedad para las autoridades, en aras de garantizar </w:t>
      </w:r>
      <w:r w:rsidRPr="00DB05B2">
        <w:rPr>
          <w:rFonts w:ascii="Arial" w:hAnsi="Arial" w:cs="Arial"/>
          <w:sz w:val="24"/>
          <w:szCs w:val="24"/>
          <w:lang w:eastAsia="es-CO"/>
        </w:rPr>
        <w:t xml:space="preserve">la confianza en las decisiones de los jueces, se armoniza con los principios de seguridad jurídica, igualdad, buena fe y confianza legítima </w:t>
      </w:r>
      <w:r w:rsidRPr="00DB05B2">
        <w:rPr>
          <w:rFonts w:ascii="Arial" w:hAnsi="Arial" w:cs="Arial"/>
          <w:sz w:val="24"/>
          <w:szCs w:val="24"/>
          <w:lang w:eastAsia="es-CO"/>
        </w:rPr>
        <w:lastRenderedPageBreak/>
        <w:t xml:space="preserve">imperantes en nuestro sistema jurídico.  </w:t>
      </w:r>
      <w:r>
        <w:rPr>
          <w:rFonts w:ascii="Arial" w:hAnsi="Arial" w:cs="Arial"/>
          <w:sz w:val="24"/>
          <w:szCs w:val="24"/>
          <w:lang w:eastAsia="es-CO"/>
        </w:rPr>
        <w:t xml:space="preserve">Importa una </w:t>
      </w:r>
      <w:r w:rsidRPr="00DB05B2">
        <w:rPr>
          <w:rFonts w:ascii="Arial" w:hAnsi="Arial" w:cs="Arial"/>
          <w:sz w:val="24"/>
          <w:szCs w:val="24"/>
          <w:lang w:eastAsia="es-CO"/>
        </w:rPr>
        <w:t>ilustración dogmática</w:t>
      </w:r>
      <w:r>
        <w:rPr>
          <w:rFonts w:ascii="Arial" w:hAnsi="Arial" w:cs="Arial"/>
          <w:sz w:val="24"/>
          <w:szCs w:val="24"/>
          <w:lang w:eastAsia="es-CO"/>
        </w:rPr>
        <w:t xml:space="preserve"> adicional</w:t>
      </w:r>
      <w:r w:rsidRPr="00DB05B2">
        <w:rPr>
          <w:rFonts w:ascii="Arial" w:hAnsi="Arial" w:cs="Arial"/>
          <w:sz w:val="24"/>
          <w:szCs w:val="24"/>
          <w:lang w:eastAsia="es-CO"/>
        </w:rPr>
        <w:t xml:space="preserve">, </w:t>
      </w:r>
      <w:r>
        <w:rPr>
          <w:rFonts w:ascii="Arial" w:hAnsi="Arial" w:cs="Arial"/>
          <w:sz w:val="24"/>
          <w:szCs w:val="24"/>
          <w:lang w:eastAsia="es-CO"/>
        </w:rPr>
        <w:t xml:space="preserve">con las </w:t>
      </w:r>
      <w:r w:rsidRPr="00DB05B2">
        <w:rPr>
          <w:rFonts w:ascii="Arial" w:hAnsi="Arial" w:cs="Arial"/>
          <w:sz w:val="24"/>
          <w:szCs w:val="24"/>
          <w:lang w:eastAsia="es-CO"/>
        </w:rPr>
        <w:t xml:space="preserve">concisas </w:t>
      </w:r>
      <w:r>
        <w:rPr>
          <w:rFonts w:ascii="Arial" w:hAnsi="Arial" w:cs="Arial"/>
          <w:sz w:val="24"/>
          <w:szCs w:val="24"/>
          <w:lang w:eastAsia="es-CO"/>
        </w:rPr>
        <w:t>palabras de la Corte citada</w:t>
      </w:r>
      <w:r w:rsidR="009B2AEA">
        <w:rPr>
          <w:rStyle w:val="Appelnotedebasdep"/>
          <w:rFonts w:ascii="Arial" w:hAnsi="Arial"/>
          <w:sz w:val="24"/>
          <w:szCs w:val="24"/>
          <w:lang w:eastAsia="es-CO"/>
        </w:rPr>
        <w:footnoteReference w:id="18"/>
      </w:r>
      <w:r w:rsidRPr="00DB05B2">
        <w:rPr>
          <w:rFonts w:ascii="Arial" w:hAnsi="Arial" w:cs="Arial"/>
          <w:sz w:val="24"/>
          <w:szCs w:val="24"/>
          <w:lang w:eastAsia="es-CO"/>
        </w:rPr>
        <w:t>:</w:t>
      </w:r>
    </w:p>
    <w:p w:rsidR="001A18C9" w:rsidRPr="000762D6" w:rsidRDefault="001A18C9" w:rsidP="001A18C9">
      <w:pPr>
        <w:pStyle w:val="Corpsdetexte"/>
        <w:tabs>
          <w:tab w:val="clear" w:pos="0"/>
          <w:tab w:val="clear" w:pos="708"/>
          <w:tab w:val="left" w:pos="709"/>
        </w:tabs>
        <w:spacing w:line="360" w:lineRule="auto"/>
        <w:rPr>
          <w:rFonts w:ascii="Arial" w:hAnsi="Arial" w:cs="Arial"/>
          <w:szCs w:val="24"/>
        </w:rPr>
      </w:pPr>
    </w:p>
    <w:p w:rsidR="001A18C9" w:rsidRDefault="001A18C9" w:rsidP="001A18C9">
      <w:pPr>
        <w:pStyle w:val="Corpsdetexte"/>
        <w:spacing w:line="240" w:lineRule="auto"/>
        <w:ind w:left="567" w:right="567"/>
        <w:rPr>
          <w:rFonts w:ascii="Arial" w:hAnsi="Arial" w:cs="Arial"/>
          <w:sz w:val="24"/>
        </w:rPr>
      </w:pPr>
      <w:r w:rsidRPr="00DB05B2">
        <w:rPr>
          <w:rFonts w:ascii="Arial" w:hAnsi="Arial" w:cs="Arial"/>
          <w:sz w:val="24"/>
          <w:szCs w:val="24"/>
          <w:lang w:eastAsia="es-CO"/>
        </w:rPr>
        <w:t xml:space="preserve">En resumen, los jueces tienen un deber de obligatorio cumplimiento y es el de </w:t>
      </w:r>
      <w:r w:rsidRPr="00DB05B2">
        <w:rPr>
          <w:rFonts w:ascii="Arial" w:hAnsi="Arial" w:cs="Arial"/>
          <w:bCs/>
          <w:sz w:val="24"/>
          <w:szCs w:val="24"/>
          <w:lang w:eastAsia="es-CO"/>
        </w:rPr>
        <w:t xml:space="preserve">(i) </w:t>
      </w:r>
      <w:r w:rsidRPr="00DB05B2">
        <w:rPr>
          <w:rFonts w:ascii="Arial" w:hAnsi="Arial" w:cs="Arial"/>
          <w:sz w:val="24"/>
          <w:szCs w:val="24"/>
          <w:lang w:eastAsia="es-CO"/>
        </w:rPr>
        <w:t xml:space="preserve">acoger las decisiones proferidas por los órganos de cierre en cada una de las jurisdicciones (ordinaria, contencioso administrativa o constitucional) cuando éstas constituyen precedentes, y/o </w:t>
      </w:r>
      <w:r w:rsidRPr="00DB05B2">
        <w:rPr>
          <w:rFonts w:ascii="Arial" w:hAnsi="Arial" w:cs="Arial"/>
          <w:bCs/>
          <w:sz w:val="24"/>
          <w:szCs w:val="24"/>
          <w:lang w:eastAsia="es-CO"/>
        </w:rPr>
        <w:t xml:space="preserve">(ii) </w:t>
      </w:r>
      <w:r w:rsidRPr="00DB05B2">
        <w:rPr>
          <w:rFonts w:ascii="Arial" w:hAnsi="Arial" w:cs="Arial"/>
          <w:sz w:val="24"/>
          <w:szCs w:val="24"/>
          <w:lang w:eastAsia="es-CO"/>
        </w:rPr>
        <w:t>sus propias decisiones en casos idénticos, por el respeto del trato igual al acceder a la justicia. Sin embargo, esta regla no es absoluta, ya que los jueces pueden apartarse de dicho precedente, pero cumpliendo la carga argumentativa antes descrita y construyendo una mejor respuesta al problema jurídico. En este orden de ideas, por ejemplo, cuando un juez de inferior jerarquía se aparta de un precedente establecido en su jurisdicción por el órgano de cierre o de su propio precedente, sin exponer un razonamiento proporcional y razonable para el efecto, incurre en la causal de procedibilidad de la tutela por defecto sustantivo o material, que tiene como consecuencia, una vulneración de los derechos fundamentales a la igualdad y al debido proceso de las personas partícipes del proceso respectivo, entre otros.</w:t>
      </w:r>
    </w:p>
    <w:p w:rsidR="001453D4" w:rsidRPr="008431FE" w:rsidRDefault="001453D4" w:rsidP="001453D4">
      <w:pPr>
        <w:spacing w:line="360" w:lineRule="auto"/>
        <w:ind w:right="567"/>
        <w:jc w:val="both"/>
        <w:rPr>
          <w:rFonts w:ascii="Arial" w:hAnsi="Arial" w:cs="Arial"/>
          <w:iCs/>
          <w:sz w:val="12"/>
          <w:lang w:val="es-CO" w:eastAsia="es-CO"/>
        </w:rPr>
      </w:pPr>
    </w:p>
    <w:p w:rsidR="00811889" w:rsidRDefault="00811889" w:rsidP="001453D4">
      <w:pPr>
        <w:spacing w:line="360" w:lineRule="auto"/>
        <w:ind w:right="567"/>
        <w:jc w:val="both"/>
        <w:rPr>
          <w:rFonts w:ascii="Arial" w:hAnsi="Arial" w:cs="Arial"/>
          <w:iCs/>
          <w:sz w:val="22"/>
          <w:lang w:val="es-CO" w:eastAsia="es-CO"/>
        </w:rPr>
      </w:pPr>
    </w:p>
    <w:p w:rsidR="00811889" w:rsidRPr="004F3849" w:rsidRDefault="00811889" w:rsidP="00260F52">
      <w:pPr>
        <w:pStyle w:val="Paragraphedeliste"/>
        <w:numPr>
          <w:ilvl w:val="0"/>
          <w:numId w:val="18"/>
        </w:numPr>
        <w:spacing w:line="360" w:lineRule="auto"/>
        <w:ind w:right="51"/>
        <w:jc w:val="both"/>
        <w:rPr>
          <w:rFonts w:ascii="Arial" w:hAnsi="Arial" w:cs="Arial"/>
          <w:lang w:val="es-ES_tradnl"/>
        </w:rPr>
      </w:pPr>
      <w:r w:rsidRPr="004F3849">
        <w:rPr>
          <w:rFonts w:ascii="Arial" w:hAnsi="Arial" w:cs="Arial"/>
          <w:lang w:val="es-ES_tradnl"/>
        </w:rPr>
        <w:t>EL ANÁLISIS DEL CASO EN CONCRETO</w:t>
      </w:r>
    </w:p>
    <w:p w:rsidR="00811889" w:rsidRDefault="00811889" w:rsidP="001453D4">
      <w:pPr>
        <w:spacing w:line="360" w:lineRule="auto"/>
        <w:ind w:right="567"/>
        <w:jc w:val="both"/>
        <w:rPr>
          <w:rFonts w:ascii="Arial" w:hAnsi="Arial" w:cs="Arial"/>
          <w:iCs/>
          <w:sz w:val="22"/>
          <w:lang w:val="es-CO" w:eastAsia="es-CO"/>
        </w:rPr>
      </w:pPr>
    </w:p>
    <w:p w:rsidR="00DE121B" w:rsidRPr="00DE121B" w:rsidRDefault="00DE121B" w:rsidP="00DE121B">
      <w:pPr>
        <w:spacing w:line="360" w:lineRule="auto"/>
        <w:ind w:right="51"/>
        <w:jc w:val="both"/>
        <w:rPr>
          <w:rFonts w:ascii="Arial" w:hAnsi="Arial" w:cs="Arial"/>
          <w:iCs/>
          <w:lang w:val="es-CO" w:eastAsia="es-CO"/>
        </w:rPr>
      </w:pPr>
      <w:r w:rsidRPr="00DE121B">
        <w:rPr>
          <w:rFonts w:ascii="Arial" w:hAnsi="Arial" w:cs="Arial"/>
          <w:iCs/>
          <w:lang w:val="es-CO" w:eastAsia="es-CO"/>
        </w:rPr>
        <w:t xml:space="preserve">De entrada se descarta la aseveración de Allianz Seguros de Visa SA, en torno a la presencia de una cosa juzgada constitucional, </w:t>
      </w:r>
      <w:r w:rsidR="00663B5A">
        <w:rPr>
          <w:rFonts w:ascii="Arial" w:hAnsi="Arial" w:cs="Arial"/>
          <w:iCs/>
          <w:lang w:val="es-CO" w:eastAsia="es-CO"/>
        </w:rPr>
        <w:t xml:space="preserve">porque </w:t>
      </w:r>
      <w:r w:rsidRPr="00DE121B">
        <w:rPr>
          <w:rFonts w:ascii="Arial" w:hAnsi="Arial" w:cs="Arial"/>
          <w:iCs/>
          <w:lang w:val="es-CO" w:eastAsia="es-CO"/>
        </w:rPr>
        <w:t>es inexistente la triple identidad que exige la jurisprudencia constitucional</w:t>
      </w:r>
      <w:r w:rsidR="00663B5A" w:rsidRPr="00556F7F">
        <w:rPr>
          <w:rStyle w:val="Appelnotedebasdep"/>
          <w:rFonts w:ascii="Arial" w:hAnsi="Arial"/>
          <w:szCs w:val="22"/>
        </w:rPr>
        <w:footnoteReference w:id="19"/>
      </w:r>
      <w:r>
        <w:rPr>
          <w:rFonts w:ascii="Arial" w:hAnsi="Arial" w:cs="Arial"/>
          <w:iCs/>
          <w:lang w:val="es-CO" w:eastAsia="es-CO"/>
        </w:rPr>
        <w:t>;</w:t>
      </w:r>
      <w:r w:rsidRPr="00DE121B">
        <w:rPr>
          <w:rFonts w:ascii="Arial" w:hAnsi="Arial" w:cs="Arial"/>
          <w:iCs/>
          <w:lang w:val="es-CO" w:eastAsia="es-CO"/>
        </w:rPr>
        <w:t xml:space="preserve"> en efecto, la parte pasiva es diferente</w:t>
      </w:r>
      <w:r>
        <w:rPr>
          <w:rFonts w:ascii="Arial" w:hAnsi="Arial" w:cs="Arial"/>
          <w:iCs/>
          <w:lang w:val="es-CO" w:eastAsia="es-CO"/>
        </w:rPr>
        <w:t>,</w:t>
      </w:r>
      <w:r w:rsidRPr="00DE121B">
        <w:rPr>
          <w:rFonts w:ascii="Arial" w:hAnsi="Arial" w:cs="Arial"/>
          <w:iCs/>
          <w:lang w:val="es-CO" w:eastAsia="es-CO"/>
        </w:rPr>
        <w:t xml:space="preserve"> aquí </w:t>
      </w:r>
      <w:r>
        <w:rPr>
          <w:rFonts w:ascii="Arial" w:hAnsi="Arial" w:cs="Arial"/>
          <w:iCs/>
          <w:lang w:val="es-CO" w:eastAsia="es-CO"/>
        </w:rPr>
        <w:t xml:space="preserve">se </w:t>
      </w:r>
      <w:r w:rsidRPr="00DE121B">
        <w:rPr>
          <w:rFonts w:ascii="Arial" w:hAnsi="Arial" w:cs="Arial"/>
          <w:iCs/>
          <w:lang w:val="es-CO" w:eastAsia="es-CO"/>
        </w:rPr>
        <w:t>acciona contra los Juzgados que tramitaron el proceso ordinario</w:t>
      </w:r>
      <w:r w:rsidR="00527B4B">
        <w:rPr>
          <w:rFonts w:ascii="Arial" w:hAnsi="Arial" w:cs="Arial"/>
          <w:iCs/>
          <w:lang w:val="es-CO" w:eastAsia="es-CO"/>
        </w:rPr>
        <w:t xml:space="preserve"> mientras que la otra se promovió frente a la aseguradora</w:t>
      </w:r>
      <w:r>
        <w:rPr>
          <w:rFonts w:ascii="Arial" w:hAnsi="Arial" w:cs="Arial"/>
          <w:iCs/>
          <w:lang w:val="es-CO" w:eastAsia="es-CO"/>
        </w:rPr>
        <w:t xml:space="preserve">; también las pretensiones, aun cuando en el fondo se </w:t>
      </w:r>
      <w:r w:rsidR="00527B4B">
        <w:rPr>
          <w:rFonts w:ascii="Arial" w:hAnsi="Arial" w:cs="Arial"/>
          <w:iCs/>
          <w:lang w:val="es-CO" w:eastAsia="es-CO"/>
        </w:rPr>
        <w:t>re</w:t>
      </w:r>
      <w:r>
        <w:rPr>
          <w:rFonts w:ascii="Arial" w:hAnsi="Arial" w:cs="Arial"/>
          <w:iCs/>
          <w:lang w:val="es-CO" w:eastAsia="es-CO"/>
        </w:rPr>
        <w:t xml:space="preserve">quiera el pago del seguro contratado, lo cierto es que </w:t>
      </w:r>
      <w:r w:rsidR="00527B4B">
        <w:rPr>
          <w:rFonts w:ascii="Arial" w:hAnsi="Arial" w:cs="Arial"/>
          <w:iCs/>
          <w:lang w:val="es-CO" w:eastAsia="es-CO"/>
        </w:rPr>
        <w:t xml:space="preserve">están dirigidas </w:t>
      </w:r>
      <w:r w:rsidRPr="00DE121B">
        <w:rPr>
          <w:rFonts w:ascii="Arial" w:hAnsi="Arial" w:cs="Arial"/>
          <w:iCs/>
          <w:lang w:val="es-CO" w:eastAsia="es-CO"/>
        </w:rPr>
        <w:t>a que se dejen sin efectos las sentencias proferidas</w:t>
      </w:r>
      <w:r>
        <w:rPr>
          <w:rFonts w:ascii="Arial" w:hAnsi="Arial" w:cs="Arial"/>
          <w:iCs/>
          <w:lang w:val="es-CO" w:eastAsia="es-CO"/>
        </w:rPr>
        <w:t xml:space="preserve"> con desconocimiento del precedente constitucional</w:t>
      </w:r>
      <w:r w:rsidRPr="00DE121B">
        <w:rPr>
          <w:rFonts w:ascii="Arial" w:hAnsi="Arial" w:cs="Arial"/>
          <w:iCs/>
          <w:lang w:val="es-CO" w:eastAsia="es-CO"/>
        </w:rPr>
        <w:t>.</w:t>
      </w:r>
    </w:p>
    <w:p w:rsidR="00DE121B" w:rsidRDefault="00DE121B" w:rsidP="001453D4">
      <w:pPr>
        <w:spacing w:line="360" w:lineRule="auto"/>
        <w:ind w:right="567"/>
        <w:jc w:val="both"/>
        <w:rPr>
          <w:rFonts w:ascii="Arial" w:hAnsi="Arial" w:cs="Arial"/>
          <w:iCs/>
          <w:sz w:val="22"/>
          <w:lang w:val="es-CO" w:eastAsia="es-CO"/>
        </w:rPr>
      </w:pPr>
    </w:p>
    <w:p w:rsidR="001453D4" w:rsidRDefault="001453D4" w:rsidP="001453D4">
      <w:pPr>
        <w:pStyle w:val="Corpsdetexte"/>
        <w:spacing w:line="360" w:lineRule="auto"/>
        <w:rPr>
          <w:rFonts w:ascii="Arial" w:hAnsi="Arial"/>
          <w:sz w:val="24"/>
          <w:szCs w:val="24"/>
        </w:rPr>
      </w:pPr>
      <w:r w:rsidRPr="00811889">
        <w:rPr>
          <w:rFonts w:ascii="Arial" w:hAnsi="Arial"/>
          <w:sz w:val="24"/>
          <w:szCs w:val="24"/>
        </w:rPr>
        <w:t>Se advierte que están cumplidos los siete (7) presupuestos generales de procedibilidad.  En efecto, se tiene que en tratándose del derecho al debido proceso, es evidente que tiene relevancia constitucional; la subsidiariedad</w:t>
      </w:r>
      <w:r w:rsidRPr="00811889">
        <w:rPr>
          <w:rStyle w:val="Appelnotedebasdep"/>
          <w:rFonts w:ascii="Arial" w:hAnsi="Arial"/>
          <w:sz w:val="24"/>
          <w:szCs w:val="24"/>
        </w:rPr>
        <w:footnoteReference w:id="20"/>
      </w:r>
      <w:r w:rsidRPr="00811889">
        <w:rPr>
          <w:rFonts w:ascii="Arial" w:hAnsi="Arial"/>
          <w:sz w:val="24"/>
          <w:szCs w:val="24"/>
        </w:rPr>
        <w:t xml:space="preserve">, porque </w:t>
      </w:r>
      <w:r w:rsidR="00FA4CFD">
        <w:rPr>
          <w:rFonts w:ascii="Arial" w:hAnsi="Arial"/>
          <w:sz w:val="24"/>
          <w:szCs w:val="24"/>
        </w:rPr>
        <w:t>se han agotado por la promotora todos los mecanismos judiciales con que contaba, la sentencia de segunda instancia es irrecurrible y en el cuestionamiento planteado no es causal que amerite la presentación del recurso extraordinario de revisión (Artículo 354 y ss., CGP)</w:t>
      </w:r>
      <w:r w:rsidRPr="00811889">
        <w:rPr>
          <w:rFonts w:ascii="Arial" w:hAnsi="Arial"/>
          <w:sz w:val="24"/>
          <w:szCs w:val="24"/>
        </w:rPr>
        <w:t xml:space="preserve">; no se trata de una </w:t>
      </w:r>
      <w:r w:rsidR="006D778B">
        <w:rPr>
          <w:rFonts w:ascii="Arial" w:hAnsi="Arial"/>
          <w:sz w:val="24"/>
          <w:szCs w:val="24"/>
        </w:rPr>
        <w:t xml:space="preserve">tutela contra </w:t>
      </w:r>
      <w:r w:rsidRPr="00811889">
        <w:rPr>
          <w:rFonts w:ascii="Arial" w:hAnsi="Arial"/>
          <w:sz w:val="24"/>
          <w:szCs w:val="24"/>
        </w:rPr>
        <w:t>tutela; hay inmediatez</w:t>
      </w:r>
      <w:r w:rsidRPr="00811889">
        <w:rPr>
          <w:rStyle w:val="Appelnotedebasdep"/>
          <w:rFonts w:ascii="Arial" w:hAnsi="Arial"/>
          <w:szCs w:val="22"/>
        </w:rPr>
        <w:footnoteReference w:id="21"/>
      </w:r>
      <w:r w:rsidRPr="00811889">
        <w:rPr>
          <w:rFonts w:ascii="Arial" w:hAnsi="Arial"/>
          <w:sz w:val="24"/>
          <w:szCs w:val="24"/>
        </w:rPr>
        <w:t xml:space="preserve"> porque la </w:t>
      </w:r>
      <w:r w:rsidR="00FA4CFD">
        <w:rPr>
          <w:rFonts w:ascii="Arial" w:hAnsi="Arial"/>
          <w:sz w:val="24"/>
          <w:szCs w:val="24"/>
        </w:rPr>
        <w:t>decisión atacada</w:t>
      </w:r>
      <w:r w:rsidRPr="00811889">
        <w:rPr>
          <w:rFonts w:ascii="Arial" w:hAnsi="Arial"/>
          <w:sz w:val="24"/>
          <w:szCs w:val="24"/>
        </w:rPr>
        <w:t xml:space="preserve">, data del </w:t>
      </w:r>
      <w:r w:rsidR="00FA4CFD">
        <w:rPr>
          <w:rFonts w:ascii="Arial" w:hAnsi="Arial"/>
          <w:sz w:val="24"/>
          <w:szCs w:val="24"/>
        </w:rPr>
        <w:t>29-11-2016 y el amparo se presentó el 07-04-2017, dentro del plazo de seis (6) meses fijado por la jurisprudencia</w:t>
      </w:r>
      <w:r w:rsidR="00FA4CFD">
        <w:rPr>
          <w:rStyle w:val="Appelnotedebasdep"/>
          <w:rFonts w:ascii="Arial" w:hAnsi="Arial"/>
          <w:sz w:val="24"/>
          <w:szCs w:val="24"/>
        </w:rPr>
        <w:footnoteReference w:id="22"/>
      </w:r>
      <w:r w:rsidRPr="00811889">
        <w:rPr>
          <w:rFonts w:ascii="Arial" w:hAnsi="Arial"/>
          <w:sz w:val="24"/>
          <w:szCs w:val="24"/>
        </w:rPr>
        <w:t xml:space="preserve">; la irregularidad está relacionada con el trámite surtido en </w:t>
      </w:r>
      <w:r w:rsidR="00FA4CFD">
        <w:rPr>
          <w:rFonts w:ascii="Arial" w:hAnsi="Arial"/>
          <w:sz w:val="24"/>
          <w:szCs w:val="24"/>
        </w:rPr>
        <w:t xml:space="preserve">el proceso </w:t>
      </w:r>
      <w:r w:rsidR="00FA4CFD">
        <w:rPr>
          <w:rFonts w:ascii="Arial" w:hAnsi="Arial"/>
          <w:sz w:val="24"/>
          <w:szCs w:val="24"/>
        </w:rPr>
        <w:lastRenderedPageBreak/>
        <w:t>ordinario</w:t>
      </w:r>
      <w:r w:rsidRPr="00811889">
        <w:rPr>
          <w:rFonts w:ascii="Arial" w:hAnsi="Arial"/>
          <w:sz w:val="24"/>
          <w:szCs w:val="24"/>
        </w:rPr>
        <w:t xml:space="preserve">; </w:t>
      </w:r>
      <w:r w:rsidR="00FA4CFD">
        <w:rPr>
          <w:rFonts w:ascii="Arial" w:hAnsi="Arial"/>
          <w:sz w:val="24"/>
          <w:szCs w:val="24"/>
        </w:rPr>
        <w:t xml:space="preserve">la actora alegó los </w:t>
      </w:r>
      <w:r w:rsidRPr="00811889">
        <w:rPr>
          <w:rFonts w:ascii="Arial" w:hAnsi="Arial"/>
          <w:sz w:val="24"/>
          <w:szCs w:val="24"/>
        </w:rPr>
        <w:t xml:space="preserve">hechos generadores de la violación, ante </w:t>
      </w:r>
      <w:r w:rsidR="00FA4CFD">
        <w:rPr>
          <w:rFonts w:ascii="Arial" w:hAnsi="Arial"/>
          <w:sz w:val="24"/>
          <w:szCs w:val="24"/>
        </w:rPr>
        <w:t xml:space="preserve">los jueces de </w:t>
      </w:r>
      <w:r w:rsidRPr="00811889">
        <w:rPr>
          <w:rFonts w:ascii="Arial" w:hAnsi="Arial"/>
          <w:sz w:val="24"/>
          <w:szCs w:val="24"/>
        </w:rPr>
        <w:t xml:space="preserve">instancia; y en lo tocante a la identificación del defecto, la parte accionante se duele </w:t>
      </w:r>
      <w:r w:rsidR="004F39BD">
        <w:rPr>
          <w:rFonts w:ascii="Arial" w:hAnsi="Arial"/>
          <w:sz w:val="24"/>
          <w:szCs w:val="24"/>
        </w:rPr>
        <w:t xml:space="preserve">del </w:t>
      </w:r>
      <w:r w:rsidRPr="00811889">
        <w:rPr>
          <w:rFonts w:ascii="Arial" w:hAnsi="Arial"/>
          <w:sz w:val="24"/>
          <w:szCs w:val="24"/>
        </w:rPr>
        <w:t>desconocimiento del precedente jurisprudencial.</w:t>
      </w:r>
    </w:p>
    <w:p w:rsidR="001453D4" w:rsidRDefault="001453D4" w:rsidP="001453D4">
      <w:pPr>
        <w:spacing w:line="360" w:lineRule="auto"/>
        <w:ind w:right="567"/>
        <w:jc w:val="both"/>
        <w:rPr>
          <w:rFonts w:ascii="Arial" w:hAnsi="Arial" w:cs="Arial"/>
          <w:iCs/>
          <w:sz w:val="22"/>
          <w:lang w:val="es-CO" w:eastAsia="es-CO"/>
        </w:rPr>
      </w:pPr>
    </w:p>
    <w:p w:rsidR="00F463FD" w:rsidRDefault="007B3376" w:rsidP="007B3376">
      <w:pPr>
        <w:spacing w:line="360" w:lineRule="auto"/>
        <w:ind w:right="51"/>
        <w:jc w:val="both"/>
        <w:rPr>
          <w:rFonts w:ascii="Arial" w:hAnsi="Arial" w:cs="Arial"/>
        </w:rPr>
      </w:pPr>
      <w:r w:rsidRPr="004F3849">
        <w:rPr>
          <w:rFonts w:ascii="Arial" w:hAnsi="Arial"/>
          <w:szCs w:val="22"/>
          <w:lang w:val="es-ES_tradnl"/>
        </w:rPr>
        <w:t xml:space="preserve">Descendiendo al caso, </w:t>
      </w:r>
      <w:r>
        <w:rPr>
          <w:rFonts w:ascii="Arial" w:hAnsi="Arial" w:cs="Arial"/>
        </w:rPr>
        <w:t xml:space="preserve">lo alegado por la parte actora, </w:t>
      </w:r>
      <w:r w:rsidR="00010726">
        <w:rPr>
          <w:rFonts w:ascii="Arial" w:hAnsi="Arial" w:cs="Arial"/>
        </w:rPr>
        <w:t>se puede</w:t>
      </w:r>
      <w:r>
        <w:rPr>
          <w:rFonts w:ascii="Arial" w:hAnsi="Arial" w:cs="Arial"/>
        </w:rPr>
        <w:t xml:space="preserve"> sintetizar </w:t>
      </w:r>
      <w:r w:rsidR="00010726">
        <w:rPr>
          <w:rFonts w:ascii="Arial" w:hAnsi="Arial" w:cs="Arial"/>
        </w:rPr>
        <w:t xml:space="preserve">en que </w:t>
      </w:r>
      <w:r w:rsidR="007D5130">
        <w:rPr>
          <w:rFonts w:ascii="Arial" w:hAnsi="Arial" w:cs="Arial"/>
        </w:rPr>
        <w:t>los jueces accionados en los fallos de primera y segunda instancia, vulneraron el derecho al debido proceso y a la igualdad de trato jurídico, en tanto, desconocieron el precedente constitucional fijado en las sentencias T-222 de 2014, T-316 de 2015, T-058 de 2016, T-240 de 2016, T-282 de 2016 y T-609 de 2016</w:t>
      </w:r>
      <w:r w:rsidR="00F463FD">
        <w:rPr>
          <w:rFonts w:ascii="Arial" w:hAnsi="Arial" w:cs="Arial"/>
        </w:rPr>
        <w:t xml:space="preserve">. </w:t>
      </w:r>
    </w:p>
    <w:p w:rsidR="00F463FD" w:rsidRDefault="00F463FD" w:rsidP="007B3376">
      <w:pPr>
        <w:spacing w:line="360" w:lineRule="auto"/>
        <w:ind w:right="51"/>
        <w:jc w:val="both"/>
        <w:rPr>
          <w:rFonts w:ascii="Arial" w:hAnsi="Arial" w:cs="Arial"/>
        </w:rPr>
      </w:pPr>
    </w:p>
    <w:p w:rsidR="007B3376" w:rsidRDefault="00F463FD" w:rsidP="007B3376">
      <w:pPr>
        <w:spacing w:line="360" w:lineRule="auto"/>
        <w:ind w:right="51"/>
        <w:jc w:val="both"/>
        <w:rPr>
          <w:rFonts w:ascii="Arial" w:hAnsi="Arial" w:cs="Arial"/>
        </w:rPr>
      </w:pPr>
      <w:r>
        <w:rPr>
          <w:rFonts w:ascii="Arial" w:hAnsi="Arial" w:cs="Arial"/>
        </w:rPr>
        <w:t>Precisamente porque no tuvieron en cuenta</w:t>
      </w:r>
      <w:r w:rsidR="004F39BD">
        <w:rPr>
          <w:rFonts w:ascii="Arial" w:hAnsi="Arial" w:cs="Arial"/>
        </w:rPr>
        <w:t>,</w:t>
      </w:r>
      <w:r>
        <w:rPr>
          <w:rFonts w:ascii="Arial" w:hAnsi="Arial" w:cs="Arial"/>
        </w:rPr>
        <w:t xml:space="preserve"> que es obligación de la aseguradora</w:t>
      </w:r>
      <w:r w:rsidR="004F39BD">
        <w:rPr>
          <w:rFonts w:ascii="Arial" w:hAnsi="Arial" w:cs="Arial"/>
        </w:rPr>
        <w:t>,</w:t>
      </w:r>
      <w:r>
        <w:rPr>
          <w:rFonts w:ascii="Arial" w:hAnsi="Arial" w:cs="Arial"/>
        </w:rPr>
        <w:t xml:space="preserve"> demostrar la preexistencia (Enfermedad anterior al contrato), y que solo puede alegar</w:t>
      </w:r>
      <w:r w:rsidR="004F39BD">
        <w:rPr>
          <w:rFonts w:ascii="Arial" w:hAnsi="Arial" w:cs="Arial"/>
        </w:rPr>
        <w:t>se</w:t>
      </w:r>
      <w:r>
        <w:rPr>
          <w:rFonts w:ascii="Arial" w:hAnsi="Arial" w:cs="Arial"/>
        </w:rPr>
        <w:t xml:space="preserve"> si realizó el examen médico previo, además, de que para declarar la reticencia es necesario que pruebe </w:t>
      </w:r>
      <w:r w:rsidR="00010726">
        <w:rPr>
          <w:rFonts w:ascii="Arial" w:hAnsi="Arial" w:cs="Arial"/>
        </w:rPr>
        <w:t xml:space="preserve">mala fe en la omisión de información del tomador del seguro; también, porque </w:t>
      </w:r>
      <w:r>
        <w:rPr>
          <w:rFonts w:ascii="Arial" w:hAnsi="Arial" w:cs="Arial"/>
        </w:rPr>
        <w:t xml:space="preserve">está </w:t>
      </w:r>
      <w:r w:rsidR="00010726">
        <w:rPr>
          <w:rFonts w:ascii="Arial" w:hAnsi="Arial" w:cs="Arial"/>
        </w:rPr>
        <w:t xml:space="preserve">proscrito el clausulado general y ambiguo </w:t>
      </w:r>
      <w:r>
        <w:rPr>
          <w:rFonts w:ascii="Arial" w:hAnsi="Arial" w:cs="Arial"/>
        </w:rPr>
        <w:t>en este tipo de contratos</w:t>
      </w:r>
      <w:r w:rsidR="007B3376">
        <w:rPr>
          <w:rFonts w:ascii="Arial" w:hAnsi="Arial" w:cs="Arial"/>
        </w:rPr>
        <w:t xml:space="preserve">. </w:t>
      </w:r>
    </w:p>
    <w:p w:rsidR="0016458A" w:rsidRDefault="0016458A" w:rsidP="007B3376">
      <w:pPr>
        <w:spacing w:line="360" w:lineRule="auto"/>
        <w:ind w:right="51"/>
        <w:jc w:val="both"/>
        <w:rPr>
          <w:rFonts w:ascii="Arial" w:hAnsi="Arial" w:cs="Arial"/>
        </w:rPr>
      </w:pPr>
    </w:p>
    <w:p w:rsidR="00663B5A" w:rsidRDefault="00F463FD" w:rsidP="00CF34D3">
      <w:pPr>
        <w:spacing w:line="360" w:lineRule="auto"/>
        <w:ind w:right="51"/>
        <w:jc w:val="both"/>
        <w:rPr>
          <w:rFonts w:ascii="Arial" w:hAnsi="Arial" w:cs="Arial"/>
        </w:rPr>
      </w:pPr>
      <w:r>
        <w:rPr>
          <w:rFonts w:ascii="Arial" w:hAnsi="Arial" w:cs="Arial"/>
        </w:rPr>
        <w:t xml:space="preserve">Esta </w:t>
      </w:r>
      <w:r w:rsidR="004F39BD">
        <w:rPr>
          <w:rFonts w:ascii="Arial" w:hAnsi="Arial" w:cs="Arial"/>
        </w:rPr>
        <w:t xml:space="preserve">Sala </w:t>
      </w:r>
      <w:r>
        <w:rPr>
          <w:rFonts w:ascii="Arial" w:hAnsi="Arial" w:cs="Arial"/>
        </w:rPr>
        <w:t xml:space="preserve">considera que en este asunto en particular no se configura el defecto alegado. </w:t>
      </w:r>
      <w:r w:rsidR="00663B5A">
        <w:rPr>
          <w:rFonts w:ascii="Arial" w:hAnsi="Arial" w:cs="Arial"/>
        </w:rPr>
        <w:t xml:space="preserve">Es imposible que se acojan las aludidas providencias constitucionales como precedente vinculante, </w:t>
      </w:r>
      <w:r w:rsidR="00CF34D3">
        <w:rPr>
          <w:rFonts w:ascii="Arial" w:hAnsi="Arial" w:cs="Arial"/>
        </w:rPr>
        <w:t xml:space="preserve">puesto que </w:t>
      </w:r>
      <w:r w:rsidR="00663B5A">
        <w:rPr>
          <w:rFonts w:ascii="Arial" w:hAnsi="Arial" w:cs="Arial"/>
        </w:rPr>
        <w:t xml:space="preserve">es inexistente </w:t>
      </w:r>
      <w:r w:rsidR="00CF34D3" w:rsidRPr="00E619EE">
        <w:rPr>
          <w:rFonts w:ascii="Arial" w:hAnsi="Arial" w:cs="Arial"/>
        </w:rPr>
        <w:t>la consonancia fáctica necesaria con el asunto puesto a consideración</w:t>
      </w:r>
      <w:r w:rsidR="00663B5A">
        <w:rPr>
          <w:rFonts w:ascii="Arial" w:hAnsi="Arial" w:cs="Arial"/>
        </w:rPr>
        <w:t>.</w:t>
      </w:r>
    </w:p>
    <w:p w:rsidR="00663B5A" w:rsidRDefault="00663B5A" w:rsidP="00CF34D3">
      <w:pPr>
        <w:spacing w:line="360" w:lineRule="auto"/>
        <w:ind w:right="51"/>
        <w:jc w:val="both"/>
        <w:rPr>
          <w:rFonts w:ascii="Arial" w:hAnsi="Arial" w:cs="Arial"/>
        </w:rPr>
      </w:pPr>
    </w:p>
    <w:p w:rsidR="00CF34D3" w:rsidRPr="00E619EE" w:rsidRDefault="00663B5A" w:rsidP="00CF34D3">
      <w:pPr>
        <w:spacing w:line="360" w:lineRule="auto"/>
        <w:ind w:right="51"/>
        <w:jc w:val="both"/>
        <w:rPr>
          <w:rFonts w:ascii="Arial" w:hAnsi="Arial" w:cs="Arial"/>
        </w:rPr>
      </w:pPr>
      <w:r>
        <w:rPr>
          <w:rFonts w:ascii="Arial" w:hAnsi="Arial" w:cs="Arial"/>
        </w:rPr>
        <w:t>E</w:t>
      </w:r>
      <w:r w:rsidR="00CF34D3" w:rsidRPr="00E619EE">
        <w:rPr>
          <w:rFonts w:ascii="Arial" w:hAnsi="Arial" w:cs="Arial"/>
        </w:rPr>
        <w:t xml:space="preserve">n efecto, todas las decisiones coinciden en dos puntos específicos </w:t>
      </w:r>
      <w:r w:rsidR="007245FF">
        <w:rPr>
          <w:rFonts w:ascii="Arial" w:hAnsi="Arial" w:cs="Arial"/>
        </w:rPr>
        <w:t xml:space="preserve">que no se aprecian </w:t>
      </w:r>
      <w:r w:rsidR="00CF34D3" w:rsidRPr="00E619EE">
        <w:rPr>
          <w:rFonts w:ascii="Arial" w:hAnsi="Arial" w:cs="Arial"/>
        </w:rPr>
        <w:t>en este amparo</w:t>
      </w:r>
      <w:r w:rsidR="00CF34D3">
        <w:rPr>
          <w:rFonts w:ascii="Arial" w:hAnsi="Arial" w:cs="Arial"/>
        </w:rPr>
        <w:t>: (i) S</w:t>
      </w:r>
      <w:r w:rsidR="00CF34D3" w:rsidRPr="00E619EE">
        <w:rPr>
          <w:rFonts w:ascii="Arial" w:hAnsi="Arial" w:cs="Arial"/>
        </w:rPr>
        <w:t xml:space="preserve">e promovieron directamente contra </w:t>
      </w:r>
      <w:r>
        <w:rPr>
          <w:rFonts w:ascii="Arial" w:hAnsi="Arial" w:cs="Arial"/>
        </w:rPr>
        <w:t xml:space="preserve">una </w:t>
      </w:r>
      <w:r w:rsidR="00CF34D3" w:rsidRPr="00E619EE">
        <w:rPr>
          <w:rFonts w:ascii="Arial" w:hAnsi="Arial" w:cs="Arial"/>
        </w:rPr>
        <w:t>aseguradora, pretermitiéndose</w:t>
      </w:r>
      <w:r w:rsidR="00CF34D3">
        <w:rPr>
          <w:rFonts w:ascii="Arial" w:hAnsi="Arial" w:cs="Arial"/>
        </w:rPr>
        <w:t xml:space="preserve"> el mecanismo ordinario; </w:t>
      </w:r>
      <w:r w:rsidR="00CF34D3" w:rsidRPr="00E619EE">
        <w:rPr>
          <w:rFonts w:ascii="Arial" w:hAnsi="Arial" w:cs="Arial"/>
        </w:rPr>
        <w:t xml:space="preserve">ninguna </w:t>
      </w:r>
      <w:r w:rsidR="00CF34D3">
        <w:rPr>
          <w:rFonts w:ascii="Arial" w:hAnsi="Arial" w:cs="Arial"/>
        </w:rPr>
        <w:t xml:space="preserve">cuestionó en juicio de validez constitucional </w:t>
      </w:r>
      <w:r w:rsidR="00CF34D3" w:rsidRPr="00E619EE">
        <w:rPr>
          <w:rFonts w:ascii="Arial" w:hAnsi="Arial" w:cs="Arial"/>
        </w:rPr>
        <w:t>una decisión judicial; y,</w:t>
      </w:r>
      <w:r w:rsidR="00CF34D3">
        <w:rPr>
          <w:rFonts w:ascii="Arial" w:hAnsi="Arial" w:cs="Arial"/>
        </w:rPr>
        <w:t xml:space="preserve"> (ii)</w:t>
      </w:r>
      <w:r w:rsidR="00CF34D3" w:rsidRPr="00E619EE">
        <w:rPr>
          <w:rFonts w:ascii="Arial" w:hAnsi="Arial" w:cs="Arial"/>
        </w:rPr>
        <w:t xml:space="preserve"> los promotores fueron personas de especial protección constitucional por su condición de invalidez, afectados en su mínimo vital porque carecían de ingresos para pagar el crédito financiero y sostener a las personas que dependían económicamente de ellos, </w:t>
      </w:r>
      <w:r w:rsidR="00CF34D3">
        <w:rPr>
          <w:rFonts w:ascii="Arial" w:hAnsi="Arial" w:cs="Arial"/>
        </w:rPr>
        <w:t xml:space="preserve">estaban </w:t>
      </w:r>
      <w:r w:rsidR="00CF34D3" w:rsidRPr="00E619EE">
        <w:rPr>
          <w:rFonts w:ascii="Arial" w:hAnsi="Arial" w:cs="Arial"/>
        </w:rPr>
        <w:t xml:space="preserve">en estado de debilidad manifiesta </w:t>
      </w:r>
      <w:r w:rsidR="00CF34D3">
        <w:rPr>
          <w:rFonts w:ascii="Arial" w:hAnsi="Arial" w:cs="Arial"/>
        </w:rPr>
        <w:t xml:space="preserve">porque no podían </w:t>
      </w:r>
      <w:r w:rsidR="00CF34D3" w:rsidRPr="00E619EE">
        <w:rPr>
          <w:rFonts w:ascii="Arial" w:hAnsi="Arial" w:cs="Arial"/>
        </w:rPr>
        <w:t xml:space="preserve">laborar y </w:t>
      </w:r>
      <w:r w:rsidR="00CF34D3">
        <w:rPr>
          <w:rFonts w:ascii="Arial" w:hAnsi="Arial" w:cs="Arial"/>
        </w:rPr>
        <w:t xml:space="preserve">con la </w:t>
      </w:r>
      <w:r w:rsidR="00CF34D3" w:rsidRPr="00E619EE">
        <w:rPr>
          <w:rFonts w:ascii="Arial" w:hAnsi="Arial" w:cs="Arial"/>
        </w:rPr>
        <w:t>posible ocurrencia de un perjuicio irremediable; es así que se superó la subsidiariedad porque se comprobó que ninguno procuraba beneficio económico, sino la protección de sus derechos fundamentales con ocasión del impago del seguro.</w:t>
      </w:r>
    </w:p>
    <w:p w:rsidR="00CF34D3" w:rsidRPr="00E619EE" w:rsidRDefault="00CF34D3" w:rsidP="00CF34D3">
      <w:pPr>
        <w:spacing w:line="360" w:lineRule="auto"/>
        <w:ind w:right="51"/>
        <w:jc w:val="both"/>
        <w:rPr>
          <w:rFonts w:ascii="Arial" w:hAnsi="Arial" w:cs="Arial"/>
        </w:rPr>
      </w:pPr>
    </w:p>
    <w:p w:rsidR="00CF34D3" w:rsidRPr="00E619EE" w:rsidRDefault="00CF34D3" w:rsidP="00CF34D3">
      <w:pPr>
        <w:spacing w:line="360" w:lineRule="auto"/>
        <w:ind w:right="51"/>
        <w:jc w:val="both"/>
        <w:rPr>
          <w:rFonts w:ascii="Arial" w:hAnsi="Arial" w:cs="Arial"/>
        </w:rPr>
      </w:pPr>
      <w:r w:rsidRPr="00E619EE">
        <w:rPr>
          <w:rFonts w:ascii="Arial" w:hAnsi="Arial" w:cs="Arial"/>
        </w:rPr>
        <w:t>Aquí la actora nunca alegó situación de indefensión alguna, ni que estuviera en imposibilidad de cubrir el crédito</w:t>
      </w:r>
      <w:r w:rsidR="00663B5A">
        <w:rPr>
          <w:rFonts w:ascii="Arial" w:hAnsi="Arial" w:cs="Arial"/>
        </w:rPr>
        <w:t>,</w:t>
      </w:r>
      <w:r w:rsidRPr="00E619EE">
        <w:rPr>
          <w:rFonts w:ascii="Arial" w:hAnsi="Arial" w:cs="Arial"/>
        </w:rPr>
        <w:t xml:space="preserve"> </w:t>
      </w:r>
      <w:r>
        <w:rPr>
          <w:rFonts w:ascii="Arial" w:hAnsi="Arial" w:cs="Arial"/>
        </w:rPr>
        <w:t xml:space="preserve">la mera </w:t>
      </w:r>
      <w:r w:rsidRPr="00E619EE">
        <w:rPr>
          <w:rFonts w:ascii="Arial" w:hAnsi="Arial" w:cs="Arial"/>
        </w:rPr>
        <w:t>condición de persona de la tercera edad</w:t>
      </w:r>
      <w:r>
        <w:rPr>
          <w:rFonts w:ascii="Arial" w:hAnsi="Arial" w:cs="Arial"/>
        </w:rPr>
        <w:t xml:space="preserve"> (63 años) </w:t>
      </w:r>
      <w:r w:rsidRPr="00E619EE">
        <w:rPr>
          <w:rFonts w:ascii="Arial" w:hAnsi="Arial" w:cs="Arial"/>
        </w:rPr>
        <w:t xml:space="preserve">es insuficiente para </w:t>
      </w:r>
      <w:r>
        <w:rPr>
          <w:rFonts w:ascii="Arial" w:hAnsi="Arial" w:cs="Arial"/>
        </w:rPr>
        <w:t>equiparar</w:t>
      </w:r>
      <w:r w:rsidRPr="00E619EE">
        <w:rPr>
          <w:rFonts w:ascii="Arial" w:hAnsi="Arial" w:cs="Arial"/>
        </w:rPr>
        <w:t xml:space="preserve"> su situación con la </w:t>
      </w:r>
      <w:r>
        <w:rPr>
          <w:rFonts w:ascii="Arial" w:hAnsi="Arial" w:cs="Arial"/>
        </w:rPr>
        <w:t>de los promotores</w:t>
      </w:r>
      <w:r w:rsidRPr="00E619EE">
        <w:rPr>
          <w:rFonts w:ascii="Arial" w:hAnsi="Arial" w:cs="Arial"/>
        </w:rPr>
        <w:t xml:space="preserve"> de </w:t>
      </w:r>
      <w:r>
        <w:rPr>
          <w:rFonts w:ascii="Arial" w:hAnsi="Arial" w:cs="Arial"/>
        </w:rPr>
        <w:t xml:space="preserve">aquellos </w:t>
      </w:r>
      <w:r>
        <w:rPr>
          <w:rFonts w:ascii="Arial" w:hAnsi="Arial" w:cs="Arial"/>
        </w:rPr>
        <w:lastRenderedPageBreak/>
        <w:t>amparos</w:t>
      </w:r>
      <w:r w:rsidRPr="00E619EE">
        <w:rPr>
          <w:rFonts w:ascii="Arial" w:hAnsi="Arial" w:cs="Arial"/>
        </w:rPr>
        <w:t>.</w:t>
      </w:r>
      <w:r>
        <w:rPr>
          <w:rFonts w:ascii="Arial" w:hAnsi="Arial" w:cs="Arial"/>
        </w:rPr>
        <w:t xml:space="preserve"> </w:t>
      </w:r>
      <w:r w:rsidR="00663B5A">
        <w:rPr>
          <w:rFonts w:ascii="Arial" w:hAnsi="Arial" w:cs="Arial"/>
        </w:rPr>
        <w:t xml:space="preserve">Valga referir que la </w:t>
      </w:r>
      <w:r>
        <w:rPr>
          <w:rFonts w:ascii="Arial" w:hAnsi="Arial" w:cs="Arial"/>
        </w:rPr>
        <w:t>CC</w:t>
      </w:r>
      <w:r>
        <w:rPr>
          <w:rStyle w:val="Appelnotedebasdep"/>
          <w:rFonts w:ascii="Arial" w:hAnsi="Arial"/>
        </w:rPr>
        <w:footnoteReference w:id="23"/>
      </w:r>
      <w:r>
        <w:rPr>
          <w:rFonts w:ascii="Arial" w:hAnsi="Arial" w:cs="Arial"/>
        </w:rPr>
        <w:t xml:space="preserve">, recientemente, anotó que el análisis de la nulidad relativa de los contratos de seguros desborda el ámbito de la tutela, en atención a que la celeridad de este mecanismo impide esclarecer con suficiencia una reticencia, por lo tanto, el reconocimiento de un derecho incierto y discutible es menester ventilarlo ante la </w:t>
      </w:r>
      <w:r w:rsidR="007245FF">
        <w:rPr>
          <w:rFonts w:ascii="Arial" w:hAnsi="Arial" w:cs="Arial"/>
        </w:rPr>
        <w:t xml:space="preserve">jurisdicción </w:t>
      </w:r>
      <w:r>
        <w:rPr>
          <w:rFonts w:ascii="Arial" w:hAnsi="Arial" w:cs="Arial"/>
        </w:rPr>
        <w:t xml:space="preserve">competente. </w:t>
      </w:r>
      <w:r w:rsidR="00663B5A">
        <w:rPr>
          <w:rFonts w:ascii="Arial" w:hAnsi="Arial" w:cs="Arial"/>
        </w:rPr>
        <w:t xml:space="preserve">Claramente deja por sentado que este tipo de asuntos, salvo </w:t>
      </w:r>
      <w:r w:rsidR="00527B4B">
        <w:rPr>
          <w:rFonts w:ascii="Arial" w:hAnsi="Arial" w:cs="Arial"/>
        </w:rPr>
        <w:t>circunstancias excepcionales</w:t>
      </w:r>
      <w:r w:rsidR="00663B5A">
        <w:rPr>
          <w:rFonts w:ascii="Arial" w:hAnsi="Arial" w:cs="Arial"/>
        </w:rPr>
        <w:t>, son de exclusivo conocimiento del juez ordinario.</w:t>
      </w:r>
    </w:p>
    <w:p w:rsidR="004F39BD" w:rsidRDefault="004F39BD" w:rsidP="007B3376">
      <w:pPr>
        <w:spacing w:line="360" w:lineRule="auto"/>
        <w:ind w:right="51"/>
        <w:jc w:val="both"/>
        <w:rPr>
          <w:rFonts w:ascii="Arial" w:hAnsi="Arial" w:cs="Arial"/>
        </w:rPr>
      </w:pPr>
    </w:p>
    <w:p w:rsidR="00611D3E" w:rsidRDefault="00663B5A" w:rsidP="007B3376">
      <w:pPr>
        <w:spacing w:line="360" w:lineRule="auto"/>
        <w:ind w:right="51"/>
        <w:jc w:val="both"/>
        <w:rPr>
          <w:rFonts w:ascii="Arial" w:hAnsi="Arial" w:cs="Arial"/>
          <w:i/>
          <w:sz w:val="22"/>
        </w:rPr>
      </w:pPr>
      <w:r>
        <w:rPr>
          <w:rFonts w:ascii="Arial" w:hAnsi="Arial" w:cs="Arial"/>
        </w:rPr>
        <w:t>Pese a lo anterior, suficiente para el fracaso del amparo, no sobra razonar que, s</w:t>
      </w:r>
      <w:r w:rsidR="00F463FD">
        <w:rPr>
          <w:rFonts w:ascii="Arial" w:hAnsi="Arial" w:cs="Arial"/>
        </w:rPr>
        <w:t xml:space="preserve">i bien es cierto que el precedente constitucional tiene un carácter </w:t>
      </w:r>
      <w:r w:rsidR="004F39BD">
        <w:rPr>
          <w:rFonts w:ascii="Arial" w:hAnsi="Arial" w:cs="Arial"/>
        </w:rPr>
        <w:t>vinculante</w:t>
      </w:r>
      <w:r w:rsidR="00F463FD">
        <w:rPr>
          <w:rFonts w:ascii="Arial" w:hAnsi="Arial" w:cs="Arial"/>
        </w:rPr>
        <w:t xml:space="preserve">, puesto que tiene la virtualidad de establecer una interpretación </w:t>
      </w:r>
      <w:r w:rsidR="004F39BD">
        <w:rPr>
          <w:rFonts w:ascii="Arial" w:hAnsi="Arial" w:cs="Arial"/>
        </w:rPr>
        <w:t xml:space="preserve">normativa </w:t>
      </w:r>
      <w:r w:rsidR="00F463FD" w:rsidRPr="004F39BD">
        <w:rPr>
          <w:rFonts w:ascii="Arial" w:hAnsi="Arial" w:cs="Arial"/>
        </w:rPr>
        <w:t>ceñida</w:t>
      </w:r>
      <w:r w:rsidR="00F463FD">
        <w:rPr>
          <w:rFonts w:ascii="Arial" w:hAnsi="Arial" w:cs="Arial"/>
        </w:rPr>
        <w:t xml:space="preserve"> a los postulados de la CP</w:t>
      </w:r>
      <w:r w:rsidR="00F463FD">
        <w:rPr>
          <w:rStyle w:val="Appelnotedebasdep"/>
          <w:rFonts w:ascii="Arial" w:hAnsi="Arial"/>
        </w:rPr>
        <w:footnoteReference w:id="24"/>
      </w:r>
      <w:r w:rsidR="00F463FD">
        <w:rPr>
          <w:rFonts w:ascii="Arial" w:hAnsi="Arial" w:cs="Arial"/>
        </w:rPr>
        <w:t xml:space="preserve">; también lo es </w:t>
      </w:r>
      <w:r w:rsidR="00611D3E">
        <w:rPr>
          <w:rFonts w:ascii="Arial" w:hAnsi="Arial" w:cs="Arial"/>
        </w:rPr>
        <w:t xml:space="preserve">que la jurisprudencia de la CSJ </w:t>
      </w:r>
      <w:r w:rsidR="00611D3E" w:rsidRPr="00611D3E">
        <w:rPr>
          <w:rFonts w:ascii="Arial" w:hAnsi="Arial" w:cs="Arial"/>
          <w:i/>
        </w:rPr>
        <w:t>“(…)</w:t>
      </w:r>
      <w:r w:rsidR="00611D3E">
        <w:rPr>
          <w:rFonts w:ascii="Arial" w:hAnsi="Arial" w:cs="Arial"/>
        </w:rPr>
        <w:t xml:space="preserve"> </w:t>
      </w:r>
      <w:r w:rsidR="00611D3E" w:rsidRPr="00611D3E">
        <w:rPr>
          <w:rFonts w:ascii="Arial" w:hAnsi="Arial" w:cs="Arial"/>
          <w:i/>
          <w:sz w:val="22"/>
        </w:rPr>
        <w:t>tiene fuerza de precedente y se encarga no solo de trazar unas directrices dentro de la respectiva jurisdicción (civil, penal, laboral), sino también de ofrecer una garantía de que las decisiones judiciales se basen en una interpretación razonable del marco legal establecido</w:t>
      </w:r>
      <w:r w:rsidR="00611D3E">
        <w:rPr>
          <w:rFonts w:ascii="Arial" w:hAnsi="Arial" w:cs="Arial"/>
          <w:i/>
          <w:sz w:val="22"/>
        </w:rPr>
        <w:t xml:space="preserve"> (…)”</w:t>
      </w:r>
      <w:r w:rsidR="00816B14">
        <w:rPr>
          <w:rStyle w:val="Appelnotedebasdep"/>
          <w:rFonts w:ascii="Arial" w:hAnsi="Arial"/>
          <w:i/>
          <w:sz w:val="22"/>
        </w:rPr>
        <w:footnoteReference w:id="25"/>
      </w:r>
      <w:r w:rsidR="00611D3E">
        <w:rPr>
          <w:rFonts w:ascii="Arial" w:hAnsi="Arial" w:cs="Arial"/>
          <w:i/>
          <w:sz w:val="22"/>
        </w:rPr>
        <w:t>.</w:t>
      </w:r>
    </w:p>
    <w:p w:rsidR="003C56AB" w:rsidRDefault="00611D3E" w:rsidP="007B3376">
      <w:pPr>
        <w:spacing w:line="360" w:lineRule="auto"/>
        <w:ind w:right="51"/>
        <w:jc w:val="both"/>
        <w:rPr>
          <w:rFonts w:ascii="Arial" w:hAnsi="Arial" w:cs="Arial"/>
          <w:i/>
          <w:sz w:val="22"/>
        </w:rPr>
      </w:pPr>
      <w:r>
        <w:rPr>
          <w:rFonts w:ascii="Arial" w:hAnsi="Arial" w:cs="Arial"/>
          <w:i/>
          <w:sz w:val="22"/>
        </w:rPr>
        <w:t xml:space="preserve"> </w:t>
      </w:r>
    </w:p>
    <w:p w:rsidR="00816B14" w:rsidRDefault="00816B14" w:rsidP="007B3376">
      <w:pPr>
        <w:spacing w:line="360" w:lineRule="auto"/>
        <w:ind w:right="51"/>
        <w:jc w:val="both"/>
        <w:rPr>
          <w:rFonts w:ascii="Arial" w:hAnsi="Arial" w:cs="Arial"/>
        </w:rPr>
      </w:pPr>
      <w:r w:rsidRPr="00816B14">
        <w:rPr>
          <w:rFonts w:ascii="Arial" w:hAnsi="Arial" w:cs="Arial"/>
        </w:rPr>
        <w:t>Así</w:t>
      </w:r>
      <w:r w:rsidR="00611D3E" w:rsidRPr="00816B14">
        <w:rPr>
          <w:rFonts w:ascii="Arial" w:hAnsi="Arial" w:cs="Arial"/>
        </w:rPr>
        <w:t xml:space="preserve"> las cosas, como las decisiones cuestionadas fueron tomadas por jueces en ejercicio de su jurisdicción civil, debían entonces </w:t>
      </w:r>
      <w:r w:rsidR="00CF34D3">
        <w:rPr>
          <w:rFonts w:ascii="Arial" w:hAnsi="Arial" w:cs="Arial"/>
        </w:rPr>
        <w:t>acatar en sus decisiones</w:t>
      </w:r>
      <w:r w:rsidR="00611D3E" w:rsidRPr="00816B14">
        <w:rPr>
          <w:rFonts w:ascii="Arial" w:hAnsi="Arial" w:cs="Arial"/>
        </w:rPr>
        <w:t xml:space="preserve"> la doctrina jurisprudencial que su órgano de cierre (Precedente vertical) haya instituido en materia de seguros, puntualmente, la preexistencia y reticencia, salvo que</w:t>
      </w:r>
      <w:r w:rsidR="00CF34D3">
        <w:rPr>
          <w:rFonts w:ascii="Arial" w:hAnsi="Arial" w:cs="Arial"/>
        </w:rPr>
        <w:t xml:space="preserve">, eso sí, </w:t>
      </w:r>
      <w:r>
        <w:rPr>
          <w:rFonts w:ascii="Arial" w:hAnsi="Arial" w:cs="Arial"/>
        </w:rPr>
        <w:t xml:space="preserve">hayan tenido </w:t>
      </w:r>
      <w:r w:rsidR="00611D3E" w:rsidRPr="00816B14">
        <w:rPr>
          <w:rFonts w:ascii="Arial" w:hAnsi="Arial" w:cs="Arial"/>
        </w:rPr>
        <w:t xml:space="preserve">razones suficientes para apartarse y que </w:t>
      </w:r>
      <w:r>
        <w:rPr>
          <w:rFonts w:ascii="Arial" w:hAnsi="Arial" w:cs="Arial"/>
        </w:rPr>
        <w:t>estaban</w:t>
      </w:r>
      <w:r w:rsidR="00611D3E" w:rsidRPr="00816B14">
        <w:rPr>
          <w:rFonts w:ascii="Arial" w:hAnsi="Arial" w:cs="Arial"/>
        </w:rPr>
        <w:t xml:space="preserve"> en la obligación de </w:t>
      </w:r>
      <w:r>
        <w:rPr>
          <w:rFonts w:ascii="Arial" w:hAnsi="Arial" w:cs="Arial"/>
        </w:rPr>
        <w:t xml:space="preserve">referir </w:t>
      </w:r>
      <w:r w:rsidR="00611D3E" w:rsidRPr="00816B14">
        <w:rPr>
          <w:rFonts w:ascii="Arial" w:hAnsi="Arial" w:cs="Arial"/>
        </w:rPr>
        <w:t>en su</w:t>
      </w:r>
      <w:r>
        <w:rPr>
          <w:rFonts w:ascii="Arial" w:hAnsi="Arial" w:cs="Arial"/>
        </w:rPr>
        <w:t>s</w:t>
      </w:r>
      <w:r w:rsidR="00611D3E" w:rsidRPr="00816B14">
        <w:rPr>
          <w:rFonts w:ascii="Arial" w:hAnsi="Arial" w:cs="Arial"/>
        </w:rPr>
        <w:t xml:space="preserve"> </w:t>
      </w:r>
      <w:r>
        <w:rPr>
          <w:rFonts w:ascii="Arial" w:hAnsi="Arial" w:cs="Arial"/>
        </w:rPr>
        <w:t>decisiones</w:t>
      </w:r>
      <w:r w:rsidR="00611D3E" w:rsidRPr="00816B14">
        <w:rPr>
          <w:rFonts w:ascii="Arial" w:hAnsi="Arial" w:cs="Arial"/>
        </w:rPr>
        <w:t xml:space="preserve">. </w:t>
      </w:r>
    </w:p>
    <w:p w:rsidR="00CF34D3" w:rsidRDefault="00CF34D3" w:rsidP="007B3376">
      <w:pPr>
        <w:spacing w:line="360" w:lineRule="auto"/>
        <w:ind w:right="51"/>
        <w:jc w:val="both"/>
        <w:rPr>
          <w:rFonts w:ascii="Arial" w:hAnsi="Arial" w:cs="Arial"/>
        </w:rPr>
      </w:pPr>
    </w:p>
    <w:p w:rsidR="00611D3E" w:rsidRPr="00816B14" w:rsidRDefault="00611D3E" w:rsidP="007B3376">
      <w:pPr>
        <w:spacing w:line="360" w:lineRule="auto"/>
        <w:ind w:right="51"/>
        <w:jc w:val="both"/>
        <w:rPr>
          <w:rFonts w:ascii="Arial" w:hAnsi="Arial" w:cs="Arial"/>
        </w:rPr>
      </w:pPr>
      <w:r w:rsidRPr="00816B14">
        <w:rPr>
          <w:rFonts w:ascii="Arial" w:hAnsi="Arial" w:cs="Arial"/>
        </w:rPr>
        <w:t xml:space="preserve">En ese </w:t>
      </w:r>
      <w:r w:rsidR="00816B14">
        <w:rPr>
          <w:rFonts w:ascii="Arial" w:hAnsi="Arial" w:cs="Arial"/>
        </w:rPr>
        <w:t xml:space="preserve">asunto </w:t>
      </w:r>
      <w:r w:rsidRPr="00816B14">
        <w:rPr>
          <w:rFonts w:ascii="Arial" w:hAnsi="Arial" w:cs="Arial"/>
        </w:rPr>
        <w:t xml:space="preserve">el precedente de la CC </w:t>
      </w:r>
      <w:r w:rsidR="00816B14">
        <w:rPr>
          <w:rFonts w:ascii="Arial" w:hAnsi="Arial" w:cs="Arial"/>
        </w:rPr>
        <w:t xml:space="preserve">es utilizable como </w:t>
      </w:r>
      <w:r w:rsidRPr="00816B14">
        <w:rPr>
          <w:rFonts w:ascii="Arial" w:hAnsi="Arial" w:cs="Arial"/>
        </w:rPr>
        <w:t>criterio auxiliar de interpretación</w:t>
      </w:r>
      <w:r w:rsidR="008335D4">
        <w:rPr>
          <w:rStyle w:val="Appelnotedebasdep"/>
          <w:rFonts w:ascii="Arial" w:hAnsi="Arial"/>
        </w:rPr>
        <w:footnoteReference w:id="26"/>
      </w:r>
      <w:r w:rsidR="00816B14">
        <w:rPr>
          <w:rFonts w:ascii="Arial" w:hAnsi="Arial" w:cs="Arial"/>
        </w:rPr>
        <w:t xml:space="preserve">, </w:t>
      </w:r>
      <w:r w:rsidR="00CF34D3">
        <w:rPr>
          <w:rFonts w:ascii="Arial" w:hAnsi="Arial" w:cs="Arial"/>
        </w:rPr>
        <w:t>y por ello sin obligatoriedad</w:t>
      </w:r>
      <w:r w:rsidRPr="00816B14">
        <w:rPr>
          <w:rFonts w:ascii="Arial" w:hAnsi="Arial" w:cs="Arial"/>
        </w:rPr>
        <w:t xml:space="preserve">, por lo tanto, era susceptible de que el juez no lo valorara, sin necesidad de justificación alguna. </w:t>
      </w:r>
      <w:r w:rsidR="00E619EE">
        <w:rPr>
          <w:rFonts w:ascii="Arial" w:hAnsi="Arial" w:cs="Arial"/>
        </w:rPr>
        <w:t>Las decisiones fueron razonables y tomadas dentro del ámbito de autonomía que cobija a los jueces.</w:t>
      </w:r>
    </w:p>
    <w:p w:rsidR="00611D3E" w:rsidRDefault="00611D3E" w:rsidP="007B3376">
      <w:pPr>
        <w:spacing w:line="360" w:lineRule="auto"/>
        <w:ind w:right="51"/>
        <w:jc w:val="both"/>
        <w:rPr>
          <w:rFonts w:ascii="Arial" w:hAnsi="Arial" w:cs="Arial"/>
          <w:sz w:val="22"/>
        </w:rPr>
      </w:pPr>
    </w:p>
    <w:p w:rsidR="00CF34D3" w:rsidRDefault="008335D4" w:rsidP="007B3376">
      <w:pPr>
        <w:spacing w:line="360" w:lineRule="auto"/>
        <w:ind w:right="51"/>
        <w:jc w:val="both"/>
        <w:rPr>
          <w:rFonts w:ascii="Arial" w:hAnsi="Arial" w:cs="Arial"/>
        </w:rPr>
      </w:pPr>
      <w:r w:rsidRPr="008A52BE">
        <w:rPr>
          <w:rFonts w:ascii="Arial" w:hAnsi="Arial" w:cs="Arial"/>
        </w:rPr>
        <w:t xml:space="preserve">En </w:t>
      </w:r>
      <w:r w:rsidR="00C81FDE">
        <w:rPr>
          <w:rFonts w:ascii="Arial" w:hAnsi="Arial" w:cs="Arial"/>
        </w:rPr>
        <w:t>los fallos cuestionados</w:t>
      </w:r>
      <w:r w:rsidRPr="008A52BE">
        <w:rPr>
          <w:rFonts w:ascii="Arial" w:hAnsi="Arial" w:cs="Arial"/>
        </w:rPr>
        <w:t xml:space="preserve"> los jueces tuvieron a bien considerar los postulados doctrinarios contenidos en las sentencias </w:t>
      </w:r>
      <w:r w:rsidR="000C0AAD" w:rsidRPr="008A52BE">
        <w:rPr>
          <w:rFonts w:ascii="Arial" w:hAnsi="Arial" w:cs="Arial"/>
        </w:rPr>
        <w:t xml:space="preserve">del 13-02-2008, MP. Jaime A. </w:t>
      </w:r>
      <w:proofErr w:type="spellStart"/>
      <w:r w:rsidR="000C0AAD" w:rsidRPr="008A52BE">
        <w:rPr>
          <w:rFonts w:ascii="Arial" w:hAnsi="Arial" w:cs="Arial"/>
        </w:rPr>
        <w:t>Arrubla</w:t>
      </w:r>
      <w:proofErr w:type="spellEnd"/>
      <w:r w:rsidR="000C0AAD" w:rsidRPr="008A52BE">
        <w:rPr>
          <w:rFonts w:ascii="Arial" w:hAnsi="Arial" w:cs="Arial"/>
        </w:rPr>
        <w:t xml:space="preserve"> P., exp.2004-00037, del 01-06-2007, exp.2004-00179-01 y del 01-09-2010</w:t>
      </w:r>
      <w:r w:rsidR="008A52BE">
        <w:rPr>
          <w:rFonts w:ascii="Arial" w:hAnsi="Arial" w:cs="Arial"/>
        </w:rPr>
        <w:t xml:space="preserve">, exp.2003-00400-01, de las cuales </w:t>
      </w:r>
      <w:r w:rsidR="00CF34D3">
        <w:rPr>
          <w:rFonts w:ascii="Arial" w:hAnsi="Arial" w:cs="Arial"/>
        </w:rPr>
        <w:t xml:space="preserve">se </w:t>
      </w:r>
      <w:r w:rsidR="008A52BE">
        <w:rPr>
          <w:rFonts w:ascii="Arial" w:hAnsi="Arial" w:cs="Arial"/>
        </w:rPr>
        <w:t xml:space="preserve">acogió </w:t>
      </w:r>
      <w:r w:rsidR="00CF34D3">
        <w:rPr>
          <w:rFonts w:ascii="Arial" w:hAnsi="Arial" w:cs="Arial"/>
        </w:rPr>
        <w:t xml:space="preserve">el alcance intelectivo </w:t>
      </w:r>
      <w:r w:rsidR="008A52BE">
        <w:rPr>
          <w:rFonts w:ascii="Arial" w:hAnsi="Arial" w:cs="Arial"/>
        </w:rPr>
        <w:t xml:space="preserve">que se hizo del artículo 1058 del </w:t>
      </w:r>
      <w:proofErr w:type="spellStart"/>
      <w:r w:rsidR="008A52BE">
        <w:rPr>
          <w:rFonts w:ascii="Arial" w:hAnsi="Arial" w:cs="Arial"/>
        </w:rPr>
        <w:t>CCo</w:t>
      </w:r>
      <w:proofErr w:type="spellEnd"/>
      <w:r w:rsidR="008A52BE">
        <w:rPr>
          <w:rFonts w:ascii="Arial" w:hAnsi="Arial" w:cs="Arial"/>
        </w:rPr>
        <w:t>, en el sentido de que es al asegurado a quien le corresponde obrar con transparencia e informar su estado de salud; el artículo 1158</w:t>
      </w:r>
      <w:r w:rsidR="00C81FDE">
        <w:rPr>
          <w:rFonts w:ascii="Arial" w:hAnsi="Arial" w:cs="Arial"/>
        </w:rPr>
        <w:t xml:space="preserve">, ídem, </w:t>
      </w:r>
      <w:r w:rsidR="008A52BE">
        <w:rPr>
          <w:rFonts w:ascii="Arial" w:hAnsi="Arial" w:cs="Arial"/>
        </w:rPr>
        <w:t xml:space="preserve">en cuanto a que el hecho de que el asegurador prescinda del examen médico no exime </w:t>
      </w:r>
      <w:r w:rsidR="00C81FDE">
        <w:rPr>
          <w:rFonts w:ascii="Arial" w:hAnsi="Arial" w:cs="Arial"/>
        </w:rPr>
        <w:t xml:space="preserve">el </w:t>
      </w:r>
      <w:r w:rsidR="008A52BE">
        <w:rPr>
          <w:rFonts w:ascii="Arial" w:hAnsi="Arial" w:cs="Arial"/>
        </w:rPr>
        <w:t xml:space="preserve">deber de </w:t>
      </w:r>
      <w:r w:rsidR="008A52BE">
        <w:rPr>
          <w:rFonts w:ascii="Arial" w:hAnsi="Arial" w:cs="Arial"/>
        </w:rPr>
        <w:lastRenderedPageBreak/>
        <w:t>informar</w:t>
      </w:r>
      <w:r w:rsidR="00C81FDE">
        <w:rPr>
          <w:rFonts w:ascii="Arial" w:hAnsi="Arial" w:cs="Arial"/>
        </w:rPr>
        <w:t>; y,</w:t>
      </w:r>
      <w:r w:rsidR="008A52BE">
        <w:rPr>
          <w:rFonts w:ascii="Arial" w:hAnsi="Arial" w:cs="Arial"/>
        </w:rPr>
        <w:t xml:space="preserve"> cuando se incurre en deslealtad al afirmar situación diferente al resolver el cuestionario respectivo. </w:t>
      </w:r>
    </w:p>
    <w:p w:rsidR="00CF34D3" w:rsidRDefault="00CF34D3" w:rsidP="007B3376">
      <w:pPr>
        <w:spacing w:line="360" w:lineRule="auto"/>
        <w:ind w:right="51"/>
        <w:jc w:val="both"/>
        <w:rPr>
          <w:rFonts w:ascii="Arial" w:hAnsi="Arial" w:cs="Arial"/>
        </w:rPr>
      </w:pPr>
    </w:p>
    <w:p w:rsidR="000C0AAD" w:rsidRPr="008A52BE" w:rsidRDefault="00CF34D3" w:rsidP="007B3376">
      <w:pPr>
        <w:spacing w:line="360" w:lineRule="auto"/>
        <w:ind w:right="51"/>
        <w:jc w:val="both"/>
        <w:rPr>
          <w:rFonts w:ascii="Arial" w:hAnsi="Arial" w:cs="Arial"/>
          <w:lang w:val="es-CO"/>
        </w:rPr>
      </w:pPr>
      <w:r>
        <w:rPr>
          <w:rFonts w:ascii="Arial" w:hAnsi="Arial" w:cs="Arial"/>
        </w:rPr>
        <w:t>Estas d</w:t>
      </w:r>
      <w:r w:rsidR="008A52BE">
        <w:rPr>
          <w:rFonts w:ascii="Arial" w:hAnsi="Arial" w:cs="Arial"/>
        </w:rPr>
        <w:t>ecisiones sin actualizar, contienen criterios reiterados por la CSJ en reciente</w:t>
      </w:r>
      <w:r>
        <w:rPr>
          <w:rFonts w:ascii="Arial" w:hAnsi="Arial" w:cs="Arial"/>
        </w:rPr>
        <w:t>s fallos</w:t>
      </w:r>
      <w:r w:rsidR="008A52BE">
        <w:rPr>
          <w:rFonts w:ascii="Arial" w:hAnsi="Arial" w:cs="Arial"/>
        </w:rPr>
        <w:t xml:space="preserve"> </w:t>
      </w:r>
      <w:r w:rsidR="00C81FDE">
        <w:rPr>
          <w:rFonts w:ascii="Arial" w:hAnsi="Arial" w:cs="Arial"/>
        </w:rPr>
        <w:t>SC2803-2016 y SC18563-2016.</w:t>
      </w:r>
      <w:r w:rsidR="00E619EE">
        <w:rPr>
          <w:rFonts w:ascii="Arial" w:hAnsi="Arial" w:cs="Arial"/>
        </w:rPr>
        <w:t xml:space="preserve"> </w:t>
      </w:r>
      <w:r>
        <w:rPr>
          <w:rFonts w:ascii="Arial" w:hAnsi="Arial" w:cs="Arial"/>
        </w:rPr>
        <w:t>Incluso e</w:t>
      </w:r>
      <w:r w:rsidR="00E619EE">
        <w:rPr>
          <w:rFonts w:ascii="Arial" w:hAnsi="Arial" w:cs="Arial"/>
        </w:rPr>
        <w:t xml:space="preserve">xiste precedente horizontal de </w:t>
      </w:r>
      <w:r>
        <w:rPr>
          <w:rFonts w:ascii="Arial" w:hAnsi="Arial" w:cs="Arial"/>
        </w:rPr>
        <w:t>esta misma Sala</w:t>
      </w:r>
      <w:r w:rsidR="00E619EE">
        <w:rPr>
          <w:rStyle w:val="Appelnotedebasdep"/>
          <w:rFonts w:ascii="Arial" w:hAnsi="Arial"/>
        </w:rPr>
        <w:footnoteReference w:id="27"/>
      </w:r>
      <w:r w:rsidR="00E619EE">
        <w:rPr>
          <w:rFonts w:ascii="Arial" w:hAnsi="Arial" w:cs="Arial"/>
        </w:rPr>
        <w:t xml:space="preserve">, en la que se </w:t>
      </w:r>
      <w:r>
        <w:rPr>
          <w:rFonts w:ascii="Arial" w:hAnsi="Arial" w:cs="Arial"/>
        </w:rPr>
        <w:t>prohíjan</w:t>
      </w:r>
      <w:r w:rsidR="00E619EE">
        <w:rPr>
          <w:rFonts w:ascii="Arial" w:hAnsi="Arial" w:cs="Arial"/>
        </w:rPr>
        <w:t xml:space="preserve">.  </w:t>
      </w:r>
    </w:p>
    <w:p w:rsidR="008335D4" w:rsidRDefault="00E619EE" w:rsidP="007B3376">
      <w:pPr>
        <w:spacing w:line="360" w:lineRule="auto"/>
        <w:ind w:right="51"/>
        <w:jc w:val="both"/>
        <w:rPr>
          <w:rFonts w:ascii="Arial" w:hAnsi="Arial" w:cs="Arial"/>
          <w:sz w:val="22"/>
        </w:rPr>
      </w:pPr>
      <w:r>
        <w:rPr>
          <w:rFonts w:ascii="Arial" w:hAnsi="Arial" w:cs="Arial"/>
          <w:sz w:val="22"/>
        </w:rPr>
        <w:t xml:space="preserve"> </w:t>
      </w:r>
    </w:p>
    <w:p w:rsidR="00C61F9A" w:rsidRPr="000C6CB5" w:rsidRDefault="00C61F9A" w:rsidP="00C61F9A">
      <w:pPr>
        <w:spacing w:line="360" w:lineRule="auto"/>
        <w:jc w:val="both"/>
        <w:rPr>
          <w:rFonts w:ascii="Arial" w:hAnsi="Arial"/>
          <w:sz w:val="28"/>
        </w:rPr>
      </w:pPr>
      <w:r w:rsidRPr="00C61F9A">
        <w:rPr>
          <w:rFonts w:ascii="Arial" w:hAnsi="Arial" w:cs="Arial"/>
        </w:rPr>
        <w:t xml:space="preserve">Además, hay que decir que las sentencias de tutela invocadas por la actora, </w:t>
      </w:r>
      <w:r w:rsidRPr="00C61F9A">
        <w:rPr>
          <w:rFonts w:ascii="Arial" w:hAnsi="Arial" w:cs="Arial"/>
          <w:lang w:val="es-CO"/>
        </w:rPr>
        <w:t xml:space="preserve">tal como lo expone </w:t>
      </w:r>
      <w:r w:rsidR="00CF34D3">
        <w:rPr>
          <w:rFonts w:ascii="Arial" w:hAnsi="Arial" w:cs="Arial"/>
          <w:lang w:val="es-CO"/>
        </w:rPr>
        <w:t xml:space="preserve">el doctor </w:t>
      </w:r>
      <w:r w:rsidRPr="00C61F9A">
        <w:rPr>
          <w:rFonts w:ascii="Arial" w:hAnsi="Arial" w:cs="Arial"/>
          <w:lang w:val="es-CO"/>
        </w:rPr>
        <w:t>Bedoya Palacio</w:t>
      </w:r>
      <w:r w:rsidRPr="00C61F9A">
        <w:rPr>
          <w:rStyle w:val="Appelnotedebasdep"/>
          <w:rFonts w:ascii="Arial" w:hAnsi="Arial"/>
          <w:lang w:val="es-CO"/>
        </w:rPr>
        <w:footnoteReference w:id="28"/>
      </w:r>
      <w:r w:rsidR="00CF34D3">
        <w:rPr>
          <w:rFonts w:ascii="Arial" w:hAnsi="Arial" w:cs="Arial"/>
          <w:lang w:val="es-CO"/>
        </w:rPr>
        <w:t xml:space="preserve"> en su juicioso ensayo</w:t>
      </w:r>
      <w:r w:rsidRPr="00C61F9A">
        <w:rPr>
          <w:rFonts w:ascii="Arial" w:hAnsi="Arial" w:cs="Arial"/>
          <w:lang w:val="es-CO"/>
        </w:rPr>
        <w:t xml:space="preserve">, carecen de fuerza vinculante y no pueden tomarse como precedente en materia contractual de seguros, porque solo: (i) Tienen efectos inter partes; (ii) Desconocen los cánones teóricos planteados por la doctrina y la jurisprudencia del órgano de cierre en materia civil; y, (iii) Contradicen lo dicho por la misma CC, cuando estudió la constitucionalidad del artículo 1058 del </w:t>
      </w:r>
      <w:proofErr w:type="spellStart"/>
      <w:r w:rsidRPr="00C61F9A">
        <w:rPr>
          <w:rFonts w:ascii="Arial" w:hAnsi="Arial" w:cs="Arial"/>
          <w:lang w:val="es-CO"/>
        </w:rPr>
        <w:t>CCo</w:t>
      </w:r>
      <w:proofErr w:type="spellEnd"/>
      <w:r w:rsidRPr="00C61F9A">
        <w:rPr>
          <w:rFonts w:ascii="Arial" w:hAnsi="Arial" w:cs="Arial"/>
          <w:lang w:val="es-CO"/>
        </w:rPr>
        <w:t xml:space="preserve"> y precisó</w:t>
      </w:r>
      <w:r>
        <w:rPr>
          <w:rFonts w:ascii="Arial" w:hAnsi="Arial" w:cs="Arial"/>
          <w:lang w:val="es-CO"/>
        </w:rPr>
        <w:t xml:space="preserve">: </w:t>
      </w:r>
      <w:r w:rsidRPr="00C11BD8">
        <w:rPr>
          <w:rFonts w:ascii="Arial" w:hAnsi="Arial" w:cs="Arial"/>
          <w:i/>
          <w:sz w:val="22"/>
          <w:szCs w:val="22"/>
          <w:lang w:val="es-CO"/>
        </w:rPr>
        <w:t xml:space="preserve">“ (…) </w:t>
      </w:r>
      <w:r w:rsidRPr="00C11BD8">
        <w:rPr>
          <w:rFonts w:ascii="Arial" w:hAnsi="Arial" w:cs="Arial"/>
          <w:i/>
          <w:iCs/>
          <w:sz w:val="22"/>
          <w:szCs w:val="22"/>
          <w:bdr w:val="none" w:sz="0" w:space="0" w:color="auto" w:frame="1"/>
          <w:lang w:val="es-CO"/>
        </w:rPr>
        <w:t>pues, en esta materia específica, a diferencia de lo que acontece en otras áreas de la regulación del contrato de seguro, en las que prima la defensa de tomadores y asegurados, se busca proteger el interés de la parte aseguradora, teniendo en cuenta que, en lo que se refiere al conocimiento precontractual del riesgo, el asegurador, por su natural ignorancia del mismo, es el contratante que está en la posición débil (…)”</w:t>
      </w:r>
      <w:r>
        <w:rPr>
          <w:rStyle w:val="Appelnotedebasdep"/>
          <w:rFonts w:ascii="Arial" w:hAnsi="Arial"/>
          <w:i/>
          <w:iCs/>
          <w:sz w:val="22"/>
          <w:szCs w:val="22"/>
          <w:bdr w:val="none" w:sz="0" w:space="0" w:color="auto" w:frame="1"/>
          <w:lang w:val="es-CO"/>
        </w:rPr>
        <w:footnoteReference w:id="29"/>
      </w:r>
      <w:r w:rsidRPr="00C11BD8">
        <w:rPr>
          <w:rFonts w:ascii="Arial" w:hAnsi="Arial" w:cs="Arial"/>
          <w:i/>
          <w:iCs/>
          <w:sz w:val="22"/>
          <w:szCs w:val="22"/>
          <w:bdr w:val="none" w:sz="0" w:space="0" w:color="auto" w:frame="1"/>
          <w:lang w:val="es-CO"/>
        </w:rPr>
        <w:t>.</w:t>
      </w:r>
      <w:r w:rsidR="00CF34D3">
        <w:rPr>
          <w:rFonts w:ascii="Arial" w:hAnsi="Arial" w:cs="Arial"/>
          <w:i/>
          <w:iCs/>
          <w:sz w:val="22"/>
          <w:szCs w:val="22"/>
          <w:bdr w:val="none" w:sz="0" w:space="0" w:color="auto" w:frame="1"/>
          <w:lang w:val="es-CO"/>
        </w:rPr>
        <w:t xml:space="preserve"> </w:t>
      </w:r>
      <w:r w:rsidR="00CF34D3" w:rsidRPr="00CF34D3">
        <w:rPr>
          <w:rFonts w:ascii="Arial" w:hAnsi="Arial" w:cs="Arial"/>
          <w:iCs/>
          <w:szCs w:val="22"/>
          <w:bdr w:val="none" w:sz="0" w:space="0" w:color="auto" w:frame="1"/>
          <w:lang w:val="es-CO"/>
        </w:rPr>
        <w:t>Estas conclusiones lucen harto razonables para esta Magistratura, por lo que se hacen propias.</w:t>
      </w:r>
      <w:r w:rsidR="00CF34D3">
        <w:rPr>
          <w:rFonts w:ascii="Arial" w:hAnsi="Arial" w:cs="Arial"/>
          <w:i/>
          <w:iCs/>
          <w:sz w:val="22"/>
          <w:szCs w:val="22"/>
          <w:bdr w:val="none" w:sz="0" w:space="0" w:color="auto" w:frame="1"/>
          <w:lang w:val="es-CO"/>
        </w:rPr>
        <w:t xml:space="preserve"> </w:t>
      </w:r>
    </w:p>
    <w:p w:rsidR="00C61F9A" w:rsidRDefault="00C61F9A" w:rsidP="007B3376">
      <w:pPr>
        <w:spacing w:line="360" w:lineRule="auto"/>
        <w:ind w:right="51"/>
        <w:jc w:val="both"/>
        <w:rPr>
          <w:rFonts w:ascii="Arial" w:hAnsi="Arial" w:cs="Arial"/>
          <w:sz w:val="22"/>
        </w:rPr>
      </w:pPr>
    </w:p>
    <w:p w:rsidR="00205C64" w:rsidRPr="00205C64" w:rsidRDefault="00205C64" w:rsidP="00260F52">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sidRPr="00205C64">
        <w:rPr>
          <w:rFonts w:ascii="Arial" w:hAnsi="Arial" w:cs="Arial"/>
          <w:sz w:val="24"/>
          <w:szCs w:val="24"/>
        </w:rPr>
        <w:t xml:space="preserve">LAS CONCLUSIONES </w:t>
      </w:r>
    </w:p>
    <w:p w:rsidR="00205C64" w:rsidRPr="0087458F" w:rsidRDefault="00205C64" w:rsidP="00205C64">
      <w:pPr>
        <w:pStyle w:val="Corpsdetexte"/>
        <w:spacing w:line="360" w:lineRule="auto"/>
        <w:rPr>
          <w:rFonts w:ascii="Arial" w:hAnsi="Arial" w:cs="Arial"/>
          <w:sz w:val="22"/>
          <w:szCs w:val="24"/>
        </w:rPr>
      </w:pPr>
    </w:p>
    <w:p w:rsidR="0063381F" w:rsidRPr="008F0766" w:rsidRDefault="0063381F" w:rsidP="0063381F">
      <w:pPr>
        <w:pStyle w:val="Corpsdetexte"/>
        <w:tabs>
          <w:tab w:val="clear" w:pos="708"/>
        </w:tabs>
        <w:spacing w:line="360" w:lineRule="auto"/>
        <w:rPr>
          <w:rFonts w:ascii="Arial" w:hAnsi="Arial" w:cs="Arial"/>
          <w:sz w:val="24"/>
          <w:szCs w:val="24"/>
          <w:lang w:val="es-ES"/>
        </w:rPr>
      </w:pPr>
      <w:r w:rsidRPr="008F0766">
        <w:rPr>
          <w:rFonts w:ascii="Arial" w:hAnsi="Arial" w:cs="Arial"/>
          <w:sz w:val="24"/>
          <w:szCs w:val="24"/>
          <w:lang w:val="es-ES"/>
        </w:rPr>
        <w:t>Con fundamento en las consideraciones expuestas</w:t>
      </w:r>
      <w:r w:rsidR="00E619EE">
        <w:rPr>
          <w:rFonts w:ascii="Arial" w:hAnsi="Arial" w:cs="Arial"/>
          <w:sz w:val="24"/>
          <w:szCs w:val="24"/>
          <w:lang w:val="es-ES"/>
        </w:rPr>
        <w:t xml:space="preserve"> s</w:t>
      </w:r>
      <w:r w:rsidRPr="008F0766">
        <w:rPr>
          <w:rFonts w:ascii="Arial" w:hAnsi="Arial" w:cs="Arial"/>
          <w:sz w:val="24"/>
          <w:szCs w:val="24"/>
          <w:lang w:val="es-ES"/>
        </w:rPr>
        <w:t xml:space="preserve">e </w:t>
      </w:r>
      <w:r w:rsidR="00E619EE">
        <w:rPr>
          <w:rFonts w:ascii="Arial" w:hAnsi="Arial" w:cs="Arial"/>
          <w:sz w:val="24"/>
          <w:szCs w:val="24"/>
          <w:lang w:val="es-ES"/>
        </w:rPr>
        <w:t xml:space="preserve">negará </w:t>
      </w:r>
      <w:r w:rsidRPr="008F0766">
        <w:rPr>
          <w:rFonts w:ascii="Arial" w:hAnsi="Arial" w:cs="Arial"/>
          <w:sz w:val="24"/>
          <w:szCs w:val="24"/>
          <w:lang w:val="es-ES"/>
        </w:rPr>
        <w:t xml:space="preserve">el </w:t>
      </w:r>
      <w:r w:rsidR="00E619EE">
        <w:rPr>
          <w:rFonts w:ascii="Arial" w:hAnsi="Arial" w:cs="Arial"/>
          <w:sz w:val="24"/>
          <w:szCs w:val="24"/>
          <w:lang w:val="es-ES"/>
        </w:rPr>
        <w:t xml:space="preserve">amparo del derecho al </w:t>
      </w:r>
      <w:r w:rsidRPr="008F0766">
        <w:rPr>
          <w:rFonts w:ascii="Arial" w:hAnsi="Arial" w:cs="Arial"/>
          <w:sz w:val="24"/>
          <w:szCs w:val="24"/>
          <w:lang w:val="es-ES"/>
        </w:rPr>
        <w:t xml:space="preserve">debido proceso, por </w:t>
      </w:r>
      <w:r w:rsidR="00E619EE">
        <w:rPr>
          <w:rFonts w:ascii="Arial" w:hAnsi="Arial" w:cs="Arial"/>
          <w:sz w:val="24"/>
          <w:szCs w:val="24"/>
          <w:lang w:val="es-ES"/>
        </w:rPr>
        <w:t xml:space="preserve">ser inexistente </w:t>
      </w:r>
      <w:r w:rsidR="00B8719E">
        <w:rPr>
          <w:rFonts w:ascii="Arial" w:hAnsi="Arial" w:cs="Arial"/>
          <w:sz w:val="24"/>
          <w:szCs w:val="24"/>
          <w:lang w:val="es-ES"/>
        </w:rPr>
        <w:t xml:space="preserve">el </w:t>
      </w:r>
      <w:r w:rsidRPr="008F0766">
        <w:rPr>
          <w:rFonts w:ascii="Arial" w:hAnsi="Arial" w:cs="Arial"/>
          <w:sz w:val="24"/>
          <w:szCs w:val="24"/>
        </w:rPr>
        <w:t xml:space="preserve">defecto </w:t>
      </w:r>
      <w:r w:rsidR="00B8719E">
        <w:rPr>
          <w:rFonts w:ascii="Arial" w:hAnsi="Arial" w:cs="Arial"/>
          <w:sz w:val="24"/>
          <w:szCs w:val="24"/>
        </w:rPr>
        <w:t>de desconocimiento del precedente jurisprudencial</w:t>
      </w:r>
      <w:r w:rsidR="000B061B">
        <w:rPr>
          <w:rFonts w:ascii="Arial" w:hAnsi="Arial"/>
          <w:sz w:val="24"/>
          <w:szCs w:val="24"/>
        </w:rPr>
        <w:t>.</w:t>
      </w:r>
    </w:p>
    <w:p w:rsidR="0063381F" w:rsidRPr="00EB1DED" w:rsidRDefault="0063381F" w:rsidP="0063381F">
      <w:pPr>
        <w:pStyle w:val="Corpsdetexte"/>
        <w:spacing w:line="360" w:lineRule="auto"/>
        <w:rPr>
          <w:rFonts w:ascii="Arial" w:hAnsi="Arial" w:cs="Arial"/>
          <w:szCs w:val="24"/>
          <w:lang w:val="es-CO"/>
        </w:rPr>
      </w:pPr>
    </w:p>
    <w:p w:rsidR="0063381F" w:rsidRDefault="0063381F" w:rsidP="0063381F">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63381F" w:rsidRPr="00EB1DED" w:rsidRDefault="0063381F" w:rsidP="0063381F">
      <w:pPr>
        <w:tabs>
          <w:tab w:val="left" w:pos="-720"/>
        </w:tabs>
        <w:suppressAutoHyphens/>
        <w:spacing w:line="360" w:lineRule="auto"/>
        <w:jc w:val="both"/>
        <w:rPr>
          <w:rFonts w:ascii="Arial" w:hAnsi="Arial" w:cs="Arial"/>
          <w:sz w:val="12"/>
        </w:rPr>
      </w:pPr>
    </w:p>
    <w:p w:rsidR="0063381F" w:rsidRDefault="0063381F" w:rsidP="0063381F">
      <w:pPr>
        <w:pStyle w:val="Corpsdetexte"/>
        <w:spacing w:line="360" w:lineRule="auto"/>
        <w:jc w:val="center"/>
        <w:rPr>
          <w:rFonts w:ascii="Arial" w:hAnsi="Arial" w:cs="Arial"/>
          <w:bCs/>
          <w:smallCaps/>
          <w:sz w:val="24"/>
          <w:szCs w:val="24"/>
        </w:rPr>
      </w:pPr>
      <w:r w:rsidRPr="00D91662">
        <w:rPr>
          <w:rFonts w:ascii="Arial" w:hAnsi="Arial" w:cs="Arial"/>
          <w:bCs/>
          <w:smallCaps/>
          <w:sz w:val="24"/>
          <w:szCs w:val="24"/>
        </w:rPr>
        <w:t xml:space="preserve">F A L </w:t>
      </w:r>
      <w:proofErr w:type="spellStart"/>
      <w:r w:rsidRPr="00D91662">
        <w:rPr>
          <w:rFonts w:ascii="Arial" w:hAnsi="Arial" w:cs="Arial"/>
          <w:bCs/>
          <w:smallCaps/>
          <w:sz w:val="24"/>
          <w:szCs w:val="24"/>
        </w:rPr>
        <w:t>L</w:t>
      </w:r>
      <w:proofErr w:type="spellEnd"/>
      <w:r w:rsidRPr="00D91662">
        <w:rPr>
          <w:rFonts w:ascii="Arial" w:hAnsi="Arial" w:cs="Arial"/>
          <w:bCs/>
          <w:smallCaps/>
          <w:sz w:val="24"/>
          <w:szCs w:val="24"/>
        </w:rPr>
        <w:t xml:space="preserve"> A,</w:t>
      </w:r>
    </w:p>
    <w:p w:rsidR="00663B5A" w:rsidRPr="00D91662" w:rsidRDefault="00663B5A" w:rsidP="0063381F">
      <w:pPr>
        <w:pStyle w:val="Corpsdetexte"/>
        <w:spacing w:line="360" w:lineRule="auto"/>
        <w:jc w:val="center"/>
        <w:rPr>
          <w:rFonts w:ascii="Arial" w:hAnsi="Arial" w:cs="Arial"/>
          <w:bCs/>
          <w:smallCaps/>
          <w:sz w:val="24"/>
          <w:szCs w:val="24"/>
        </w:rPr>
      </w:pPr>
    </w:p>
    <w:p w:rsidR="0063381F" w:rsidRPr="00663B5A" w:rsidRDefault="00E619EE" w:rsidP="0063381F">
      <w:pPr>
        <w:pStyle w:val="Corpsdetexte"/>
        <w:numPr>
          <w:ilvl w:val="0"/>
          <w:numId w:val="6"/>
        </w:numPr>
        <w:tabs>
          <w:tab w:val="clear" w:pos="720"/>
          <w:tab w:val="num" w:pos="360"/>
        </w:tabs>
        <w:spacing w:line="360" w:lineRule="auto"/>
        <w:ind w:left="360"/>
        <w:rPr>
          <w:rFonts w:ascii="Arial" w:hAnsi="Arial"/>
          <w:sz w:val="24"/>
          <w:szCs w:val="24"/>
        </w:rPr>
      </w:pPr>
      <w:r>
        <w:rPr>
          <w:rFonts w:ascii="Arial" w:hAnsi="Arial"/>
          <w:sz w:val="24"/>
          <w:szCs w:val="24"/>
        </w:rPr>
        <w:t>NEGAR la acción de tutela presentada por la señora Luz Mary Ruiz Vélez contra los Juzgados Tercero Civil del Circuito y octavo Civil Municipal de Pereira, por inexistencia de defecto por el desconocimiento del precedente</w:t>
      </w:r>
      <w:r w:rsidR="0063381F" w:rsidRPr="00D91662">
        <w:rPr>
          <w:rFonts w:ascii="Arial" w:hAnsi="Arial" w:cs="Arial"/>
          <w:sz w:val="24"/>
          <w:szCs w:val="24"/>
          <w:lang w:val="es-ES"/>
        </w:rPr>
        <w:t>.</w:t>
      </w:r>
    </w:p>
    <w:p w:rsidR="00663B5A" w:rsidRPr="000B061B" w:rsidRDefault="00663B5A" w:rsidP="00663B5A">
      <w:pPr>
        <w:pStyle w:val="Corpsdetexte"/>
        <w:tabs>
          <w:tab w:val="clear" w:pos="708"/>
        </w:tabs>
        <w:spacing w:line="360" w:lineRule="auto"/>
        <w:ind w:left="360"/>
        <w:rPr>
          <w:rFonts w:ascii="Arial" w:hAnsi="Arial"/>
          <w:sz w:val="24"/>
          <w:szCs w:val="24"/>
        </w:rPr>
      </w:pPr>
    </w:p>
    <w:p w:rsidR="0063381F" w:rsidRDefault="0063381F" w:rsidP="0063381F">
      <w:pPr>
        <w:pStyle w:val="Corpsdetexte"/>
        <w:numPr>
          <w:ilvl w:val="0"/>
          <w:numId w:val="6"/>
        </w:numPr>
        <w:tabs>
          <w:tab w:val="clear" w:pos="720"/>
          <w:tab w:val="num" w:pos="360"/>
        </w:tabs>
        <w:spacing w:line="360" w:lineRule="auto"/>
        <w:ind w:left="360"/>
        <w:rPr>
          <w:rFonts w:ascii="Arial" w:hAnsi="Arial"/>
          <w:sz w:val="24"/>
          <w:szCs w:val="24"/>
        </w:rPr>
      </w:pPr>
      <w:r w:rsidRPr="00D91662">
        <w:rPr>
          <w:rFonts w:ascii="Arial" w:hAnsi="Arial"/>
          <w:sz w:val="24"/>
          <w:szCs w:val="24"/>
        </w:rPr>
        <w:t>NOTIFICAR esta decisión a todas las partes, por el medio más expedito y eficaz.</w:t>
      </w:r>
    </w:p>
    <w:p w:rsidR="00663B5A" w:rsidRPr="00D91662" w:rsidRDefault="00663B5A" w:rsidP="00663B5A">
      <w:pPr>
        <w:pStyle w:val="Corpsdetexte"/>
        <w:tabs>
          <w:tab w:val="clear" w:pos="708"/>
        </w:tabs>
        <w:spacing w:line="360" w:lineRule="auto"/>
        <w:rPr>
          <w:rFonts w:ascii="Arial" w:hAnsi="Arial"/>
          <w:sz w:val="24"/>
          <w:szCs w:val="24"/>
        </w:rPr>
      </w:pPr>
    </w:p>
    <w:p w:rsidR="0063381F" w:rsidRPr="00663B5A" w:rsidRDefault="0063381F" w:rsidP="0063381F">
      <w:pPr>
        <w:pStyle w:val="Corpsdetex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sz w:val="24"/>
          <w:szCs w:val="24"/>
        </w:rPr>
        <w:t>REMITIR este expediente, de no ser impugnado este fallo, a la Corte Constitucional para su eventual revisión.</w:t>
      </w:r>
    </w:p>
    <w:p w:rsidR="00663B5A" w:rsidRPr="0063381F" w:rsidRDefault="00663B5A" w:rsidP="00663B5A">
      <w:pPr>
        <w:pStyle w:val="Corpsdetexte"/>
        <w:tabs>
          <w:tab w:val="clear" w:pos="708"/>
        </w:tabs>
        <w:spacing w:line="360" w:lineRule="auto"/>
        <w:rPr>
          <w:rFonts w:ascii="Arial" w:hAnsi="Arial"/>
          <w:sz w:val="24"/>
          <w:szCs w:val="24"/>
        </w:rPr>
      </w:pPr>
    </w:p>
    <w:p w:rsidR="0063381F" w:rsidRPr="00D91662" w:rsidRDefault="0063381F" w:rsidP="0063381F">
      <w:pPr>
        <w:pStyle w:val="Corpsdetex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bCs/>
          <w:smallCaps/>
          <w:sz w:val="24"/>
          <w:szCs w:val="24"/>
        </w:rPr>
        <w:t xml:space="preserve">ARCHIVAR </w:t>
      </w:r>
      <w:r w:rsidRPr="00D91662">
        <w:rPr>
          <w:rFonts w:ascii="Arial" w:hAnsi="Arial" w:cs="Arial"/>
          <w:sz w:val="24"/>
          <w:szCs w:val="24"/>
        </w:rPr>
        <w:t xml:space="preserve">el expediente, previa anotaciones en los libros </w:t>
      </w:r>
      <w:proofErr w:type="spellStart"/>
      <w:r w:rsidRPr="00D91662">
        <w:rPr>
          <w:rFonts w:ascii="Arial" w:hAnsi="Arial" w:cs="Arial"/>
          <w:sz w:val="24"/>
          <w:szCs w:val="24"/>
        </w:rPr>
        <w:t>radicadores</w:t>
      </w:r>
      <w:proofErr w:type="spellEnd"/>
      <w:r w:rsidRPr="00D91662">
        <w:rPr>
          <w:rFonts w:ascii="Arial" w:hAnsi="Arial" w:cs="Arial"/>
          <w:sz w:val="24"/>
          <w:szCs w:val="24"/>
        </w:rPr>
        <w:t>, una vez agotado el trámite ante la Corte Constitucional.</w:t>
      </w:r>
    </w:p>
    <w:p w:rsidR="00663B5A" w:rsidRPr="00663B5A" w:rsidRDefault="00663B5A" w:rsidP="00126266">
      <w:pPr>
        <w:pStyle w:val="Corpsdetexte"/>
        <w:spacing w:line="360" w:lineRule="auto"/>
        <w:jc w:val="center"/>
        <w:rPr>
          <w:rFonts w:ascii="Arial" w:hAnsi="Arial"/>
          <w:smallCaps/>
          <w:sz w:val="14"/>
          <w:szCs w:val="24"/>
        </w:rPr>
      </w:pPr>
    </w:p>
    <w:p w:rsidR="00126266" w:rsidRPr="00BD34F2" w:rsidRDefault="00126266" w:rsidP="00126266">
      <w:pPr>
        <w:pStyle w:val="Corpsdetexte"/>
        <w:spacing w:line="360" w:lineRule="auto"/>
        <w:jc w:val="center"/>
        <w:rPr>
          <w:rFonts w:ascii="Arial" w:hAnsi="Arial"/>
          <w:smallCaps/>
          <w:sz w:val="24"/>
          <w:szCs w:val="24"/>
          <w:lang w:val="en-GB"/>
        </w:rPr>
      </w:pPr>
      <w:proofErr w:type="spellStart"/>
      <w:r w:rsidRPr="00BD34F2">
        <w:rPr>
          <w:rFonts w:ascii="Arial" w:hAnsi="Arial"/>
          <w:smallCaps/>
          <w:sz w:val="24"/>
          <w:szCs w:val="24"/>
          <w:lang w:val="en-GB"/>
        </w:rPr>
        <w:t>Notifíquese</w:t>
      </w:r>
      <w:proofErr w:type="spellEnd"/>
      <w:r w:rsidRPr="00BD34F2">
        <w:rPr>
          <w:rFonts w:ascii="Arial" w:hAnsi="Arial"/>
          <w:smallCaps/>
          <w:sz w:val="24"/>
          <w:szCs w:val="24"/>
          <w:lang w:val="en-GB"/>
        </w:rPr>
        <w:t>,</w:t>
      </w:r>
    </w:p>
    <w:p w:rsidR="003A3AF6" w:rsidRPr="00BD34F2" w:rsidRDefault="003A3AF6"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8"/>
          <w:szCs w:val="18"/>
          <w:lang w:val="en-GB"/>
        </w:rPr>
      </w:pPr>
    </w:p>
    <w:p w:rsidR="00687E88" w:rsidRPr="00BD34F2"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BD34F2">
        <w:rPr>
          <w:rFonts w:ascii="Arial" w:hAnsi="Arial" w:cs="Arial"/>
          <w:i/>
          <w:spacing w:val="-3"/>
          <w:w w:val="150"/>
          <w:sz w:val="28"/>
          <w:lang w:val="en-GB"/>
        </w:rPr>
        <w:t>D</w:t>
      </w:r>
      <w:r w:rsidRPr="00BD34F2">
        <w:rPr>
          <w:rFonts w:ascii="Arial" w:hAnsi="Arial" w:cs="Arial"/>
          <w:i/>
          <w:spacing w:val="-3"/>
          <w:w w:val="150"/>
          <w:sz w:val="18"/>
          <w:szCs w:val="16"/>
          <w:lang w:val="en-GB"/>
        </w:rPr>
        <w:t>UBERNEY</w:t>
      </w:r>
      <w:proofErr w:type="spellEnd"/>
      <w:r w:rsidRPr="00BD34F2">
        <w:rPr>
          <w:rFonts w:ascii="Arial" w:hAnsi="Arial" w:cs="Arial"/>
          <w:i/>
          <w:spacing w:val="-3"/>
          <w:w w:val="150"/>
          <w:sz w:val="18"/>
          <w:szCs w:val="16"/>
          <w:lang w:val="en-GB"/>
        </w:rPr>
        <w:t xml:space="preserve"> </w:t>
      </w:r>
      <w:proofErr w:type="spellStart"/>
      <w:r w:rsidRPr="00BD34F2">
        <w:rPr>
          <w:rFonts w:ascii="Arial" w:hAnsi="Arial" w:cs="Arial"/>
          <w:i/>
          <w:spacing w:val="-3"/>
          <w:w w:val="150"/>
          <w:sz w:val="28"/>
          <w:lang w:val="en-GB"/>
        </w:rPr>
        <w:t>G</w:t>
      </w:r>
      <w:r w:rsidRPr="00BD34F2">
        <w:rPr>
          <w:rFonts w:ascii="Arial" w:hAnsi="Arial" w:cs="Arial"/>
          <w:i/>
          <w:spacing w:val="-3"/>
          <w:w w:val="150"/>
          <w:sz w:val="18"/>
          <w:szCs w:val="16"/>
          <w:lang w:val="en-GB"/>
        </w:rPr>
        <w:t>RISALES</w:t>
      </w:r>
      <w:proofErr w:type="spellEnd"/>
      <w:r w:rsidRPr="00BD34F2">
        <w:rPr>
          <w:rFonts w:ascii="Arial" w:hAnsi="Arial" w:cs="Arial"/>
          <w:i/>
          <w:spacing w:val="-3"/>
          <w:w w:val="150"/>
          <w:sz w:val="18"/>
          <w:szCs w:val="16"/>
          <w:lang w:val="en-GB"/>
        </w:rPr>
        <w:t xml:space="preserve"> </w:t>
      </w:r>
      <w:r w:rsidRPr="00BD34F2">
        <w:rPr>
          <w:rFonts w:ascii="Arial" w:hAnsi="Arial" w:cs="Arial"/>
          <w:i/>
          <w:spacing w:val="-3"/>
          <w:w w:val="150"/>
          <w:sz w:val="28"/>
          <w:lang w:val="en-GB"/>
        </w:rPr>
        <w:t>H</w:t>
      </w:r>
      <w:r w:rsidRPr="00BD34F2">
        <w:rPr>
          <w:rFonts w:ascii="Arial" w:hAnsi="Arial" w:cs="Arial"/>
          <w:i/>
          <w:spacing w:val="-3"/>
          <w:w w:val="150"/>
          <w:sz w:val="18"/>
          <w:szCs w:val="16"/>
          <w:lang w:val="en-GB"/>
        </w:rPr>
        <w:t>ERRERA</w:t>
      </w:r>
    </w:p>
    <w:p w:rsidR="00687E88" w:rsidRPr="00BD34F2"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BD34F2">
        <w:rPr>
          <w:rFonts w:ascii="Arial" w:hAnsi="Arial" w:cs="Arial"/>
          <w:i/>
          <w:spacing w:val="-3"/>
          <w:w w:val="150"/>
          <w:sz w:val="28"/>
          <w:lang w:val="en-GB"/>
        </w:rPr>
        <w:t>M</w:t>
      </w:r>
      <w:r w:rsidRPr="00BD34F2">
        <w:rPr>
          <w:rFonts w:ascii="Arial" w:hAnsi="Arial" w:cs="Arial"/>
          <w:i/>
          <w:spacing w:val="-3"/>
          <w:w w:val="150"/>
          <w:lang w:val="en-GB"/>
        </w:rPr>
        <w:t xml:space="preserve"> </w:t>
      </w:r>
      <w:r w:rsidRPr="00BD34F2">
        <w:rPr>
          <w:rFonts w:ascii="Arial" w:hAnsi="Arial" w:cs="Arial"/>
          <w:i/>
          <w:spacing w:val="-3"/>
          <w:w w:val="150"/>
          <w:sz w:val="18"/>
          <w:szCs w:val="20"/>
          <w:lang w:val="en-GB"/>
        </w:rPr>
        <w:t>A G I S T R A D O</w:t>
      </w:r>
    </w:p>
    <w:p w:rsidR="0082689E" w:rsidRPr="00BD34F2" w:rsidRDefault="0082689E"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3A3AF6" w:rsidRPr="00BD34F2" w:rsidRDefault="003A3AF6"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3A3AF6" w:rsidRPr="00BD34F2" w:rsidRDefault="003A3AF6"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GB"/>
        </w:rPr>
      </w:pPr>
    </w:p>
    <w:p w:rsidR="00687E88" w:rsidRPr="00BD34F2"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687E88" w:rsidRPr="00BD34F2" w:rsidRDefault="00687E88" w:rsidP="00687E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BD34F2">
        <w:rPr>
          <w:rFonts w:ascii="Arial" w:hAnsi="Arial"/>
          <w:i/>
          <w:w w:val="150"/>
          <w:sz w:val="28"/>
          <w:szCs w:val="18"/>
          <w:lang w:val="en-GB"/>
        </w:rPr>
        <w:t>E</w:t>
      </w:r>
      <w:r w:rsidRPr="00BD34F2">
        <w:rPr>
          <w:rFonts w:ascii="Arial" w:hAnsi="Arial"/>
          <w:i/>
          <w:w w:val="150"/>
          <w:sz w:val="18"/>
          <w:szCs w:val="18"/>
          <w:lang w:val="en-GB"/>
        </w:rPr>
        <w:t>DDER</w:t>
      </w:r>
      <w:proofErr w:type="spellEnd"/>
      <w:r w:rsidRPr="00BD34F2">
        <w:rPr>
          <w:rFonts w:ascii="Arial" w:hAnsi="Arial"/>
          <w:i/>
          <w:w w:val="150"/>
          <w:sz w:val="18"/>
          <w:lang w:val="en-GB"/>
        </w:rPr>
        <w:t xml:space="preserve"> </w:t>
      </w:r>
      <w:r w:rsidRPr="00BD34F2">
        <w:rPr>
          <w:rFonts w:ascii="Arial" w:hAnsi="Arial"/>
          <w:i/>
          <w:w w:val="150"/>
          <w:sz w:val="28"/>
          <w:lang w:val="en-GB"/>
        </w:rPr>
        <w:t>J</w:t>
      </w:r>
      <w:r w:rsidRPr="00BD34F2">
        <w:rPr>
          <w:rFonts w:ascii="Arial" w:hAnsi="Arial"/>
          <w:i/>
          <w:w w:val="150"/>
          <w:sz w:val="18"/>
          <w:szCs w:val="18"/>
          <w:lang w:val="en-GB"/>
        </w:rPr>
        <w:t xml:space="preserve">IMMY </w:t>
      </w:r>
      <w:r w:rsidRPr="00BD34F2">
        <w:rPr>
          <w:rFonts w:ascii="Arial" w:hAnsi="Arial"/>
          <w:i/>
          <w:w w:val="150"/>
          <w:sz w:val="28"/>
          <w:lang w:val="en-GB"/>
        </w:rPr>
        <w:t>S</w:t>
      </w:r>
      <w:r w:rsidRPr="00BD34F2">
        <w:rPr>
          <w:rFonts w:ascii="Arial" w:hAnsi="Arial"/>
          <w:i/>
          <w:w w:val="150"/>
          <w:sz w:val="18"/>
          <w:szCs w:val="18"/>
          <w:lang w:val="en-GB"/>
        </w:rPr>
        <w:t xml:space="preserve">ÁNCHEZ </w:t>
      </w:r>
      <w:r w:rsidRPr="00BD34F2">
        <w:rPr>
          <w:rFonts w:ascii="Arial" w:hAnsi="Arial"/>
          <w:i/>
          <w:w w:val="150"/>
          <w:sz w:val="28"/>
          <w:szCs w:val="18"/>
          <w:lang w:val="en-GB"/>
        </w:rPr>
        <w:t>C.</w:t>
      </w:r>
      <w:proofErr w:type="gramEnd"/>
      <w:r w:rsidRPr="00BD34F2">
        <w:rPr>
          <w:rFonts w:ascii="Arial" w:hAnsi="Arial"/>
          <w:i/>
          <w:w w:val="150"/>
          <w:sz w:val="28"/>
          <w:szCs w:val="18"/>
          <w:lang w:val="en-GB"/>
        </w:rPr>
        <w:tab/>
      </w:r>
      <w:r w:rsidRPr="00BD34F2">
        <w:rPr>
          <w:rFonts w:ascii="Arial" w:hAnsi="Arial"/>
          <w:i/>
          <w:w w:val="150"/>
          <w:sz w:val="28"/>
          <w:szCs w:val="18"/>
          <w:lang w:val="en-GB"/>
        </w:rPr>
        <w:tab/>
      </w:r>
      <w:r w:rsidRPr="00BD34F2">
        <w:rPr>
          <w:rFonts w:ascii="Arial" w:hAnsi="Arial" w:cs="Arial"/>
          <w:i/>
          <w:spacing w:val="-3"/>
          <w:w w:val="150"/>
          <w:sz w:val="28"/>
          <w:szCs w:val="18"/>
          <w:lang w:val="en-GB"/>
        </w:rPr>
        <w:t>J</w:t>
      </w:r>
      <w:r w:rsidRPr="00BD34F2">
        <w:rPr>
          <w:rFonts w:ascii="Arial" w:hAnsi="Arial" w:cs="Arial"/>
          <w:i/>
          <w:spacing w:val="-3"/>
          <w:w w:val="150"/>
          <w:sz w:val="18"/>
          <w:szCs w:val="18"/>
          <w:lang w:val="en-GB"/>
        </w:rPr>
        <w:t xml:space="preserve">AIME </w:t>
      </w:r>
      <w:r w:rsidRPr="00BD34F2">
        <w:rPr>
          <w:rFonts w:ascii="Arial" w:hAnsi="Arial" w:cs="Arial"/>
          <w:i/>
          <w:spacing w:val="-3"/>
          <w:w w:val="150"/>
          <w:sz w:val="28"/>
          <w:szCs w:val="18"/>
          <w:lang w:val="en-GB"/>
        </w:rPr>
        <w:t>A</w:t>
      </w:r>
      <w:r w:rsidRPr="00BD34F2">
        <w:rPr>
          <w:rFonts w:ascii="Arial" w:hAnsi="Arial"/>
          <w:i/>
          <w:w w:val="150"/>
          <w:sz w:val="18"/>
          <w:szCs w:val="18"/>
          <w:lang w:val="en-GB"/>
        </w:rPr>
        <w:t xml:space="preserve">LBERTO </w:t>
      </w:r>
      <w:proofErr w:type="spellStart"/>
      <w:r w:rsidRPr="00BD34F2">
        <w:rPr>
          <w:rFonts w:ascii="Arial" w:hAnsi="Arial" w:cs="Arial"/>
          <w:i/>
          <w:spacing w:val="-3"/>
          <w:w w:val="150"/>
          <w:sz w:val="28"/>
          <w:szCs w:val="18"/>
          <w:lang w:val="en-GB"/>
        </w:rPr>
        <w:t>S</w:t>
      </w:r>
      <w:r w:rsidRPr="00BD34F2">
        <w:rPr>
          <w:rFonts w:ascii="Arial" w:hAnsi="Arial" w:cs="Arial"/>
          <w:i/>
          <w:spacing w:val="-3"/>
          <w:w w:val="150"/>
          <w:sz w:val="18"/>
          <w:szCs w:val="16"/>
          <w:lang w:val="en-GB"/>
        </w:rPr>
        <w:t>ARAZA</w:t>
      </w:r>
      <w:proofErr w:type="spellEnd"/>
      <w:r w:rsidRPr="00BD34F2">
        <w:rPr>
          <w:rFonts w:ascii="Arial" w:hAnsi="Arial" w:cs="Arial"/>
          <w:i/>
          <w:spacing w:val="-3"/>
          <w:w w:val="150"/>
          <w:sz w:val="18"/>
          <w:szCs w:val="16"/>
          <w:lang w:val="en-GB"/>
        </w:rPr>
        <w:t xml:space="preserve"> </w:t>
      </w:r>
      <w:r w:rsidRPr="00BD34F2">
        <w:rPr>
          <w:rFonts w:ascii="Arial" w:hAnsi="Arial" w:cs="Arial"/>
          <w:i/>
          <w:spacing w:val="-3"/>
          <w:w w:val="150"/>
          <w:sz w:val="28"/>
          <w:szCs w:val="18"/>
          <w:lang w:val="en-GB"/>
        </w:rPr>
        <w:t>N.</w:t>
      </w:r>
    </w:p>
    <w:p w:rsidR="00403ECE" w:rsidRDefault="00687E88"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D34F2">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7052B" w:rsidRDefault="0087052B"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87052B" w:rsidRDefault="0087052B" w:rsidP="0087052B">
      <w:pPr>
        <w:pStyle w:val="Corpsdetexte"/>
        <w:tabs>
          <w:tab w:val="clear" w:pos="0"/>
          <w:tab w:val="clear" w:pos="708"/>
          <w:tab w:val="clear" w:pos="4248"/>
          <w:tab w:val="left" w:pos="9356"/>
          <w:tab w:val="left" w:pos="9498"/>
        </w:tabs>
        <w:spacing w:line="360" w:lineRule="auto"/>
        <w:ind w:left="7513"/>
        <w:jc w:val="right"/>
        <w:rPr>
          <w:rFonts w:ascii="Arial" w:hAnsi="Arial" w:cs="Arial"/>
          <w:w w:val="150"/>
          <w:sz w:val="28"/>
          <w:szCs w:val="18"/>
        </w:rPr>
      </w:pPr>
      <w:r>
        <w:rPr>
          <w:rFonts w:ascii="Arial" w:hAnsi="Arial"/>
          <w:i/>
          <w:w w:val="150"/>
          <w:sz w:val="8"/>
          <w:szCs w:val="10"/>
          <w:lang w:val="en-US"/>
        </w:rPr>
        <w:t xml:space="preserve">DGH / </w:t>
      </w:r>
      <w:r w:rsidR="00330266">
        <w:rPr>
          <w:rFonts w:ascii="Arial" w:hAnsi="Arial"/>
          <w:i/>
          <w:w w:val="150"/>
          <w:sz w:val="8"/>
          <w:szCs w:val="10"/>
          <w:lang w:val="en-US"/>
        </w:rPr>
        <w:t>ODCD</w:t>
      </w:r>
      <w:r>
        <w:rPr>
          <w:rFonts w:ascii="Arial" w:hAnsi="Arial"/>
          <w:i/>
          <w:w w:val="150"/>
          <w:sz w:val="8"/>
          <w:szCs w:val="10"/>
          <w:lang w:val="en-US"/>
        </w:rPr>
        <w:t xml:space="preserve"> / </w:t>
      </w:r>
      <w:r w:rsidR="00330266">
        <w:rPr>
          <w:rFonts w:ascii="Arial" w:hAnsi="Arial"/>
          <w:i/>
          <w:w w:val="150"/>
          <w:sz w:val="8"/>
          <w:szCs w:val="10"/>
          <w:lang w:val="en-US"/>
        </w:rPr>
        <w:t>2017</w:t>
      </w:r>
    </w:p>
    <w:p w:rsidR="0087052B" w:rsidRPr="002666A1" w:rsidRDefault="0087052B" w:rsidP="00EC7F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szCs w:val="18"/>
        </w:rPr>
      </w:pPr>
      <w:bookmarkStart w:id="0" w:name="_GoBack"/>
      <w:bookmarkEnd w:id="0"/>
    </w:p>
    <w:sectPr w:rsidR="0087052B" w:rsidRPr="002666A1" w:rsidSect="00BC0532">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BB" w:rsidRDefault="00863EBB" w:rsidP="0099045D">
      <w:r>
        <w:separator/>
      </w:r>
    </w:p>
  </w:endnote>
  <w:endnote w:type="continuationSeparator" w:id="0">
    <w:p w:rsidR="00863EBB" w:rsidRDefault="00863EB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9A" w:rsidRPr="001F36DC" w:rsidRDefault="00C61F9A" w:rsidP="0013771A">
    <w:pPr>
      <w:pStyle w:val="Pieddepage"/>
      <w:pBdr>
        <w:bottom w:val="double" w:sz="6" w:space="1" w:color="auto"/>
      </w:pBdr>
      <w:spacing w:line="360" w:lineRule="auto"/>
      <w:jc w:val="right"/>
      <w:rPr>
        <w:rFonts w:ascii="Arial" w:hAnsi="Arial" w:cs="Arial"/>
        <w:i/>
        <w:spacing w:val="20"/>
        <w:w w:val="200"/>
        <w:sz w:val="14"/>
        <w:szCs w:val="10"/>
        <w:lang w:val="es-CO"/>
      </w:rPr>
    </w:pPr>
  </w:p>
  <w:p w:rsidR="00C61F9A" w:rsidRPr="001F36DC" w:rsidRDefault="00C61F9A" w:rsidP="0013771A">
    <w:pPr>
      <w:pStyle w:val="Pieddepage"/>
      <w:spacing w:line="360" w:lineRule="auto"/>
      <w:jc w:val="right"/>
      <w:rPr>
        <w:rFonts w:ascii="Arial" w:hAnsi="Arial" w:cs="Arial"/>
        <w:i/>
        <w:spacing w:val="20"/>
        <w:w w:val="200"/>
        <w:sz w:val="14"/>
        <w:szCs w:val="10"/>
        <w:lang w:val="es-CO"/>
      </w:rPr>
    </w:pPr>
  </w:p>
  <w:p w:rsidR="00C61F9A" w:rsidRPr="00D8475F" w:rsidRDefault="00C61F9A" w:rsidP="0013771A">
    <w:pPr>
      <w:pStyle w:val="Pieddepage"/>
      <w:spacing w:line="360" w:lineRule="auto"/>
      <w:jc w:val="right"/>
      <w:rPr>
        <w:rFonts w:ascii="Arial" w:hAnsi="Arial" w:cs="Arial"/>
        <w:spacing w:val="20"/>
        <w:w w:val="200"/>
        <w:sz w:val="10"/>
        <w:szCs w:val="10"/>
        <w:lang w:val="es-CO"/>
      </w:rPr>
    </w:pPr>
    <w:r w:rsidRPr="00D8475F">
      <w:rPr>
        <w:rFonts w:ascii="Arial" w:hAnsi="Arial" w:cs="Arial"/>
        <w:spacing w:val="20"/>
        <w:w w:val="200"/>
        <w:sz w:val="14"/>
        <w:szCs w:val="10"/>
        <w:lang w:val="es-CO"/>
      </w:rPr>
      <w:t>T</w:t>
    </w:r>
    <w:r w:rsidRPr="00D8475F">
      <w:rPr>
        <w:rFonts w:ascii="Arial" w:hAnsi="Arial" w:cs="Arial"/>
        <w:spacing w:val="20"/>
        <w:w w:val="200"/>
        <w:sz w:val="10"/>
        <w:szCs w:val="10"/>
        <w:lang w:val="es-CO"/>
      </w:rPr>
      <w:t xml:space="preserve">RIBUNAL </w:t>
    </w:r>
    <w:r w:rsidRPr="00D8475F">
      <w:rPr>
        <w:rFonts w:ascii="Arial" w:hAnsi="Arial" w:cs="Arial"/>
        <w:spacing w:val="20"/>
        <w:w w:val="200"/>
        <w:sz w:val="14"/>
        <w:szCs w:val="10"/>
        <w:lang w:val="es-CO"/>
      </w:rPr>
      <w:t>S</w:t>
    </w:r>
    <w:r w:rsidRPr="00D8475F">
      <w:rPr>
        <w:rFonts w:ascii="Arial" w:hAnsi="Arial" w:cs="Arial"/>
        <w:spacing w:val="20"/>
        <w:w w:val="200"/>
        <w:sz w:val="10"/>
        <w:szCs w:val="10"/>
        <w:lang w:val="es-CO"/>
      </w:rPr>
      <w:t xml:space="preserve">UPERIOR DE </w:t>
    </w:r>
    <w:r w:rsidRPr="00D8475F">
      <w:rPr>
        <w:rFonts w:ascii="Arial" w:hAnsi="Arial" w:cs="Arial"/>
        <w:spacing w:val="20"/>
        <w:w w:val="200"/>
        <w:sz w:val="14"/>
        <w:szCs w:val="10"/>
        <w:lang w:val="es-CO"/>
      </w:rPr>
      <w:t>P</w:t>
    </w:r>
    <w:r w:rsidRPr="00D8475F">
      <w:rPr>
        <w:rFonts w:ascii="Arial" w:hAnsi="Arial" w:cs="Arial"/>
        <w:spacing w:val="20"/>
        <w:w w:val="200"/>
        <w:sz w:val="10"/>
        <w:szCs w:val="10"/>
        <w:lang w:val="es-CO"/>
      </w:rPr>
      <w:t>EREIRA</w:t>
    </w:r>
  </w:p>
  <w:p w:rsidR="00C61F9A" w:rsidRPr="00D8475F" w:rsidRDefault="00C61F9A" w:rsidP="0013771A">
    <w:pPr>
      <w:pStyle w:val="Pieddepage"/>
      <w:jc w:val="right"/>
      <w:rPr>
        <w:lang w:val="es-CO"/>
      </w:rPr>
    </w:pPr>
    <w:r w:rsidRPr="00D8475F">
      <w:rPr>
        <w:rFonts w:ascii="Arial" w:hAnsi="Arial" w:cs="Arial"/>
        <w:spacing w:val="20"/>
        <w:w w:val="200"/>
        <w:sz w:val="10"/>
        <w:szCs w:val="10"/>
        <w:lang w:val="es-CO"/>
      </w:rPr>
      <w:t xml:space="preserve">MP </w:t>
    </w:r>
    <w:r w:rsidRPr="00D8475F">
      <w:rPr>
        <w:rFonts w:ascii="Arial" w:hAnsi="Arial" w:cs="Arial"/>
        <w:spacing w:val="20"/>
        <w:w w:val="200"/>
        <w:sz w:val="12"/>
        <w:szCs w:val="10"/>
        <w:lang w:val="es-CO"/>
      </w:rPr>
      <w:t>D</w:t>
    </w:r>
    <w:r w:rsidRPr="00D8475F">
      <w:rPr>
        <w:rFonts w:ascii="Arial" w:hAnsi="Arial" w:cs="Arial"/>
        <w:spacing w:val="20"/>
        <w:w w:val="200"/>
        <w:sz w:val="8"/>
        <w:szCs w:val="10"/>
        <w:lang w:val="es-CO"/>
      </w:rPr>
      <w:t>UBERNEY</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G</w:t>
    </w:r>
    <w:r w:rsidRPr="00D8475F">
      <w:rPr>
        <w:rFonts w:ascii="Arial" w:hAnsi="Arial" w:cs="Arial"/>
        <w:spacing w:val="20"/>
        <w:w w:val="200"/>
        <w:sz w:val="8"/>
        <w:szCs w:val="10"/>
        <w:lang w:val="es-CO"/>
      </w:rPr>
      <w:t>RISALES</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H</w:t>
    </w:r>
    <w:r w:rsidRPr="00D8475F">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BB" w:rsidRDefault="00863EBB" w:rsidP="0099045D">
      <w:r>
        <w:separator/>
      </w:r>
    </w:p>
  </w:footnote>
  <w:footnote w:type="continuationSeparator" w:id="0">
    <w:p w:rsidR="00863EBB" w:rsidRDefault="00863EBB" w:rsidP="0099045D">
      <w:r>
        <w:continuationSeparator/>
      </w:r>
    </w:p>
  </w:footnote>
  <w:footnote w:id="1">
    <w:p w:rsidR="00C61F9A" w:rsidRPr="00E17BD7" w:rsidRDefault="00C61F9A" w:rsidP="005A7A1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C61F9A" w:rsidRPr="00E17BD7" w:rsidRDefault="00C61F9A" w:rsidP="005A7A1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61F9A" w:rsidRPr="00BD34F2" w:rsidRDefault="00C61F9A" w:rsidP="005A7A1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D34F2">
        <w:rPr>
          <w:rFonts w:asciiTheme="minorHAnsi" w:hAnsiTheme="minorHAnsi" w:cs="Calibri"/>
          <w:lang w:val="fr-FR"/>
        </w:rPr>
        <w:t xml:space="preserve"> CC. T-917 de 2011.</w:t>
      </w:r>
    </w:p>
  </w:footnote>
  <w:footnote w:id="4">
    <w:p w:rsidR="00C61F9A" w:rsidRPr="00BD34F2" w:rsidRDefault="00C61F9A" w:rsidP="005A7A1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D34F2">
        <w:rPr>
          <w:rFonts w:asciiTheme="minorHAnsi" w:hAnsiTheme="minorHAnsi" w:cs="Calibri"/>
          <w:lang w:val="fr-FR"/>
        </w:rPr>
        <w:t xml:space="preserve"> CC. C-590 de 2005.</w:t>
      </w:r>
    </w:p>
  </w:footnote>
  <w:footnote w:id="5">
    <w:p w:rsidR="00C61F9A" w:rsidRPr="00BD34F2" w:rsidRDefault="00C61F9A" w:rsidP="005A7A13">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BD34F2">
        <w:rPr>
          <w:rFonts w:asciiTheme="minorHAnsi" w:hAnsiTheme="minorHAnsi" w:cs="Calibri"/>
          <w:lang w:val="fr-FR"/>
        </w:rPr>
        <w:t xml:space="preserve"> CC. </w:t>
      </w:r>
      <w:proofErr w:type="spellStart"/>
      <w:r w:rsidRPr="00BD34F2">
        <w:rPr>
          <w:rFonts w:asciiTheme="minorHAnsi" w:hAnsiTheme="minorHAnsi" w:cs="Calibri"/>
          <w:bCs/>
          <w:lang w:val="fr-FR"/>
        </w:rPr>
        <w:t>SU-222</w:t>
      </w:r>
      <w:proofErr w:type="spellEnd"/>
      <w:r w:rsidRPr="00BD34F2">
        <w:rPr>
          <w:rFonts w:asciiTheme="minorHAnsi" w:hAnsiTheme="minorHAnsi" w:cs="Calibri"/>
          <w:bCs/>
          <w:lang w:val="fr-FR"/>
        </w:rPr>
        <w:t xml:space="preserve"> de 2016</w:t>
      </w:r>
      <w:r w:rsidRPr="00BD34F2">
        <w:rPr>
          <w:rFonts w:asciiTheme="minorHAnsi" w:hAnsiTheme="minorHAnsi" w:cs="Calibri"/>
          <w:lang w:val="fr-FR"/>
        </w:rPr>
        <w:t>.</w:t>
      </w:r>
    </w:p>
  </w:footnote>
  <w:footnote w:id="6">
    <w:p w:rsidR="00C61F9A" w:rsidRPr="00BD34F2" w:rsidRDefault="00C61F9A" w:rsidP="005A7A13">
      <w:pPr>
        <w:pStyle w:val="Notedebasdepage"/>
        <w:rPr>
          <w:rFonts w:asciiTheme="minorHAnsi" w:hAnsiTheme="minorHAnsi"/>
          <w:lang w:val="fr-FR"/>
        </w:rPr>
      </w:pPr>
      <w:r w:rsidRPr="00E17BD7">
        <w:rPr>
          <w:rStyle w:val="Appelnotedebasdep"/>
          <w:rFonts w:asciiTheme="minorHAnsi" w:hAnsiTheme="minorHAnsi"/>
        </w:rPr>
        <w:footnoteRef/>
      </w:r>
      <w:r w:rsidRPr="00BD34F2">
        <w:rPr>
          <w:rFonts w:asciiTheme="minorHAnsi" w:hAnsiTheme="minorHAnsi"/>
          <w:lang w:val="fr-FR"/>
        </w:rPr>
        <w:t xml:space="preserve"> </w:t>
      </w:r>
      <w:r w:rsidRPr="00BD34F2">
        <w:rPr>
          <w:rFonts w:asciiTheme="minorHAnsi" w:hAnsiTheme="minorHAnsi" w:cs="Calibri"/>
          <w:lang w:val="fr-FR"/>
        </w:rPr>
        <w:t>CC. T-307 de 2015.</w:t>
      </w:r>
    </w:p>
  </w:footnote>
  <w:footnote w:id="7">
    <w:p w:rsidR="00C61F9A" w:rsidRPr="00E17BD7" w:rsidRDefault="00C61F9A" w:rsidP="005A7A1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C61F9A" w:rsidRPr="00E17BD7" w:rsidRDefault="00C61F9A" w:rsidP="005A7A1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C61F9A" w:rsidRPr="00052412" w:rsidRDefault="00C61F9A" w:rsidP="001A18C9">
      <w:pPr>
        <w:pStyle w:val="Notedebasdepage"/>
        <w:jc w:val="both"/>
        <w:rPr>
          <w:rFonts w:asciiTheme="minorHAnsi" w:hAnsiTheme="minorHAnsi"/>
        </w:rPr>
      </w:pPr>
      <w:r w:rsidRPr="00052412">
        <w:rPr>
          <w:rFonts w:asciiTheme="minorHAnsi" w:hAnsiTheme="minorHAnsi" w:cs="Calibri"/>
          <w:vertAlign w:val="superscript"/>
        </w:rPr>
        <w:footnoteRef/>
      </w:r>
      <w:r w:rsidRPr="00052412">
        <w:rPr>
          <w:rFonts w:asciiTheme="minorHAnsi" w:hAnsiTheme="minorHAnsi" w:cs="Calibri"/>
        </w:rPr>
        <w:t xml:space="preserve"> </w:t>
      </w:r>
      <w:r w:rsidRPr="00052412">
        <w:rPr>
          <w:rFonts w:asciiTheme="minorHAnsi" w:hAnsiTheme="minorHAnsi" w:cs="Calibri"/>
          <w:lang w:val="es-CO"/>
        </w:rPr>
        <w:t xml:space="preserve">Según el doctrinante </w:t>
      </w:r>
      <w:proofErr w:type="spellStart"/>
      <w:r w:rsidRPr="00052412">
        <w:rPr>
          <w:rFonts w:asciiTheme="minorHAnsi" w:hAnsiTheme="minorHAnsi" w:cs="Calibri"/>
          <w:lang w:val="es-CO"/>
        </w:rPr>
        <w:t>Pierluigi</w:t>
      </w:r>
      <w:proofErr w:type="spellEnd"/>
      <w:r w:rsidRPr="00052412">
        <w:rPr>
          <w:rFonts w:asciiTheme="minorHAnsi" w:hAnsiTheme="minorHAnsi" w:cs="Calibri"/>
          <w:lang w:val="es-CO"/>
        </w:rPr>
        <w:t xml:space="preserve"> </w:t>
      </w:r>
      <w:proofErr w:type="spellStart"/>
      <w:r w:rsidRPr="00052412">
        <w:rPr>
          <w:rFonts w:asciiTheme="minorHAnsi" w:hAnsiTheme="minorHAnsi" w:cs="Calibri"/>
          <w:lang w:val="es-CO"/>
        </w:rPr>
        <w:t>Chiassoni</w:t>
      </w:r>
      <w:proofErr w:type="spellEnd"/>
      <w:r w:rsidRPr="00052412">
        <w:rPr>
          <w:rFonts w:asciiTheme="minorHAnsi" w:hAnsiTheme="minorHAnsi" w:cs="Calibri"/>
          <w:lang w:val="es-CO"/>
        </w:rPr>
        <w:t xml:space="preserve"> en su libro “Desencanto para abogados realistas”, el precedente judicial puede ser entendido en cuatro acepciones; (i) precedente-sentencia, (ii) precedente-ratio, (iii) precedente-ratio autoritativo y </w:t>
      </w:r>
      <w:r w:rsidRPr="005A7A13">
        <w:rPr>
          <w:rFonts w:asciiTheme="minorHAnsi" w:hAnsiTheme="minorHAnsi" w:cs="Calibri"/>
          <w:lang w:val="es-CO"/>
        </w:rPr>
        <w:t>(iv) precedente- ratio decidendi consolidada</w:t>
      </w:r>
      <w:r w:rsidRPr="00052412">
        <w:rPr>
          <w:rFonts w:asciiTheme="minorHAnsi" w:hAnsiTheme="minorHAnsi" w:cs="Calibri"/>
          <w:lang w:val="es-CO"/>
        </w:rPr>
        <w:t xml:space="preserve"> o precedente orientación. Este último hace referencia a </w:t>
      </w:r>
      <w:r w:rsidRPr="00052412">
        <w:rPr>
          <w:rFonts w:asciiTheme="minorHAnsi" w:hAnsiTheme="minorHAnsi" w:cs="Calibri"/>
          <w:i/>
          <w:lang w:val="es-CO"/>
        </w:rPr>
        <w:t xml:space="preserve">“es la ratio </w:t>
      </w:r>
      <w:proofErr w:type="spellStart"/>
      <w:r w:rsidRPr="00052412">
        <w:rPr>
          <w:rFonts w:asciiTheme="minorHAnsi" w:hAnsiTheme="minorHAnsi" w:cs="Calibri"/>
          <w:i/>
          <w:lang w:val="es-CO"/>
        </w:rPr>
        <w:t>decidenci</w:t>
      </w:r>
      <w:proofErr w:type="spellEnd"/>
      <w:r w:rsidRPr="00052412">
        <w:rPr>
          <w:rFonts w:asciiTheme="minorHAnsi" w:hAnsiTheme="minorHAnsi" w:cs="Calibri"/>
          <w:i/>
          <w:lang w:val="es-CO"/>
        </w:rPr>
        <w:t xml:space="preserve">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052412">
        <w:rPr>
          <w:rFonts w:asciiTheme="minorHAnsi" w:hAnsiTheme="minorHAnsi" w:cs="Calibri"/>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052412">
          <w:rPr>
            <w:rFonts w:asciiTheme="minorHAnsi" w:hAnsiTheme="minorHAnsi" w:cs="Calibri"/>
            <w:lang w:val="es-CO"/>
          </w:rPr>
          <w:t>la Corte Constitucional</w:t>
        </w:r>
      </w:smartTag>
      <w:r w:rsidRPr="00052412">
        <w:rPr>
          <w:rFonts w:asciiTheme="minorHAnsi" w:hAnsiTheme="minorHAnsi" w:cs="Calibri"/>
          <w:lang w:val="es-CO"/>
        </w:rPr>
        <w:t xml:space="preserve"> en el sentido en que debe ser una sentencia anterior que trata de hechos cuestiones y elemento muy similares al caso que se pretende resolver.</w:t>
      </w:r>
    </w:p>
  </w:footnote>
  <w:footnote w:id="10">
    <w:p w:rsidR="00C61F9A" w:rsidRPr="005A7A13" w:rsidRDefault="00C61F9A">
      <w:pPr>
        <w:pStyle w:val="Notedebasdepage"/>
        <w:rPr>
          <w:rFonts w:ascii="Calibri" w:hAnsi="Calibri"/>
          <w:lang w:val="es-CO"/>
        </w:rPr>
      </w:pPr>
      <w:r w:rsidRPr="005A7A13">
        <w:rPr>
          <w:rStyle w:val="Appelnotedebasdep"/>
          <w:rFonts w:ascii="Calibri" w:hAnsi="Calibri"/>
        </w:rPr>
        <w:footnoteRef/>
      </w:r>
      <w:r w:rsidRPr="005A7A13">
        <w:rPr>
          <w:rFonts w:ascii="Calibri" w:hAnsi="Calibri"/>
        </w:rPr>
        <w:t xml:space="preserve"> </w:t>
      </w:r>
      <w:r w:rsidRPr="005A7A13">
        <w:rPr>
          <w:rFonts w:ascii="Calibri" w:hAnsi="Calibri"/>
          <w:lang w:val="es-CO"/>
        </w:rPr>
        <w:t>CC. T-737 de 2015.</w:t>
      </w:r>
    </w:p>
  </w:footnote>
  <w:footnote w:id="11">
    <w:p w:rsidR="00C61F9A" w:rsidRPr="00052412" w:rsidRDefault="00C61F9A" w:rsidP="001A18C9">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CO"/>
        </w:rPr>
        <w:t>LÓPEZ M</w:t>
      </w:r>
      <w:r>
        <w:rPr>
          <w:rFonts w:asciiTheme="minorHAnsi" w:hAnsiTheme="minorHAnsi" w:cs="Calibri"/>
          <w:lang w:val="es-CO"/>
        </w:rPr>
        <w:t>.</w:t>
      </w:r>
      <w:r w:rsidRPr="00052412">
        <w:rPr>
          <w:rFonts w:asciiTheme="minorHAnsi" w:hAnsiTheme="minorHAnsi" w:cs="Calibri"/>
          <w:lang w:val="es-CO"/>
        </w:rPr>
        <w:t>, Diego E</w:t>
      </w:r>
      <w:r>
        <w:rPr>
          <w:rFonts w:asciiTheme="minorHAnsi" w:hAnsiTheme="minorHAnsi" w:cs="Calibri"/>
          <w:lang w:val="es-CO"/>
        </w:rPr>
        <w:t>.</w:t>
      </w:r>
      <w:r w:rsidRPr="00052412">
        <w:rPr>
          <w:rFonts w:asciiTheme="minorHAnsi" w:hAnsiTheme="minorHAnsi" w:cs="Calibri"/>
          <w:lang w:val="es-CO"/>
        </w:rPr>
        <w:t xml:space="preserve"> El derecho de los jueces, 8ª reimpresión de la 2ª edición, Bogotá DC, editorial </w:t>
      </w:r>
      <w:proofErr w:type="spellStart"/>
      <w:r w:rsidRPr="00052412">
        <w:rPr>
          <w:rFonts w:asciiTheme="minorHAnsi" w:hAnsiTheme="minorHAnsi" w:cs="Calibri"/>
          <w:lang w:val="es-CO"/>
        </w:rPr>
        <w:t>Legis</w:t>
      </w:r>
      <w:proofErr w:type="spellEnd"/>
      <w:r w:rsidRPr="00052412">
        <w:rPr>
          <w:rFonts w:asciiTheme="minorHAnsi" w:hAnsiTheme="minorHAnsi" w:cs="Calibri"/>
          <w:lang w:val="es-CO"/>
        </w:rPr>
        <w:t xml:space="preserve"> y Universidad de Los Andes, 2009, p.83.</w:t>
      </w:r>
    </w:p>
  </w:footnote>
  <w:footnote w:id="12">
    <w:p w:rsidR="00C61F9A" w:rsidRPr="00BD34F2" w:rsidRDefault="00C61F9A" w:rsidP="001A18C9">
      <w:pPr>
        <w:pStyle w:val="Notedebasdepage"/>
        <w:jc w:val="both"/>
        <w:rPr>
          <w:rFonts w:asciiTheme="minorHAnsi" w:hAnsiTheme="minorHAnsi"/>
          <w:lang w:val="fr-FR"/>
        </w:rPr>
      </w:pPr>
      <w:r w:rsidRPr="00052412">
        <w:rPr>
          <w:rFonts w:asciiTheme="minorHAnsi" w:hAnsiTheme="minorHAnsi" w:cs="Calibri"/>
          <w:vertAlign w:val="superscript"/>
        </w:rPr>
        <w:footnoteRef/>
      </w:r>
      <w:r w:rsidRPr="00BD34F2">
        <w:rPr>
          <w:rFonts w:asciiTheme="minorHAnsi" w:hAnsiTheme="minorHAnsi" w:cs="Calibri"/>
          <w:lang w:val="fr-FR"/>
        </w:rPr>
        <w:t xml:space="preserve"> CC. T-084 de 2017, T-038 de 2016, T-737 de 2015, T-794 de 2011, T-082 de 2011, T-209 de 2011, entre </w:t>
      </w:r>
      <w:proofErr w:type="spellStart"/>
      <w:r w:rsidRPr="00BD34F2">
        <w:rPr>
          <w:rFonts w:asciiTheme="minorHAnsi" w:hAnsiTheme="minorHAnsi" w:cs="Calibri"/>
          <w:lang w:val="fr-FR"/>
        </w:rPr>
        <w:t>otras</w:t>
      </w:r>
      <w:proofErr w:type="spellEnd"/>
      <w:r w:rsidRPr="00BD34F2">
        <w:rPr>
          <w:rFonts w:asciiTheme="minorHAnsi" w:hAnsiTheme="minorHAnsi" w:cs="Calibri"/>
          <w:lang w:val="fr-FR"/>
        </w:rPr>
        <w:t>.</w:t>
      </w:r>
    </w:p>
  </w:footnote>
  <w:footnote w:id="13">
    <w:p w:rsidR="00C61F9A" w:rsidRPr="00BD34F2" w:rsidRDefault="00C61F9A" w:rsidP="001A18C9">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BD34F2">
        <w:rPr>
          <w:rFonts w:asciiTheme="minorHAnsi" w:hAnsiTheme="minorHAnsi" w:cs="Calibri"/>
          <w:lang w:val="fr-FR"/>
        </w:rPr>
        <w:t xml:space="preserve"> CC. T-831 de 2012, </w:t>
      </w:r>
      <w:proofErr w:type="spellStart"/>
      <w:r w:rsidRPr="00BD34F2">
        <w:rPr>
          <w:rFonts w:asciiTheme="minorHAnsi" w:hAnsiTheme="minorHAnsi" w:cs="Calibri"/>
          <w:lang w:val="fr-FR"/>
        </w:rPr>
        <w:t>ob</w:t>
      </w:r>
      <w:proofErr w:type="spellEnd"/>
      <w:r w:rsidRPr="00BD34F2">
        <w:rPr>
          <w:rFonts w:asciiTheme="minorHAnsi" w:hAnsiTheme="minorHAnsi" w:cs="Calibri"/>
          <w:lang w:val="fr-FR"/>
        </w:rPr>
        <w:t xml:space="preserve">. </w:t>
      </w:r>
      <w:proofErr w:type="spellStart"/>
      <w:proofErr w:type="gramStart"/>
      <w:r w:rsidRPr="00BD34F2">
        <w:rPr>
          <w:rFonts w:asciiTheme="minorHAnsi" w:hAnsiTheme="minorHAnsi" w:cs="Calibri"/>
          <w:lang w:val="fr-FR"/>
        </w:rPr>
        <w:t>cit</w:t>
      </w:r>
      <w:proofErr w:type="spellEnd"/>
      <w:proofErr w:type="gramEnd"/>
      <w:r w:rsidRPr="00BD34F2">
        <w:rPr>
          <w:rFonts w:asciiTheme="minorHAnsi" w:hAnsiTheme="minorHAnsi" w:cs="Calibri"/>
          <w:lang w:val="fr-FR"/>
        </w:rPr>
        <w:t>.</w:t>
      </w:r>
    </w:p>
  </w:footnote>
  <w:footnote w:id="14">
    <w:p w:rsidR="00C61F9A" w:rsidRPr="00BD34F2" w:rsidRDefault="00C61F9A" w:rsidP="001A18C9">
      <w:pPr>
        <w:pStyle w:val="Notedebasdepage"/>
        <w:jc w:val="both"/>
        <w:rPr>
          <w:rFonts w:asciiTheme="minorHAnsi" w:hAnsiTheme="minorHAnsi"/>
          <w:lang w:val="fr-FR"/>
        </w:rPr>
      </w:pPr>
      <w:r w:rsidRPr="00052412">
        <w:rPr>
          <w:rFonts w:asciiTheme="minorHAnsi" w:hAnsiTheme="minorHAnsi" w:cs="Calibri"/>
          <w:vertAlign w:val="superscript"/>
        </w:rPr>
        <w:footnoteRef/>
      </w:r>
      <w:r w:rsidRPr="00BD34F2">
        <w:rPr>
          <w:rFonts w:asciiTheme="minorHAnsi" w:hAnsiTheme="minorHAnsi" w:cs="Calibri"/>
          <w:lang w:val="fr-FR"/>
        </w:rPr>
        <w:t xml:space="preserve"> CC. T-123 de 1995, T-766 de 2008 y T-794 de 2011. </w:t>
      </w:r>
    </w:p>
  </w:footnote>
  <w:footnote w:id="15">
    <w:p w:rsidR="00C61F9A" w:rsidRPr="00BD34F2" w:rsidRDefault="00C61F9A" w:rsidP="001A18C9">
      <w:pPr>
        <w:pStyle w:val="Notedebasdepage"/>
        <w:jc w:val="both"/>
        <w:rPr>
          <w:rFonts w:ascii="Calibri" w:hAnsi="Calibri"/>
          <w:lang w:val="fr-FR"/>
        </w:rPr>
      </w:pPr>
      <w:r w:rsidRPr="009B2AEA">
        <w:rPr>
          <w:rFonts w:ascii="Calibri" w:hAnsi="Calibri" w:cs="Calibri"/>
          <w:vertAlign w:val="superscript"/>
        </w:rPr>
        <w:footnoteRef/>
      </w:r>
      <w:r w:rsidRPr="00BD34F2">
        <w:rPr>
          <w:rFonts w:ascii="Calibri" w:hAnsi="Calibri" w:cs="Calibri"/>
          <w:lang w:val="fr-FR"/>
        </w:rPr>
        <w:t xml:space="preserve"> CC. T-211 de 2008, T-161 de 2010 y T-082 de 2011.</w:t>
      </w:r>
    </w:p>
  </w:footnote>
  <w:footnote w:id="16">
    <w:p w:rsidR="00C61F9A" w:rsidRPr="00BD34F2" w:rsidRDefault="00C61F9A" w:rsidP="001A18C9">
      <w:pPr>
        <w:pStyle w:val="Notedebasdepage"/>
        <w:jc w:val="both"/>
        <w:rPr>
          <w:rFonts w:ascii="Calibri" w:hAnsi="Calibri"/>
          <w:lang w:val="fr-FR"/>
        </w:rPr>
      </w:pPr>
      <w:r w:rsidRPr="009B2AEA">
        <w:rPr>
          <w:rStyle w:val="Appelnotedebasdep"/>
          <w:rFonts w:ascii="Calibri" w:hAnsi="Calibri" w:cs="Calibri"/>
        </w:rPr>
        <w:footnoteRef/>
      </w:r>
      <w:r w:rsidRPr="00BD34F2">
        <w:rPr>
          <w:rFonts w:ascii="Calibri" w:hAnsi="Calibri" w:cs="Calibri"/>
          <w:lang w:val="fr-FR"/>
        </w:rPr>
        <w:t>CC. C-836 de 2001.</w:t>
      </w:r>
    </w:p>
  </w:footnote>
  <w:footnote w:id="17">
    <w:p w:rsidR="00C61F9A" w:rsidRPr="00BD34F2" w:rsidRDefault="00C61F9A" w:rsidP="001A18C9">
      <w:pPr>
        <w:pStyle w:val="Notedebasdepage"/>
        <w:rPr>
          <w:rFonts w:ascii="Calibri" w:hAnsi="Calibri"/>
          <w:lang w:val="fr-FR"/>
        </w:rPr>
      </w:pPr>
      <w:r w:rsidRPr="009B2AEA">
        <w:rPr>
          <w:rStyle w:val="Appelnotedebasdep"/>
          <w:rFonts w:ascii="Calibri" w:hAnsi="Calibri"/>
        </w:rPr>
        <w:footnoteRef/>
      </w:r>
      <w:r w:rsidRPr="00BD34F2">
        <w:rPr>
          <w:rFonts w:ascii="Calibri" w:hAnsi="Calibri"/>
          <w:lang w:val="fr-FR"/>
        </w:rPr>
        <w:t xml:space="preserve"> </w:t>
      </w:r>
      <w:r w:rsidRPr="00BD34F2">
        <w:rPr>
          <w:rFonts w:ascii="Calibri" w:hAnsi="Calibri" w:cs="Calibri"/>
          <w:lang w:val="fr-FR"/>
        </w:rPr>
        <w:t xml:space="preserve">CC. T-1029 </w:t>
      </w:r>
      <w:proofErr w:type="spellStart"/>
      <w:r w:rsidRPr="00BD34F2">
        <w:rPr>
          <w:rFonts w:ascii="Calibri" w:hAnsi="Calibri" w:cs="Calibri"/>
          <w:lang w:val="fr-FR"/>
        </w:rPr>
        <w:t>del</w:t>
      </w:r>
      <w:proofErr w:type="spellEnd"/>
      <w:r w:rsidRPr="00BD34F2">
        <w:rPr>
          <w:rFonts w:ascii="Calibri" w:hAnsi="Calibri" w:cs="Calibri"/>
          <w:lang w:val="fr-FR"/>
        </w:rPr>
        <w:t xml:space="preserve"> 2012.</w:t>
      </w:r>
    </w:p>
  </w:footnote>
  <w:footnote w:id="18">
    <w:p w:rsidR="00C61F9A" w:rsidRPr="009B2AEA" w:rsidRDefault="00C61F9A">
      <w:pPr>
        <w:pStyle w:val="Notedebasdepage"/>
        <w:rPr>
          <w:lang w:val="es-CO"/>
        </w:rPr>
      </w:pPr>
      <w:r w:rsidRPr="009B2AEA">
        <w:rPr>
          <w:rStyle w:val="Appelnotedebasdep"/>
          <w:rFonts w:ascii="Calibri" w:hAnsi="Calibri"/>
        </w:rPr>
        <w:footnoteRef/>
      </w:r>
      <w:r w:rsidRPr="009B2AEA">
        <w:rPr>
          <w:rFonts w:ascii="Calibri" w:hAnsi="Calibri"/>
        </w:rPr>
        <w:t xml:space="preserve"> </w:t>
      </w:r>
      <w:r w:rsidRPr="009B2AEA">
        <w:rPr>
          <w:rFonts w:ascii="Calibri" w:hAnsi="Calibri"/>
          <w:lang w:val="es-CO"/>
        </w:rPr>
        <w:t>CC. T-102 de 2014 y T-309 de 2015</w:t>
      </w:r>
      <w:r>
        <w:rPr>
          <w:rFonts w:ascii="Calibri" w:hAnsi="Calibri"/>
          <w:lang w:val="es-CO"/>
        </w:rPr>
        <w:t xml:space="preserve"> (Referida en la C-0621 de 2015)</w:t>
      </w:r>
      <w:r w:rsidRPr="009B2AEA">
        <w:rPr>
          <w:rFonts w:ascii="Calibri" w:hAnsi="Calibri"/>
          <w:lang w:val="es-CO"/>
        </w:rPr>
        <w:t>.</w:t>
      </w:r>
    </w:p>
  </w:footnote>
  <w:footnote w:id="19">
    <w:p w:rsidR="00663B5A" w:rsidRDefault="00663B5A" w:rsidP="00663B5A">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sidRPr="008C531D">
        <w:rPr>
          <w:rFonts w:ascii="Calibri" w:hAnsi="Calibri"/>
        </w:rPr>
        <w:t>T-057 de 2016</w:t>
      </w:r>
      <w:r w:rsidRPr="00623B4F">
        <w:rPr>
          <w:rFonts w:asciiTheme="minorHAnsi" w:hAnsiTheme="minorHAnsi" w:cs="Calibri"/>
          <w:lang w:val="es-CO"/>
        </w:rPr>
        <w:t>.</w:t>
      </w:r>
    </w:p>
  </w:footnote>
  <w:footnote w:id="20">
    <w:p w:rsidR="00C61F9A" w:rsidRPr="00BD34F2" w:rsidRDefault="00C61F9A" w:rsidP="001453D4">
      <w:pPr>
        <w:pStyle w:val="Notedebasdepage"/>
        <w:jc w:val="both"/>
        <w:rPr>
          <w:rFonts w:asciiTheme="minorHAnsi" w:hAnsiTheme="minorHAnsi"/>
          <w:lang w:val="fr-FR"/>
        </w:rPr>
      </w:pPr>
      <w:r w:rsidRPr="00F165B3">
        <w:rPr>
          <w:rStyle w:val="Appelnotedebasdep"/>
          <w:rFonts w:asciiTheme="minorHAnsi" w:hAnsiTheme="minorHAnsi" w:cs="Calibri"/>
        </w:rPr>
        <w:footnoteRef/>
      </w:r>
      <w:r w:rsidRPr="00F165B3">
        <w:rPr>
          <w:rFonts w:asciiTheme="minorHAnsi" w:hAnsiTheme="minorHAnsi" w:cs="Calibri"/>
        </w:rPr>
        <w:t xml:space="preserve"> ESCUELA JUDICIAL RODRIGO LARA BONILLA. </w:t>
      </w:r>
      <w:r w:rsidR="00DE121B" w:rsidRPr="00BD34F2">
        <w:rPr>
          <w:rFonts w:asciiTheme="minorHAnsi" w:hAnsiTheme="minorHAnsi" w:cs="Calibri"/>
          <w:lang w:val="fr-FR"/>
        </w:rPr>
        <w:t xml:space="preserve">Ob. </w:t>
      </w:r>
      <w:proofErr w:type="spellStart"/>
      <w:proofErr w:type="gramStart"/>
      <w:r w:rsidR="00DE121B" w:rsidRPr="00BD34F2">
        <w:rPr>
          <w:rFonts w:asciiTheme="minorHAnsi" w:hAnsiTheme="minorHAnsi" w:cs="Calibri"/>
          <w:lang w:val="fr-FR"/>
        </w:rPr>
        <w:t>cit</w:t>
      </w:r>
      <w:proofErr w:type="spellEnd"/>
      <w:r w:rsidR="00DE121B" w:rsidRPr="00BD34F2">
        <w:rPr>
          <w:rFonts w:asciiTheme="minorHAnsi" w:hAnsiTheme="minorHAnsi" w:cs="Calibri"/>
          <w:lang w:val="fr-FR"/>
        </w:rPr>
        <w:t>.</w:t>
      </w:r>
      <w:r w:rsidRPr="00BD34F2">
        <w:rPr>
          <w:rFonts w:asciiTheme="minorHAnsi" w:hAnsiTheme="minorHAnsi" w:cs="Calibri"/>
          <w:lang w:val="fr-FR"/>
        </w:rPr>
        <w:t>,</w:t>
      </w:r>
      <w:proofErr w:type="gramEnd"/>
      <w:r w:rsidRPr="00BD34F2">
        <w:rPr>
          <w:rFonts w:asciiTheme="minorHAnsi" w:hAnsiTheme="minorHAnsi" w:cs="Calibri"/>
          <w:lang w:val="fr-FR"/>
        </w:rPr>
        <w:t xml:space="preserve"> </w:t>
      </w:r>
      <w:proofErr w:type="spellStart"/>
      <w:r w:rsidRPr="00BD34F2">
        <w:rPr>
          <w:rFonts w:asciiTheme="minorHAnsi" w:hAnsiTheme="minorHAnsi" w:cs="Calibri"/>
          <w:lang w:val="fr-FR"/>
        </w:rPr>
        <w:t>p.64-65</w:t>
      </w:r>
      <w:proofErr w:type="spellEnd"/>
      <w:r w:rsidRPr="00BD34F2">
        <w:rPr>
          <w:rFonts w:asciiTheme="minorHAnsi" w:hAnsiTheme="minorHAnsi" w:cs="Calibri"/>
          <w:lang w:val="fr-FR"/>
        </w:rPr>
        <w:t xml:space="preserve">. </w:t>
      </w:r>
    </w:p>
  </w:footnote>
  <w:footnote w:id="21">
    <w:p w:rsidR="00C61F9A" w:rsidRPr="00BD34F2" w:rsidRDefault="00C61F9A" w:rsidP="001453D4">
      <w:pPr>
        <w:pStyle w:val="Notedebasdepage"/>
        <w:jc w:val="both"/>
        <w:rPr>
          <w:rFonts w:asciiTheme="minorHAnsi" w:hAnsiTheme="minorHAnsi"/>
          <w:lang w:val="fr-FR"/>
        </w:rPr>
      </w:pPr>
      <w:r w:rsidRPr="00F165B3">
        <w:rPr>
          <w:rStyle w:val="Appelnotedebasdep"/>
          <w:rFonts w:asciiTheme="minorHAnsi" w:hAnsiTheme="minorHAnsi" w:cs="Calibri"/>
        </w:rPr>
        <w:footnoteRef/>
      </w:r>
      <w:r w:rsidRPr="00BD34F2">
        <w:rPr>
          <w:rFonts w:asciiTheme="minorHAnsi" w:hAnsiTheme="minorHAnsi" w:cs="Calibri"/>
          <w:lang w:val="fr-FR"/>
        </w:rPr>
        <w:t xml:space="preserve"> CC.  T-980 de 2011.</w:t>
      </w:r>
    </w:p>
  </w:footnote>
  <w:footnote w:id="22">
    <w:p w:rsidR="00C61F9A" w:rsidRPr="00BD34F2" w:rsidRDefault="00C61F9A">
      <w:pPr>
        <w:pStyle w:val="Notedebasdepage"/>
        <w:rPr>
          <w:rFonts w:ascii="Calibri" w:hAnsi="Calibri"/>
          <w:lang w:val="fr-FR"/>
        </w:rPr>
      </w:pPr>
      <w:r w:rsidRPr="00FA4CFD">
        <w:rPr>
          <w:rStyle w:val="Appelnotedebasdep"/>
          <w:rFonts w:ascii="Calibri" w:hAnsi="Calibri"/>
        </w:rPr>
        <w:footnoteRef/>
      </w:r>
      <w:r w:rsidRPr="00BD34F2">
        <w:rPr>
          <w:rFonts w:ascii="Calibri" w:hAnsi="Calibri"/>
          <w:lang w:val="fr-FR"/>
        </w:rPr>
        <w:t xml:space="preserve"> CC. </w:t>
      </w:r>
      <w:r w:rsidRPr="00BD34F2">
        <w:rPr>
          <w:rFonts w:ascii="Calibri" w:hAnsi="Calibri" w:cs="Calibri"/>
          <w:lang w:val="fr-FR"/>
        </w:rPr>
        <w:t>SU 499 de 2016.</w:t>
      </w:r>
    </w:p>
  </w:footnote>
  <w:footnote w:id="23">
    <w:p w:rsidR="00CF34D3" w:rsidRPr="00BD34F2" w:rsidRDefault="00CF34D3" w:rsidP="00CF34D3">
      <w:pPr>
        <w:pStyle w:val="Notedebasdepage"/>
        <w:rPr>
          <w:rFonts w:ascii="Calibri" w:hAnsi="Calibri"/>
          <w:lang w:val="fr-FR"/>
        </w:rPr>
      </w:pPr>
      <w:r w:rsidRPr="00663B5A">
        <w:rPr>
          <w:rStyle w:val="Appelnotedebasdep"/>
          <w:rFonts w:ascii="Calibri" w:hAnsi="Calibri"/>
        </w:rPr>
        <w:footnoteRef/>
      </w:r>
      <w:r w:rsidRPr="00BD34F2">
        <w:rPr>
          <w:rFonts w:ascii="Calibri" w:hAnsi="Calibri"/>
          <w:lang w:val="fr-FR"/>
        </w:rPr>
        <w:t xml:space="preserve"> CC. T-501 de 2016.</w:t>
      </w:r>
    </w:p>
  </w:footnote>
  <w:footnote w:id="24">
    <w:p w:rsidR="00C61F9A" w:rsidRPr="00816B14" w:rsidRDefault="00C61F9A">
      <w:pPr>
        <w:pStyle w:val="Notedebasdepage"/>
        <w:rPr>
          <w:rFonts w:ascii="Calibri" w:hAnsi="Calibri"/>
          <w:lang w:val="es-CO"/>
        </w:rPr>
      </w:pPr>
      <w:r w:rsidRPr="00F463FD">
        <w:rPr>
          <w:rStyle w:val="Appelnotedebasdep"/>
          <w:rFonts w:ascii="Calibri" w:hAnsi="Calibri"/>
        </w:rPr>
        <w:footnoteRef/>
      </w:r>
      <w:r w:rsidRPr="00F463FD">
        <w:rPr>
          <w:rFonts w:ascii="Calibri" w:hAnsi="Calibri"/>
        </w:rPr>
        <w:t xml:space="preserve"> </w:t>
      </w:r>
      <w:r w:rsidRPr="00816B14">
        <w:rPr>
          <w:rFonts w:ascii="Calibri" w:hAnsi="Calibri"/>
          <w:lang w:val="es-CO"/>
        </w:rPr>
        <w:t>CC. T-931 de 2013, referida en la T-038 de 2016.</w:t>
      </w:r>
    </w:p>
  </w:footnote>
  <w:footnote w:id="25">
    <w:p w:rsidR="00C61F9A" w:rsidRPr="00816B14" w:rsidRDefault="00C61F9A">
      <w:pPr>
        <w:pStyle w:val="Notedebasdepage"/>
        <w:rPr>
          <w:lang w:val="es-CO"/>
        </w:rPr>
      </w:pPr>
      <w:r w:rsidRPr="00816B14">
        <w:rPr>
          <w:rStyle w:val="Appelnotedebasdep"/>
          <w:rFonts w:ascii="Calibri" w:hAnsi="Calibri"/>
        </w:rPr>
        <w:footnoteRef/>
      </w:r>
      <w:r w:rsidRPr="00816B14">
        <w:rPr>
          <w:rFonts w:ascii="Calibri" w:hAnsi="Calibri"/>
        </w:rPr>
        <w:t xml:space="preserve"> </w:t>
      </w:r>
      <w:r w:rsidRPr="00816B14">
        <w:rPr>
          <w:rFonts w:ascii="Calibri" w:hAnsi="Calibri"/>
          <w:lang w:val="es-CO"/>
        </w:rPr>
        <w:t>CC. C-836 de 2001, recordada en la T-038 de 2016.</w:t>
      </w:r>
    </w:p>
  </w:footnote>
  <w:footnote w:id="26">
    <w:p w:rsidR="00C61F9A" w:rsidRPr="008335D4" w:rsidRDefault="00C61F9A">
      <w:pPr>
        <w:pStyle w:val="Notedebasdepage"/>
        <w:rPr>
          <w:rFonts w:ascii="Calibri" w:hAnsi="Calibri"/>
          <w:lang w:val="es-CO"/>
        </w:rPr>
      </w:pPr>
      <w:r w:rsidRPr="008335D4">
        <w:rPr>
          <w:rStyle w:val="Appelnotedebasdep"/>
          <w:rFonts w:ascii="Calibri" w:hAnsi="Calibri"/>
        </w:rPr>
        <w:footnoteRef/>
      </w:r>
      <w:r w:rsidRPr="008335D4">
        <w:rPr>
          <w:rFonts w:ascii="Calibri" w:hAnsi="Calibri"/>
        </w:rPr>
        <w:t xml:space="preserve"> </w:t>
      </w:r>
      <w:r w:rsidRPr="008335D4">
        <w:rPr>
          <w:rFonts w:ascii="Calibri" w:hAnsi="Calibri"/>
          <w:lang w:val="es-CO"/>
        </w:rPr>
        <w:t xml:space="preserve">QUINCHE R., Manuel F. El precedente judicial y sus reglas, Bogotá DC, </w:t>
      </w:r>
      <w:proofErr w:type="spellStart"/>
      <w:r w:rsidRPr="008335D4">
        <w:rPr>
          <w:rFonts w:ascii="Calibri" w:hAnsi="Calibri"/>
          <w:lang w:val="es-CO"/>
        </w:rPr>
        <w:t>Legis</w:t>
      </w:r>
      <w:proofErr w:type="spellEnd"/>
      <w:r w:rsidRPr="008335D4">
        <w:rPr>
          <w:rFonts w:ascii="Calibri" w:hAnsi="Calibri"/>
          <w:lang w:val="es-CO"/>
        </w:rPr>
        <w:t xml:space="preserve"> y Universidad del Rosario, 2014, p.18. </w:t>
      </w:r>
      <w:r w:rsidRPr="008335D4">
        <w:rPr>
          <w:rFonts w:ascii="Calibri" w:hAnsi="Calibri"/>
          <w:i/>
          <w:lang w:val="es-CO"/>
        </w:rPr>
        <w:t>“(…) Son decisiones y reglas dispuestas por otros órganos y autoridades judiciales distintas a los órganos de cierre, que son criterio auxiliar de interpretación (…)”</w:t>
      </w:r>
    </w:p>
  </w:footnote>
  <w:footnote w:id="27">
    <w:p w:rsidR="00E619EE" w:rsidRPr="00E619EE" w:rsidRDefault="00E619EE">
      <w:pPr>
        <w:pStyle w:val="Notedebasdepage"/>
        <w:rPr>
          <w:rFonts w:ascii="Calibri" w:hAnsi="Calibri"/>
          <w:lang w:val="es-CO"/>
        </w:rPr>
      </w:pPr>
      <w:r w:rsidRPr="00E619EE">
        <w:rPr>
          <w:rStyle w:val="Appelnotedebasdep"/>
          <w:rFonts w:ascii="Calibri" w:hAnsi="Calibri"/>
        </w:rPr>
        <w:footnoteRef/>
      </w:r>
      <w:r w:rsidRPr="00E619EE">
        <w:rPr>
          <w:rFonts w:ascii="Calibri" w:hAnsi="Calibri"/>
        </w:rPr>
        <w:t xml:space="preserve"> TSP, Sala Civil-Familia. Sentencia 091 de 24-02-2017; MP. </w:t>
      </w:r>
      <w:proofErr w:type="spellStart"/>
      <w:r w:rsidRPr="00E619EE">
        <w:rPr>
          <w:rFonts w:ascii="Calibri" w:hAnsi="Calibri"/>
        </w:rPr>
        <w:t>Duberney</w:t>
      </w:r>
      <w:proofErr w:type="spellEnd"/>
      <w:r w:rsidRPr="00E619EE">
        <w:rPr>
          <w:rFonts w:ascii="Calibri" w:hAnsi="Calibri"/>
        </w:rPr>
        <w:t xml:space="preserve"> Grisales H., exp.2011-00163-01.</w:t>
      </w:r>
    </w:p>
  </w:footnote>
  <w:footnote w:id="28">
    <w:p w:rsidR="00C61F9A" w:rsidRPr="0070383B" w:rsidRDefault="00C61F9A" w:rsidP="00C61F9A">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r w:rsidRPr="0070383B">
        <w:rPr>
          <w:rFonts w:asciiTheme="minorHAnsi" w:hAnsiTheme="minorHAnsi" w:cs="Calibri"/>
        </w:rPr>
        <w:t>INSTITUTO COLOMBIANO DE RESPONSABILIDAD CIVIL Y DEL ESTADO</w:t>
      </w:r>
      <w:r w:rsidRPr="0070383B">
        <w:rPr>
          <w:rFonts w:asciiTheme="minorHAnsi" w:hAnsiTheme="minorHAnsi" w:cs="Calibri"/>
          <w:lang w:val="es-CO"/>
        </w:rPr>
        <w:t>, Gustavo Bedoya P. La acción de tutela como mecanismo idóneo para ordenar el pago del seguro de vida y la consecuente desnaturalización del concepto de reticencia. Análisis crítico de la jurisprudencia de la Corte Constitucional, Revista No.38, 2016, p.163.</w:t>
      </w:r>
    </w:p>
  </w:footnote>
  <w:footnote w:id="29">
    <w:p w:rsidR="00C61F9A" w:rsidRPr="0070383B" w:rsidRDefault="00C61F9A" w:rsidP="00C61F9A">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r w:rsidRPr="0070383B">
        <w:rPr>
          <w:rFonts w:asciiTheme="minorHAnsi" w:hAnsiTheme="minorHAnsi"/>
          <w:lang w:val="es-CO"/>
        </w:rPr>
        <w:t>Sentencia C-232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9A" w:rsidRPr="006414F7" w:rsidRDefault="00C61F9A">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D34F2">
      <w:rPr>
        <w:rFonts w:ascii="Calibri" w:hAnsi="Calibri" w:cs="Calibri"/>
        <w:i/>
        <w:noProof/>
        <w:sz w:val="20"/>
      </w:rPr>
      <w:t>10</w:t>
    </w:r>
    <w:r w:rsidRPr="006414F7">
      <w:rPr>
        <w:rFonts w:ascii="Calibri" w:hAnsi="Calibri" w:cs="Calibri"/>
        <w:i/>
        <w:sz w:val="20"/>
      </w:rPr>
      <w:fldChar w:fldCharType="end"/>
    </w:r>
  </w:p>
  <w:p w:rsidR="00C61F9A" w:rsidRPr="006414F7" w:rsidRDefault="00C61F9A"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w:t>
    </w:r>
    <w:r w:rsidRPr="006414F7">
      <w:rPr>
        <w:rFonts w:ascii="Calibri" w:hAnsi="Calibri" w:cs="Calibri"/>
        <w:i/>
        <w:sz w:val="20"/>
        <w:szCs w:val="22"/>
      </w:rPr>
      <w:t>-</w:t>
    </w:r>
    <w:r>
      <w:rPr>
        <w:rFonts w:ascii="Calibri" w:hAnsi="Calibri" w:cs="Calibri"/>
        <w:i/>
        <w:sz w:val="20"/>
        <w:szCs w:val="22"/>
      </w:rPr>
      <w:t>00365</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1"/>
  </w:num>
  <w:num w:numId="3">
    <w:abstractNumId w:val="20"/>
  </w:num>
  <w:num w:numId="4">
    <w:abstractNumId w:val="8"/>
  </w:num>
  <w:num w:numId="5">
    <w:abstractNumId w:val="37"/>
  </w:num>
  <w:num w:numId="6">
    <w:abstractNumId w:val="3"/>
  </w:num>
  <w:num w:numId="7">
    <w:abstractNumId w:val="27"/>
  </w:num>
  <w:num w:numId="8">
    <w:abstractNumId w:val="5"/>
  </w:num>
  <w:num w:numId="9">
    <w:abstractNumId w:val="38"/>
  </w:num>
  <w:num w:numId="10">
    <w:abstractNumId w:val="28"/>
  </w:num>
  <w:num w:numId="11">
    <w:abstractNumId w:val="25"/>
  </w:num>
  <w:num w:numId="12">
    <w:abstractNumId w:val="32"/>
  </w:num>
  <w:num w:numId="13">
    <w:abstractNumId w:val="16"/>
  </w:num>
  <w:num w:numId="14">
    <w:abstractNumId w:val="18"/>
  </w:num>
  <w:num w:numId="15">
    <w:abstractNumId w:val="23"/>
  </w:num>
  <w:num w:numId="16">
    <w:abstractNumId w:val="10"/>
  </w:num>
  <w:num w:numId="17">
    <w:abstractNumId w:val="24"/>
  </w:num>
  <w:num w:numId="18">
    <w:abstractNumId w:val="13"/>
  </w:num>
  <w:num w:numId="19">
    <w:abstractNumId w:val="11"/>
  </w:num>
  <w:num w:numId="20">
    <w:abstractNumId w:val="4"/>
  </w:num>
  <w:num w:numId="21">
    <w:abstractNumId w:val="42"/>
  </w:num>
  <w:num w:numId="22">
    <w:abstractNumId w:val="35"/>
  </w:num>
  <w:num w:numId="23">
    <w:abstractNumId w:val="33"/>
  </w:num>
  <w:num w:numId="24">
    <w:abstractNumId w:val="9"/>
  </w:num>
  <w:num w:numId="25">
    <w:abstractNumId w:val="31"/>
  </w:num>
  <w:num w:numId="26">
    <w:abstractNumId w:val="19"/>
  </w:num>
  <w:num w:numId="27">
    <w:abstractNumId w:val="22"/>
  </w:num>
  <w:num w:numId="28">
    <w:abstractNumId w:val="26"/>
  </w:num>
  <w:num w:numId="29">
    <w:abstractNumId w:val="6"/>
  </w:num>
  <w:num w:numId="30">
    <w:abstractNumId w:val="17"/>
  </w:num>
  <w:num w:numId="31">
    <w:abstractNumId w:val="1"/>
  </w:num>
  <w:num w:numId="32">
    <w:abstractNumId w:val="40"/>
  </w:num>
  <w:num w:numId="33">
    <w:abstractNumId w:val="7"/>
  </w:num>
  <w:num w:numId="34">
    <w:abstractNumId w:val="15"/>
  </w:num>
  <w:num w:numId="35">
    <w:abstractNumId w:val="36"/>
  </w:num>
  <w:num w:numId="36">
    <w:abstractNumId w:val="39"/>
  </w:num>
  <w:num w:numId="37">
    <w:abstractNumId w:val="30"/>
  </w:num>
  <w:num w:numId="38">
    <w:abstractNumId w:val="29"/>
  </w:num>
  <w:num w:numId="39">
    <w:abstractNumId w:val="34"/>
  </w:num>
  <w:num w:numId="40">
    <w:abstractNumId w:val="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726"/>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2D6"/>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0AAD"/>
    <w:rsid w:val="000C134E"/>
    <w:rsid w:val="000C151C"/>
    <w:rsid w:val="000C185C"/>
    <w:rsid w:val="000C1994"/>
    <w:rsid w:val="000C19BF"/>
    <w:rsid w:val="000C21AE"/>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5CE"/>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3C79"/>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6B"/>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4CB"/>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266"/>
    <w:rsid w:val="00332750"/>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6AB"/>
    <w:rsid w:val="003C5876"/>
    <w:rsid w:val="003C61F1"/>
    <w:rsid w:val="003C620B"/>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956"/>
    <w:rsid w:val="003D5FC6"/>
    <w:rsid w:val="003D6337"/>
    <w:rsid w:val="003D65B3"/>
    <w:rsid w:val="003D6763"/>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DF9"/>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3EF"/>
    <w:rsid w:val="004F1603"/>
    <w:rsid w:val="004F1AB9"/>
    <w:rsid w:val="004F1CFF"/>
    <w:rsid w:val="004F2D5C"/>
    <w:rsid w:val="004F34AC"/>
    <w:rsid w:val="004F3596"/>
    <w:rsid w:val="004F3618"/>
    <w:rsid w:val="004F39BD"/>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27B4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A7A13"/>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D3E"/>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B5A"/>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BA9"/>
    <w:rsid w:val="006C2BB6"/>
    <w:rsid w:val="006C2CDF"/>
    <w:rsid w:val="006C3C38"/>
    <w:rsid w:val="006C45C5"/>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5FF"/>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978"/>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B07"/>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401"/>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5130"/>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AB1"/>
    <w:rsid w:val="007E1CD0"/>
    <w:rsid w:val="007E1F07"/>
    <w:rsid w:val="007E247C"/>
    <w:rsid w:val="007E25A8"/>
    <w:rsid w:val="007E2877"/>
    <w:rsid w:val="007E293D"/>
    <w:rsid w:val="007E2B6E"/>
    <w:rsid w:val="007E2E20"/>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6B14"/>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D4"/>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22E"/>
    <w:rsid w:val="00840E09"/>
    <w:rsid w:val="00840E35"/>
    <w:rsid w:val="0084128F"/>
    <w:rsid w:val="00841BFC"/>
    <w:rsid w:val="00841F94"/>
    <w:rsid w:val="008420D6"/>
    <w:rsid w:val="00842D42"/>
    <w:rsid w:val="008431FE"/>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3EBB"/>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2BE"/>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8CE"/>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AEA"/>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54F"/>
    <w:rsid w:val="009C28F2"/>
    <w:rsid w:val="009C2DCA"/>
    <w:rsid w:val="009C2E56"/>
    <w:rsid w:val="009C39AD"/>
    <w:rsid w:val="009C3B9F"/>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E43"/>
    <w:rsid w:val="00A01FCB"/>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548"/>
    <w:rsid w:val="00B80992"/>
    <w:rsid w:val="00B81C26"/>
    <w:rsid w:val="00B81D32"/>
    <w:rsid w:val="00B82AA8"/>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532"/>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4F2"/>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4684"/>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1F9A"/>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FDE"/>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424"/>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725"/>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4D3"/>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21B"/>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19EE"/>
    <w:rsid w:val="00E62DE3"/>
    <w:rsid w:val="00E62F1F"/>
    <w:rsid w:val="00E64683"/>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6A61"/>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18C"/>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3FD"/>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4CFD"/>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CD53-1843-4E9B-B79D-99D27B9D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3179</Words>
  <Characters>17489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17</cp:revision>
  <cp:lastPrinted>2017-05-02T12:02:00Z</cp:lastPrinted>
  <dcterms:created xsi:type="dcterms:W3CDTF">2017-04-27T11:44:00Z</dcterms:created>
  <dcterms:modified xsi:type="dcterms:W3CDTF">2017-06-21T04:39:00Z</dcterms:modified>
</cp:coreProperties>
</file>