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78" w:rsidRPr="006E4540" w:rsidRDefault="00092278" w:rsidP="0009227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94295" w:rsidRDefault="003C4A4A"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7728" behindDoc="0" locked="0" layoutInCell="1" allowOverlap="1">
            <wp:simplePos x="0" y="0"/>
            <wp:positionH relativeFrom="column">
              <wp:posOffset>2777490</wp:posOffset>
            </wp:positionH>
            <wp:positionV relativeFrom="paragraph">
              <wp:posOffset>177165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ansinterligne"/>
        <w:spacing w:line="360" w:lineRule="auto"/>
        <w:rPr>
          <w:rFonts w:ascii="Arial" w:hAnsi="Arial" w:cs="Arial"/>
          <w:w w:val="140"/>
          <w:sz w:val="14"/>
        </w:rPr>
      </w:pPr>
    </w:p>
    <w:p w:rsidR="00D37757" w:rsidRDefault="00D37757" w:rsidP="00417661">
      <w:pPr>
        <w:pStyle w:val="Sansinterligne"/>
        <w:spacing w:line="360" w:lineRule="auto"/>
        <w:ind w:left="708" w:firstLine="708"/>
        <w:jc w:val="center"/>
        <w:rPr>
          <w:rFonts w:ascii="Arial" w:hAnsi="Arial" w:cs="Arial"/>
          <w:w w:val="140"/>
          <w:sz w:val="14"/>
        </w:rPr>
      </w:pPr>
    </w:p>
    <w:p w:rsidR="00092278" w:rsidRDefault="00092278" w:rsidP="00D37757">
      <w:pPr>
        <w:pStyle w:val="Sansinterligne"/>
        <w:spacing w:line="360" w:lineRule="auto"/>
        <w:jc w:val="center"/>
        <w:rPr>
          <w:rFonts w:ascii="Arial" w:hAnsi="Arial" w:cs="Arial"/>
          <w:w w:val="140"/>
          <w:sz w:val="14"/>
        </w:rPr>
      </w:pPr>
    </w:p>
    <w:p w:rsidR="00692159" w:rsidRPr="007860C0" w:rsidRDefault="00692159"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D6661" w:rsidRPr="003D195F" w:rsidRDefault="004D6661" w:rsidP="004D6661">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F92D90" w:rsidRDefault="006F562A" w:rsidP="00F839CE">
      <w:pPr>
        <w:spacing w:line="360" w:lineRule="auto"/>
        <w:jc w:val="center"/>
        <w:rPr>
          <w:rFonts w:ascii="Arial" w:hAnsi="Arial" w:cs="Arial"/>
          <w:b/>
          <w:bCs/>
          <w:sz w:val="22"/>
          <w:szCs w:val="26"/>
        </w:rPr>
      </w:pPr>
    </w:p>
    <w:p w:rsidR="006F562A" w:rsidRDefault="00EC7665" w:rsidP="00F839CE">
      <w:pPr>
        <w:pStyle w:val="Corpsdetex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092278">
        <w:rPr>
          <w:rFonts w:ascii="Arial" w:hAnsi="Arial"/>
          <w:sz w:val="22"/>
          <w:szCs w:val="22"/>
        </w:rPr>
        <w:t>Providencia</w:t>
      </w:r>
      <w:r w:rsidR="006F562A" w:rsidRPr="00F86DCE">
        <w:rPr>
          <w:rFonts w:ascii="Arial" w:hAnsi="Arial"/>
          <w:sz w:val="22"/>
          <w:szCs w:val="22"/>
        </w:rPr>
        <w:tab/>
      </w:r>
      <w:r w:rsidR="006F562A" w:rsidRPr="00F86DCE">
        <w:rPr>
          <w:rFonts w:ascii="Arial" w:hAnsi="Arial"/>
          <w:sz w:val="22"/>
          <w:szCs w:val="22"/>
        </w:rPr>
        <w:tab/>
        <w:t>: Sentencia</w:t>
      </w:r>
      <w:r w:rsidR="00092278">
        <w:rPr>
          <w:rFonts w:ascii="Arial" w:hAnsi="Arial"/>
          <w:sz w:val="22"/>
          <w:szCs w:val="22"/>
        </w:rPr>
        <w:t xml:space="preserve"> – 2ª instancia – 20 de abril de 2017</w:t>
      </w:r>
    </w:p>
    <w:p w:rsidR="00092278" w:rsidRPr="00F86DCE" w:rsidRDefault="00092278"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Revoca y niega el amparo solicitado</w:t>
      </w:r>
    </w:p>
    <w:p w:rsidR="0024572A" w:rsidRDefault="006F562A" w:rsidP="00F839CE">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E1227F">
        <w:rPr>
          <w:rFonts w:ascii="Arial" w:hAnsi="Arial"/>
          <w:sz w:val="22"/>
          <w:szCs w:val="22"/>
        </w:rPr>
        <w:t>Viviana Solarte Burbano</w:t>
      </w:r>
    </w:p>
    <w:p w:rsidR="00852D40" w:rsidRDefault="0024572A" w:rsidP="00571DF2">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835496">
        <w:rPr>
          <w:rFonts w:ascii="Arial" w:hAnsi="Arial"/>
          <w:sz w:val="22"/>
          <w:szCs w:val="22"/>
        </w:rPr>
        <w:t>Accionad</w:t>
      </w:r>
      <w:r w:rsidR="004D6661">
        <w:rPr>
          <w:rFonts w:ascii="Arial" w:hAnsi="Arial"/>
          <w:sz w:val="22"/>
          <w:szCs w:val="22"/>
        </w:rPr>
        <w:t>os</w:t>
      </w:r>
      <w:r w:rsidR="00835496">
        <w:rPr>
          <w:rFonts w:ascii="Arial" w:hAnsi="Arial"/>
          <w:sz w:val="22"/>
          <w:szCs w:val="22"/>
        </w:rPr>
        <w:t xml:space="preserve"> </w:t>
      </w:r>
      <w:r w:rsidR="006B6D9B">
        <w:rPr>
          <w:rFonts w:ascii="Arial" w:hAnsi="Arial"/>
          <w:sz w:val="22"/>
          <w:szCs w:val="22"/>
        </w:rPr>
        <w:t xml:space="preserve"> </w:t>
      </w:r>
      <w:r w:rsidR="006B6D9B">
        <w:rPr>
          <w:rFonts w:ascii="Arial" w:hAnsi="Arial"/>
          <w:sz w:val="22"/>
          <w:szCs w:val="22"/>
        </w:rPr>
        <w:tab/>
      </w:r>
      <w:r w:rsidR="006B6D9B">
        <w:rPr>
          <w:rFonts w:ascii="Arial" w:hAnsi="Arial"/>
          <w:sz w:val="22"/>
          <w:szCs w:val="22"/>
        </w:rPr>
        <w:tab/>
        <w:t xml:space="preserve">: </w:t>
      </w:r>
      <w:r w:rsidR="00E1227F">
        <w:rPr>
          <w:rFonts w:ascii="Arial" w:hAnsi="Arial"/>
          <w:sz w:val="22"/>
          <w:szCs w:val="22"/>
        </w:rPr>
        <w:t>Centro de Empleos Temporales de Colombia y otra</w:t>
      </w:r>
    </w:p>
    <w:p w:rsidR="00571DF2" w:rsidRDefault="00571DF2" w:rsidP="00571DF2">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 xml:space="preserve">Litisconsorte </w:t>
      </w:r>
      <w:r>
        <w:rPr>
          <w:rFonts w:ascii="Arial" w:hAnsi="Arial"/>
          <w:sz w:val="22"/>
          <w:szCs w:val="22"/>
        </w:rPr>
        <w:tab/>
      </w:r>
      <w:r>
        <w:rPr>
          <w:rFonts w:ascii="Arial" w:hAnsi="Arial"/>
          <w:sz w:val="22"/>
          <w:szCs w:val="22"/>
        </w:rPr>
        <w:tab/>
        <w:t xml:space="preserve">: </w:t>
      </w:r>
      <w:r w:rsidR="00E1227F">
        <w:rPr>
          <w:rFonts w:ascii="Arial" w:hAnsi="Arial"/>
          <w:sz w:val="22"/>
          <w:szCs w:val="22"/>
        </w:rPr>
        <w:t>Coomeva EPS y otro</w:t>
      </w:r>
    </w:p>
    <w:p w:rsidR="006F562A" w:rsidRDefault="00E838E0" w:rsidP="00F839CE">
      <w:pPr>
        <w:pStyle w:val="Corpsdetex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571DF2">
        <w:rPr>
          <w:rFonts w:ascii="Arial" w:hAnsi="Arial"/>
          <w:sz w:val="22"/>
        </w:rPr>
        <w:t>2016-</w:t>
      </w:r>
      <w:r w:rsidR="00E1227F">
        <w:rPr>
          <w:rFonts w:ascii="Arial" w:hAnsi="Arial"/>
          <w:sz w:val="22"/>
        </w:rPr>
        <w:t>00724-02</w:t>
      </w:r>
    </w:p>
    <w:p w:rsidR="00DE25BB" w:rsidRDefault="006F562A" w:rsidP="00937A8C">
      <w:pPr>
        <w:pStyle w:val="Corpsdetex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E1227F">
        <w:rPr>
          <w:rFonts w:ascii="Arial" w:hAnsi="Arial"/>
          <w:sz w:val="22"/>
          <w:szCs w:val="22"/>
          <w:lang w:val="es-CO"/>
        </w:rPr>
        <w:t xml:space="preserve">Tercero de Familia de Pereira </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436302" w:rsidRDefault="00F755CB" w:rsidP="00436302">
      <w:pPr>
        <w:spacing w:line="360" w:lineRule="auto"/>
        <w:ind w:left="708" w:firstLine="708"/>
        <w:rPr>
          <w:rFonts w:ascii="Arial" w:hAnsi="Arial"/>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481884">
        <w:rPr>
          <w:rFonts w:ascii="Arial" w:hAnsi="Arial"/>
          <w:sz w:val="22"/>
          <w:szCs w:val="22"/>
        </w:rPr>
        <w:t>199 de 20-04-2017</w:t>
      </w:r>
    </w:p>
    <w:p w:rsidR="00092278" w:rsidRPr="00092278" w:rsidRDefault="00092278" w:rsidP="00436302">
      <w:pPr>
        <w:spacing w:line="360" w:lineRule="auto"/>
        <w:ind w:left="708" w:firstLine="708"/>
        <w:rPr>
          <w:rFonts w:ascii="Arial" w:hAnsi="Arial"/>
          <w:sz w:val="6"/>
          <w:szCs w:val="6"/>
        </w:rPr>
      </w:pPr>
    </w:p>
    <w:p w:rsidR="00092278" w:rsidRPr="00F86DCE" w:rsidRDefault="00092278" w:rsidP="00092278">
      <w:pPr>
        <w:pStyle w:val="Corpsdetexte"/>
        <w:ind w:left="1416" w:hanging="1416"/>
        <w:rPr>
          <w:rFonts w:ascii="Arial" w:hAnsi="Arial" w:cs="Arial"/>
          <w:b/>
          <w:bCs/>
          <w:sz w:val="22"/>
          <w:szCs w:val="22"/>
        </w:rPr>
      </w:pPr>
      <w:r w:rsidRPr="00F86DCE">
        <w:rPr>
          <w:rFonts w:ascii="Arial" w:hAnsi="Arial"/>
          <w:sz w:val="22"/>
          <w:szCs w:val="22"/>
        </w:rPr>
        <w:tab/>
      </w:r>
      <w:r>
        <w:rPr>
          <w:rFonts w:ascii="Arial" w:hAnsi="Arial"/>
          <w:sz w:val="22"/>
          <w:szCs w:val="22"/>
        </w:rPr>
        <w:tab/>
      </w:r>
      <w:r w:rsidRPr="00092278">
        <w:rPr>
          <w:rFonts w:ascii="Arial" w:hAnsi="Arial"/>
          <w:b/>
          <w:sz w:val="22"/>
          <w:szCs w:val="22"/>
        </w:rPr>
        <w:t>TEMAS</w:t>
      </w:r>
      <w:r w:rsidRPr="00092278">
        <w:rPr>
          <w:rFonts w:ascii="Arial" w:hAnsi="Arial"/>
          <w:b/>
          <w:sz w:val="22"/>
          <w:szCs w:val="22"/>
        </w:rPr>
        <w:tab/>
      </w:r>
      <w:r w:rsidRPr="00092278">
        <w:rPr>
          <w:rFonts w:ascii="Arial" w:hAnsi="Arial"/>
          <w:b/>
          <w:sz w:val="22"/>
          <w:szCs w:val="22"/>
        </w:rPr>
        <w:tab/>
        <w:t>: ESTABILIDAD OCUPACIONAL REFORZADA – DEBILIDAD MANIFIESTA</w:t>
      </w:r>
      <w:r>
        <w:rPr>
          <w:rFonts w:ascii="Arial" w:hAnsi="Arial"/>
          <w:b/>
          <w:sz w:val="22"/>
          <w:szCs w:val="22"/>
        </w:rPr>
        <w:t>.</w:t>
      </w:r>
      <w:r w:rsidRPr="00092278">
        <w:rPr>
          <w:rFonts w:ascii="Arial" w:hAnsi="Arial"/>
          <w:sz w:val="22"/>
          <w:szCs w:val="22"/>
        </w:rPr>
        <w:t xml:space="preserve"> “</w:t>
      </w:r>
      <w:r w:rsidRPr="00092278">
        <w:rPr>
          <w:rFonts w:ascii="Arial" w:hAnsi="Arial"/>
          <w:sz w:val="22"/>
          <w:szCs w:val="22"/>
          <w:lang w:val="es-ES"/>
        </w:rPr>
        <w:t xml:space="preserve">[A] la Sala ninguna discriminación se advierte, más bien se halla que la falta de renovación contractual fue por causa de algunas irregularidades laborales y nunca por sus condiciones de salud, de tal suerte que era innecesaria la autorización de la oficina de trabajo. Es cierto que la actora en su declaración quiso informar sobre una persecución laboral, pues su jefe directo estuvo vigilante constantemente de sus labores, pero ello es insuficiente como para considerar que haya habido una alianza orquestada por </w:t>
      </w:r>
      <w:proofErr w:type="spellStart"/>
      <w:r w:rsidRPr="00092278">
        <w:rPr>
          <w:rFonts w:ascii="Arial" w:hAnsi="Arial"/>
          <w:sz w:val="22"/>
          <w:szCs w:val="22"/>
          <w:lang w:val="es-ES"/>
        </w:rPr>
        <w:t>ETEMCO</w:t>
      </w:r>
      <w:proofErr w:type="spellEnd"/>
      <w:r w:rsidRPr="00092278">
        <w:rPr>
          <w:rFonts w:ascii="Arial" w:hAnsi="Arial"/>
          <w:sz w:val="22"/>
          <w:szCs w:val="22"/>
          <w:lang w:val="es-ES"/>
        </w:rPr>
        <w:t xml:space="preserve"> </w:t>
      </w:r>
      <w:proofErr w:type="spellStart"/>
      <w:r w:rsidRPr="00092278">
        <w:rPr>
          <w:rFonts w:ascii="Arial" w:hAnsi="Arial"/>
          <w:sz w:val="22"/>
          <w:szCs w:val="22"/>
          <w:lang w:val="es-ES"/>
        </w:rPr>
        <w:t>SAS</w:t>
      </w:r>
      <w:proofErr w:type="spellEnd"/>
      <w:r w:rsidRPr="00092278">
        <w:rPr>
          <w:rFonts w:ascii="Arial" w:hAnsi="Arial"/>
          <w:sz w:val="22"/>
          <w:szCs w:val="22"/>
          <w:lang w:val="es-ES"/>
        </w:rPr>
        <w:t xml:space="preserve"> y la ESE para justificar su despido, más allá de su afirmación es inexistente otra prueba siquiera sumaria que dé cuenta de ello. No olvida esta Corporación que padece de una enfermedad que la pone en condiciones de debilidad manifiesta, </w:t>
      </w:r>
      <w:r w:rsidRPr="00092278">
        <w:rPr>
          <w:rFonts w:ascii="Arial" w:hAnsi="Arial"/>
          <w:sz w:val="22"/>
          <w:szCs w:val="22"/>
          <w:u w:val="single"/>
          <w:lang w:val="es-ES"/>
        </w:rPr>
        <w:t>pero esa sola circunstancia es insuficiente para la prosperidad tutelar</w:t>
      </w:r>
      <w:r w:rsidRPr="00092278">
        <w:rPr>
          <w:rFonts w:ascii="Arial" w:hAnsi="Arial"/>
          <w:sz w:val="22"/>
          <w:szCs w:val="22"/>
          <w:lang w:val="es-ES"/>
        </w:rPr>
        <w:t>; es necesario acreditar que estuviera incapacitada (No calificada) para la época de su despido o la dificultad para laborar por esa circunstancia, además, que la decisión del empleador fuera por causa de sus padecimientos. En este orden de ideas, esta Superioridad no encuentra constatada la vulneración del derecho fundamental a la estabilidad ocupacional reforzada de la accionante, y por ende, revocará la decisión venida en impugnación, tal cual se anunció al inicio de estos considerandos.”.</w:t>
      </w:r>
    </w:p>
    <w:p w:rsidR="006F562A" w:rsidRDefault="006F562A" w:rsidP="00F839CE">
      <w:pPr>
        <w:pBdr>
          <w:bottom w:val="double" w:sz="6" w:space="1" w:color="auto"/>
        </w:pBdr>
        <w:spacing w:line="360" w:lineRule="auto"/>
        <w:jc w:val="center"/>
        <w:rPr>
          <w:rFonts w:ascii="Arial" w:hAnsi="Arial" w:cs="Arial"/>
          <w:b/>
          <w:bCs/>
          <w:sz w:val="22"/>
          <w:szCs w:val="22"/>
        </w:rPr>
      </w:pPr>
    </w:p>
    <w:p w:rsidR="00D44CED" w:rsidRDefault="00D44CED" w:rsidP="00F839CE">
      <w:pPr>
        <w:spacing w:line="360" w:lineRule="auto"/>
        <w:jc w:val="center"/>
        <w:rPr>
          <w:rFonts w:ascii="Arial" w:hAnsi="Arial" w:cs="Arial"/>
          <w:bCs/>
          <w:smallCaps/>
          <w:szCs w:val="22"/>
        </w:rPr>
      </w:pPr>
    </w:p>
    <w:p w:rsidR="003F162E" w:rsidRPr="00571DF2" w:rsidRDefault="003F162E" w:rsidP="00F839CE">
      <w:pPr>
        <w:spacing w:line="360" w:lineRule="auto"/>
        <w:jc w:val="center"/>
        <w:rPr>
          <w:rFonts w:ascii="Arial" w:hAnsi="Arial" w:cs="Arial"/>
          <w:iCs/>
          <w:sz w:val="28"/>
          <w:lang w:val="es-CO"/>
        </w:rPr>
      </w:pPr>
      <w:r w:rsidRPr="00571DF2">
        <w:rPr>
          <w:rFonts w:ascii="Arial" w:hAnsi="Arial" w:cs="Arial"/>
          <w:iCs/>
          <w:smallCaps/>
          <w:sz w:val="28"/>
          <w:lang w:val="es-CO"/>
        </w:rPr>
        <w:t xml:space="preserve">Pereira, </w:t>
      </w:r>
      <w:r w:rsidR="0082297D" w:rsidRPr="00571DF2">
        <w:rPr>
          <w:rFonts w:ascii="Arial" w:hAnsi="Arial" w:cs="Arial"/>
          <w:iCs/>
          <w:smallCaps/>
          <w:sz w:val="28"/>
          <w:lang w:val="es-CO"/>
        </w:rPr>
        <w:t>R.</w:t>
      </w:r>
      <w:r w:rsidRPr="00571DF2">
        <w:rPr>
          <w:rFonts w:ascii="Arial" w:hAnsi="Arial" w:cs="Arial"/>
          <w:iCs/>
          <w:smallCaps/>
          <w:sz w:val="28"/>
          <w:lang w:val="es-CO"/>
        </w:rPr>
        <w:t>,</w:t>
      </w:r>
      <w:r w:rsidR="00C47BF9" w:rsidRPr="00571DF2">
        <w:rPr>
          <w:rFonts w:ascii="Arial" w:hAnsi="Arial" w:cs="Arial"/>
          <w:iCs/>
          <w:smallCaps/>
          <w:sz w:val="28"/>
          <w:lang w:val="es-CO"/>
        </w:rPr>
        <w:t xml:space="preserve"> </w:t>
      </w:r>
      <w:r w:rsidR="00481884">
        <w:rPr>
          <w:rFonts w:ascii="Arial" w:hAnsi="Arial" w:cs="Arial"/>
          <w:iCs/>
          <w:smallCaps/>
          <w:sz w:val="28"/>
          <w:lang w:val="es-CO"/>
        </w:rPr>
        <w:t>veinte</w:t>
      </w:r>
      <w:r w:rsidR="00E1227F">
        <w:rPr>
          <w:rFonts w:ascii="Arial" w:hAnsi="Arial" w:cs="Arial"/>
          <w:iCs/>
          <w:smallCaps/>
          <w:sz w:val="28"/>
          <w:lang w:val="es-CO"/>
        </w:rPr>
        <w:t xml:space="preserve"> </w:t>
      </w:r>
      <w:r w:rsidRPr="00571DF2">
        <w:rPr>
          <w:rFonts w:ascii="Arial" w:hAnsi="Arial" w:cs="Arial"/>
          <w:iCs/>
          <w:smallCaps/>
          <w:sz w:val="28"/>
          <w:lang w:val="es-CO"/>
        </w:rPr>
        <w:t>(</w:t>
      </w:r>
      <w:r w:rsidR="00481884">
        <w:rPr>
          <w:rFonts w:ascii="Arial" w:hAnsi="Arial" w:cs="Arial"/>
          <w:iCs/>
          <w:smallCaps/>
          <w:sz w:val="28"/>
          <w:lang w:val="es-CO"/>
        </w:rPr>
        <w:t>20</w:t>
      </w:r>
      <w:r w:rsidRPr="00571DF2">
        <w:rPr>
          <w:rFonts w:ascii="Arial" w:hAnsi="Arial" w:cs="Arial"/>
          <w:iCs/>
          <w:smallCaps/>
          <w:sz w:val="28"/>
          <w:lang w:val="es-CO"/>
        </w:rPr>
        <w:t xml:space="preserve">) de </w:t>
      </w:r>
      <w:r w:rsidR="00E1227F">
        <w:rPr>
          <w:rFonts w:ascii="Arial" w:hAnsi="Arial" w:cs="Arial"/>
          <w:iCs/>
          <w:smallCaps/>
          <w:sz w:val="28"/>
          <w:lang w:val="es-CO"/>
        </w:rPr>
        <w:t xml:space="preserve">abril </w:t>
      </w:r>
      <w:r w:rsidRPr="00571DF2">
        <w:rPr>
          <w:rFonts w:ascii="Arial" w:hAnsi="Arial" w:cs="Arial"/>
          <w:iCs/>
          <w:smallCaps/>
          <w:sz w:val="28"/>
          <w:lang w:val="es-CO"/>
        </w:rPr>
        <w:t xml:space="preserve">de dos mil </w:t>
      </w:r>
      <w:r w:rsidR="00571DF2">
        <w:rPr>
          <w:rFonts w:ascii="Arial" w:hAnsi="Arial" w:cs="Arial"/>
          <w:iCs/>
          <w:smallCaps/>
          <w:sz w:val="28"/>
          <w:lang w:val="es-CO"/>
        </w:rPr>
        <w:t xml:space="preserve">diecisiete </w:t>
      </w:r>
      <w:r w:rsidRPr="00571DF2">
        <w:rPr>
          <w:rFonts w:ascii="Arial" w:hAnsi="Arial" w:cs="Arial"/>
          <w:iCs/>
          <w:smallCaps/>
          <w:sz w:val="28"/>
          <w:lang w:val="es-CO"/>
        </w:rPr>
        <w:t>(</w:t>
      </w:r>
      <w:r w:rsidR="00571DF2">
        <w:rPr>
          <w:rFonts w:ascii="Arial" w:hAnsi="Arial" w:cs="Arial"/>
          <w:iCs/>
          <w:smallCaps/>
          <w:sz w:val="28"/>
          <w:lang w:val="es-CO"/>
        </w:rPr>
        <w:t>2017</w:t>
      </w:r>
      <w:r w:rsidRPr="00571DF2">
        <w:rPr>
          <w:rFonts w:ascii="Arial" w:hAnsi="Arial" w:cs="Arial"/>
          <w:iCs/>
          <w:smallCaps/>
          <w:sz w:val="28"/>
          <w:lang w:val="es-CO"/>
        </w:rPr>
        <w:t>)</w:t>
      </w:r>
      <w:r w:rsidRPr="00571DF2">
        <w:rPr>
          <w:rFonts w:ascii="Arial" w:hAnsi="Arial" w:cs="Arial"/>
          <w:iCs/>
          <w:sz w:val="28"/>
          <w:lang w:val="es-CO"/>
        </w:rPr>
        <w:t>.</w:t>
      </w:r>
    </w:p>
    <w:p w:rsidR="00D6104D" w:rsidRPr="00607FC8" w:rsidRDefault="00D6104D" w:rsidP="00F839CE">
      <w:pPr>
        <w:pStyle w:val="Corpsdetexte"/>
        <w:spacing w:line="360" w:lineRule="auto"/>
        <w:rPr>
          <w:rFonts w:ascii="Arial" w:hAnsi="Arial"/>
          <w:szCs w:val="24"/>
          <w:lang w:val="es-CO"/>
        </w:rPr>
      </w:pPr>
    </w:p>
    <w:p w:rsidR="002F20AB" w:rsidRPr="00DC624E" w:rsidRDefault="002F20AB" w:rsidP="00F839CE">
      <w:pPr>
        <w:pStyle w:val="Corpsdetex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Corpsdetexte"/>
        <w:spacing w:line="360" w:lineRule="auto"/>
        <w:rPr>
          <w:rFonts w:ascii="Arial" w:hAnsi="Arial"/>
          <w:szCs w:val="24"/>
        </w:rPr>
      </w:pPr>
    </w:p>
    <w:p w:rsidR="002F20AB" w:rsidRPr="00DC624E" w:rsidRDefault="002F20AB" w:rsidP="00F839CE">
      <w:pPr>
        <w:pStyle w:val="Corpsdetex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Pr="00AB2943" w:rsidRDefault="002F20AB" w:rsidP="00F839CE">
      <w:pPr>
        <w:pStyle w:val="Corpsdetexte"/>
        <w:numPr>
          <w:ilvl w:val="0"/>
          <w:numId w:val="1"/>
        </w:numPr>
        <w:spacing w:line="360" w:lineRule="auto"/>
        <w:rPr>
          <w:rFonts w:ascii="Arial" w:hAnsi="Arial"/>
          <w:szCs w:val="24"/>
        </w:rPr>
      </w:pPr>
      <w:r w:rsidRPr="00AB2943">
        <w:rPr>
          <w:rFonts w:ascii="Arial" w:hAnsi="Arial"/>
          <w:szCs w:val="24"/>
        </w:rPr>
        <w:lastRenderedPageBreak/>
        <w:t>LA SÍNTESIS DE LOS SUPUESTOS FÁCTICOS RELEVANTES</w:t>
      </w:r>
    </w:p>
    <w:p w:rsidR="002F20AB" w:rsidRDefault="002F20AB" w:rsidP="00F839CE">
      <w:pPr>
        <w:pStyle w:val="Corpsdetexte"/>
        <w:spacing w:line="360" w:lineRule="auto"/>
        <w:rPr>
          <w:rFonts w:ascii="Arial" w:hAnsi="Arial"/>
          <w:szCs w:val="24"/>
        </w:rPr>
      </w:pPr>
    </w:p>
    <w:p w:rsidR="004F3197" w:rsidRDefault="0024572A" w:rsidP="00C47BF9">
      <w:pPr>
        <w:pStyle w:val="Corpsdetexte"/>
        <w:spacing w:line="360" w:lineRule="auto"/>
        <w:rPr>
          <w:rFonts w:ascii="Arial" w:hAnsi="Arial"/>
          <w:i/>
          <w:sz w:val="22"/>
          <w:szCs w:val="24"/>
          <w:lang w:val="es-CO"/>
        </w:rPr>
      </w:pPr>
      <w:r>
        <w:rPr>
          <w:rFonts w:ascii="Arial" w:hAnsi="Arial"/>
          <w:szCs w:val="24"/>
          <w:lang w:val="es-CO"/>
        </w:rPr>
        <w:t xml:space="preserve">Se informó que </w:t>
      </w:r>
      <w:r w:rsidR="004F3197">
        <w:rPr>
          <w:rFonts w:ascii="Arial" w:hAnsi="Arial"/>
          <w:szCs w:val="24"/>
          <w:lang w:val="es-CO"/>
        </w:rPr>
        <w:t xml:space="preserve">la </w:t>
      </w:r>
      <w:r w:rsidR="0082297D">
        <w:rPr>
          <w:rFonts w:ascii="Arial" w:hAnsi="Arial"/>
          <w:szCs w:val="24"/>
          <w:lang w:val="es-CO"/>
        </w:rPr>
        <w:t xml:space="preserve">accionante </w:t>
      </w:r>
      <w:r w:rsidR="00E1227F">
        <w:rPr>
          <w:rFonts w:ascii="Arial" w:hAnsi="Arial"/>
          <w:szCs w:val="24"/>
          <w:lang w:val="es-CO"/>
        </w:rPr>
        <w:t xml:space="preserve">laboró como enfermera en jefe al servicio del hospital Universitario San Jorge de Pereira </w:t>
      </w:r>
      <w:r w:rsidR="004F3197">
        <w:rPr>
          <w:rFonts w:ascii="Arial" w:hAnsi="Arial"/>
          <w:szCs w:val="24"/>
          <w:lang w:val="es-CO"/>
        </w:rPr>
        <w:t xml:space="preserve">con ocasión </w:t>
      </w:r>
      <w:r w:rsidR="00E1227F">
        <w:rPr>
          <w:rFonts w:ascii="Arial" w:hAnsi="Arial"/>
          <w:szCs w:val="24"/>
          <w:lang w:val="es-CO"/>
        </w:rPr>
        <w:t xml:space="preserve">de contrato </w:t>
      </w:r>
      <w:r w:rsidR="00C81885">
        <w:rPr>
          <w:rFonts w:ascii="Arial" w:hAnsi="Arial"/>
          <w:szCs w:val="24"/>
          <w:lang w:val="es-CO"/>
        </w:rPr>
        <w:t xml:space="preserve">por obra o labor contratada, </w:t>
      </w:r>
      <w:r w:rsidR="00E1227F">
        <w:rPr>
          <w:rFonts w:ascii="Arial" w:hAnsi="Arial"/>
          <w:szCs w:val="24"/>
          <w:lang w:val="es-CO"/>
        </w:rPr>
        <w:t xml:space="preserve"> suscrito con </w:t>
      </w:r>
      <w:r w:rsidR="00E1227F" w:rsidRPr="00E1227F">
        <w:rPr>
          <w:rFonts w:ascii="Arial" w:hAnsi="Arial"/>
          <w:sz w:val="22"/>
          <w:szCs w:val="24"/>
          <w:lang w:val="es-CO"/>
        </w:rPr>
        <w:t>ETEMCO</w:t>
      </w:r>
      <w:r w:rsidR="00C81885">
        <w:rPr>
          <w:rFonts w:ascii="Arial" w:hAnsi="Arial"/>
          <w:sz w:val="22"/>
          <w:szCs w:val="24"/>
          <w:lang w:val="es-CO"/>
        </w:rPr>
        <w:t xml:space="preserve"> SAS</w:t>
      </w:r>
      <w:r w:rsidR="00E1227F">
        <w:rPr>
          <w:rFonts w:ascii="Arial" w:hAnsi="Arial"/>
          <w:sz w:val="22"/>
          <w:szCs w:val="24"/>
          <w:lang w:val="es-CO"/>
        </w:rPr>
        <w:t>,</w:t>
      </w:r>
      <w:r w:rsidR="00E1227F" w:rsidRPr="00E1227F">
        <w:rPr>
          <w:rFonts w:ascii="Arial" w:hAnsi="Arial"/>
          <w:sz w:val="22"/>
          <w:szCs w:val="24"/>
          <w:lang w:val="es-CO"/>
        </w:rPr>
        <w:t xml:space="preserve"> </w:t>
      </w:r>
      <w:r w:rsidR="00E1227F">
        <w:rPr>
          <w:rFonts w:ascii="Arial" w:hAnsi="Arial"/>
          <w:szCs w:val="24"/>
          <w:lang w:val="es-CO"/>
        </w:rPr>
        <w:t xml:space="preserve">desde el 14-11-2015 hasta el 31-05-2016; </w:t>
      </w:r>
      <w:r w:rsidR="004F3197">
        <w:rPr>
          <w:rFonts w:ascii="Arial" w:hAnsi="Arial"/>
          <w:szCs w:val="24"/>
          <w:lang w:val="es-CO"/>
        </w:rPr>
        <w:t xml:space="preserve">también, que </w:t>
      </w:r>
      <w:r w:rsidR="00E1227F">
        <w:rPr>
          <w:rFonts w:ascii="Arial" w:hAnsi="Arial"/>
          <w:szCs w:val="24"/>
          <w:lang w:val="es-CO"/>
        </w:rPr>
        <w:t xml:space="preserve">ha sido tratada por tumor maligno desde el año 2014, </w:t>
      </w:r>
      <w:r w:rsidR="004F3197">
        <w:rPr>
          <w:rFonts w:ascii="Arial" w:hAnsi="Arial"/>
          <w:szCs w:val="24"/>
          <w:lang w:val="es-CO"/>
        </w:rPr>
        <w:t>el 30-04</w:t>
      </w:r>
      <w:r w:rsidR="00E1227F">
        <w:rPr>
          <w:rFonts w:ascii="Arial" w:hAnsi="Arial"/>
          <w:szCs w:val="24"/>
          <w:lang w:val="es-CO"/>
        </w:rPr>
        <w:t xml:space="preserve">-2015 se le diagnosticó </w:t>
      </w:r>
      <w:r w:rsidR="004F3197">
        <w:rPr>
          <w:rFonts w:ascii="Arial" w:hAnsi="Arial"/>
          <w:szCs w:val="24"/>
          <w:lang w:val="es-CO"/>
        </w:rPr>
        <w:t xml:space="preserve">un </w:t>
      </w:r>
      <w:r w:rsidR="00E1227F" w:rsidRPr="00E1227F">
        <w:rPr>
          <w:rFonts w:ascii="Arial" w:hAnsi="Arial"/>
          <w:i/>
          <w:sz w:val="22"/>
          <w:szCs w:val="24"/>
          <w:lang w:val="es-CO"/>
        </w:rPr>
        <w:t xml:space="preserve">“CARCINOMA PAPILAR METASTASICO </w:t>
      </w:r>
      <w:r w:rsidR="00C81885">
        <w:rPr>
          <w:rFonts w:ascii="Arial" w:hAnsi="Arial"/>
          <w:i/>
          <w:sz w:val="22"/>
          <w:szCs w:val="24"/>
          <w:lang w:val="es-CO"/>
        </w:rPr>
        <w:t xml:space="preserve">(Sic) </w:t>
      </w:r>
      <w:r w:rsidR="00E1227F" w:rsidRPr="00E1227F">
        <w:rPr>
          <w:rFonts w:ascii="Arial" w:hAnsi="Arial"/>
          <w:i/>
          <w:sz w:val="22"/>
          <w:szCs w:val="24"/>
          <w:lang w:val="es-CO"/>
        </w:rPr>
        <w:t>(4/4)”</w:t>
      </w:r>
      <w:r w:rsidR="00E1227F">
        <w:rPr>
          <w:rFonts w:ascii="Arial" w:hAnsi="Arial"/>
          <w:szCs w:val="24"/>
          <w:lang w:val="es-CO"/>
        </w:rPr>
        <w:t xml:space="preserve"> y el 30-01-2016 le realizaron una cirugía de </w:t>
      </w:r>
      <w:r w:rsidR="00E1227F" w:rsidRPr="00E1227F">
        <w:rPr>
          <w:rFonts w:ascii="Arial" w:hAnsi="Arial"/>
          <w:i/>
          <w:sz w:val="22"/>
          <w:szCs w:val="24"/>
          <w:lang w:val="es-CO"/>
        </w:rPr>
        <w:t xml:space="preserve">“VACIAMIENTO GANGLIONAR RADICAL MODIFICADO DE CUELLO DERECHO MAS </w:t>
      </w:r>
      <w:r w:rsidR="00C81885">
        <w:rPr>
          <w:rFonts w:ascii="Arial" w:hAnsi="Arial"/>
          <w:i/>
          <w:sz w:val="22"/>
          <w:szCs w:val="24"/>
          <w:lang w:val="es-CO"/>
        </w:rPr>
        <w:t xml:space="preserve">(Sic) </w:t>
      </w:r>
      <w:r w:rsidR="00E1227F" w:rsidRPr="00E1227F">
        <w:rPr>
          <w:rFonts w:ascii="Arial" w:hAnsi="Arial"/>
          <w:i/>
          <w:sz w:val="22"/>
          <w:szCs w:val="24"/>
          <w:lang w:val="es-CO"/>
        </w:rPr>
        <w:t>COLGAJO”</w:t>
      </w:r>
      <w:r w:rsidR="00E1227F">
        <w:rPr>
          <w:rFonts w:ascii="Arial" w:hAnsi="Arial"/>
          <w:i/>
          <w:sz w:val="22"/>
          <w:szCs w:val="24"/>
          <w:lang w:val="es-CO"/>
        </w:rPr>
        <w:t xml:space="preserve">. </w:t>
      </w:r>
    </w:p>
    <w:p w:rsidR="004F3197" w:rsidRDefault="004F3197" w:rsidP="00092278">
      <w:pPr>
        <w:pStyle w:val="Corpsdetexte"/>
        <w:spacing w:line="240" w:lineRule="auto"/>
        <w:rPr>
          <w:rFonts w:ascii="Arial" w:hAnsi="Arial"/>
          <w:i/>
          <w:sz w:val="22"/>
          <w:szCs w:val="24"/>
          <w:lang w:val="es-CO"/>
        </w:rPr>
      </w:pPr>
    </w:p>
    <w:p w:rsidR="00C47BF9" w:rsidRDefault="004F3197" w:rsidP="00C47BF9">
      <w:pPr>
        <w:pStyle w:val="Corpsdetexte"/>
        <w:spacing w:line="360" w:lineRule="auto"/>
        <w:rPr>
          <w:rFonts w:ascii="Arial" w:hAnsi="Arial"/>
          <w:szCs w:val="24"/>
          <w:lang w:val="es-CO"/>
        </w:rPr>
      </w:pPr>
      <w:r w:rsidRPr="00A32D09">
        <w:rPr>
          <w:rFonts w:ascii="Arial" w:hAnsi="Arial"/>
          <w:szCs w:val="24"/>
          <w:lang w:val="es-CO"/>
        </w:rPr>
        <w:t>Agregó</w:t>
      </w:r>
      <w:r w:rsidR="00E1227F" w:rsidRPr="00A32D09">
        <w:rPr>
          <w:rFonts w:ascii="Arial" w:hAnsi="Arial"/>
          <w:szCs w:val="24"/>
          <w:lang w:val="es-CO"/>
        </w:rPr>
        <w:t xml:space="preserve"> que la accionada no tuvo en cuenta el tratamiento </w:t>
      </w:r>
      <w:r w:rsidRPr="00A32D09">
        <w:rPr>
          <w:rFonts w:ascii="Arial" w:hAnsi="Arial"/>
          <w:szCs w:val="24"/>
          <w:lang w:val="es-CO"/>
        </w:rPr>
        <w:t>médico</w:t>
      </w:r>
      <w:r w:rsidR="00E1227F" w:rsidRPr="00A32D09">
        <w:rPr>
          <w:rFonts w:ascii="Arial" w:hAnsi="Arial"/>
          <w:szCs w:val="24"/>
          <w:lang w:val="es-CO"/>
        </w:rPr>
        <w:t xml:space="preserve"> que se le </w:t>
      </w:r>
      <w:r w:rsidRPr="00A32D09">
        <w:rPr>
          <w:rFonts w:ascii="Arial" w:hAnsi="Arial"/>
          <w:szCs w:val="24"/>
          <w:lang w:val="es-CO"/>
        </w:rPr>
        <w:t>venía</w:t>
      </w:r>
      <w:r w:rsidR="00E1227F" w:rsidRPr="00A32D09">
        <w:rPr>
          <w:rFonts w:ascii="Arial" w:hAnsi="Arial"/>
          <w:szCs w:val="24"/>
          <w:lang w:val="es-CO"/>
        </w:rPr>
        <w:t xml:space="preserve"> </w:t>
      </w:r>
      <w:r w:rsidRPr="00A32D09">
        <w:rPr>
          <w:rFonts w:ascii="Arial" w:hAnsi="Arial"/>
          <w:szCs w:val="24"/>
          <w:lang w:val="es-CO"/>
        </w:rPr>
        <w:t xml:space="preserve">efectuando </w:t>
      </w:r>
      <w:r w:rsidR="00E1227F" w:rsidRPr="00A32D09">
        <w:rPr>
          <w:rFonts w:ascii="Arial" w:hAnsi="Arial"/>
          <w:szCs w:val="24"/>
          <w:lang w:val="es-CO"/>
        </w:rPr>
        <w:t xml:space="preserve">y que carece de ingresos </w:t>
      </w:r>
      <w:r w:rsidR="00A32D09" w:rsidRPr="00A32D09">
        <w:rPr>
          <w:rFonts w:ascii="Arial" w:hAnsi="Arial"/>
          <w:szCs w:val="24"/>
          <w:lang w:val="es-CO"/>
        </w:rPr>
        <w:t>para sufragar los procedimiento</w:t>
      </w:r>
      <w:r w:rsidR="00A32D09">
        <w:rPr>
          <w:rFonts w:ascii="Arial" w:hAnsi="Arial"/>
          <w:szCs w:val="24"/>
          <w:lang w:val="es-CO"/>
        </w:rPr>
        <w:t>s</w:t>
      </w:r>
      <w:r w:rsidR="00A32D09" w:rsidRPr="00A32D09">
        <w:rPr>
          <w:rFonts w:ascii="Arial" w:hAnsi="Arial"/>
          <w:szCs w:val="24"/>
          <w:lang w:val="es-CO"/>
        </w:rPr>
        <w:t xml:space="preserve"> dispuestos por el médico tratante </w:t>
      </w:r>
      <w:r w:rsidR="00C47BF9" w:rsidRPr="003D195F">
        <w:rPr>
          <w:rFonts w:ascii="Arial" w:hAnsi="Arial"/>
          <w:szCs w:val="24"/>
          <w:lang w:val="es-CO"/>
        </w:rPr>
        <w:t>(Folio</w:t>
      </w:r>
      <w:r w:rsidR="00605865">
        <w:rPr>
          <w:rFonts w:ascii="Arial" w:hAnsi="Arial"/>
          <w:szCs w:val="24"/>
          <w:lang w:val="es-CO"/>
        </w:rPr>
        <w:t>s</w:t>
      </w:r>
      <w:r w:rsidR="00C47BF9" w:rsidRPr="003D195F">
        <w:rPr>
          <w:rFonts w:ascii="Arial" w:hAnsi="Arial"/>
          <w:szCs w:val="24"/>
          <w:lang w:val="es-CO"/>
        </w:rPr>
        <w:t xml:space="preserve"> </w:t>
      </w:r>
      <w:r w:rsidR="00A32D09">
        <w:rPr>
          <w:rFonts w:ascii="Arial" w:hAnsi="Arial"/>
          <w:szCs w:val="24"/>
          <w:lang w:val="es-CO"/>
        </w:rPr>
        <w:t>26 a 36</w:t>
      </w:r>
      <w:r w:rsidR="00C47BF9" w:rsidRPr="003D195F">
        <w:rPr>
          <w:rFonts w:ascii="Arial" w:hAnsi="Arial"/>
          <w:szCs w:val="24"/>
          <w:lang w:val="es-CO"/>
        </w:rPr>
        <w:t>, cuaderno No.1).</w:t>
      </w:r>
    </w:p>
    <w:p w:rsidR="00B0316E" w:rsidRDefault="00B0316E" w:rsidP="00092278">
      <w:pPr>
        <w:pStyle w:val="Corpsdetexte"/>
        <w:spacing w:line="240" w:lineRule="auto"/>
        <w:rPr>
          <w:rFonts w:ascii="Arial" w:hAnsi="Arial"/>
          <w:szCs w:val="24"/>
          <w:lang w:val="es-CO"/>
        </w:rPr>
      </w:pPr>
    </w:p>
    <w:p w:rsidR="00B0316E" w:rsidRDefault="00B0316E" w:rsidP="00B0316E">
      <w:pPr>
        <w:pStyle w:val="Corpsdetexte"/>
        <w:numPr>
          <w:ilvl w:val="0"/>
          <w:numId w:val="1"/>
        </w:numPr>
        <w:spacing w:line="360" w:lineRule="auto"/>
        <w:rPr>
          <w:rFonts w:ascii="Arial" w:hAnsi="Arial"/>
          <w:szCs w:val="24"/>
        </w:rPr>
      </w:pPr>
      <w:r w:rsidRPr="00F9418E">
        <w:rPr>
          <w:rFonts w:ascii="Arial" w:hAnsi="Arial"/>
          <w:szCs w:val="24"/>
        </w:rPr>
        <w:t xml:space="preserve">LOS DERECHOS PRESUNTAMENTE VULNERADOS </w:t>
      </w:r>
    </w:p>
    <w:p w:rsidR="001108A9" w:rsidRDefault="001108A9" w:rsidP="00092278">
      <w:pPr>
        <w:pStyle w:val="Corpsdetexte"/>
        <w:spacing w:line="240" w:lineRule="auto"/>
        <w:ind w:left="360"/>
        <w:rPr>
          <w:rFonts w:ascii="Arial" w:hAnsi="Arial"/>
          <w:szCs w:val="24"/>
        </w:rPr>
      </w:pPr>
    </w:p>
    <w:p w:rsidR="00E0600F" w:rsidRDefault="00605865" w:rsidP="00F839CE">
      <w:pPr>
        <w:pStyle w:val="Corpsdetexte"/>
        <w:widowControl w:val="0"/>
        <w:spacing w:line="360" w:lineRule="auto"/>
        <w:rPr>
          <w:rFonts w:ascii="Arial" w:hAnsi="Arial"/>
          <w:szCs w:val="24"/>
        </w:rPr>
      </w:pPr>
      <w:r>
        <w:rPr>
          <w:rFonts w:ascii="Arial" w:hAnsi="Arial"/>
          <w:szCs w:val="24"/>
        </w:rPr>
        <w:t xml:space="preserve">Se estiman </w:t>
      </w:r>
      <w:r w:rsidR="00B0316E">
        <w:rPr>
          <w:rFonts w:ascii="Arial" w:hAnsi="Arial"/>
          <w:szCs w:val="24"/>
        </w:rPr>
        <w:t>vulnera</w:t>
      </w:r>
      <w:r>
        <w:rPr>
          <w:rFonts w:ascii="Arial" w:hAnsi="Arial"/>
          <w:szCs w:val="24"/>
        </w:rPr>
        <w:t xml:space="preserve">dos los </w:t>
      </w:r>
      <w:r w:rsidR="00B0316E">
        <w:rPr>
          <w:rFonts w:ascii="Arial" w:hAnsi="Arial"/>
          <w:szCs w:val="24"/>
        </w:rPr>
        <w:t>derecho</w:t>
      </w:r>
      <w:r>
        <w:rPr>
          <w:rFonts w:ascii="Arial" w:hAnsi="Arial"/>
          <w:szCs w:val="24"/>
        </w:rPr>
        <w:t>s</w:t>
      </w:r>
      <w:r w:rsidR="00B0316E">
        <w:rPr>
          <w:rFonts w:ascii="Arial" w:hAnsi="Arial"/>
          <w:szCs w:val="24"/>
        </w:rPr>
        <w:t xml:space="preserve"> a</w:t>
      </w:r>
      <w:r w:rsidR="00B35B8D">
        <w:rPr>
          <w:rFonts w:ascii="Arial" w:hAnsi="Arial"/>
          <w:szCs w:val="24"/>
        </w:rPr>
        <w:t xml:space="preserve"> la </w:t>
      </w:r>
      <w:r w:rsidR="00A32D09">
        <w:rPr>
          <w:rFonts w:ascii="Arial" w:hAnsi="Arial"/>
          <w:szCs w:val="24"/>
        </w:rPr>
        <w:t xml:space="preserve">dignidad humana, igualdad, </w:t>
      </w:r>
      <w:r w:rsidR="003C06FD">
        <w:rPr>
          <w:rFonts w:ascii="Arial" w:hAnsi="Arial"/>
          <w:szCs w:val="24"/>
        </w:rPr>
        <w:t>salud</w:t>
      </w:r>
      <w:r w:rsidR="00F91B8E">
        <w:rPr>
          <w:rFonts w:ascii="Arial" w:hAnsi="Arial"/>
          <w:szCs w:val="24"/>
        </w:rPr>
        <w:t xml:space="preserve">, </w:t>
      </w:r>
      <w:r w:rsidR="00A32D09">
        <w:rPr>
          <w:rFonts w:ascii="Arial" w:hAnsi="Arial"/>
          <w:szCs w:val="24"/>
        </w:rPr>
        <w:t xml:space="preserve">trabajo, seguridad social, vida digna y estabilidad laboral reforzada </w:t>
      </w:r>
      <w:r w:rsidR="002F20AB" w:rsidRPr="00DC624E">
        <w:rPr>
          <w:rFonts w:ascii="Arial" w:hAnsi="Arial"/>
          <w:szCs w:val="24"/>
        </w:rPr>
        <w:t xml:space="preserve">(Folio </w:t>
      </w:r>
      <w:r w:rsidR="00A32D09">
        <w:rPr>
          <w:rFonts w:ascii="Arial" w:hAnsi="Arial"/>
          <w:szCs w:val="24"/>
        </w:rPr>
        <w:t>26</w:t>
      </w:r>
      <w:r w:rsidR="008002C6">
        <w:rPr>
          <w:rFonts w:ascii="Arial" w:hAnsi="Arial"/>
          <w:szCs w:val="24"/>
        </w:rPr>
        <w:t>,</w:t>
      </w:r>
      <w:r w:rsidR="002F20AB">
        <w:rPr>
          <w:rFonts w:ascii="Arial" w:hAnsi="Arial"/>
          <w:szCs w:val="24"/>
        </w:rPr>
        <w:t xml:space="preserve"> </w:t>
      </w:r>
      <w:r w:rsidR="00301D9F">
        <w:rPr>
          <w:rFonts w:ascii="Arial" w:hAnsi="Arial" w:cs="Arial"/>
          <w:color w:val="000000"/>
          <w:lang w:val="es-CO"/>
        </w:rPr>
        <w:t>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571DF2" w:rsidRDefault="00571DF2" w:rsidP="00092278">
      <w:pPr>
        <w:pStyle w:val="Corpsdetexte"/>
        <w:widowControl w:val="0"/>
        <w:spacing w:line="240" w:lineRule="auto"/>
        <w:rPr>
          <w:rFonts w:ascii="Arial" w:hAnsi="Arial"/>
          <w:szCs w:val="24"/>
        </w:rPr>
      </w:pPr>
    </w:p>
    <w:p w:rsidR="00571DF2" w:rsidRPr="00AF633B" w:rsidRDefault="00571DF2" w:rsidP="00571DF2">
      <w:pPr>
        <w:pStyle w:val="Corpsdetexte"/>
        <w:numPr>
          <w:ilvl w:val="0"/>
          <w:numId w:val="1"/>
        </w:numPr>
        <w:spacing w:line="360" w:lineRule="auto"/>
        <w:rPr>
          <w:rFonts w:ascii="Arial" w:hAnsi="Arial"/>
          <w:szCs w:val="24"/>
        </w:rPr>
      </w:pPr>
      <w:r w:rsidRPr="00AF633B">
        <w:rPr>
          <w:rFonts w:ascii="Arial" w:hAnsi="Arial"/>
          <w:szCs w:val="24"/>
        </w:rPr>
        <w:t>LA PETICIÓN DE PROTECCIÓN</w:t>
      </w:r>
    </w:p>
    <w:p w:rsidR="00571DF2" w:rsidRPr="00895FCF" w:rsidRDefault="00571DF2" w:rsidP="00092278">
      <w:pPr>
        <w:pStyle w:val="Sansinterligne"/>
        <w:jc w:val="both"/>
        <w:rPr>
          <w:rFonts w:ascii="Arial" w:hAnsi="Arial" w:cs="Arial"/>
          <w:szCs w:val="24"/>
        </w:rPr>
      </w:pPr>
    </w:p>
    <w:p w:rsidR="00571DF2" w:rsidRPr="00187000" w:rsidRDefault="00571DF2" w:rsidP="00571DF2">
      <w:pPr>
        <w:pStyle w:val="Sansinterligne"/>
        <w:spacing w:line="360" w:lineRule="auto"/>
        <w:jc w:val="both"/>
        <w:rPr>
          <w:rFonts w:ascii="Arial" w:hAnsi="Arial" w:cs="Arial"/>
          <w:szCs w:val="24"/>
        </w:rPr>
      </w:pPr>
      <w:r w:rsidRPr="00187000">
        <w:rPr>
          <w:rFonts w:ascii="Arial" w:hAnsi="Arial" w:cs="Arial"/>
          <w:szCs w:val="24"/>
        </w:rPr>
        <w:t>Se pretende que</w:t>
      </w:r>
      <w:r>
        <w:rPr>
          <w:rFonts w:ascii="Arial" w:hAnsi="Arial" w:cs="Arial"/>
          <w:szCs w:val="24"/>
        </w:rPr>
        <w:t xml:space="preserve">: (i) Se </w:t>
      </w:r>
      <w:r w:rsidR="00A32D09">
        <w:rPr>
          <w:rFonts w:ascii="Arial" w:hAnsi="Arial" w:cs="Arial"/>
          <w:szCs w:val="24"/>
        </w:rPr>
        <w:t xml:space="preserve">declare que el contrato de trabajo fue terminado de forma ilegal y sin previa autorización del inspector de trabajo; (ii) Se ordene el reintegro al cargo que desempeñaba en el Hospital Universitario </w:t>
      </w:r>
      <w:r w:rsidR="00A32D09">
        <w:rPr>
          <w:rFonts w:ascii="Arial" w:hAnsi="Arial" w:cs="Arial"/>
          <w:szCs w:val="24"/>
          <w:lang w:val="es-CO"/>
        </w:rPr>
        <w:t>San Jorge de Pereira; (iii) Se disponga el pago de los salarios dejados de percibir, las prestaciones sociales y las vacaciones desde el 31-05-2016 hasta que se haga efectivo el reintegro; (iv) Se ordene pagar la indemnización de que trata el artículo 26 de la Ley 361; (v) Se indexen dichas sumas y se reconozcan intereses moratorios</w:t>
      </w:r>
      <w:r>
        <w:rPr>
          <w:rFonts w:ascii="Arial" w:hAnsi="Arial" w:cs="Arial"/>
          <w:szCs w:val="24"/>
        </w:rPr>
        <w:t xml:space="preserve"> </w:t>
      </w:r>
      <w:r w:rsidRPr="00D108C2">
        <w:rPr>
          <w:rFonts w:ascii="Arial" w:hAnsi="Arial"/>
          <w:szCs w:val="24"/>
        </w:rPr>
        <w:t>(Folio</w:t>
      </w:r>
      <w:r w:rsidR="00A32D09">
        <w:rPr>
          <w:rFonts w:ascii="Arial" w:hAnsi="Arial"/>
          <w:szCs w:val="24"/>
        </w:rPr>
        <w:t>s</w:t>
      </w:r>
      <w:r>
        <w:rPr>
          <w:rFonts w:ascii="Arial" w:hAnsi="Arial"/>
          <w:szCs w:val="24"/>
        </w:rPr>
        <w:t xml:space="preserve"> </w:t>
      </w:r>
      <w:r w:rsidR="00A32D09">
        <w:rPr>
          <w:rFonts w:ascii="Arial" w:hAnsi="Arial"/>
          <w:szCs w:val="24"/>
        </w:rPr>
        <w:t>27 y 28</w:t>
      </w:r>
      <w:r>
        <w:rPr>
          <w:rFonts w:ascii="Arial" w:hAnsi="Arial"/>
          <w:szCs w:val="24"/>
        </w:rPr>
        <w:t xml:space="preserve">, cuaderno </w:t>
      </w:r>
      <w:r w:rsidR="0002488E">
        <w:rPr>
          <w:rFonts w:ascii="Arial" w:hAnsi="Arial" w:cs="Arial"/>
          <w:color w:val="000000"/>
          <w:szCs w:val="24"/>
          <w:lang w:val="es-CO"/>
        </w:rPr>
        <w:t>No.1</w:t>
      </w:r>
      <w:r>
        <w:rPr>
          <w:rFonts w:ascii="Arial" w:hAnsi="Arial"/>
          <w:szCs w:val="24"/>
        </w:rPr>
        <w:t>)</w:t>
      </w:r>
      <w:r w:rsidRPr="00187000">
        <w:rPr>
          <w:rFonts w:ascii="Arial" w:hAnsi="Arial" w:cs="Arial"/>
          <w:szCs w:val="24"/>
        </w:rPr>
        <w:t xml:space="preserve">. </w:t>
      </w:r>
    </w:p>
    <w:p w:rsidR="00571DF2" w:rsidRPr="00BB305B" w:rsidRDefault="00571DF2" w:rsidP="00571DF2">
      <w:pPr>
        <w:pStyle w:val="Corpsdetexte"/>
        <w:widowControl w:val="0"/>
        <w:spacing w:line="360" w:lineRule="auto"/>
        <w:rPr>
          <w:rFonts w:ascii="Arial" w:hAnsi="Arial" w:cs="Arial"/>
          <w:szCs w:val="24"/>
          <w:lang w:val="es-ES"/>
        </w:rPr>
      </w:pPr>
    </w:p>
    <w:p w:rsidR="00B0316E" w:rsidRPr="003D195F" w:rsidRDefault="00B0316E" w:rsidP="00B0316E">
      <w:pPr>
        <w:pStyle w:val="Corpsdetexte"/>
        <w:numPr>
          <w:ilvl w:val="0"/>
          <w:numId w:val="1"/>
        </w:numPr>
        <w:tabs>
          <w:tab w:val="clear" w:pos="0"/>
          <w:tab w:val="clear" w:pos="708"/>
          <w:tab w:val="left" w:pos="426"/>
        </w:tabs>
        <w:spacing w:line="360" w:lineRule="auto"/>
        <w:rPr>
          <w:rFonts w:ascii="Arial" w:hAnsi="Arial"/>
          <w:szCs w:val="24"/>
          <w:lang w:val="es-CO"/>
        </w:rPr>
      </w:pPr>
      <w:r w:rsidRPr="003D195F">
        <w:rPr>
          <w:rFonts w:ascii="Arial" w:hAnsi="Arial"/>
          <w:szCs w:val="24"/>
          <w:lang w:val="es-CO"/>
        </w:rPr>
        <w:t>LA SÍNTESIS DE LA CRÓNICA PROCESAL</w:t>
      </w:r>
    </w:p>
    <w:p w:rsidR="00B0316E" w:rsidRPr="003D195F" w:rsidRDefault="00B0316E" w:rsidP="00092278">
      <w:pPr>
        <w:ind w:left="284" w:hanging="284"/>
        <w:jc w:val="both"/>
        <w:rPr>
          <w:rFonts w:ascii="Arial" w:hAnsi="Arial"/>
          <w:lang w:val="es-CO"/>
        </w:rPr>
      </w:pPr>
    </w:p>
    <w:p w:rsidR="00B0316E" w:rsidRDefault="00A32D09" w:rsidP="00B0316E">
      <w:pPr>
        <w:spacing w:line="360" w:lineRule="auto"/>
        <w:jc w:val="both"/>
        <w:rPr>
          <w:rFonts w:ascii="Arial" w:hAnsi="Arial" w:cs="Arial"/>
          <w:lang w:val="es-CO"/>
        </w:rPr>
      </w:pPr>
      <w:r>
        <w:rPr>
          <w:rFonts w:ascii="Arial" w:hAnsi="Arial"/>
          <w:lang w:val="es-CO"/>
        </w:rPr>
        <w:t>C</w:t>
      </w:r>
      <w:r w:rsidR="00B0316E" w:rsidRPr="002E062A">
        <w:rPr>
          <w:rFonts w:ascii="Arial" w:hAnsi="Arial"/>
          <w:lang w:val="es-CO"/>
        </w:rPr>
        <w:t xml:space="preserve">on providencia del </w:t>
      </w:r>
      <w:r>
        <w:rPr>
          <w:rFonts w:ascii="Arial" w:hAnsi="Arial"/>
          <w:lang w:val="es-CO"/>
        </w:rPr>
        <w:t xml:space="preserve">24-10-2016 se </w:t>
      </w:r>
      <w:r w:rsidR="00B0316E" w:rsidRPr="002E062A">
        <w:rPr>
          <w:rFonts w:ascii="Arial" w:hAnsi="Arial"/>
          <w:lang w:val="es-CO"/>
        </w:rPr>
        <w:t>admitió</w:t>
      </w:r>
      <w:r w:rsidR="00B35B8D" w:rsidRPr="002E062A">
        <w:rPr>
          <w:rFonts w:ascii="Arial" w:hAnsi="Arial"/>
          <w:lang w:val="es-CO"/>
        </w:rPr>
        <w:t xml:space="preserve">, </w:t>
      </w:r>
      <w:r>
        <w:rPr>
          <w:rFonts w:ascii="Arial" w:hAnsi="Arial"/>
          <w:lang w:val="es-CO"/>
        </w:rPr>
        <w:t xml:space="preserve">se </w:t>
      </w:r>
      <w:r w:rsidR="00B35B8D" w:rsidRPr="002E062A">
        <w:rPr>
          <w:rFonts w:ascii="Arial" w:hAnsi="Arial"/>
          <w:lang w:val="es-CO"/>
        </w:rPr>
        <w:t xml:space="preserve">vinculó a </w:t>
      </w:r>
      <w:r w:rsidR="00F91B8E" w:rsidRPr="002E062A">
        <w:rPr>
          <w:rFonts w:ascii="Arial" w:hAnsi="Arial"/>
          <w:lang w:val="es-CO"/>
        </w:rPr>
        <w:t xml:space="preserve">quienes </w:t>
      </w:r>
      <w:r>
        <w:rPr>
          <w:rFonts w:ascii="Arial" w:hAnsi="Arial"/>
          <w:lang w:val="es-CO"/>
        </w:rPr>
        <w:t xml:space="preserve">se </w:t>
      </w:r>
      <w:r w:rsidR="00F91B8E" w:rsidRPr="002E062A">
        <w:rPr>
          <w:rFonts w:ascii="Arial" w:hAnsi="Arial"/>
          <w:lang w:val="es-CO"/>
        </w:rPr>
        <w:t xml:space="preserve">estimó pertinente </w:t>
      </w:r>
      <w:r w:rsidR="00B0316E" w:rsidRPr="002E062A">
        <w:rPr>
          <w:rFonts w:ascii="Arial" w:hAnsi="Arial"/>
          <w:lang w:val="es-CO"/>
        </w:rPr>
        <w:t xml:space="preserve">y </w:t>
      </w:r>
      <w:r>
        <w:rPr>
          <w:rFonts w:ascii="Arial" w:hAnsi="Arial"/>
          <w:lang w:val="es-CO"/>
        </w:rPr>
        <w:t xml:space="preserve">se </w:t>
      </w:r>
      <w:r w:rsidR="00B0316E" w:rsidRPr="002E062A">
        <w:rPr>
          <w:rFonts w:ascii="Arial" w:hAnsi="Arial"/>
          <w:lang w:val="es-CO"/>
        </w:rPr>
        <w:t xml:space="preserve">dispuso </w:t>
      </w:r>
      <w:r w:rsidR="003C06FD" w:rsidRPr="002E062A">
        <w:rPr>
          <w:rFonts w:ascii="Arial" w:hAnsi="Arial"/>
          <w:lang w:val="es-CO"/>
        </w:rPr>
        <w:t xml:space="preserve">notificar a las partes, </w:t>
      </w:r>
      <w:r w:rsidR="00B0316E" w:rsidRPr="002E062A">
        <w:rPr>
          <w:rFonts w:ascii="Arial" w:hAnsi="Arial"/>
          <w:lang w:val="es-CO"/>
        </w:rPr>
        <w:t>entre otros ordenamientos (Folio</w:t>
      </w:r>
      <w:r w:rsidR="00605865" w:rsidRPr="002E062A">
        <w:rPr>
          <w:rFonts w:ascii="Arial" w:hAnsi="Arial"/>
          <w:lang w:val="es-CO"/>
        </w:rPr>
        <w:t xml:space="preserve"> </w:t>
      </w:r>
      <w:r>
        <w:rPr>
          <w:rFonts w:ascii="Arial" w:hAnsi="Arial"/>
          <w:lang w:val="es-CO"/>
        </w:rPr>
        <w:t>37</w:t>
      </w:r>
      <w:r w:rsidR="00B0316E" w:rsidRPr="002E062A">
        <w:rPr>
          <w:rFonts w:ascii="Arial" w:hAnsi="Arial"/>
          <w:lang w:val="es-CO"/>
        </w:rPr>
        <w:t xml:space="preserve">, </w:t>
      </w:r>
      <w:r w:rsidR="0002488E">
        <w:rPr>
          <w:rFonts w:ascii="Arial" w:hAnsi="Arial"/>
          <w:lang w:val="es-CO"/>
        </w:rPr>
        <w:t>ibídem</w:t>
      </w:r>
      <w:r w:rsidR="00B0316E" w:rsidRPr="002E062A">
        <w:rPr>
          <w:rFonts w:ascii="Arial" w:hAnsi="Arial"/>
          <w:lang w:val="es-CO"/>
        </w:rPr>
        <w:t xml:space="preserve">).  </w:t>
      </w:r>
      <w:r w:rsidR="00752F73">
        <w:rPr>
          <w:rFonts w:ascii="Arial" w:hAnsi="Arial"/>
          <w:lang w:val="es-CO"/>
        </w:rPr>
        <w:t xml:space="preserve">Contestaron Coomeva EPS SA (Folios 55 a 60, ibídem) y </w:t>
      </w:r>
      <w:r w:rsidR="00752F73" w:rsidRPr="00752F73">
        <w:rPr>
          <w:rFonts w:ascii="Arial" w:hAnsi="Arial"/>
          <w:sz w:val="22"/>
          <w:lang w:val="es-CO"/>
        </w:rPr>
        <w:t>ETEMCO SAS</w:t>
      </w:r>
      <w:r w:rsidR="00752F73">
        <w:rPr>
          <w:rFonts w:ascii="Arial" w:hAnsi="Arial"/>
          <w:lang w:val="es-CO"/>
        </w:rPr>
        <w:t xml:space="preserve"> (Folios 63 a 69, ibídem)</w:t>
      </w:r>
      <w:r w:rsidR="00B0316E" w:rsidRPr="002E062A">
        <w:rPr>
          <w:rFonts w:ascii="Arial" w:hAnsi="Arial"/>
          <w:lang w:val="es-CO"/>
        </w:rPr>
        <w:t xml:space="preserve">. </w:t>
      </w:r>
      <w:r w:rsidR="00605865" w:rsidRPr="002E062A">
        <w:rPr>
          <w:rFonts w:ascii="Arial" w:hAnsi="Arial"/>
          <w:lang w:val="es-CO"/>
        </w:rPr>
        <w:t>S</w:t>
      </w:r>
      <w:r w:rsidR="00605865" w:rsidRPr="002E062A">
        <w:rPr>
          <w:rFonts w:ascii="Arial" w:hAnsi="Arial" w:cs="Arial"/>
          <w:lang w:val="es-CO"/>
        </w:rPr>
        <w:t xml:space="preserve">e </w:t>
      </w:r>
      <w:r w:rsidR="003C06FD" w:rsidRPr="002E062A">
        <w:rPr>
          <w:rFonts w:ascii="Arial" w:hAnsi="Arial" w:cs="Arial"/>
          <w:lang w:val="es-CO"/>
        </w:rPr>
        <w:t xml:space="preserve">profirió </w:t>
      </w:r>
      <w:r w:rsidR="00B0316E" w:rsidRPr="002E062A">
        <w:rPr>
          <w:rFonts w:ascii="Arial" w:hAnsi="Arial" w:cs="Arial"/>
          <w:lang w:val="es-CO"/>
        </w:rPr>
        <w:t>sentencia</w:t>
      </w:r>
      <w:r w:rsidR="00B0316E" w:rsidRPr="002E062A">
        <w:rPr>
          <w:rFonts w:ascii="Arial" w:hAnsi="Arial"/>
          <w:lang w:val="es-CO"/>
        </w:rPr>
        <w:t xml:space="preserve"> e</w:t>
      </w:r>
      <w:r w:rsidR="00B0316E" w:rsidRPr="002E062A">
        <w:rPr>
          <w:rFonts w:ascii="Arial" w:hAnsi="Arial" w:cs="Arial"/>
          <w:lang w:val="es-CO"/>
        </w:rPr>
        <w:t xml:space="preserve">l </w:t>
      </w:r>
      <w:r w:rsidR="00752F73">
        <w:rPr>
          <w:rFonts w:ascii="Arial" w:hAnsi="Arial" w:cs="Arial"/>
          <w:lang w:val="es-CO"/>
        </w:rPr>
        <w:t xml:space="preserve">08-11-2016 </w:t>
      </w:r>
      <w:r w:rsidR="00B0316E" w:rsidRPr="002E062A">
        <w:rPr>
          <w:rFonts w:ascii="Arial" w:hAnsi="Arial" w:cs="Arial"/>
          <w:lang w:val="es-CO"/>
        </w:rPr>
        <w:t xml:space="preserve">(Folios </w:t>
      </w:r>
      <w:r w:rsidR="00752F73">
        <w:rPr>
          <w:rFonts w:ascii="Arial" w:hAnsi="Arial" w:cs="Arial"/>
          <w:lang w:val="es-CO"/>
        </w:rPr>
        <w:t>71 a 76</w:t>
      </w:r>
      <w:r w:rsidR="00F93FA3" w:rsidRPr="002E062A">
        <w:rPr>
          <w:rFonts w:ascii="Arial" w:hAnsi="Arial" w:cs="Arial"/>
          <w:lang w:val="es-CO"/>
        </w:rPr>
        <w:t xml:space="preserve">, </w:t>
      </w:r>
      <w:r w:rsidR="00B0316E" w:rsidRPr="002E062A">
        <w:rPr>
          <w:rFonts w:ascii="Arial" w:hAnsi="Arial"/>
          <w:lang w:val="es-CO"/>
        </w:rPr>
        <w:t>ib</w:t>
      </w:r>
      <w:r w:rsidR="00752F73">
        <w:rPr>
          <w:rFonts w:ascii="Arial" w:hAnsi="Arial"/>
          <w:lang w:val="es-CO"/>
        </w:rPr>
        <w:t>.),</w:t>
      </w:r>
      <w:r w:rsidR="00B0316E" w:rsidRPr="002E062A">
        <w:rPr>
          <w:rFonts w:ascii="Arial" w:hAnsi="Arial" w:cs="Arial"/>
          <w:lang w:val="es-CO"/>
        </w:rPr>
        <w:t xml:space="preserve"> como fuera impugnada </w:t>
      </w:r>
      <w:r w:rsidR="00F91B8E" w:rsidRPr="002E062A">
        <w:rPr>
          <w:rFonts w:ascii="Arial" w:hAnsi="Arial" w:cs="Arial"/>
          <w:lang w:val="es-CO"/>
        </w:rPr>
        <w:t xml:space="preserve">por </w:t>
      </w:r>
      <w:r w:rsidR="00752F73" w:rsidRPr="00752F73">
        <w:rPr>
          <w:rFonts w:ascii="Arial" w:hAnsi="Arial" w:cs="Arial"/>
          <w:sz w:val="22"/>
          <w:lang w:val="es-CO"/>
        </w:rPr>
        <w:t>ETEMCO SAS</w:t>
      </w:r>
      <w:r w:rsidR="00B0316E" w:rsidRPr="002E062A">
        <w:rPr>
          <w:rFonts w:ascii="Arial" w:hAnsi="Arial" w:cs="Arial"/>
          <w:lang w:val="es-CO"/>
        </w:rPr>
        <w:t xml:space="preserve">, fue </w:t>
      </w:r>
      <w:r w:rsidR="00B97650" w:rsidRPr="002E062A">
        <w:rPr>
          <w:rFonts w:ascii="Arial" w:hAnsi="Arial" w:cs="Arial"/>
          <w:lang w:val="es-CO"/>
        </w:rPr>
        <w:t xml:space="preserve">remitida </w:t>
      </w:r>
      <w:r w:rsidR="00B0316E" w:rsidRPr="002E062A">
        <w:rPr>
          <w:rFonts w:ascii="Arial" w:hAnsi="Arial" w:cs="Arial"/>
          <w:lang w:val="es-CO"/>
        </w:rPr>
        <w:t xml:space="preserve">a este Tribunal (Folio </w:t>
      </w:r>
      <w:r w:rsidR="00752F73">
        <w:rPr>
          <w:rFonts w:ascii="Arial" w:hAnsi="Arial" w:cs="Arial"/>
          <w:lang w:val="es-CO"/>
        </w:rPr>
        <w:t>95</w:t>
      </w:r>
      <w:r w:rsidR="00B0316E" w:rsidRPr="002E062A">
        <w:rPr>
          <w:rFonts w:ascii="Arial" w:hAnsi="Arial" w:cs="Arial"/>
          <w:lang w:val="es-CO"/>
        </w:rPr>
        <w:t>, ib.).</w:t>
      </w:r>
    </w:p>
    <w:p w:rsidR="00752F73" w:rsidRDefault="00752F73" w:rsidP="00092278">
      <w:pPr>
        <w:jc w:val="both"/>
        <w:rPr>
          <w:rFonts w:ascii="Arial" w:hAnsi="Arial" w:cs="Arial"/>
          <w:lang w:val="es-CO"/>
        </w:rPr>
      </w:pPr>
    </w:p>
    <w:p w:rsidR="00752F73" w:rsidRPr="003D0D68" w:rsidRDefault="00752F73" w:rsidP="00B0316E">
      <w:pPr>
        <w:spacing w:line="360" w:lineRule="auto"/>
        <w:jc w:val="both"/>
        <w:rPr>
          <w:rFonts w:ascii="Arial" w:hAnsi="Arial" w:cs="Arial"/>
          <w:lang w:val="es-CO"/>
        </w:rPr>
      </w:pPr>
      <w:r>
        <w:rPr>
          <w:rFonts w:ascii="Arial" w:hAnsi="Arial" w:cs="Arial"/>
          <w:lang w:val="es-CO"/>
        </w:rPr>
        <w:t xml:space="preserve">Ya </w:t>
      </w:r>
      <w:r w:rsidR="005C3CB6">
        <w:rPr>
          <w:rFonts w:ascii="Arial" w:hAnsi="Arial" w:cs="Arial"/>
          <w:lang w:val="es-CO"/>
        </w:rPr>
        <w:t xml:space="preserve">en </w:t>
      </w:r>
      <w:r>
        <w:rPr>
          <w:rFonts w:ascii="Arial" w:hAnsi="Arial" w:cs="Arial"/>
          <w:lang w:val="es-CO"/>
        </w:rPr>
        <w:t>esta instancia el 23-01-2017 se declaró la nulidad de lo actuado (Folio 16 a 17, cuaderno No.2)</w:t>
      </w:r>
      <w:r w:rsidR="003D0D68">
        <w:rPr>
          <w:rFonts w:ascii="Arial" w:hAnsi="Arial" w:cs="Arial"/>
          <w:lang w:val="es-CO"/>
        </w:rPr>
        <w:t>,</w:t>
      </w:r>
      <w:r w:rsidR="005C3CB6">
        <w:rPr>
          <w:rFonts w:ascii="Arial" w:hAnsi="Arial" w:cs="Arial"/>
          <w:lang w:val="es-CO"/>
        </w:rPr>
        <w:t xml:space="preserve"> retronado el expediente, </w:t>
      </w:r>
      <w:r>
        <w:rPr>
          <w:rFonts w:ascii="Arial" w:hAnsi="Arial" w:cs="Arial"/>
          <w:lang w:val="es-CO"/>
        </w:rPr>
        <w:t>el 31-01-2017 el despacho de origen ajustó el trámite de la tutela (Folio 100, cuaderno No.1)</w:t>
      </w:r>
      <w:r w:rsidR="005C3CB6">
        <w:rPr>
          <w:rFonts w:ascii="Arial" w:hAnsi="Arial" w:cs="Arial"/>
          <w:lang w:val="es-CO"/>
        </w:rPr>
        <w:t xml:space="preserve"> y el 14-02-2017 nuevamente dictó </w:t>
      </w:r>
      <w:r w:rsidR="005C3CB6">
        <w:rPr>
          <w:rFonts w:ascii="Arial" w:hAnsi="Arial" w:cs="Arial"/>
          <w:lang w:val="es-CO"/>
        </w:rPr>
        <w:lastRenderedPageBreak/>
        <w:t xml:space="preserve">sentencia (Folios 111 a 116, cuaderno No.1); impugnada por ambas partes, se concedió con auto del 01-03-2017, ante esta Corporación (Folio 155, cuaderno No.1). </w:t>
      </w:r>
      <w:r w:rsidR="00C939FF">
        <w:rPr>
          <w:rFonts w:ascii="Arial" w:hAnsi="Arial" w:cs="Arial"/>
          <w:lang w:val="es-CO"/>
        </w:rPr>
        <w:t xml:space="preserve">Finalmente el 29-03-2017 se citó a declaración a la accionante (Folio 4, cuaderno No.3), la que se practicó el 04-04-2017 (Folios 8 y 9, cuaderno No.3). </w:t>
      </w:r>
      <w:r w:rsidR="005C3CB6">
        <w:rPr>
          <w:rFonts w:ascii="Arial" w:hAnsi="Arial" w:cs="Arial"/>
          <w:lang w:val="es-CO"/>
        </w:rPr>
        <w:t xml:space="preserve">  </w:t>
      </w:r>
    </w:p>
    <w:p w:rsidR="00BB08B2" w:rsidRPr="008C3103" w:rsidRDefault="00BB08B2" w:rsidP="00F839CE">
      <w:pPr>
        <w:pStyle w:val="Corpsdetexte"/>
        <w:widowControl w:val="0"/>
        <w:spacing w:line="360" w:lineRule="auto"/>
        <w:rPr>
          <w:rFonts w:ascii="Arial" w:hAnsi="Arial"/>
          <w:lang w:val="es-CO"/>
        </w:rPr>
      </w:pPr>
    </w:p>
    <w:p w:rsidR="00745C39" w:rsidRDefault="00C939FF" w:rsidP="00C939FF">
      <w:pPr>
        <w:pStyle w:val="Corpsdetexte"/>
        <w:widowControl w:val="0"/>
        <w:spacing w:line="360" w:lineRule="auto"/>
        <w:rPr>
          <w:rFonts w:ascii="Arial" w:hAnsi="Arial" w:cs="Arial"/>
          <w:szCs w:val="24"/>
          <w:lang w:val="es-CO"/>
        </w:rPr>
      </w:pPr>
      <w:r>
        <w:rPr>
          <w:rFonts w:ascii="Arial" w:hAnsi="Arial" w:cs="Arial"/>
          <w:szCs w:val="24"/>
        </w:rPr>
        <w:t xml:space="preserve">En la sentencia impugnada se </w:t>
      </w:r>
      <w:r>
        <w:rPr>
          <w:rFonts w:ascii="Arial" w:hAnsi="Arial" w:cs="Arial"/>
          <w:szCs w:val="24"/>
          <w:lang w:val="es-CO"/>
        </w:rPr>
        <w:t xml:space="preserve">concedió </w:t>
      </w:r>
      <w:r w:rsidR="00605865" w:rsidRPr="003D195F">
        <w:rPr>
          <w:rFonts w:ascii="Arial" w:hAnsi="Arial" w:cs="Arial"/>
          <w:szCs w:val="24"/>
          <w:lang w:val="es-CO"/>
        </w:rPr>
        <w:t>el amparo</w:t>
      </w:r>
      <w:r w:rsidR="00F91B8E">
        <w:rPr>
          <w:rFonts w:ascii="Arial" w:hAnsi="Arial" w:cs="Arial"/>
          <w:szCs w:val="24"/>
          <w:lang w:val="es-CO"/>
        </w:rPr>
        <w:t xml:space="preserve"> </w:t>
      </w:r>
      <w:r>
        <w:rPr>
          <w:rFonts w:ascii="Arial" w:hAnsi="Arial" w:cs="Arial"/>
          <w:szCs w:val="24"/>
          <w:lang w:val="es-CO"/>
        </w:rPr>
        <w:t xml:space="preserve">de los derechos fundamentales como mecanismo transitorio, se </w:t>
      </w:r>
      <w:r w:rsidR="00212E85">
        <w:rPr>
          <w:rFonts w:ascii="Arial" w:hAnsi="Arial" w:cs="Arial"/>
          <w:szCs w:val="24"/>
          <w:lang w:val="es-CO"/>
        </w:rPr>
        <w:t>declaró la ilegalidad de la terminación del contrato</w:t>
      </w:r>
      <w:r>
        <w:rPr>
          <w:rFonts w:ascii="Arial" w:hAnsi="Arial" w:cs="Arial"/>
          <w:szCs w:val="24"/>
          <w:lang w:val="es-CO"/>
        </w:rPr>
        <w:t xml:space="preserve"> y se le concedió a la actora un plazo de cuatro (4) meses para que promoviera el proceso laboral respectivo. Lo anterior con fundamento en que la actora se encontraba en estado de debilidad manifiesta, la accionada conocía con anterioridad a la terminación del contrato sobre su estado de salud </w:t>
      </w:r>
      <w:r w:rsidR="00212E85">
        <w:rPr>
          <w:rFonts w:ascii="Arial" w:hAnsi="Arial" w:cs="Arial"/>
          <w:szCs w:val="24"/>
          <w:lang w:val="es-CO"/>
        </w:rPr>
        <w:t xml:space="preserve">e inexiste </w:t>
      </w:r>
      <w:r>
        <w:rPr>
          <w:rFonts w:ascii="Arial" w:hAnsi="Arial" w:cs="Arial"/>
          <w:szCs w:val="24"/>
          <w:lang w:val="es-CO"/>
        </w:rPr>
        <w:t xml:space="preserve">autorización del Ministerio de Trabajo para </w:t>
      </w:r>
      <w:r w:rsidR="00212E85">
        <w:rPr>
          <w:rFonts w:ascii="Arial" w:hAnsi="Arial" w:cs="Arial"/>
          <w:szCs w:val="24"/>
          <w:lang w:val="es-CO"/>
        </w:rPr>
        <w:t xml:space="preserve">que </w:t>
      </w:r>
      <w:r>
        <w:rPr>
          <w:rFonts w:ascii="Arial" w:hAnsi="Arial" w:cs="Arial"/>
          <w:szCs w:val="24"/>
          <w:lang w:val="es-CO"/>
        </w:rPr>
        <w:t xml:space="preserve">no </w:t>
      </w:r>
      <w:r w:rsidR="00212E85">
        <w:rPr>
          <w:rFonts w:ascii="Arial" w:hAnsi="Arial" w:cs="Arial"/>
          <w:szCs w:val="24"/>
          <w:lang w:val="es-CO"/>
        </w:rPr>
        <w:t xml:space="preserve">se renovara </w:t>
      </w:r>
      <w:r>
        <w:rPr>
          <w:rFonts w:ascii="Arial" w:hAnsi="Arial" w:cs="Arial"/>
          <w:szCs w:val="24"/>
          <w:lang w:val="es-CO"/>
        </w:rPr>
        <w:t>del contrato laboral</w:t>
      </w:r>
      <w:r w:rsidR="00E9486E">
        <w:rPr>
          <w:rFonts w:ascii="Arial" w:hAnsi="Arial" w:cs="Arial"/>
          <w:szCs w:val="24"/>
          <w:lang w:val="es-CO"/>
        </w:rPr>
        <w:t xml:space="preserve"> </w:t>
      </w:r>
      <w:r w:rsidR="00745C39" w:rsidRPr="003D195F">
        <w:rPr>
          <w:rFonts w:ascii="Arial" w:hAnsi="Arial" w:cs="Arial"/>
          <w:szCs w:val="24"/>
          <w:lang w:val="es-CO"/>
        </w:rPr>
        <w:t>(</w:t>
      </w:r>
      <w:r w:rsidR="00F93FA3" w:rsidRPr="003D195F">
        <w:rPr>
          <w:rFonts w:ascii="Arial" w:hAnsi="Arial" w:cs="Arial"/>
          <w:lang w:val="es-CO"/>
        </w:rPr>
        <w:t xml:space="preserve">Folios </w:t>
      </w:r>
      <w:r>
        <w:rPr>
          <w:rFonts w:ascii="Arial" w:hAnsi="Arial" w:cs="Arial"/>
          <w:lang w:val="es-CO"/>
        </w:rPr>
        <w:t>111 a 116</w:t>
      </w:r>
      <w:r w:rsidR="00F93FA3">
        <w:rPr>
          <w:rFonts w:ascii="Arial" w:hAnsi="Arial" w:cs="Arial"/>
          <w:lang w:val="es-CO"/>
        </w:rPr>
        <w:t xml:space="preserve">, </w:t>
      </w:r>
      <w:r>
        <w:rPr>
          <w:rFonts w:ascii="Arial" w:hAnsi="Arial" w:cs="Arial"/>
          <w:lang w:val="es-CO"/>
        </w:rPr>
        <w:t>c</w:t>
      </w:r>
      <w:r>
        <w:rPr>
          <w:rFonts w:ascii="Arial" w:hAnsi="Arial"/>
          <w:lang w:val="es-CO"/>
        </w:rPr>
        <w:t>uaderno No.1</w:t>
      </w:r>
      <w:r w:rsidR="00745C39" w:rsidRPr="003D195F">
        <w:rPr>
          <w:rFonts w:ascii="Arial" w:hAnsi="Arial" w:cs="Arial"/>
          <w:szCs w:val="24"/>
          <w:lang w:val="es-CO"/>
        </w:rPr>
        <w:t xml:space="preserve">). </w:t>
      </w:r>
    </w:p>
    <w:p w:rsidR="00092278" w:rsidRPr="003D195F" w:rsidRDefault="00092278" w:rsidP="00C939FF">
      <w:pPr>
        <w:pStyle w:val="Corpsdetexte"/>
        <w:widowControl w:val="0"/>
        <w:spacing w:line="360" w:lineRule="auto"/>
        <w:rPr>
          <w:rFonts w:ascii="Arial" w:hAnsi="Arial" w:cs="Arial"/>
          <w:szCs w:val="24"/>
          <w:lang w:val="es-CO"/>
        </w:rPr>
      </w:pPr>
    </w:p>
    <w:p w:rsidR="00DC1470" w:rsidRDefault="00C939FF" w:rsidP="00957767">
      <w:pPr>
        <w:pStyle w:val="Corpsdetexte"/>
        <w:widowControl w:val="0"/>
        <w:spacing w:line="360" w:lineRule="auto"/>
        <w:rPr>
          <w:rFonts w:ascii="Arial" w:hAnsi="Arial" w:cs="Arial"/>
          <w:szCs w:val="24"/>
        </w:rPr>
      </w:pPr>
      <w:r>
        <w:rPr>
          <w:rFonts w:ascii="Arial" w:hAnsi="Arial" w:cs="Arial"/>
          <w:szCs w:val="24"/>
        </w:rPr>
        <w:t>La accionante se queja de que no</w:t>
      </w:r>
      <w:r w:rsidR="009B6208">
        <w:rPr>
          <w:rFonts w:ascii="Arial" w:hAnsi="Arial" w:cs="Arial"/>
          <w:szCs w:val="24"/>
        </w:rPr>
        <w:t xml:space="preserve"> se haya ordenado el reintegro, el</w:t>
      </w:r>
      <w:r>
        <w:rPr>
          <w:rFonts w:ascii="Arial" w:hAnsi="Arial" w:cs="Arial"/>
          <w:szCs w:val="24"/>
        </w:rPr>
        <w:t xml:space="preserve"> pago de salarios y prestaciones sociales</w:t>
      </w:r>
      <w:r w:rsidR="009B6208">
        <w:rPr>
          <w:rFonts w:ascii="Arial" w:hAnsi="Arial" w:cs="Arial"/>
          <w:szCs w:val="24"/>
        </w:rPr>
        <w:t>, ni la indemnización legal, pese a su condición de debilidad manifiesta</w:t>
      </w:r>
      <w:r w:rsidR="00212E85">
        <w:rPr>
          <w:rFonts w:ascii="Arial" w:hAnsi="Arial" w:cs="Arial"/>
          <w:szCs w:val="24"/>
        </w:rPr>
        <w:t>,</w:t>
      </w:r>
      <w:r w:rsidR="009B6208">
        <w:rPr>
          <w:rFonts w:ascii="Arial" w:hAnsi="Arial" w:cs="Arial"/>
          <w:szCs w:val="24"/>
        </w:rPr>
        <w:t xml:space="preserve"> aunada a la ausencia de autorización del inspector de trabajo; </w:t>
      </w:r>
      <w:r>
        <w:rPr>
          <w:rFonts w:ascii="Arial" w:hAnsi="Arial" w:cs="Arial"/>
          <w:szCs w:val="24"/>
        </w:rPr>
        <w:t xml:space="preserve">también, de que </w:t>
      </w:r>
      <w:r w:rsidR="009B6208">
        <w:rPr>
          <w:rFonts w:ascii="Arial" w:hAnsi="Arial" w:cs="Arial"/>
          <w:szCs w:val="24"/>
        </w:rPr>
        <w:t>deba demandar ante la jurisdicción ordinaria</w:t>
      </w:r>
      <w:r>
        <w:rPr>
          <w:rFonts w:ascii="Arial" w:hAnsi="Arial" w:cs="Arial"/>
          <w:szCs w:val="24"/>
        </w:rPr>
        <w:t xml:space="preserve"> </w:t>
      </w:r>
      <w:r w:rsidR="009B6208">
        <w:rPr>
          <w:rFonts w:ascii="Arial" w:hAnsi="Arial" w:cs="Arial"/>
          <w:szCs w:val="24"/>
        </w:rPr>
        <w:t>el reconocimiento del despido injusto</w:t>
      </w:r>
      <w:r w:rsidR="00212E85">
        <w:rPr>
          <w:rFonts w:ascii="Arial" w:hAnsi="Arial" w:cs="Arial"/>
          <w:szCs w:val="24"/>
        </w:rPr>
        <w:t xml:space="preserve"> (Folios 122 a 130, cuaderno No.1)</w:t>
      </w:r>
      <w:r w:rsidR="009B6208">
        <w:rPr>
          <w:rFonts w:ascii="Arial" w:hAnsi="Arial" w:cs="Arial"/>
          <w:szCs w:val="24"/>
        </w:rPr>
        <w:t xml:space="preserve">. </w:t>
      </w:r>
    </w:p>
    <w:p w:rsidR="009B6208" w:rsidRDefault="009B6208" w:rsidP="00957767">
      <w:pPr>
        <w:pStyle w:val="Corpsdetexte"/>
        <w:widowControl w:val="0"/>
        <w:spacing w:line="360" w:lineRule="auto"/>
        <w:rPr>
          <w:rFonts w:ascii="Arial" w:hAnsi="Arial" w:cs="Arial"/>
          <w:szCs w:val="24"/>
        </w:rPr>
      </w:pPr>
    </w:p>
    <w:p w:rsidR="004C5184" w:rsidRDefault="009B6208" w:rsidP="008237BF">
      <w:pPr>
        <w:pStyle w:val="Corpsdetexte"/>
        <w:spacing w:line="360" w:lineRule="auto"/>
        <w:rPr>
          <w:rFonts w:ascii="Arial" w:hAnsi="Arial"/>
          <w:szCs w:val="24"/>
          <w:lang w:val="es-CO"/>
        </w:rPr>
      </w:pPr>
      <w:r>
        <w:rPr>
          <w:rFonts w:ascii="Arial" w:hAnsi="Arial"/>
          <w:szCs w:val="24"/>
          <w:lang w:val="es-CO"/>
        </w:rPr>
        <w:t xml:space="preserve">Por su parte, </w:t>
      </w:r>
      <w:r w:rsidRPr="009B6208">
        <w:rPr>
          <w:rFonts w:ascii="Arial" w:hAnsi="Arial"/>
          <w:sz w:val="22"/>
          <w:szCs w:val="24"/>
          <w:lang w:val="es-CO"/>
        </w:rPr>
        <w:t xml:space="preserve">ETEMCO SAS </w:t>
      </w:r>
      <w:r>
        <w:rPr>
          <w:rFonts w:ascii="Arial" w:hAnsi="Arial"/>
          <w:szCs w:val="24"/>
          <w:lang w:val="es-CO"/>
        </w:rPr>
        <w:t xml:space="preserve">arguyó que es inexistente prueba </w:t>
      </w:r>
      <w:r w:rsidR="004C5184">
        <w:rPr>
          <w:rFonts w:ascii="Arial" w:hAnsi="Arial"/>
          <w:szCs w:val="24"/>
          <w:lang w:val="es-CO"/>
        </w:rPr>
        <w:t xml:space="preserve">de que la accionante se encontrara incapacitada al momento de la terminación del contrato o que no pudiera desempeñar su labor, ni que se le haya dificultado, </w:t>
      </w:r>
      <w:r w:rsidR="00212E85">
        <w:rPr>
          <w:rFonts w:ascii="Arial" w:hAnsi="Arial"/>
          <w:szCs w:val="24"/>
          <w:lang w:val="es-CO"/>
        </w:rPr>
        <w:t xml:space="preserve">pues </w:t>
      </w:r>
      <w:r w:rsidR="004C5184">
        <w:rPr>
          <w:rFonts w:ascii="Arial" w:hAnsi="Arial"/>
          <w:szCs w:val="24"/>
          <w:lang w:val="es-CO"/>
        </w:rPr>
        <w:t xml:space="preserve">padece la enfermedad desde el año 2014 y nunca le impidió laborar. También, que laboró en otra empresa con posterioridad al primer fallo de tutela. Expuso, además, que no hubo discriminación alguna, pues conocía de </w:t>
      </w:r>
      <w:r w:rsidR="00212E85">
        <w:rPr>
          <w:rFonts w:ascii="Arial" w:hAnsi="Arial"/>
          <w:szCs w:val="24"/>
          <w:lang w:val="es-CO"/>
        </w:rPr>
        <w:t>sus</w:t>
      </w:r>
      <w:r w:rsidR="004C5184">
        <w:rPr>
          <w:rFonts w:ascii="Arial" w:hAnsi="Arial"/>
          <w:szCs w:val="24"/>
          <w:lang w:val="es-CO"/>
        </w:rPr>
        <w:t xml:space="preserve"> padecimientos</w:t>
      </w:r>
      <w:r w:rsidR="00212E85">
        <w:rPr>
          <w:rFonts w:ascii="Arial" w:hAnsi="Arial"/>
          <w:szCs w:val="24"/>
          <w:lang w:val="es-CO"/>
        </w:rPr>
        <w:t>, los cuales, según el examen de ingre</w:t>
      </w:r>
      <w:r w:rsidR="00C81885">
        <w:rPr>
          <w:rFonts w:ascii="Arial" w:hAnsi="Arial"/>
          <w:szCs w:val="24"/>
          <w:lang w:val="es-CO"/>
        </w:rPr>
        <w:t>so que se le realizó, nunca serí</w:t>
      </w:r>
      <w:r w:rsidR="00212E85">
        <w:rPr>
          <w:rFonts w:ascii="Arial" w:hAnsi="Arial"/>
          <w:szCs w:val="24"/>
          <w:lang w:val="es-CO"/>
        </w:rPr>
        <w:t xml:space="preserve">an </w:t>
      </w:r>
      <w:r w:rsidR="004C5184">
        <w:rPr>
          <w:rFonts w:ascii="Arial" w:hAnsi="Arial"/>
          <w:szCs w:val="24"/>
          <w:lang w:val="es-CO"/>
        </w:rPr>
        <w:t xml:space="preserve">impedimento para </w:t>
      </w:r>
      <w:r w:rsidR="00212E85">
        <w:rPr>
          <w:rFonts w:ascii="Arial" w:hAnsi="Arial"/>
          <w:szCs w:val="24"/>
          <w:lang w:val="es-CO"/>
        </w:rPr>
        <w:t xml:space="preserve">que </w:t>
      </w:r>
      <w:r w:rsidR="004C5184">
        <w:rPr>
          <w:rFonts w:ascii="Arial" w:hAnsi="Arial"/>
          <w:szCs w:val="24"/>
          <w:lang w:val="es-CO"/>
        </w:rPr>
        <w:t>desempeñar</w:t>
      </w:r>
      <w:r w:rsidR="00212E85">
        <w:rPr>
          <w:rFonts w:ascii="Arial" w:hAnsi="Arial"/>
          <w:szCs w:val="24"/>
          <w:lang w:val="es-CO"/>
        </w:rPr>
        <w:t>a</w:t>
      </w:r>
      <w:r w:rsidR="004C5184">
        <w:rPr>
          <w:rFonts w:ascii="Arial" w:hAnsi="Arial"/>
          <w:szCs w:val="24"/>
          <w:lang w:val="es-CO"/>
        </w:rPr>
        <w:t xml:space="preserve"> sus funciones. La empresa no dio por terminado el contrato por virtud de la enfermedad, sino porque culminó el periodo pactado</w:t>
      </w:r>
      <w:r w:rsidR="00212E85">
        <w:rPr>
          <w:rFonts w:ascii="Arial" w:hAnsi="Arial"/>
          <w:szCs w:val="24"/>
          <w:lang w:val="es-CO"/>
        </w:rPr>
        <w:t>,</w:t>
      </w:r>
      <w:r w:rsidR="004C5184">
        <w:rPr>
          <w:rFonts w:ascii="Arial" w:hAnsi="Arial"/>
          <w:szCs w:val="24"/>
          <w:lang w:val="es-CO"/>
        </w:rPr>
        <w:t xml:space="preserve"> y la </w:t>
      </w:r>
      <w:r w:rsidR="00C81885">
        <w:rPr>
          <w:rFonts w:ascii="Arial" w:hAnsi="Arial"/>
          <w:szCs w:val="24"/>
          <w:lang w:val="es-CO"/>
        </w:rPr>
        <w:t>falta de</w:t>
      </w:r>
      <w:r w:rsidR="004C5184">
        <w:rPr>
          <w:rFonts w:ascii="Arial" w:hAnsi="Arial"/>
          <w:szCs w:val="24"/>
          <w:lang w:val="es-CO"/>
        </w:rPr>
        <w:t xml:space="preserve"> renovación</w:t>
      </w:r>
      <w:r w:rsidR="00212E85">
        <w:rPr>
          <w:rFonts w:ascii="Arial" w:hAnsi="Arial"/>
          <w:szCs w:val="24"/>
          <w:lang w:val="es-CO"/>
        </w:rPr>
        <w:t>,</w:t>
      </w:r>
      <w:r w:rsidR="004C5184">
        <w:rPr>
          <w:rFonts w:ascii="Arial" w:hAnsi="Arial"/>
          <w:szCs w:val="24"/>
          <w:lang w:val="es-CO"/>
        </w:rPr>
        <w:t xml:space="preserve"> </w:t>
      </w:r>
      <w:r w:rsidR="00C81885">
        <w:rPr>
          <w:rFonts w:ascii="Arial" w:hAnsi="Arial"/>
          <w:szCs w:val="24"/>
          <w:lang w:val="es-CO"/>
        </w:rPr>
        <w:t xml:space="preserve">fue </w:t>
      </w:r>
      <w:r w:rsidR="00212E85">
        <w:rPr>
          <w:rFonts w:ascii="Arial" w:hAnsi="Arial"/>
          <w:szCs w:val="24"/>
          <w:lang w:val="es-CO"/>
        </w:rPr>
        <w:t xml:space="preserve">debido </w:t>
      </w:r>
      <w:r w:rsidR="004C5184">
        <w:rPr>
          <w:rFonts w:ascii="Arial" w:hAnsi="Arial"/>
          <w:szCs w:val="24"/>
          <w:lang w:val="es-CO"/>
        </w:rPr>
        <w:t>a justificaciones administrativas</w:t>
      </w:r>
      <w:r w:rsidR="00212E85">
        <w:rPr>
          <w:rFonts w:ascii="Arial" w:hAnsi="Arial"/>
          <w:szCs w:val="24"/>
          <w:lang w:val="es-CO"/>
        </w:rPr>
        <w:t xml:space="preserve"> (Folios 143 a 145, cuaderno No.1)</w:t>
      </w:r>
      <w:r w:rsidR="004C5184">
        <w:rPr>
          <w:rFonts w:ascii="Arial" w:hAnsi="Arial"/>
          <w:szCs w:val="24"/>
          <w:lang w:val="es-CO"/>
        </w:rPr>
        <w:t xml:space="preserve">.  </w:t>
      </w:r>
    </w:p>
    <w:p w:rsidR="00481884" w:rsidRDefault="00481884" w:rsidP="008237BF">
      <w:pPr>
        <w:pStyle w:val="Corpsdetexte"/>
        <w:spacing w:line="360" w:lineRule="auto"/>
        <w:rPr>
          <w:rFonts w:ascii="Arial" w:hAnsi="Arial"/>
          <w:szCs w:val="24"/>
          <w:lang w:val="es-CO"/>
        </w:rPr>
      </w:pPr>
    </w:p>
    <w:p w:rsidR="002F20AB" w:rsidRDefault="002F20AB"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DC1470" w:rsidRDefault="00A67268" w:rsidP="00F839CE">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p>
    <w:p w:rsidR="00705CAA" w:rsidRDefault="002F20AB" w:rsidP="00212E85">
      <w:pPr>
        <w:pStyle w:val="Corpsdetexte"/>
        <w:numPr>
          <w:ilvl w:val="1"/>
          <w:numId w:val="30"/>
        </w:numPr>
        <w:spacing w:line="360" w:lineRule="auto"/>
        <w:rPr>
          <w:rFonts w:ascii="Arial" w:hAnsi="Arial" w:cs="Arial"/>
          <w:lang w:val="es-CO"/>
        </w:rPr>
      </w:pPr>
      <w:r w:rsidRPr="00212E85">
        <w:rPr>
          <w:rFonts w:ascii="Arial" w:hAnsi="Arial"/>
          <w:smallCaps/>
          <w:szCs w:val="24"/>
        </w:rPr>
        <w:t>La competencia funcional</w:t>
      </w:r>
      <w:r w:rsidR="00212E85">
        <w:rPr>
          <w:rFonts w:ascii="Arial" w:hAnsi="Arial"/>
          <w:smallCaps/>
          <w:szCs w:val="24"/>
        </w:rPr>
        <w:t xml:space="preserve">: </w:t>
      </w:r>
      <w:r w:rsidR="00705CAA" w:rsidRPr="003D195F">
        <w:rPr>
          <w:rFonts w:ascii="Arial" w:hAnsi="Arial" w:cs="Arial"/>
          <w:lang w:val="es-CO"/>
        </w:rPr>
        <w:t xml:space="preserve">Esta </w:t>
      </w:r>
      <w:r w:rsidR="003E442C">
        <w:rPr>
          <w:rFonts w:ascii="Arial" w:hAnsi="Arial" w:cs="Arial"/>
          <w:lang w:val="es-CO"/>
        </w:rPr>
        <w:t xml:space="preserve">Corporación </w:t>
      </w:r>
      <w:r w:rsidR="00705CAA" w:rsidRPr="003D195F">
        <w:rPr>
          <w:rFonts w:ascii="Arial" w:hAnsi="Arial" w:cs="Arial"/>
          <w:lang w:val="es-CO"/>
        </w:rPr>
        <w:t xml:space="preserve">está facultada en forma legal para desatar la controversia puesta a su consideración, por ser </w:t>
      </w:r>
      <w:r w:rsidR="00921078">
        <w:rPr>
          <w:rFonts w:ascii="Arial" w:hAnsi="Arial" w:cs="Arial"/>
          <w:lang w:val="es-CO"/>
        </w:rPr>
        <w:t xml:space="preserve">la </w:t>
      </w:r>
      <w:r w:rsidR="00705CAA" w:rsidRPr="003D195F">
        <w:rPr>
          <w:rFonts w:ascii="Arial" w:hAnsi="Arial" w:cs="Arial"/>
          <w:lang w:val="es-CO"/>
        </w:rPr>
        <w:t>superior</w:t>
      </w:r>
      <w:r w:rsidR="00921078">
        <w:rPr>
          <w:rFonts w:ascii="Arial" w:hAnsi="Arial" w:cs="Arial"/>
          <w:lang w:val="es-CO"/>
        </w:rPr>
        <w:t>a jerárquica</w:t>
      </w:r>
      <w:r w:rsidR="00705CAA" w:rsidRPr="003D195F">
        <w:rPr>
          <w:rFonts w:ascii="Arial" w:hAnsi="Arial" w:cs="Arial"/>
          <w:lang w:val="es-CO"/>
        </w:rPr>
        <w:t xml:space="preserve"> del </w:t>
      </w:r>
      <w:r w:rsidR="003E442C">
        <w:rPr>
          <w:rFonts w:ascii="Arial" w:hAnsi="Arial" w:cs="Arial"/>
          <w:lang w:val="es-CO"/>
        </w:rPr>
        <w:t xml:space="preserve">Juzgado </w:t>
      </w:r>
      <w:r w:rsidR="00705CAA" w:rsidRPr="003D195F">
        <w:rPr>
          <w:rFonts w:ascii="Arial" w:hAnsi="Arial" w:cs="Arial"/>
          <w:lang w:val="es-CO"/>
        </w:rPr>
        <w:t>que conoció en primera instancia (Artículo 32 del Decreto 2591 de 1991).</w:t>
      </w:r>
    </w:p>
    <w:p w:rsidR="00212E85" w:rsidRDefault="00212E85" w:rsidP="00705CAA">
      <w:pPr>
        <w:spacing w:line="360" w:lineRule="auto"/>
        <w:jc w:val="both"/>
        <w:rPr>
          <w:rFonts w:ascii="Arial" w:hAnsi="Arial" w:cs="Arial"/>
          <w:lang w:val="es-CO"/>
        </w:rPr>
      </w:pPr>
    </w:p>
    <w:p w:rsidR="00546F93" w:rsidRPr="004F1C04" w:rsidRDefault="00546F93" w:rsidP="00546F93">
      <w:pPr>
        <w:pStyle w:val="Corpsdetexte"/>
        <w:numPr>
          <w:ilvl w:val="1"/>
          <w:numId w:val="30"/>
        </w:numPr>
        <w:tabs>
          <w:tab w:val="clear" w:pos="0"/>
          <w:tab w:val="clear" w:pos="708"/>
          <w:tab w:val="clear" w:pos="1416"/>
        </w:tabs>
        <w:spacing w:line="360" w:lineRule="auto"/>
        <w:rPr>
          <w:rFonts w:ascii="Arial" w:hAnsi="Arial" w:cs="Arial"/>
          <w:szCs w:val="24"/>
        </w:rPr>
      </w:pPr>
      <w:r w:rsidRPr="004F1C04">
        <w:rPr>
          <w:rFonts w:ascii="Arial" w:hAnsi="Arial"/>
          <w:smallCaps/>
          <w:szCs w:val="24"/>
        </w:rPr>
        <w:lastRenderedPageBreak/>
        <w:t xml:space="preserve">La legitimación en la causa: </w:t>
      </w:r>
      <w:r w:rsidRPr="004F1C04">
        <w:rPr>
          <w:rFonts w:ascii="Arial" w:hAnsi="Arial" w:cs="Arial"/>
          <w:szCs w:val="24"/>
          <w:lang w:val="es-CO"/>
        </w:rPr>
        <w:t xml:space="preserve">Por activa se cumple porque </w:t>
      </w:r>
      <w:r w:rsidRPr="004F1C04">
        <w:rPr>
          <w:rFonts w:ascii="Arial" w:hAnsi="Arial" w:cs="Arial"/>
          <w:szCs w:val="24"/>
        </w:rPr>
        <w:t xml:space="preserve">la señora Viviana Solarte Burbano laboró en el Hospital San Jorge de Pereira por cuenta de la empresa </w:t>
      </w:r>
      <w:r w:rsidRPr="004F1C04">
        <w:rPr>
          <w:rFonts w:ascii="Arial" w:hAnsi="Arial" w:cs="Arial"/>
          <w:sz w:val="22"/>
          <w:szCs w:val="24"/>
        </w:rPr>
        <w:t xml:space="preserve">ETEMCO SAS; </w:t>
      </w:r>
      <w:r w:rsidRPr="004F1C04">
        <w:rPr>
          <w:rFonts w:ascii="Arial" w:hAnsi="Arial" w:cs="Arial"/>
          <w:szCs w:val="24"/>
        </w:rPr>
        <w:t xml:space="preserve">y por pasiva lo es </w:t>
      </w:r>
      <w:r w:rsidRPr="004F1C04">
        <w:rPr>
          <w:rFonts w:ascii="Arial" w:hAnsi="Arial" w:cs="Arial"/>
          <w:sz w:val="22"/>
          <w:szCs w:val="24"/>
        </w:rPr>
        <w:t xml:space="preserve">ETEMCO SAS </w:t>
      </w:r>
      <w:r w:rsidR="00C81885">
        <w:rPr>
          <w:rFonts w:ascii="Arial" w:hAnsi="Arial" w:cs="Arial"/>
          <w:szCs w:val="24"/>
        </w:rPr>
        <w:t>porque fue quien contrató</w:t>
      </w:r>
      <w:r w:rsidRPr="004F1C04">
        <w:rPr>
          <w:rFonts w:ascii="Arial" w:hAnsi="Arial" w:cs="Arial"/>
          <w:szCs w:val="24"/>
        </w:rPr>
        <w:t xml:space="preserve"> sus servicios.</w:t>
      </w:r>
      <w:r>
        <w:rPr>
          <w:rFonts w:ascii="Arial" w:hAnsi="Arial" w:cs="Arial"/>
          <w:szCs w:val="24"/>
        </w:rPr>
        <w:t xml:space="preserve"> </w:t>
      </w:r>
      <w:r w:rsidRPr="004F1C04">
        <w:rPr>
          <w:rFonts w:ascii="Arial" w:hAnsi="Arial" w:cs="Arial"/>
          <w:szCs w:val="24"/>
        </w:rPr>
        <w:t xml:space="preserve">No sucede lo mismo respecto del aludido Hospital debido a que no contrató a la actora.  </w:t>
      </w:r>
    </w:p>
    <w:p w:rsidR="00546F93" w:rsidRDefault="00546F93" w:rsidP="00705CAA">
      <w:pPr>
        <w:spacing w:line="360" w:lineRule="auto"/>
        <w:jc w:val="both"/>
        <w:rPr>
          <w:rFonts w:ascii="Arial" w:hAnsi="Arial" w:cs="Arial"/>
          <w:lang w:val="es-CO"/>
        </w:rPr>
      </w:pPr>
    </w:p>
    <w:p w:rsidR="00705CAA" w:rsidRPr="00212E85" w:rsidRDefault="002F20AB" w:rsidP="00546F93">
      <w:pPr>
        <w:pStyle w:val="Corpsdetexte"/>
        <w:numPr>
          <w:ilvl w:val="1"/>
          <w:numId w:val="30"/>
        </w:numPr>
        <w:tabs>
          <w:tab w:val="clear" w:pos="708"/>
        </w:tabs>
        <w:spacing w:line="360" w:lineRule="auto"/>
        <w:rPr>
          <w:rFonts w:ascii="Arial" w:hAnsi="Arial"/>
          <w:szCs w:val="24"/>
          <w:lang w:val="es-CO"/>
        </w:rPr>
      </w:pPr>
      <w:r w:rsidRPr="00212E85">
        <w:rPr>
          <w:rFonts w:ascii="Arial" w:hAnsi="Arial"/>
          <w:smallCaps/>
          <w:szCs w:val="24"/>
        </w:rPr>
        <w:t>El problema jurídico a resolver</w:t>
      </w:r>
      <w:r w:rsidR="00212E85" w:rsidRPr="00212E85">
        <w:rPr>
          <w:rFonts w:ascii="Arial" w:hAnsi="Arial"/>
          <w:smallCaps/>
          <w:szCs w:val="24"/>
        </w:rPr>
        <w:t xml:space="preserve">: </w:t>
      </w:r>
      <w:r w:rsidR="00CA026F" w:rsidRPr="00212E85">
        <w:rPr>
          <w:rFonts w:ascii="Arial" w:hAnsi="Arial" w:cs="Arial"/>
          <w:szCs w:val="24"/>
        </w:rPr>
        <w:t xml:space="preserve">¿Es </w:t>
      </w:r>
      <w:r w:rsidR="00286208" w:rsidRPr="00212E85">
        <w:rPr>
          <w:rFonts w:ascii="Arial" w:hAnsi="Arial" w:cs="Arial"/>
          <w:szCs w:val="24"/>
        </w:rPr>
        <w:t xml:space="preserve"> </w:t>
      </w:r>
      <w:r w:rsidR="00CA026F" w:rsidRPr="00212E85">
        <w:rPr>
          <w:rFonts w:ascii="Arial" w:hAnsi="Arial" w:cs="Arial"/>
          <w:szCs w:val="24"/>
        </w:rPr>
        <w:t xml:space="preserve">procedente </w:t>
      </w:r>
      <w:r w:rsidR="00286208" w:rsidRPr="00212E85">
        <w:rPr>
          <w:rFonts w:ascii="Arial" w:hAnsi="Arial" w:cs="Arial"/>
          <w:szCs w:val="24"/>
        </w:rPr>
        <w:t xml:space="preserve"> </w:t>
      </w:r>
      <w:r w:rsidR="00CA026F" w:rsidRPr="00212E85">
        <w:rPr>
          <w:rFonts w:ascii="Arial" w:hAnsi="Arial" w:cs="Arial"/>
          <w:szCs w:val="24"/>
        </w:rPr>
        <w:t xml:space="preserve">confirmar, </w:t>
      </w:r>
      <w:r w:rsidR="00286208" w:rsidRPr="00212E85">
        <w:rPr>
          <w:rFonts w:ascii="Arial" w:hAnsi="Arial" w:cs="Arial"/>
          <w:szCs w:val="24"/>
        </w:rPr>
        <w:t xml:space="preserve"> </w:t>
      </w:r>
      <w:r w:rsidR="00CA026F" w:rsidRPr="00212E85">
        <w:rPr>
          <w:rFonts w:ascii="Arial" w:hAnsi="Arial" w:cs="Arial"/>
          <w:szCs w:val="24"/>
        </w:rPr>
        <w:t xml:space="preserve">modificar o revocar la sentencia del </w:t>
      </w:r>
      <w:r w:rsidR="00CA026F" w:rsidRPr="00212E85">
        <w:rPr>
          <w:rFonts w:ascii="Arial" w:hAnsi="Arial"/>
        </w:rPr>
        <w:t>Juzgado</w:t>
      </w:r>
      <w:r w:rsidR="00705CAA" w:rsidRPr="00212E85">
        <w:rPr>
          <w:rFonts w:ascii="Arial" w:hAnsi="Arial"/>
        </w:rPr>
        <w:t xml:space="preserve"> </w:t>
      </w:r>
      <w:r w:rsidR="00212E85">
        <w:rPr>
          <w:rFonts w:ascii="Arial" w:hAnsi="Arial"/>
        </w:rPr>
        <w:t>Tercero de Familia de Pereira</w:t>
      </w:r>
      <w:r w:rsidR="0077234A" w:rsidRPr="00212E85">
        <w:rPr>
          <w:rFonts w:ascii="Arial" w:hAnsi="Arial"/>
          <w:szCs w:val="24"/>
        </w:rPr>
        <w:t xml:space="preserve">, </w:t>
      </w:r>
      <w:r w:rsidR="00705CAA" w:rsidRPr="00212E85">
        <w:rPr>
          <w:rFonts w:ascii="Arial" w:hAnsi="Arial"/>
          <w:szCs w:val="24"/>
          <w:lang w:val="es-CO"/>
        </w:rPr>
        <w:t xml:space="preserve">que tuteló los derechos de la accionante, conforme </w:t>
      </w:r>
      <w:r w:rsidR="00212E85">
        <w:rPr>
          <w:rFonts w:ascii="Arial" w:hAnsi="Arial"/>
          <w:szCs w:val="24"/>
          <w:lang w:val="es-CO"/>
        </w:rPr>
        <w:t xml:space="preserve">a los </w:t>
      </w:r>
      <w:r w:rsidR="00705CAA" w:rsidRPr="00212E85">
        <w:rPr>
          <w:rFonts w:ascii="Arial" w:hAnsi="Arial"/>
          <w:szCs w:val="24"/>
          <w:lang w:val="es-CO"/>
        </w:rPr>
        <w:t>escrito</w:t>
      </w:r>
      <w:r w:rsidR="00212E85">
        <w:rPr>
          <w:rFonts w:ascii="Arial" w:hAnsi="Arial"/>
          <w:szCs w:val="24"/>
          <w:lang w:val="es-CO"/>
        </w:rPr>
        <w:t>s</w:t>
      </w:r>
      <w:r w:rsidR="00705CAA" w:rsidRPr="00212E85">
        <w:rPr>
          <w:rFonts w:ascii="Arial" w:hAnsi="Arial"/>
          <w:szCs w:val="24"/>
          <w:lang w:val="es-CO"/>
        </w:rPr>
        <w:t xml:space="preserve"> de impugnación?</w:t>
      </w:r>
    </w:p>
    <w:p w:rsidR="00B311DA" w:rsidRDefault="00B311DA" w:rsidP="00B311DA">
      <w:pPr>
        <w:pStyle w:val="Corpsdetexte"/>
        <w:tabs>
          <w:tab w:val="clear" w:pos="708"/>
          <w:tab w:val="clear" w:pos="1416"/>
          <w:tab w:val="left" w:pos="709"/>
          <w:tab w:val="left" w:pos="1418"/>
        </w:tabs>
        <w:spacing w:line="360" w:lineRule="auto"/>
        <w:rPr>
          <w:rFonts w:ascii="Arial" w:hAnsi="Arial" w:cs="Arial"/>
          <w:sz w:val="22"/>
          <w:szCs w:val="24"/>
        </w:rPr>
      </w:pPr>
    </w:p>
    <w:p w:rsidR="00B311DA" w:rsidRPr="00D108C2" w:rsidRDefault="00212E85" w:rsidP="00212E85">
      <w:pPr>
        <w:pStyle w:val="Corpsdetexte"/>
        <w:numPr>
          <w:ilvl w:val="0"/>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LA RESOLUCIÓN DEL PROBLEMA JURÍDICO</w:t>
      </w:r>
    </w:p>
    <w:p w:rsidR="00B311DA" w:rsidRDefault="00B311DA" w:rsidP="00F839CE">
      <w:pPr>
        <w:pStyle w:val="Corpsdetexte"/>
        <w:spacing w:line="360" w:lineRule="auto"/>
        <w:rPr>
          <w:rFonts w:ascii="Arial" w:hAnsi="Arial" w:cs="Arial"/>
          <w:sz w:val="22"/>
          <w:szCs w:val="24"/>
        </w:rPr>
      </w:pPr>
    </w:p>
    <w:p w:rsidR="00B311DA" w:rsidRPr="001108A9" w:rsidRDefault="00B311DA" w:rsidP="00546F93">
      <w:pPr>
        <w:pStyle w:val="Corpsdetexte"/>
        <w:numPr>
          <w:ilvl w:val="1"/>
          <w:numId w:val="32"/>
        </w:numPr>
        <w:tabs>
          <w:tab w:val="clear" w:pos="708"/>
          <w:tab w:val="clear" w:pos="1416"/>
          <w:tab w:val="left" w:pos="709"/>
          <w:tab w:val="left" w:pos="1418"/>
        </w:tabs>
        <w:spacing w:line="360" w:lineRule="auto"/>
        <w:rPr>
          <w:rFonts w:ascii="Arial" w:hAnsi="Arial"/>
          <w:smallCaps/>
          <w:szCs w:val="24"/>
        </w:rPr>
      </w:pPr>
      <w:r w:rsidRPr="001108A9">
        <w:rPr>
          <w:rFonts w:ascii="Arial" w:hAnsi="Arial"/>
          <w:smallCaps/>
          <w:szCs w:val="24"/>
        </w:rPr>
        <w:t xml:space="preserve">Los presupuestos </w:t>
      </w:r>
      <w:r w:rsidR="00FB7349" w:rsidRPr="001108A9">
        <w:rPr>
          <w:rFonts w:ascii="Arial" w:hAnsi="Arial"/>
          <w:smallCaps/>
          <w:szCs w:val="24"/>
        </w:rPr>
        <w:t xml:space="preserve">de subsidiariedad e inmediatez </w:t>
      </w:r>
    </w:p>
    <w:p w:rsidR="00EB3636" w:rsidRPr="00383E2F" w:rsidRDefault="00EB3636" w:rsidP="00EB3636">
      <w:pPr>
        <w:pStyle w:val="Corpsdetexte"/>
        <w:tabs>
          <w:tab w:val="clear" w:pos="708"/>
          <w:tab w:val="clear" w:pos="1416"/>
          <w:tab w:val="left" w:pos="709"/>
          <w:tab w:val="left" w:pos="1418"/>
        </w:tabs>
        <w:spacing w:line="360" w:lineRule="auto"/>
        <w:ind w:left="720"/>
        <w:rPr>
          <w:rFonts w:ascii="Arial" w:hAnsi="Arial"/>
          <w:szCs w:val="24"/>
        </w:rPr>
      </w:pPr>
    </w:p>
    <w:p w:rsidR="00E831B9" w:rsidRDefault="00B311DA" w:rsidP="00B311DA">
      <w:pPr>
        <w:spacing w:line="360" w:lineRule="auto"/>
        <w:jc w:val="both"/>
        <w:rPr>
          <w:rFonts w:ascii="Arial" w:hAnsi="Arial" w:cs="Arial"/>
          <w:noProof/>
          <w:szCs w:val="22"/>
        </w:rPr>
      </w:pPr>
      <w:r>
        <w:rPr>
          <w:rFonts w:ascii="Arial" w:hAnsi="Arial" w:cs="Arial"/>
          <w:noProof/>
          <w:szCs w:val="22"/>
        </w:rPr>
        <w:t xml:space="preserve">La </w:t>
      </w:r>
      <w:r w:rsidRPr="00383E2F">
        <w:rPr>
          <w:rFonts w:ascii="Arial" w:hAnsi="Arial" w:cs="Arial"/>
          <w:noProof/>
          <w:szCs w:val="22"/>
        </w:rPr>
        <w:t xml:space="preserve">Corte Constitucional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1108A9" w:rsidRPr="00481884" w:rsidRDefault="001108A9" w:rsidP="00B311DA">
      <w:pPr>
        <w:spacing w:line="360" w:lineRule="auto"/>
        <w:jc w:val="both"/>
        <w:rPr>
          <w:rFonts w:ascii="Arial" w:hAnsi="Arial" w:cs="Arial"/>
          <w:noProof/>
          <w:sz w:val="20"/>
          <w:szCs w:val="22"/>
        </w:rPr>
      </w:pPr>
    </w:p>
    <w:p w:rsidR="0067175E" w:rsidRDefault="0067175E" w:rsidP="00FC06A3">
      <w:pPr>
        <w:spacing w:line="360" w:lineRule="auto"/>
        <w:jc w:val="both"/>
        <w:rPr>
          <w:rFonts w:ascii="Arial" w:hAnsi="Arial" w:cs="Arial"/>
          <w:noProof/>
          <w:szCs w:val="22"/>
          <w:lang w:val="es-CO"/>
        </w:rPr>
      </w:pPr>
      <w:r w:rsidRPr="00F33A95">
        <w:rPr>
          <w:rFonts w:ascii="Arial" w:hAnsi="Arial" w:cs="Arial"/>
          <w:noProof/>
        </w:rPr>
        <w:t xml:space="preserve">Este último supuesto no merece reparo, pues la acción se formuló dentro de los seis (6) meses siguientes a los hechos violatarios, que es el plazo general, fijado por la doctrina </w:t>
      </w:r>
      <w:r w:rsidRPr="001E3F11">
        <w:rPr>
          <w:rFonts w:ascii="Arial" w:hAnsi="Arial" w:cs="Arial"/>
          <w:noProof/>
          <w:szCs w:val="22"/>
        </w:rPr>
        <w:t>constitucional</w:t>
      </w:r>
      <w:r w:rsidRPr="001E3F11">
        <w:rPr>
          <w:rStyle w:val="Appelnotedebasdep"/>
          <w:rFonts w:ascii="Arial" w:hAnsi="Arial"/>
          <w:noProof/>
          <w:szCs w:val="22"/>
        </w:rPr>
        <w:footnoteReference w:id="1"/>
      </w:r>
      <w:r w:rsidRPr="00F33A95">
        <w:rPr>
          <w:rFonts w:ascii="Arial" w:hAnsi="Arial" w:cs="Arial"/>
          <w:noProof/>
        </w:rPr>
        <w:t xml:space="preserve">; nótese que </w:t>
      </w:r>
      <w:r>
        <w:rPr>
          <w:rFonts w:ascii="Arial" w:hAnsi="Arial" w:cs="Arial"/>
          <w:noProof/>
          <w:szCs w:val="22"/>
          <w:lang w:val="es-CO"/>
        </w:rPr>
        <w:t xml:space="preserve">la terminación del contrato se dio para el 31-05-2016 (Folio 15, este cuaderno) mientras que el amparo constitucional se presentó el 21-10-2016 (Folio 1, cuaderno No.1). </w:t>
      </w:r>
    </w:p>
    <w:p w:rsidR="00481884" w:rsidRPr="00481884" w:rsidRDefault="00481884" w:rsidP="00FC06A3">
      <w:pPr>
        <w:spacing w:line="360" w:lineRule="auto"/>
        <w:jc w:val="both"/>
        <w:rPr>
          <w:rFonts w:ascii="Arial" w:hAnsi="Arial" w:cs="Arial"/>
          <w:noProof/>
          <w:sz w:val="20"/>
          <w:szCs w:val="22"/>
          <w:lang w:val="es-CO"/>
        </w:rPr>
      </w:pPr>
    </w:p>
    <w:p w:rsidR="0067175E" w:rsidRDefault="0067175E" w:rsidP="0067175E">
      <w:pPr>
        <w:spacing w:line="360" w:lineRule="auto"/>
        <w:jc w:val="both"/>
        <w:rPr>
          <w:rFonts w:ascii="Arial" w:hAnsi="Arial" w:cs="Arial"/>
        </w:rPr>
      </w:pPr>
      <w:r w:rsidRPr="00F33A95">
        <w:rPr>
          <w:rFonts w:ascii="Arial" w:hAnsi="Arial" w:cs="Arial"/>
        </w:rPr>
        <w:t xml:space="preserve">En </w:t>
      </w:r>
      <w:r>
        <w:rPr>
          <w:rFonts w:ascii="Arial" w:hAnsi="Arial" w:cs="Arial"/>
        </w:rPr>
        <w:t xml:space="preserve"> </w:t>
      </w:r>
      <w:r w:rsidRPr="00F33A95">
        <w:rPr>
          <w:rFonts w:ascii="Arial" w:hAnsi="Arial" w:cs="Arial"/>
        </w:rPr>
        <w:t>cuanto</w:t>
      </w:r>
      <w:r>
        <w:rPr>
          <w:rFonts w:ascii="Arial" w:hAnsi="Arial" w:cs="Arial"/>
        </w:rPr>
        <w:t xml:space="preserve"> </w:t>
      </w:r>
      <w:r w:rsidRPr="00F33A95">
        <w:rPr>
          <w:rFonts w:ascii="Arial" w:hAnsi="Arial" w:cs="Arial"/>
        </w:rPr>
        <w:t xml:space="preserve"> a</w:t>
      </w:r>
      <w:r>
        <w:rPr>
          <w:rFonts w:ascii="Arial" w:hAnsi="Arial" w:cs="Arial"/>
        </w:rPr>
        <w:t xml:space="preserve"> </w:t>
      </w:r>
      <w:r w:rsidRPr="00F33A95">
        <w:rPr>
          <w:rFonts w:ascii="Arial" w:hAnsi="Arial" w:cs="Arial"/>
        </w:rPr>
        <w:t xml:space="preserve"> la </w:t>
      </w:r>
      <w:r>
        <w:rPr>
          <w:rFonts w:ascii="Arial" w:hAnsi="Arial" w:cs="Arial"/>
        </w:rPr>
        <w:t xml:space="preserve"> </w:t>
      </w:r>
      <w:r w:rsidRPr="00F33A95">
        <w:rPr>
          <w:rFonts w:ascii="Arial" w:hAnsi="Arial" w:cs="Arial"/>
        </w:rPr>
        <w:t xml:space="preserve">subsidiariedad </w:t>
      </w:r>
      <w:r>
        <w:rPr>
          <w:rFonts w:ascii="Arial" w:hAnsi="Arial" w:cs="Arial"/>
        </w:rPr>
        <w:t xml:space="preserve"> </w:t>
      </w:r>
      <w:r w:rsidRPr="00F33A95">
        <w:rPr>
          <w:rFonts w:ascii="Arial" w:hAnsi="Arial" w:cs="Arial"/>
        </w:rPr>
        <w:t xml:space="preserve">debe </w:t>
      </w:r>
      <w:r>
        <w:rPr>
          <w:rFonts w:ascii="Arial" w:hAnsi="Arial" w:cs="Arial"/>
        </w:rPr>
        <w:t xml:space="preserve"> </w:t>
      </w:r>
      <w:r w:rsidRPr="00F33A95">
        <w:rPr>
          <w:rFonts w:ascii="Arial" w:hAnsi="Arial" w:cs="Arial"/>
        </w:rPr>
        <w:t xml:space="preserve">indicarse </w:t>
      </w:r>
      <w:r>
        <w:rPr>
          <w:rFonts w:ascii="Arial" w:hAnsi="Arial" w:cs="Arial"/>
        </w:rPr>
        <w:t xml:space="preserve"> </w:t>
      </w:r>
      <w:r w:rsidRPr="00F33A95">
        <w:rPr>
          <w:rFonts w:ascii="Arial" w:hAnsi="Arial" w:cs="Arial"/>
        </w:rPr>
        <w:t>que</w:t>
      </w:r>
      <w:r>
        <w:rPr>
          <w:rFonts w:ascii="Arial" w:hAnsi="Arial" w:cs="Arial"/>
        </w:rPr>
        <w:t xml:space="preserve"> </w:t>
      </w:r>
      <w:r w:rsidRPr="00F33A95">
        <w:rPr>
          <w:rFonts w:ascii="Arial" w:hAnsi="Arial" w:cs="Arial"/>
        </w:rPr>
        <w:t xml:space="preserve"> la acción es viable siempre que el</w:t>
      </w:r>
      <w:r>
        <w:rPr>
          <w:rFonts w:ascii="Arial" w:hAnsi="Arial" w:cs="Arial"/>
        </w:rPr>
        <w:t xml:space="preserve"> </w:t>
      </w:r>
      <w:r w:rsidRPr="00F33A95">
        <w:rPr>
          <w:rFonts w:ascii="Arial" w:hAnsi="Arial" w:cs="Arial"/>
        </w:rPr>
        <w:t>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Appelnotedebasdep"/>
          <w:rFonts w:ascii="Arial" w:hAnsi="Arial" w:cs="Arial"/>
        </w:rPr>
        <w:footnoteReference w:id="3"/>
      </w:r>
      <w:r w:rsidRPr="00F33A95">
        <w:rPr>
          <w:rFonts w:ascii="Arial" w:hAnsi="Arial" w:cs="Arial"/>
        </w:rPr>
        <w:t>: (i) la tutela transitoria para evitar un perjuicio irremediable; y (ii) La ineficacia de la acción ordinaria para salvaguardar los derechos</w:t>
      </w:r>
      <w:r w:rsidR="008D41FC">
        <w:rPr>
          <w:rFonts w:ascii="Arial" w:hAnsi="Arial" w:cs="Arial"/>
        </w:rPr>
        <w:t xml:space="preserve"> fundamentales del accionante. Valga acotar que el examen de procedencia </w:t>
      </w:r>
      <w:r w:rsidR="00546F93">
        <w:rPr>
          <w:rFonts w:ascii="Arial" w:hAnsi="Arial" w:cs="Arial"/>
        </w:rPr>
        <w:t xml:space="preserve">también </w:t>
      </w:r>
      <w:r w:rsidR="008D41FC">
        <w:rPr>
          <w:rFonts w:ascii="Arial" w:hAnsi="Arial" w:cs="Arial"/>
        </w:rPr>
        <w:t>debe flexibilizarse cuando estén comprometidos sujetos de especial protección, o en circunstancias de debilidad manifiesta</w:t>
      </w:r>
      <w:r w:rsidR="008D41FC">
        <w:rPr>
          <w:rStyle w:val="Appelnotedebasdep"/>
          <w:rFonts w:ascii="Arial" w:hAnsi="Arial"/>
        </w:rPr>
        <w:footnoteReference w:id="4"/>
      </w:r>
      <w:r w:rsidR="00546F93">
        <w:rPr>
          <w:rFonts w:ascii="Arial" w:hAnsi="Arial" w:cs="Arial"/>
        </w:rPr>
        <w:t>.</w:t>
      </w:r>
      <w:r w:rsidR="008D41FC">
        <w:rPr>
          <w:rFonts w:ascii="Arial" w:hAnsi="Arial" w:cs="Arial"/>
        </w:rPr>
        <w:t xml:space="preserve"> </w:t>
      </w:r>
    </w:p>
    <w:p w:rsidR="0067175E" w:rsidRPr="00481884" w:rsidRDefault="0067175E" w:rsidP="0067175E">
      <w:pPr>
        <w:spacing w:line="360" w:lineRule="auto"/>
        <w:jc w:val="both"/>
        <w:rPr>
          <w:rFonts w:ascii="Arial" w:hAnsi="Arial" w:cs="Arial"/>
          <w:sz w:val="20"/>
        </w:rPr>
      </w:pPr>
    </w:p>
    <w:p w:rsidR="00B311DA" w:rsidRPr="00546F93" w:rsidRDefault="0067175E" w:rsidP="006541D2">
      <w:pPr>
        <w:spacing w:line="360" w:lineRule="auto"/>
        <w:jc w:val="both"/>
        <w:rPr>
          <w:rFonts w:ascii="Arial" w:hAnsi="Arial" w:cs="Arial"/>
          <w:lang w:val="es-CO"/>
        </w:rPr>
      </w:pPr>
      <w:r w:rsidRPr="00F33A95">
        <w:rPr>
          <w:rFonts w:ascii="Arial" w:hAnsi="Arial"/>
        </w:rPr>
        <w:t xml:space="preserve">En el </w:t>
      </w:r>
      <w:r w:rsidRPr="00F33A95">
        <w:rPr>
          <w:rFonts w:ascii="Arial" w:hAnsi="Arial"/>
          <w:i/>
        </w:rPr>
        <w:t>sub examine</w:t>
      </w:r>
      <w:r w:rsidRPr="00F33A95">
        <w:rPr>
          <w:rFonts w:ascii="Arial" w:hAnsi="Arial"/>
        </w:rPr>
        <w:t xml:space="preserve">, </w:t>
      </w:r>
      <w:r w:rsidR="008D41FC">
        <w:rPr>
          <w:rFonts w:ascii="Arial" w:hAnsi="Arial"/>
        </w:rPr>
        <w:t xml:space="preserve">si bien la accionante </w:t>
      </w:r>
      <w:r w:rsidRPr="00F33A95">
        <w:rPr>
          <w:rFonts w:ascii="Arial" w:hAnsi="Arial"/>
        </w:rPr>
        <w:t xml:space="preserve">cuenta con otro mecanismo </w:t>
      </w:r>
      <w:r w:rsidR="008D41FC">
        <w:rPr>
          <w:rFonts w:ascii="Arial" w:hAnsi="Arial"/>
        </w:rPr>
        <w:t xml:space="preserve">de defensa judicial para procurar la protección de sus derechos fundamentales, no puede pasarse por alto </w:t>
      </w:r>
      <w:r w:rsidR="008D41FC">
        <w:rPr>
          <w:rFonts w:ascii="Arial" w:hAnsi="Arial"/>
        </w:rPr>
        <w:lastRenderedPageBreak/>
        <w:t xml:space="preserve">el estado de debilidad manifiesta </w:t>
      </w:r>
      <w:r w:rsidR="00546F93">
        <w:rPr>
          <w:rFonts w:ascii="Arial" w:hAnsi="Arial"/>
        </w:rPr>
        <w:t xml:space="preserve"> en que se encuentra con </w:t>
      </w:r>
      <w:r w:rsidR="008D41FC">
        <w:rPr>
          <w:rFonts w:ascii="Arial" w:hAnsi="Arial"/>
        </w:rPr>
        <w:t xml:space="preserve">ocasión </w:t>
      </w:r>
      <w:r w:rsidR="00546F93">
        <w:rPr>
          <w:rFonts w:ascii="Arial" w:hAnsi="Arial"/>
        </w:rPr>
        <w:t xml:space="preserve">de </w:t>
      </w:r>
      <w:r w:rsidR="008D41FC">
        <w:rPr>
          <w:rFonts w:ascii="Arial" w:hAnsi="Arial"/>
        </w:rPr>
        <w:t>la enfermedad que padece</w:t>
      </w:r>
      <w:r w:rsidR="00546F93">
        <w:rPr>
          <w:rFonts w:ascii="Arial" w:hAnsi="Arial"/>
        </w:rPr>
        <w:t xml:space="preserve"> (</w:t>
      </w:r>
      <w:r w:rsidR="00546F93" w:rsidRPr="00546F93">
        <w:rPr>
          <w:rFonts w:ascii="Arial" w:hAnsi="Arial"/>
          <w:i/>
          <w:sz w:val="22"/>
        </w:rPr>
        <w:t>CARCINOMA PAPILAR METAST</w:t>
      </w:r>
      <w:r w:rsidR="00C81885">
        <w:rPr>
          <w:rFonts w:ascii="Arial" w:hAnsi="Arial"/>
          <w:i/>
          <w:sz w:val="22"/>
        </w:rPr>
        <w:t>Á</w:t>
      </w:r>
      <w:r w:rsidR="00546F93" w:rsidRPr="00546F93">
        <w:rPr>
          <w:rFonts w:ascii="Arial" w:hAnsi="Arial"/>
          <w:i/>
          <w:sz w:val="22"/>
        </w:rPr>
        <w:t>SICO 4/4</w:t>
      </w:r>
      <w:r w:rsidR="00546F93">
        <w:rPr>
          <w:rFonts w:ascii="Arial" w:hAnsi="Arial"/>
        </w:rPr>
        <w:t>), además, aun cuando luego de su desvinculación continuó recibiendo asistencia en salud, pues se encuentra afiliada a la EPS Coomeva mediante régimen contributivo, hay que decir que debió asumir varias acreencias con el fin de sufragar tratamientos alternos.</w:t>
      </w:r>
      <w:r w:rsidRPr="00F33A95">
        <w:rPr>
          <w:rFonts w:ascii="Arial" w:hAnsi="Arial" w:cs="Arial"/>
        </w:rPr>
        <w:t xml:space="preserve"> Por consiguiente, como este asunto supera el test de procedencia, puede examinarse de fondo. </w:t>
      </w:r>
    </w:p>
    <w:p w:rsidR="00F3259B" w:rsidRPr="00481884" w:rsidRDefault="00F3259B" w:rsidP="006541D2">
      <w:pPr>
        <w:spacing w:line="360" w:lineRule="auto"/>
        <w:jc w:val="both"/>
        <w:rPr>
          <w:rFonts w:ascii="Arial" w:hAnsi="Arial" w:cs="Arial"/>
          <w:sz w:val="20"/>
        </w:rPr>
      </w:pPr>
    </w:p>
    <w:p w:rsidR="00E13D05" w:rsidRPr="008E45D8" w:rsidRDefault="0062648C" w:rsidP="00546F93">
      <w:pPr>
        <w:pStyle w:val="Corpsdetexte"/>
        <w:numPr>
          <w:ilvl w:val="1"/>
          <w:numId w:val="32"/>
        </w:numPr>
        <w:spacing w:line="360" w:lineRule="auto"/>
        <w:rPr>
          <w:rFonts w:ascii="Arial" w:hAnsi="Arial" w:cs="Arial"/>
          <w:smallCaps/>
          <w:szCs w:val="24"/>
        </w:rPr>
      </w:pPr>
      <w:r w:rsidRPr="008E45D8">
        <w:rPr>
          <w:rFonts w:ascii="Arial" w:hAnsi="Arial" w:cs="Arial"/>
          <w:smallCaps/>
          <w:szCs w:val="24"/>
        </w:rPr>
        <w:t>La estabilidad ocupacional reforzada</w:t>
      </w:r>
    </w:p>
    <w:p w:rsidR="00E13D05" w:rsidRPr="00481884" w:rsidRDefault="00E13D05" w:rsidP="00420C52">
      <w:pPr>
        <w:pStyle w:val="Corpsdetexte"/>
        <w:spacing w:line="360" w:lineRule="auto"/>
        <w:rPr>
          <w:rFonts w:ascii="Arial" w:hAnsi="Arial" w:cs="Arial"/>
          <w:sz w:val="20"/>
          <w:szCs w:val="24"/>
          <w:lang w:val="es-CO"/>
        </w:rPr>
      </w:pPr>
    </w:p>
    <w:p w:rsidR="0062648C" w:rsidRDefault="0062648C" w:rsidP="00420C52">
      <w:pPr>
        <w:shd w:val="clear" w:color="auto" w:fill="FFFFFF"/>
        <w:spacing w:line="360" w:lineRule="auto"/>
        <w:jc w:val="both"/>
        <w:textAlignment w:val="baseline"/>
        <w:rPr>
          <w:rFonts w:ascii="Arial" w:hAnsi="Arial" w:cs="Arial"/>
          <w:bdr w:val="none" w:sz="0" w:space="0" w:color="auto" w:frame="1"/>
          <w:lang w:val="es-CO"/>
        </w:rPr>
      </w:pPr>
      <w:r w:rsidRPr="008E45D8">
        <w:rPr>
          <w:rStyle w:val="apple-converted-space"/>
          <w:rFonts w:ascii="Arial" w:hAnsi="Arial" w:cs="Arial"/>
        </w:rPr>
        <w:t xml:space="preserve">Este derecho ha sido calificado por la reiterada jurisprudencia de la CC como de rango constitucional, pese a su origen legal (Ley 361), debido a que se funda </w:t>
      </w:r>
      <w:r w:rsidRPr="008E45D8">
        <w:rPr>
          <w:rFonts w:ascii="Arial" w:hAnsi="Arial" w:cs="Arial"/>
          <w:bdr w:val="none" w:sz="0" w:space="0" w:color="auto" w:frame="1"/>
          <w:shd w:val="clear" w:color="auto" w:fill="FFFFFF"/>
        </w:rPr>
        <w:t>de forma directa en diversas disposiciones de la CP (</w:t>
      </w:r>
      <w:r w:rsidRPr="008E45D8">
        <w:rPr>
          <w:rFonts w:ascii="Arial" w:hAnsi="Arial" w:cs="Arial"/>
          <w:bdr w:val="none" w:sz="0" w:space="0" w:color="auto" w:frame="1"/>
          <w:lang w:val="es-CO"/>
        </w:rPr>
        <w:t>Artículos 1º, 13, 25, 47, 48, 53, 93, 94 y 95, CP).</w:t>
      </w:r>
    </w:p>
    <w:p w:rsidR="00481884" w:rsidRPr="008E45D8" w:rsidRDefault="00481884" w:rsidP="00420C52">
      <w:pPr>
        <w:shd w:val="clear" w:color="auto" w:fill="FFFFFF"/>
        <w:spacing w:line="360" w:lineRule="auto"/>
        <w:jc w:val="both"/>
        <w:textAlignment w:val="baseline"/>
        <w:rPr>
          <w:rFonts w:ascii="Arial" w:hAnsi="Arial" w:cs="Arial"/>
          <w:bdr w:val="none" w:sz="0" w:space="0" w:color="auto" w:frame="1"/>
          <w:lang w:val="es-CO"/>
        </w:rPr>
      </w:pPr>
    </w:p>
    <w:p w:rsidR="0062648C" w:rsidRPr="008E45D8" w:rsidRDefault="0062648C" w:rsidP="00420C52">
      <w:pPr>
        <w:shd w:val="clear" w:color="auto" w:fill="FFFFFF"/>
        <w:spacing w:line="360" w:lineRule="auto"/>
        <w:jc w:val="both"/>
        <w:textAlignment w:val="baseline"/>
        <w:rPr>
          <w:rFonts w:ascii="Arial" w:hAnsi="Arial" w:cs="Arial"/>
          <w:bdr w:val="none" w:sz="0" w:space="0" w:color="auto" w:frame="1"/>
          <w:lang w:val="es-CO"/>
        </w:rPr>
      </w:pPr>
      <w:r w:rsidRPr="008E45D8">
        <w:rPr>
          <w:rFonts w:ascii="Arial" w:hAnsi="Arial" w:cs="Arial"/>
          <w:bdr w:val="none" w:sz="0" w:space="0" w:color="auto" w:frame="1"/>
          <w:shd w:val="clear" w:color="auto" w:fill="FFFFFF"/>
        </w:rPr>
        <w:t xml:space="preserve">Puntualmente, </w:t>
      </w:r>
      <w:r w:rsidR="008E45D8">
        <w:rPr>
          <w:rFonts w:ascii="Arial" w:hAnsi="Arial" w:cs="Arial"/>
          <w:bdr w:val="none" w:sz="0" w:space="0" w:color="auto" w:frame="1"/>
          <w:shd w:val="clear" w:color="auto" w:fill="FFFFFF"/>
        </w:rPr>
        <w:t xml:space="preserve">se </w:t>
      </w:r>
      <w:r w:rsidRPr="008E45D8">
        <w:rPr>
          <w:rFonts w:ascii="Arial" w:hAnsi="Arial" w:cs="Arial"/>
          <w:bdr w:val="none" w:sz="0" w:space="0" w:color="auto" w:frame="1"/>
          <w:shd w:val="clear" w:color="auto" w:fill="FFFFFF"/>
        </w:rPr>
        <w:t>ha sostenido que</w:t>
      </w:r>
      <w:r w:rsidR="008E45D8">
        <w:rPr>
          <w:rStyle w:val="Appelnotedebasdep"/>
          <w:rFonts w:ascii="Arial" w:hAnsi="Arial"/>
          <w:bdr w:val="none" w:sz="0" w:space="0" w:color="auto" w:frame="1"/>
          <w:shd w:val="clear" w:color="auto" w:fill="FFFFFF"/>
        </w:rPr>
        <w:footnoteReference w:id="5"/>
      </w:r>
      <w:r w:rsidRPr="008E45D8">
        <w:rPr>
          <w:rFonts w:ascii="Arial" w:hAnsi="Arial" w:cs="Arial"/>
          <w:bdr w:val="none" w:sz="0" w:space="0" w:color="auto" w:frame="1"/>
          <w:shd w:val="clear" w:color="auto" w:fill="FFFFFF"/>
        </w:rPr>
        <w:t xml:space="preserve"> </w:t>
      </w:r>
      <w:r w:rsidR="008E45D8" w:rsidRPr="008E45D8">
        <w:rPr>
          <w:rFonts w:ascii="Arial" w:hAnsi="Arial" w:cs="Arial"/>
          <w:i/>
          <w:sz w:val="22"/>
          <w:bdr w:val="none" w:sz="0" w:space="0" w:color="auto" w:frame="1"/>
          <w:shd w:val="clear" w:color="auto" w:fill="FFFFFF"/>
        </w:rPr>
        <w:t>“</w:t>
      </w:r>
      <w:r w:rsidRPr="008E45D8">
        <w:rPr>
          <w:rFonts w:ascii="Arial" w:hAnsi="Arial" w:cs="Arial"/>
          <w:i/>
          <w:sz w:val="22"/>
        </w:rPr>
        <w:t>(…) no deriva únicamente de la Ley 361 de 1997, ni es exclusivo de quienes han sido calificados con pérdida de capacidad laboral moderada, severa o profunda (…)”</w:t>
      </w:r>
      <w:r w:rsidRPr="008E45D8">
        <w:rPr>
          <w:rFonts w:ascii="Arial" w:hAnsi="Arial" w:cs="Arial"/>
        </w:rPr>
        <w:t xml:space="preserve">, pues </w:t>
      </w:r>
      <w:r w:rsidRPr="008E45D8">
        <w:rPr>
          <w:rFonts w:ascii="Arial" w:hAnsi="Arial" w:cs="Arial"/>
          <w:bdr w:val="none" w:sz="0" w:space="0" w:color="auto" w:frame="1"/>
          <w:lang w:val="es-CO"/>
        </w:rPr>
        <w:t xml:space="preserve">es predicable de todas las personas que tengan una afectación en su salud que les </w:t>
      </w:r>
      <w:r w:rsidRPr="008E45D8">
        <w:rPr>
          <w:rFonts w:ascii="Arial" w:hAnsi="Arial" w:cs="Arial"/>
          <w:i/>
          <w:sz w:val="22"/>
          <w:bdr w:val="none" w:sz="0" w:space="0" w:color="auto" w:frame="1"/>
          <w:lang w:val="es-CO"/>
        </w:rPr>
        <w:t>“</w:t>
      </w:r>
      <w:r w:rsidR="00420C52" w:rsidRPr="008E45D8">
        <w:rPr>
          <w:rFonts w:ascii="Arial" w:hAnsi="Arial" w:cs="Arial"/>
          <w:i/>
          <w:sz w:val="22"/>
          <w:bdr w:val="none" w:sz="0" w:space="0" w:color="auto" w:frame="1"/>
          <w:lang w:val="es-CO"/>
        </w:rPr>
        <w:t xml:space="preserve">(…) </w:t>
      </w:r>
      <w:r w:rsidRPr="008E45D8">
        <w:rPr>
          <w:rFonts w:ascii="Arial" w:hAnsi="Arial" w:cs="Arial"/>
          <w:i/>
          <w:iCs/>
          <w:sz w:val="22"/>
          <w:bdr w:val="none" w:sz="0" w:space="0" w:color="auto" w:frame="1"/>
          <w:lang w:val="es-CO"/>
        </w:rPr>
        <w:t>impid</w:t>
      </w:r>
      <w:r w:rsidR="00420C52" w:rsidRPr="008E45D8">
        <w:rPr>
          <w:rFonts w:ascii="Arial" w:hAnsi="Arial" w:cs="Arial"/>
          <w:i/>
          <w:iCs/>
          <w:sz w:val="22"/>
          <w:bdr w:val="none" w:sz="0" w:space="0" w:color="auto" w:frame="1"/>
          <w:lang w:val="es-CO"/>
        </w:rPr>
        <w:t>a</w:t>
      </w:r>
      <w:r w:rsidRPr="008E45D8">
        <w:rPr>
          <w:rStyle w:val="apple-converted-space"/>
          <w:rFonts w:ascii="Arial" w:hAnsi="Arial" w:cs="Arial"/>
          <w:i/>
          <w:iCs/>
          <w:sz w:val="22"/>
          <w:bdr w:val="none" w:sz="0" w:space="0" w:color="auto" w:frame="1"/>
          <w:lang w:val="es-CO"/>
        </w:rPr>
        <w:t> </w:t>
      </w:r>
      <w:r w:rsidRPr="008E45D8">
        <w:rPr>
          <w:rFonts w:ascii="Arial" w:hAnsi="Arial" w:cs="Arial"/>
          <w:i/>
          <w:iCs/>
          <w:sz w:val="22"/>
          <w:bdr w:val="none" w:sz="0" w:space="0" w:color="auto" w:frame="1"/>
          <w:lang w:val="es-CO"/>
        </w:rPr>
        <w:t>o dificult</w:t>
      </w:r>
      <w:r w:rsidR="00420C52" w:rsidRPr="008E45D8">
        <w:rPr>
          <w:rFonts w:ascii="Arial" w:hAnsi="Arial" w:cs="Arial"/>
          <w:i/>
          <w:iCs/>
          <w:sz w:val="22"/>
          <w:bdr w:val="none" w:sz="0" w:space="0" w:color="auto" w:frame="1"/>
          <w:lang w:val="es-CO"/>
        </w:rPr>
        <w:t>e</w:t>
      </w:r>
      <w:r w:rsidRPr="008E45D8">
        <w:rPr>
          <w:rStyle w:val="apple-converted-space"/>
          <w:rFonts w:ascii="Arial" w:hAnsi="Arial" w:cs="Arial"/>
          <w:i/>
          <w:iCs/>
          <w:sz w:val="22"/>
          <w:bdr w:val="none" w:sz="0" w:space="0" w:color="auto" w:frame="1"/>
          <w:lang w:val="es-CO"/>
        </w:rPr>
        <w:t> </w:t>
      </w:r>
      <w:r w:rsidRPr="008E45D8">
        <w:rPr>
          <w:rFonts w:ascii="Arial" w:hAnsi="Arial" w:cs="Arial"/>
          <w:i/>
          <w:iCs/>
          <w:sz w:val="22"/>
          <w:bdr w:val="none" w:sz="0" w:space="0" w:color="auto" w:frame="1"/>
          <w:lang w:val="es-CO"/>
        </w:rPr>
        <w:t>sustancialmente el desempeño de sus labores en las condiciones regulares</w:t>
      </w:r>
      <w:r w:rsidR="00420C52" w:rsidRPr="008E45D8">
        <w:rPr>
          <w:rFonts w:ascii="Arial" w:hAnsi="Arial" w:cs="Arial"/>
          <w:i/>
          <w:iCs/>
          <w:sz w:val="22"/>
          <w:bdr w:val="none" w:sz="0" w:space="0" w:color="auto" w:frame="1"/>
          <w:lang w:val="es-CO"/>
        </w:rPr>
        <w:t xml:space="preserve"> (…)</w:t>
      </w:r>
      <w:r w:rsidRPr="008E45D8">
        <w:rPr>
          <w:rFonts w:ascii="Arial" w:hAnsi="Arial" w:cs="Arial"/>
          <w:i/>
          <w:sz w:val="22"/>
          <w:bdr w:val="none" w:sz="0" w:space="0" w:color="auto" w:frame="1"/>
          <w:lang w:val="es-CO"/>
        </w:rPr>
        <w:t>”</w:t>
      </w:r>
      <w:r w:rsidR="00232F75">
        <w:rPr>
          <w:rStyle w:val="Appelnotedebasdep"/>
          <w:rFonts w:ascii="Arial" w:hAnsi="Arial"/>
          <w:i/>
          <w:sz w:val="22"/>
          <w:bdr w:val="none" w:sz="0" w:space="0" w:color="auto" w:frame="1"/>
          <w:lang w:val="es-CO"/>
        </w:rPr>
        <w:footnoteReference w:id="6"/>
      </w:r>
      <w:r w:rsidRPr="008E45D8">
        <w:rPr>
          <w:rFonts w:ascii="Arial" w:hAnsi="Arial" w:cs="Arial"/>
          <w:i/>
          <w:sz w:val="22"/>
          <w:bdr w:val="none" w:sz="0" w:space="0" w:color="auto" w:frame="1"/>
          <w:lang w:val="es-CO"/>
        </w:rPr>
        <w:t>.</w:t>
      </w:r>
    </w:p>
    <w:p w:rsidR="0062648C" w:rsidRPr="008E45D8" w:rsidRDefault="0062648C" w:rsidP="00420C52">
      <w:pPr>
        <w:shd w:val="clear" w:color="auto" w:fill="FFFFFF"/>
        <w:spacing w:line="360" w:lineRule="auto"/>
        <w:jc w:val="both"/>
        <w:textAlignment w:val="baseline"/>
        <w:rPr>
          <w:rFonts w:ascii="Arial" w:hAnsi="Arial" w:cs="Arial"/>
          <w:bdr w:val="none" w:sz="0" w:space="0" w:color="auto" w:frame="1"/>
          <w:lang w:val="es-CO"/>
        </w:rPr>
      </w:pPr>
    </w:p>
    <w:p w:rsidR="00AD0EA5" w:rsidRPr="008E45D8" w:rsidRDefault="0062648C" w:rsidP="00420C52">
      <w:pPr>
        <w:shd w:val="clear" w:color="auto" w:fill="FFFFFF"/>
        <w:spacing w:line="360" w:lineRule="auto"/>
        <w:jc w:val="both"/>
        <w:textAlignment w:val="baseline"/>
        <w:rPr>
          <w:rFonts w:ascii="Arial" w:hAnsi="Arial" w:cs="Arial"/>
          <w:bdr w:val="none" w:sz="0" w:space="0" w:color="auto" w:frame="1"/>
          <w:lang w:val="es-CO"/>
        </w:rPr>
      </w:pPr>
      <w:r w:rsidRPr="008E45D8">
        <w:rPr>
          <w:rFonts w:ascii="Arial" w:hAnsi="Arial" w:cs="Arial"/>
          <w:bdr w:val="none" w:sz="0" w:space="0" w:color="auto" w:frame="1"/>
          <w:lang w:val="es-CO"/>
        </w:rPr>
        <w:t xml:space="preserve">No </w:t>
      </w:r>
      <w:r w:rsidR="00420C52" w:rsidRPr="008E45D8">
        <w:rPr>
          <w:rFonts w:ascii="Arial" w:hAnsi="Arial" w:cs="Arial"/>
          <w:bdr w:val="none" w:sz="0" w:space="0" w:color="auto" w:frame="1"/>
          <w:lang w:val="es-CO"/>
        </w:rPr>
        <w:t xml:space="preserve">se </w:t>
      </w:r>
      <w:r w:rsidRPr="008E45D8">
        <w:rPr>
          <w:rFonts w:ascii="Arial" w:hAnsi="Arial" w:cs="Arial"/>
          <w:bdr w:val="none" w:sz="0" w:space="0" w:color="auto" w:frame="1"/>
          <w:lang w:val="es-CO"/>
        </w:rPr>
        <w:t>circunscribe</w:t>
      </w:r>
      <w:r w:rsidR="00AD0EA5" w:rsidRPr="008E45D8">
        <w:rPr>
          <w:rFonts w:ascii="Arial" w:hAnsi="Arial" w:cs="Arial"/>
          <w:bdr w:val="none" w:sz="0" w:space="0" w:color="auto" w:frame="1"/>
          <w:lang w:val="es-CO"/>
        </w:rPr>
        <w:t>,</w:t>
      </w:r>
      <w:r w:rsidRPr="008E45D8">
        <w:rPr>
          <w:rFonts w:ascii="Arial" w:hAnsi="Arial" w:cs="Arial"/>
          <w:bdr w:val="none" w:sz="0" w:space="0" w:color="auto" w:frame="1"/>
          <w:lang w:val="es-CO"/>
        </w:rPr>
        <w:t xml:space="preserve"> entonces</w:t>
      </w:r>
      <w:r w:rsidR="00AD0EA5" w:rsidRPr="008E45D8">
        <w:rPr>
          <w:rFonts w:ascii="Arial" w:hAnsi="Arial" w:cs="Arial"/>
          <w:bdr w:val="none" w:sz="0" w:space="0" w:color="auto" w:frame="1"/>
          <w:lang w:val="es-CO"/>
        </w:rPr>
        <w:t>,</w:t>
      </w:r>
      <w:r w:rsidRPr="008E45D8">
        <w:rPr>
          <w:rFonts w:ascii="Arial" w:hAnsi="Arial" w:cs="Arial"/>
          <w:bdr w:val="none" w:sz="0" w:space="0" w:color="auto" w:frame="1"/>
          <w:lang w:val="es-CO"/>
        </w:rPr>
        <w:t xml:space="preserve"> su reconocimiento</w:t>
      </w:r>
      <w:r w:rsidR="00AD0EA5" w:rsidRPr="008E45D8">
        <w:rPr>
          <w:rFonts w:ascii="Arial" w:hAnsi="Arial" w:cs="Arial"/>
          <w:bdr w:val="none" w:sz="0" w:space="0" w:color="auto" w:frame="1"/>
          <w:lang w:val="es-CO"/>
        </w:rPr>
        <w:t xml:space="preserve"> a que se reúnan exclusivamente las pautas legales</w:t>
      </w:r>
      <w:r w:rsidR="00420C52" w:rsidRPr="008E45D8">
        <w:rPr>
          <w:rFonts w:ascii="Arial" w:hAnsi="Arial" w:cs="Arial"/>
          <w:bdr w:val="none" w:sz="0" w:space="0" w:color="auto" w:frame="1"/>
          <w:lang w:val="es-CO"/>
        </w:rPr>
        <w:t xml:space="preserve"> (Calificación de </w:t>
      </w:r>
      <w:r w:rsidR="00420C52" w:rsidRPr="008E45D8">
        <w:rPr>
          <w:rFonts w:ascii="Arial" w:hAnsi="Arial" w:cs="Arial"/>
        </w:rPr>
        <w:t>pérdida de capacidad laboral moderada, severa o profunda)</w:t>
      </w:r>
      <w:r w:rsidR="00AD0EA5" w:rsidRPr="008E45D8">
        <w:rPr>
          <w:rFonts w:ascii="Arial" w:hAnsi="Arial" w:cs="Arial"/>
          <w:bdr w:val="none" w:sz="0" w:space="0" w:color="auto" w:frame="1"/>
          <w:lang w:val="es-CO"/>
        </w:rPr>
        <w:t>, sino que extiende su cobijo a todo individuo que por sus padecimientos se halle en una circunstancia que genera debilidad manif</w:t>
      </w:r>
      <w:r w:rsidR="00C81885">
        <w:rPr>
          <w:rFonts w:ascii="Arial" w:hAnsi="Arial" w:cs="Arial"/>
          <w:bdr w:val="none" w:sz="0" w:space="0" w:color="auto" w:frame="1"/>
          <w:lang w:val="es-CO"/>
        </w:rPr>
        <w:t>iesta y pueda verse discriminado</w:t>
      </w:r>
      <w:r w:rsidR="00AD0EA5" w:rsidRPr="008E45D8">
        <w:rPr>
          <w:rFonts w:ascii="Arial" w:hAnsi="Arial" w:cs="Arial"/>
          <w:bdr w:val="none" w:sz="0" w:space="0" w:color="auto" w:frame="1"/>
          <w:lang w:val="es-CO"/>
        </w:rPr>
        <w:t xml:space="preserve"> por ello. </w:t>
      </w:r>
    </w:p>
    <w:p w:rsidR="00AD0EA5" w:rsidRPr="008E45D8" w:rsidRDefault="00AD0EA5" w:rsidP="00420C52">
      <w:pPr>
        <w:shd w:val="clear" w:color="auto" w:fill="FFFFFF"/>
        <w:spacing w:line="360" w:lineRule="auto"/>
        <w:jc w:val="both"/>
        <w:textAlignment w:val="baseline"/>
        <w:rPr>
          <w:rFonts w:ascii="Arial" w:hAnsi="Arial" w:cs="Arial"/>
          <w:bdr w:val="none" w:sz="0" w:space="0" w:color="auto" w:frame="1"/>
          <w:lang w:val="es-CO"/>
        </w:rPr>
      </w:pPr>
    </w:p>
    <w:p w:rsidR="00AD0EA5" w:rsidRPr="008E45D8" w:rsidRDefault="00AD0EA5" w:rsidP="00420C52">
      <w:pPr>
        <w:shd w:val="clear" w:color="auto" w:fill="FFFFFF"/>
        <w:spacing w:line="360" w:lineRule="auto"/>
        <w:jc w:val="both"/>
        <w:textAlignment w:val="baseline"/>
        <w:rPr>
          <w:rFonts w:ascii="Arial" w:hAnsi="Arial" w:cs="Arial"/>
          <w:bdr w:val="none" w:sz="0" w:space="0" w:color="auto" w:frame="1"/>
          <w:lang w:val="es-CO"/>
        </w:rPr>
      </w:pPr>
      <w:r w:rsidRPr="008E45D8">
        <w:rPr>
          <w:rFonts w:ascii="Arial" w:hAnsi="Arial" w:cs="Arial"/>
          <w:bdr w:val="none" w:sz="0" w:space="0" w:color="auto" w:frame="1"/>
          <w:lang w:val="es-CO"/>
        </w:rPr>
        <w:t xml:space="preserve">Por lo tanto, </w:t>
      </w:r>
      <w:r w:rsidR="00420C52" w:rsidRPr="008E45D8">
        <w:rPr>
          <w:rFonts w:ascii="Arial" w:hAnsi="Arial" w:cs="Arial"/>
          <w:bdr w:val="none" w:sz="0" w:space="0" w:color="auto" w:frame="1"/>
          <w:lang w:val="es-CO"/>
        </w:rPr>
        <w:t>se ampara</w:t>
      </w:r>
      <w:r w:rsidRPr="008E45D8">
        <w:rPr>
          <w:rFonts w:ascii="Arial" w:hAnsi="Arial" w:cs="Arial"/>
          <w:bdr w:val="none" w:sz="0" w:space="0" w:color="auto" w:frame="1"/>
          <w:lang w:val="es-CO"/>
        </w:rPr>
        <w:t xml:space="preserve"> este derecho a </w:t>
      </w:r>
      <w:r w:rsidRPr="00232F75">
        <w:rPr>
          <w:rFonts w:ascii="Arial" w:hAnsi="Arial" w:cs="Arial"/>
          <w:i/>
          <w:sz w:val="22"/>
          <w:bdr w:val="none" w:sz="0" w:space="0" w:color="auto" w:frame="1"/>
          <w:lang w:val="es-CO"/>
        </w:rPr>
        <w:t xml:space="preserve">“(…) quienes han sido desvinculados sin autorización de la oficina del Trabajo, aun cuando no presenten una situación de pérdida de capacidad laboral moderada, severa o profunda, ni cuenten con certificación que acredite el porcentaje en que han perdido su fuerza laboral, </w:t>
      </w:r>
      <w:r w:rsidRPr="00232F75">
        <w:rPr>
          <w:rFonts w:ascii="Arial" w:hAnsi="Arial" w:cs="Arial"/>
          <w:i/>
          <w:sz w:val="22"/>
          <w:u w:val="single"/>
          <w:bdr w:val="none" w:sz="0" w:space="0" w:color="auto" w:frame="1"/>
          <w:lang w:val="es-CO"/>
        </w:rPr>
        <w:t>si se evidencia una situación de salud que les impida o dificulte sustancialmente el desempeño de sus labores en condiciones regulares</w:t>
      </w:r>
      <w:r w:rsidRPr="00232F75">
        <w:rPr>
          <w:rFonts w:ascii="Arial" w:hAnsi="Arial" w:cs="Arial"/>
          <w:i/>
          <w:sz w:val="22"/>
          <w:bdr w:val="none" w:sz="0" w:space="0" w:color="auto" w:frame="1"/>
          <w:lang w:val="es-CO"/>
        </w:rPr>
        <w:t xml:space="preserve"> (…)”</w:t>
      </w:r>
      <w:r w:rsidR="00232F75">
        <w:rPr>
          <w:rStyle w:val="Appelnotedebasdep"/>
          <w:rFonts w:ascii="Arial" w:hAnsi="Arial"/>
          <w:i/>
          <w:sz w:val="22"/>
          <w:bdr w:val="none" w:sz="0" w:space="0" w:color="auto" w:frame="1"/>
          <w:lang w:val="es-CO"/>
        </w:rPr>
        <w:footnoteReference w:id="7"/>
      </w:r>
      <w:r w:rsidR="00420C52" w:rsidRPr="008E45D8">
        <w:rPr>
          <w:rFonts w:ascii="Arial" w:hAnsi="Arial" w:cs="Arial"/>
          <w:bdr w:val="none" w:sz="0" w:space="0" w:color="auto" w:frame="1"/>
          <w:lang w:val="es-CO"/>
        </w:rPr>
        <w:t xml:space="preserve"> (</w:t>
      </w:r>
      <w:proofErr w:type="spellStart"/>
      <w:r w:rsidR="00420C52" w:rsidRPr="008E45D8">
        <w:rPr>
          <w:rFonts w:ascii="Arial" w:hAnsi="Arial" w:cs="Arial"/>
          <w:bdr w:val="none" w:sz="0" w:space="0" w:color="auto" w:frame="1"/>
          <w:lang w:val="es-CO"/>
        </w:rPr>
        <w:t>Sublíneas</w:t>
      </w:r>
      <w:proofErr w:type="spellEnd"/>
      <w:r w:rsidR="00420C52" w:rsidRPr="008E45D8">
        <w:rPr>
          <w:rFonts w:ascii="Arial" w:hAnsi="Arial" w:cs="Arial"/>
          <w:bdr w:val="none" w:sz="0" w:space="0" w:color="auto" w:frame="1"/>
          <w:lang w:val="es-CO"/>
        </w:rPr>
        <w:t xml:space="preserve"> de la Sala).</w:t>
      </w:r>
    </w:p>
    <w:p w:rsidR="00AD0EA5" w:rsidRPr="008E45D8" w:rsidRDefault="00AD0EA5" w:rsidP="00420C52">
      <w:pPr>
        <w:shd w:val="clear" w:color="auto" w:fill="FFFFFF"/>
        <w:spacing w:line="360" w:lineRule="auto"/>
        <w:jc w:val="both"/>
        <w:textAlignment w:val="baseline"/>
        <w:rPr>
          <w:rFonts w:ascii="Arial" w:hAnsi="Arial" w:cs="Arial"/>
          <w:bdr w:val="none" w:sz="0" w:space="0" w:color="auto" w:frame="1"/>
          <w:lang w:val="es-CO"/>
        </w:rPr>
      </w:pPr>
    </w:p>
    <w:p w:rsidR="00420C52" w:rsidRPr="008E45D8" w:rsidRDefault="00420C52" w:rsidP="00420C52">
      <w:pPr>
        <w:shd w:val="clear" w:color="auto" w:fill="FFFFFF"/>
        <w:spacing w:line="360" w:lineRule="auto"/>
        <w:jc w:val="both"/>
        <w:textAlignment w:val="baseline"/>
        <w:rPr>
          <w:rFonts w:ascii="Arial" w:hAnsi="Arial" w:cs="Arial"/>
          <w:bdr w:val="none" w:sz="0" w:space="0" w:color="auto" w:frame="1"/>
          <w:lang w:val="es-CO"/>
        </w:rPr>
      </w:pPr>
      <w:r w:rsidRPr="008E45D8">
        <w:rPr>
          <w:rFonts w:ascii="Arial" w:hAnsi="Arial" w:cs="Arial"/>
          <w:bdr w:val="none" w:sz="0" w:space="0" w:color="auto" w:frame="1"/>
          <w:lang w:val="es-CO"/>
        </w:rPr>
        <w:t xml:space="preserve">Claramente la Corte enfatiza la preexistencia de un padecimiento que impida o dificulte la prestación de un servicio y que sea la razón que tuvo el empleador para finiquitar el vínculo laboral. </w:t>
      </w:r>
    </w:p>
    <w:p w:rsidR="00420C52" w:rsidRPr="008E45D8" w:rsidRDefault="00420C52" w:rsidP="00420C52">
      <w:pPr>
        <w:shd w:val="clear" w:color="auto" w:fill="FFFFFF"/>
        <w:spacing w:line="360" w:lineRule="auto"/>
        <w:jc w:val="both"/>
        <w:textAlignment w:val="baseline"/>
        <w:rPr>
          <w:rFonts w:ascii="Arial" w:hAnsi="Arial" w:cs="Arial"/>
          <w:bdr w:val="none" w:sz="0" w:space="0" w:color="auto" w:frame="1"/>
          <w:lang w:val="es-CO"/>
        </w:rPr>
      </w:pPr>
    </w:p>
    <w:p w:rsidR="00420C52" w:rsidRPr="008E45D8" w:rsidRDefault="00420C52" w:rsidP="00420C52">
      <w:pPr>
        <w:shd w:val="clear" w:color="auto" w:fill="FFFFFF"/>
        <w:spacing w:line="360" w:lineRule="auto"/>
        <w:jc w:val="both"/>
        <w:textAlignment w:val="baseline"/>
        <w:rPr>
          <w:rFonts w:ascii="Arial" w:hAnsi="Arial" w:cs="Arial"/>
          <w:bdr w:val="none" w:sz="0" w:space="0" w:color="auto" w:frame="1"/>
          <w:lang w:val="es-CO"/>
        </w:rPr>
      </w:pPr>
      <w:r w:rsidRPr="008E45D8">
        <w:rPr>
          <w:rFonts w:ascii="Arial" w:hAnsi="Arial" w:cs="Arial"/>
          <w:bdr w:val="none" w:sz="0" w:space="0" w:color="auto" w:frame="1"/>
          <w:lang w:val="es-CO"/>
        </w:rPr>
        <w:lastRenderedPageBreak/>
        <w:t>En cuanto a aquel nexo causal entre el despido y las afecciones de salud, explica la CSJ</w:t>
      </w:r>
      <w:r w:rsidR="00C81885" w:rsidRPr="008E45D8">
        <w:rPr>
          <w:rStyle w:val="Appelnotedebasdep"/>
          <w:rFonts w:ascii="Arial" w:hAnsi="Arial" w:cs="Arial"/>
        </w:rPr>
        <w:footnoteReference w:id="8"/>
      </w:r>
      <w:r w:rsidRPr="008E45D8">
        <w:rPr>
          <w:rFonts w:ascii="Arial" w:hAnsi="Arial" w:cs="Arial"/>
          <w:bdr w:val="none" w:sz="0" w:space="0" w:color="auto" w:frame="1"/>
          <w:lang w:val="es-CO"/>
        </w:rPr>
        <w:t xml:space="preserve"> en sus decisiones de tutela, </w:t>
      </w:r>
      <w:r w:rsidR="005375D9" w:rsidRPr="008E45D8">
        <w:rPr>
          <w:rFonts w:ascii="Arial" w:hAnsi="Arial" w:cs="Arial"/>
          <w:bdr w:val="none" w:sz="0" w:space="0" w:color="auto" w:frame="1"/>
          <w:lang w:val="es-CO"/>
        </w:rPr>
        <w:t xml:space="preserve">en las que acoge </w:t>
      </w:r>
      <w:r w:rsidRPr="008E45D8">
        <w:rPr>
          <w:rFonts w:ascii="Arial" w:hAnsi="Arial" w:cs="Arial"/>
          <w:bdr w:val="none" w:sz="0" w:space="0" w:color="auto" w:frame="1"/>
          <w:lang w:val="es-CO"/>
        </w:rPr>
        <w:t xml:space="preserve">el criterio de la CC, lo siguiente: </w:t>
      </w:r>
    </w:p>
    <w:p w:rsidR="00420C52" w:rsidRPr="008E45D8" w:rsidRDefault="00420C52" w:rsidP="00546F93">
      <w:pPr>
        <w:shd w:val="clear" w:color="auto" w:fill="FFFFFF"/>
        <w:jc w:val="both"/>
        <w:textAlignment w:val="baseline"/>
        <w:rPr>
          <w:rFonts w:ascii="Arial" w:hAnsi="Arial" w:cs="Arial"/>
          <w:bdr w:val="none" w:sz="0" w:space="0" w:color="auto" w:frame="1"/>
          <w:lang w:val="es-CO"/>
        </w:rPr>
      </w:pPr>
    </w:p>
    <w:p w:rsidR="00420C52" w:rsidRPr="008E45D8" w:rsidRDefault="00420C52" w:rsidP="008E45D8">
      <w:pPr>
        <w:shd w:val="clear" w:color="auto" w:fill="FFFFFF"/>
        <w:ind w:left="624" w:right="618"/>
        <w:jc w:val="both"/>
        <w:rPr>
          <w:rFonts w:ascii="Arial" w:hAnsi="Arial" w:cs="Arial"/>
          <w:i/>
          <w:lang w:val="es-CO" w:eastAsia="es-CO"/>
        </w:rPr>
      </w:pPr>
      <w:r w:rsidRPr="008E45D8">
        <w:rPr>
          <w:rFonts w:ascii="Arial" w:hAnsi="Arial" w:cs="Arial"/>
          <w:i/>
        </w:rPr>
        <w:t>«</w:t>
      </w:r>
      <w:r w:rsidRPr="008E45D8">
        <w:rPr>
          <w:rFonts w:ascii="Arial" w:hAnsi="Arial" w:cs="Arial"/>
          <w:i/>
          <w:bdr w:val="none" w:sz="0" w:space="0" w:color="auto" w:frame="1"/>
        </w:rPr>
        <w:t xml:space="preserve">La sola terminación del contrato de trabajo de un empleado en estado de discapacidad no implica necesariamente discriminación, pues se requiere </w:t>
      </w:r>
      <w:r w:rsidRPr="008E45D8">
        <w:rPr>
          <w:rFonts w:ascii="Arial" w:hAnsi="Arial" w:cs="Arial"/>
          <w:i/>
        </w:rPr>
        <w:t>que</w:t>
      </w:r>
      <w:r w:rsidRPr="008E45D8">
        <w:rPr>
          <w:rFonts w:ascii="Arial" w:hAnsi="Arial" w:cs="Arial"/>
          <w:i/>
          <w:bdr w:val="none" w:sz="0" w:space="0" w:color="auto" w:frame="1"/>
        </w:rPr>
        <w:t xml:space="preserve"> exista un nexo causal entre la discapacidad y la terminación del </w:t>
      </w:r>
      <w:r w:rsidRPr="008E45D8">
        <w:rPr>
          <w:rFonts w:ascii="Arial" w:hAnsi="Arial" w:cs="Arial"/>
          <w:i/>
        </w:rPr>
        <w:t>contrato, esto es, que se presente una relación de causa a efecto entre la</w:t>
      </w:r>
      <w:r w:rsidRPr="008E45D8">
        <w:rPr>
          <w:rFonts w:ascii="Arial" w:hAnsi="Arial" w:cs="Arial"/>
          <w:i/>
          <w:bdr w:val="none" w:sz="0" w:space="0" w:color="auto" w:frame="1"/>
        </w:rPr>
        <w:t xml:space="preserve"> condición física del trabajador y la ruptura del vínculo laboral.</w:t>
      </w:r>
    </w:p>
    <w:p w:rsidR="00420C52" w:rsidRPr="008E45D8" w:rsidRDefault="00420C52" w:rsidP="008E45D8">
      <w:pPr>
        <w:shd w:val="clear" w:color="auto" w:fill="FFFFFF"/>
        <w:ind w:left="624" w:right="618"/>
        <w:jc w:val="both"/>
        <w:rPr>
          <w:rFonts w:ascii="Arial" w:hAnsi="Arial" w:cs="Arial"/>
          <w:i/>
          <w:lang w:val="es-ES_tradnl"/>
        </w:rPr>
      </w:pPr>
      <w:r w:rsidRPr="008E45D8">
        <w:rPr>
          <w:rFonts w:ascii="Arial" w:hAnsi="Arial" w:cs="Arial"/>
          <w:i/>
          <w:bdr w:val="none" w:sz="0" w:space="0" w:color="auto" w:frame="1"/>
        </w:rPr>
        <w:t> </w:t>
      </w:r>
    </w:p>
    <w:p w:rsidR="00420C52" w:rsidRPr="008E45D8" w:rsidRDefault="00420C52" w:rsidP="008E45D8">
      <w:pPr>
        <w:shd w:val="clear" w:color="auto" w:fill="FFFFFF"/>
        <w:ind w:left="624" w:right="618"/>
        <w:jc w:val="both"/>
        <w:rPr>
          <w:rFonts w:ascii="Arial" w:hAnsi="Arial" w:cs="Arial"/>
        </w:rPr>
      </w:pPr>
      <w:r w:rsidRPr="008E45D8">
        <w:rPr>
          <w:rFonts w:ascii="Arial" w:hAnsi="Arial" w:cs="Arial"/>
          <w:i/>
          <w:bdr w:val="none" w:sz="0" w:space="0" w:color="auto" w:frame="1"/>
        </w:rPr>
        <w:t>De existir tal nexo causal, la terminación del contrato deviene inconstitucional e ilegal, con las consecuencias que ello genera. Por el contrario, si no existe nexo causal entre una y otra o, dicho de otro modo, si la terminación del contrato de trabajo no se debió a la condición de discapacidad, la ruptura no es digna de reproche constitucional</w:t>
      </w:r>
      <w:r w:rsidRPr="008E45D8">
        <w:rPr>
          <w:rFonts w:ascii="Arial" w:hAnsi="Arial" w:cs="Arial"/>
          <w:i/>
        </w:rPr>
        <w:t xml:space="preserve">» </w:t>
      </w:r>
      <w:r w:rsidRPr="008E45D8">
        <w:rPr>
          <w:rFonts w:ascii="Arial" w:hAnsi="Arial" w:cs="Arial"/>
        </w:rPr>
        <w:t>(CC T-594/12, citada en STC6507-2015 y STC10954-2015).”</w:t>
      </w:r>
    </w:p>
    <w:p w:rsidR="00420C52" w:rsidRPr="008E45D8" w:rsidRDefault="00420C52" w:rsidP="00546F93">
      <w:pPr>
        <w:shd w:val="clear" w:color="auto" w:fill="FFFFFF"/>
        <w:jc w:val="both"/>
        <w:textAlignment w:val="baseline"/>
        <w:rPr>
          <w:rFonts w:ascii="Arial" w:hAnsi="Arial" w:cs="Arial"/>
          <w:sz w:val="36"/>
          <w:bdr w:val="none" w:sz="0" w:space="0" w:color="auto" w:frame="1"/>
          <w:lang w:val="es-CO"/>
        </w:rPr>
      </w:pPr>
    </w:p>
    <w:p w:rsidR="008E45D8" w:rsidRPr="008E45D8" w:rsidRDefault="005375D9" w:rsidP="008E45D8">
      <w:pPr>
        <w:shd w:val="clear" w:color="auto" w:fill="FFFFFF"/>
        <w:spacing w:line="360" w:lineRule="auto"/>
        <w:jc w:val="both"/>
        <w:textAlignment w:val="baseline"/>
        <w:rPr>
          <w:rFonts w:ascii="Arial" w:hAnsi="Arial" w:cs="Arial"/>
          <w:bdr w:val="none" w:sz="0" w:space="0" w:color="auto" w:frame="1"/>
          <w:lang w:val="es-CO"/>
        </w:rPr>
      </w:pPr>
      <w:r w:rsidRPr="008E45D8">
        <w:rPr>
          <w:rFonts w:ascii="Arial" w:hAnsi="Arial" w:cs="Arial"/>
          <w:bdr w:val="none" w:sz="0" w:space="0" w:color="auto" w:frame="1"/>
          <w:lang w:val="es-CO"/>
        </w:rPr>
        <w:t xml:space="preserve">En síntesis puede afirmarse que </w:t>
      </w:r>
      <w:r w:rsidR="00E606F7" w:rsidRPr="008E45D8">
        <w:rPr>
          <w:rFonts w:ascii="Arial" w:hAnsi="Arial" w:cs="Arial"/>
          <w:bdr w:val="none" w:sz="0" w:space="0" w:color="auto" w:frame="1"/>
          <w:lang w:val="es-CO"/>
        </w:rPr>
        <w:t xml:space="preserve">para que una </w:t>
      </w:r>
      <w:r w:rsidRPr="008E45D8">
        <w:rPr>
          <w:rFonts w:ascii="Arial" w:hAnsi="Arial" w:cs="Arial"/>
          <w:bdr w:val="none" w:sz="0" w:space="0" w:color="auto" w:frame="1"/>
          <w:lang w:val="es-CO"/>
        </w:rPr>
        <w:t xml:space="preserve">persona </w:t>
      </w:r>
      <w:r w:rsidR="00E606F7" w:rsidRPr="008E45D8">
        <w:rPr>
          <w:rFonts w:ascii="Arial" w:hAnsi="Arial" w:cs="Arial"/>
          <w:bdr w:val="none" w:sz="0" w:space="0" w:color="auto" w:frame="1"/>
          <w:lang w:val="es-CO"/>
        </w:rPr>
        <w:t>pueda ser beneficiada con la protección del derecho a la estabilidad ocupacional reforzada</w:t>
      </w:r>
      <w:r w:rsidR="00232F75">
        <w:rPr>
          <w:rFonts w:ascii="Arial" w:hAnsi="Arial" w:cs="Arial"/>
          <w:bdr w:val="none" w:sz="0" w:space="0" w:color="auto" w:frame="1"/>
          <w:lang w:val="es-CO"/>
        </w:rPr>
        <w:t xml:space="preserve"> se requiere</w:t>
      </w:r>
      <w:r w:rsidR="00E606F7" w:rsidRPr="008E45D8">
        <w:rPr>
          <w:rFonts w:ascii="Arial" w:hAnsi="Arial" w:cs="Arial"/>
          <w:bdr w:val="none" w:sz="0" w:space="0" w:color="auto" w:frame="1"/>
          <w:lang w:val="es-CO"/>
        </w:rPr>
        <w:t xml:space="preserve">: (i) Que padezca de una enfermedad </w:t>
      </w:r>
      <w:r w:rsidRPr="008E45D8">
        <w:rPr>
          <w:rFonts w:ascii="Arial" w:hAnsi="Arial" w:cs="Arial"/>
          <w:bdr w:val="none" w:sz="0" w:space="0" w:color="auto" w:frame="1"/>
          <w:lang w:val="es-CO"/>
        </w:rPr>
        <w:t>que le impida atender sus obligaciones laborales</w:t>
      </w:r>
      <w:r w:rsidR="00E606F7" w:rsidRPr="008E45D8">
        <w:rPr>
          <w:rFonts w:ascii="Arial" w:hAnsi="Arial" w:cs="Arial"/>
          <w:bdr w:val="none" w:sz="0" w:space="0" w:color="auto" w:frame="1"/>
          <w:lang w:val="es-CO"/>
        </w:rPr>
        <w:t xml:space="preserve">; </w:t>
      </w:r>
      <w:r w:rsidR="008E45D8" w:rsidRPr="008E45D8">
        <w:rPr>
          <w:rFonts w:ascii="Arial" w:hAnsi="Arial" w:cs="Arial"/>
          <w:bdr w:val="none" w:sz="0" w:space="0" w:color="auto" w:frame="1"/>
          <w:lang w:val="es-CO"/>
        </w:rPr>
        <w:t>y, (</w:t>
      </w:r>
      <w:r w:rsidR="00E606F7" w:rsidRPr="008E45D8">
        <w:rPr>
          <w:rFonts w:ascii="Arial" w:hAnsi="Arial" w:cs="Arial"/>
          <w:bdr w:val="none" w:sz="0" w:space="0" w:color="auto" w:frame="1"/>
          <w:lang w:val="es-CO"/>
        </w:rPr>
        <w:t xml:space="preserve">ii) Que la determinación del empleador de </w:t>
      </w:r>
      <w:r w:rsidR="008E45D8" w:rsidRPr="008E45D8">
        <w:rPr>
          <w:rFonts w:ascii="Arial" w:hAnsi="Arial" w:cs="Arial"/>
          <w:bdr w:val="none" w:sz="0" w:space="0" w:color="auto" w:frame="1"/>
          <w:lang w:val="es-CO"/>
        </w:rPr>
        <w:t>finiquitar</w:t>
      </w:r>
      <w:r w:rsidR="00E606F7" w:rsidRPr="008E45D8">
        <w:rPr>
          <w:rFonts w:ascii="Arial" w:hAnsi="Arial" w:cs="Arial"/>
          <w:bdr w:val="none" w:sz="0" w:space="0" w:color="auto" w:frame="1"/>
          <w:lang w:val="es-CO"/>
        </w:rPr>
        <w:t xml:space="preserve"> el vínculo laboral aconte</w:t>
      </w:r>
      <w:r w:rsidR="008E45D8" w:rsidRPr="008E45D8">
        <w:rPr>
          <w:rFonts w:ascii="Arial" w:hAnsi="Arial" w:cs="Arial"/>
          <w:bdr w:val="none" w:sz="0" w:space="0" w:color="auto" w:frame="1"/>
          <w:lang w:val="es-CO"/>
        </w:rPr>
        <w:t>zca</w:t>
      </w:r>
      <w:r w:rsidR="00E606F7" w:rsidRPr="008E45D8">
        <w:rPr>
          <w:rFonts w:ascii="Arial" w:hAnsi="Arial" w:cs="Arial"/>
          <w:bdr w:val="none" w:sz="0" w:space="0" w:color="auto" w:frame="1"/>
          <w:lang w:val="es-CO"/>
        </w:rPr>
        <w:t xml:space="preserve"> con ocasión de la afecciones en salud</w:t>
      </w:r>
      <w:r w:rsidR="008E45D8" w:rsidRPr="008E45D8">
        <w:rPr>
          <w:rFonts w:ascii="Arial" w:hAnsi="Arial" w:cs="Arial"/>
          <w:bdr w:val="none" w:sz="0" w:space="0" w:color="auto" w:frame="1"/>
          <w:lang w:val="es-CO"/>
        </w:rPr>
        <w:t>, evento en cual</w:t>
      </w:r>
      <w:r w:rsidR="00232F75">
        <w:rPr>
          <w:rFonts w:ascii="Arial" w:hAnsi="Arial" w:cs="Arial"/>
          <w:bdr w:val="none" w:sz="0" w:space="0" w:color="auto" w:frame="1"/>
          <w:lang w:val="es-CO"/>
        </w:rPr>
        <w:t xml:space="preserve"> es necesaria </w:t>
      </w:r>
      <w:r w:rsidR="008E45D8" w:rsidRPr="008E45D8">
        <w:rPr>
          <w:rFonts w:ascii="Arial" w:hAnsi="Arial" w:cs="Arial"/>
          <w:bdr w:val="none" w:sz="0" w:space="0" w:color="auto" w:frame="1"/>
          <w:lang w:val="es-CO"/>
        </w:rPr>
        <w:t xml:space="preserve">la autorización </w:t>
      </w:r>
      <w:r w:rsidR="008E45D8" w:rsidRPr="008E45D8">
        <w:rPr>
          <w:rFonts w:ascii="Arial" w:hAnsi="Arial" w:cs="Arial"/>
          <w:shd w:val="clear" w:color="auto" w:fill="FFFFFF"/>
        </w:rPr>
        <w:t>de la oficina del Trabajo.</w:t>
      </w:r>
      <w:r w:rsidR="00232F75">
        <w:rPr>
          <w:rFonts w:ascii="Arial" w:hAnsi="Arial" w:cs="Arial"/>
          <w:shd w:val="clear" w:color="auto" w:fill="FFFFFF"/>
        </w:rPr>
        <w:t xml:space="preserve"> </w:t>
      </w:r>
      <w:r w:rsidR="008E45D8" w:rsidRPr="008E45D8">
        <w:rPr>
          <w:rFonts w:ascii="Arial" w:hAnsi="Arial" w:cs="Arial"/>
          <w:shd w:val="clear" w:color="auto" w:fill="FFFFFF"/>
        </w:rPr>
        <w:t xml:space="preserve">De reunirse dichos requisitos </w:t>
      </w:r>
      <w:r w:rsidR="00232F75">
        <w:rPr>
          <w:rFonts w:ascii="Arial" w:hAnsi="Arial" w:cs="Arial"/>
          <w:shd w:val="clear" w:color="auto" w:fill="FFFFFF"/>
        </w:rPr>
        <w:t xml:space="preserve">habrá lugar al </w:t>
      </w:r>
      <w:r w:rsidR="00E606F7" w:rsidRPr="008E45D8">
        <w:rPr>
          <w:rFonts w:ascii="Arial" w:hAnsi="Arial" w:cs="Arial"/>
          <w:bdr w:val="none" w:sz="0" w:space="0" w:color="auto" w:frame="1"/>
          <w:lang w:val="es-CO"/>
        </w:rPr>
        <w:t xml:space="preserve">reintegro o reubicación </w:t>
      </w:r>
      <w:r w:rsidR="008E45D8" w:rsidRPr="008E45D8">
        <w:rPr>
          <w:rFonts w:ascii="Arial" w:hAnsi="Arial" w:cs="Arial"/>
          <w:bdr w:val="none" w:sz="0" w:space="0" w:color="auto" w:frame="1"/>
          <w:lang w:val="es-CO"/>
        </w:rPr>
        <w:t xml:space="preserve">laboral </w:t>
      </w:r>
      <w:r w:rsidR="00E606F7" w:rsidRPr="008E45D8">
        <w:rPr>
          <w:rFonts w:ascii="Arial" w:hAnsi="Arial" w:cs="Arial"/>
          <w:bdr w:val="none" w:sz="0" w:space="0" w:color="auto" w:frame="1"/>
          <w:lang w:val="es-CO"/>
        </w:rPr>
        <w:t xml:space="preserve">y </w:t>
      </w:r>
      <w:r w:rsidR="00232F75">
        <w:rPr>
          <w:rFonts w:ascii="Arial" w:hAnsi="Arial" w:cs="Arial"/>
          <w:bdr w:val="none" w:sz="0" w:space="0" w:color="auto" w:frame="1"/>
          <w:lang w:val="es-CO"/>
        </w:rPr>
        <w:t xml:space="preserve">al </w:t>
      </w:r>
      <w:r w:rsidR="008E45D8" w:rsidRPr="008E45D8">
        <w:rPr>
          <w:rFonts w:ascii="Arial" w:hAnsi="Arial" w:cs="Arial"/>
          <w:bdr w:val="none" w:sz="0" w:space="0" w:color="auto" w:frame="1"/>
          <w:lang w:val="es-CO"/>
        </w:rPr>
        <w:t xml:space="preserve">pago de la </w:t>
      </w:r>
      <w:r w:rsidR="00E606F7" w:rsidRPr="008E45D8">
        <w:rPr>
          <w:rFonts w:ascii="Arial" w:hAnsi="Arial" w:cs="Arial"/>
          <w:bdr w:val="none" w:sz="0" w:space="0" w:color="auto" w:frame="1"/>
          <w:lang w:val="es-CO"/>
        </w:rPr>
        <w:t>indemnización</w:t>
      </w:r>
      <w:r w:rsidR="008E45D8" w:rsidRPr="008E45D8">
        <w:rPr>
          <w:rFonts w:ascii="Arial" w:hAnsi="Arial" w:cs="Arial"/>
          <w:bdr w:val="none" w:sz="0" w:space="0" w:color="auto" w:frame="1"/>
          <w:lang w:val="es-CO"/>
        </w:rPr>
        <w:t xml:space="preserve"> de que trata el inciso 2º del artículo </w:t>
      </w:r>
      <w:r w:rsidR="00E606F7" w:rsidRPr="008E45D8">
        <w:rPr>
          <w:rFonts w:ascii="Arial" w:hAnsi="Arial" w:cs="Arial"/>
          <w:iCs/>
          <w:bdr w:val="none" w:sz="0" w:space="0" w:color="auto" w:frame="1"/>
        </w:rPr>
        <w:t>26, Ley 361</w:t>
      </w:r>
      <w:r w:rsidRPr="008E45D8">
        <w:rPr>
          <w:rFonts w:ascii="Arial" w:hAnsi="Arial" w:cs="Arial"/>
          <w:bdr w:val="none" w:sz="0" w:space="0" w:color="auto" w:frame="1"/>
          <w:lang w:val="es-CO"/>
        </w:rPr>
        <w:t>.</w:t>
      </w:r>
    </w:p>
    <w:p w:rsidR="005375D9" w:rsidRPr="00232F75" w:rsidRDefault="008E45D8" w:rsidP="008E45D8">
      <w:pPr>
        <w:shd w:val="clear" w:color="auto" w:fill="FFFFFF"/>
        <w:jc w:val="both"/>
        <w:textAlignment w:val="baseline"/>
        <w:rPr>
          <w:sz w:val="36"/>
          <w:szCs w:val="28"/>
          <w:bdr w:val="none" w:sz="0" w:space="0" w:color="auto" w:frame="1"/>
          <w:lang w:val="es-CO"/>
        </w:rPr>
      </w:pPr>
      <w:r w:rsidRPr="008E45D8">
        <w:rPr>
          <w:sz w:val="28"/>
          <w:szCs w:val="28"/>
          <w:bdr w:val="none" w:sz="0" w:space="0" w:color="auto" w:frame="1"/>
          <w:lang w:val="es-CO"/>
        </w:rPr>
        <w:t xml:space="preserve"> </w:t>
      </w:r>
    </w:p>
    <w:p w:rsidR="00B311DA" w:rsidRPr="001108A9" w:rsidRDefault="00567F0F" w:rsidP="00546F93">
      <w:pPr>
        <w:pStyle w:val="Paragraphedeliste"/>
        <w:numPr>
          <w:ilvl w:val="0"/>
          <w:numId w:val="32"/>
        </w:numPr>
        <w:spacing w:after="0" w:line="360" w:lineRule="auto"/>
        <w:jc w:val="both"/>
        <w:rPr>
          <w:rFonts w:ascii="Arial" w:hAnsi="Arial" w:cs="Arial"/>
          <w:sz w:val="24"/>
          <w:lang w:val="es-ES_tradnl"/>
        </w:rPr>
      </w:pPr>
      <w:r w:rsidRPr="001108A9">
        <w:rPr>
          <w:rFonts w:ascii="Arial" w:hAnsi="Arial" w:cs="Arial"/>
          <w:sz w:val="24"/>
          <w:lang w:val="es-ES_tradnl"/>
        </w:rPr>
        <w:t>EL ANÁLISIS DEL CASO EN CONCRETO</w:t>
      </w:r>
    </w:p>
    <w:p w:rsidR="009E1F87" w:rsidRPr="00A72B1F" w:rsidRDefault="009E1F87" w:rsidP="00092278">
      <w:pPr>
        <w:tabs>
          <w:tab w:val="left" w:pos="4046"/>
        </w:tabs>
        <w:jc w:val="both"/>
        <w:rPr>
          <w:rFonts w:ascii="Arial" w:hAnsi="Arial"/>
          <w:lang w:val="es-ES_tradnl"/>
        </w:rPr>
      </w:pPr>
    </w:p>
    <w:p w:rsidR="00232F75" w:rsidRDefault="00232F75" w:rsidP="00546F93">
      <w:pPr>
        <w:spacing w:line="360" w:lineRule="auto"/>
        <w:ind w:right="51"/>
        <w:jc w:val="both"/>
        <w:rPr>
          <w:rFonts w:ascii="Arial" w:hAnsi="Arial"/>
        </w:rPr>
      </w:pPr>
      <w:r>
        <w:rPr>
          <w:rFonts w:ascii="Arial" w:hAnsi="Arial"/>
        </w:rPr>
        <w:t>De entrada advierte la Sala que la decisión venida en impugnación habrá de revocarse, para en su lugar, negar el amparo constitucional por la evidente inexistencia de vulneración del derecho fundamental a la estabilidad ocupacional reforzada invocado por la accionante.</w:t>
      </w:r>
    </w:p>
    <w:p w:rsidR="00232F75" w:rsidRDefault="00232F75" w:rsidP="00092278">
      <w:pPr>
        <w:ind w:right="51"/>
        <w:jc w:val="both"/>
        <w:rPr>
          <w:rFonts w:ascii="Arial" w:hAnsi="Arial"/>
        </w:rPr>
      </w:pPr>
    </w:p>
    <w:p w:rsidR="009861A8" w:rsidRDefault="00232F75" w:rsidP="00546F93">
      <w:pPr>
        <w:spacing w:line="360" w:lineRule="auto"/>
        <w:ind w:right="51"/>
        <w:jc w:val="both"/>
        <w:rPr>
          <w:rFonts w:ascii="Arial" w:hAnsi="Arial"/>
        </w:rPr>
      </w:pPr>
      <w:r>
        <w:rPr>
          <w:rFonts w:ascii="Arial" w:hAnsi="Arial"/>
        </w:rPr>
        <w:t xml:space="preserve">En el petitorio se expone que fue objeto de desvinculación laboral pese al carcinoma que padece, afección que la accionada conocía con anterioridad, pero no fue </w:t>
      </w:r>
      <w:r w:rsidR="00023AA6">
        <w:rPr>
          <w:rFonts w:ascii="Arial" w:hAnsi="Arial"/>
        </w:rPr>
        <w:t>obstáculo</w:t>
      </w:r>
      <w:r>
        <w:rPr>
          <w:rFonts w:ascii="Arial" w:hAnsi="Arial"/>
        </w:rPr>
        <w:t xml:space="preserve"> para que tomara aquella determinación </w:t>
      </w:r>
      <w:r w:rsidR="003640A3">
        <w:rPr>
          <w:rFonts w:ascii="Arial" w:hAnsi="Arial"/>
        </w:rPr>
        <w:t xml:space="preserve">y </w:t>
      </w:r>
      <w:r>
        <w:rPr>
          <w:rFonts w:ascii="Arial" w:hAnsi="Arial"/>
        </w:rPr>
        <w:t xml:space="preserve">sin </w:t>
      </w:r>
      <w:r w:rsidR="003640A3">
        <w:rPr>
          <w:rFonts w:ascii="Arial" w:hAnsi="Arial"/>
        </w:rPr>
        <w:t xml:space="preserve">la </w:t>
      </w:r>
      <w:r>
        <w:rPr>
          <w:rFonts w:ascii="Arial" w:hAnsi="Arial"/>
        </w:rPr>
        <w:t>autorización de la oficina de trabajo</w:t>
      </w:r>
      <w:r w:rsidR="009861A8">
        <w:rPr>
          <w:rFonts w:ascii="Arial" w:hAnsi="Arial"/>
        </w:rPr>
        <w:t>.</w:t>
      </w:r>
    </w:p>
    <w:p w:rsidR="009861A8" w:rsidRDefault="009861A8" w:rsidP="00092278">
      <w:pPr>
        <w:ind w:right="51"/>
        <w:jc w:val="both"/>
        <w:rPr>
          <w:rFonts w:ascii="Arial" w:hAnsi="Arial"/>
        </w:rPr>
      </w:pPr>
    </w:p>
    <w:p w:rsidR="00023AA6" w:rsidRDefault="009861A8" w:rsidP="00546F93">
      <w:pPr>
        <w:spacing w:line="360" w:lineRule="auto"/>
        <w:ind w:right="51"/>
        <w:jc w:val="both"/>
        <w:rPr>
          <w:rFonts w:ascii="Arial" w:hAnsi="Arial"/>
        </w:rPr>
      </w:pPr>
      <w:r>
        <w:rPr>
          <w:rFonts w:ascii="Arial" w:hAnsi="Arial"/>
        </w:rPr>
        <w:t xml:space="preserve">Revisados los anexos y demás elementos probatorios obrantes en la tutela se tiene acreditado que la </w:t>
      </w:r>
      <w:r w:rsidR="00C81885">
        <w:rPr>
          <w:rFonts w:ascii="Arial" w:hAnsi="Arial"/>
        </w:rPr>
        <w:t>accionante</w:t>
      </w:r>
      <w:r>
        <w:rPr>
          <w:rFonts w:ascii="Arial" w:hAnsi="Arial"/>
        </w:rPr>
        <w:t xml:space="preserve"> trabajó en </w:t>
      </w:r>
      <w:r w:rsidR="003640A3">
        <w:rPr>
          <w:rFonts w:ascii="Arial" w:hAnsi="Arial"/>
        </w:rPr>
        <w:t xml:space="preserve">la ESE </w:t>
      </w:r>
      <w:r>
        <w:rPr>
          <w:rFonts w:ascii="Arial" w:hAnsi="Arial"/>
        </w:rPr>
        <w:t xml:space="preserve">Hospital Universitario San Jorge de la ciudad, producto de sendos contratos </w:t>
      </w:r>
      <w:r w:rsidR="003640A3">
        <w:rPr>
          <w:rFonts w:ascii="Arial" w:hAnsi="Arial"/>
        </w:rPr>
        <w:t xml:space="preserve">de </w:t>
      </w:r>
      <w:r>
        <w:rPr>
          <w:rFonts w:ascii="Arial" w:hAnsi="Arial"/>
        </w:rPr>
        <w:t xml:space="preserve">obra suscritos con </w:t>
      </w:r>
      <w:r w:rsidRPr="003640A3">
        <w:rPr>
          <w:rFonts w:ascii="Arial" w:hAnsi="Arial"/>
          <w:sz w:val="22"/>
        </w:rPr>
        <w:t xml:space="preserve">ETEMCO </w:t>
      </w:r>
      <w:r w:rsidR="00A047BE">
        <w:rPr>
          <w:rFonts w:ascii="Arial" w:hAnsi="Arial"/>
          <w:sz w:val="22"/>
        </w:rPr>
        <w:t xml:space="preserve">SAS </w:t>
      </w:r>
      <w:r>
        <w:rPr>
          <w:rFonts w:ascii="Arial" w:hAnsi="Arial"/>
        </w:rPr>
        <w:t>desde el 14-11-2015 hasta el 31-05-2016 (Folios 16 a 30, este cuaderno), también que padece de cáncer en la tiroides desde el mes de diciembre de 2014 (Folios 8 y 9, este cuaderno, y 3 a 19, cuaderno No.1)</w:t>
      </w:r>
      <w:r w:rsidR="00023AA6">
        <w:rPr>
          <w:rFonts w:ascii="Arial" w:hAnsi="Arial"/>
        </w:rPr>
        <w:t xml:space="preserve"> y</w:t>
      </w:r>
      <w:r>
        <w:rPr>
          <w:rFonts w:ascii="Arial" w:hAnsi="Arial"/>
        </w:rPr>
        <w:t xml:space="preserve"> que ha recibido varios tratamientos</w:t>
      </w:r>
      <w:r w:rsidR="00023AA6">
        <w:rPr>
          <w:rFonts w:ascii="Arial" w:hAnsi="Arial"/>
        </w:rPr>
        <w:t xml:space="preserve">, sin embargo, </w:t>
      </w:r>
      <w:r w:rsidR="003640A3">
        <w:rPr>
          <w:rFonts w:ascii="Arial" w:hAnsi="Arial"/>
        </w:rPr>
        <w:t xml:space="preserve">su </w:t>
      </w:r>
      <w:r w:rsidR="00023AA6">
        <w:rPr>
          <w:rFonts w:ascii="Arial" w:hAnsi="Arial"/>
        </w:rPr>
        <w:t>enfermedad no le ha impedido cumplir con las obligaciones contractuales.</w:t>
      </w:r>
    </w:p>
    <w:p w:rsidR="00092278" w:rsidRDefault="00023AA6" w:rsidP="00546F93">
      <w:pPr>
        <w:spacing w:line="360" w:lineRule="auto"/>
        <w:ind w:right="51"/>
        <w:jc w:val="both"/>
        <w:rPr>
          <w:rFonts w:ascii="Arial" w:hAnsi="Arial"/>
        </w:rPr>
      </w:pPr>
      <w:r>
        <w:rPr>
          <w:rFonts w:ascii="Arial" w:hAnsi="Arial"/>
        </w:rPr>
        <w:lastRenderedPageBreak/>
        <w:t>En efecto, durante el lapso que trabajó en la ESE, fue incapacitada por una sola vez</w:t>
      </w:r>
      <w:r w:rsidR="003640A3">
        <w:rPr>
          <w:rFonts w:ascii="Arial" w:hAnsi="Arial"/>
        </w:rPr>
        <w:t>,</w:t>
      </w:r>
      <w:r>
        <w:rPr>
          <w:rFonts w:ascii="Arial" w:hAnsi="Arial"/>
        </w:rPr>
        <w:t xml:space="preserve"> dos meses antes</w:t>
      </w:r>
      <w:r w:rsidR="003640A3">
        <w:rPr>
          <w:rFonts w:ascii="Arial" w:hAnsi="Arial"/>
        </w:rPr>
        <w:t>,</w:t>
      </w:r>
      <w:r>
        <w:rPr>
          <w:rFonts w:ascii="Arial" w:hAnsi="Arial"/>
        </w:rPr>
        <w:t xml:space="preserve"> de que se diera por terminado el contrato de trabajo (Folio 8 vuelto, este cuaderno), esto es, para el mes de marzo de 2016, de tal suerte que para la época en que se le comunicó dicha determinación se encontraba en condiciones de continuar </w:t>
      </w:r>
    </w:p>
    <w:p w:rsidR="001464BF" w:rsidRDefault="00023AA6" w:rsidP="00546F93">
      <w:pPr>
        <w:spacing w:line="360" w:lineRule="auto"/>
        <w:ind w:right="51"/>
        <w:jc w:val="both"/>
        <w:rPr>
          <w:rFonts w:ascii="Arial" w:hAnsi="Arial"/>
        </w:rPr>
      </w:pPr>
      <w:proofErr w:type="gramStart"/>
      <w:r>
        <w:rPr>
          <w:rFonts w:ascii="Arial" w:hAnsi="Arial"/>
        </w:rPr>
        <w:t>con</w:t>
      </w:r>
      <w:proofErr w:type="gramEnd"/>
      <w:r>
        <w:rPr>
          <w:rFonts w:ascii="Arial" w:hAnsi="Arial"/>
        </w:rPr>
        <w:t xml:space="preserve"> sus labores, es decir, que su enfermedad nunca fue obstáculo para trabajar.</w:t>
      </w:r>
      <w:r w:rsidR="001464BF">
        <w:rPr>
          <w:rFonts w:ascii="Arial" w:hAnsi="Arial"/>
        </w:rPr>
        <w:t xml:space="preserve"> </w:t>
      </w:r>
    </w:p>
    <w:p w:rsidR="001464BF" w:rsidRDefault="001464BF" w:rsidP="00546F93">
      <w:pPr>
        <w:spacing w:line="360" w:lineRule="auto"/>
        <w:ind w:right="51"/>
        <w:jc w:val="both"/>
        <w:rPr>
          <w:rFonts w:ascii="Arial" w:hAnsi="Arial"/>
        </w:rPr>
      </w:pPr>
    </w:p>
    <w:p w:rsidR="001464BF" w:rsidRDefault="001464BF" w:rsidP="00546F93">
      <w:pPr>
        <w:spacing w:line="360" w:lineRule="auto"/>
        <w:ind w:right="51"/>
        <w:jc w:val="both"/>
        <w:rPr>
          <w:rFonts w:ascii="Arial" w:hAnsi="Arial"/>
        </w:rPr>
      </w:pPr>
      <w:r>
        <w:rPr>
          <w:rFonts w:ascii="Arial" w:hAnsi="Arial"/>
        </w:rPr>
        <w:t>Además, hay que decir que pese al conocimiento de sus padecimientos por parte de su empleador, por lo menos para el per</w:t>
      </w:r>
      <w:r w:rsidR="00C81885">
        <w:rPr>
          <w:rFonts w:ascii="Arial" w:hAnsi="Arial"/>
        </w:rPr>
        <w:t>í</w:t>
      </w:r>
      <w:r>
        <w:rPr>
          <w:rFonts w:ascii="Arial" w:hAnsi="Arial"/>
        </w:rPr>
        <w:t>odo en que fue incapacitada, determinó renovar en dos oportunidades más el contrato laboral, por los meses de abril y mayo de 2016</w:t>
      </w:r>
      <w:r w:rsidR="003640A3">
        <w:rPr>
          <w:rFonts w:ascii="Arial" w:hAnsi="Arial"/>
        </w:rPr>
        <w:t xml:space="preserve"> (Folios 16 a 23, este cuaderno)</w:t>
      </w:r>
      <w:r>
        <w:rPr>
          <w:rFonts w:ascii="Arial" w:hAnsi="Arial"/>
        </w:rPr>
        <w:t xml:space="preserve">, lo que evidencia que su enfermedad no </w:t>
      </w:r>
      <w:r w:rsidR="00C81885">
        <w:rPr>
          <w:rFonts w:ascii="Arial" w:hAnsi="Arial"/>
        </w:rPr>
        <w:t xml:space="preserve">fue </w:t>
      </w:r>
      <w:r>
        <w:rPr>
          <w:rFonts w:ascii="Arial" w:hAnsi="Arial"/>
        </w:rPr>
        <w:t>la causa de la terminación del vínculo laboral.</w:t>
      </w:r>
    </w:p>
    <w:p w:rsidR="001464BF" w:rsidRPr="00481884" w:rsidRDefault="001464BF" w:rsidP="00546F93">
      <w:pPr>
        <w:spacing w:line="360" w:lineRule="auto"/>
        <w:ind w:right="51"/>
        <w:jc w:val="both"/>
        <w:rPr>
          <w:rFonts w:ascii="Arial" w:hAnsi="Arial"/>
          <w:sz w:val="20"/>
        </w:rPr>
      </w:pPr>
    </w:p>
    <w:p w:rsidR="001464BF" w:rsidRDefault="001464BF" w:rsidP="00546F93">
      <w:pPr>
        <w:spacing w:line="360" w:lineRule="auto"/>
        <w:ind w:right="51"/>
        <w:jc w:val="both"/>
        <w:rPr>
          <w:rFonts w:ascii="Arial" w:hAnsi="Arial"/>
        </w:rPr>
      </w:pPr>
      <w:r>
        <w:rPr>
          <w:rFonts w:ascii="Arial" w:hAnsi="Arial"/>
        </w:rPr>
        <w:t>Claramente la culminación contractual se dio porque se cumplió el plazo fijado (31-05-2017) (Folios 16 y 17, este cuaderno), de lo que la actora tenía pleno conocimiento, y la falta de renovación, como se refiere en el escrito de impugnación de la accionada, fue producto de investigaciones administrativas adelantadas en su contra con fundamento en escritos remitidos por el Hospital Universitario San Jorge de Pereira, datados los días 22-01-2016 y 03-02-2016, mediante los que informa falencias en la prestación de los servicios contratados (Folios 131 y 132, ib.); al efecto, la accionante suscribió sendos compromisos</w:t>
      </w:r>
      <w:r w:rsidR="000956D5">
        <w:rPr>
          <w:rFonts w:ascii="Arial" w:hAnsi="Arial"/>
        </w:rPr>
        <w:t>,</w:t>
      </w:r>
      <w:r>
        <w:rPr>
          <w:rFonts w:ascii="Arial" w:hAnsi="Arial"/>
        </w:rPr>
        <w:t xml:space="preserve"> </w:t>
      </w:r>
      <w:r w:rsidR="000956D5">
        <w:rPr>
          <w:rFonts w:ascii="Arial" w:hAnsi="Arial"/>
        </w:rPr>
        <w:t xml:space="preserve">fechados 18-02-2016 y 12-04-2016, para mejorar en el cumplimiento de sus funciones (Folios 137 y 139, ib.). </w:t>
      </w:r>
    </w:p>
    <w:p w:rsidR="001464BF" w:rsidRDefault="001464BF" w:rsidP="00546F93">
      <w:pPr>
        <w:spacing w:line="360" w:lineRule="auto"/>
        <w:ind w:right="51"/>
        <w:jc w:val="both"/>
        <w:rPr>
          <w:rFonts w:ascii="Arial" w:hAnsi="Arial"/>
        </w:rPr>
      </w:pPr>
    </w:p>
    <w:p w:rsidR="00C81885" w:rsidRDefault="000956D5" w:rsidP="00546F93">
      <w:pPr>
        <w:spacing w:line="360" w:lineRule="auto"/>
        <w:ind w:right="51"/>
        <w:jc w:val="both"/>
        <w:rPr>
          <w:rFonts w:ascii="Arial" w:hAnsi="Arial"/>
        </w:rPr>
      </w:pPr>
      <w:r>
        <w:rPr>
          <w:rFonts w:ascii="Arial" w:hAnsi="Arial"/>
        </w:rPr>
        <w:t xml:space="preserve">Así, entonces, para la Sala </w:t>
      </w:r>
      <w:r w:rsidR="00C81885">
        <w:rPr>
          <w:rFonts w:ascii="Arial" w:hAnsi="Arial"/>
        </w:rPr>
        <w:t xml:space="preserve">ninguna </w:t>
      </w:r>
      <w:r>
        <w:rPr>
          <w:rFonts w:ascii="Arial" w:hAnsi="Arial"/>
        </w:rPr>
        <w:t xml:space="preserve">discriminación </w:t>
      </w:r>
      <w:r w:rsidR="00C81885">
        <w:rPr>
          <w:rFonts w:ascii="Arial" w:hAnsi="Arial"/>
        </w:rPr>
        <w:t>se advierte</w:t>
      </w:r>
      <w:r>
        <w:rPr>
          <w:rFonts w:ascii="Arial" w:hAnsi="Arial"/>
        </w:rPr>
        <w:t xml:space="preserve">, más bien se halla que la </w:t>
      </w:r>
      <w:r w:rsidR="00C81885">
        <w:rPr>
          <w:rFonts w:ascii="Arial" w:hAnsi="Arial"/>
        </w:rPr>
        <w:t xml:space="preserve">falta de </w:t>
      </w:r>
      <w:r>
        <w:rPr>
          <w:rFonts w:ascii="Arial" w:hAnsi="Arial"/>
        </w:rPr>
        <w:t xml:space="preserve">renovación contractual fue por causa de algunas irregularidades laborales y nunca </w:t>
      </w:r>
      <w:r w:rsidR="003640A3">
        <w:rPr>
          <w:rFonts w:ascii="Arial" w:hAnsi="Arial"/>
        </w:rPr>
        <w:t>por sus condiciones de salud</w:t>
      </w:r>
      <w:r>
        <w:rPr>
          <w:rFonts w:ascii="Arial" w:hAnsi="Arial"/>
        </w:rPr>
        <w:t xml:space="preserve">, de tal suerte que era innecesaria la autorización de la oficina de trabajo. </w:t>
      </w:r>
      <w:r w:rsidR="003640A3">
        <w:rPr>
          <w:rFonts w:ascii="Arial" w:hAnsi="Arial"/>
        </w:rPr>
        <w:t xml:space="preserve">Es cierto que la actora en su declaración quiso informar sobre una persecución laboral, pues su jefe directo estuvo vigilante constantemente de sus labores, pero ello es insuficiente como para considerar que haya habido una alianza orquestada por </w:t>
      </w:r>
      <w:r w:rsidR="003640A3" w:rsidRPr="003640A3">
        <w:rPr>
          <w:rFonts w:ascii="Arial" w:hAnsi="Arial"/>
          <w:sz w:val="22"/>
        </w:rPr>
        <w:t xml:space="preserve">ETEMCO </w:t>
      </w:r>
      <w:r w:rsidR="00C81885">
        <w:rPr>
          <w:rFonts w:ascii="Arial" w:hAnsi="Arial"/>
          <w:sz w:val="22"/>
        </w:rPr>
        <w:t xml:space="preserve">SAS </w:t>
      </w:r>
      <w:r w:rsidR="003640A3">
        <w:rPr>
          <w:rFonts w:ascii="Arial" w:hAnsi="Arial"/>
        </w:rPr>
        <w:t xml:space="preserve">y la </w:t>
      </w:r>
      <w:r w:rsidR="003640A3" w:rsidRPr="003640A3">
        <w:rPr>
          <w:rFonts w:ascii="Arial" w:hAnsi="Arial"/>
          <w:sz w:val="22"/>
        </w:rPr>
        <w:t xml:space="preserve">ESE </w:t>
      </w:r>
      <w:r w:rsidR="003640A3" w:rsidRPr="003640A3">
        <w:rPr>
          <w:rFonts w:ascii="Arial" w:hAnsi="Arial"/>
        </w:rPr>
        <w:t>para</w:t>
      </w:r>
      <w:r w:rsidR="003640A3">
        <w:rPr>
          <w:rFonts w:ascii="Arial" w:hAnsi="Arial"/>
        </w:rPr>
        <w:t xml:space="preserve"> justificar su despido, más allá de su afirmación es inexistente otra prueba siquiera sumaria que </w:t>
      </w:r>
      <w:r w:rsidR="00C81885">
        <w:rPr>
          <w:rFonts w:ascii="Arial" w:hAnsi="Arial"/>
        </w:rPr>
        <w:t>dé</w:t>
      </w:r>
      <w:r w:rsidR="003640A3">
        <w:rPr>
          <w:rFonts w:ascii="Arial" w:hAnsi="Arial"/>
        </w:rPr>
        <w:t xml:space="preserve"> cuenta de ello.</w:t>
      </w:r>
    </w:p>
    <w:p w:rsidR="000956D5" w:rsidRDefault="003640A3" w:rsidP="00546F93">
      <w:pPr>
        <w:spacing w:line="360" w:lineRule="auto"/>
        <w:ind w:right="51"/>
        <w:jc w:val="both"/>
        <w:rPr>
          <w:rFonts w:ascii="Arial" w:hAnsi="Arial"/>
        </w:rPr>
      </w:pPr>
      <w:r>
        <w:rPr>
          <w:rFonts w:ascii="Arial" w:hAnsi="Arial"/>
        </w:rPr>
        <w:t xml:space="preserve"> </w:t>
      </w:r>
    </w:p>
    <w:p w:rsidR="000956D5" w:rsidRDefault="000956D5" w:rsidP="00546F93">
      <w:pPr>
        <w:spacing w:line="360" w:lineRule="auto"/>
        <w:ind w:right="51"/>
        <w:jc w:val="both"/>
        <w:rPr>
          <w:rFonts w:ascii="Arial" w:hAnsi="Arial"/>
        </w:rPr>
      </w:pPr>
      <w:r>
        <w:rPr>
          <w:rFonts w:ascii="Arial" w:hAnsi="Arial"/>
        </w:rPr>
        <w:t xml:space="preserve">No olvida esta Corporación que padece de una enfermedad que la pone en condiciones de debilidad manifiesta, </w:t>
      </w:r>
      <w:r w:rsidRPr="00C81885">
        <w:rPr>
          <w:rFonts w:ascii="Arial" w:hAnsi="Arial"/>
          <w:u w:val="single"/>
        </w:rPr>
        <w:t>pero esa sola circunstancia es insuficiente para la prosperidad tutelar</w:t>
      </w:r>
      <w:r>
        <w:rPr>
          <w:rFonts w:ascii="Arial" w:hAnsi="Arial"/>
        </w:rPr>
        <w:t xml:space="preserve">; es necesario acreditar que estuviera incapacitada </w:t>
      </w:r>
      <w:r w:rsidR="00C81885">
        <w:rPr>
          <w:rFonts w:ascii="Arial" w:hAnsi="Arial"/>
        </w:rPr>
        <w:t xml:space="preserve">(No calificada) </w:t>
      </w:r>
      <w:r>
        <w:rPr>
          <w:rFonts w:ascii="Arial" w:hAnsi="Arial"/>
        </w:rPr>
        <w:t xml:space="preserve">para la época de su despido o la dificultad </w:t>
      </w:r>
      <w:r w:rsidR="003640A3">
        <w:rPr>
          <w:rFonts w:ascii="Arial" w:hAnsi="Arial"/>
        </w:rPr>
        <w:t>para laborar</w:t>
      </w:r>
      <w:r>
        <w:rPr>
          <w:rFonts w:ascii="Arial" w:hAnsi="Arial"/>
        </w:rPr>
        <w:t xml:space="preserve"> por </w:t>
      </w:r>
      <w:r w:rsidR="003640A3">
        <w:rPr>
          <w:rFonts w:ascii="Arial" w:hAnsi="Arial"/>
        </w:rPr>
        <w:t>esa circunstancia</w:t>
      </w:r>
      <w:r>
        <w:rPr>
          <w:rFonts w:ascii="Arial" w:hAnsi="Arial"/>
        </w:rPr>
        <w:t xml:space="preserve">, además, que la decisión del empleador fuera por causa de sus padecimientos. </w:t>
      </w:r>
    </w:p>
    <w:p w:rsidR="00092278" w:rsidRDefault="00092278" w:rsidP="00546F93">
      <w:pPr>
        <w:spacing w:line="360" w:lineRule="auto"/>
        <w:ind w:right="51"/>
        <w:jc w:val="both"/>
        <w:rPr>
          <w:rFonts w:ascii="Arial" w:hAnsi="Arial"/>
        </w:rPr>
      </w:pPr>
    </w:p>
    <w:p w:rsidR="001464BF" w:rsidRDefault="000956D5" w:rsidP="00546F93">
      <w:pPr>
        <w:spacing w:line="360" w:lineRule="auto"/>
        <w:ind w:right="51"/>
        <w:jc w:val="both"/>
        <w:rPr>
          <w:rFonts w:ascii="Arial" w:hAnsi="Arial"/>
        </w:rPr>
      </w:pPr>
      <w:r>
        <w:rPr>
          <w:rFonts w:ascii="Arial" w:hAnsi="Arial"/>
        </w:rPr>
        <w:t xml:space="preserve"> </w:t>
      </w:r>
    </w:p>
    <w:p w:rsidR="00546F93" w:rsidRDefault="00546F93" w:rsidP="00546F93">
      <w:pPr>
        <w:spacing w:line="360" w:lineRule="auto"/>
        <w:ind w:right="51"/>
        <w:jc w:val="both"/>
        <w:rPr>
          <w:rFonts w:ascii="Arial" w:hAnsi="Arial" w:cs="Arial"/>
        </w:rPr>
      </w:pPr>
      <w:r>
        <w:rPr>
          <w:rFonts w:ascii="Arial" w:hAnsi="Arial" w:cs="Arial"/>
        </w:rPr>
        <w:lastRenderedPageBreak/>
        <w:t xml:space="preserve">En este orden de ideas, esta Superioridad </w:t>
      </w:r>
      <w:r w:rsidR="00B42FFD">
        <w:rPr>
          <w:rFonts w:ascii="Arial" w:hAnsi="Arial" w:cs="Arial"/>
        </w:rPr>
        <w:t xml:space="preserve">no </w:t>
      </w:r>
      <w:r>
        <w:rPr>
          <w:rFonts w:ascii="Arial" w:hAnsi="Arial" w:cs="Arial"/>
        </w:rPr>
        <w:t xml:space="preserve">encuentra </w:t>
      </w:r>
      <w:r w:rsidR="00B42FFD">
        <w:rPr>
          <w:rFonts w:ascii="Arial" w:hAnsi="Arial" w:cs="Arial"/>
        </w:rPr>
        <w:t>constatada la vulneración del derecho fundamental a la estabilidad ocupacional reforzada de la accionante</w:t>
      </w:r>
      <w:r w:rsidR="003640A3">
        <w:rPr>
          <w:rFonts w:ascii="Arial" w:hAnsi="Arial" w:cs="Arial"/>
        </w:rPr>
        <w:t xml:space="preserve">, y por ende, revocará la decisión venida en impugnación, tal cual se anunció al </w:t>
      </w:r>
      <w:r w:rsidR="00C81885">
        <w:rPr>
          <w:rFonts w:ascii="Arial" w:hAnsi="Arial" w:cs="Arial"/>
        </w:rPr>
        <w:t>inicio</w:t>
      </w:r>
      <w:r w:rsidR="003640A3">
        <w:rPr>
          <w:rFonts w:ascii="Arial" w:hAnsi="Arial" w:cs="Arial"/>
        </w:rPr>
        <w:t xml:space="preserve"> de estos considerandos</w:t>
      </w:r>
      <w:r>
        <w:rPr>
          <w:rFonts w:ascii="Arial" w:hAnsi="Arial" w:cs="Arial"/>
        </w:rPr>
        <w:t>.</w:t>
      </w:r>
    </w:p>
    <w:p w:rsidR="008B6644" w:rsidRPr="00A72B1F" w:rsidRDefault="008B6644" w:rsidP="004616EF">
      <w:pPr>
        <w:spacing w:line="360" w:lineRule="auto"/>
        <w:jc w:val="both"/>
        <w:rPr>
          <w:rFonts w:ascii="Arial" w:hAnsi="Arial"/>
          <w:lang w:val="es-ES_tradnl"/>
        </w:rPr>
      </w:pPr>
    </w:p>
    <w:p w:rsidR="00B311DA" w:rsidRPr="00D108C2" w:rsidRDefault="00B311DA" w:rsidP="00546F93">
      <w:pPr>
        <w:pStyle w:val="Corpsdetexte"/>
        <w:numPr>
          <w:ilvl w:val="0"/>
          <w:numId w:val="32"/>
        </w:numPr>
        <w:spacing w:line="360" w:lineRule="auto"/>
        <w:ind w:right="567"/>
        <w:rPr>
          <w:rFonts w:ascii="Arial" w:hAnsi="Arial"/>
          <w:szCs w:val="24"/>
          <w:lang w:val="es-CO"/>
        </w:rPr>
      </w:pPr>
      <w:r>
        <w:rPr>
          <w:rFonts w:ascii="Arial" w:hAnsi="Arial"/>
          <w:szCs w:val="24"/>
          <w:lang w:val="es-CO"/>
        </w:rPr>
        <w:t>L</w:t>
      </w:r>
      <w:r w:rsidRPr="00D108C2">
        <w:rPr>
          <w:rFonts w:ascii="Arial" w:hAnsi="Arial"/>
          <w:szCs w:val="24"/>
          <w:lang w:val="es-CO"/>
        </w:rPr>
        <w:t xml:space="preserve">AS CONCLUSIONES </w:t>
      </w:r>
    </w:p>
    <w:p w:rsidR="00B311DA" w:rsidRPr="004F3053" w:rsidRDefault="00B311DA" w:rsidP="004616EF">
      <w:pPr>
        <w:pStyle w:val="Corpsdetexte"/>
        <w:spacing w:line="360" w:lineRule="auto"/>
        <w:ind w:right="51"/>
        <w:rPr>
          <w:rFonts w:ascii="Arial" w:hAnsi="Arial" w:cs="Arial"/>
          <w:szCs w:val="24"/>
          <w:lang w:val="es-ES"/>
        </w:rPr>
      </w:pPr>
    </w:p>
    <w:p w:rsidR="00307EBB" w:rsidRDefault="00307EBB" w:rsidP="004616EF">
      <w:pPr>
        <w:spacing w:line="360" w:lineRule="auto"/>
        <w:ind w:right="51"/>
        <w:jc w:val="both"/>
        <w:rPr>
          <w:rFonts w:ascii="Arial" w:hAnsi="Arial" w:cs="Arial"/>
          <w:lang w:val="es-CO"/>
        </w:rPr>
      </w:pPr>
      <w:r w:rsidRPr="003D195F">
        <w:rPr>
          <w:rFonts w:ascii="Arial" w:hAnsi="Arial" w:cs="Arial"/>
          <w:lang w:val="es-CO"/>
        </w:rPr>
        <w:t>En armonía con las premisas expuestas en los acápites anteriores</w:t>
      </w:r>
      <w:r w:rsidR="003640A3">
        <w:rPr>
          <w:rFonts w:ascii="Arial" w:hAnsi="Arial" w:cs="Arial"/>
          <w:lang w:val="es-CO"/>
        </w:rPr>
        <w:t xml:space="preserve"> (i) Se revocará la sentencia de primera instancia; (ii) Se negará el amparo constitucional frente a </w:t>
      </w:r>
      <w:r w:rsidR="003640A3" w:rsidRPr="003640A3">
        <w:rPr>
          <w:rFonts w:ascii="Arial" w:hAnsi="Arial" w:cs="Arial"/>
          <w:sz w:val="22"/>
          <w:lang w:val="es-CO"/>
        </w:rPr>
        <w:t>ETEMCO SAS</w:t>
      </w:r>
      <w:r w:rsidR="003640A3">
        <w:rPr>
          <w:rFonts w:ascii="Arial" w:hAnsi="Arial" w:cs="Arial"/>
          <w:lang w:val="es-CO"/>
        </w:rPr>
        <w:t>; y, (iii) Se declarará improcedente frente a la ESE Hospital Universitario San Jorge de Pereira por carecer de legitimación</w:t>
      </w:r>
      <w:r>
        <w:rPr>
          <w:rFonts w:ascii="Arial" w:hAnsi="Arial"/>
          <w:lang w:val="es-CO"/>
        </w:rPr>
        <w:t>.</w:t>
      </w:r>
    </w:p>
    <w:p w:rsidR="00307EBB" w:rsidRPr="004F3053" w:rsidRDefault="00307EBB" w:rsidP="004616EF">
      <w:pPr>
        <w:spacing w:line="360" w:lineRule="auto"/>
        <w:ind w:right="51"/>
        <w:jc w:val="both"/>
        <w:rPr>
          <w:rFonts w:ascii="Arial" w:hAnsi="Arial" w:cs="Arial"/>
        </w:rPr>
      </w:pPr>
    </w:p>
    <w:p w:rsidR="00307EBB" w:rsidRPr="00D108C2" w:rsidRDefault="00307EBB" w:rsidP="004616EF">
      <w:pPr>
        <w:tabs>
          <w:tab w:val="left" w:pos="-720"/>
        </w:tabs>
        <w:suppressAutoHyphens/>
        <w:spacing w:line="360" w:lineRule="auto"/>
        <w:jc w:val="both"/>
        <w:rPr>
          <w:rFonts w:ascii="Arial" w:hAnsi="Arial" w:cs="Arial"/>
        </w:rPr>
      </w:pPr>
      <w:r w:rsidRPr="00D108C2">
        <w:rPr>
          <w:rFonts w:ascii="Arial" w:hAnsi="Arial" w:cs="Arial"/>
        </w:rPr>
        <w:t>En mérito de lo</w:t>
      </w:r>
      <w:r>
        <w:rPr>
          <w:rFonts w:ascii="Arial" w:hAnsi="Arial" w:cs="Arial"/>
        </w:rPr>
        <w:t>s razonamientos jurídicos hechos</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en Sala decisió</w:t>
      </w:r>
      <w:r>
        <w:rPr>
          <w:rFonts w:ascii="Arial" w:hAnsi="Arial" w:cs="Arial"/>
          <w:bCs/>
          <w:smallCaps/>
        </w:rPr>
        <w:t>n Civil -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4F3053" w:rsidRPr="00481884" w:rsidRDefault="004F3053" w:rsidP="004616EF">
      <w:pPr>
        <w:pStyle w:val="Corpsdetexte"/>
        <w:spacing w:line="360" w:lineRule="auto"/>
        <w:jc w:val="center"/>
        <w:rPr>
          <w:rFonts w:ascii="Arial" w:hAnsi="Arial" w:cs="Arial"/>
          <w:bCs/>
          <w:smallCaps/>
          <w:sz w:val="16"/>
          <w:szCs w:val="24"/>
        </w:rPr>
      </w:pPr>
    </w:p>
    <w:p w:rsidR="00307EBB" w:rsidRPr="00A72B1F" w:rsidRDefault="00307EBB" w:rsidP="004616EF">
      <w:pPr>
        <w:pStyle w:val="Corpsdetexte"/>
        <w:spacing w:line="360" w:lineRule="auto"/>
        <w:jc w:val="center"/>
        <w:rPr>
          <w:rFonts w:ascii="Arial" w:hAnsi="Arial" w:cs="Arial"/>
          <w:bCs/>
          <w:smallCaps/>
          <w:sz w:val="28"/>
          <w:szCs w:val="24"/>
        </w:rPr>
      </w:pPr>
      <w:r w:rsidRPr="00A72B1F">
        <w:rPr>
          <w:rFonts w:ascii="Arial" w:hAnsi="Arial" w:cs="Arial"/>
          <w:bCs/>
          <w:smallCaps/>
          <w:sz w:val="28"/>
          <w:szCs w:val="24"/>
        </w:rPr>
        <w:t xml:space="preserve">F a l </w:t>
      </w:r>
      <w:proofErr w:type="spellStart"/>
      <w:r w:rsidRPr="00A72B1F">
        <w:rPr>
          <w:rFonts w:ascii="Arial" w:hAnsi="Arial" w:cs="Arial"/>
          <w:bCs/>
          <w:smallCaps/>
          <w:sz w:val="28"/>
          <w:szCs w:val="24"/>
        </w:rPr>
        <w:t>l</w:t>
      </w:r>
      <w:proofErr w:type="spellEnd"/>
      <w:r w:rsidRPr="00A72B1F">
        <w:rPr>
          <w:rFonts w:ascii="Arial" w:hAnsi="Arial" w:cs="Arial"/>
          <w:bCs/>
          <w:smallCaps/>
          <w:sz w:val="28"/>
          <w:szCs w:val="24"/>
        </w:rPr>
        <w:t xml:space="preserve"> a:</w:t>
      </w:r>
    </w:p>
    <w:p w:rsidR="00A72B1F" w:rsidRDefault="00A72B1F" w:rsidP="004616EF">
      <w:pPr>
        <w:pStyle w:val="Corpsdetexte"/>
        <w:spacing w:line="360" w:lineRule="auto"/>
        <w:jc w:val="center"/>
        <w:rPr>
          <w:rFonts w:ascii="Arial" w:hAnsi="Arial" w:cs="Arial"/>
          <w:bCs/>
          <w:smallCaps/>
          <w:szCs w:val="24"/>
        </w:rPr>
      </w:pPr>
    </w:p>
    <w:p w:rsidR="00307EBB" w:rsidRDefault="005374BB" w:rsidP="004616EF">
      <w:pPr>
        <w:pStyle w:val="Corpsdetexte"/>
        <w:numPr>
          <w:ilvl w:val="0"/>
          <w:numId w:val="24"/>
        </w:numPr>
        <w:tabs>
          <w:tab w:val="clear" w:pos="708"/>
          <w:tab w:val="left" w:pos="426"/>
        </w:tabs>
        <w:spacing w:line="360" w:lineRule="auto"/>
        <w:ind w:left="426" w:hanging="426"/>
        <w:rPr>
          <w:rFonts w:ascii="Arial" w:hAnsi="Arial" w:cs="Arial"/>
          <w:bCs/>
          <w:smallCaps/>
          <w:szCs w:val="24"/>
          <w:lang w:val="es-CO"/>
        </w:rPr>
      </w:pPr>
      <w:r>
        <w:rPr>
          <w:rFonts w:ascii="Arial" w:hAnsi="Arial"/>
          <w:szCs w:val="24"/>
          <w:lang w:val="es-CO"/>
        </w:rPr>
        <w:t>REVOCAR</w:t>
      </w:r>
      <w:r w:rsidR="00307EBB" w:rsidRPr="00C100B9">
        <w:rPr>
          <w:rFonts w:ascii="Arial" w:hAnsi="Arial"/>
          <w:szCs w:val="24"/>
          <w:lang w:val="es-CO"/>
        </w:rPr>
        <w:t xml:space="preserve"> la sentencia del </w:t>
      </w:r>
      <w:r>
        <w:rPr>
          <w:rFonts w:ascii="Arial" w:hAnsi="Arial"/>
          <w:szCs w:val="24"/>
          <w:lang w:val="es-CO"/>
        </w:rPr>
        <w:t xml:space="preserve">14-02-2017 </w:t>
      </w:r>
      <w:r w:rsidR="00307EBB">
        <w:rPr>
          <w:rFonts w:ascii="Arial" w:hAnsi="Arial"/>
          <w:szCs w:val="24"/>
          <w:lang w:val="es-CO"/>
        </w:rPr>
        <w:t>d</w:t>
      </w:r>
      <w:r w:rsidR="00307EBB" w:rsidRPr="00C100B9">
        <w:rPr>
          <w:rFonts w:ascii="Arial" w:hAnsi="Arial"/>
          <w:szCs w:val="24"/>
          <w:lang w:val="es-CO"/>
        </w:rPr>
        <w:t>el Juzgado</w:t>
      </w:r>
      <w:r w:rsidR="00307EBB">
        <w:rPr>
          <w:rFonts w:ascii="Arial" w:hAnsi="Arial"/>
          <w:szCs w:val="24"/>
          <w:lang w:val="es-CO"/>
        </w:rPr>
        <w:t xml:space="preserve"> </w:t>
      </w:r>
      <w:r>
        <w:rPr>
          <w:rFonts w:ascii="Arial" w:hAnsi="Arial"/>
          <w:szCs w:val="24"/>
          <w:lang w:val="es-CO"/>
        </w:rPr>
        <w:t>Tercero de Familia de Pereira</w:t>
      </w:r>
      <w:r w:rsidR="00083D10">
        <w:rPr>
          <w:rFonts w:ascii="Arial" w:hAnsi="Arial" w:cs="Arial"/>
          <w:szCs w:val="24"/>
          <w:lang w:val="es-CO"/>
        </w:rPr>
        <w:t>.</w:t>
      </w:r>
    </w:p>
    <w:p w:rsidR="00307EBB" w:rsidRPr="004616EF" w:rsidRDefault="00307EBB" w:rsidP="004616EF">
      <w:pPr>
        <w:pStyle w:val="Corpsdetexte"/>
        <w:tabs>
          <w:tab w:val="clear" w:pos="708"/>
          <w:tab w:val="left" w:pos="426"/>
        </w:tabs>
        <w:spacing w:line="360" w:lineRule="auto"/>
        <w:ind w:left="426"/>
        <w:rPr>
          <w:rFonts w:ascii="Arial" w:hAnsi="Arial" w:cs="Arial"/>
          <w:bCs/>
          <w:smallCaps/>
          <w:sz w:val="20"/>
          <w:szCs w:val="24"/>
          <w:lang w:val="es-CO"/>
        </w:rPr>
      </w:pPr>
    </w:p>
    <w:p w:rsidR="005374BB" w:rsidRPr="005374BB" w:rsidRDefault="005374BB" w:rsidP="005374BB">
      <w:pPr>
        <w:pStyle w:val="Corpsdetex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 xml:space="preserve">NEGAR el amparo constitucional presentado por Viviana Solarte Burbano contra </w:t>
      </w:r>
      <w:r w:rsidRPr="005374BB">
        <w:rPr>
          <w:rFonts w:ascii="Arial" w:hAnsi="Arial"/>
          <w:szCs w:val="24"/>
          <w:lang w:val="es-CO"/>
        </w:rPr>
        <w:t>ETEMCO SAS</w:t>
      </w:r>
      <w:r>
        <w:rPr>
          <w:rFonts w:ascii="Arial" w:hAnsi="Arial"/>
          <w:szCs w:val="24"/>
          <w:lang w:val="es-CO"/>
        </w:rPr>
        <w:t>.</w:t>
      </w:r>
      <w:r w:rsidRPr="005374BB">
        <w:rPr>
          <w:rFonts w:ascii="Arial" w:hAnsi="Arial"/>
          <w:szCs w:val="24"/>
          <w:lang w:val="es-CO"/>
        </w:rPr>
        <w:t xml:space="preserve"> </w:t>
      </w:r>
    </w:p>
    <w:p w:rsidR="005374BB" w:rsidRDefault="005374BB" w:rsidP="005374BB">
      <w:pPr>
        <w:pStyle w:val="Paragraphedeliste"/>
        <w:rPr>
          <w:rFonts w:ascii="Arial" w:hAnsi="Arial"/>
          <w:szCs w:val="24"/>
        </w:rPr>
      </w:pPr>
    </w:p>
    <w:p w:rsidR="00083D10" w:rsidRDefault="005374BB" w:rsidP="004616EF">
      <w:pPr>
        <w:pStyle w:val="Corpsdetex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 xml:space="preserve">DECLARAR IMPROCEDENTE el amparo frente a la </w:t>
      </w:r>
      <w:r w:rsidR="00AB4026">
        <w:rPr>
          <w:rFonts w:ascii="Arial" w:hAnsi="Arial"/>
          <w:szCs w:val="24"/>
          <w:lang w:val="es-CO"/>
        </w:rPr>
        <w:t>ESE Hospital Universitario San Jorge de Pereira</w:t>
      </w:r>
      <w:r w:rsidR="004616EF">
        <w:rPr>
          <w:rFonts w:ascii="Arial" w:hAnsi="Arial"/>
          <w:szCs w:val="24"/>
          <w:lang w:val="es-CO"/>
        </w:rPr>
        <w:t>.</w:t>
      </w:r>
    </w:p>
    <w:p w:rsidR="00C81885" w:rsidRDefault="00C81885" w:rsidP="00C81885">
      <w:pPr>
        <w:pStyle w:val="Corpsdetexte"/>
        <w:tabs>
          <w:tab w:val="clear" w:pos="708"/>
          <w:tab w:val="left" w:pos="426"/>
        </w:tabs>
        <w:spacing w:line="360" w:lineRule="auto"/>
        <w:rPr>
          <w:rFonts w:ascii="Arial" w:hAnsi="Arial"/>
          <w:szCs w:val="24"/>
          <w:lang w:val="es-CO"/>
        </w:rPr>
      </w:pPr>
      <w:bookmarkStart w:id="0" w:name="_GoBack"/>
      <w:bookmarkEnd w:id="0"/>
    </w:p>
    <w:p w:rsidR="00307EBB" w:rsidRDefault="004616EF" w:rsidP="004616EF">
      <w:pPr>
        <w:pStyle w:val="Corpsdetex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 xml:space="preserve">NOTIFICAR </w:t>
      </w:r>
      <w:r w:rsidR="00307EBB" w:rsidRPr="00E3145D">
        <w:rPr>
          <w:rFonts w:ascii="Arial" w:hAnsi="Arial"/>
          <w:szCs w:val="24"/>
          <w:lang w:val="es-CO"/>
        </w:rPr>
        <w:t>esta decisión a todas las partes, por el medio más expedito y eficaz.</w:t>
      </w:r>
    </w:p>
    <w:p w:rsidR="009E1F87" w:rsidRDefault="009E1F87" w:rsidP="009E1F87">
      <w:pPr>
        <w:pStyle w:val="Corpsdetexte"/>
        <w:tabs>
          <w:tab w:val="clear" w:pos="708"/>
          <w:tab w:val="left" w:pos="426"/>
        </w:tabs>
        <w:spacing w:line="360" w:lineRule="auto"/>
        <w:rPr>
          <w:rFonts w:ascii="Arial" w:hAnsi="Arial"/>
          <w:szCs w:val="24"/>
          <w:lang w:val="es-CO"/>
        </w:rPr>
      </w:pPr>
    </w:p>
    <w:p w:rsidR="00072B7F" w:rsidRDefault="00307EBB" w:rsidP="004616EF">
      <w:pPr>
        <w:pStyle w:val="Corpsdetexte"/>
        <w:numPr>
          <w:ilvl w:val="0"/>
          <w:numId w:val="24"/>
        </w:numPr>
        <w:tabs>
          <w:tab w:val="clear" w:pos="708"/>
          <w:tab w:val="left" w:pos="426"/>
        </w:tabs>
        <w:spacing w:line="360" w:lineRule="auto"/>
        <w:ind w:left="426" w:hanging="426"/>
        <w:rPr>
          <w:rFonts w:ascii="Arial" w:hAnsi="Arial"/>
          <w:szCs w:val="24"/>
          <w:lang w:val="es-CO"/>
        </w:rPr>
      </w:pPr>
      <w:r w:rsidRPr="00E3145D">
        <w:rPr>
          <w:rFonts w:ascii="Arial" w:hAnsi="Arial"/>
          <w:szCs w:val="24"/>
          <w:lang w:val="es-CO"/>
        </w:rPr>
        <w:t xml:space="preserve">REMITIR este expediente, a la </w:t>
      </w:r>
      <w:r w:rsidR="005374BB">
        <w:rPr>
          <w:rFonts w:ascii="Arial" w:hAnsi="Arial"/>
          <w:szCs w:val="24"/>
          <w:lang w:val="es-CO"/>
        </w:rPr>
        <w:t xml:space="preserve">CC </w:t>
      </w:r>
      <w:r w:rsidRPr="00E3145D">
        <w:rPr>
          <w:rFonts w:ascii="Arial" w:hAnsi="Arial"/>
          <w:szCs w:val="24"/>
          <w:lang w:val="es-CO"/>
        </w:rPr>
        <w:t>para su eventual revisión.</w:t>
      </w:r>
    </w:p>
    <w:p w:rsidR="00307EBB" w:rsidRDefault="00307EBB" w:rsidP="004616EF">
      <w:pPr>
        <w:pStyle w:val="Paragraphedeliste"/>
        <w:spacing w:after="0" w:line="360" w:lineRule="auto"/>
        <w:rPr>
          <w:rFonts w:ascii="Arial" w:hAnsi="Arial"/>
          <w:sz w:val="12"/>
          <w:szCs w:val="24"/>
        </w:rPr>
      </w:pPr>
    </w:p>
    <w:p w:rsidR="00A72B1F" w:rsidRPr="002005E2" w:rsidRDefault="00A72B1F" w:rsidP="004616EF">
      <w:pPr>
        <w:pStyle w:val="Paragraphedeliste"/>
        <w:spacing w:after="0" w:line="360" w:lineRule="auto"/>
        <w:rPr>
          <w:rFonts w:ascii="Arial" w:hAnsi="Arial"/>
          <w:sz w:val="12"/>
          <w:szCs w:val="24"/>
        </w:rPr>
      </w:pPr>
    </w:p>
    <w:p w:rsidR="0069656E" w:rsidRDefault="0069656E" w:rsidP="004616EF">
      <w:pPr>
        <w:pStyle w:val="Corpsdetexte"/>
        <w:spacing w:line="360" w:lineRule="auto"/>
        <w:jc w:val="center"/>
        <w:rPr>
          <w:rFonts w:ascii="Arial" w:hAnsi="Arial"/>
          <w:smallCaps/>
          <w:szCs w:val="24"/>
          <w:lang w:val="en-US"/>
        </w:rPr>
      </w:pPr>
      <w:proofErr w:type="spellStart"/>
      <w:r w:rsidRPr="00A72B1F">
        <w:rPr>
          <w:rFonts w:ascii="Arial" w:hAnsi="Arial"/>
          <w:smallCaps/>
          <w:sz w:val="28"/>
          <w:szCs w:val="24"/>
          <w:lang w:val="en-US"/>
        </w:rPr>
        <w:t>Notifíquese</w:t>
      </w:r>
      <w:proofErr w:type="spellEnd"/>
      <w:r w:rsidRPr="00A72B1F">
        <w:rPr>
          <w:rFonts w:ascii="Arial" w:hAnsi="Arial"/>
          <w:smallCaps/>
          <w:szCs w:val="24"/>
          <w:lang w:val="en-US"/>
        </w:rPr>
        <w:t>,</w:t>
      </w:r>
    </w:p>
    <w:p w:rsidR="00A72B1F" w:rsidRDefault="00A72B1F" w:rsidP="004616EF">
      <w:pPr>
        <w:pStyle w:val="Corpsdetexte"/>
        <w:spacing w:line="360" w:lineRule="auto"/>
        <w:jc w:val="center"/>
        <w:rPr>
          <w:rFonts w:ascii="Arial" w:hAnsi="Arial"/>
          <w:smallCaps/>
          <w:szCs w:val="24"/>
          <w:lang w:val="en-US"/>
        </w:rPr>
      </w:pPr>
    </w:p>
    <w:p w:rsidR="00A72B1F" w:rsidRDefault="00A72B1F" w:rsidP="004616EF">
      <w:pPr>
        <w:pStyle w:val="Corpsdetexte"/>
        <w:spacing w:line="360" w:lineRule="auto"/>
        <w:jc w:val="center"/>
        <w:rPr>
          <w:rFonts w:ascii="Arial" w:hAnsi="Arial"/>
          <w:smallCaps/>
          <w:szCs w:val="24"/>
          <w:lang w:val="en-US"/>
        </w:rPr>
      </w:pPr>
    </w:p>
    <w:p w:rsidR="00A72B1F" w:rsidRPr="00A72B1F" w:rsidRDefault="00A72B1F" w:rsidP="004616EF">
      <w:pPr>
        <w:pStyle w:val="Corpsdetexte"/>
        <w:spacing w:line="360" w:lineRule="auto"/>
        <w:jc w:val="center"/>
        <w:rPr>
          <w:rFonts w:ascii="Arial" w:hAnsi="Arial"/>
          <w:smallCaps/>
          <w:szCs w:val="24"/>
          <w:lang w:val="en-US"/>
        </w:rPr>
      </w:pPr>
    </w:p>
    <w:p w:rsidR="002548FE" w:rsidRPr="002005E2" w:rsidRDefault="002548F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2"/>
          <w:lang w:val="en-US"/>
        </w:rPr>
      </w:pPr>
    </w:p>
    <w:p w:rsidR="002548FE" w:rsidRPr="00476E56"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476E56">
        <w:rPr>
          <w:rFonts w:ascii="Arial" w:hAnsi="Arial" w:cs="Arial"/>
          <w:spacing w:val="-3"/>
          <w:w w:val="150"/>
          <w:sz w:val="28"/>
          <w:lang w:val="en-US"/>
        </w:rPr>
        <w:t>D</w:t>
      </w:r>
      <w:r w:rsidRPr="00476E56">
        <w:rPr>
          <w:rFonts w:ascii="Arial" w:hAnsi="Arial" w:cs="Arial"/>
          <w:spacing w:val="-3"/>
          <w:w w:val="150"/>
          <w:sz w:val="18"/>
          <w:szCs w:val="16"/>
          <w:lang w:val="en-US"/>
        </w:rPr>
        <w:t xml:space="preserve">UBERNEY </w:t>
      </w:r>
      <w:r w:rsidRPr="00476E56">
        <w:rPr>
          <w:rFonts w:ascii="Arial" w:hAnsi="Arial" w:cs="Arial"/>
          <w:spacing w:val="-3"/>
          <w:w w:val="150"/>
          <w:sz w:val="28"/>
          <w:lang w:val="en-US"/>
        </w:rPr>
        <w:t>G</w:t>
      </w:r>
      <w:r w:rsidRPr="00476E56">
        <w:rPr>
          <w:rFonts w:ascii="Arial" w:hAnsi="Arial" w:cs="Arial"/>
          <w:spacing w:val="-3"/>
          <w:w w:val="150"/>
          <w:sz w:val="18"/>
          <w:szCs w:val="16"/>
          <w:lang w:val="en-US"/>
        </w:rPr>
        <w:t xml:space="preserve">RISALES </w:t>
      </w:r>
      <w:r w:rsidRPr="00476E56">
        <w:rPr>
          <w:rFonts w:ascii="Arial" w:hAnsi="Arial" w:cs="Arial"/>
          <w:spacing w:val="-3"/>
          <w:w w:val="150"/>
          <w:sz w:val="28"/>
          <w:lang w:val="en-US"/>
        </w:rPr>
        <w:t>H</w:t>
      </w:r>
      <w:r w:rsidRPr="00476E56">
        <w:rPr>
          <w:rFonts w:ascii="Arial" w:hAnsi="Arial" w:cs="Arial"/>
          <w:spacing w:val="-3"/>
          <w:w w:val="150"/>
          <w:sz w:val="18"/>
          <w:szCs w:val="16"/>
          <w:lang w:val="en-US"/>
        </w:rPr>
        <w:t>ERRERA</w:t>
      </w:r>
    </w:p>
    <w:p w:rsidR="002548FE"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0"/>
          <w:lang w:val="en-US"/>
        </w:rPr>
      </w:pPr>
      <w:r w:rsidRPr="00476E56">
        <w:rPr>
          <w:rFonts w:ascii="Arial" w:hAnsi="Arial" w:cs="Arial"/>
          <w:spacing w:val="-3"/>
          <w:w w:val="150"/>
          <w:sz w:val="28"/>
          <w:lang w:val="en-US"/>
        </w:rPr>
        <w:t>M</w:t>
      </w:r>
      <w:r w:rsidRPr="00476E56">
        <w:rPr>
          <w:rFonts w:ascii="Arial" w:hAnsi="Arial" w:cs="Arial"/>
          <w:spacing w:val="-3"/>
          <w:w w:val="150"/>
          <w:lang w:val="en-US"/>
        </w:rPr>
        <w:t xml:space="preserve"> </w:t>
      </w:r>
      <w:r w:rsidRPr="00476E56">
        <w:rPr>
          <w:rFonts w:ascii="Arial" w:hAnsi="Arial" w:cs="Arial"/>
          <w:spacing w:val="-3"/>
          <w:w w:val="150"/>
          <w:sz w:val="18"/>
          <w:szCs w:val="20"/>
          <w:lang w:val="en-US"/>
        </w:rPr>
        <w:t>A G I S T R A D O</w:t>
      </w:r>
    </w:p>
    <w:p w:rsidR="00A72B1F" w:rsidRDefault="00A72B1F" w:rsidP="00A72B1F">
      <w:pPr>
        <w:pStyle w:val="Corpsdetexte"/>
        <w:spacing w:line="360" w:lineRule="auto"/>
        <w:jc w:val="center"/>
        <w:rPr>
          <w:rFonts w:ascii="Arial" w:hAnsi="Arial"/>
          <w:smallCaps/>
          <w:szCs w:val="24"/>
          <w:lang w:val="en-US"/>
        </w:rPr>
      </w:pPr>
    </w:p>
    <w:p w:rsidR="00A72B1F" w:rsidRDefault="00A72B1F" w:rsidP="00A72B1F">
      <w:pPr>
        <w:pStyle w:val="Corpsdetexte"/>
        <w:spacing w:line="360" w:lineRule="auto"/>
        <w:jc w:val="center"/>
        <w:rPr>
          <w:rFonts w:ascii="Arial" w:hAnsi="Arial"/>
          <w:smallCaps/>
          <w:szCs w:val="24"/>
          <w:lang w:val="en-US"/>
        </w:rPr>
      </w:pPr>
    </w:p>
    <w:p w:rsidR="00A72B1F" w:rsidRPr="00A72B1F" w:rsidRDefault="00A72B1F" w:rsidP="00A72B1F">
      <w:pPr>
        <w:pStyle w:val="Corpsdetexte"/>
        <w:spacing w:line="360" w:lineRule="auto"/>
        <w:jc w:val="center"/>
        <w:rPr>
          <w:rFonts w:ascii="Arial" w:hAnsi="Arial"/>
          <w:smallCaps/>
          <w:szCs w:val="24"/>
          <w:lang w:val="en-US"/>
        </w:rPr>
      </w:pPr>
    </w:p>
    <w:p w:rsidR="002548FE" w:rsidRPr="00476E56"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476E56">
        <w:rPr>
          <w:rFonts w:ascii="Arial" w:hAnsi="Arial"/>
          <w:w w:val="150"/>
          <w:sz w:val="28"/>
          <w:szCs w:val="18"/>
          <w:lang w:val="en-US"/>
        </w:rPr>
        <w:t>E</w:t>
      </w:r>
      <w:r w:rsidRPr="00476E56">
        <w:rPr>
          <w:rFonts w:ascii="Arial" w:hAnsi="Arial"/>
          <w:w w:val="150"/>
          <w:sz w:val="18"/>
          <w:szCs w:val="18"/>
          <w:lang w:val="en-US"/>
        </w:rPr>
        <w:t>DDER</w:t>
      </w:r>
      <w:r w:rsidRPr="00476E56">
        <w:rPr>
          <w:rFonts w:ascii="Arial" w:hAnsi="Arial"/>
          <w:w w:val="150"/>
          <w:sz w:val="18"/>
          <w:lang w:val="en-US"/>
        </w:rPr>
        <w:t xml:space="preserve"> </w:t>
      </w:r>
      <w:r w:rsidRPr="00476E56">
        <w:rPr>
          <w:rFonts w:ascii="Arial" w:hAnsi="Arial"/>
          <w:w w:val="150"/>
          <w:sz w:val="28"/>
          <w:lang w:val="en-US"/>
        </w:rPr>
        <w:t>J</w:t>
      </w:r>
      <w:r w:rsidRPr="00476E56">
        <w:rPr>
          <w:rFonts w:ascii="Arial" w:hAnsi="Arial"/>
          <w:w w:val="150"/>
          <w:sz w:val="18"/>
          <w:szCs w:val="18"/>
          <w:lang w:val="en-US"/>
        </w:rPr>
        <w:t xml:space="preserve">IMMY </w:t>
      </w:r>
      <w:r w:rsidRPr="00476E56">
        <w:rPr>
          <w:rFonts w:ascii="Arial" w:hAnsi="Arial"/>
          <w:w w:val="150"/>
          <w:sz w:val="28"/>
          <w:lang w:val="en-US"/>
        </w:rPr>
        <w:t>S</w:t>
      </w:r>
      <w:r w:rsidRPr="00476E56">
        <w:rPr>
          <w:rFonts w:ascii="Arial" w:hAnsi="Arial"/>
          <w:w w:val="150"/>
          <w:sz w:val="18"/>
          <w:szCs w:val="18"/>
          <w:lang w:val="en-US"/>
        </w:rPr>
        <w:t xml:space="preserve">ÁNCHEZ </w:t>
      </w:r>
      <w:r w:rsidRPr="00476E56">
        <w:rPr>
          <w:rFonts w:ascii="Arial" w:hAnsi="Arial"/>
          <w:w w:val="150"/>
          <w:sz w:val="28"/>
          <w:szCs w:val="18"/>
          <w:lang w:val="en-US"/>
        </w:rPr>
        <w:t>C.</w:t>
      </w:r>
      <w:r w:rsidRPr="00476E56">
        <w:rPr>
          <w:rFonts w:ascii="Arial" w:hAnsi="Arial"/>
          <w:w w:val="150"/>
          <w:sz w:val="28"/>
          <w:szCs w:val="18"/>
          <w:lang w:val="en-US"/>
        </w:rPr>
        <w:tab/>
      </w:r>
      <w:r w:rsidRPr="00476E56">
        <w:rPr>
          <w:rFonts w:ascii="Arial" w:hAnsi="Arial"/>
          <w:w w:val="150"/>
          <w:sz w:val="28"/>
          <w:szCs w:val="18"/>
          <w:lang w:val="en-US"/>
        </w:rPr>
        <w:tab/>
      </w:r>
      <w:r w:rsidRPr="00476E56">
        <w:rPr>
          <w:rFonts w:ascii="Arial" w:hAnsi="Arial" w:cs="Arial"/>
          <w:spacing w:val="-3"/>
          <w:w w:val="150"/>
          <w:sz w:val="28"/>
          <w:szCs w:val="18"/>
          <w:lang w:val="en-US"/>
        </w:rPr>
        <w:t>J</w:t>
      </w:r>
      <w:r w:rsidRPr="00476E56">
        <w:rPr>
          <w:rFonts w:ascii="Arial" w:hAnsi="Arial" w:cs="Arial"/>
          <w:spacing w:val="-3"/>
          <w:w w:val="150"/>
          <w:sz w:val="18"/>
          <w:szCs w:val="18"/>
          <w:lang w:val="en-US"/>
        </w:rPr>
        <w:t xml:space="preserve">AIME </w:t>
      </w:r>
      <w:r w:rsidRPr="00476E56">
        <w:rPr>
          <w:rFonts w:ascii="Arial" w:hAnsi="Arial" w:cs="Arial"/>
          <w:spacing w:val="-3"/>
          <w:w w:val="150"/>
          <w:sz w:val="28"/>
          <w:szCs w:val="18"/>
          <w:lang w:val="en-US"/>
        </w:rPr>
        <w:t>A</w:t>
      </w:r>
      <w:r w:rsidRPr="00476E56">
        <w:rPr>
          <w:rFonts w:ascii="Arial" w:hAnsi="Arial"/>
          <w:w w:val="150"/>
          <w:sz w:val="18"/>
          <w:szCs w:val="18"/>
          <w:lang w:val="en-US"/>
        </w:rPr>
        <w:t xml:space="preserve">LBERTO </w:t>
      </w:r>
      <w:r w:rsidRPr="00476E56">
        <w:rPr>
          <w:rFonts w:ascii="Arial" w:hAnsi="Arial" w:cs="Arial"/>
          <w:spacing w:val="-3"/>
          <w:w w:val="150"/>
          <w:sz w:val="28"/>
          <w:szCs w:val="18"/>
          <w:lang w:val="en-US"/>
        </w:rPr>
        <w:t>S</w:t>
      </w:r>
      <w:r w:rsidRPr="00476E56">
        <w:rPr>
          <w:rFonts w:ascii="Arial" w:hAnsi="Arial" w:cs="Arial"/>
          <w:spacing w:val="-3"/>
          <w:w w:val="150"/>
          <w:sz w:val="18"/>
          <w:szCs w:val="16"/>
          <w:lang w:val="en-US"/>
        </w:rPr>
        <w:t xml:space="preserve">ARAZA </w:t>
      </w:r>
      <w:r w:rsidRPr="00476E56">
        <w:rPr>
          <w:rFonts w:ascii="Arial" w:hAnsi="Arial" w:cs="Arial"/>
          <w:spacing w:val="-3"/>
          <w:w w:val="150"/>
          <w:sz w:val="28"/>
          <w:szCs w:val="18"/>
          <w:lang w:val="en-US"/>
        </w:rPr>
        <w:t>N.</w:t>
      </w:r>
    </w:p>
    <w:p w:rsidR="002548FE"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476E56">
        <w:rPr>
          <w:rFonts w:ascii="Arial" w:hAnsi="Arial" w:cs="Arial"/>
          <w:w w:val="150"/>
          <w:sz w:val="28"/>
          <w:lang w:val="en-US"/>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p>
    <w:p w:rsidR="004F7006" w:rsidRPr="002B1D26" w:rsidRDefault="004F7006"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476E56">
        <w:rPr>
          <w:rFonts w:ascii="Arial" w:hAnsi="Arial" w:cs="Arial"/>
          <w:i/>
          <w:w w:val="150"/>
          <w:sz w:val="18"/>
          <w:lang w:val="en-US"/>
        </w:rPr>
        <w:tab/>
        <w:t xml:space="preserve">   </w:t>
      </w:r>
      <w:r w:rsidRPr="00476E56">
        <w:rPr>
          <w:rFonts w:ascii="Arial" w:hAnsi="Arial" w:cs="Arial"/>
          <w:i/>
          <w:w w:val="150"/>
          <w:sz w:val="18"/>
          <w:lang w:val="en-US"/>
        </w:rPr>
        <w:tab/>
      </w:r>
      <w:r w:rsidRPr="00476E56">
        <w:rPr>
          <w:rFonts w:ascii="Arial" w:hAnsi="Arial" w:cs="Arial"/>
          <w:i/>
          <w:w w:val="150"/>
          <w:sz w:val="18"/>
          <w:lang w:val="en-US"/>
        </w:rPr>
        <w:tab/>
      </w:r>
      <w:r w:rsidRPr="00476E56">
        <w:rPr>
          <w:rFonts w:ascii="Arial" w:hAnsi="Arial" w:cs="Arial"/>
          <w:i/>
          <w:w w:val="150"/>
          <w:sz w:val="18"/>
          <w:lang w:val="en-US"/>
        </w:rPr>
        <w:tab/>
      </w:r>
      <w:r w:rsidRPr="00476E56">
        <w:rPr>
          <w:rFonts w:ascii="Arial" w:hAnsi="Arial" w:cs="Arial"/>
          <w:i/>
          <w:w w:val="150"/>
          <w:sz w:val="18"/>
          <w:lang w:val="en-US"/>
        </w:rPr>
        <w:tab/>
      </w:r>
      <w:r w:rsidRPr="00476E56">
        <w:rPr>
          <w:rFonts w:ascii="Arial" w:hAnsi="Arial" w:cs="Arial"/>
          <w:i/>
          <w:w w:val="150"/>
          <w:sz w:val="18"/>
          <w:lang w:val="en-US"/>
        </w:rPr>
        <w:tab/>
      </w:r>
      <w:r w:rsidR="00A72B1F" w:rsidRPr="00092278">
        <w:rPr>
          <w:rFonts w:ascii="Arial" w:hAnsi="Arial" w:cs="Arial"/>
          <w:i/>
          <w:w w:val="150"/>
          <w:sz w:val="18"/>
          <w:lang w:val="en-GB"/>
        </w:rPr>
        <w:tab/>
        <w:t xml:space="preserve">       </w:t>
      </w:r>
    </w:p>
    <w:p w:rsidR="00097D56" w:rsidRPr="00B96BC0" w:rsidRDefault="00097D56" w:rsidP="00097D56">
      <w:pPr>
        <w:pStyle w:val="Corpsdetexte"/>
        <w:spacing w:line="360" w:lineRule="auto"/>
        <w:jc w:val="right"/>
        <w:rPr>
          <w:rFonts w:ascii="Arial" w:hAnsi="Arial"/>
          <w:w w:val="150"/>
          <w:sz w:val="8"/>
          <w:szCs w:val="12"/>
          <w:lang w:val="es-CO"/>
        </w:rPr>
      </w:pPr>
      <w:r w:rsidRPr="00B96BC0">
        <w:rPr>
          <w:rFonts w:ascii="Arial" w:hAnsi="Arial"/>
          <w:w w:val="150"/>
          <w:sz w:val="8"/>
          <w:szCs w:val="12"/>
          <w:lang w:val="es-CO"/>
        </w:rPr>
        <w:t xml:space="preserve">DGH / </w:t>
      </w:r>
      <w:r w:rsidR="002005E2">
        <w:rPr>
          <w:rFonts w:ascii="Arial" w:hAnsi="Arial"/>
          <w:w w:val="150"/>
          <w:sz w:val="8"/>
          <w:szCs w:val="12"/>
          <w:lang w:val="es-CO"/>
        </w:rPr>
        <w:t>ODCD</w:t>
      </w:r>
      <w:r w:rsidRPr="00B96BC0">
        <w:rPr>
          <w:rFonts w:ascii="Arial" w:hAnsi="Arial"/>
          <w:w w:val="150"/>
          <w:sz w:val="8"/>
          <w:szCs w:val="12"/>
          <w:lang w:val="es-CO"/>
        </w:rPr>
        <w:t xml:space="preserve"> / </w:t>
      </w:r>
      <w:r w:rsidR="00A72B1F">
        <w:rPr>
          <w:rFonts w:ascii="Arial" w:hAnsi="Arial"/>
          <w:w w:val="150"/>
          <w:sz w:val="8"/>
          <w:szCs w:val="12"/>
          <w:lang w:val="es-CO"/>
        </w:rPr>
        <w:t>2017</w:t>
      </w:r>
    </w:p>
    <w:p w:rsidR="00A14BB5" w:rsidRDefault="00A14BB5">
      <w:pPr>
        <w:widowControl/>
        <w:autoSpaceDE/>
        <w:autoSpaceDN/>
        <w:adjustRightInd/>
        <w:rPr>
          <w:rFonts w:ascii="Arial" w:hAnsi="Arial" w:cs="Times New Roman"/>
          <w:i/>
          <w:smallCaps/>
          <w:spacing w:val="-3"/>
          <w:sz w:val="16"/>
          <w:szCs w:val="16"/>
          <w:lang w:val="en-GB"/>
        </w:rPr>
      </w:pPr>
    </w:p>
    <w:sectPr w:rsidR="00A14BB5" w:rsidSect="00481884">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BA" w:rsidRDefault="00736BBA" w:rsidP="002F20AB">
      <w:r>
        <w:separator/>
      </w:r>
    </w:p>
  </w:endnote>
  <w:endnote w:type="continuationSeparator" w:id="0">
    <w:p w:rsidR="00736BBA" w:rsidRDefault="00736BBA"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3" w:rsidRDefault="00546F93">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546F93" w:rsidRDefault="00546F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3" w:rsidRPr="00F839CE" w:rsidRDefault="00546F93" w:rsidP="00A67268">
    <w:pPr>
      <w:pStyle w:val="Pieddepage"/>
      <w:pBdr>
        <w:bottom w:val="double" w:sz="6" w:space="1" w:color="auto"/>
      </w:pBdr>
      <w:spacing w:line="360" w:lineRule="auto"/>
      <w:rPr>
        <w:rFonts w:ascii="Arial" w:hAnsi="Arial" w:cs="Arial"/>
        <w:spacing w:val="20"/>
        <w:w w:val="200"/>
        <w:sz w:val="14"/>
        <w:szCs w:val="10"/>
        <w:lang w:val="es-ES"/>
      </w:rPr>
    </w:pPr>
  </w:p>
  <w:p w:rsidR="00546F93" w:rsidRDefault="00546F93" w:rsidP="00751EE2">
    <w:pPr>
      <w:pStyle w:val="Pieddepage"/>
      <w:spacing w:line="360" w:lineRule="auto"/>
      <w:jc w:val="right"/>
      <w:rPr>
        <w:rFonts w:ascii="Arial" w:hAnsi="Arial" w:cs="Arial"/>
        <w:spacing w:val="20"/>
        <w:w w:val="200"/>
        <w:sz w:val="14"/>
        <w:szCs w:val="10"/>
      </w:rPr>
    </w:pPr>
  </w:p>
  <w:p w:rsidR="00546F93" w:rsidRPr="003E18D8" w:rsidRDefault="00546F93" w:rsidP="00751EE2">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EREIRA</w:t>
    </w:r>
  </w:p>
  <w:p w:rsidR="00546F93" w:rsidRPr="007F7D49" w:rsidRDefault="00546F93" w:rsidP="00751EE2">
    <w:pPr>
      <w:pStyle w:val="Pieddepage"/>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3" w:rsidRPr="00213147" w:rsidRDefault="00546F93" w:rsidP="006E1629">
    <w:pPr>
      <w:pStyle w:val="Pieddepage"/>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546F93" w:rsidRPr="00213147" w:rsidRDefault="00546F93"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BA" w:rsidRDefault="00736BBA" w:rsidP="002F20AB">
      <w:r>
        <w:separator/>
      </w:r>
    </w:p>
  </w:footnote>
  <w:footnote w:type="continuationSeparator" w:id="0">
    <w:p w:rsidR="00736BBA" w:rsidRDefault="00736BBA" w:rsidP="002F20AB">
      <w:r>
        <w:continuationSeparator/>
      </w:r>
    </w:p>
  </w:footnote>
  <w:footnote w:id="1">
    <w:p w:rsidR="00546F93" w:rsidRPr="00092278" w:rsidRDefault="00546F93" w:rsidP="0067175E">
      <w:pPr>
        <w:pStyle w:val="Notedebasdepage"/>
        <w:jc w:val="both"/>
        <w:rPr>
          <w:rFonts w:ascii="Calibri" w:hAnsi="Calibri"/>
          <w:lang w:val="fr-FR"/>
        </w:rPr>
      </w:pPr>
      <w:r w:rsidRPr="00767940">
        <w:rPr>
          <w:rStyle w:val="Appelnotedebasdep"/>
          <w:rFonts w:ascii="Calibri" w:hAnsi="Calibri"/>
        </w:rPr>
        <w:footnoteRef/>
      </w:r>
      <w:r w:rsidRPr="00092278">
        <w:rPr>
          <w:rFonts w:ascii="Calibri" w:hAnsi="Calibri"/>
          <w:lang w:val="fr-FR"/>
        </w:rPr>
        <w:t xml:space="preserve"> </w:t>
      </w:r>
      <w:r w:rsidRPr="00092278">
        <w:rPr>
          <w:rFonts w:ascii="Calibri" w:hAnsi="Calibri" w:cs="Courier New"/>
          <w:lang w:val="fr-FR"/>
        </w:rPr>
        <w:t xml:space="preserve">CC. </w:t>
      </w:r>
      <w:hyperlink r:id="rId1" w:history="1">
        <w:r w:rsidRPr="00092278">
          <w:rPr>
            <w:rStyle w:val="Lienhypertexte"/>
            <w:rFonts w:ascii="Calibri" w:hAnsi="Calibri" w:cs="Courier New"/>
            <w:color w:val="auto"/>
            <w:u w:val="none"/>
            <w:lang w:val="fr-FR"/>
          </w:rPr>
          <w:t>SU-499 de 2016</w:t>
        </w:r>
      </w:hyperlink>
      <w:r w:rsidRPr="00092278">
        <w:rPr>
          <w:rFonts w:ascii="Calibri" w:hAnsi="Calibri" w:cs="Courier New"/>
          <w:lang w:val="fr-FR"/>
        </w:rPr>
        <w:t xml:space="preserve">. </w:t>
      </w:r>
    </w:p>
  </w:footnote>
  <w:footnote w:id="2">
    <w:p w:rsidR="00546F93" w:rsidRPr="00092278" w:rsidRDefault="00546F93" w:rsidP="0067175E">
      <w:pPr>
        <w:pStyle w:val="Notedebasdepage"/>
        <w:jc w:val="both"/>
        <w:rPr>
          <w:rFonts w:ascii="Calibri" w:hAnsi="Calibri"/>
          <w:lang w:val="fr-FR"/>
        </w:rPr>
      </w:pPr>
      <w:r w:rsidRPr="00482736">
        <w:rPr>
          <w:rStyle w:val="Appelnotedebasdep"/>
          <w:rFonts w:asciiTheme="minorHAnsi" w:hAnsiTheme="minorHAnsi"/>
        </w:rPr>
        <w:footnoteRef/>
      </w:r>
      <w:r w:rsidRPr="00092278">
        <w:rPr>
          <w:rFonts w:asciiTheme="minorHAnsi" w:hAnsiTheme="minorHAnsi"/>
          <w:lang w:val="fr-FR"/>
        </w:rPr>
        <w:t xml:space="preserve"> </w:t>
      </w:r>
      <w:r w:rsidRPr="00092278">
        <w:rPr>
          <w:rFonts w:asciiTheme="minorHAnsi" w:hAnsiTheme="minorHAnsi" w:cs="Courier New"/>
          <w:lang w:val="fr-FR"/>
        </w:rPr>
        <w:t>CC. T-</w:t>
      </w:r>
      <w:r w:rsidRPr="00092278">
        <w:rPr>
          <w:rFonts w:ascii="Calibri" w:hAnsi="Calibri" w:cs="Courier New"/>
          <w:lang w:val="fr-FR"/>
        </w:rPr>
        <w:t xml:space="preserve">533 de 2016, SU-424 de 2012, T-480 de 2011, </w:t>
      </w:r>
      <w:r w:rsidRPr="00092278">
        <w:rPr>
          <w:rFonts w:ascii="Calibri" w:hAnsi="Calibri"/>
          <w:lang w:val="fr-FR"/>
        </w:rPr>
        <w:t xml:space="preserve">T-162 de 2010 y T-099 de 2008, entre otras. </w:t>
      </w:r>
    </w:p>
  </w:footnote>
  <w:footnote w:id="3">
    <w:p w:rsidR="00546F93" w:rsidRPr="00092278" w:rsidRDefault="00546F93" w:rsidP="0067175E">
      <w:pPr>
        <w:pStyle w:val="Notedebasdepage"/>
        <w:jc w:val="both"/>
        <w:rPr>
          <w:rFonts w:ascii="Calibri" w:hAnsi="Calibri"/>
          <w:lang w:val="fr-FR"/>
        </w:rPr>
      </w:pPr>
      <w:r w:rsidRPr="00C81885">
        <w:rPr>
          <w:rStyle w:val="Appelnotedebasdep"/>
          <w:rFonts w:ascii="Calibri" w:hAnsi="Calibri"/>
        </w:rPr>
        <w:footnoteRef/>
      </w:r>
      <w:r w:rsidRPr="00092278">
        <w:rPr>
          <w:rFonts w:ascii="Calibri" w:hAnsi="Calibri"/>
          <w:lang w:val="fr-FR"/>
        </w:rPr>
        <w:t xml:space="preserve"> </w:t>
      </w:r>
      <w:r w:rsidRPr="00092278">
        <w:rPr>
          <w:rFonts w:ascii="Calibri" w:hAnsi="Calibri" w:cs="Courier New"/>
          <w:lang w:val="fr-FR"/>
        </w:rPr>
        <w:t xml:space="preserve">CC. T-128 de 2016, </w:t>
      </w:r>
      <w:r w:rsidRPr="00092278">
        <w:rPr>
          <w:rFonts w:ascii="Calibri" w:hAnsi="Calibri"/>
          <w:lang w:val="fr-FR"/>
        </w:rPr>
        <w:t xml:space="preserve"> T-623 de 2011, T-498 de 2011, T-162 de 2010, T-034 de 2010, T-180 de 2009, T-989 de 2008, T-972 de 2005, T-822 de 2002, T-626 de 2000 y T-315 de 2000.</w:t>
      </w:r>
    </w:p>
  </w:footnote>
  <w:footnote w:id="4">
    <w:p w:rsidR="00546F93" w:rsidRPr="00C81885" w:rsidRDefault="00546F93">
      <w:pPr>
        <w:pStyle w:val="Notedebasdepage"/>
        <w:rPr>
          <w:rFonts w:ascii="Calibri" w:hAnsi="Calibri"/>
        </w:rPr>
      </w:pPr>
      <w:r w:rsidRPr="00C81885">
        <w:rPr>
          <w:rStyle w:val="Appelnotedebasdep"/>
          <w:rFonts w:ascii="Calibri" w:hAnsi="Calibri"/>
        </w:rPr>
        <w:footnoteRef/>
      </w:r>
      <w:r w:rsidRPr="00C81885">
        <w:rPr>
          <w:rFonts w:ascii="Calibri" w:hAnsi="Calibri"/>
        </w:rPr>
        <w:t xml:space="preserve"> CC. SU-049 de 2017.</w:t>
      </w:r>
    </w:p>
  </w:footnote>
  <w:footnote w:id="5">
    <w:p w:rsidR="008E45D8" w:rsidRDefault="008E45D8">
      <w:pPr>
        <w:pStyle w:val="Notedebasdepage"/>
      </w:pPr>
      <w:r w:rsidRPr="00C81885">
        <w:rPr>
          <w:rStyle w:val="Appelnotedebasdep"/>
          <w:rFonts w:ascii="Calibri" w:hAnsi="Calibri"/>
        </w:rPr>
        <w:footnoteRef/>
      </w:r>
      <w:r w:rsidRPr="00C81885">
        <w:rPr>
          <w:rFonts w:ascii="Calibri" w:hAnsi="Calibri"/>
        </w:rPr>
        <w:t xml:space="preserve"> CC. Ob. Cit.</w:t>
      </w:r>
    </w:p>
  </w:footnote>
  <w:footnote w:id="6">
    <w:p w:rsidR="00232F75" w:rsidRPr="00232F75" w:rsidRDefault="00232F75">
      <w:pPr>
        <w:pStyle w:val="Notedebasdepage"/>
        <w:rPr>
          <w:rFonts w:ascii="Calibri" w:hAnsi="Calibri"/>
        </w:rPr>
      </w:pPr>
      <w:r w:rsidRPr="00232F75">
        <w:rPr>
          <w:rStyle w:val="Appelnotedebasdep"/>
          <w:rFonts w:ascii="Calibri" w:hAnsi="Calibri"/>
        </w:rPr>
        <w:footnoteRef/>
      </w:r>
      <w:r w:rsidRPr="00232F75">
        <w:rPr>
          <w:rFonts w:ascii="Calibri" w:hAnsi="Calibri"/>
        </w:rPr>
        <w:t xml:space="preserve"> CC. </w:t>
      </w:r>
      <w:r w:rsidRPr="00232F75">
        <w:rPr>
          <w:rFonts w:ascii="Calibri" w:hAnsi="Calibri"/>
          <w:shd w:val="clear" w:color="auto" w:fill="FFFFFF"/>
        </w:rPr>
        <w:t>T-1040 de 2001, referida en la SU-049 de 2017.</w:t>
      </w:r>
    </w:p>
  </w:footnote>
  <w:footnote w:id="7">
    <w:p w:rsidR="00232F75" w:rsidRDefault="00232F75">
      <w:pPr>
        <w:pStyle w:val="Notedebasdepage"/>
      </w:pPr>
      <w:r>
        <w:rPr>
          <w:rStyle w:val="Appelnotedebasdep"/>
        </w:rPr>
        <w:footnoteRef/>
      </w:r>
      <w:r>
        <w:t xml:space="preserve"> </w:t>
      </w:r>
      <w:r w:rsidRPr="00232F75">
        <w:rPr>
          <w:rFonts w:ascii="Calibri" w:hAnsi="Calibri"/>
        </w:rPr>
        <w:t>CC. SU-049 de 2017.</w:t>
      </w:r>
    </w:p>
  </w:footnote>
  <w:footnote w:id="8">
    <w:p w:rsidR="00C81885" w:rsidRPr="00C81885" w:rsidRDefault="00C81885" w:rsidP="00C81885">
      <w:pPr>
        <w:pStyle w:val="Notedebasdepage"/>
        <w:rPr>
          <w:b/>
          <w:lang w:val="es-ES_tradnl"/>
        </w:rPr>
      </w:pPr>
      <w:r>
        <w:rPr>
          <w:rStyle w:val="Appelnotedebasdep"/>
        </w:rPr>
        <w:footnoteRef/>
      </w:r>
      <w:r>
        <w:t xml:space="preserve"> </w:t>
      </w:r>
      <w:r>
        <w:rPr>
          <w:rFonts w:ascii="Calibri" w:hAnsi="Calibri"/>
        </w:rPr>
        <w:t>CSJ, Sala Civil.</w:t>
      </w:r>
      <w:r w:rsidRPr="00232F75">
        <w:rPr>
          <w:rFonts w:ascii="Calibri" w:hAnsi="Calibri"/>
        </w:rPr>
        <w:t xml:space="preserve"> </w:t>
      </w:r>
      <w:r w:rsidRPr="00232F75">
        <w:rPr>
          <w:rFonts w:ascii="Calibri" w:hAnsi="Calibri"/>
          <w:lang w:val="es-ES_tradnl"/>
        </w:rPr>
        <w:t>STC554-2017.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3" w:rsidRDefault="00546F93"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546F93" w:rsidRDefault="00546F9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3" w:rsidRPr="00F839CE" w:rsidRDefault="00546F93">
    <w:pPr>
      <w:pStyle w:val="En-tte"/>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092278">
      <w:rPr>
        <w:rFonts w:ascii="Calibri" w:hAnsi="Calibri"/>
        <w:noProof/>
        <w:sz w:val="22"/>
      </w:rPr>
      <w:t>8</w:t>
    </w:r>
    <w:r w:rsidRPr="00F839CE">
      <w:rPr>
        <w:rFonts w:ascii="Calibri" w:hAnsi="Calibri"/>
        <w:sz w:val="22"/>
      </w:rPr>
      <w:fldChar w:fldCharType="end"/>
    </w:r>
  </w:p>
  <w:p w:rsidR="00546F93" w:rsidRPr="00F839CE" w:rsidRDefault="00546F93" w:rsidP="00235DC0">
    <w:pPr>
      <w:pStyle w:val="En-tte"/>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2016-00724-02 LLR</w:t>
    </w:r>
    <w:r w:rsidRPr="00F839CE">
      <w:rPr>
        <w:rFonts w:ascii="Calibri" w:hAnsi="Calibri" w:cs="Calibri"/>
        <w:i/>
        <w:sz w:val="20"/>
        <w:szCs w:val="20"/>
      </w:rPr>
      <w:t>R</w:t>
    </w:r>
  </w:p>
  <w:p w:rsidR="00546F93" w:rsidRPr="00F839CE" w:rsidRDefault="00546F93"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3" w:rsidRPr="0092089F" w:rsidRDefault="00546F93">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546F93" w:rsidRDefault="00546F93"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5">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8E8619A"/>
    <w:multiLevelType w:val="multilevel"/>
    <w:tmpl w:val="678832A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EAE68E6"/>
    <w:multiLevelType w:val="multilevel"/>
    <w:tmpl w:val="0CC41FD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546F88"/>
    <w:multiLevelType w:val="multilevel"/>
    <w:tmpl w:val="F584791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0"/>
  </w:num>
  <w:num w:numId="3">
    <w:abstractNumId w:val="16"/>
  </w:num>
  <w:num w:numId="4">
    <w:abstractNumId w:val="13"/>
  </w:num>
  <w:num w:numId="5">
    <w:abstractNumId w:val="21"/>
  </w:num>
  <w:num w:numId="6">
    <w:abstractNumId w:val="15"/>
  </w:num>
  <w:num w:numId="7">
    <w:abstractNumId w:val="2"/>
  </w:num>
  <w:num w:numId="8">
    <w:abstractNumId w:val="9"/>
  </w:num>
  <w:num w:numId="9">
    <w:abstractNumId w:val="10"/>
  </w:num>
  <w:num w:numId="10">
    <w:abstractNumId w:val="1"/>
  </w:num>
  <w:num w:numId="11">
    <w:abstractNumId w:val="19"/>
  </w:num>
  <w:num w:numId="12">
    <w:abstractNumId w:val="6"/>
  </w:num>
  <w:num w:numId="13">
    <w:abstractNumId w:val="11"/>
  </w:num>
  <w:num w:numId="14">
    <w:abstractNumId w:val="28"/>
  </w:num>
  <w:num w:numId="15">
    <w:abstractNumId w:val="17"/>
  </w:num>
  <w:num w:numId="16">
    <w:abstractNumId w:val="0"/>
  </w:num>
  <w:num w:numId="17">
    <w:abstractNumId w:val="30"/>
  </w:num>
  <w:num w:numId="18">
    <w:abstractNumId w:val="18"/>
  </w:num>
  <w:num w:numId="19">
    <w:abstractNumId w:val="25"/>
  </w:num>
  <w:num w:numId="20">
    <w:abstractNumId w:val="22"/>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1"/>
  </w:num>
  <w:num w:numId="25">
    <w:abstractNumId w:val="26"/>
  </w:num>
  <w:num w:numId="26">
    <w:abstractNumId w:val="23"/>
  </w:num>
  <w:num w:numId="27">
    <w:abstractNumId w:val="24"/>
  </w:num>
  <w:num w:numId="28">
    <w:abstractNumId w:val="5"/>
  </w:num>
  <w:num w:numId="29">
    <w:abstractNumId w:val="4"/>
  </w:num>
  <w:num w:numId="30">
    <w:abstractNumId w:val="8"/>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7912"/>
    <w:rsid w:val="000100E5"/>
    <w:rsid w:val="00011CF2"/>
    <w:rsid w:val="00011D52"/>
    <w:rsid w:val="00013BE8"/>
    <w:rsid w:val="00016744"/>
    <w:rsid w:val="0002042C"/>
    <w:rsid w:val="000215F0"/>
    <w:rsid w:val="00022F38"/>
    <w:rsid w:val="00023886"/>
    <w:rsid w:val="00023AA6"/>
    <w:rsid w:val="00023FAD"/>
    <w:rsid w:val="0002488E"/>
    <w:rsid w:val="00024E51"/>
    <w:rsid w:val="00026F32"/>
    <w:rsid w:val="00027251"/>
    <w:rsid w:val="00031D5D"/>
    <w:rsid w:val="000332E9"/>
    <w:rsid w:val="00033F1E"/>
    <w:rsid w:val="000349B7"/>
    <w:rsid w:val="00041B57"/>
    <w:rsid w:val="00046BFE"/>
    <w:rsid w:val="00047896"/>
    <w:rsid w:val="00052FE3"/>
    <w:rsid w:val="00055B9D"/>
    <w:rsid w:val="00056027"/>
    <w:rsid w:val="000601B1"/>
    <w:rsid w:val="00060954"/>
    <w:rsid w:val="00060F7F"/>
    <w:rsid w:val="0006117C"/>
    <w:rsid w:val="0006167A"/>
    <w:rsid w:val="000634BA"/>
    <w:rsid w:val="00064466"/>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3D10"/>
    <w:rsid w:val="0008427C"/>
    <w:rsid w:val="00085FB4"/>
    <w:rsid w:val="0008767C"/>
    <w:rsid w:val="00092278"/>
    <w:rsid w:val="00092CB6"/>
    <w:rsid w:val="0009345E"/>
    <w:rsid w:val="00093AD0"/>
    <w:rsid w:val="000956D5"/>
    <w:rsid w:val="000956EB"/>
    <w:rsid w:val="00096950"/>
    <w:rsid w:val="00096F42"/>
    <w:rsid w:val="000975AD"/>
    <w:rsid w:val="00097BAB"/>
    <w:rsid w:val="00097D56"/>
    <w:rsid w:val="000A0EB7"/>
    <w:rsid w:val="000A2533"/>
    <w:rsid w:val="000A4450"/>
    <w:rsid w:val="000A51FF"/>
    <w:rsid w:val="000A6C04"/>
    <w:rsid w:val="000B17A9"/>
    <w:rsid w:val="000B3C78"/>
    <w:rsid w:val="000B52EC"/>
    <w:rsid w:val="000B6A4A"/>
    <w:rsid w:val="000C002F"/>
    <w:rsid w:val="000C0A5D"/>
    <w:rsid w:val="000C4E91"/>
    <w:rsid w:val="000C5A2E"/>
    <w:rsid w:val="000C6F60"/>
    <w:rsid w:val="000C7144"/>
    <w:rsid w:val="000C7176"/>
    <w:rsid w:val="000C75AD"/>
    <w:rsid w:val="000C7C79"/>
    <w:rsid w:val="000D0EDD"/>
    <w:rsid w:val="000D302F"/>
    <w:rsid w:val="000D3226"/>
    <w:rsid w:val="000D3AE1"/>
    <w:rsid w:val="000D4585"/>
    <w:rsid w:val="000D5ECA"/>
    <w:rsid w:val="000D7D71"/>
    <w:rsid w:val="000E037B"/>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4AC"/>
    <w:rsid w:val="001108A9"/>
    <w:rsid w:val="00111B34"/>
    <w:rsid w:val="001127AE"/>
    <w:rsid w:val="00115C96"/>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39DA"/>
    <w:rsid w:val="00143D8D"/>
    <w:rsid w:val="001464BF"/>
    <w:rsid w:val="0014678E"/>
    <w:rsid w:val="00147EF8"/>
    <w:rsid w:val="00150AF5"/>
    <w:rsid w:val="00152DAF"/>
    <w:rsid w:val="001545B7"/>
    <w:rsid w:val="00156283"/>
    <w:rsid w:val="00160125"/>
    <w:rsid w:val="00160A8B"/>
    <w:rsid w:val="00162BFC"/>
    <w:rsid w:val="00162EC9"/>
    <w:rsid w:val="00164342"/>
    <w:rsid w:val="00165935"/>
    <w:rsid w:val="00166158"/>
    <w:rsid w:val="00167BBA"/>
    <w:rsid w:val="0017129C"/>
    <w:rsid w:val="00171829"/>
    <w:rsid w:val="0017206C"/>
    <w:rsid w:val="00172487"/>
    <w:rsid w:val="00172F27"/>
    <w:rsid w:val="00173244"/>
    <w:rsid w:val="00173EBC"/>
    <w:rsid w:val="00175F77"/>
    <w:rsid w:val="0017606A"/>
    <w:rsid w:val="00180F71"/>
    <w:rsid w:val="0018124A"/>
    <w:rsid w:val="00181871"/>
    <w:rsid w:val="00183EE7"/>
    <w:rsid w:val="00184D93"/>
    <w:rsid w:val="00187410"/>
    <w:rsid w:val="001900A1"/>
    <w:rsid w:val="001900B9"/>
    <w:rsid w:val="001917D1"/>
    <w:rsid w:val="001929A7"/>
    <w:rsid w:val="00192CFD"/>
    <w:rsid w:val="0019307C"/>
    <w:rsid w:val="00193789"/>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22A1"/>
    <w:rsid w:val="001B2BF9"/>
    <w:rsid w:val="001B47F2"/>
    <w:rsid w:val="001B4E5A"/>
    <w:rsid w:val="001B6B9C"/>
    <w:rsid w:val="001B7593"/>
    <w:rsid w:val="001C1611"/>
    <w:rsid w:val="001C2101"/>
    <w:rsid w:val="001C5D48"/>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380A"/>
    <w:rsid w:val="001F6B77"/>
    <w:rsid w:val="0020003C"/>
    <w:rsid w:val="002005E2"/>
    <w:rsid w:val="00202EB9"/>
    <w:rsid w:val="0020383C"/>
    <w:rsid w:val="00205091"/>
    <w:rsid w:val="00207906"/>
    <w:rsid w:val="00210782"/>
    <w:rsid w:val="00210A59"/>
    <w:rsid w:val="00212E85"/>
    <w:rsid w:val="00213147"/>
    <w:rsid w:val="00213820"/>
    <w:rsid w:val="00214468"/>
    <w:rsid w:val="00214A4A"/>
    <w:rsid w:val="00217035"/>
    <w:rsid w:val="00221B21"/>
    <w:rsid w:val="00221B6D"/>
    <w:rsid w:val="0022611B"/>
    <w:rsid w:val="00230D6E"/>
    <w:rsid w:val="00230F0D"/>
    <w:rsid w:val="00231A7F"/>
    <w:rsid w:val="00231EFB"/>
    <w:rsid w:val="00232F75"/>
    <w:rsid w:val="00233C55"/>
    <w:rsid w:val="00235765"/>
    <w:rsid w:val="00235DC0"/>
    <w:rsid w:val="00242E93"/>
    <w:rsid w:val="00243973"/>
    <w:rsid w:val="00243BF8"/>
    <w:rsid w:val="00245260"/>
    <w:rsid w:val="0024572A"/>
    <w:rsid w:val="00245D96"/>
    <w:rsid w:val="002468FF"/>
    <w:rsid w:val="002524D7"/>
    <w:rsid w:val="00253BE8"/>
    <w:rsid w:val="002548FE"/>
    <w:rsid w:val="00255E29"/>
    <w:rsid w:val="00257A0E"/>
    <w:rsid w:val="00257C43"/>
    <w:rsid w:val="00265452"/>
    <w:rsid w:val="002663BB"/>
    <w:rsid w:val="00270645"/>
    <w:rsid w:val="0027273C"/>
    <w:rsid w:val="00275F4A"/>
    <w:rsid w:val="00285CCC"/>
    <w:rsid w:val="00286208"/>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07F"/>
    <w:rsid w:val="002B0529"/>
    <w:rsid w:val="002B2E94"/>
    <w:rsid w:val="002B503F"/>
    <w:rsid w:val="002B6043"/>
    <w:rsid w:val="002B7A49"/>
    <w:rsid w:val="002C4CF9"/>
    <w:rsid w:val="002C763E"/>
    <w:rsid w:val="002D1038"/>
    <w:rsid w:val="002D5131"/>
    <w:rsid w:val="002D6785"/>
    <w:rsid w:val="002D688F"/>
    <w:rsid w:val="002E062A"/>
    <w:rsid w:val="002E1A27"/>
    <w:rsid w:val="002E33DD"/>
    <w:rsid w:val="002E393C"/>
    <w:rsid w:val="002E5428"/>
    <w:rsid w:val="002E64A7"/>
    <w:rsid w:val="002E64BE"/>
    <w:rsid w:val="002E6B9A"/>
    <w:rsid w:val="002E71F1"/>
    <w:rsid w:val="002E7DC6"/>
    <w:rsid w:val="002F0E62"/>
    <w:rsid w:val="002F20AB"/>
    <w:rsid w:val="002F330A"/>
    <w:rsid w:val="002F7BE7"/>
    <w:rsid w:val="0030058B"/>
    <w:rsid w:val="00300CF9"/>
    <w:rsid w:val="00300E36"/>
    <w:rsid w:val="00301D9F"/>
    <w:rsid w:val="00303127"/>
    <w:rsid w:val="00304138"/>
    <w:rsid w:val="00305DC6"/>
    <w:rsid w:val="00306DE6"/>
    <w:rsid w:val="003071A1"/>
    <w:rsid w:val="00307EBB"/>
    <w:rsid w:val="003100C5"/>
    <w:rsid w:val="003106C4"/>
    <w:rsid w:val="00312032"/>
    <w:rsid w:val="00312D1F"/>
    <w:rsid w:val="003155EF"/>
    <w:rsid w:val="00320A40"/>
    <w:rsid w:val="00322768"/>
    <w:rsid w:val="0032385F"/>
    <w:rsid w:val="003278B1"/>
    <w:rsid w:val="00332FAA"/>
    <w:rsid w:val="0033413E"/>
    <w:rsid w:val="0033715C"/>
    <w:rsid w:val="003377CA"/>
    <w:rsid w:val="00340212"/>
    <w:rsid w:val="0034319E"/>
    <w:rsid w:val="00345261"/>
    <w:rsid w:val="00346381"/>
    <w:rsid w:val="0035091C"/>
    <w:rsid w:val="003509ED"/>
    <w:rsid w:val="00351135"/>
    <w:rsid w:val="00351BE4"/>
    <w:rsid w:val="003530CC"/>
    <w:rsid w:val="00355EDF"/>
    <w:rsid w:val="00356574"/>
    <w:rsid w:val="00357412"/>
    <w:rsid w:val="003575CA"/>
    <w:rsid w:val="003640A3"/>
    <w:rsid w:val="003708EF"/>
    <w:rsid w:val="0037385E"/>
    <w:rsid w:val="00374FC2"/>
    <w:rsid w:val="00377C39"/>
    <w:rsid w:val="003801D6"/>
    <w:rsid w:val="003832EC"/>
    <w:rsid w:val="00383C88"/>
    <w:rsid w:val="00384E6D"/>
    <w:rsid w:val="003855C9"/>
    <w:rsid w:val="003908F6"/>
    <w:rsid w:val="0039105A"/>
    <w:rsid w:val="003929B3"/>
    <w:rsid w:val="00393460"/>
    <w:rsid w:val="00393A40"/>
    <w:rsid w:val="0039564A"/>
    <w:rsid w:val="00395B14"/>
    <w:rsid w:val="00395DD8"/>
    <w:rsid w:val="00396F25"/>
    <w:rsid w:val="00397CA0"/>
    <w:rsid w:val="003A01C4"/>
    <w:rsid w:val="003A241C"/>
    <w:rsid w:val="003A29EA"/>
    <w:rsid w:val="003A3829"/>
    <w:rsid w:val="003A46C9"/>
    <w:rsid w:val="003A489A"/>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992"/>
    <w:rsid w:val="003C710D"/>
    <w:rsid w:val="003C7446"/>
    <w:rsid w:val="003D0D68"/>
    <w:rsid w:val="003D0FBA"/>
    <w:rsid w:val="003D1702"/>
    <w:rsid w:val="003D3B31"/>
    <w:rsid w:val="003E02F8"/>
    <w:rsid w:val="003E18D8"/>
    <w:rsid w:val="003E442C"/>
    <w:rsid w:val="003E6D15"/>
    <w:rsid w:val="003E71C2"/>
    <w:rsid w:val="003F01EC"/>
    <w:rsid w:val="003F10B4"/>
    <w:rsid w:val="003F162E"/>
    <w:rsid w:val="003F298D"/>
    <w:rsid w:val="004046B5"/>
    <w:rsid w:val="00404829"/>
    <w:rsid w:val="0040502A"/>
    <w:rsid w:val="0041105C"/>
    <w:rsid w:val="004134D8"/>
    <w:rsid w:val="0041414C"/>
    <w:rsid w:val="0041757E"/>
    <w:rsid w:val="00417661"/>
    <w:rsid w:val="00417DA3"/>
    <w:rsid w:val="004200F6"/>
    <w:rsid w:val="00420C52"/>
    <w:rsid w:val="00421D69"/>
    <w:rsid w:val="0042362D"/>
    <w:rsid w:val="0042481D"/>
    <w:rsid w:val="004259A6"/>
    <w:rsid w:val="00427D6B"/>
    <w:rsid w:val="00430378"/>
    <w:rsid w:val="00432CBE"/>
    <w:rsid w:val="004343C1"/>
    <w:rsid w:val="00434E57"/>
    <w:rsid w:val="0043543F"/>
    <w:rsid w:val="00435CE5"/>
    <w:rsid w:val="00435E0C"/>
    <w:rsid w:val="00436117"/>
    <w:rsid w:val="00436302"/>
    <w:rsid w:val="00436ECB"/>
    <w:rsid w:val="00437F21"/>
    <w:rsid w:val="00443720"/>
    <w:rsid w:val="00444414"/>
    <w:rsid w:val="00444980"/>
    <w:rsid w:val="00444E8C"/>
    <w:rsid w:val="004466BF"/>
    <w:rsid w:val="004470F4"/>
    <w:rsid w:val="004518F7"/>
    <w:rsid w:val="0045202E"/>
    <w:rsid w:val="00455284"/>
    <w:rsid w:val="004616EF"/>
    <w:rsid w:val="00461F7E"/>
    <w:rsid w:val="0046206E"/>
    <w:rsid w:val="0046273A"/>
    <w:rsid w:val="00463583"/>
    <w:rsid w:val="00463D16"/>
    <w:rsid w:val="00464A72"/>
    <w:rsid w:val="00467235"/>
    <w:rsid w:val="0046775F"/>
    <w:rsid w:val="00471811"/>
    <w:rsid w:val="00475C03"/>
    <w:rsid w:val="00476D6C"/>
    <w:rsid w:val="00476E56"/>
    <w:rsid w:val="00480688"/>
    <w:rsid w:val="00481884"/>
    <w:rsid w:val="004835D3"/>
    <w:rsid w:val="00483D25"/>
    <w:rsid w:val="00486576"/>
    <w:rsid w:val="0049109E"/>
    <w:rsid w:val="0049174B"/>
    <w:rsid w:val="004930CF"/>
    <w:rsid w:val="00494780"/>
    <w:rsid w:val="0049737B"/>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7A3"/>
    <w:rsid w:val="004B53D6"/>
    <w:rsid w:val="004B5E6C"/>
    <w:rsid w:val="004B638F"/>
    <w:rsid w:val="004C0806"/>
    <w:rsid w:val="004C4256"/>
    <w:rsid w:val="004C5184"/>
    <w:rsid w:val="004C5BDE"/>
    <w:rsid w:val="004C6746"/>
    <w:rsid w:val="004C7D84"/>
    <w:rsid w:val="004D1CFD"/>
    <w:rsid w:val="004D4476"/>
    <w:rsid w:val="004D4912"/>
    <w:rsid w:val="004D6661"/>
    <w:rsid w:val="004D678C"/>
    <w:rsid w:val="004D7EC1"/>
    <w:rsid w:val="004E2B78"/>
    <w:rsid w:val="004E4A34"/>
    <w:rsid w:val="004E6287"/>
    <w:rsid w:val="004F1BDB"/>
    <w:rsid w:val="004F1C04"/>
    <w:rsid w:val="004F2F0D"/>
    <w:rsid w:val="004F3053"/>
    <w:rsid w:val="004F3197"/>
    <w:rsid w:val="004F31F1"/>
    <w:rsid w:val="004F448C"/>
    <w:rsid w:val="004F5D30"/>
    <w:rsid w:val="004F6583"/>
    <w:rsid w:val="004F6D6A"/>
    <w:rsid w:val="004F7006"/>
    <w:rsid w:val="005001C1"/>
    <w:rsid w:val="00502776"/>
    <w:rsid w:val="00503258"/>
    <w:rsid w:val="00503BF5"/>
    <w:rsid w:val="00505776"/>
    <w:rsid w:val="0050752F"/>
    <w:rsid w:val="0051036C"/>
    <w:rsid w:val="00510663"/>
    <w:rsid w:val="00510BCA"/>
    <w:rsid w:val="005120B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4BB"/>
    <w:rsid w:val="005375D9"/>
    <w:rsid w:val="005378BD"/>
    <w:rsid w:val="00541088"/>
    <w:rsid w:val="00541D99"/>
    <w:rsid w:val="0054435F"/>
    <w:rsid w:val="00546CA1"/>
    <w:rsid w:val="00546F0C"/>
    <w:rsid w:val="00546F93"/>
    <w:rsid w:val="00547163"/>
    <w:rsid w:val="00547436"/>
    <w:rsid w:val="00550967"/>
    <w:rsid w:val="00550989"/>
    <w:rsid w:val="00550D96"/>
    <w:rsid w:val="00551CB9"/>
    <w:rsid w:val="005548B0"/>
    <w:rsid w:val="005551E2"/>
    <w:rsid w:val="00562995"/>
    <w:rsid w:val="00565175"/>
    <w:rsid w:val="00565450"/>
    <w:rsid w:val="005660B9"/>
    <w:rsid w:val="00567F0F"/>
    <w:rsid w:val="00570C27"/>
    <w:rsid w:val="00571181"/>
    <w:rsid w:val="00571DF2"/>
    <w:rsid w:val="00582361"/>
    <w:rsid w:val="00584B9D"/>
    <w:rsid w:val="00587194"/>
    <w:rsid w:val="00587661"/>
    <w:rsid w:val="00587698"/>
    <w:rsid w:val="0059311A"/>
    <w:rsid w:val="00597CED"/>
    <w:rsid w:val="005A2595"/>
    <w:rsid w:val="005A3B1D"/>
    <w:rsid w:val="005A3C01"/>
    <w:rsid w:val="005A461E"/>
    <w:rsid w:val="005A66FC"/>
    <w:rsid w:val="005A7334"/>
    <w:rsid w:val="005A7BED"/>
    <w:rsid w:val="005B025A"/>
    <w:rsid w:val="005B248B"/>
    <w:rsid w:val="005B2BDE"/>
    <w:rsid w:val="005B35E1"/>
    <w:rsid w:val="005B387F"/>
    <w:rsid w:val="005B3BD2"/>
    <w:rsid w:val="005B447D"/>
    <w:rsid w:val="005B606C"/>
    <w:rsid w:val="005B66D3"/>
    <w:rsid w:val="005B6DBA"/>
    <w:rsid w:val="005C085F"/>
    <w:rsid w:val="005C19D8"/>
    <w:rsid w:val="005C1C5A"/>
    <w:rsid w:val="005C2225"/>
    <w:rsid w:val="005C31C9"/>
    <w:rsid w:val="005C3B96"/>
    <w:rsid w:val="005C3CB6"/>
    <w:rsid w:val="005C458F"/>
    <w:rsid w:val="005C6722"/>
    <w:rsid w:val="005C7936"/>
    <w:rsid w:val="005D1620"/>
    <w:rsid w:val="005D269F"/>
    <w:rsid w:val="005D29AD"/>
    <w:rsid w:val="005D4F47"/>
    <w:rsid w:val="005D5B8A"/>
    <w:rsid w:val="005E14BE"/>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648C"/>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72F2"/>
    <w:rsid w:val="0064795A"/>
    <w:rsid w:val="00650262"/>
    <w:rsid w:val="006507EA"/>
    <w:rsid w:val="0065133D"/>
    <w:rsid w:val="00651A1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175E"/>
    <w:rsid w:val="00672636"/>
    <w:rsid w:val="00676C54"/>
    <w:rsid w:val="006811B2"/>
    <w:rsid w:val="00682448"/>
    <w:rsid w:val="00684673"/>
    <w:rsid w:val="0068471D"/>
    <w:rsid w:val="0068549C"/>
    <w:rsid w:val="00690E0F"/>
    <w:rsid w:val="00692159"/>
    <w:rsid w:val="00692569"/>
    <w:rsid w:val="006938F5"/>
    <w:rsid w:val="00694281"/>
    <w:rsid w:val="006950A1"/>
    <w:rsid w:val="006953B9"/>
    <w:rsid w:val="00695FDF"/>
    <w:rsid w:val="0069656E"/>
    <w:rsid w:val="006975BD"/>
    <w:rsid w:val="006A04FE"/>
    <w:rsid w:val="006A3A7B"/>
    <w:rsid w:val="006A5F1E"/>
    <w:rsid w:val="006A6C0A"/>
    <w:rsid w:val="006A6FA0"/>
    <w:rsid w:val="006A7035"/>
    <w:rsid w:val="006A78E4"/>
    <w:rsid w:val="006B0F10"/>
    <w:rsid w:val="006B1440"/>
    <w:rsid w:val="006B28B3"/>
    <w:rsid w:val="006B6B2E"/>
    <w:rsid w:val="006B6D9B"/>
    <w:rsid w:val="006B77CB"/>
    <w:rsid w:val="006C0A90"/>
    <w:rsid w:val="006C2413"/>
    <w:rsid w:val="006C2AFC"/>
    <w:rsid w:val="006C2F22"/>
    <w:rsid w:val="006D140B"/>
    <w:rsid w:val="006D1B00"/>
    <w:rsid w:val="006D3B8F"/>
    <w:rsid w:val="006D5032"/>
    <w:rsid w:val="006D5236"/>
    <w:rsid w:val="006D5F62"/>
    <w:rsid w:val="006D6BA1"/>
    <w:rsid w:val="006D7214"/>
    <w:rsid w:val="006E1629"/>
    <w:rsid w:val="006E1832"/>
    <w:rsid w:val="006E263F"/>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5CAA"/>
    <w:rsid w:val="00707B4A"/>
    <w:rsid w:val="007117A0"/>
    <w:rsid w:val="00716B70"/>
    <w:rsid w:val="007201D5"/>
    <w:rsid w:val="0072020C"/>
    <w:rsid w:val="00720D87"/>
    <w:rsid w:val="0072250C"/>
    <w:rsid w:val="00723F96"/>
    <w:rsid w:val="00725A38"/>
    <w:rsid w:val="00725D7F"/>
    <w:rsid w:val="00726989"/>
    <w:rsid w:val="0073192F"/>
    <w:rsid w:val="00731B65"/>
    <w:rsid w:val="00731CB2"/>
    <w:rsid w:val="00732403"/>
    <w:rsid w:val="007328DA"/>
    <w:rsid w:val="0073555B"/>
    <w:rsid w:val="00735CD2"/>
    <w:rsid w:val="00736BBA"/>
    <w:rsid w:val="00740778"/>
    <w:rsid w:val="00745C39"/>
    <w:rsid w:val="007469AE"/>
    <w:rsid w:val="007470B5"/>
    <w:rsid w:val="00747531"/>
    <w:rsid w:val="00747ED4"/>
    <w:rsid w:val="00751EE2"/>
    <w:rsid w:val="00752F73"/>
    <w:rsid w:val="00753EFD"/>
    <w:rsid w:val="007542DE"/>
    <w:rsid w:val="007552B7"/>
    <w:rsid w:val="00755DA9"/>
    <w:rsid w:val="00757715"/>
    <w:rsid w:val="007640D2"/>
    <w:rsid w:val="00764347"/>
    <w:rsid w:val="007671B0"/>
    <w:rsid w:val="00771090"/>
    <w:rsid w:val="007720C9"/>
    <w:rsid w:val="0077234A"/>
    <w:rsid w:val="00772EEF"/>
    <w:rsid w:val="00774500"/>
    <w:rsid w:val="00775C19"/>
    <w:rsid w:val="00775E15"/>
    <w:rsid w:val="00775F63"/>
    <w:rsid w:val="00776B80"/>
    <w:rsid w:val="007776B3"/>
    <w:rsid w:val="007776C4"/>
    <w:rsid w:val="00777919"/>
    <w:rsid w:val="00777B7D"/>
    <w:rsid w:val="007806DB"/>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97861"/>
    <w:rsid w:val="007A16DB"/>
    <w:rsid w:val="007A1A8D"/>
    <w:rsid w:val="007A21BD"/>
    <w:rsid w:val="007A2210"/>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21F"/>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41B1"/>
    <w:rsid w:val="007F7D49"/>
    <w:rsid w:val="008002C6"/>
    <w:rsid w:val="00800654"/>
    <w:rsid w:val="00802B80"/>
    <w:rsid w:val="00802E62"/>
    <w:rsid w:val="0080416B"/>
    <w:rsid w:val="008049FC"/>
    <w:rsid w:val="00806DDE"/>
    <w:rsid w:val="008114E1"/>
    <w:rsid w:val="00812318"/>
    <w:rsid w:val="0081509A"/>
    <w:rsid w:val="0081536B"/>
    <w:rsid w:val="00815BC3"/>
    <w:rsid w:val="00816246"/>
    <w:rsid w:val="00821AC0"/>
    <w:rsid w:val="00821C72"/>
    <w:rsid w:val="00821FFD"/>
    <w:rsid w:val="0082297D"/>
    <w:rsid w:val="00823227"/>
    <w:rsid w:val="008237BF"/>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1926"/>
    <w:rsid w:val="008630A2"/>
    <w:rsid w:val="0086594C"/>
    <w:rsid w:val="0086606D"/>
    <w:rsid w:val="00866292"/>
    <w:rsid w:val="00866A06"/>
    <w:rsid w:val="00866D83"/>
    <w:rsid w:val="00872680"/>
    <w:rsid w:val="008746DD"/>
    <w:rsid w:val="00875D4E"/>
    <w:rsid w:val="008760F5"/>
    <w:rsid w:val="00877A45"/>
    <w:rsid w:val="00880B9F"/>
    <w:rsid w:val="00882F38"/>
    <w:rsid w:val="008847CB"/>
    <w:rsid w:val="00884EAF"/>
    <w:rsid w:val="0088683E"/>
    <w:rsid w:val="00893DBA"/>
    <w:rsid w:val="00893FCA"/>
    <w:rsid w:val="00894B06"/>
    <w:rsid w:val="008A2B57"/>
    <w:rsid w:val="008A419D"/>
    <w:rsid w:val="008A4A7A"/>
    <w:rsid w:val="008A7C32"/>
    <w:rsid w:val="008B0BC9"/>
    <w:rsid w:val="008B2D04"/>
    <w:rsid w:val="008B3C3E"/>
    <w:rsid w:val="008B6644"/>
    <w:rsid w:val="008B7331"/>
    <w:rsid w:val="008C043B"/>
    <w:rsid w:val="008C0F06"/>
    <w:rsid w:val="008C3103"/>
    <w:rsid w:val="008C35F7"/>
    <w:rsid w:val="008C42CD"/>
    <w:rsid w:val="008C4916"/>
    <w:rsid w:val="008C4B4E"/>
    <w:rsid w:val="008D41FC"/>
    <w:rsid w:val="008D4EE1"/>
    <w:rsid w:val="008D6527"/>
    <w:rsid w:val="008D698B"/>
    <w:rsid w:val="008E1D0B"/>
    <w:rsid w:val="008E33BF"/>
    <w:rsid w:val="008E45D8"/>
    <w:rsid w:val="008E4DA9"/>
    <w:rsid w:val="008F05E9"/>
    <w:rsid w:val="008F2A37"/>
    <w:rsid w:val="008F2DE9"/>
    <w:rsid w:val="008F2E47"/>
    <w:rsid w:val="008F3514"/>
    <w:rsid w:val="008F449D"/>
    <w:rsid w:val="008F533C"/>
    <w:rsid w:val="008F60D0"/>
    <w:rsid w:val="008F6566"/>
    <w:rsid w:val="008F6FC2"/>
    <w:rsid w:val="008F7E4D"/>
    <w:rsid w:val="00901E1E"/>
    <w:rsid w:val="009026FC"/>
    <w:rsid w:val="0090493E"/>
    <w:rsid w:val="00905E36"/>
    <w:rsid w:val="00913AAB"/>
    <w:rsid w:val="00913B35"/>
    <w:rsid w:val="00916708"/>
    <w:rsid w:val="00916BD5"/>
    <w:rsid w:val="0091769E"/>
    <w:rsid w:val="00917999"/>
    <w:rsid w:val="00917BF8"/>
    <w:rsid w:val="0092089F"/>
    <w:rsid w:val="00921078"/>
    <w:rsid w:val="00922E55"/>
    <w:rsid w:val="0092352E"/>
    <w:rsid w:val="0092430A"/>
    <w:rsid w:val="009262D5"/>
    <w:rsid w:val="00927162"/>
    <w:rsid w:val="0092748E"/>
    <w:rsid w:val="00931691"/>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535E"/>
    <w:rsid w:val="00956A70"/>
    <w:rsid w:val="00957767"/>
    <w:rsid w:val="00957870"/>
    <w:rsid w:val="00961529"/>
    <w:rsid w:val="00963416"/>
    <w:rsid w:val="009670F9"/>
    <w:rsid w:val="0096734B"/>
    <w:rsid w:val="0096755F"/>
    <w:rsid w:val="00970BE6"/>
    <w:rsid w:val="00971C3A"/>
    <w:rsid w:val="00972E5F"/>
    <w:rsid w:val="009734DE"/>
    <w:rsid w:val="00974030"/>
    <w:rsid w:val="00975546"/>
    <w:rsid w:val="009758F3"/>
    <w:rsid w:val="00980038"/>
    <w:rsid w:val="0098047F"/>
    <w:rsid w:val="00980916"/>
    <w:rsid w:val="00983F96"/>
    <w:rsid w:val="009858E3"/>
    <w:rsid w:val="00985901"/>
    <w:rsid w:val="009861A8"/>
    <w:rsid w:val="0098633C"/>
    <w:rsid w:val="00993072"/>
    <w:rsid w:val="00994E00"/>
    <w:rsid w:val="009968A3"/>
    <w:rsid w:val="00997AFC"/>
    <w:rsid w:val="00997B9C"/>
    <w:rsid w:val="009A09E7"/>
    <w:rsid w:val="009A0C2F"/>
    <w:rsid w:val="009A17AB"/>
    <w:rsid w:val="009A4858"/>
    <w:rsid w:val="009A4B2D"/>
    <w:rsid w:val="009A4B9C"/>
    <w:rsid w:val="009A7C3E"/>
    <w:rsid w:val="009B100B"/>
    <w:rsid w:val="009B23D1"/>
    <w:rsid w:val="009B2801"/>
    <w:rsid w:val="009B6208"/>
    <w:rsid w:val="009C00B3"/>
    <w:rsid w:val="009C1824"/>
    <w:rsid w:val="009C2A60"/>
    <w:rsid w:val="009C50AC"/>
    <w:rsid w:val="009C553D"/>
    <w:rsid w:val="009C56F5"/>
    <w:rsid w:val="009C635F"/>
    <w:rsid w:val="009C755C"/>
    <w:rsid w:val="009D0422"/>
    <w:rsid w:val="009D0D8E"/>
    <w:rsid w:val="009D0FB6"/>
    <w:rsid w:val="009D2AA8"/>
    <w:rsid w:val="009D2AAF"/>
    <w:rsid w:val="009D2BC9"/>
    <w:rsid w:val="009D467A"/>
    <w:rsid w:val="009E17E9"/>
    <w:rsid w:val="009E1F87"/>
    <w:rsid w:val="009E3196"/>
    <w:rsid w:val="009E4769"/>
    <w:rsid w:val="009E579C"/>
    <w:rsid w:val="009E65C8"/>
    <w:rsid w:val="009E6F6A"/>
    <w:rsid w:val="009F0BC3"/>
    <w:rsid w:val="009F17BA"/>
    <w:rsid w:val="009F3788"/>
    <w:rsid w:val="009F5C6C"/>
    <w:rsid w:val="009F7B88"/>
    <w:rsid w:val="009F7FC5"/>
    <w:rsid w:val="00A01283"/>
    <w:rsid w:val="00A018E6"/>
    <w:rsid w:val="00A01C46"/>
    <w:rsid w:val="00A040C2"/>
    <w:rsid w:val="00A047BE"/>
    <w:rsid w:val="00A1019D"/>
    <w:rsid w:val="00A1098C"/>
    <w:rsid w:val="00A12315"/>
    <w:rsid w:val="00A13B23"/>
    <w:rsid w:val="00A14BB5"/>
    <w:rsid w:val="00A14E56"/>
    <w:rsid w:val="00A16E76"/>
    <w:rsid w:val="00A20F99"/>
    <w:rsid w:val="00A21281"/>
    <w:rsid w:val="00A231EF"/>
    <w:rsid w:val="00A23B0E"/>
    <w:rsid w:val="00A23C49"/>
    <w:rsid w:val="00A24DF3"/>
    <w:rsid w:val="00A25327"/>
    <w:rsid w:val="00A25584"/>
    <w:rsid w:val="00A26337"/>
    <w:rsid w:val="00A30C3F"/>
    <w:rsid w:val="00A31490"/>
    <w:rsid w:val="00A3248E"/>
    <w:rsid w:val="00A32D09"/>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15D"/>
    <w:rsid w:val="00A50272"/>
    <w:rsid w:val="00A50471"/>
    <w:rsid w:val="00A51118"/>
    <w:rsid w:val="00A519A2"/>
    <w:rsid w:val="00A531E0"/>
    <w:rsid w:val="00A554B2"/>
    <w:rsid w:val="00A55D1A"/>
    <w:rsid w:val="00A55D46"/>
    <w:rsid w:val="00A55ED7"/>
    <w:rsid w:val="00A56286"/>
    <w:rsid w:val="00A62160"/>
    <w:rsid w:val="00A63601"/>
    <w:rsid w:val="00A643AF"/>
    <w:rsid w:val="00A66348"/>
    <w:rsid w:val="00A67268"/>
    <w:rsid w:val="00A67644"/>
    <w:rsid w:val="00A6794E"/>
    <w:rsid w:val="00A70187"/>
    <w:rsid w:val="00A701ED"/>
    <w:rsid w:val="00A71300"/>
    <w:rsid w:val="00A717E8"/>
    <w:rsid w:val="00A72B1F"/>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A1C1A"/>
    <w:rsid w:val="00AA23C4"/>
    <w:rsid w:val="00AA25B6"/>
    <w:rsid w:val="00AA479A"/>
    <w:rsid w:val="00AA4A9F"/>
    <w:rsid w:val="00AA5E29"/>
    <w:rsid w:val="00AA7F5D"/>
    <w:rsid w:val="00AB190E"/>
    <w:rsid w:val="00AB2943"/>
    <w:rsid w:val="00AB2B91"/>
    <w:rsid w:val="00AB3059"/>
    <w:rsid w:val="00AB4026"/>
    <w:rsid w:val="00AB45FB"/>
    <w:rsid w:val="00AB498B"/>
    <w:rsid w:val="00AB54C2"/>
    <w:rsid w:val="00AB6246"/>
    <w:rsid w:val="00AB7BF3"/>
    <w:rsid w:val="00AC01AE"/>
    <w:rsid w:val="00AC0769"/>
    <w:rsid w:val="00AC411C"/>
    <w:rsid w:val="00AC5998"/>
    <w:rsid w:val="00AC66DA"/>
    <w:rsid w:val="00AC7679"/>
    <w:rsid w:val="00AD0BF1"/>
    <w:rsid w:val="00AD0EA5"/>
    <w:rsid w:val="00AD2E57"/>
    <w:rsid w:val="00AD3CE7"/>
    <w:rsid w:val="00AD5990"/>
    <w:rsid w:val="00AE08D1"/>
    <w:rsid w:val="00AE0F4B"/>
    <w:rsid w:val="00AE15A1"/>
    <w:rsid w:val="00AE1A5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4801"/>
    <w:rsid w:val="00B15A63"/>
    <w:rsid w:val="00B16DD3"/>
    <w:rsid w:val="00B202C3"/>
    <w:rsid w:val="00B2085E"/>
    <w:rsid w:val="00B21BCD"/>
    <w:rsid w:val="00B233B0"/>
    <w:rsid w:val="00B247D4"/>
    <w:rsid w:val="00B263D4"/>
    <w:rsid w:val="00B26BE9"/>
    <w:rsid w:val="00B279E0"/>
    <w:rsid w:val="00B30644"/>
    <w:rsid w:val="00B30689"/>
    <w:rsid w:val="00B311DA"/>
    <w:rsid w:val="00B317C5"/>
    <w:rsid w:val="00B32328"/>
    <w:rsid w:val="00B34E93"/>
    <w:rsid w:val="00B35B8D"/>
    <w:rsid w:val="00B36DCA"/>
    <w:rsid w:val="00B40C21"/>
    <w:rsid w:val="00B41036"/>
    <w:rsid w:val="00B4190A"/>
    <w:rsid w:val="00B42FFD"/>
    <w:rsid w:val="00B437AB"/>
    <w:rsid w:val="00B43D9D"/>
    <w:rsid w:val="00B440FD"/>
    <w:rsid w:val="00B44982"/>
    <w:rsid w:val="00B44BA8"/>
    <w:rsid w:val="00B4624C"/>
    <w:rsid w:val="00B478FE"/>
    <w:rsid w:val="00B47F00"/>
    <w:rsid w:val="00B50141"/>
    <w:rsid w:val="00B509BE"/>
    <w:rsid w:val="00B5195E"/>
    <w:rsid w:val="00B52709"/>
    <w:rsid w:val="00B533C4"/>
    <w:rsid w:val="00B552A6"/>
    <w:rsid w:val="00B5576A"/>
    <w:rsid w:val="00B5596A"/>
    <w:rsid w:val="00B620F5"/>
    <w:rsid w:val="00B62341"/>
    <w:rsid w:val="00B62F4B"/>
    <w:rsid w:val="00B64C11"/>
    <w:rsid w:val="00B64CE8"/>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636E"/>
    <w:rsid w:val="00B964F2"/>
    <w:rsid w:val="00B97650"/>
    <w:rsid w:val="00BA1780"/>
    <w:rsid w:val="00BA2498"/>
    <w:rsid w:val="00BA2A90"/>
    <w:rsid w:val="00BA2ED5"/>
    <w:rsid w:val="00BA2F73"/>
    <w:rsid w:val="00BA454B"/>
    <w:rsid w:val="00BA5744"/>
    <w:rsid w:val="00BA594C"/>
    <w:rsid w:val="00BA620B"/>
    <w:rsid w:val="00BA67CE"/>
    <w:rsid w:val="00BA72A8"/>
    <w:rsid w:val="00BA7368"/>
    <w:rsid w:val="00BA7992"/>
    <w:rsid w:val="00BA7D97"/>
    <w:rsid w:val="00BB08B2"/>
    <w:rsid w:val="00BB1DEC"/>
    <w:rsid w:val="00BB51DC"/>
    <w:rsid w:val="00BB56D4"/>
    <w:rsid w:val="00BB7438"/>
    <w:rsid w:val="00BB74FF"/>
    <w:rsid w:val="00BC1C36"/>
    <w:rsid w:val="00BC1E92"/>
    <w:rsid w:val="00BD1C0C"/>
    <w:rsid w:val="00BD491A"/>
    <w:rsid w:val="00BD7D7B"/>
    <w:rsid w:val="00BE0BEF"/>
    <w:rsid w:val="00BE1EF9"/>
    <w:rsid w:val="00BE210F"/>
    <w:rsid w:val="00BE3BB0"/>
    <w:rsid w:val="00BF0265"/>
    <w:rsid w:val="00BF0BA5"/>
    <w:rsid w:val="00BF2953"/>
    <w:rsid w:val="00BF2D53"/>
    <w:rsid w:val="00BF3CE6"/>
    <w:rsid w:val="00BF63D1"/>
    <w:rsid w:val="00C045A0"/>
    <w:rsid w:val="00C054CD"/>
    <w:rsid w:val="00C0768E"/>
    <w:rsid w:val="00C10327"/>
    <w:rsid w:val="00C1156E"/>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3DC"/>
    <w:rsid w:val="00C43FC8"/>
    <w:rsid w:val="00C46338"/>
    <w:rsid w:val="00C46708"/>
    <w:rsid w:val="00C47BF9"/>
    <w:rsid w:val="00C51054"/>
    <w:rsid w:val="00C51AB9"/>
    <w:rsid w:val="00C52889"/>
    <w:rsid w:val="00C52E4E"/>
    <w:rsid w:val="00C53DAB"/>
    <w:rsid w:val="00C55EB7"/>
    <w:rsid w:val="00C56728"/>
    <w:rsid w:val="00C568DD"/>
    <w:rsid w:val="00C576F9"/>
    <w:rsid w:val="00C61834"/>
    <w:rsid w:val="00C62763"/>
    <w:rsid w:val="00C65A0F"/>
    <w:rsid w:val="00C66117"/>
    <w:rsid w:val="00C662C1"/>
    <w:rsid w:val="00C70F24"/>
    <w:rsid w:val="00C7282A"/>
    <w:rsid w:val="00C7546E"/>
    <w:rsid w:val="00C77883"/>
    <w:rsid w:val="00C81885"/>
    <w:rsid w:val="00C8203C"/>
    <w:rsid w:val="00C8302F"/>
    <w:rsid w:val="00C85D02"/>
    <w:rsid w:val="00C862D7"/>
    <w:rsid w:val="00C90860"/>
    <w:rsid w:val="00C91926"/>
    <w:rsid w:val="00C91BBB"/>
    <w:rsid w:val="00C939FF"/>
    <w:rsid w:val="00C95350"/>
    <w:rsid w:val="00C959B4"/>
    <w:rsid w:val="00C961BD"/>
    <w:rsid w:val="00C96B2D"/>
    <w:rsid w:val="00C97DFA"/>
    <w:rsid w:val="00CA026F"/>
    <w:rsid w:val="00CA5F8D"/>
    <w:rsid w:val="00CA67C7"/>
    <w:rsid w:val="00CB18FC"/>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E2B49"/>
    <w:rsid w:val="00CE3C23"/>
    <w:rsid w:val="00CE3DD8"/>
    <w:rsid w:val="00CF03D1"/>
    <w:rsid w:val="00CF0562"/>
    <w:rsid w:val="00CF3971"/>
    <w:rsid w:val="00CF4D81"/>
    <w:rsid w:val="00CF5E40"/>
    <w:rsid w:val="00CF667A"/>
    <w:rsid w:val="00D0039D"/>
    <w:rsid w:val="00D0065B"/>
    <w:rsid w:val="00D067E0"/>
    <w:rsid w:val="00D0757E"/>
    <w:rsid w:val="00D11813"/>
    <w:rsid w:val="00D1298B"/>
    <w:rsid w:val="00D12F43"/>
    <w:rsid w:val="00D1751E"/>
    <w:rsid w:val="00D2051D"/>
    <w:rsid w:val="00D20787"/>
    <w:rsid w:val="00D21EEA"/>
    <w:rsid w:val="00D22184"/>
    <w:rsid w:val="00D2288E"/>
    <w:rsid w:val="00D2373A"/>
    <w:rsid w:val="00D32E88"/>
    <w:rsid w:val="00D33A9E"/>
    <w:rsid w:val="00D33D3F"/>
    <w:rsid w:val="00D33D52"/>
    <w:rsid w:val="00D35921"/>
    <w:rsid w:val="00D36C39"/>
    <w:rsid w:val="00D37757"/>
    <w:rsid w:val="00D42F40"/>
    <w:rsid w:val="00D43C0E"/>
    <w:rsid w:val="00D44CED"/>
    <w:rsid w:val="00D460F2"/>
    <w:rsid w:val="00D47861"/>
    <w:rsid w:val="00D50671"/>
    <w:rsid w:val="00D50981"/>
    <w:rsid w:val="00D5296C"/>
    <w:rsid w:val="00D54BF8"/>
    <w:rsid w:val="00D55820"/>
    <w:rsid w:val="00D6104D"/>
    <w:rsid w:val="00D648BB"/>
    <w:rsid w:val="00D66C88"/>
    <w:rsid w:val="00D7492E"/>
    <w:rsid w:val="00D750FA"/>
    <w:rsid w:val="00D76EA3"/>
    <w:rsid w:val="00D77CFC"/>
    <w:rsid w:val="00D806ED"/>
    <w:rsid w:val="00D83481"/>
    <w:rsid w:val="00D835B7"/>
    <w:rsid w:val="00D8463B"/>
    <w:rsid w:val="00D864EE"/>
    <w:rsid w:val="00D90022"/>
    <w:rsid w:val="00D90292"/>
    <w:rsid w:val="00D906C9"/>
    <w:rsid w:val="00D90FB6"/>
    <w:rsid w:val="00D92150"/>
    <w:rsid w:val="00D92BE6"/>
    <w:rsid w:val="00D92E73"/>
    <w:rsid w:val="00D95583"/>
    <w:rsid w:val="00D96884"/>
    <w:rsid w:val="00D97226"/>
    <w:rsid w:val="00D97B22"/>
    <w:rsid w:val="00D97D1F"/>
    <w:rsid w:val="00DA0A7F"/>
    <w:rsid w:val="00DA136D"/>
    <w:rsid w:val="00DA15E0"/>
    <w:rsid w:val="00DA1645"/>
    <w:rsid w:val="00DA2877"/>
    <w:rsid w:val="00DA2E79"/>
    <w:rsid w:val="00DA3A99"/>
    <w:rsid w:val="00DA4AA2"/>
    <w:rsid w:val="00DA60B1"/>
    <w:rsid w:val="00DA73AB"/>
    <w:rsid w:val="00DB0FF4"/>
    <w:rsid w:val="00DB3157"/>
    <w:rsid w:val="00DB6C55"/>
    <w:rsid w:val="00DB7F28"/>
    <w:rsid w:val="00DC1470"/>
    <w:rsid w:val="00DC1800"/>
    <w:rsid w:val="00DC2324"/>
    <w:rsid w:val="00DC5255"/>
    <w:rsid w:val="00DC5F9B"/>
    <w:rsid w:val="00DC624E"/>
    <w:rsid w:val="00DD20F9"/>
    <w:rsid w:val="00DD3F4A"/>
    <w:rsid w:val="00DD5B63"/>
    <w:rsid w:val="00DD62F2"/>
    <w:rsid w:val="00DD715C"/>
    <w:rsid w:val="00DE1F32"/>
    <w:rsid w:val="00DE25BB"/>
    <w:rsid w:val="00DE43BE"/>
    <w:rsid w:val="00DE7DCD"/>
    <w:rsid w:val="00DF0984"/>
    <w:rsid w:val="00DF180B"/>
    <w:rsid w:val="00DF334C"/>
    <w:rsid w:val="00DF4705"/>
    <w:rsid w:val="00DF6FAD"/>
    <w:rsid w:val="00E00243"/>
    <w:rsid w:val="00E02766"/>
    <w:rsid w:val="00E05640"/>
    <w:rsid w:val="00E0600F"/>
    <w:rsid w:val="00E1083B"/>
    <w:rsid w:val="00E1227F"/>
    <w:rsid w:val="00E13D05"/>
    <w:rsid w:val="00E14018"/>
    <w:rsid w:val="00E1458E"/>
    <w:rsid w:val="00E21F2B"/>
    <w:rsid w:val="00E22A58"/>
    <w:rsid w:val="00E23AB6"/>
    <w:rsid w:val="00E24161"/>
    <w:rsid w:val="00E26A5B"/>
    <w:rsid w:val="00E3145D"/>
    <w:rsid w:val="00E31AAF"/>
    <w:rsid w:val="00E320CA"/>
    <w:rsid w:val="00E32629"/>
    <w:rsid w:val="00E32841"/>
    <w:rsid w:val="00E34A00"/>
    <w:rsid w:val="00E36DB7"/>
    <w:rsid w:val="00E4314D"/>
    <w:rsid w:val="00E46BAA"/>
    <w:rsid w:val="00E4751D"/>
    <w:rsid w:val="00E5216B"/>
    <w:rsid w:val="00E53D82"/>
    <w:rsid w:val="00E54279"/>
    <w:rsid w:val="00E54491"/>
    <w:rsid w:val="00E55F7F"/>
    <w:rsid w:val="00E56BC0"/>
    <w:rsid w:val="00E5717C"/>
    <w:rsid w:val="00E5762C"/>
    <w:rsid w:val="00E606F7"/>
    <w:rsid w:val="00E6111C"/>
    <w:rsid w:val="00E62AE9"/>
    <w:rsid w:val="00E654A0"/>
    <w:rsid w:val="00E66BFB"/>
    <w:rsid w:val="00E67FC4"/>
    <w:rsid w:val="00E70A23"/>
    <w:rsid w:val="00E74482"/>
    <w:rsid w:val="00E75008"/>
    <w:rsid w:val="00E7584C"/>
    <w:rsid w:val="00E76D99"/>
    <w:rsid w:val="00E77549"/>
    <w:rsid w:val="00E82C3B"/>
    <w:rsid w:val="00E82CE1"/>
    <w:rsid w:val="00E831B9"/>
    <w:rsid w:val="00E838E0"/>
    <w:rsid w:val="00E85616"/>
    <w:rsid w:val="00E86D69"/>
    <w:rsid w:val="00E91010"/>
    <w:rsid w:val="00E9207C"/>
    <w:rsid w:val="00E93334"/>
    <w:rsid w:val="00E9348C"/>
    <w:rsid w:val="00E942CB"/>
    <w:rsid w:val="00E9486E"/>
    <w:rsid w:val="00E957A3"/>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D6856"/>
    <w:rsid w:val="00EE0CB5"/>
    <w:rsid w:val="00EE1587"/>
    <w:rsid w:val="00EE1730"/>
    <w:rsid w:val="00EE4205"/>
    <w:rsid w:val="00EE58DB"/>
    <w:rsid w:val="00EF3FE1"/>
    <w:rsid w:val="00EF5408"/>
    <w:rsid w:val="00EF5765"/>
    <w:rsid w:val="00F00D59"/>
    <w:rsid w:val="00F02D6F"/>
    <w:rsid w:val="00F02F49"/>
    <w:rsid w:val="00F051FB"/>
    <w:rsid w:val="00F05B49"/>
    <w:rsid w:val="00F07622"/>
    <w:rsid w:val="00F07649"/>
    <w:rsid w:val="00F1453B"/>
    <w:rsid w:val="00F1454F"/>
    <w:rsid w:val="00F161F6"/>
    <w:rsid w:val="00F17B33"/>
    <w:rsid w:val="00F20799"/>
    <w:rsid w:val="00F21D34"/>
    <w:rsid w:val="00F22F1D"/>
    <w:rsid w:val="00F2520B"/>
    <w:rsid w:val="00F25E55"/>
    <w:rsid w:val="00F26165"/>
    <w:rsid w:val="00F26514"/>
    <w:rsid w:val="00F26B05"/>
    <w:rsid w:val="00F30DDD"/>
    <w:rsid w:val="00F3259B"/>
    <w:rsid w:val="00F32EE7"/>
    <w:rsid w:val="00F33543"/>
    <w:rsid w:val="00F34554"/>
    <w:rsid w:val="00F35167"/>
    <w:rsid w:val="00F35D52"/>
    <w:rsid w:val="00F407F0"/>
    <w:rsid w:val="00F40905"/>
    <w:rsid w:val="00F42D77"/>
    <w:rsid w:val="00F43C3D"/>
    <w:rsid w:val="00F45C90"/>
    <w:rsid w:val="00F46B1C"/>
    <w:rsid w:val="00F46B42"/>
    <w:rsid w:val="00F51A57"/>
    <w:rsid w:val="00F53813"/>
    <w:rsid w:val="00F54AD5"/>
    <w:rsid w:val="00F54BCF"/>
    <w:rsid w:val="00F60957"/>
    <w:rsid w:val="00F62F83"/>
    <w:rsid w:val="00F62FC8"/>
    <w:rsid w:val="00F631F2"/>
    <w:rsid w:val="00F66918"/>
    <w:rsid w:val="00F66DCA"/>
    <w:rsid w:val="00F70534"/>
    <w:rsid w:val="00F70C08"/>
    <w:rsid w:val="00F71B57"/>
    <w:rsid w:val="00F72A57"/>
    <w:rsid w:val="00F748E0"/>
    <w:rsid w:val="00F755CB"/>
    <w:rsid w:val="00F80AF8"/>
    <w:rsid w:val="00F839CE"/>
    <w:rsid w:val="00F84342"/>
    <w:rsid w:val="00F84A1E"/>
    <w:rsid w:val="00F86A7A"/>
    <w:rsid w:val="00F86DCE"/>
    <w:rsid w:val="00F91B1D"/>
    <w:rsid w:val="00F91B8E"/>
    <w:rsid w:val="00F92D90"/>
    <w:rsid w:val="00F93FA3"/>
    <w:rsid w:val="00F94295"/>
    <w:rsid w:val="00F94A1B"/>
    <w:rsid w:val="00F95498"/>
    <w:rsid w:val="00F96CF6"/>
    <w:rsid w:val="00FA0874"/>
    <w:rsid w:val="00FA14A6"/>
    <w:rsid w:val="00FA1597"/>
    <w:rsid w:val="00FA399C"/>
    <w:rsid w:val="00FA73CF"/>
    <w:rsid w:val="00FB27AA"/>
    <w:rsid w:val="00FB5476"/>
    <w:rsid w:val="00FB559A"/>
    <w:rsid w:val="00FB5E2F"/>
    <w:rsid w:val="00FB7349"/>
    <w:rsid w:val="00FC02EA"/>
    <w:rsid w:val="00FC06A3"/>
    <w:rsid w:val="00FC071A"/>
    <w:rsid w:val="00FC2DE3"/>
    <w:rsid w:val="00FC31D9"/>
    <w:rsid w:val="00FC3E8F"/>
    <w:rsid w:val="00FC457A"/>
    <w:rsid w:val="00FC48F9"/>
    <w:rsid w:val="00FC623A"/>
    <w:rsid w:val="00FC632B"/>
    <w:rsid w:val="00FD0DFF"/>
    <w:rsid w:val="00FD5558"/>
    <w:rsid w:val="00FD58EF"/>
    <w:rsid w:val="00FD5ED5"/>
    <w:rsid w:val="00FE1DA8"/>
    <w:rsid w:val="00FE2934"/>
    <w:rsid w:val="00FE5669"/>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tion">
    <w:name w:val="Quote"/>
    <w:basedOn w:val="Normal"/>
    <w:next w:val="Normal"/>
    <w:link w:val="Citation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tionCar">
    <w:name w:val="Citation Car"/>
    <w:basedOn w:val="Policepardfaut"/>
    <w:link w:val="Citation"/>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itre1Car">
    <w:name w:val="Titre 1 Car"/>
    <w:basedOn w:val="Policepardfaut"/>
    <w:link w:val="Titre1"/>
    <w:uiPriority w:val="9"/>
    <w:rsid w:val="00183EE7"/>
    <w:rPr>
      <w:rFonts w:asciiTheme="majorHAnsi" w:eastAsiaTheme="majorEastAsia" w:hAnsiTheme="majorHAnsi" w:cstheme="majorBidi"/>
      <w:color w:val="2E74B5" w:themeColor="accent1" w:themeShade="BF"/>
      <w:sz w:val="32"/>
      <w:szCs w:val="32"/>
    </w:rPr>
  </w:style>
  <w:style w:type="paragraph" w:customStyle="1" w:styleId="body">
    <w:name w:val="body"/>
    <w:basedOn w:val="Normal"/>
    <w:rsid w:val="00546F93"/>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tion">
    <w:name w:val="Quote"/>
    <w:basedOn w:val="Normal"/>
    <w:next w:val="Normal"/>
    <w:link w:val="Citation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tionCar">
    <w:name w:val="Citation Car"/>
    <w:basedOn w:val="Policepardfaut"/>
    <w:link w:val="Citation"/>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itre1Car">
    <w:name w:val="Titre 1 Car"/>
    <w:basedOn w:val="Policepardfaut"/>
    <w:link w:val="Titre1"/>
    <w:uiPriority w:val="9"/>
    <w:rsid w:val="00183EE7"/>
    <w:rPr>
      <w:rFonts w:asciiTheme="majorHAnsi" w:eastAsiaTheme="majorEastAsia" w:hAnsiTheme="majorHAnsi" w:cstheme="majorBidi"/>
      <w:color w:val="2E74B5" w:themeColor="accent1" w:themeShade="BF"/>
      <w:sz w:val="32"/>
      <w:szCs w:val="32"/>
    </w:rPr>
  </w:style>
  <w:style w:type="paragraph" w:customStyle="1" w:styleId="body">
    <w:name w:val="body"/>
    <w:basedOn w:val="Normal"/>
    <w:rsid w:val="00546F9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877">
      <w:bodyDiv w:val="1"/>
      <w:marLeft w:val="0"/>
      <w:marRight w:val="0"/>
      <w:marTop w:val="0"/>
      <w:marBottom w:val="0"/>
      <w:divBdr>
        <w:top w:val="none" w:sz="0" w:space="0" w:color="auto"/>
        <w:left w:val="none" w:sz="0" w:space="0" w:color="auto"/>
        <w:bottom w:val="none" w:sz="0" w:space="0" w:color="auto"/>
        <w:right w:val="none" w:sz="0" w:space="0" w:color="auto"/>
      </w:divBdr>
    </w:div>
    <w:div w:id="252276265">
      <w:bodyDiv w:val="1"/>
      <w:marLeft w:val="0"/>
      <w:marRight w:val="0"/>
      <w:marTop w:val="0"/>
      <w:marBottom w:val="0"/>
      <w:divBdr>
        <w:top w:val="none" w:sz="0" w:space="0" w:color="auto"/>
        <w:left w:val="none" w:sz="0" w:space="0" w:color="auto"/>
        <w:bottom w:val="none" w:sz="0" w:space="0" w:color="auto"/>
        <w:right w:val="none" w:sz="0" w:space="0" w:color="auto"/>
      </w:divBdr>
    </w:div>
    <w:div w:id="290408351">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1031805178">
      <w:bodyDiv w:val="1"/>
      <w:marLeft w:val="0"/>
      <w:marRight w:val="0"/>
      <w:marTop w:val="0"/>
      <w:marBottom w:val="0"/>
      <w:divBdr>
        <w:top w:val="none" w:sz="0" w:space="0" w:color="auto"/>
        <w:left w:val="none" w:sz="0" w:space="0" w:color="auto"/>
        <w:bottom w:val="none" w:sz="0" w:space="0" w:color="auto"/>
        <w:right w:val="none" w:sz="0" w:space="0" w:color="auto"/>
      </w:divBdr>
    </w:div>
    <w:div w:id="1271665497">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1783258779">
      <w:bodyDiv w:val="1"/>
      <w:marLeft w:val="0"/>
      <w:marRight w:val="0"/>
      <w:marTop w:val="0"/>
      <w:marBottom w:val="0"/>
      <w:divBdr>
        <w:top w:val="none" w:sz="0" w:space="0" w:color="auto"/>
        <w:left w:val="none" w:sz="0" w:space="0" w:color="auto"/>
        <w:bottom w:val="none" w:sz="0" w:space="0" w:color="auto"/>
        <w:right w:val="none" w:sz="0" w:space="0" w:color="auto"/>
      </w:divBdr>
    </w:div>
    <w:div w:id="21456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4828-BE24-4F05-AC5E-6799B46A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2805</Words>
  <Characters>15432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10</cp:revision>
  <cp:lastPrinted>2017-04-20T12:08:00Z</cp:lastPrinted>
  <dcterms:created xsi:type="dcterms:W3CDTF">2017-04-19T14:55:00Z</dcterms:created>
  <dcterms:modified xsi:type="dcterms:W3CDTF">2017-06-21T04:51:00Z</dcterms:modified>
</cp:coreProperties>
</file>