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66" w:rsidRDefault="006F3566" w:rsidP="006F3566">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6F3566" w:rsidRPr="00E756E4" w:rsidRDefault="006F3566" w:rsidP="006F3566">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6F3566" w:rsidRPr="006F3566" w:rsidRDefault="006F3566" w:rsidP="008B7145">
      <w:pPr>
        <w:pStyle w:val="Sansinterligne"/>
        <w:spacing w:line="360" w:lineRule="auto"/>
        <w:jc w:val="center"/>
        <w:rPr>
          <w:rFonts w:ascii="Book Antiqua" w:hAnsi="Book Antiqua" w:cs="Arial"/>
          <w:w w:val="140"/>
          <w:sz w:val="14"/>
          <w:szCs w:val="14"/>
          <w:lang w:val="es-CO"/>
        </w:rPr>
      </w:pPr>
      <w:bookmarkStart w:id="0" w:name="_GoBack"/>
      <w:bookmarkEnd w:id="0"/>
    </w:p>
    <w:p w:rsidR="008B7145" w:rsidRPr="00BB68F4" w:rsidRDefault="00CD2257" w:rsidP="008B7145">
      <w:pPr>
        <w:pStyle w:val="Sansinterligne"/>
        <w:spacing w:line="360" w:lineRule="auto"/>
        <w:jc w:val="center"/>
        <w:rPr>
          <w:rFonts w:ascii="Book Antiqua" w:hAnsi="Book Antiqua" w:cs="Arial"/>
          <w:w w:val="140"/>
          <w:sz w:val="14"/>
          <w:szCs w:val="14"/>
        </w:rPr>
      </w:pPr>
      <w:r w:rsidRPr="00BB68F4">
        <w:rPr>
          <w:rFonts w:ascii="Book Antiqua" w:hAnsi="Book Antiqua"/>
          <w:noProof/>
          <w:lang w:val="fr-FR" w:eastAsia="fr-FR"/>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BB68F4" w:rsidRDefault="008B7145" w:rsidP="008B7145">
      <w:pPr>
        <w:pStyle w:val="Sansinterligne"/>
        <w:spacing w:line="360" w:lineRule="auto"/>
        <w:jc w:val="center"/>
        <w:rPr>
          <w:rFonts w:ascii="Book Antiqua" w:hAnsi="Book Antiqua" w:cs="Arial"/>
          <w:w w:val="140"/>
          <w:sz w:val="14"/>
          <w:szCs w:val="14"/>
        </w:rPr>
      </w:pPr>
    </w:p>
    <w:p w:rsidR="008B7145" w:rsidRPr="00BB68F4" w:rsidRDefault="008B7145" w:rsidP="008B7145">
      <w:pPr>
        <w:pStyle w:val="Sansinterligne"/>
        <w:spacing w:line="360" w:lineRule="auto"/>
        <w:jc w:val="center"/>
        <w:rPr>
          <w:rFonts w:ascii="Book Antiqua" w:hAnsi="Book Antiqua" w:cs="Arial"/>
          <w:w w:val="140"/>
          <w:sz w:val="14"/>
          <w:szCs w:val="14"/>
        </w:rPr>
      </w:pPr>
      <w:r w:rsidRPr="00BB68F4">
        <w:rPr>
          <w:rFonts w:ascii="Book Antiqua" w:hAnsi="Book Antiqua" w:cs="Arial"/>
          <w:w w:val="140"/>
          <w:sz w:val="14"/>
          <w:szCs w:val="14"/>
        </w:rPr>
        <w:t>REPUBLICA DE COLOMBIA</w:t>
      </w:r>
    </w:p>
    <w:p w:rsidR="008B7145" w:rsidRPr="00BB68F4" w:rsidRDefault="008B7145" w:rsidP="008B7145">
      <w:pPr>
        <w:pStyle w:val="Sansinterligne"/>
        <w:tabs>
          <w:tab w:val="center" w:pos="4987"/>
          <w:tab w:val="left" w:pos="8449"/>
        </w:tabs>
        <w:spacing w:line="360" w:lineRule="auto"/>
        <w:jc w:val="center"/>
        <w:rPr>
          <w:rFonts w:ascii="Book Antiqua" w:hAnsi="Book Antiqua" w:cs="Arial"/>
          <w:w w:val="140"/>
        </w:rPr>
      </w:pPr>
      <w:r w:rsidRPr="00BB68F4">
        <w:rPr>
          <w:rFonts w:ascii="Book Antiqua" w:hAnsi="Book Antiqua" w:cs="Arial"/>
          <w:w w:val="140"/>
          <w:sz w:val="14"/>
          <w:szCs w:val="14"/>
        </w:rPr>
        <w:t>RAMA JUDICIAL DEL PODER PÚBLICO</w:t>
      </w:r>
    </w:p>
    <w:p w:rsidR="008B7145" w:rsidRPr="00BB68F4" w:rsidRDefault="008B7145" w:rsidP="008B7145">
      <w:pPr>
        <w:pStyle w:val="Sansinterligne"/>
        <w:spacing w:line="360" w:lineRule="auto"/>
        <w:jc w:val="center"/>
        <w:rPr>
          <w:rFonts w:ascii="Book Antiqua" w:hAnsi="Book Antiqua" w:cs="Arial"/>
          <w:w w:val="140"/>
          <w:sz w:val="16"/>
          <w:szCs w:val="16"/>
        </w:rPr>
      </w:pPr>
      <w:r w:rsidRPr="00BB68F4">
        <w:rPr>
          <w:rFonts w:ascii="Book Antiqua" w:hAnsi="Book Antiqua" w:cs="Arial"/>
          <w:w w:val="140"/>
          <w:sz w:val="18"/>
          <w:szCs w:val="18"/>
        </w:rPr>
        <w:t>T</w:t>
      </w:r>
      <w:r w:rsidRPr="00BB68F4">
        <w:rPr>
          <w:rFonts w:ascii="Book Antiqua" w:hAnsi="Book Antiqua" w:cs="Arial"/>
          <w:w w:val="140"/>
          <w:sz w:val="16"/>
          <w:szCs w:val="16"/>
        </w:rPr>
        <w:t>RIBUNAL</w:t>
      </w:r>
      <w:r w:rsidRPr="00BB68F4">
        <w:rPr>
          <w:rFonts w:ascii="Book Antiqua" w:hAnsi="Book Antiqua" w:cs="Arial"/>
          <w:w w:val="140"/>
          <w:sz w:val="18"/>
          <w:szCs w:val="18"/>
        </w:rPr>
        <w:t xml:space="preserve"> S</w:t>
      </w:r>
      <w:r w:rsidRPr="00BB68F4">
        <w:rPr>
          <w:rFonts w:ascii="Book Antiqua" w:hAnsi="Book Antiqua" w:cs="Arial"/>
          <w:w w:val="140"/>
          <w:sz w:val="16"/>
          <w:szCs w:val="16"/>
        </w:rPr>
        <w:t xml:space="preserve">UPERIOR DEL </w:t>
      </w:r>
      <w:r w:rsidRPr="00BB68F4">
        <w:rPr>
          <w:rFonts w:ascii="Book Antiqua" w:hAnsi="Book Antiqua" w:cs="Arial"/>
          <w:w w:val="140"/>
          <w:sz w:val="18"/>
          <w:szCs w:val="18"/>
        </w:rPr>
        <w:t>D</w:t>
      </w:r>
      <w:r w:rsidRPr="00BB68F4">
        <w:rPr>
          <w:rFonts w:ascii="Book Antiqua" w:hAnsi="Book Antiqua" w:cs="Arial"/>
          <w:w w:val="140"/>
          <w:sz w:val="16"/>
          <w:szCs w:val="16"/>
        </w:rPr>
        <w:t>ISTRITO</w:t>
      </w:r>
      <w:r w:rsidRPr="00BB68F4">
        <w:rPr>
          <w:rFonts w:ascii="Book Antiqua" w:hAnsi="Book Antiqua" w:cs="Arial"/>
          <w:w w:val="140"/>
          <w:sz w:val="18"/>
          <w:szCs w:val="18"/>
        </w:rPr>
        <w:t xml:space="preserve"> J</w:t>
      </w:r>
      <w:r w:rsidRPr="00BB68F4">
        <w:rPr>
          <w:rFonts w:ascii="Book Antiqua" w:hAnsi="Book Antiqua" w:cs="Arial"/>
          <w:w w:val="140"/>
          <w:sz w:val="16"/>
          <w:szCs w:val="16"/>
        </w:rPr>
        <w:t xml:space="preserve">UDICIAL </w:t>
      </w:r>
    </w:p>
    <w:p w:rsidR="001E18FB" w:rsidRPr="00BB68F4" w:rsidRDefault="001E18FB" w:rsidP="001E18FB">
      <w:pPr>
        <w:pStyle w:val="Sansinterligne"/>
        <w:spacing w:line="360" w:lineRule="auto"/>
        <w:jc w:val="center"/>
        <w:rPr>
          <w:rFonts w:ascii="Book Antiqua" w:hAnsi="Book Antiqua" w:cs="Arial"/>
          <w:w w:val="140"/>
          <w:sz w:val="16"/>
          <w:szCs w:val="16"/>
        </w:rPr>
      </w:pPr>
      <w:r w:rsidRPr="00BB68F4">
        <w:rPr>
          <w:rFonts w:ascii="Book Antiqua" w:hAnsi="Book Antiqua" w:cs="Arial"/>
          <w:w w:val="140"/>
          <w:sz w:val="18"/>
          <w:szCs w:val="16"/>
        </w:rPr>
        <w:t>S</w:t>
      </w:r>
      <w:r w:rsidRPr="00BB68F4">
        <w:rPr>
          <w:rFonts w:ascii="Book Antiqua" w:hAnsi="Book Antiqua" w:cs="Arial"/>
          <w:w w:val="140"/>
          <w:sz w:val="16"/>
          <w:szCs w:val="14"/>
        </w:rPr>
        <w:t xml:space="preserve">ALA </w:t>
      </w:r>
      <w:r w:rsidRPr="00BB68F4">
        <w:rPr>
          <w:rFonts w:ascii="Book Antiqua" w:hAnsi="Book Antiqua" w:cs="Arial"/>
          <w:w w:val="140"/>
          <w:sz w:val="18"/>
          <w:szCs w:val="16"/>
        </w:rPr>
        <w:t>U</w:t>
      </w:r>
      <w:r w:rsidRPr="00BB68F4">
        <w:rPr>
          <w:rFonts w:ascii="Book Antiqua" w:hAnsi="Book Antiqua" w:cs="Arial"/>
          <w:w w:val="140"/>
          <w:sz w:val="16"/>
          <w:szCs w:val="16"/>
        </w:rPr>
        <w:t xml:space="preserve">NITARIA </w:t>
      </w:r>
      <w:r w:rsidRPr="00BB68F4">
        <w:rPr>
          <w:rFonts w:ascii="Book Antiqua" w:hAnsi="Book Antiqua" w:cs="Arial"/>
          <w:w w:val="140"/>
          <w:sz w:val="18"/>
          <w:szCs w:val="16"/>
        </w:rPr>
        <w:t>C</w:t>
      </w:r>
      <w:r w:rsidRPr="00BB68F4">
        <w:rPr>
          <w:rFonts w:ascii="Book Antiqua" w:hAnsi="Book Antiqua" w:cs="Arial"/>
          <w:w w:val="140"/>
          <w:sz w:val="16"/>
          <w:szCs w:val="16"/>
        </w:rPr>
        <w:t>IVIL</w:t>
      </w:r>
      <w:r w:rsidRPr="00BB68F4">
        <w:rPr>
          <w:rFonts w:ascii="Book Antiqua" w:hAnsi="Book Antiqua" w:cs="Arial"/>
          <w:w w:val="140"/>
          <w:sz w:val="14"/>
          <w:szCs w:val="14"/>
        </w:rPr>
        <w:t xml:space="preserve">– </w:t>
      </w:r>
      <w:r w:rsidRPr="00BB68F4">
        <w:rPr>
          <w:rFonts w:ascii="Book Antiqua" w:hAnsi="Book Antiqua" w:cs="Arial"/>
          <w:w w:val="140"/>
          <w:sz w:val="18"/>
          <w:szCs w:val="16"/>
        </w:rPr>
        <w:t>F</w:t>
      </w:r>
      <w:r w:rsidRPr="00BB68F4">
        <w:rPr>
          <w:rFonts w:ascii="Book Antiqua" w:hAnsi="Book Antiqua" w:cs="Arial"/>
          <w:w w:val="140"/>
          <w:sz w:val="16"/>
          <w:szCs w:val="16"/>
        </w:rPr>
        <w:t>AMILIA –</w:t>
      </w:r>
      <w:r w:rsidRPr="00BB68F4">
        <w:rPr>
          <w:rFonts w:ascii="Book Antiqua" w:hAnsi="Book Antiqua" w:cs="Arial"/>
          <w:w w:val="140"/>
          <w:sz w:val="18"/>
          <w:szCs w:val="16"/>
        </w:rPr>
        <w:t>D</w:t>
      </w:r>
      <w:r w:rsidRPr="00BB68F4">
        <w:rPr>
          <w:rFonts w:ascii="Book Antiqua" w:hAnsi="Book Antiqua" w:cs="Arial"/>
          <w:w w:val="140"/>
          <w:sz w:val="16"/>
          <w:szCs w:val="16"/>
        </w:rPr>
        <w:t xml:space="preserve">ISTRITO DE </w:t>
      </w:r>
      <w:r w:rsidRPr="00BB68F4">
        <w:rPr>
          <w:rFonts w:ascii="Book Antiqua" w:hAnsi="Book Antiqua" w:cs="Arial"/>
          <w:w w:val="140"/>
          <w:sz w:val="18"/>
          <w:szCs w:val="16"/>
        </w:rPr>
        <w:t>P</w:t>
      </w:r>
      <w:r w:rsidRPr="00BB68F4">
        <w:rPr>
          <w:rFonts w:ascii="Book Antiqua" w:hAnsi="Book Antiqua" w:cs="Arial"/>
          <w:w w:val="140"/>
          <w:sz w:val="16"/>
          <w:szCs w:val="16"/>
        </w:rPr>
        <w:t>EREIRA</w:t>
      </w:r>
    </w:p>
    <w:p w:rsidR="008B7145" w:rsidRPr="00BB68F4" w:rsidRDefault="008B7145" w:rsidP="008B7145">
      <w:pPr>
        <w:pStyle w:val="Sansinterligne"/>
        <w:spacing w:line="360" w:lineRule="auto"/>
        <w:jc w:val="center"/>
        <w:rPr>
          <w:rFonts w:ascii="Book Antiqua" w:hAnsi="Book Antiqua" w:cs="Arial"/>
          <w:w w:val="140"/>
          <w:sz w:val="16"/>
          <w:szCs w:val="16"/>
        </w:rPr>
      </w:pPr>
      <w:r w:rsidRPr="00BB68F4">
        <w:rPr>
          <w:rFonts w:ascii="Book Antiqua" w:hAnsi="Book Antiqua" w:cs="Arial"/>
          <w:w w:val="140"/>
          <w:sz w:val="18"/>
          <w:szCs w:val="18"/>
        </w:rPr>
        <w:t>D</w:t>
      </w:r>
      <w:r w:rsidRPr="00BB68F4">
        <w:rPr>
          <w:rFonts w:ascii="Book Antiqua" w:hAnsi="Book Antiqua" w:cs="Arial"/>
          <w:w w:val="140"/>
          <w:sz w:val="16"/>
          <w:szCs w:val="16"/>
        </w:rPr>
        <w:t xml:space="preserve">EPARTAMENTO </w:t>
      </w:r>
      <w:r w:rsidRPr="00BB68F4">
        <w:rPr>
          <w:rFonts w:ascii="Book Antiqua" w:hAnsi="Book Antiqua" w:cs="Arial"/>
          <w:w w:val="140"/>
          <w:sz w:val="18"/>
          <w:szCs w:val="18"/>
        </w:rPr>
        <w:t>D</w:t>
      </w:r>
      <w:r w:rsidRPr="00BB68F4">
        <w:rPr>
          <w:rFonts w:ascii="Book Antiqua" w:hAnsi="Book Antiqua" w:cs="Arial"/>
          <w:w w:val="140"/>
          <w:sz w:val="16"/>
          <w:szCs w:val="16"/>
        </w:rPr>
        <w:t xml:space="preserve">EL </w:t>
      </w:r>
      <w:r w:rsidRPr="00BB68F4">
        <w:rPr>
          <w:rFonts w:ascii="Book Antiqua" w:hAnsi="Book Antiqua" w:cs="Arial"/>
          <w:w w:val="140"/>
          <w:sz w:val="18"/>
          <w:szCs w:val="18"/>
        </w:rPr>
        <w:t>R</w:t>
      </w:r>
      <w:r w:rsidRPr="00BB68F4">
        <w:rPr>
          <w:rFonts w:ascii="Book Antiqua" w:hAnsi="Book Antiqua" w:cs="Arial"/>
          <w:w w:val="140"/>
          <w:sz w:val="16"/>
          <w:szCs w:val="16"/>
        </w:rPr>
        <w:t>ISARALDA</w:t>
      </w:r>
    </w:p>
    <w:p w:rsidR="00045CE3" w:rsidRPr="00BB68F4" w:rsidRDefault="00045CE3" w:rsidP="00045CE3">
      <w:pPr>
        <w:spacing w:line="360" w:lineRule="auto"/>
        <w:jc w:val="center"/>
        <w:rPr>
          <w:rFonts w:ascii="Book Antiqua" w:hAnsi="Book Antiqua" w:cs="Arial"/>
          <w:b/>
          <w:bCs/>
          <w:sz w:val="18"/>
          <w:szCs w:val="22"/>
        </w:rPr>
      </w:pPr>
    </w:p>
    <w:p w:rsidR="00854173" w:rsidRDefault="00854173" w:rsidP="00455DE9">
      <w:pPr>
        <w:pStyle w:val="Corpsdetexte"/>
        <w:spacing w:line="360" w:lineRule="auto"/>
        <w:ind w:left="2124"/>
        <w:rPr>
          <w:rFonts w:ascii="Book Antiqua" w:hAnsi="Book Antiqua" w:cs="Arial"/>
          <w:sz w:val="22"/>
          <w:szCs w:val="22"/>
        </w:rPr>
      </w:pPr>
      <w:r>
        <w:rPr>
          <w:rFonts w:ascii="Book Antiqua" w:hAnsi="Book Antiqua" w:cs="Arial"/>
          <w:sz w:val="22"/>
          <w:szCs w:val="22"/>
        </w:rPr>
        <w:t>Providencia</w:t>
      </w:r>
      <w:r w:rsidR="00455DE9" w:rsidRPr="00BB68F4">
        <w:rPr>
          <w:rFonts w:ascii="Book Antiqua" w:hAnsi="Book Antiqua" w:cs="Arial"/>
          <w:sz w:val="22"/>
          <w:szCs w:val="22"/>
        </w:rPr>
        <w:tab/>
      </w:r>
      <w:r w:rsidR="00455DE9" w:rsidRPr="00BB68F4">
        <w:rPr>
          <w:rFonts w:ascii="Book Antiqua" w:hAnsi="Book Antiqua" w:cs="Arial"/>
          <w:sz w:val="22"/>
          <w:szCs w:val="22"/>
        </w:rPr>
        <w:tab/>
        <w:t xml:space="preserve">: </w:t>
      </w:r>
      <w:r>
        <w:rPr>
          <w:rFonts w:ascii="Book Antiqua" w:hAnsi="Book Antiqua" w:cs="Arial"/>
          <w:sz w:val="22"/>
          <w:szCs w:val="22"/>
        </w:rPr>
        <w:t>Auto – 30 de mayo de 2017</w:t>
      </w:r>
    </w:p>
    <w:p w:rsidR="00455DE9" w:rsidRPr="00BB68F4" w:rsidRDefault="00854173" w:rsidP="00455DE9">
      <w:pPr>
        <w:pStyle w:val="Corpsdetexte"/>
        <w:spacing w:line="360" w:lineRule="auto"/>
        <w:ind w:left="2124"/>
        <w:rPr>
          <w:rFonts w:ascii="Book Antiqua" w:hAnsi="Book Antiqua" w:cs="Arial"/>
          <w:sz w:val="22"/>
          <w:szCs w:val="22"/>
        </w:rPr>
      </w:pPr>
      <w:r>
        <w:rPr>
          <w:rFonts w:ascii="Book Antiqua" w:hAnsi="Book Antiqua" w:cs="Arial"/>
          <w:sz w:val="22"/>
          <w:szCs w:val="22"/>
        </w:rPr>
        <w:tab/>
      </w:r>
      <w:r>
        <w:rPr>
          <w:rFonts w:ascii="Book Antiqua" w:hAnsi="Book Antiqua" w:cs="Arial"/>
          <w:sz w:val="22"/>
          <w:szCs w:val="22"/>
        </w:rPr>
        <w:tab/>
      </w:r>
      <w:r>
        <w:rPr>
          <w:rFonts w:ascii="Book Antiqua" w:hAnsi="Book Antiqua" w:cs="Arial"/>
          <w:sz w:val="22"/>
          <w:szCs w:val="22"/>
        </w:rPr>
        <w:tab/>
      </w:r>
      <w:r w:rsidR="00455DE9" w:rsidRPr="00BB68F4">
        <w:rPr>
          <w:rFonts w:ascii="Book Antiqua" w:hAnsi="Book Antiqua" w:cs="Arial"/>
          <w:sz w:val="22"/>
          <w:szCs w:val="22"/>
        </w:rPr>
        <w:t>Dec</w:t>
      </w:r>
      <w:r>
        <w:rPr>
          <w:rFonts w:ascii="Book Antiqua" w:hAnsi="Book Antiqua" w:cs="Arial"/>
          <w:sz w:val="22"/>
          <w:szCs w:val="22"/>
        </w:rPr>
        <w:t>lara nulidad de lo actuado</w:t>
      </w:r>
    </w:p>
    <w:p w:rsidR="00455DE9" w:rsidRPr="00BB68F4" w:rsidRDefault="00455DE9" w:rsidP="001E18FB">
      <w:pPr>
        <w:spacing w:line="360" w:lineRule="auto"/>
        <w:ind w:left="4239" w:hanging="2115"/>
        <w:jc w:val="both"/>
        <w:rPr>
          <w:rFonts w:ascii="Book Antiqua" w:hAnsi="Book Antiqua"/>
          <w:sz w:val="28"/>
          <w:szCs w:val="22"/>
        </w:rPr>
      </w:pPr>
      <w:r w:rsidRPr="00BB68F4">
        <w:rPr>
          <w:rFonts w:ascii="Book Antiqua" w:hAnsi="Book Antiqua"/>
          <w:sz w:val="22"/>
          <w:szCs w:val="22"/>
        </w:rPr>
        <w:t>Proceso</w:t>
      </w:r>
      <w:r w:rsidRPr="00BB68F4">
        <w:rPr>
          <w:rFonts w:ascii="Book Antiqua" w:hAnsi="Book Antiqua"/>
          <w:sz w:val="22"/>
          <w:szCs w:val="22"/>
        </w:rPr>
        <w:tab/>
      </w:r>
      <w:r w:rsidRPr="00BB68F4">
        <w:rPr>
          <w:rFonts w:ascii="Book Antiqua" w:hAnsi="Book Antiqua"/>
          <w:sz w:val="22"/>
          <w:szCs w:val="22"/>
        </w:rPr>
        <w:tab/>
        <w:t xml:space="preserve">: </w:t>
      </w:r>
      <w:r w:rsidR="001A4CAA" w:rsidRPr="00BB68F4">
        <w:rPr>
          <w:rFonts w:ascii="Book Antiqua" w:hAnsi="Book Antiqua"/>
          <w:sz w:val="22"/>
          <w:szCs w:val="22"/>
        </w:rPr>
        <w:t>Verbal – Unión marital de hecho</w:t>
      </w:r>
    </w:p>
    <w:p w:rsidR="00455DE9" w:rsidRPr="00BB68F4" w:rsidRDefault="001A4CAA" w:rsidP="00455DE9">
      <w:pPr>
        <w:spacing w:line="360" w:lineRule="auto"/>
        <w:ind w:left="2124"/>
        <w:jc w:val="both"/>
        <w:rPr>
          <w:rFonts w:ascii="Book Antiqua" w:hAnsi="Book Antiqua"/>
          <w:sz w:val="22"/>
          <w:szCs w:val="22"/>
        </w:rPr>
      </w:pPr>
      <w:r w:rsidRPr="00BB68F4">
        <w:rPr>
          <w:rFonts w:ascii="Book Antiqua" w:hAnsi="Book Antiqua" w:cs="Arial"/>
          <w:sz w:val="22"/>
          <w:szCs w:val="22"/>
        </w:rPr>
        <w:t>Demandante</w:t>
      </w:r>
      <w:r w:rsidR="00455DE9" w:rsidRPr="00BB68F4">
        <w:rPr>
          <w:rFonts w:ascii="Book Antiqua" w:hAnsi="Book Antiqua" w:cs="Arial"/>
          <w:sz w:val="22"/>
          <w:szCs w:val="22"/>
        </w:rPr>
        <w:tab/>
      </w:r>
      <w:r w:rsidR="00455DE9" w:rsidRPr="00BB68F4">
        <w:rPr>
          <w:rFonts w:ascii="Book Antiqua" w:hAnsi="Book Antiqua" w:cs="Arial"/>
          <w:sz w:val="22"/>
          <w:szCs w:val="22"/>
        </w:rPr>
        <w:tab/>
        <w:t xml:space="preserve">: </w:t>
      </w:r>
      <w:r w:rsidRPr="00BB68F4">
        <w:rPr>
          <w:rFonts w:ascii="Book Antiqua" w:hAnsi="Book Antiqua" w:cs="Arial"/>
          <w:sz w:val="22"/>
          <w:szCs w:val="22"/>
        </w:rPr>
        <w:t xml:space="preserve">María </w:t>
      </w:r>
      <w:proofErr w:type="spellStart"/>
      <w:r w:rsidRPr="00BB68F4">
        <w:rPr>
          <w:rFonts w:ascii="Book Antiqua" w:hAnsi="Book Antiqua" w:cs="Arial"/>
          <w:sz w:val="22"/>
          <w:szCs w:val="22"/>
        </w:rPr>
        <w:t>Margoth</w:t>
      </w:r>
      <w:proofErr w:type="spellEnd"/>
      <w:r w:rsidRPr="00BB68F4">
        <w:rPr>
          <w:rFonts w:ascii="Book Antiqua" w:hAnsi="Book Antiqua" w:cs="Arial"/>
          <w:sz w:val="22"/>
          <w:szCs w:val="22"/>
        </w:rPr>
        <w:t xml:space="preserve"> Ríos Castañeda</w:t>
      </w:r>
      <w:r w:rsidR="00B248EB" w:rsidRPr="00BB68F4">
        <w:rPr>
          <w:rFonts w:ascii="Book Antiqua" w:hAnsi="Book Antiqua" w:cs="Arial"/>
          <w:sz w:val="22"/>
          <w:szCs w:val="22"/>
        </w:rPr>
        <w:t xml:space="preserve"> </w:t>
      </w:r>
    </w:p>
    <w:p w:rsidR="00455DE9" w:rsidRPr="00BB68F4" w:rsidRDefault="001A4CAA" w:rsidP="00455DE9">
      <w:pPr>
        <w:pStyle w:val="Corpsdetexte"/>
        <w:spacing w:line="360" w:lineRule="auto"/>
        <w:ind w:left="2124"/>
        <w:rPr>
          <w:rFonts w:ascii="Book Antiqua" w:hAnsi="Book Antiqua" w:cs="Arial"/>
          <w:sz w:val="22"/>
          <w:szCs w:val="22"/>
        </w:rPr>
      </w:pPr>
      <w:r w:rsidRPr="00BB68F4">
        <w:rPr>
          <w:rFonts w:ascii="Book Antiqua" w:hAnsi="Book Antiqua" w:cs="Arial"/>
          <w:sz w:val="22"/>
          <w:szCs w:val="22"/>
        </w:rPr>
        <w:t>Demandados</w:t>
      </w:r>
      <w:r w:rsidR="00455DE9" w:rsidRPr="00BB68F4">
        <w:rPr>
          <w:rFonts w:ascii="Book Antiqua" w:hAnsi="Book Antiqua" w:cs="Arial"/>
          <w:sz w:val="22"/>
          <w:szCs w:val="22"/>
        </w:rPr>
        <w:tab/>
      </w:r>
      <w:r w:rsidR="00455DE9" w:rsidRPr="00BB68F4">
        <w:rPr>
          <w:rFonts w:ascii="Book Antiqua" w:hAnsi="Book Antiqua" w:cs="Arial"/>
          <w:sz w:val="22"/>
          <w:szCs w:val="22"/>
        </w:rPr>
        <w:tab/>
        <w:t xml:space="preserve">: </w:t>
      </w:r>
      <w:r w:rsidRPr="00BB68F4">
        <w:rPr>
          <w:rFonts w:ascii="Book Antiqua" w:hAnsi="Book Antiqua" w:cs="Arial"/>
          <w:sz w:val="22"/>
          <w:szCs w:val="22"/>
        </w:rPr>
        <w:t>Edwin Parra Lopera y otros</w:t>
      </w:r>
    </w:p>
    <w:p w:rsidR="008B7145" w:rsidRPr="00BB68F4" w:rsidRDefault="008B7145" w:rsidP="00455DE9">
      <w:pPr>
        <w:spacing w:line="360" w:lineRule="auto"/>
        <w:ind w:left="2124"/>
        <w:rPr>
          <w:rFonts w:ascii="Book Antiqua" w:hAnsi="Book Antiqua" w:cs="Arial"/>
          <w:spacing w:val="-3"/>
          <w:sz w:val="22"/>
          <w:szCs w:val="22"/>
          <w:lang w:val="es-ES_tradnl"/>
        </w:rPr>
      </w:pPr>
      <w:r w:rsidRPr="00BB68F4">
        <w:rPr>
          <w:rFonts w:ascii="Book Antiqua" w:hAnsi="Book Antiqua" w:cs="Arial"/>
          <w:sz w:val="22"/>
          <w:szCs w:val="22"/>
        </w:rPr>
        <w:t>Procedencia</w:t>
      </w:r>
      <w:r w:rsidRPr="00BB68F4">
        <w:rPr>
          <w:rFonts w:ascii="Book Antiqua" w:hAnsi="Book Antiqua" w:cs="Arial"/>
          <w:sz w:val="22"/>
          <w:szCs w:val="22"/>
        </w:rPr>
        <w:tab/>
      </w:r>
      <w:r w:rsidRPr="00BB68F4">
        <w:rPr>
          <w:rFonts w:ascii="Book Antiqua" w:hAnsi="Book Antiqua" w:cs="Arial"/>
          <w:sz w:val="22"/>
          <w:szCs w:val="22"/>
        </w:rPr>
        <w:tab/>
        <w:t xml:space="preserve">: </w:t>
      </w:r>
      <w:r w:rsidRPr="00BB68F4">
        <w:rPr>
          <w:rFonts w:ascii="Book Antiqua" w:hAnsi="Book Antiqua" w:cs="Arial"/>
          <w:spacing w:val="-3"/>
          <w:sz w:val="22"/>
          <w:szCs w:val="22"/>
          <w:lang w:val="es-ES_tradnl"/>
        </w:rPr>
        <w:t xml:space="preserve">Juzgado </w:t>
      </w:r>
      <w:r w:rsidR="001A4CAA" w:rsidRPr="00BB68F4">
        <w:rPr>
          <w:rFonts w:ascii="Book Antiqua" w:hAnsi="Book Antiqua" w:cs="Arial"/>
          <w:spacing w:val="-3"/>
          <w:sz w:val="22"/>
          <w:szCs w:val="22"/>
          <w:lang w:val="es-ES_tradnl"/>
        </w:rPr>
        <w:t>Primero de Familia de Pereira</w:t>
      </w:r>
    </w:p>
    <w:p w:rsidR="00455DE9" w:rsidRPr="00BB68F4" w:rsidRDefault="007326D4" w:rsidP="00455DE9">
      <w:pPr>
        <w:spacing w:line="360" w:lineRule="auto"/>
        <w:ind w:left="2124"/>
        <w:rPr>
          <w:rFonts w:ascii="Book Antiqua" w:hAnsi="Book Antiqua" w:cs="Arial"/>
          <w:sz w:val="22"/>
          <w:szCs w:val="22"/>
        </w:rPr>
      </w:pPr>
      <w:r w:rsidRPr="00BB68F4">
        <w:rPr>
          <w:rFonts w:ascii="Book Antiqua" w:hAnsi="Book Antiqua" w:cs="Arial"/>
          <w:sz w:val="22"/>
          <w:szCs w:val="22"/>
        </w:rPr>
        <w:t>Radicación</w:t>
      </w:r>
      <w:r w:rsidRPr="00BB68F4">
        <w:rPr>
          <w:rFonts w:ascii="Book Antiqua" w:hAnsi="Book Antiqua" w:cs="Arial"/>
          <w:sz w:val="22"/>
          <w:szCs w:val="22"/>
        </w:rPr>
        <w:tab/>
      </w:r>
      <w:r w:rsidRPr="00BB68F4">
        <w:rPr>
          <w:rFonts w:ascii="Book Antiqua" w:hAnsi="Book Antiqua" w:cs="Arial"/>
          <w:sz w:val="22"/>
          <w:szCs w:val="22"/>
        </w:rPr>
        <w:tab/>
        <w:t>: 20</w:t>
      </w:r>
      <w:r w:rsidR="008B7145" w:rsidRPr="00BB68F4">
        <w:rPr>
          <w:rFonts w:ascii="Book Antiqua" w:hAnsi="Book Antiqua" w:cs="Arial"/>
          <w:sz w:val="22"/>
          <w:szCs w:val="22"/>
        </w:rPr>
        <w:t>1</w:t>
      </w:r>
      <w:r w:rsidR="001A4CAA" w:rsidRPr="00BB68F4">
        <w:rPr>
          <w:rFonts w:ascii="Book Antiqua" w:hAnsi="Book Antiqua" w:cs="Arial"/>
          <w:sz w:val="22"/>
          <w:szCs w:val="22"/>
        </w:rPr>
        <w:t>6</w:t>
      </w:r>
      <w:r w:rsidR="00455DE9" w:rsidRPr="00BB68F4">
        <w:rPr>
          <w:rFonts w:ascii="Book Antiqua" w:hAnsi="Book Antiqua" w:cs="Arial"/>
          <w:sz w:val="22"/>
          <w:szCs w:val="22"/>
        </w:rPr>
        <w:t>-00</w:t>
      </w:r>
      <w:r w:rsidR="001A4CAA" w:rsidRPr="00BB68F4">
        <w:rPr>
          <w:rFonts w:ascii="Book Antiqua" w:hAnsi="Book Antiqua" w:cs="Arial"/>
          <w:sz w:val="22"/>
          <w:szCs w:val="22"/>
        </w:rPr>
        <w:t>054</w:t>
      </w:r>
      <w:r w:rsidR="00B248EB" w:rsidRPr="00BB68F4">
        <w:rPr>
          <w:rFonts w:ascii="Book Antiqua" w:hAnsi="Book Antiqua" w:cs="Arial"/>
          <w:sz w:val="22"/>
          <w:szCs w:val="22"/>
        </w:rPr>
        <w:t>-</w:t>
      </w:r>
      <w:r w:rsidRPr="00BB68F4">
        <w:rPr>
          <w:rFonts w:ascii="Book Antiqua" w:hAnsi="Book Antiqua" w:cs="Arial"/>
          <w:sz w:val="22"/>
          <w:szCs w:val="22"/>
        </w:rPr>
        <w:t xml:space="preserve">01 </w:t>
      </w:r>
    </w:p>
    <w:p w:rsidR="007326D4" w:rsidRDefault="00455DE9" w:rsidP="007326D4">
      <w:pPr>
        <w:spacing w:line="360" w:lineRule="auto"/>
        <w:ind w:left="1416" w:firstLine="708"/>
        <w:rPr>
          <w:rFonts w:ascii="Book Antiqua" w:hAnsi="Book Antiqua"/>
          <w:smallCaps/>
          <w:sz w:val="22"/>
        </w:rPr>
      </w:pPr>
      <w:proofErr w:type="spellStart"/>
      <w:r w:rsidRPr="00BB68F4">
        <w:rPr>
          <w:rFonts w:ascii="Book Antiqua" w:hAnsi="Book Antiqua" w:cs="Arial"/>
          <w:sz w:val="22"/>
          <w:szCs w:val="22"/>
        </w:rPr>
        <w:t>Mag</w:t>
      </w:r>
      <w:proofErr w:type="spellEnd"/>
      <w:r w:rsidR="001E18FB" w:rsidRPr="00BB68F4">
        <w:rPr>
          <w:rFonts w:ascii="Book Antiqua" w:hAnsi="Book Antiqua" w:cs="Arial"/>
          <w:sz w:val="22"/>
          <w:szCs w:val="22"/>
        </w:rPr>
        <w:t>.</w:t>
      </w:r>
      <w:r w:rsidRPr="00BB68F4">
        <w:rPr>
          <w:rFonts w:ascii="Book Antiqua" w:hAnsi="Book Antiqua" w:cs="Arial"/>
          <w:sz w:val="22"/>
          <w:szCs w:val="22"/>
        </w:rPr>
        <w:t xml:space="preserve"> </w:t>
      </w:r>
      <w:r w:rsidR="001E18FB" w:rsidRPr="00BB68F4">
        <w:rPr>
          <w:rFonts w:ascii="Book Antiqua" w:hAnsi="Book Antiqua" w:cs="Arial"/>
          <w:sz w:val="22"/>
          <w:szCs w:val="22"/>
        </w:rPr>
        <w:t>Sustanciador</w:t>
      </w:r>
      <w:r w:rsidRPr="00BB68F4">
        <w:rPr>
          <w:rFonts w:ascii="Book Antiqua" w:hAnsi="Book Antiqua" w:cs="Arial"/>
          <w:sz w:val="22"/>
          <w:szCs w:val="22"/>
        </w:rPr>
        <w:tab/>
        <w:t xml:space="preserve">: </w:t>
      </w:r>
      <w:proofErr w:type="spellStart"/>
      <w:r w:rsidR="007326D4" w:rsidRPr="00BB68F4">
        <w:rPr>
          <w:rFonts w:ascii="Book Antiqua" w:hAnsi="Book Antiqua"/>
          <w:smallCaps/>
          <w:sz w:val="22"/>
        </w:rPr>
        <w:t>Duberney</w:t>
      </w:r>
      <w:proofErr w:type="spellEnd"/>
      <w:r w:rsidR="007326D4" w:rsidRPr="00BB68F4">
        <w:rPr>
          <w:rFonts w:ascii="Book Antiqua" w:hAnsi="Book Antiqua"/>
          <w:smallCaps/>
          <w:sz w:val="22"/>
        </w:rPr>
        <w:t xml:space="preserve"> Grisales Herrera</w:t>
      </w:r>
    </w:p>
    <w:p w:rsidR="00854173" w:rsidRDefault="00854173" w:rsidP="007326D4">
      <w:pPr>
        <w:spacing w:line="360" w:lineRule="auto"/>
        <w:ind w:left="1416" w:firstLine="708"/>
        <w:rPr>
          <w:rFonts w:ascii="Book Antiqua" w:hAnsi="Book Antiqua"/>
          <w:smallCaps/>
          <w:sz w:val="22"/>
        </w:rPr>
      </w:pPr>
    </w:p>
    <w:p w:rsidR="00854173" w:rsidRPr="00854173" w:rsidRDefault="00854173" w:rsidP="00854173">
      <w:pPr>
        <w:ind w:left="2124"/>
        <w:jc w:val="both"/>
        <w:rPr>
          <w:rFonts w:ascii="Book Antiqua" w:hAnsi="Book Antiqua" w:cs="Arial"/>
          <w:spacing w:val="-3"/>
          <w:sz w:val="22"/>
          <w:szCs w:val="22"/>
          <w:lang w:val="es-MX"/>
        </w:rPr>
      </w:pPr>
      <w:r w:rsidRPr="00854173">
        <w:rPr>
          <w:rFonts w:ascii="Book Antiqua" w:hAnsi="Book Antiqua" w:cs="Arial"/>
          <w:b/>
          <w:spacing w:val="-3"/>
          <w:sz w:val="22"/>
          <w:szCs w:val="22"/>
          <w:lang w:val="es-ES_tradnl"/>
        </w:rPr>
        <w:t>Tema</w:t>
      </w:r>
      <w:r w:rsidRPr="00854173">
        <w:rPr>
          <w:rFonts w:ascii="Book Antiqua" w:hAnsi="Book Antiqua" w:cs="Arial"/>
          <w:b/>
          <w:spacing w:val="-3"/>
          <w:sz w:val="22"/>
          <w:szCs w:val="22"/>
          <w:lang w:val="es-ES_tradnl"/>
        </w:rPr>
        <w:tab/>
      </w:r>
      <w:r w:rsidRPr="00854173">
        <w:rPr>
          <w:rFonts w:ascii="Book Antiqua" w:hAnsi="Book Antiqua" w:cs="Arial"/>
          <w:b/>
          <w:spacing w:val="-3"/>
          <w:sz w:val="22"/>
          <w:szCs w:val="22"/>
          <w:lang w:val="es-ES_tradnl"/>
        </w:rPr>
        <w:tab/>
      </w:r>
      <w:r w:rsidRPr="00854173">
        <w:rPr>
          <w:rFonts w:ascii="Book Antiqua" w:hAnsi="Book Antiqua" w:cs="Arial"/>
          <w:b/>
          <w:spacing w:val="-3"/>
          <w:sz w:val="22"/>
          <w:szCs w:val="22"/>
          <w:lang w:val="es-ES_tradnl"/>
        </w:rPr>
        <w:tab/>
        <w:t>: INDEBIDO EMPLAZAMIENTO</w:t>
      </w:r>
      <w:r>
        <w:rPr>
          <w:rFonts w:ascii="Book Antiqua" w:hAnsi="Book Antiqua" w:cs="Arial"/>
          <w:b/>
          <w:spacing w:val="-3"/>
          <w:sz w:val="22"/>
          <w:szCs w:val="22"/>
          <w:lang w:val="es-ES_tradnl"/>
        </w:rPr>
        <w:t>.</w:t>
      </w:r>
      <w:r w:rsidRPr="00854173">
        <w:rPr>
          <w:rFonts w:ascii="Book Antiqua" w:hAnsi="Book Antiqua" w:cs="Arial"/>
          <w:sz w:val="24"/>
          <w:szCs w:val="24"/>
          <w:lang w:val="es-MX"/>
        </w:rPr>
        <w:t xml:space="preserve"> </w:t>
      </w:r>
      <w:r w:rsidRPr="00854173">
        <w:rPr>
          <w:rFonts w:ascii="Book Antiqua" w:hAnsi="Book Antiqua" w:cs="Arial"/>
          <w:spacing w:val="-3"/>
          <w:sz w:val="22"/>
          <w:szCs w:val="22"/>
        </w:rPr>
        <w:t xml:space="preserve">[L]a actuación es irregular y encuadra en la causal del artículo 133-8º, ib., respecto a los </w:t>
      </w:r>
      <w:r w:rsidRPr="00854173">
        <w:rPr>
          <w:rFonts w:ascii="Book Antiqua" w:hAnsi="Book Antiqua" w:cs="Arial"/>
          <w:spacing w:val="-3"/>
          <w:sz w:val="22"/>
          <w:szCs w:val="22"/>
          <w:u w:val="single"/>
        </w:rPr>
        <w:t xml:space="preserve">herederos indeterminados del causante, y ello, por supuesto, invalida la comparecencia del curador </w:t>
      </w:r>
      <w:r w:rsidRPr="00854173">
        <w:rPr>
          <w:rFonts w:ascii="Book Antiqua" w:hAnsi="Book Antiqua" w:cs="Arial"/>
          <w:i/>
          <w:spacing w:val="-3"/>
          <w:sz w:val="22"/>
          <w:szCs w:val="22"/>
          <w:u w:val="single"/>
        </w:rPr>
        <w:t xml:space="preserve">ad </w:t>
      </w:r>
      <w:proofErr w:type="spellStart"/>
      <w:r w:rsidRPr="00854173">
        <w:rPr>
          <w:rFonts w:ascii="Book Antiqua" w:hAnsi="Book Antiqua" w:cs="Arial"/>
          <w:i/>
          <w:spacing w:val="-3"/>
          <w:sz w:val="22"/>
          <w:szCs w:val="22"/>
          <w:u w:val="single"/>
        </w:rPr>
        <w:t>litem</w:t>
      </w:r>
      <w:proofErr w:type="spellEnd"/>
      <w:r w:rsidRPr="00854173">
        <w:rPr>
          <w:rFonts w:ascii="Book Antiqua" w:hAnsi="Book Antiqua" w:cs="Arial"/>
          <w:spacing w:val="-3"/>
          <w:sz w:val="22"/>
          <w:szCs w:val="22"/>
          <w:u w:val="single"/>
        </w:rPr>
        <w:t xml:space="preserve"> que los representó</w:t>
      </w:r>
      <w:r w:rsidRPr="00854173">
        <w:rPr>
          <w:rFonts w:ascii="Book Antiqua" w:hAnsi="Book Antiqua" w:cs="Arial"/>
          <w:spacing w:val="-3"/>
          <w:sz w:val="22"/>
          <w:szCs w:val="22"/>
        </w:rPr>
        <w:t xml:space="preserve">. Los </w:t>
      </w:r>
      <w:r w:rsidRPr="00854173">
        <w:rPr>
          <w:rFonts w:ascii="Book Antiqua" w:hAnsi="Book Antiqua" w:cs="Arial"/>
          <w:spacing w:val="-3"/>
          <w:sz w:val="22"/>
          <w:szCs w:val="22"/>
          <w:lang w:val="es-MX"/>
        </w:rPr>
        <w:t xml:space="preserve">efectos de esta declaratoria afectan lo actuado a partir del auto de 19-07-2016, con relación a los </w:t>
      </w:r>
      <w:r w:rsidRPr="00854173">
        <w:rPr>
          <w:rFonts w:ascii="Book Antiqua" w:hAnsi="Book Antiqua" w:cs="Arial"/>
          <w:spacing w:val="-3"/>
          <w:sz w:val="22"/>
          <w:szCs w:val="22"/>
          <w:u w:val="single"/>
        </w:rPr>
        <w:t>herederos indeterminados</w:t>
      </w:r>
      <w:r w:rsidRPr="00854173">
        <w:rPr>
          <w:rFonts w:ascii="Book Antiqua" w:hAnsi="Book Antiqua" w:cs="Arial"/>
          <w:spacing w:val="-3"/>
          <w:sz w:val="22"/>
          <w:szCs w:val="22"/>
          <w:lang w:val="es-MX"/>
        </w:rPr>
        <w:t xml:space="preserve"> que entendió como válida la publicación allegada, ya que según lo expuesto, debió rechazarse. Sin embargo, conservarán vigor las notificaciones y actuaciones surtidas con relación a los codemandados </w:t>
      </w:r>
      <w:r w:rsidRPr="00854173">
        <w:rPr>
          <w:rFonts w:ascii="Book Antiqua" w:hAnsi="Book Antiqua" w:cs="Arial"/>
          <w:spacing w:val="-3"/>
          <w:sz w:val="22"/>
          <w:szCs w:val="22"/>
        </w:rPr>
        <w:t xml:space="preserve">Jaime Alonso, Luis Ovidio, </w:t>
      </w:r>
      <w:proofErr w:type="spellStart"/>
      <w:r w:rsidRPr="00854173">
        <w:rPr>
          <w:rFonts w:ascii="Book Antiqua" w:hAnsi="Book Antiqua" w:cs="Arial"/>
          <w:spacing w:val="-3"/>
          <w:sz w:val="22"/>
          <w:szCs w:val="22"/>
        </w:rPr>
        <w:t>Jhon</w:t>
      </w:r>
      <w:proofErr w:type="spellEnd"/>
      <w:r w:rsidRPr="00854173">
        <w:rPr>
          <w:rFonts w:ascii="Book Antiqua" w:hAnsi="Book Antiqua" w:cs="Arial"/>
          <w:spacing w:val="-3"/>
          <w:sz w:val="22"/>
          <w:szCs w:val="22"/>
        </w:rPr>
        <w:t xml:space="preserve"> William y Dolly Yaneth Parra Franco (Artículo 136-1º, </w:t>
      </w:r>
      <w:proofErr w:type="spellStart"/>
      <w:r w:rsidRPr="00854173">
        <w:rPr>
          <w:rFonts w:ascii="Book Antiqua" w:hAnsi="Book Antiqua" w:cs="Arial"/>
          <w:spacing w:val="-3"/>
          <w:sz w:val="22"/>
          <w:szCs w:val="22"/>
        </w:rPr>
        <w:t>CGP</w:t>
      </w:r>
      <w:proofErr w:type="spellEnd"/>
      <w:r w:rsidRPr="00854173">
        <w:rPr>
          <w:rFonts w:ascii="Book Antiqua" w:hAnsi="Book Antiqua" w:cs="Arial"/>
          <w:spacing w:val="-3"/>
          <w:sz w:val="22"/>
          <w:szCs w:val="22"/>
        </w:rPr>
        <w:t>)</w:t>
      </w:r>
      <w:r w:rsidRPr="00854173">
        <w:rPr>
          <w:rFonts w:ascii="Book Antiqua" w:hAnsi="Book Antiqua" w:cs="Arial"/>
          <w:spacing w:val="-3"/>
          <w:sz w:val="22"/>
          <w:szCs w:val="22"/>
          <w:lang w:val="es-MX"/>
        </w:rPr>
        <w:t>.</w:t>
      </w:r>
    </w:p>
    <w:p w:rsidR="00045CE3" w:rsidRPr="00BB68F4" w:rsidRDefault="00045CE3" w:rsidP="007326D4">
      <w:pPr>
        <w:pBdr>
          <w:bottom w:val="double" w:sz="6" w:space="1" w:color="auto"/>
        </w:pBdr>
        <w:spacing w:line="360" w:lineRule="auto"/>
        <w:rPr>
          <w:rFonts w:ascii="Book Antiqua" w:hAnsi="Book Antiqua" w:cs="Arial"/>
          <w:b/>
          <w:bCs/>
          <w:sz w:val="24"/>
          <w:szCs w:val="24"/>
        </w:rPr>
      </w:pPr>
    </w:p>
    <w:p w:rsidR="00045CE3" w:rsidRPr="00BB68F4" w:rsidRDefault="00045CE3" w:rsidP="00D1698E">
      <w:pPr>
        <w:spacing w:line="360" w:lineRule="auto"/>
        <w:jc w:val="center"/>
        <w:rPr>
          <w:rFonts w:ascii="Book Antiqua" w:hAnsi="Book Antiqua" w:cs="Arial"/>
          <w:b/>
          <w:bCs/>
          <w:szCs w:val="26"/>
        </w:rPr>
      </w:pPr>
    </w:p>
    <w:p w:rsidR="008B7145" w:rsidRPr="00BB68F4" w:rsidRDefault="004F08A0" w:rsidP="008B7145">
      <w:pPr>
        <w:spacing w:line="360" w:lineRule="auto"/>
        <w:jc w:val="center"/>
        <w:rPr>
          <w:rFonts w:ascii="Book Antiqua" w:hAnsi="Book Antiqua" w:cs="Arial"/>
          <w:smallCaps/>
          <w:sz w:val="28"/>
          <w:szCs w:val="24"/>
        </w:rPr>
      </w:pPr>
      <w:r>
        <w:rPr>
          <w:rFonts w:ascii="Book Antiqua" w:hAnsi="Book Antiqua" w:cs="Arial"/>
          <w:smallCaps/>
          <w:sz w:val="28"/>
          <w:szCs w:val="24"/>
        </w:rPr>
        <w:t xml:space="preserve">treinta </w:t>
      </w:r>
      <w:r w:rsidR="008B7145" w:rsidRPr="00BB68F4">
        <w:rPr>
          <w:rFonts w:ascii="Book Antiqua" w:hAnsi="Book Antiqua" w:cs="Arial"/>
          <w:smallCaps/>
          <w:sz w:val="28"/>
          <w:szCs w:val="24"/>
        </w:rPr>
        <w:t>(</w:t>
      </w:r>
      <w:r>
        <w:rPr>
          <w:rFonts w:ascii="Book Antiqua" w:hAnsi="Book Antiqua" w:cs="Arial"/>
          <w:smallCaps/>
          <w:sz w:val="28"/>
          <w:szCs w:val="24"/>
        </w:rPr>
        <w:t>30</w:t>
      </w:r>
      <w:r w:rsidR="008B7145" w:rsidRPr="00BB68F4">
        <w:rPr>
          <w:rFonts w:ascii="Book Antiqua" w:hAnsi="Book Antiqua" w:cs="Arial"/>
          <w:smallCaps/>
          <w:sz w:val="28"/>
          <w:szCs w:val="24"/>
        </w:rPr>
        <w:t xml:space="preserve">) de </w:t>
      </w:r>
      <w:r w:rsidR="00B248EB" w:rsidRPr="00BB68F4">
        <w:rPr>
          <w:rFonts w:ascii="Book Antiqua" w:hAnsi="Book Antiqua" w:cs="Arial"/>
          <w:smallCaps/>
          <w:sz w:val="28"/>
          <w:szCs w:val="24"/>
        </w:rPr>
        <w:t xml:space="preserve">mayo </w:t>
      </w:r>
      <w:r w:rsidR="008B7145" w:rsidRPr="00BB68F4">
        <w:rPr>
          <w:rFonts w:ascii="Book Antiqua" w:hAnsi="Book Antiqua" w:cs="Arial"/>
          <w:smallCaps/>
          <w:sz w:val="28"/>
          <w:szCs w:val="24"/>
        </w:rPr>
        <w:t xml:space="preserve">de dos mil </w:t>
      </w:r>
      <w:r w:rsidR="00683C42" w:rsidRPr="00BB68F4">
        <w:rPr>
          <w:rFonts w:ascii="Book Antiqua" w:hAnsi="Book Antiqua" w:cs="Arial"/>
          <w:smallCaps/>
          <w:sz w:val="28"/>
          <w:szCs w:val="24"/>
        </w:rPr>
        <w:t>diecis</w:t>
      </w:r>
      <w:r w:rsidR="00B248EB" w:rsidRPr="00BB68F4">
        <w:rPr>
          <w:rFonts w:ascii="Book Antiqua" w:hAnsi="Book Antiqua" w:cs="Arial"/>
          <w:smallCaps/>
          <w:sz w:val="28"/>
          <w:szCs w:val="24"/>
        </w:rPr>
        <w:t xml:space="preserve">iete </w:t>
      </w:r>
      <w:r w:rsidR="008B7145" w:rsidRPr="00BB68F4">
        <w:rPr>
          <w:rFonts w:ascii="Book Antiqua" w:hAnsi="Book Antiqua" w:cs="Arial"/>
          <w:smallCaps/>
          <w:sz w:val="28"/>
          <w:szCs w:val="24"/>
        </w:rPr>
        <w:t>(201</w:t>
      </w:r>
      <w:r w:rsidR="00B248EB" w:rsidRPr="00BB68F4">
        <w:rPr>
          <w:rFonts w:ascii="Book Antiqua" w:hAnsi="Book Antiqua" w:cs="Arial"/>
          <w:smallCaps/>
          <w:sz w:val="28"/>
          <w:szCs w:val="24"/>
        </w:rPr>
        <w:t>7</w:t>
      </w:r>
      <w:r w:rsidR="008B7145" w:rsidRPr="00BB68F4">
        <w:rPr>
          <w:rFonts w:ascii="Book Antiqua" w:hAnsi="Book Antiqua" w:cs="Arial"/>
          <w:smallCaps/>
          <w:sz w:val="28"/>
          <w:szCs w:val="24"/>
        </w:rPr>
        <w:t>).</w:t>
      </w:r>
    </w:p>
    <w:p w:rsidR="00AC7745" w:rsidRPr="00BB68F4" w:rsidRDefault="00AC7745" w:rsidP="008B7145">
      <w:pPr>
        <w:pStyle w:val="Titre"/>
        <w:spacing w:line="360" w:lineRule="auto"/>
        <w:rPr>
          <w:rFonts w:ascii="Book Antiqua" w:hAnsi="Book Antiqua" w:cs="Arial"/>
          <w:b w:val="0"/>
          <w:i w:val="0"/>
          <w:spacing w:val="-3"/>
          <w:szCs w:val="22"/>
        </w:rPr>
      </w:pPr>
    </w:p>
    <w:p w:rsidR="008872A2" w:rsidRPr="00BB68F4" w:rsidRDefault="00350C7A" w:rsidP="008872A2">
      <w:pPr>
        <w:pStyle w:val="Titre"/>
        <w:numPr>
          <w:ilvl w:val="0"/>
          <w:numId w:val="1"/>
        </w:numPr>
        <w:spacing w:line="360" w:lineRule="auto"/>
        <w:jc w:val="left"/>
        <w:rPr>
          <w:rFonts w:ascii="Book Antiqua" w:hAnsi="Book Antiqua" w:cs="Arial"/>
          <w:b w:val="0"/>
          <w:i w:val="0"/>
          <w:smallCaps/>
          <w:spacing w:val="-3"/>
          <w:sz w:val="26"/>
          <w:szCs w:val="24"/>
          <w:lang w:val="es-ES_tradnl"/>
        </w:rPr>
      </w:pPr>
      <w:r w:rsidRPr="00BB68F4">
        <w:rPr>
          <w:rFonts w:ascii="Book Antiqua" w:hAnsi="Book Antiqua" w:cs="Arial"/>
          <w:b w:val="0"/>
          <w:i w:val="0"/>
          <w:smallCaps/>
          <w:sz w:val="26"/>
          <w:szCs w:val="24"/>
        </w:rPr>
        <w:t>el asunto por decidir</w:t>
      </w:r>
    </w:p>
    <w:p w:rsidR="008872A2" w:rsidRPr="00BB68F4" w:rsidRDefault="008872A2" w:rsidP="008872A2">
      <w:pPr>
        <w:pStyle w:val="Titre"/>
        <w:spacing w:line="360" w:lineRule="auto"/>
        <w:jc w:val="left"/>
        <w:rPr>
          <w:rFonts w:ascii="Book Antiqua" w:hAnsi="Book Antiqua" w:cs="Arial"/>
          <w:b w:val="0"/>
          <w:i w:val="0"/>
          <w:spacing w:val="-3"/>
          <w:szCs w:val="24"/>
          <w:lang w:val="es-ES_tradnl"/>
        </w:rPr>
      </w:pPr>
    </w:p>
    <w:p w:rsidR="008872A2" w:rsidRPr="00BB68F4" w:rsidRDefault="00737026" w:rsidP="008872A2">
      <w:pPr>
        <w:spacing w:line="360" w:lineRule="auto"/>
        <w:jc w:val="both"/>
        <w:rPr>
          <w:rFonts w:ascii="Book Antiqua" w:hAnsi="Book Antiqua" w:cs="Arial"/>
          <w:sz w:val="24"/>
          <w:szCs w:val="24"/>
        </w:rPr>
      </w:pPr>
      <w:r w:rsidRPr="00BB68F4">
        <w:rPr>
          <w:rFonts w:ascii="Book Antiqua" w:hAnsi="Book Antiqua" w:cs="Arial"/>
          <w:spacing w:val="-3"/>
          <w:sz w:val="24"/>
          <w:szCs w:val="24"/>
        </w:rPr>
        <w:t>Previo a la decisión de fondo, debe resolver</w:t>
      </w:r>
      <w:r w:rsidR="00AF321C" w:rsidRPr="00BB68F4">
        <w:rPr>
          <w:rFonts w:ascii="Book Antiqua" w:hAnsi="Book Antiqua" w:cs="Arial"/>
          <w:spacing w:val="-3"/>
          <w:sz w:val="24"/>
          <w:szCs w:val="24"/>
        </w:rPr>
        <w:t>se</w:t>
      </w:r>
      <w:r w:rsidRPr="00BB68F4">
        <w:rPr>
          <w:rFonts w:ascii="Book Antiqua" w:hAnsi="Book Antiqua" w:cs="Arial"/>
          <w:spacing w:val="-3"/>
          <w:sz w:val="24"/>
          <w:szCs w:val="24"/>
        </w:rPr>
        <w:t xml:space="preserve"> sobre la </w:t>
      </w:r>
      <w:r w:rsidR="00C903AF" w:rsidRPr="00BB68F4">
        <w:rPr>
          <w:rFonts w:ascii="Book Antiqua" w:hAnsi="Book Antiqua" w:cs="Arial"/>
          <w:spacing w:val="-3"/>
          <w:sz w:val="24"/>
          <w:szCs w:val="24"/>
        </w:rPr>
        <w:t xml:space="preserve">nulidad </w:t>
      </w:r>
      <w:r w:rsidR="003458B9" w:rsidRPr="00BB68F4">
        <w:rPr>
          <w:rFonts w:ascii="Book Antiqua" w:hAnsi="Book Antiqua" w:cs="Arial"/>
          <w:spacing w:val="-3"/>
          <w:sz w:val="24"/>
          <w:szCs w:val="24"/>
        </w:rPr>
        <w:t xml:space="preserve">que advierte </w:t>
      </w:r>
      <w:r w:rsidR="008872A2" w:rsidRPr="00BB68F4">
        <w:rPr>
          <w:rFonts w:ascii="Book Antiqua" w:hAnsi="Book Antiqua" w:cs="Arial"/>
          <w:spacing w:val="-3"/>
          <w:sz w:val="24"/>
          <w:szCs w:val="24"/>
        </w:rPr>
        <w:t xml:space="preserve">esta </w:t>
      </w:r>
      <w:r w:rsidR="00683C42" w:rsidRPr="00BB68F4">
        <w:rPr>
          <w:rFonts w:ascii="Book Antiqua" w:hAnsi="Book Antiqua" w:cs="Arial"/>
          <w:spacing w:val="-3"/>
          <w:sz w:val="24"/>
          <w:szCs w:val="24"/>
        </w:rPr>
        <w:t>Sala</w:t>
      </w:r>
      <w:r w:rsidR="003458B9" w:rsidRPr="00BB68F4">
        <w:rPr>
          <w:rFonts w:ascii="Book Antiqua" w:hAnsi="Book Antiqua" w:cs="Arial"/>
          <w:spacing w:val="-3"/>
          <w:sz w:val="24"/>
          <w:szCs w:val="24"/>
        </w:rPr>
        <w:t>,</w:t>
      </w:r>
      <w:r w:rsidR="008872A2" w:rsidRPr="00BB68F4">
        <w:rPr>
          <w:rFonts w:ascii="Book Antiqua" w:hAnsi="Book Antiqua" w:cs="Arial"/>
          <w:spacing w:val="-3"/>
          <w:sz w:val="24"/>
          <w:szCs w:val="24"/>
        </w:rPr>
        <w:t xml:space="preserve"> </w:t>
      </w:r>
      <w:r w:rsidRPr="00BB68F4">
        <w:rPr>
          <w:rFonts w:ascii="Book Antiqua" w:hAnsi="Book Antiqua" w:cs="Arial"/>
          <w:spacing w:val="-3"/>
          <w:sz w:val="24"/>
          <w:szCs w:val="24"/>
        </w:rPr>
        <w:t xml:space="preserve">en el </w:t>
      </w:r>
      <w:r w:rsidR="000D1C67" w:rsidRPr="00BB68F4">
        <w:rPr>
          <w:rFonts w:ascii="Book Antiqua" w:hAnsi="Book Antiqua" w:cs="Arial"/>
          <w:spacing w:val="-3"/>
          <w:sz w:val="24"/>
          <w:szCs w:val="24"/>
        </w:rPr>
        <w:t xml:space="preserve">curso del </w:t>
      </w:r>
      <w:r w:rsidR="000F1B66" w:rsidRPr="00BB68F4">
        <w:rPr>
          <w:rFonts w:ascii="Book Antiqua" w:hAnsi="Book Antiqua" w:cs="Arial"/>
          <w:spacing w:val="-3"/>
          <w:sz w:val="24"/>
          <w:szCs w:val="24"/>
        </w:rPr>
        <w:t>proceso</w:t>
      </w:r>
      <w:r w:rsidR="000D1C67" w:rsidRPr="00BB68F4">
        <w:rPr>
          <w:rFonts w:ascii="Book Antiqua" w:hAnsi="Book Antiqua" w:cs="Arial"/>
          <w:spacing w:val="-3"/>
          <w:sz w:val="24"/>
          <w:szCs w:val="24"/>
        </w:rPr>
        <w:t xml:space="preserve"> de la referencia</w:t>
      </w:r>
      <w:r w:rsidR="008872A2" w:rsidRPr="00BB68F4">
        <w:rPr>
          <w:rFonts w:ascii="Book Antiqua" w:hAnsi="Book Antiqua" w:cs="Arial"/>
          <w:spacing w:val="-3"/>
          <w:sz w:val="24"/>
          <w:szCs w:val="24"/>
        </w:rPr>
        <w:t>, al tenor de las consideraciones que siguen.</w:t>
      </w:r>
    </w:p>
    <w:p w:rsidR="00AC7745" w:rsidRPr="00BB68F4" w:rsidRDefault="00AC7745" w:rsidP="008872A2">
      <w:pPr>
        <w:spacing w:line="360" w:lineRule="auto"/>
        <w:jc w:val="both"/>
        <w:rPr>
          <w:rFonts w:ascii="Book Antiqua" w:hAnsi="Book Antiqua" w:cs="Arial"/>
          <w:sz w:val="24"/>
          <w:szCs w:val="22"/>
        </w:rPr>
      </w:pPr>
    </w:p>
    <w:p w:rsidR="008872A2" w:rsidRPr="00BB68F4" w:rsidRDefault="00350C7A" w:rsidP="008872A2">
      <w:pPr>
        <w:numPr>
          <w:ilvl w:val="0"/>
          <w:numId w:val="1"/>
        </w:numPr>
        <w:spacing w:line="360" w:lineRule="auto"/>
        <w:jc w:val="both"/>
        <w:rPr>
          <w:rFonts w:ascii="Book Antiqua" w:hAnsi="Book Antiqua" w:cs="Arial"/>
          <w:smallCaps/>
          <w:sz w:val="26"/>
          <w:szCs w:val="24"/>
        </w:rPr>
      </w:pPr>
      <w:r w:rsidRPr="00BB68F4">
        <w:rPr>
          <w:rFonts w:ascii="Book Antiqua" w:hAnsi="Book Antiqua" w:cs="Arial"/>
          <w:smallCaps/>
          <w:sz w:val="26"/>
          <w:szCs w:val="24"/>
        </w:rPr>
        <w:t>la síntesis de la crónica procesal</w:t>
      </w:r>
    </w:p>
    <w:p w:rsidR="00607310" w:rsidRPr="00BB68F4" w:rsidRDefault="00607310" w:rsidP="00607310">
      <w:pPr>
        <w:spacing w:line="360" w:lineRule="auto"/>
        <w:jc w:val="both"/>
        <w:rPr>
          <w:rFonts w:ascii="Book Antiqua" w:hAnsi="Book Antiqua" w:cs="Arial"/>
          <w:sz w:val="24"/>
          <w:szCs w:val="24"/>
        </w:rPr>
      </w:pPr>
    </w:p>
    <w:p w:rsidR="00E3677F" w:rsidRPr="00BB68F4" w:rsidRDefault="00607310" w:rsidP="00607310">
      <w:pPr>
        <w:spacing w:line="360" w:lineRule="auto"/>
        <w:jc w:val="both"/>
        <w:rPr>
          <w:rFonts w:ascii="Book Antiqua" w:hAnsi="Book Antiqua" w:cs="Arial"/>
          <w:sz w:val="24"/>
          <w:szCs w:val="24"/>
        </w:rPr>
      </w:pPr>
      <w:r w:rsidRPr="00BB68F4">
        <w:rPr>
          <w:rFonts w:ascii="Book Antiqua" w:hAnsi="Book Antiqua" w:cs="Arial"/>
          <w:sz w:val="24"/>
          <w:szCs w:val="24"/>
        </w:rPr>
        <w:t>La demanda fue</w:t>
      </w:r>
      <w:r w:rsidR="000D1C67" w:rsidRPr="00BB68F4">
        <w:rPr>
          <w:rFonts w:ascii="Book Antiqua" w:hAnsi="Book Antiqua" w:cs="Arial"/>
          <w:sz w:val="24"/>
          <w:szCs w:val="24"/>
        </w:rPr>
        <w:t xml:space="preserve"> </w:t>
      </w:r>
      <w:r w:rsidR="00B248EB" w:rsidRPr="00BB68F4">
        <w:rPr>
          <w:rFonts w:ascii="Book Antiqua" w:hAnsi="Book Antiqua" w:cs="Arial"/>
          <w:sz w:val="24"/>
          <w:szCs w:val="24"/>
        </w:rPr>
        <w:t>repartida a</w:t>
      </w:r>
      <w:r w:rsidR="000D1C67" w:rsidRPr="00BB68F4">
        <w:rPr>
          <w:rFonts w:ascii="Book Antiqua" w:hAnsi="Book Antiqua" w:cs="Arial"/>
          <w:sz w:val="24"/>
          <w:szCs w:val="24"/>
        </w:rPr>
        <w:t xml:space="preserve">l </w:t>
      </w:r>
      <w:r w:rsidR="00E3677F" w:rsidRPr="00BB68F4">
        <w:rPr>
          <w:rFonts w:ascii="Book Antiqua" w:hAnsi="Book Antiqua" w:cs="Arial"/>
          <w:sz w:val="24"/>
          <w:szCs w:val="24"/>
        </w:rPr>
        <w:t xml:space="preserve">Juzgado </w:t>
      </w:r>
      <w:r w:rsidR="001A4CAA" w:rsidRPr="00BB68F4">
        <w:rPr>
          <w:rFonts w:ascii="Book Antiqua" w:hAnsi="Book Antiqua" w:cs="Arial"/>
          <w:sz w:val="24"/>
          <w:szCs w:val="24"/>
        </w:rPr>
        <w:t xml:space="preserve">Primero de Familia de </w:t>
      </w:r>
      <w:r w:rsidR="00E3677F" w:rsidRPr="00BB68F4">
        <w:rPr>
          <w:rFonts w:ascii="Book Antiqua" w:hAnsi="Book Antiqua" w:cs="Arial"/>
          <w:sz w:val="24"/>
          <w:szCs w:val="24"/>
        </w:rPr>
        <w:t>Pereira</w:t>
      </w:r>
      <w:r w:rsidR="002F4DF5" w:rsidRPr="00BB68F4">
        <w:rPr>
          <w:rFonts w:ascii="Book Antiqua" w:hAnsi="Book Antiqua" w:cs="Arial"/>
          <w:sz w:val="24"/>
          <w:szCs w:val="24"/>
        </w:rPr>
        <w:t>,</w:t>
      </w:r>
      <w:r w:rsidR="000D1C67" w:rsidRPr="00BB68F4">
        <w:rPr>
          <w:rFonts w:ascii="Book Antiqua" w:hAnsi="Book Antiqua" w:cs="Arial"/>
          <w:sz w:val="24"/>
          <w:szCs w:val="24"/>
        </w:rPr>
        <w:t xml:space="preserve"> </w:t>
      </w:r>
      <w:r w:rsidRPr="00BB68F4">
        <w:rPr>
          <w:rFonts w:ascii="Book Antiqua" w:hAnsi="Book Antiqua" w:cs="Arial"/>
          <w:sz w:val="24"/>
          <w:szCs w:val="24"/>
        </w:rPr>
        <w:t xml:space="preserve">que </w:t>
      </w:r>
      <w:r w:rsidR="00B41CDB" w:rsidRPr="00BB68F4">
        <w:rPr>
          <w:rFonts w:ascii="Book Antiqua" w:hAnsi="Book Antiqua" w:cs="Arial"/>
          <w:sz w:val="24"/>
          <w:szCs w:val="24"/>
        </w:rPr>
        <w:t>previo</w:t>
      </w:r>
      <w:r w:rsidR="00866D6C" w:rsidRPr="00BB68F4">
        <w:rPr>
          <w:rFonts w:ascii="Book Antiqua" w:hAnsi="Book Antiqua" w:cs="Arial"/>
          <w:sz w:val="24"/>
          <w:szCs w:val="24"/>
        </w:rPr>
        <w:t>s</w:t>
      </w:r>
      <w:r w:rsidR="001A4CAA" w:rsidRPr="00BB68F4">
        <w:rPr>
          <w:rFonts w:ascii="Book Antiqua" w:hAnsi="Book Antiqua" w:cs="Arial"/>
          <w:sz w:val="24"/>
          <w:szCs w:val="24"/>
        </w:rPr>
        <w:t xml:space="preserve"> inadmisión (Auto 05-02-2016, folio 21, cuaderno de primera instancia) </w:t>
      </w:r>
      <w:r w:rsidR="00866D6C" w:rsidRPr="00BB68F4">
        <w:rPr>
          <w:rFonts w:ascii="Book Antiqua" w:hAnsi="Book Antiqua" w:cs="Arial"/>
          <w:sz w:val="24"/>
          <w:szCs w:val="24"/>
        </w:rPr>
        <w:t xml:space="preserve">y requerimiento (Auto 17-02-2016, folios 28 y 29, cuaderno de primera instancia), la admitió </w:t>
      </w:r>
      <w:r w:rsidR="00B248EB" w:rsidRPr="00BB68F4">
        <w:rPr>
          <w:rFonts w:ascii="Book Antiqua" w:hAnsi="Book Antiqua" w:cs="Arial"/>
          <w:sz w:val="24"/>
          <w:szCs w:val="24"/>
        </w:rPr>
        <w:t xml:space="preserve">con proveído </w:t>
      </w:r>
      <w:r w:rsidR="00B248EB" w:rsidRPr="00BB68F4">
        <w:rPr>
          <w:rFonts w:ascii="Book Antiqua" w:hAnsi="Book Antiqua" w:cs="Arial"/>
          <w:sz w:val="24"/>
          <w:szCs w:val="24"/>
        </w:rPr>
        <w:lastRenderedPageBreak/>
        <w:t xml:space="preserve">del </w:t>
      </w:r>
      <w:r w:rsidR="00866D6C" w:rsidRPr="00BB68F4">
        <w:rPr>
          <w:rFonts w:ascii="Book Antiqua" w:hAnsi="Book Antiqua" w:cs="Arial"/>
          <w:sz w:val="24"/>
          <w:szCs w:val="24"/>
        </w:rPr>
        <w:t>03-03</w:t>
      </w:r>
      <w:r w:rsidR="00B248EB" w:rsidRPr="00BB68F4">
        <w:rPr>
          <w:rFonts w:ascii="Book Antiqua" w:hAnsi="Book Antiqua" w:cs="Arial"/>
          <w:sz w:val="24"/>
          <w:szCs w:val="24"/>
        </w:rPr>
        <w:t>-201</w:t>
      </w:r>
      <w:r w:rsidR="00866D6C" w:rsidRPr="00BB68F4">
        <w:rPr>
          <w:rFonts w:ascii="Book Antiqua" w:hAnsi="Book Antiqua" w:cs="Arial"/>
          <w:sz w:val="24"/>
          <w:szCs w:val="24"/>
        </w:rPr>
        <w:t>6,</w:t>
      </w:r>
      <w:r w:rsidR="00B248EB" w:rsidRPr="00BB68F4">
        <w:rPr>
          <w:rFonts w:ascii="Book Antiqua" w:hAnsi="Book Antiqua" w:cs="Arial"/>
          <w:sz w:val="24"/>
          <w:szCs w:val="24"/>
        </w:rPr>
        <w:t xml:space="preserve"> </w:t>
      </w:r>
      <w:r w:rsidRPr="00BB68F4">
        <w:rPr>
          <w:rFonts w:ascii="Book Antiqua" w:hAnsi="Book Antiqua" w:cs="Arial"/>
          <w:sz w:val="24"/>
          <w:szCs w:val="24"/>
        </w:rPr>
        <w:t xml:space="preserve">ordenó </w:t>
      </w:r>
      <w:r w:rsidR="00E3677F" w:rsidRPr="00BB68F4">
        <w:rPr>
          <w:rFonts w:ascii="Book Antiqua" w:hAnsi="Book Antiqua" w:cs="Arial"/>
          <w:sz w:val="24"/>
          <w:szCs w:val="24"/>
        </w:rPr>
        <w:t>notificar</w:t>
      </w:r>
      <w:r w:rsidR="00B248EB" w:rsidRPr="00BB68F4">
        <w:rPr>
          <w:rFonts w:ascii="Book Antiqua" w:hAnsi="Book Antiqua" w:cs="Arial"/>
          <w:sz w:val="24"/>
          <w:szCs w:val="24"/>
        </w:rPr>
        <w:t xml:space="preserve">, </w:t>
      </w:r>
      <w:r w:rsidR="00866D6C" w:rsidRPr="00BB68F4">
        <w:rPr>
          <w:rFonts w:ascii="Book Antiqua" w:hAnsi="Book Antiqua" w:cs="Arial"/>
          <w:sz w:val="24"/>
          <w:szCs w:val="24"/>
        </w:rPr>
        <w:t>correr traslado y empl</w:t>
      </w:r>
      <w:r w:rsidR="005F469F" w:rsidRPr="00BB68F4">
        <w:rPr>
          <w:rFonts w:ascii="Book Antiqua" w:hAnsi="Book Antiqua" w:cs="Arial"/>
          <w:sz w:val="24"/>
          <w:szCs w:val="24"/>
        </w:rPr>
        <w:t>azar a algunos de los herederos determinados e indeterminados del causante</w:t>
      </w:r>
      <w:r w:rsidR="00866D6C" w:rsidRPr="00BB68F4">
        <w:rPr>
          <w:rFonts w:ascii="Book Antiqua" w:hAnsi="Book Antiqua" w:cs="Arial"/>
          <w:sz w:val="24"/>
          <w:szCs w:val="24"/>
        </w:rPr>
        <w:t xml:space="preserve">, </w:t>
      </w:r>
      <w:r w:rsidR="00B248EB" w:rsidRPr="00BB68F4">
        <w:rPr>
          <w:rFonts w:ascii="Book Antiqua" w:hAnsi="Book Antiqua" w:cs="Arial"/>
          <w:sz w:val="24"/>
          <w:szCs w:val="24"/>
        </w:rPr>
        <w:t>entre otra</w:t>
      </w:r>
      <w:r w:rsidRPr="00BB68F4">
        <w:rPr>
          <w:rFonts w:ascii="Book Antiqua" w:hAnsi="Book Antiqua" w:cs="Arial"/>
          <w:sz w:val="24"/>
          <w:szCs w:val="24"/>
        </w:rPr>
        <w:t>s</w:t>
      </w:r>
      <w:r w:rsidR="000D1C67" w:rsidRPr="00BB68F4">
        <w:rPr>
          <w:rFonts w:ascii="Book Antiqua" w:hAnsi="Book Antiqua" w:cs="Arial"/>
          <w:sz w:val="24"/>
          <w:szCs w:val="24"/>
        </w:rPr>
        <w:t xml:space="preserve"> </w:t>
      </w:r>
      <w:r w:rsidR="00B248EB" w:rsidRPr="00BB68F4">
        <w:rPr>
          <w:rFonts w:ascii="Book Antiqua" w:hAnsi="Book Antiqua" w:cs="Arial"/>
          <w:sz w:val="24"/>
          <w:szCs w:val="24"/>
        </w:rPr>
        <w:t>disposiciones (Folio</w:t>
      </w:r>
      <w:r w:rsidR="00B41CDB" w:rsidRPr="00BB68F4">
        <w:rPr>
          <w:rFonts w:ascii="Book Antiqua" w:hAnsi="Book Antiqua" w:cs="Arial"/>
          <w:sz w:val="24"/>
          <w:szCs w:val="24"/>
        </w:rPr>
        <w:t xml:space="preserve"> </w:t>
      </w:r>
      <w:r w:rsidR="00866D6C" w:rsidRPr="00BB68F4">
        <w:rPr>
          <w:rFonts w:ascii="Book Antiqua" w:hAnsi="Book Antiqua" w:cs="Arial"/>
          <w:sz w:val="24"/>
          <w:szCs w:val="24"/>
        </w:rPr>
        <w:t>37</w:t>
      </w:r>
      <w:r w:rsidR="00B248EB" w:rsidRPr="00BB68F4">
        <w:rPr>
          <w:rFonts w:ascii="Book Antiqua" w:hAnsi="Book Antiqua" w:cs="Arial"/>
          <w:sz w:val="24"/>
          <w:szCs w:val="24"/>
        </w:rPr>
        <w:t xml:space="preserve">, cuaderno </w:t>
      </w:r>
      <w:r w:rsidR="00866D6C" w:rsidRPr="00BB68F4">
        <w:rPr>
          <w:rFonts w:ascii="Book Antiqua" w:hAnsi="Book Antiqua" w:cs="Arial"/>
          <w:sz w:val="24"/>
          <w:szCs w:val="24"/>
        </w:rPr>
        <w:t>de primera instancia</w:t>
      </w:r>
      <w:r w:rsidRPr="00BB68F4">
        <w:rPr>
          <w:rFonts w:ascii="Book Antiqua" w:hAnsi="Book Antiqua" w:cs="Arial"/>
          <w:sz w:val="24"/>
          <w:szCs w:val="24"/>
        </w:rPr>
        <w:t>).</w:t>
      </w:r>
      <w:r w:rsidR="00B25249" w:rsidRPr="00BB68F4">
        <w:rPr>
          <w:rFonts w:ascii="Book Antiqua" w:hAnsi="Book Antiqua" w:cs="Arial"/>
          <w:sz w:val="24"/>
          <w:szCs w:val="24"/>
        </w:rPr>
        <w:t xml:space="preserve"> </w:t>
      </w:r>
    </w:p>
    <w:p w:rsidR="00E3677F" w:rsidRPr="00BB68F4" w:rsidRDefault="00E3677F" w:rsidP="00607310">
      <w:pPr>
        <w:spacing w:line="360" w:lineRule="auto"/>
        <w:jc w:val="both"/>
        <w:rPr>
          <w:rFonts w:ascii="Book Antiqua" w:hAnsi="Book Antiqua" w:cs="Arial"/>
          <w:sz w:val="24"/>
          <w:szCs w:val="24"/>
        </w:rPr>
      </w:pPr>
    </w:p>
    <w:p w:rsidR="00866D6C" w:rsidRPr="00BB68F4" w:rsidRDefault="00866D6C" w:rsidP="00ED2A1B">
      <w:pPr>
        <w:spacing w:line="360" w:lineRule="auto"/>
        <w:jc w:val="both"/>
        <w:rPr>
          <w:rFonts w:ascii="Book Antiqua" w:hAnsi="Book Antiqua" w:cs="Arial"/>
          <w:sz w:val="24"/>
          <w:szCs w:val="24"/>
        </w:rPr>
      </w:pPr>
      <w:r w:rsidRPr="00BB68F4">
        <w:rPr>
          <w:rFonts w:ascii="Book Antiqua" w:hAnsi="Book Antiqua" w:cs="Arial"/>
          <w:sz w:val="24"/>
          <w:szCs w:val="24"/>
        </w:rPr>
        <w:t xml:space="preserve">Con providencia del 17-03-2016 se </w:t>
      </w:r>
      <w:r w:rsidR="00B41CDB" w:rsidRPr="00BB68F4">
        <w:rPr>
          <w:rFonts w:ascii="Book Antiqua" w:hAnsi="Book Antiqua" w:cs="Arial"/>
          <w:sz w:val="24"/>
          <w:szCs w:val="24"/>
        </w:rPr>
        <w:t xml:space="preserve">admitió la reforma a la demanda y se </w:t>
      </w:r>
      <w:r w:rsidRPr="00BB68F4">
        <w:rPr>
          <w:rFonts w:ascii="Book Antiqua" w:hAnsi="Book Antiqua" w:cs="Arial"/>
          <w:sz w:val="24"/>
          <w:szCs w:val="24"/>
        </w:rPr>
        <w:t>ordenó el emplazamiento de otro codemandado</w:t>
      </w:r>
      <w:r w:rsidR="00B248EB" w:rsidRPr="00BB68F4">
        <w:rPr>
          <w:rFonts w:ascii="Book Antiqua" w:hAnsi="Book Antiqua" w:cs="Arial"/>
          <w:sz w:val="24"/>
          <w:szCs w:val="24"/>
        </w:rPr>
        <w:t xml:space="preserve"> (Folio </w:t>
      </w:r>
      <w:r w:rsidRPr="00BB68F4">
        <w:rPr>
          <w:rFonts w:ascii="Book Antiqua" w:hAnsi="Book Antiqua" w:cs="Arial"/>
          <w:sz w:val="24"/>
          <w:szCs w:val="24"/>
        </w:rPr>
        <w:t>50</w:t>
      </w:r>
      <w:r w:rsidR="00B248EB" w:rsidRPr="00BB68F4">
        <w:rPr>
          <w:rFonts w:ascii="Book Antiqua" w:hAnsi="Book Antiqua" w:cs="Arial"/>
          <w:sz w:val="24"/>
          <w:szCs w:val="24"/>
        </w:rPr>
        <w:t>,</w:t>
      </w:r>
      <w:r w:rsidRPr="00BB68F4">
        <w:rPr>
          <w:rFonts w:ascii="Book Antiqua" w:hAnsi="Book Antiqua" w:cs="Arial"/>
          <w:sz w:val="24"/>
          <w:szCs w:val="24"/>
        </w:rPr>
        <w:t xml:space="preserve"> ibídem</w:t>
      </w:r>
      <w:r w:rsidR="00B248EB" w:rsidRPr="00BB68F4">
        <w:rPr>
          <w:rFonts w:ascii="Book Antiqua" w:hAnsi="Book Antiqua" w:cs="Arial"/>
          <w:sz w:val="24"/>
          <w:szCs w:val="24"/>
        </w:rPr>
        <w:t>)</w:t>
      </w:r>
      <w:r w:rsidRPr="00BB68F4">
        <w:rPr>
          <w:rFonts w:ascii="Book Antiqua" w:hAnsi="Book Antiqua" w:cs="Arial"/>
          <w:sz w:val="24"/>
          <w:szCs w:val="24"/>
        </w:rPr>
        <w:t xml:space="preserve">. </w:t>
      </w:r>
      <w:r w:rsidR="006B6A86" w:rsidRPr="00BB68F4">
        <w:rPr>
          <w:rFonts w:ascii="Book Antiqua" w:hAnsi="Book Antiqua" w:cs="Arial"/>
          <w:sz w:val="24"/>
          <w:szCs w:val="24"/>
        </w:rPr>
        <w:t>El emplazamiento se publicó en medio de comunicación</w:t>
      </w:r>
      <w:r w:rsidR="00ED2A1B" w:rsidRPr="00BB68F4">
        <w:rPr>
          <w:rFonts w:ascii="Book Antiqua" w:hAnsi="Book Antiqua" w:cs="Arial"/>
          <w:sz w:val="24"/>
          <w:szCs w:val="24"/>
        </w:rPr>
        <w:t xml:space="preserve"> y </w:t>
      </w:r>
      <w:r w:rsidR="006B6A86" w:rsidRPr="00BB68F4">
        <w:rPr>
          <w:rFonts w:ascii="Book Antiqua" w:hAnsi="Book Antiqua" w:cs="Arial"/>
          <w:sz w:val="24"/>
          <w:szCs w:val="24"/>
        </w:rPr>
        <w:t xml:space="preserve">de </w:t>
      </w:r>
      <w:r w:rsidR="00ED2A1B" w:rsidRPr="00BB68F4">
        <w:rPr>
          <w:rFonts w:ascii="Book Antiqua" w:hAnsi="Book Antiqua" w:cs="Arial"/>
          <w:sz w:val="24"/>
          <w:szCs w:val="24"/>
        </w:rPr>
        <w:t>ello se aportó</w:t>
      </w:r>
      <w:r w:rsidR="006B6A86" w:rsidRPr="00BB68F4">
        <w:rPr>
          <w:rFonts w:ascii="Book Antiqua" w:hAnsi="Book Antiqua" w:cs="Arial"/>
          <w:sz w:val="24"/>
          <w:szCs w:val="24"/>
        </w:rPr>
        <w:t xml:space="preserve"> constancia </w:t>
      </w:r>
      <w:r w:rsidR="00ED2A1B" w:rsidRPr="00BB68F4">
        <w:rPr>
          <w:rFonts w:ascii="Book Antiqua" w:hAnsi="Book Antiqua" w:cs="Arial"/>
          <w:sz w:val="24"/>
          <w:szCs w:val="24"/>
        </w:rPr>
        <w:t>(Folio</w:t>
      </w:r>
      <w:r w:rsidR="000A4144" w:rsidRPr="00BB68F4">
        <w:rPr>
          <w:rFonts w:ascii="Book Antiqua" w:hAnsi="Book Antiqua" w:cs="Arial"/>
          <w:sz w:val="24"/>
          <w:szCs w:val="24"/>
        </w:rPr>
        <w:t xml:space="preserve"> </w:t>
      </w:r>
      <w:r w:rsidRPr="00BB68F4">
        <w:rPr>
          <w:rFonts w:ascii="Book Antiqua" w:hAnsi="Book Antiqua" w:cs="Arial"/>
          <w:sz w:val="24"/>
          <w:szCs w:val="24"/>
        </w:rPr>
        <w:t>62</w:t>
      </w:r>
      <w:r w:rsidR="000A4144" w:rsidRPr="00BB68F4">
        <w:rPr>
          <w:rFonts w:ascii="Book Antiqua" w:hAnsi="Book Antiqua" w:cs="Arial"/>
          <w:sz w:val="24"/>
          <w:szCs w:val="24"/>
        </w:rPr>
        <w:t>, ibídem</w:t>
      </w:r>
      <w:r w:rsidR="00AF321C" w:rsidRPr="00BB68F4">
        <w:rPr>
          <w:rFonts w:ascii="Book Antiqua" w:hAnsi="Book Antiqua" w:cs="Arial"/>
          <w:sz w:val="24"/>
          <w:szCs w:val="24"/>
        </w:rPr>
        <w:t>)</w:t>
      </w:r>
      <w:r w:rsidRPr="00BB68F4">
        <w:rPr>
          <w:rFonts w:ascii="Book Antiqua" w:hAnsi="Book Antiqua" w:cs="Arial"/>
          <w:sz w:val="24"/>
          <w:szCs w:val="24"/>
        </w:rPr>
        <w:t xml:space="preserve">. Entretanto, fue notificado personalmente Edwin Parra Lopera (Folio 84, ibídem) y contestó la demanda (Folios 85 a 93, ib.). </w:t>
      </w:r>
      <w:r w:rsidR="00BF3D32" w:rsidRPr="00BB68F4">
        <w:rPr>
          <w:rFonts w:ascii="Book Antiqua" w:hAnsi="Book Antiqua" w:cs="Arial"/>
          <w:sz w:val="24"/>
          <w:szCs w:val="24"/>
        </w:rPr>
        <w:t xml:space="preserve">Con </w:t>
      </w:r>
      <w:r w:rsidR="006B6A86" w:rsidRPr="00BB68F4">
        <w:rPr>
          <w:rFonts w:ascii="Book Antiqua" w:hAnsi="Book Antiqua" w:cs="Arial"/>
          <w:sz w:val="24"/>
          <w:szCs w:val="24"/>
        </w:rPr>
        <w:t xml:space="preserve">auto del </w:t>
      </w:r>
      <w:r w:rsidR="000A4144" w:rsidRPr="00BB68F4">
        <w:rPr>
          <w:rFonts w:ascii="Book Antiqua" w:hAnsi="Book Antiqua" w:cs="Arial"/>
          <w:sz w:val="24"/>
          <w:szCs w:val="24"/>
        </w:rPr>
        <w:t>1</w:t>
      </w:r>
      <w:r w:rsidRPr="00BB68F4">
        <w:rPr>
          <w:rFonts w:ascii="Book Antiqua" w:hAnsi="Book Antiqua" w:cs="Arial"/>
          <w:sz w:val="24"/>
          <w:szCs w:val="24"/>
        </w:rPr>
        <w:t>9-07</w:t>
      </w:r>
      <w:r w:rsidR="006B6A86" w:rsidRPr="00BB68F4">
        <w:rPr>
          <w:rFonts w:ascii="Book Antiqua" w:hAnsi="Book Antiqua" w:cs="Arial"/>
          <w:sz w:val="24"/>
          <w:szCs w:val="24"/>
        </w:rPr>
        <w:t xml:space="preserve">-2016 </w:t>
      </w:r>
      <w:r w:rsidR="00BF3D32" w:rsidRPr="00BB68F4">
        <w:rPr>
          <w:rFonts w:ascii="Book Antiqua" w:hAnsi="Book Antiqua" w:cs="Arial"/>
          <w:sz w:val="24"/>
          <w:szCs w:val="24"/>
        </w:rPr>
        <w:t>fue</w:t>
      </w:r>
      <w:r w:rsidR="006B6A86" w:rsidRPr="00BB68F4">
        <w:rPr>
          <w:rFonts w:ascii="Book Antiqua" w:hAnsi="Book Antiqua" w:cs="Arial"/>
          <w:sz w:val="24"/>
          <w:szCs w:val="24"/>
        </w:rPr>
        <w:t xml:space="preserve"> nombr</w:t>
      </w:r>
      <w:r w:rsidR="00BF3D32" w:rsidRPr="00BB68F4">
        <w:rPr>
          <w:rFonts w:ascii="Book Antiqua" w:hAnsi="Book Antiqua" w:cs="Arial"/>
          <w:sz w:val="24"/>
          <w:szCs w:val="24"/>
        </w:rPr>
        <w:t>ado</w:t>
      </w:r>
      <w:r w:rsidR="006B6A86" w:rsidRPr="00BB68F4">
        <w:rPr>
          <w:rFonts w:ascii="Book Antiqua" w:hAnsi="Book Antiqua" w:cs="Arial"/>
          <w:sz w:val="24"/>
          <w:szCs w:val="24"/>
        </w:rPr>
        <w:t xml:space="preserve"> curador </w:t>
      </w:r>
      <w:r w:rsidR="006B6A86" w:rsidRPr="00BB68F4">
        <w:rPr>
          <w:rFonts w:ascii="Book Antiqua" w:hAnsi="Book Antiqua" w:cs="Arial"/>
          <w:i/>
          <w:sz w:val="22"/>
          <w:szCs w:val="24"/>
        </w:rPr>
        <w:t xml:space="preserve">ad </w:t>
      </w:r>
      <w:proofErr w:type="spellStart"/>
      <w:r w:rsidR="006B6A86" w:rsidRPr="00BB68F4">
        <w:rPr>
          <w:rFonts w:ascii="Book Antiqua" w:hAnsi="Book Antiqua" w:cs="Arial"/>
          <w:i/>
          <w:sz w:val="22"/>
          <w:szCs w:val="24"/>
        </w:rPr>
        <w:t>litem</w:t>
      </w:r>
      <w:proofErr w:type="spellEnd"/>
      <w:r w:rsidR="00AF321C" w:rsidRPr="00BB68F4">
        <w:rPr>
          <w:rFonts w:ascii="Book Antiqua" w:hAnsi="Book Antiqua" w:cs="Arial"/>
          <w:i/>
          <w:sz w:val="22"/>
          <w:szCs w:val="24"/>
        </w:rPr>
        <w:t xml:space="preserve"> </w:t>
      </w:r>
      <w:r w:rsidR="00ED2A1B" w:rsidRPr="00BB68F4">
        <w:rPr>
          <w:rFonts w:ascii="Book Antiqua" w:hAnsi="Book Antiqua" w:cs="Arial"/>
          <w:i/>
          <w:sz w:val="22"/>
          <w:szCs w:val="24"/>
        </w:rPr>
        <w:t xml:space="preserve"> </w:t>
      </w:r>
      <w:r w:rsidR="00ED2A1B" w:rsidRPr="00BB68F4">
        <w:rPr>
          <w:rFonts w:ascii="Book Antiqua" w:hAnsi="Book Antiqua" w:cs="Arial"/>
          <w:sz w:val="24"/>
          <w:szCs w:val="24"/>
        </w:rPr>
        <w:t>(Folio</w:t>
      </w:r>
      <w:r w:rsidR="000A4144" w:rsidRPr="00BB68F4">
        <w:rPr>
          <w:rFonts w:ascii="Book Antiqua" w:hAnsi="Book Antiqua" w:cs="Arial"/>
          <w:sz w:val="24"/>
          <w:szCs w:val="24"/>
        </w:rPr>
        <w:t xml:space="preserve"> </w:t>
      </w:r>
      <w:r w:rsidRPr="00BB68F4">
        <w:rPr>
          <w:rFonts w:ascii="Book Antiqua" w:hAnsi="Book Antiqua" w:cs="Arial"/>
          <w:sz w:val="24"/>
          <w:szCs w:val="24"/>
        </w:rPr>
        <w:t>94</w:t>
      </w:r>
      <w:r w:rsidR="00ED2A1B" w:rsidRPr="00BB68F4">
        <w:rPr>
          <w:rFonts w:ascii="Book Antiqua" w:hAnsi="Book Antiqua" w:cs="Arial"/>
          <w:sz w:val="24"/>
          <w:szCs w:val="24"/>
        </w:rPr>
        <w:t>, ib</w:t>
      </w:r>
      <w:r w:rsidRPr="00BB68F4">
        <w:rPr>
          <w:rFonts w:ascii="Book Antiqua" w:hAnsi="Book Antiqua" w:cs="Arial"/>
          <w:sz w:val="24"/>
          <w:szCs w:val="24"/>
        </w:rPr>
        <w:t>.</w:t>
      </w:r>
      <w:r w:rsidR="00ED2A1B" w:rsidRPr="00BB68F4">
        <w:rPr>
          <w:rFonts w:ascii="Book Antiqua" w:hAnsi="Book Antiqua" w:cs="Arial"/>
          <w:sz w:val="24"/>
          <w:szCs w:val="24"/>
        </w:rPr>
        <w:t>)</w:t>
      </w:r>
      <w:r w:rsidR="00BF3D32" w:rsidRPr="00BB68F4">
        <w:rPr>
          <w:rFonts w:ascii="Book Antiqua" w:hAnsi="Book Antiqua" w:cs="Arial"/>
          <w:sz w:val="24"/>
          <w:szCs w:val="24"/>
        </w:rPr>
        <w:t xml:space="preserve">. Luego, sin orden, se realizó el emplazamiento de la señora </w:t>
      </w:r>
      <w:r w:rsidR="00C376B8">
        <w:rPr>
          <w:rFonts w:ascii="Book Antiqua" w:hAnsi="Book Antiqua" w:cs="Arial"/>
          <w:sz w:val="24"/>
          <w:szCs w:val="24"/>
        </w:rPr>
        <w:t xml:space="preserve">Dolly </w:t>
      </w:r>
      <w:r w:rsidR="00BF3D32" w:rsidRPr="00BB68F4">
        <w:rPr>
          <w:rFonts w:ascii="Book Antiqua" w:hAnsi="Book Antiqua" w:cs="Arial"/>
          <w:sz w:val="24"/>
          <w:szCs w:val="24"/>
        </w:rPr>
        <w:t xml:space="preserve">Yaneth Parra Franco (Folio 104, ib.) y también le nombraron auxiliar de la justicia </w:t>
      </w:r>
      <w:r w:rsidR="00C376B8">
        <w:rPr>
          <w:rFonts w:ascii="Book Antiqua" w:hAnsi="Book Antiqua" w:cs="Arial"/>
          <w:sz w:val="24"/>
          <w:szCs w:val="24"/>
        </w:rPr>
        <w:t xml:space="preserve">para </w:t>
      </w:r>
      <w:r w:rsidR="00BF3D32" w:rsidRPr="00BB68F4">
        <w:rPr>
          <w:rFonts w:ascii="Book Antiqua" w:hAnsi="Book Antiqua" w:cs="Arial"/>
          <w:sz w:val="24"/>
          <w:szCs w:val="24"/>
        </w:rPr>
        <w:t>que la representara (Folio 106, ib.)</w:t>
      </w:r>
      <w:r w:rsidR="00C376B8">
        <w:rPr>
          <w:rFonts w:ascii="Book Antiqua" w:hAnsi="Book Antiqua" w:cs="Arial"/>
          <w:sz w:val="24"/>
          <w:szCs w:val="24"/>
        </w:rPr>
        <w:t>;</w:t>
      </w:r>
      <w:r w:rsidR="00BF3D32" w:rsidRPr="00BB68F4">
        <w:rPr>
          <w:rFonts w:ascii="Book Antiqua" w:hAnsi="Book Antiqua" w:cs="Arial"/>
          <w:sz w:val="24"/>
          <w:szCs w:val="24"/>
        </w:rPr>
        <w:t xml:space="preserve"> separadamente</w:t>
      </w:r>
      <w:r w:rsidR="0055047B" w:rsidRPr="00BB68F4">
        <w:rPr>
          <w:rFonts w:ascii="Book Antiqua" w:hAnsi="Book Antiqua" w:cs="Arial"/>
          <w:sz w:val="24"/>
          <w:szCs w:val="24"/>
        </w:rPr>
        <w:t>,</w:t>
      </w:r>
      <w:r w:rsidR="00BF3D32" w:rsidRPr="00BB68F4">
        <w:rPr>
          <w:rFonts w:ascii="Book Antiqua" w:hAnsi="Book Antiqua" w:cs="Arial"/>
          <w:sz w:val="24"/>
          <w:szCs w:val="24"/>
        </w:rPr>
        <w:t xml:space="preserve"> fueron notificados los respectivos profesionales (Folios 111 y 113, ib.) y contestaron (Folios 114 a 118, ib.). </w:t>
      </w:r>
    </w:p>
    <w:p w:rsidR="00BF3D32" w:rsidRPr="00BB68F4" w:rsidRDefault="00BF3D32" w:rsidP="00ED2A1B">
      <w:pPr>
        <w:spacing w:line="360" w:lineRule="auto"/>
        <w:jc w:val="both"/>
        <w:rPr>
          <w:rFonts w:ascii="Book Antiqua" w:hAnsi="Book Antiqua" w:cs="Arial"/>
          <w:sz w:val="24"/>
          <w:szCs w:val="24"/>
        </w:rPr>
      </w:pPr>
    </w:p>
    <w:p w:rsidR="00BF3D32" w:rsidRPr="00BB68F4" w:rsidRDefault="00C376B8" w:rsidP="00BF3D32">
      <w:pPr>
        <w:spacing w:line="360" w:lineRule="auto"/>
        <w:jc w:val="both"/>
        <w:rPr>
          <w:rFonts w:ascii="Book Antiqua" w:hAnsi="Book Antiqua" w:cs="Arial"/>
          <w:sz w:val="24"/>
          <w:szCs w:val="24"/>
        </w:rPr>
      </w:pPr>
      <w:r>
        <w:rPr>
          <w:rFonts w:ascii="Book Antiqua" w:hAnsi="Book Antiqua" w:cs="Arial"/>
          <w:sz w:val="24"/>
          <w:szCs w:val="24"/>
        </w:rPr>
        <w:t xml:space="preserve">Los </w:t>
      </w:r>
      <w:r w:rsidR="00BF3D32" w:rsidRPr="00BB68F4">
        <w:rPr>
          <w:rFonts w:ascii="Book Antiqua" w:hAnsi="Book Antiqua" w:cs="Arial"/>
          <w:sz w:val="24"/>
          <w:szCs w:val="24"/>
        </w:rPr>
        <w:t xml:space="preserve">días 09 y 10-05-2017 se </w:t>
      </w:r>
      <w:r w:rsidR="0055047B" w:rsidRPr="00BB68F4">
        <w:rPr>
          <w:rFonts w:ascii="Book Antiqua" w:hAnsi="Book Antiqua" w:cs="Arial"/>
          <w:sz w:val="24"/>
          <w:szCs w:val="24"/>
        </w:rPr>
        <w:t>desarrolló</w:t>
      </w:r>
      <w:r>
        <w:rPr>
          <w:rFonts w:ascii="Book Antiqua" w:hAnsi="Book Antiqua" w:cs="Arial"/>
          <w:sz w:val="24"/>
          <w:szCs w:val="24"/>
        </w:rPr>
        <w:t xml:space="preserve"> l</w:t>
      </w:r>
      <w:r w:rsidRPr="00BB68F4">
        <w:rPr>
          <w:rFonts w:ascii="Book Antiqua" w:hAnsi="Book Antiqua" w:cs="Arial"/>
          <w:sz w:val="24"/>
          <w:szCs w:val="24"/>
        </w:rPr>
        <w:t>a audiencia del artículo 372 del CGP</w:t>
      </w:r>
      <w:r>
        <w:rPr>
          <w:rFonts w:ascii="Book Antiqua" w:hAnsi="Book Antiqua" w:cs="Arial"/>
          <w:sz w:val="24"/>
          <w:szCs w:val="24"/>
        </w:rPr>
        <w:t xml:space="preserve">, fueron practicadas </w:t>
      </w:r>
      <w:r w:rsidRPr="00BB68F4">
        <w:rPr>
          <w:rFonts w:ascii="Book Antiqua" w:hAnsi="Book Antiqua" w:cs="Arial"/>
          <w:sz w:val="24"/>
          <w:szCs w:val="24"/>
        </w:rPr>
        <w:t>las pruebas</w:t>
      </w:r>
      <w:r w:rsidR="0055047B" w:rsidRPr="00BB68F4">
        <w:rPr>
          <w:rFonts w:ascii="Book Antiqua" w:hAnsi="Book Antiqua" w:cs="Arial"/>
          <w:sz w:val="24"/>
          <w:szCs w:val="24"/>
        </w:rPr>
        <w:t xml:space="preserve"> y </w:t>
      </w:r>
      <w:r w:rsidR="00BF3D32" w:rsidRPr="00BB68F4">
        <w:rPr>
          <w:rFonts w:ascii="Book Antiqua" w:hAnsi="Book Antiqua" w:cs="Arial"/>
          <w:sz w:val="24"/>
          <w:szCs w:val="24"/>
        </w:rPr>
        <w:t>se emitió sentencia</w:t>
      </w:r>
      <w:r>
        <w:rPr>
          <w:rFonts w:ascii="Book Antiqua" w:hAnsi="Book Antiqua" w:cs="Arial"/>
          <w:sz w:val="24"/>
          <w:szCs w:val="24"/>
        </w:rPr>
        <w:t>,</w:t>
      </w:r>
      <w:r w:rsidR="00BF3D32" w:rsidRPr="00BB68F4">
        <w:rPr>
          <w:rFonts w:ascii="Book Antiqua" w:hAnsi="Book Antiqua" w:cs="Arial"/>
          <w:sz w:val="24"/>
          <w:szCs w:val="24"/>
        </w:rPr>
        <w:t xml:space="preserve"> parcialmente estimatoria</w:t>
      </w:r>
      <w:r w:rsidR="00FC27BE" w:rsidRPr="00BB68F4">
        <w:rPr>
          <w:rFonts w:ascii="Book Antiqua" w:hAnsi="Book Antiqua" w:cs="Arial"/>
          <w:sz w:val="24"/>
          <w:szCs w:val="24"/>
        </w:rPr>
        <w:t>,</w:t>
      </w:r>
      <w:r w:rsidR="00BF3D32" w:rsidRPr="00BB68F4">
        <w:rPr>
          <w:rFonts w:ascii="Book Antiqua" w:hAnsi="Book Antiqua" w:cs="Arial"/>
          <w:i/>
          <w:sz w:val="24"/>
          <w:szCs w:val="24"/>
        </w:rPr>
        <w:t xml:space="preserve"> </w:t>
      </w:r>
      <w:r w:rsidR="00BF3D32" w:rsidRPr="00BB68F4">
        <w:rPr>
          <w:rFonts w:ascii="Book Antiqua" w:hAnsi="Book Antiqua" w:cs="Arial"/>
          <w:sz w:val="24"/>
          <w:szCs w:val="24"/>
        </w:rPr>
        <w:t>que apelada por algunos de los codemandados</w:t>
      </w:r>
      <w:r w:rsidR="00FC27BE" w:rsidRPr="00BB68F4">
        <w:rPr>
          <w:rFonts w:ascii="Book Antiqua" w:hAnsi="Book Antiqua" w:cs="Arial"/>
          <w:sz w:val="24"/>
          <w:szCs w:val="24"/>
        </w:rPr>
        <w:t>,</w:t>
      </w:r>
      <w:r w:rsidR="00BF3D32" w:rsidRPr="00BB68F4">
        <w:rPr>
          <w:rFonts w:ascii="Book Antiqua" w:hAnsi="Book Antiqua" w:cs="Arial"/>
          <w:sz w:val="24"/>
          <w:szCs w:val="24"/>
        </w:rPr>
        <w:t xml:space="preserve"> dio lugar a la remisión del expediente a esta Sala</w:t>
      </w:r>
      <w:r w:rsidR="00FC27BE" w:rsidRPr="00BB68F4">
        <w:rPr>
          <w:rFonts w:ascii="Book Antiqua" w:hAnsi="Book Antiqua" w:cs="Arial"/>
          <w:sz w:val="24"/>
          <w:szCs w:val="24"/>
        </w:rPr>
        <w:t xml:space="preserve"> (Folios 126 a 140, ib. y disco compacto)</w:t>
      </w:r>
      <w:r w:rsidR="00BF3D32" w:rsidRPr="00BB68F4">
        <w:rPr>
          <w:rFonts w:ascii="Book Antiqua" w:hAnsi="Book Antiqua" w:cs="Arial"/>
          <w:sz w:val="24"/>
          <w:szCs w:val="24"/>
        </w:rPr>
        <w:t>.</w:t>
      </w:r>
      <w:r w:rsidR="0085787C" w:rsidRPr="00BB68F4">
        <w:rPr>
          <w:rFonts w:ascii="Book Antiqua" w:hAnsi="Book Antiqua" w:cs="Arial"/>
          <w:sz w:val="24"/>
          <w:szCs w:val="24"/>
        </w:rPr>
        <w:t xml:space="preserve"> </w:t>
      </w:r>
    </w:p>
    <w:p w:rsidR="002E20D6" w:rsidRPr="00BB68F4" w:rsidRDefault="002E20D6" w:rsidP="00607310">
      <w:pPr>
        <w:spacing w:line="360" w:lineRule="auto"/>
        <w:jc w:val="both"/>
        <w:rPr>
          <w:rFonts w:ascii="Book Antiqua" w:hAnsi="Book Antiqua" w:cs="Arial"/>
          <w:sz w:val="24"/>
          <w:szCs w:val="24"/>
        </w:rPr>
      </w:pPr>
    </w:p>
    <w:p w:rsidR="00E316D9" w:rsidRPr="00BB68F4" w:rsidRDefault="00350C7A" w:rsidP="00D02CB4">
      <w:pPr>
        <w:pStyle w:val="Paragraphedeliste"/>
        <w:numPr>
          <w:ilvl w:val="0"/>
          <w:numId w:val="1"/>
        </w:numPr>
        <w:tabs>
          <w:tab w:val="left" w:pos="-720"/>
        </w:tabs>
        <w:suppressAutoHyphens/>
        <w:spacing w:line="360" w:lineRule="auto"/>
        <w:jc w:val="both"/>
        <w:rPr>
          <w:rFonts w:ascii="Book Antiqua" w:hAnsi="Book Antiqua" w:cs="Arial"/>
          <w:smallCaps/>
          <w:spacing w:val="-3"/>
          <w:sz w:val="26"/>
          <w:szCs w:val="24"/>
        </w:rPr>
      </w:pPr>
      <w:r w:rsidRPr="00BB68F4">
        <w:rPr>
          <w:rFonts w:ascii="Book Antiqua" w:hAnsi="Book Antiqua" w:cs="Arial"/>
          <w:smallCaps/>
          <w:spacing w:val="-3"/>
          <w:sz w:val="26"/>
          <w:szCs w:val="24"/>
        </w:rPr>
        <w:t>las estimaciones jurídicas para decidir</w:t>
      </w:r>
    </w:p>
    <w:p w:rsidR="00647818" w:rsidRPr="00BB68F4" w:rsidRDefault="00647818" w:rsidP="00647818">
      <w:pPr>
        <w:pStyle w:val="Sansinterligne"/>
        <w:widowControl/>
        <w:autoSpaceDE/>
        <w:autoSpaceDN/>
        <w:adjustRightInd/>
        <w:spacing w:line="360" w:lineRule="auto"/>
        <w:ind w:left="360"/>
        <w:jc w:val="both"/>
        <w:rPr>
          <w:rFonts w:ascii="Book Antiqua" w:hAnsi="Book Antiqua" w:cs="Arial"/>
        </w:rPr>
      </w:pPr>
    </w:p>
    <w:p w:rsidR="00582F12" w:rsidRPr="00BB68F4" w:rsidRDefault="00C376B8" w:rsidP="002E20D6">
      <w:pPr>
        <w:pStyle w:val="Sansinterligne"/>
        <w:widowControl/>
        <w:numPr>
          <w:ilvl w:val="1"/>
          <w:numId w:val="1"/>
        </w:numPr>
        <w:autoSpaceDE/>
        <w:autoSpaceDN/>
        <w:adjustRightInd/>
        <w:spacing w:line="360" w:lineRule="auto"/>
        <w:jc w:val="both"/>
        <w:rPr>
          <w:rFonts w:ascii="Book Antiqua" w:hAnsi="Book Antiqua" w:cs="Arial"/>
          <w:smallCaps/>
        </w:rPr>
      </w:pPr>
      <w:r>
        <w:rPr>
          <w:rFonts w:ascii="Book Antiqua" w:hAnsi="Book Antiqua" w:cs="Arial"/>
          <w:smallCaps/>
        </w:rPr>
        <w:t xml:space="preserve"> </w:t>
      </w:r>
      <w:r w:rsidR="00582F12" w:rsidRPr="00BB68F4">
        <w:rPr>
          <w:rFonts w:ascii="Book Antiqua" w:hAnsi="Book Antiqua" w:cs="Arial"/>
          <w:smallCaps/>
        </w:rPr>
        <w:t>El régimen de las nulidades procesales</w:t>
      </w:r>
    </w:p>
    <w:p w:rsidR="002825A8" w:rsidRPr="00BB68F4" w:rsidRDefault="002825A8" w:rsidP="002825A8">
      <w:pPr>
        <w:pStyle w:val="Sansinterligne"/>
        <w:widowControl/>
        <w:autoSpaceDE/>
        <w:autoSpaceDN/>
        <w:adjustRightInd/>
        <w:spacing w:line="360" w:lineRule="auto"/>
        <w:jc w:val="both"/>
        <w:rPr>
          <w:rFonts w:ascii="Book Antiqua" w:hAnsi="Book Antiqua" w:cs="Arial"/>
        </w:rPr>
      </w:pPr>
    </w:p>
    <w:p w:rsidR="00C376B8" w:rsidRPr="00C376B8" w:rsidRDefault="00C376B8" w:rsidP="00C376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Book Antiqua" w:hAnsi="Book Antiqua" w:cs="Arial"/>
          <w:sz w:val="24"/>
          <w:szCs w:val="24"/>
        </w:rPr>
      </w:pPr>
      <w:r w:rsidRPr="00C376B8">
        <w:rPr>
          <w:rFonts w:ascii="Book Antiqua" w:hAnsi="Book Antiqua" w:cs="Arial"/>
          <w:sz w:val="24"/>
          <w:szCs w:val="24"/>
        </w:rPr>
        <w:t>Esta institución está consagrada con el propósito de salvaguardar el derecho constitucional del “debido proceso” y su derivado natural, el derecho de defensa (29, CP).</w:t>
      </w:r>
    </w:p>
    <w:p w:rsidR="00C376B8" w:rsidRPr="00C376B8" w:rsidRDefault="00C376B8" w:rsidP="00C376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Book Antiqua" w:hAnsi="Book Antiqua" w:cs="Arial"/>
          <w:sz w:val="24"/>
          <w:szCs w:val="24"/>
        </w:rPr>
      </w:pPr>
    </w:p>
    <w:p w:rsidR="00C376B8" w:rsidRPr="00C376B8" w:rsidRDefault="00C376B8" w:rsidP="00C376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Book Antiqua" w:hAnsi="Book Antiqua" w:cs="Arial"/>
          <w:sz w:val="24"/>
          <w:szCs w:val="24"/>
        </w:rPr>
      </w:pPr>
      <w:r w:rsidRPr="00C376B8">
        <w:rPr>
          <w:rFonts w:ascii="Book Antiqua" w:hAnsi="Book Antiqua" w:cs="Arial"/>
          <w:sz w:val="24"/>
          <w:szCs w:val="24"/>
        </w:rPr>
        <w:t xml:space="preserve">El régimen establecido por nuestra Codificación General Adjetiva se informa por el principio de la </w:t>
      </w:r>
      <w:proofErr w:type="spellStart"/>
      <w:r w:rsidRPr="00C376B8">
        <w:rPr>
          <w:rFonts w:ascii="Book Antiqua" w:hAnsi="Book Antiqua" w:cs="Arial"/>
          <w:sz w:val="24"/>
          <w:szCs w:val="24"/>
        </w:rPr>
        <w:t>taxatividad</w:t>
      </w:r>
      <w:proofErr w:type="spellEnd"/>
      <w:r w:rsidRPr="00C376B8">
        <w:rPr>
          <w:rFonts w:ascii="Book Antiqua" w:hAnsi="Book Antiqua" w:cs="Arial"/>
          <w:sz w:val="24"/>
          <w:szCs w:val="24"/>
        </w:rPr>
        <w:t xml:space="preserve"> o especificidad, por cuya razón las causales de anulación, en su gran mayoría son las estipuladas en el artículo 133 del CGP.</w:t>
      </w:r>
      <w:r w:rsidRPr="00C376B8">
        <w:rPr>
          <w:rFonts w:ascii="Book Antiqua" w:hAnsi="Book Antiqua" w:cs="Arial"/>
          <w:i/>
          <w:sz w:val="24"/>
          <w:szCs w:val="24"/>
        </w:rPr>
        <w:t xml:space="preserve"> </w:t>
      </w:r>
      <w:r w:rsidRPr="00C376B8">
        <w:rPr>
          <w:rFonts w:ascii="Book Antiqua" w:hAnsi="Book Antiqua" w:cs="Arial"/>
          <w:sz w:val="24"/>
          <w:szCs w:val="24"/>
        </w:rPr>
        <w:t>En este sentido, en forma pacífica, puede consultarse a los profesores Canosa T.</w:t>
      </w:r>
      <w:r w:rsidRPr="00C376B8">
        <w:rPr>
          <w:rStyle w:val="Appelnotedebasdep"/>
          <w:rFonts w:ascii="Book Antiqua" w:hAnsi="Book Antiqua" w:cs="Arial"/>
          <w:sz w:val="24"/>
          <w:szCs w:val="24"/>
        </w:rPr>
        <w:footnoteReference w:id="1"/>
      </w:r>
      <w:r w:rsidRPr="00C376B8">
        <w:rPr>
          <w:rFonts w:ascii="Book Antiqua" w:hAnsi="Book Antiqua" w:cs="Arial"/>
          <w:sz w:val="24"/>
          <w:szCs w:val="24"/>
        </w:rPr>
        <w:t>, López B.</w:t>
      </w:r>
      <w:r w:rsidRPr="00C376B8">
        <w:rPr>
          <w:rStyle w:val="Appelnotedebasdep"/>
          <w:rFonts w:ascii="Book Antiqua" w:hAnsi="Book Antiqua" w:cs="Arial"/>
          <w:sz w:val="24"/>
          <w:szCs w:val="24"/>
        </w:rPr>
        <w:footnoteReference w:id="2"/>
      </w:r>
      <w:r w:rsidRPr="00C376B8">
        <w:rPr>
          <w:rFonts w:ascii="Book Antiqua" w:hAnsi="Book Antiqua" w:cs="Arial"/>
          <w:sz w:val="24"/>
          <w:szCs w:val="24"/>
        </w:rPr>
        <w:t>, Azula C.</w:t>
      </w:r>
      <w:r w:rsidRPr="00C376B8">
        <w:rPr>
          <w:rStyle w:val="Appelnotedebasdep"/>
          <w:rFonts w:ascii="Book Antiqua" w:hAnsi="Book Antiqua" w:cs="Arial"/>
          <w:sz w:val="24"/>
          <w:szCs w:val="24"/>
        </w:rPr>
        <w:footnoteReference w:id="3"/>
      </w:r>
      <w:r w:rsidRPr="00C376B8">
        <w:rPr>
          <w:rFonts w:ascii="Book Antiqua" w:hAnsi="Book Antiqua" w:cs="Arial"/>
          <w:sz w:val="24"/>
          <w:szCs w:val="24"/>
        </w:rPr>
        <w:t xml:space="preserve"> y Miguel E. Rojas G.</w:t>
      </w:r>
      <w:r w:rsidRPr="00C376B8">
        <w:rPr>
          <w:rStyle w:val="Appelnotedebasdep"/>
          <w:rFonts w:ascii="Book Antiqua" w:hAnsi="Book Antiqua" w:cs="Arial"/>
          <w:sz w:val="24"/>
          <w:szCs w:val="24"/>
        </w:rPr>
        <w:footnoteReference w:id="4"/>
      </w:r>
      <w:r w:rsidRPr="00C376B8">
        <w:rPr>
          <w:rFonts w:ascii="Book Antiqua" w:hAnsi="Book Antiqua" w:cs="Arial"/>
          <w:sz w:val="24"/>
          <w:szCs w:val="24"/>
        </w:rPr>
        <w:t xml:space="preserve"> Otros principios</w:t>
      </w:r>
      <w:r w:rsidRPr="00C376B8">
        <w:rPr>
          <w:rStyle w:val="Appelnotedebasdep"/>
          <w:rFonts w:ascii="Book Antiqua" w:hAnsi="Book Antiqua" w:cs="Arial"/>
          <w:sz w:val="24"/>
          <w:szCs w:val="24"/>
        </w:rPr>
        <w:footnoteReference w:id="5"/>
      </w:r>
      <w:r w:rsidRPr="00C376B8">
        <w:rPr>
          <w:rFonts w:ascii="Book Antiqua" w:hAnsi="Book Antiqua" w:cs="Arial"/>
          <w:sz w:val="24"/>
          <w:szCs w:val="24"/>
        </w:rPr>
        <w:t xml:space="preserve"> de igual entidad, que permean la figura en comento, son el </w:t>
      </w:r>
      <w:r w:rsidRPr="00C376B8">
        <w:rPr>
          <w:rFonts w:ascii="Book Antiqua" w:hAnsi="Book Antiqua" w:cs="Arial"/>
          <w:sz w:val="24"/>
          <w:szCs w:val="24"/>
        </w:rPr>
        <w:lastRenderedPageBreak/>
        <w:t xml:space="preserve">de </w:t>
      </w:r>
      <w:r w:rsidRPr="00C376B8">
        <w:rPr>
          <w:rFonts w:ascii="Book Antiqua" w:hAnsi="Book Antiqua" w:cs="Arial"/>
          <w:sz w:val="24"/>
          <w:szCs w:val="24"/>
          <w:u w:val="single"/>
        </w:rPr>
        <w:t>preclusión</w:t>
      </w:r>
      <w:r w:rsidRPr="00C376B8">
        <w:rPr>
          <w:rFonts w:ascii="Book Antiqua" w:hAnsi="Book Antiqua" w:cs="Arial"/>
          <w:sz w:val="24"/>
          <w:szCs w:val="24"/>
        </w:rPr>
        <w:t>, protección, convalidación y trascendencia, reconocidos por la jurisprudencia de la CSJ</w:t>
      </w:r>
      <w:r w:rsidRPr="00C376B8">
        <w:rPr>
          <w:rStyle w:val="Appelnotedebasdep"/>
          <w:rFonts w:ascii="Book Antiqua" w:hAnsi="Book Antiqua"/>
          <w:sz w:val="24"/>
          <w:szCs w:val="24"/>
        </w:rPr>
        <w:footnoteReference w:id="6"/>
      </w:r>
      <w:r w:rsidRPr="00C376B8">
        <w:rPr>
          <w:rFonts w:ascii="Book Antiqua" w:hAnsi="Book Antiqua" w:cs="Arial"/>
          <w:sz w:val="24"/>
          <w:szCs w:val="24"/>
        </w:rPr>
        <w:t>. El sistema del CGP está inspirado, esencialmente, sobre los mismos principios y reglas de CPC</w:t>
      </w:r>
      <w:r w:rsidRPr="00C376B8">
        <w:rPr>
          <w:rStyle w:val="Appelnotedebasdep"/>
          <w:rFonts w:ascii="Book Antiqua" w:hAnsi="Book Antiqua"/>
          <w:sz w:val="24"/>
          <w:szCs w:val="24"/>
        </w:rPr>
        <w:footnoteReference w:id="7"/>
      </w:r>
      <w:r w:rsidRPr="00C376B8">
        <w:rPr>
          <w:rFonts w:ascii="Book Antiqua" w:hAnsi="Book Antiqua" w:cs="Arial"/>
          <w:sz w:val="24"/>
          <w:szCs w:val="24"/>
        </w:rPr>
        <w:t>.</w:t>
      </w:r>
    </w:p>
    <w:p w:rsidR="00C376B8" w:rsidRPr="00C376B8" w:rsidRDefault="00C376B8" w:rsidP="00C376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Book Antiqua" w:hAnsi="Book Antiqua" w:cs="Arial"/>
          <w:sz w:val="24"/>
          <w:szCs w:val="24"/>
        </w:rPr>
      </w:pPr>
    </w:p>
    <w:p w:rsidR="00C376B8" w:rsidRPr="00C376B8" w:rsidRDefault="00C376B8" w:rsidP="00C376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Book Antiqua" w:hAnsi="Book Antiqua" w:cs="Arial"/>
          <w:sz w:val="24"/>
          <w:szCs w:val="24"/>
        </w:rPr>
      </w:pPr>
      <w:r w:rsidRPr="00C376B8">
        <w:rPr>
          <w:rFonts w:ascii="Book Antiqua" w:hAnsi="Book Antiqua" w:cs="Arial"/>
          <w:sz w:val="24"/>
          <w:szCs w:val="24"/>
        </w:rPr>
        <w:t xml:space="preserve">En el nuevo estatuto sobresalen dos causales de nulidad novedosas, que no se enlistan en su artículo 133; la derivada del incumplimiento del plazo para proferir sentencia (121, CGP); y, la inasistencia del juez o magistrados a las audiencias o diligencias (107, CGP). </w:t>
      </w:r>
    </w:p>
    <w:p w:rsidR="00C376B8" w:rsidRPr="00C376B8" w:rsidRDefault="00C376B8" w:rsidP="00C376B8">
      <w:pPr>
        <w:tabs>
          <w:tab w:val="left" w:pos="-720"/>
        </w:tabs>
        <w:suppressAutoHyphens/>
        <w:spacing w:line="360" w:lineRule="auto"/>
        <w:jc w:val="both"/>
        <w:rPr>
          <w:rFonts w:ascii="Book Antiqua" w:hAnsi="Book Antiqua" w:cs="Arial"/>
          <w:sz w:val="24"/>
          <w:szCs w:val="24"/>
        </w:rPr>
      </w:pPr>
    </w:p>
    <w:p w:rsidR="00C376B8" w:rsidRPr="00C376B8" w:rsidRDefault="00C376B8" w:rsidP="00C376B8">
      <w:pPr>
        <w:tabs>
          <w:tab w:val="left" w:pos="-720"/>
        </w:tabs>
        <w:suppressAutoHyphens/>
        <w:spacing w:line="360" w:lineRule="auto"/>
        <w:jc w:val="both"/>
        <w:rPr>
          <w:rFonts w:ascii="Book Antiqua" w:hAnsi="Book Antiqua" w:cs="Arial"/>
          <w:sz w:val="24"/>
          <w:szCs w:val="24"/>
        </w:rPr>
      </w:pPr>
      <w:r w:rsidRPr="00C376B8">
        <w:rPr>
          <w:rFonts w:ascii="Book Antiqua" w:hAnsi="Book Antiqua" w:cs="Arial"/>
          <w:sz w:val="24"/>
          <w:szCs w:val="24"/>
        </w:rPr>
        <w:t xml:space="preserve">Adicionalmente la C-491 de 1995 agregó otra causal, así: </w:t>
      </w:r>
      <w:r w:rsidRPr="00C376B8">
        <w:rPr>
          <w:rFonts w:ascii="Book Antiqua" w:hAnsi="Book Antiqua" w:cs="Arial"/>
          <w:i/>
          <w:sz w:val="22"/>
          <w:szCs w:val="24"/>
        </w:rPr>
        <w:t>“Además de dichas causales legales de nulidad es viable y puede ser invocada la consagrada en el artículo 29 de la Constitución, según el cual es nula, de pleno derecho, la prueba obtenida con violación del debido proceso, (...)”</w:t>
      </w:r>
      <w:r w:rsidRPr="00C376B8">
        <w:rPr>
          <w:rFonts w:ascii="Book Antiqua" w:hAnsi="Book Antiqua" w:cs="Arial"/>
          <w:i/>
          <w:sz w:val="24"/>
          <w:szCs w:val="24"/>
        </w:rPr>
        <w:t>;</w:t>
      </w:r>
      <w:r w:rsidRPr="00C376B8">
        <w:rPr>
          <w:rFonts w:ascii="Book Antiqua" w:hAnsi="Book Antiqua" w:cs="Arial"/>
          <w:sz w:val="24"/>
          <w:szCs w:val="24"/>
        </w:rPr>
        <w:t xml:space="preserve"> diferente de la prevista en el artículo 133-5º y con vigencia para el CGP, pues se revalidó recientemente en la C-537 de 2016, que declaró exequible, entre otros, al mentado artículo 133.</w:t>
      </w:r>
    </w:p>
    <w:p w:rsidR="00C376B8" w:rsidRPr="00BB68F4" w:rsidRDefault="00C376B8" w:rsidP="00FC27BE">
      <w:pPr>
        <w:tabs>
          <w:tab w:val="left" w:pos="-720"/>
        </w:tabs>
        <w:suppressAutoHyphens/>
        <w:spacing w:line="360" w:lineRule="auto"/>
        <w:jc w:val="both"/>
        <w:rPr>
          <w:rFonts w:ascii="Book Antiqua" w:hAnsi="Book Antiqua" w:cs="Arial"/>
          <w:sz w:val="24"/>
          <w:szCs w:val="24"/>
        </w:rPr>
      </w:pPr>
    </w:p>
    <w:p w:rsidR="008247CC" w:rsidRPr="00BB68F4" w:rsidRDefault="00C376B8" w:rsidP="008247CC">
      <w:pPr>
        <w:pStyle w:val="Sansinterligne"/>
        <w:widowControl/>
        <w:numPr>
          <w:ilvl w:val="1"/>
          <w:numId w:val="1"/>
        </w:numPr>
        <w:autoSpaceDE/>
        <w:autoSpaceDN/>
        <w:adjustRightInd/>
        <w:spacing w:line="360" w:lineRule="auto"/>
        <w:jc w:val="both"/>
        <w:rPr>
          <w:rFonts w:ascii="Book Antiqua" w:hAnsi="Book Antiqua" w:cs="Arial"/>
          <w:smallCaps/>
        </w:rPr>
      </w:pPr>
      <w:r>
        <w:rPr>
          <w:rFonts w:ascii="Book Antiqua" w:hAnsi="Book Antiqua" w:cs="Arial"/>
          <w:smallCaps/>
        </w:rPr>
        <w:t xml:space="preserve"> </w:t>
      </w:r>
      <w:r w:rsidR="008247CC" w:rsidRPr="00BB68F4">
        <w:rPr>
          <w:rFonts w:ascii="Book Antiqua" w:hAnsi="Book Antiqua" w:cs="Arial"/>
          <w:smallCaps/>
        </w:rPr>
        <w:t>Los presupuestos de las nulidades procesales</w:t>
      </w:r>
    </w:p>
    <w:p w:rsidR="00FC27BE" w:rsidRPr="00BB68F4" w:rsidRDefault="00FC27BE" w:rsidP="00FC27BE">
      <w:pPr>
        <w:pStyle w:val="Sansinterligne"/>
        <w:widowControl/>
        <w:autoSpaceDE/>
        <w:autoSpaceDN/>
        <w:adjustRightInd/>
        <w:spacing w:line="360" w:lineRule="auto"/>
        <w:ind w:left="360"/>
        <w:jc w:val="both"/>
        <w:rPr>
          <w:rFonts w:ascii="Book Antiqua" w:hAnsi="Book Antiqua" w:cs="Arial"/>
          <w:smallCaps/>
        </w:rPr>
      </w:pPr>
    </w:p>
    <w:p w:rsidR="008247CC" w:rsidRPr="00BB68F4" w:rsidRDefault="00FC27BE" w:rsidP="00AB6D90">
      <w:pPr>
        <w:tabs>
          <w:tab w:val="left" w:pos="-720"/>
        </w:tabs>
        <w:suppressAutoHyphens/>
        <w:spacing w:line="360" w:lineRule="auto"/>
        <w:jc w:val="both"/>
        <w:rPr>
          <w:rFonts w:ascii="Book Antiqua" w:hAnsi="Book Antiqua" w:cs="Arial"/>
          <w:sz w:val="24"/>
          <w:szCs w:val="24"/>
          <w:lang w:val="es-MX"/>
        </w:rPr>
      </w:pPr>
      <w:r w:rsidRPr="00BB68F4">
        <w:rPr>
          <w:rFonts w:ascii="Book Antiqua" w:hAnsi="Book Antiqua" w:cs="Arial"/>
          <w:sz w:val="24"/>
        </w:rPr>
        <w:t xml:space="preserve">Consisten en la concurrencia de legitimación, falta de saneamiento y oportunidad para proponerlas (Artículos 134, 135 y 136 del CGP); verificado el cumplimiento de tales requisitos se abre paso el análisis de la respectiva causal.  En este caso, se hace el pronunciamiento de oficio, conforme autoriza el artículo 137 </w:t>
      </w:r>
      <w:r w:rsidRPr="00BB68F4">
        <w:rPr>
          <w:rFonts w:ascii="Book Antiqua" w:hAnsi="Book Antiqua" w:cs="Arial"/>
          <w:i/>
          <w:sz w:val="22"/>
        </w:rPr>
        <w:t>ibídem</w:t>
      </w:r>
      <w:r w:rsidRPr="00BB68F4">
        <w:rPr>
          <w:rFonts w:ascii="Book Antiqua" w:hAnsi="Book Antiqua" w:cs="Arial"/>
          <w:sz w:val="24"/>
        </w:rPr>
        <w:t xml:space="preserve">, por ello hay habilitación legal para declararla, amén de que es tempestivo hacerlo. No obstante, ser una causal restringida a la parte </w:t>
      </w:r>
      <w:r w:rsidRPr="00BB68F4">
        <w:rPr>
          <w:rFonts w:ascii="Book Antiqua" w:hAnsi="Book Antiqua" w:cs="Arial"/>
          <w:sz w:val="24"/>
          <w:szCs w:val="24"/>
          <w:lang w:val="es-MX"/>
        </w:rPr>
        <w:t>(Artículo 135-3</w:t>
      </w:r>
      <w:r w:rsidRPr="00BB68F4">
        <w:rPr>
          <w:rFonts w:ascii="Book Antiqua" w:hAnsi="Book Antiqua" w:cs="Arial"/>
          <w:sz w:val="24"/>
          <w:szCs w:val="24"/>
        </w:rPr>
        <w:t>, CGP)</w:t>
      </w:r>
      <w:r w:rsidRPr="00BB68F4">
        <w:rPr>
          <w:rFonts w:ascii="Book Antiqua" w:hAnsi="Book Antiqua" w:cs="Arial"/>
          <w:sz w:val="24"/>
        </w:rPr>
        <w:t>, ante su ausencia por figurar representada por curador</w:t>
      </w:r>
      <w:r w:rsidRPr="00BB68F4">
        <w:rPr>
          <w:rFonts w:ascii="Book Antiqua" w:hAnsi="Book Antiqua" w:cs="Arial"/>
          <w:i/>
          <w:sz w:val="24"/>
          <w:szCs w:val="24"/>
        </w:rPr>
        <w:t xml:space="preserve"> ad </w:t>
      </w:r>
      <w:proofErr w:type="spellStart"/>
      <w:r w:rsidRPr="00BB68F4">
        <w:rPr>
          <w:rFonts w:ascii="Book Antiqua" w:hAnsi="Book Antiqua" w:cs="Arial"/>
          <w:i/>
          <w:sz w:val="24"/>
          <w:szCs w:val="24"/>
        </w:rPr>
        <w:t>litem</w:t>
      </w:r>
      <w:proofErr w:type="spellEnd"/>
      <w:r w:rsidRPr="00BB68F4">
        <w:rPr>
          <w:rFonts w:ascii="Book Antiqua" w:hAnsi="Book Antiqua" w:cs="Arial"/>
          <w:sz w:val="24"/>
          <w:szCs w:val="24"/>
        </w:rPr>
        <w:t>, que carece de toda facultad para convalidar la actuación, debe remediarse</w:t>
      </w:r>
      <w:r w:rsidRPr="00BB68F4">
        <w:rPr>
          <w:rFonts w:ascii="Book Antiqua" w:hAnsi="Book Antiqua" w:cs="Arial"/>
          <w:sz w:val="24"/>
          <w:szCs w:val="24"/>
          <w:lang w:val="es-MX"/>
        </w:rPr>
        <w:t xml:space="preserve"> bajo la declaración de nulidad.</w:t>
      </w:r>
    </w:p>
    <w:p w:rsidR="00FC27BE" w:rsidRPr="00BB68F4" w:rsidRDefault="00FC27BE" w:rsidP="00AB6D90">
      <w:pPr>
        <w:tabs>
          <w:tab w:val="left" w:pos="-720"/>
        </w:tabs>
        <w:suppressAutoHyphens/>
        <w:spacing w:line="360" w:lineRule="auto"/>
        <w:jc w:val="both"/>
        <w:rPr>
          <w:rFonts w:ascii="Book Antiqua" w:hAnsi="Book Antiqua" w:cs="Arial"/>
          <w:sz w:val="24"/>
          <w:szCs w:val="24"/>
          <w:lang w:val="es-MX"/>
        </w:rPr>
      </w:pPr>
    </w:p>
    <w:p w:rsidR="00350C7A" w:rsidRPr="00BB68F4" w:rsidRDefault="00C376B8" w:rsidP="00350C7A">
      <w:pPr>
        <w:pStyle w:val="Paragraphedeliste"/>
        <w:numPr>
          <w:ilvl w:val="1"/>
          <w:numId w:val="1"/>
        </w:numPr>
        <w:tabs>
          <w:tab w:val="left" w:pos="-720"/>
        </w:tabs>
        <w:suppressAutoHyphens/>
        <w:spacing w:line="360" w:lineRule="auto"/>
        <w:jc w:val="both"/>
        <w:rPr>
          <w:rFonts w:ascii="Book Antiqua" w:hAnsi="Book Antiqua" w:cs="Arial"/>
          <w:smallCaps/>
          <w:spacing w:val="-3"/>
          <w:sz w:val="24"/>
          <w:szCs w:val="24"/>
          <w:lang w:val="es-MX"/>
        </w:rPr>
      </w:pPr>
      <w:r>
        <w:rPr>
          <w:rFonts w:ascii="Book Antiqua" w:hAnsi="Book Antiqua" w:cs="Arial"/>
          <w:smallCaps/>
          <w:spacing w:val="-3"/>
          <w:sz w:val="24"/>
          <w:szCs w:val="24"/>
          <w:lang w:val="es-MX"/>
        </w:rPr>
        <w:t xml:space="preserve"> </w:t>
      </w:r>
      <w:r w:rsidR="00350C7A" w:rsidRPr="00BB68F4">
        <w:rPr>
          <w:rFonts w:ascii="Book Antiqua" w:hAnsi="Book Antiqua" w:cs="Arial"/>
          <w:smallCaps/>
          <w:spacing w:val="-3"/>
          <w:sz w:val="24"/>
          <w:szCs w:val="24"/>
          <w:lang w:val="es-MX"/>
        </w:rPr>
        <w:t>El indebido emplazamiento de l</w:t>
      </w:r>
      <w:r w:rsidR="00FC27BE" w:rsidRPr="00BB68F4">
        <w:rPr>
          <w:rFonts w:ascii="Book Antiqua" w:hAnsi="Book Antiqua" w:cs="Arial"/>
          <w:smallCaps/>
          <w:spacing w:val="-3"/>
          <w:sz w:val="24"/>
          <w:szCs w:val="24"/>
          <w:lang w:val="es-MX"/>
        </w:rPr>
        <w:t>os codemandados</w:t>
      </w:r>
      <w:r w:rsidR="00350C7A" w:rsidRPr="00BB68F4">
        <w:rPr>
          <w:rFonts w:ascii="Book Antiqua" w:hAnsi="Book Antiqua" w:cs="Arial"/>
          <w:smallCaps/>
          <w:spacing w:val="-3"/>
          <w:sz w:val="24"/>
          <w:szCs w:val="24"/>
          <w:lang w:val="es-MX"/>
        </w:rPr>
        <w:t xml:space="preserve"> </w:t>
      </w:r>
    </w:p>
    <w:p w:rsidR="00350C7A" w:rsidRPr="00BB68F4" w:rsidRDefault="00350C7A" w:rsidP="00350C7A">
      <w:pPr>
        <w:tabs>
          <w:tab w:val="left" w:pos="-720"/>
        </w:tabs>
        <w:suppressAutoHyphens/>
        <w:spacing w:line="360" w:lineRule="auto"/>
        <w:jc w:val="both"/>
        <w:rPr>
          <w:rFonts w:ascii="Book Antiqua" w:hAnsi="Book Antiqua" w:cs="Arial"/>
          <w:spacing w:val="-3"/>
          <w:sz w:val="24"/>
          <w:szCs w:val="24"/>
        </w:rPr>
      </w:pPr>
    </w:p>
    <w:p w:rsidR="008354DE" w:rsidRPr="00BB68F4" w:rsidRDefault="00350C7A" w:rsidP="008354DE">
      <w:pPr>
        <w:spacing w:line="360" w:lineRule="auto"/>
        <w:ind w:right="51"/>
        <w:jc w:val="both"/>
        <w:rPr>
          <w:rFonts w:ascii="Book Antiqua" w:hAnsi="Book Antiqua" w:cs="Arial"/>
          <w:sz w:val="24"/>
          <w:szCs w:val="24"/>
          <w:lang w:val="es-MX"/>
        </w:rPr>
      </w:pPr>
      <w:r w:rsidRPr="00BB68F4">
        <w:rPr>
          <w:rFonts w:ascii="Book Antiqua" w:hAnsi="Book Antiqua" w:cs="Arial"/>
          <w:sz w:val="24"/>
          <w:szCs w:val="24"/>
          <w:lang w:val="es-MX"/>
        </w:rPr>
        <w:t xml:space="preserve">El emplazamiento de una persona determinada ha de verificar los requisitos estatuidos en el artículo </w:t>
      </w:r>
      <w:r w:rsidR="005F469F" w:rsidRPr="00BB68F4">
        <w:rPr>
          <w:rFonts w:ascii="Book Antiqua" w:hAnsi="Book Antiqua" w:cs="Arial"/>
          <w:sz w:val="24"/>
          <w:szCs w:val="24"/>
          <w:lang w:val="es-MX"/>
        </w:rPr>
        <w:t>108 del CGP</w:t>
      </w:r>
      <w:r w:rsidRPr="00BB68F4">
        <w:rPr>
          <w:rFonts w:ascii="Book Antiqua" w:hAnsi="Book Antiqua" w:cs="Arial"/>
          <w:sz w:val="24"/>
          <w:szCs w:val="24"/>
          <w:lang w:val="es-MX"/>
        </w:rPr>
        <w:t xml:space="preserve">, a saber: (i) El nombre del emplazado; (ii) </w:t>
      </w:r>
      <w:r w:rsidRPr="00BB68F4">
        <w:rPr>
          <w:rFonts w:ascii="Book Antiqua" w:hAnsi="Book Antiqua" w:cs="Arial"/>
          <w:sz w:val="24"/>
          <w:szCs w:val="24"/>
          <w:u w:val="single"/>
          <w:lang w:val="es-MX"/>
        </w:rPr>
        <w:t>Las partes del proceso</w:t>
      </w:r>
      <w:r w:rsidRPr="00BB68F4">
        <w:rPr>
          <w:rFonts w:ascii="Book Antiqua" w:hAnsi="Book Antiqua" w:cs="Arial"/>
          <w:sz w:val="24"/>
          <w:szCs w:val="24"/>
          <w:lang w:val="es-MX"/>
        </w:rPr>
        <w:t>; y, (iii) La naturaleza del asunto o el juzgado que lo requiere</w:t>
      </w:r>
      <w:r w:rsidR="008354DE" w:rsidRPr="00BB68F4">
        <w:rPr>
          <w:rFonts w:ascii="Book Antiqua" w:hAnsi="Book Antiqua" w:cs="Arial"/>
          <w:sz w:val="24"/>
          <w:szCs w:val="24"/>
          <w:lang w:val="es-MX"/>
        </w:rPr>
        <w:t xml:space="preserve">; información que debe publicarse por una sola vez, en un diario de amplia circulación nacional o local, o cualquier otro medio masivo de comunicación, a criterio del juez, que postulará al menos dos. Si esa publicación se ordena escrita, se hará en día domingo. </w:t>
      </w:r>
    </w:p>
    <w:p w:rsidR="00350C7A" w:rsidRPr="00BB68F4" w:rsidRDefault="00350C7A" w:rsidP="00350C7A">
      <w:pPr>
        <w:tabs>
          <w:tab w:val="left" w:pos="-720"/>
        </w:tabs>
        <w:suppressAutoHyphens/>
        <w:spacing w:line="360" w:lineRule="auto"/>
        <w:jc w:val="both"/>
        <w:rPr>
          <w:rFonts w:ascii="Book Antiqua" w:hAnsi="Book Antiqua" w:cs="Arial"/>
          <w:spacing w:val="-3"/>
          <w:sz w:val="24"/>
          <w:szCs w:val="24"/>
          <w:lang w:val="es-MX"/>
        </w:rPr>
      </w:pPr>
    </w:p>
    <w:p w:rsidR="008354DE" w:rsidRPr="00BB68F4" w:rsidRDefault="008354DE" w:rsidP="008354DE">
      <w:pPr>
        <w:spacing w:line="360" w:lineRule="auto"/>
        <w:ind w:right="51"/>
        <w:jc w:val="both"/>
        <w:rPr>
          <w:rFonts w:ascii="Book Antiqua" w:hAnsi="Book Antiqua" w:cs="Arial"/>
          <w:sz w:val="24"/>
          <w:szCs w:val="24"/>
          <w:lang w:val="es-MX"/>
        </w:rPr>
      </w:pPr>
      <w:r w:rsidRPr="00BB68F4">
        <w:rPr>
          <w:rFonts w:ascii="Book Antiqua" w:hAnsi="Book Antiqua" w:cs="Arial"/>
          <w:sz w:val="24"/>
          <w:szCs w:val="24"/>
          <w:lang w:val="es-MX"/>
        </w:rPr>
        <w:t>La parte interesada debe allegar copia informal de la divulgación y verificado el allanamiento a los precitados requisitos, se hará la publicación en el “registro nacional de personas emplazadas” en el que se incluirán, además de los mencionados datos, el número de la cédula de ciudadanía. Luego de transcurridos 15 días siguientes de esta publicación se entenderá surtido.</w:t>
      </w:r>
    </w:p>
    <w:p w:rsidR="008354DE" w:rsidRPr="00BB68F4" w:rsidRDefault="008354DE" w:rsidP="008354DE">
      <w:pPr>
        <w:spacing w:line="360" w:lineRule="auto"/>
        <w:ind w:right="51"/>
        <w:jc w:val="both"/>
        <w:rPr>
          <w:rFonts w:ascii="Book Antiqua" w:hAnsi="Book Antiqua" w:cs="Arial"/>
          <w:sz w:val="24"/>
          <w:szCs w:val="24"/>
          <w:lang w:val="es-CO"/>
        </w:rPr>
      </w:pPr>
      <w:r w:rsidRPr="00BB68F4">
        <w:rPr>
          <w:rFonts w:ascii="Book Antiqua" w:hAnsi="Book Antiqua" w:cs="Arial"/>
          <w:sz w:val="24"/>
          <w:szCs w:val="24"/>
          <w:lang w:val="es-MX"/>
        </w:rPr>
        <w:t xml:space="preserve">El parágrafo 1º del citado artículo, dispuso que respecto al mencionado registro y </w:t>
      </w:r>
      <w:r w:rsidR="00C376B8">
        <w:rPr>
          <w:rFonts w:ascii="Book Antiqua" w:hAnsi="Book Antiqua" w:cs="Arial"/>
          <w:sz w:val="24"/>
          <w:szCs w:val="24"/>
          <w:lang w:val="es-MX"/>
        </w:rPr>
        <w:t xml:space="preserve">de </w:t>
      </w:r>
      <w:r w:rsidRPr="00BB68F4">
        <w:rPr>
          <w:rFonts w:ascii="Book Antiqua" w:hAnsi="Book Antiqua" w:cs="Arial"/>
          <w:sz w:val="24"/>
          <w:szCs w:val="24"/>
          <w:lang w:val="es-MX"/>
        </w:rPr>
        <w:t xml:space="preserve">los procesos de pertenencia, bienes vacantes y mostrencos, así como de sucesorios, sería regulado por el CSJ, para: (i) Determinar la forma de darle publicidad; (ii) Garantizar el acceso; y, (iii) Establecer la base de datos que permita consultar la información. Sin mayores diferencias, así se ha considerado el tema por parte de </w:t>
      </w:r>
      <w:r w:rsidRPr="00BB68F4">
        <w:rPr>
          <w:rFonts w:ascii="Book Antiqua" w:hAnsi="Book Antiqua" w:cs="Arial"/>
          <w:sz w:val="24"/>
        </w:rPr>
        <w:t>los tratadistas López Blanco</w:t>
      </w:r>
      <w:r w:rsidRPr="00BB68F4">
        <w:rPr>
          <w:rFonts w:ascii="Book Antiqua" w:hAnsi="Book Antiqua" w:cs="Arial"/>
          <w:sz w:val="24"/>
          <w:szCs w:val="24"/>
          <w:vertAlign w:val="superscript"/>
        </w:rPr>
        <w:footnoteReference w:id="8"/>
      </w:r>
      <w:r w:rsidRPr="00BB68F4">
        <w:rPr>
          <w:rFonts w:ascii="Book Antiqua" w:hAnsi="Book Antiqua" w:cs="Arial"/>
          <w:sz w:val="24"/>
        </w:rPr>
        <w:t xml:space="preserve"> y Rojas Gómez</w:t>
      </w:r>
      <w:r w:rsidRPr="00BB68F4">
        <w:rPr>
          <w:rStyle w:val="Appelnotedebasdep"/>
          <w:rFonts w:ascii="Book Antiqua" w:hAnsi="Book Antiqua"/>
          <w:sz w:val="24"/>
        </w:rPr>
        <w:footnoteReference w:id="9"/>
      </w:r>
      <w:r w:rsidRPr="00BB68F4">
        <w:rPr>
          <w:rFonts w:ascii="Book Antiqua" w:hAnsi="Book Antiqua" w:cs="Arial"/>
          <w:sz w:val="24"/>
          <w:szCs w:val="24"/>
          <w:lang w:val="es-CO"/>
        </w:rPr>
        <w:t>.</w:t>
      </w:r>
    </w:p>
    <w:p w:rsidR="008354DE" w:rsidRPr="00BB68F4" w:rsidRDefault="008354DE" w:rsidP="008354DE">
      <w:pPr>
        <w:spacing w:line="360" w:lineRule="auto"/>
        <w:ind w:right="51"/>
        <w:jc w:val="both"/>
        <w:rPr>
          <w:rFonts w:ascii="Book Antiqua" w:hAnsi="Book Antiqua" w:cs="Arial"/>
          <w:sz w:val="24"/>
          <w:szCs w:val="24"/>
          <w:lang w:val="es-MX"/>
        </w:rPr>
      </w:pPr>
    </w:p>
    <w:p w:rsidR="008354DE" w:rsidRPr="00BB68F4" w:rsidRDefault="008354DE" w:rsidP="008354DE">
      <w:pPr>
        <w:spacing w:line="360" w:lineRule="auto"/>
        <w:ind w:right="51"/>
        <w:jc w:val="both"/>
        <w:rPr>
          <w:rFonts w:ascii="Book Antiqua" w:hAnsi="Book Antiqua" w:cs="Arial"/>
          <w:sz w:val="24"/>
          <w:szCs w:val="24"/>
          <w:u w:val="single"/>
          <w:lang w:val="es-MX"/>
        </w:rPr>
      </w:pPr>
      <w:r w:rsidRPr="00BB68F4">
        <w:rPr>
          <w:rFonts w:ascii="Book Antiqua" w:hAnsi="Book Antiqua" w:cs="Arial"/>
          <w:sz w:val="24"/>
          <w:szCs w:val="24"/>
          <w:lang w:val="es-MX"/>
        </w:rPr>
        <w:t>Ahora, en ejercicio de esa función reglamentaria, la citada Corporación emitió el acuerdo PSAA14-10118 en el cual precisó que la inclusión de la información, en cada registro, correspondía al juzgado de conocimiento, previa orden del juez (Artículos 1º y 2º) y amplió esa disposición en lo tocante al “registro nacional de personas emplazadas” en el artículo 5º, al indicar: “</w:t>
      </w:r>
      <w:r w:rsidRPr="00BB68F4">
        <w:rPr>
          <w:rFonts w:ascii="Book Antiqua" w:hAnsi="Book Antiqua" w:cs="Arial"/>
          <w:i/>
          <w:sz w:val="22"/>
          <w:szCs w:val="24"/>
          <w:lang w:val="es-MX"/>
        </w:rPr>
        <w:t xml:space="preserve">(…) Una vez efectuada la publicación en uno de los medios expresamente señalados por el juez, la parte interesada deberá solicitar la inclusión de los datos de la persona requerida en el Registro Nacional de Personas Emplazadas, </w:t>
      </w:r>
      <w:r w:rsidRPr="00BB68F4">
        <w:rPr>
          <w:rFonts w:ascii="Book Antiqua" w:hAnsi="Book Antiqua" w:cs="Arial"/>
          <w:i/>
          <w:smallCaps/>
          <w:sz w:val="22"/>
          <w:szCs w:val="24"/>
          <w:lang w:val="es-MX"/>
        </w:rPr>
        <w:t>para lo cual el despacho ordenará</w:t>
      </w:r>
      <w:r w:rsidRPr="00BB68F4">
        <w:rPr>
          <w:rFonts w:ascii="Book Antiqua" w:hAnsi="Book Antiqua" w:cs="Arial"/>
          <w:i/>
          <w:sz w:val="22"/>
          <w:szCs w:val="24"/>
          <w:lang w:val="es-MX"/>
        </w:rPr>
        <w:t xml:space="preserve"> previ</w:t>
      </w:r>
      <w:r w:rsidRPr="00BB68F4">
        <w:rPr>
          <w:rFonts w:ascii="Book Antiqua" w:hAnsi="Book Antiqua" w:cs="Arial"/>
          <w:i/>
          <w:sz w:val="22"/>
          <w:szCs w:val="24"/>
          <w:u w:val="single"/>
          <w:lang w:val="es-MX"/>
        </w:rPr>
        <w:t>o</w:t>
      </w:r>
      <w:r w:rsidRPr="00BB68F4">
        <w:rPr>
          <w:rFonts w:ascii="Book Antiqua" w:hAnsi="Book Antiqua" w:cs="Arial"/>
          <w:i/>
          <w:sz w:val="22"/>
          <w:szCs w:val="24"/>
          <w:lang w:val="es-MX"/>
        </w:rPr>
        <w:t xml:space="preserve"> el cumplimiento de los requisitos legales la inclusión de la siguiente información en la base de datos: (…)”</w:t>
      </w:r>
      <w:r w:rsidRPr="00BB68F4">
        <w:rPr>
          <w:rFonts w:ascii="Book Antiqua" w:hAnsi="Book Antiqua" w:cs="Arial"/>
          <w:sz w:val="24"/>
          <w:szCs w:val="24"/>
          <w:lang w:val="es-MX"/>
        </w:rPr>
        <w:t>.</w:t>
      </w:r>
      <w:r w:rsidR="00643BB9">
        <w:rPr>
          <w:rFonts w:ascii="Book Antiqua" w:hAnsi="Book Antiqua" w:cs="Arial"/>
          <w:sz w:val="24"/>
          <w:szCs w:val="24"/>
          <w:lang w:val="es-MX"/>
        </w:rPr>
        <w:t xml:space="preserve">(Mayúscula extra textual). </w:t>
      </w:r>
      <w:r w:rsidRPr="00BB68F4">
        <w:rPr>
          <w:rFonts w:ascii="Book Antiqua" w:hAnsi="Book Antiqua" w:cs="Arial"/>
          <w:sz w:val="24"/>
          <w:szCs w:val="24"/>
          <w:lang w:val="es-MX"/>
        </w:rPr>
        <w:t>En el Acuerdo PSAA15-10406 esa Magistratura ratificó que el registro está a cargo de cada despacho judicial.</w:t>
      </w:r>
    </w:p>
    <w:p w:rsidR="008354DE" w:rsidRPr="00BB68F4" w:rsidRDefault="008354DE" w:rsidP="008354DE">
      <w:pPr>
        <w:spacing w:line="360" w:lineRule="auto"/>
        <w:ind w:right="51"/>
        <w:jc w:val="both"/>
        <w:rPr>
          <w:rFonts w:ascii="Book Antiqua" w:hAnsi="Book Antiqua" w:cs="Arial"/>
          <w:sz w:val="24"/>
          <w:szCs w:val="24"/>
          <w:lang w:val="es-MX"/>
        </w:rPr>
      </w:pPr>
    </w:p>
    <w:p w:rsidR="008354DE" w:rsidRPr="00BB68F4" w:rsidRDefault="008354DE" w:rsidP="008354DE">
      <w:pPr>
        <w:spacing w:line="360" w:lineRule="auto"/>
        <w:ind w:right="51"/>
        <w:jc w:val="both"/>
        <w:rPr>
          <w:rFonts w:ascii="Book Antiqua" w:hAnsi="Book Antiqua" w:cs="Arial"/>
          <w:sz w:val="24"/>
          <w:szCs w:val="24"/>
          <w:lang w:val="es-MX"/>
        </w:rPr>
      </w:pPr>
      <w:r w:rsidRPr="00BB68F4">
        <w:rPr>
          <w:rFonts w:ascii="Book Antiqua" w:hAnsi="Book Antiqua" w:cs="Arial"/>
          <w:sz w:val="24"/>
          <w:szCs w:val="24"/>
          <w:lang w:val="es-MX"/>
        </w:rPr>
        <w:t xml:space="preserve">Así las cosas, el incumplimiento de alguno de los referidos supuestos, hace irregular el trámite, </w:t>
      </w:r>
      <w:r w:rsidRPr="00BB68F4">
        <w:rPr>
          <w:rFonts w:ascii="Book Antiqua" w:hAnsi="Book Antiqua" w:cs="Arial"/>
          <w:sz w:val="24"/>
          <w:szCs w:val="24"/>
        </w:rPr>
        <w:t>con mayor razón cuando la(s) persona(s) no se hace</w:t>
      </w:r>
      <w:r w:rsidR="004A550E">
        <w:rPr>
          <w:rFonts w:ascii="Book Antiqua" w:hAnsi="Book Antiqua" w:cs="Arial"/>
          <w:sz w:val="24"/>
          <w:szCs w:val="24"/>
        </w:rPr>
        <w:t>(n)</w:t>
      </w:r>
      <w:r w:rsidRPr="00BB68F4">
        <w:rPr>
          <w:rFonts w:ascii="Book Antiqua" w:hAnsi="Book Antiqua" w:cs="Arial"/>
          <w:sz w:val="24"/>
          <w:szCs w:val="24"/>
        </w:rPr>
        <w:t xml:space="preserve"> presente</w:t>
      </w:r>
      <w:r w:rsidR="004A550E">
        <w:rPr>
          <w:rFonts w:ascii="Book Antiqua" w:hAnsi="Book Antiqua" w:cs="Arial"/>
          <w:sz w:val="24"/>
          <w:szCs w:val="24"/>
        </w:rPr>
        <w:t>(s)</w:t>
      </w:r>
      <w:r w:rsidRPr="00BB68F4">
        <w:rPr>
          <w:rFonts w:ascii="Book Antiqua" w:hAnsi="Book Antiqua" w:cs="Arial"/>
          <w:sz w:val="24"/>
          <w:szCs w:val="24"/>
        </w:rPr>
        <w:t xml:space="preserve"> </w:t>
      </w:r>
      <w:r w:rsidR="0055047B" w:rsidRPr="00BB68F4">
        <w:rPr>
          <w:rFonts w:ascii="Book Antiqua" w:hAnsi="Book Antiqua" w:cs="Arial"/>
          <w:sz w:val="24"/>
          <w:szCs w:val="24"/>
        </w:rPr>
        <w:t xml:space="preserve">al litigio y luego de emplazada(s) </w:t>
      </w:r>
      <w:r w:rsidRPr="00BB68F4">
        <w:rPr>
          <w:rFonts w:ascii="Book Antiqua" w:hAnsi="Book Antiqua" w:cs="Arial"/>
          <w:sz w:val="24"/>
          <w:szCs w:val="24"/>
        </w:rPr>
        <w:t>se le</w:t>
      </w:r>
      <w:r w:rsidR="0055047B" w:rsidRPr="00BB68F4">
        <w:rPr>
          <w:rFonts w:ascii="Book Antiqua" w:hAnsi="Book Antiqua" w:cs="Arial"/>
          <w:sz w:val="24"/>
          <w:szCs w:val="24"/>
        </w:rPr>
        <w:t>(s)</w:t>
      </w:r>
      <w:r w:rsidRPr="00BB68F4">
        <w:rPr>
          <w:rFonts w:ascii="Book Antiqua" w:hAnsi="Book Antiqua" w:cs="Arial"/>
          <w:sz w:val="24"/>
          <w:szCs w:val="24"/>
        </w:rPr>
        <w:t xml:space="preserve"> nombra curador </w:t>
      </w:r>
      <w:r w:rsidRPr="00BB68F4">
        <w:rPr>
          <w:rFonts w:ascii="Book Antiqua" w:hAnsi="Book Antiqua" w:cs="Arial"/>
          <w:i/>
          <w:sz w:val="24"/>
          <w:szCs w:val="24"/>
        </w:rPr>
        <w:t xml:space="preserve">ad </w:t>
      </w:r>
      <w:proofErr w:type="spellStart"/>
      <w:r w:rsidRPr="00BB68F4">
        <w:rPr>
          <w:rFonts w:ascii="Book Antiqua" w:hAnsi="Book Antiqua" w:cs="Arial"/>
          <w:i/>
          <w:sz w:val="24"/>
          <w:szCs w:val="24"/>
        </w:rPr>
        <w:t>litem</w:t>
      </w:r>
      <w:proofErr w:type="spellEnd"/>
      <w:r w:rsidRPr="00BB68F4">
        <w:rPr>
          <w:rFonts w:ascii="Book Antiqua" w:hAnsi="Book Antiqua" w:cs="Arial"/>
          <w:i/>
          <w:sz w:val="24"/>
          <w:szCs w:val="24"/>
        </w:rPr>
        <w:t>,</w:t>
      </w:r>
      <w:r w:rsidRPr="00BB68F4">
        <w:rPr>
          <w:rFonts w:ascii="Book Antiqua" w:hAnsi="Book Antiqua" w:cs="Arial"/>
          <w:sz w:val="24"/>
          <w:szCs w:val="24"/>
        </w:rPr>
        <w:t xml:space="preserve"> quien carece de toda facultad para convalidar la actuación, de allí que </w:t>
      </w:r>
      <w:r w:rsidR="00643BB9">
        <w:rPr>
          <w:rFonts w:ascii="Book Antiqua" w:hAnsi="Book Antiqua" w:cs="Arial"/>
          <w:sz w:val="24"/>
          <w:szCs w:val="24"/>
        </w:rPr>
        <w:t xml:space="preserve">se </w:t>
      </w:r>
      <w:r w:rsidRPr="00BB68F4">
        <w:rPr>
          <w:rFonts w:ascii="Book Antiqua" w:hAnsi="Book Antiqua" w:cs="Arial"/>
          <w:sz w:val="24"/>
          <w:szCs w:val="24"/>
        </w:rPr>
        <w:t xml:space="preserve">tipifica la causal del artículo 133-8º del CGP y la única forma de remediarla es </w:t>
      </w:r>
      <w:r w:rsidRPr="00BB68F4">
        <w:rPr>
          <w:rFonts w:ascii="Book Antiqua" w:hAnsi="Book Antiqua" w:cs="Arial"/>
          <w:sz w:val="24"/>
          <w:szCs w:val="24"/>
          <w:lang w:val="es-MX"/>
        </w:rPr>
        <w:t xml:space="preserve">mediante la declaratoria de nulidad. </w:t>
      </w:r>
    </w:p>
    <w:p w:rsidR="004A4D2E" w:rsidRPr="00BB68F4" w:rsidRDefault="004A4D2E" w:rsidP="004A4D2E">
      <w:pPr>
        <w:tabs>
          <w:tab w:val="left" w:pos="-720"/>
        </w:tabs>
        <w:suppressAutoHyphens/>
        <w:ind w:left="567" w:right="567"/>
        <w:jc w:val="both"/>
        <w:rPr>
          <w:rFonts w:ascii="Book Antiqua" w:hAnsi="Book Antiqua" w:cs="Arial"/>
          <w:spacing w:val="-3"/>
          <w:sz w:val="24"/>
          <w:szCs w:val="24"/>
        </w:rPr>
      </w:pPr>
    </w:p>
    <w:p w:rsidR="00E316D9" w:rsidRPr="00BB68F4" w:rsidRDefault="002E20D6" w:rsidP="004972C9">
      <w:pPr>
        <w:pStyle w:val="Paragraphedeliste"/>
        <w:numPr>
          <w:ilvl w:val="0"/>
          <w:numId w:val="1"/>
        </w:numPr>
        <w:tabs>
          <w:tab w:val="left" w:pos="-720"/>
        </w:tabs>
        <w:suppressAutoHyphens/>
        <w:spacing w:line="360" w:lineRule="auto"/>
        <w:jc w:val="both"/>
        <w:rPr>
          <w:rFonts w:ascii="Book Antiqua" w:hAnsi="Book Antiqua" w:cs="Arial"/>
          <w:smallCaps/>
          <w:spacing w:val="-3"/>
          <w:sz w:val="24"/>
          <w:szCs w:val="24"/>
        </w:rPr>
      </w:pPr>
      <w:r w:rsidRPr="00BB68F4">
        <w:rPr>
          <w:rFonts w:ascii="Book Antiqua" w:hAnsi="Book Antiqua" w:cs="Arial"/>
          <w:smallCaps/>
          <w:spacing w:val="-3"/>
          <w:sz w:val="24"/>
          <w:szCs w:val="24"/>
        </w:rPr>
        <w:t>El caso concreto que se analiza</w:t>
      </w:r>
    </w:p>
    <w:p w:rsidR="00A81263" w:rsidRPr="00BB68F4" w:rsidRDefault="00A81263" w:rsidP="00E316D9">
      <w:pPr>
        <w:tabs>
          <w:tab w:val="left" w:pos="-720"/>
        </w:tabs>
        <w:suppressAutoHyphens/>
        <w:spacing w:line="360" w:lineRule="auto"/>
        <w:jc w:val="both"/>
        <w:rPr>
          <w:rFonts w:ascii="Book Antiqua" w:hAnsi="Book Antiqua" w:cs="Arial"/>
          <w:spacing w:val="-3"/>
          <w:sz w:val="22"/>
          <w:szCs w:val="22"/>
        </w:rPr>
      </w:pPr>
    </w:p>
    <w:p w:rsidR="008354DE" w:rsidRPr="00BB68F4" w:rsidRDefault="008354DE" w:rsidP="008354DE">
      <w:pPr>
        <w:spacing w:line="360" w:lineRule="auto"/>
        <w:jc w:val="both"/>
        <w:rPr>
          <w:rFonts w:ascii="Book Antiqua" w:hAnsi="Book Antiqua" w:cs="Arial"/>
          <w:sz w:val="24"/>
          <w:szCs w:val="24"/>
        </w:rPr>
      </w:pPr>
      <w:r w:rsidRPr="00BB68F4">
        <w:rPr>
          <w:rFonts w:ascii="Book Antiqua" w:hAnsi="Book Antiqua" w:cs="Arial"/>
          <w:sz w:val="24"/>
          <w:szCs w:val="24"/>
        </w:rPr>
        <w:t xml:space="preserve">Se ordenó en el auto </w:t>
      </w:r>
      <w:proofErr w:type="spellStart"/>
      <w:r w:rsidRPr="00BB68F4">
        <w:rPr>
          <w:rFonts w:ascii="Book Antiqua" w:hAnsi="Book Antiqua" w:cs="Arial"/>
          <w:sz w:val="24"/>
          <w:szCs w:val="24"/>
        </w:rPr>
        <w:t>admisorio</w:t>
      </w:r>
      <w:proofErr w:type="spellEnd"/>
      <w:r w:rsidRPr="00BB68F4">
        <w:rPr>
          <w:rFonts w:ascii="Book Antiqua" w:hAnsi="Book Antiqua" w:cs="Arial"/>
          <w:sz w:val="24"/>
          <w:szCs w:val="24"/>
        </w:rPr>
        <w:t xml:space="preserve"> emplazar, en los términos del artículo 108</w:t>
      </w:r>
      <w:r w:rsidR="00643BB9">
        <w:rPr>
          <w:rFonts w:ascii="Book Antiqua" w:hAnsi="Book Antiqua" w:cs="Arial"/>
          <w:sz w:val="24"/>
          <w:szCs w:val="24"/>
        </w:rPr>
        <w:t>,</w:t>
      </w:r>
      <w:r w:rsidRPr="00BB68F4">
        <w:rPr>
          <w:rFonts w:ascii="Book Antiqua" w:hAnsi="Book Antiqua" w:cs="Arial"/>
          <w:sz w:val="24"/>
          <w:szCs w:val="24"/>
        </w:rPr>
        <w:t xml:space="preserve"> CGP</w:t>
      </w:r>
      <w:r w:rsidR="00643BB9">
        <w:rPr>
          <w:rFonts w:ascii="Book Antiqua" w:hAnsi="Book Antiqua" w:cs="Arial"/>
          <w:sz w:val="24"/>
          <w:szCs w:val="24"/>
        </w:rPr>
        <w:t>,</w:t>
      </w:r>
      <w:r w:rsidRPr="00BB68F4">
        <w:rPr>
          <w:rFonts w:ascii="Book Antiqua" w:hAnsi="Book Antiqua" w:cs="Arial"/>
          <w:sz w:val="24"/>
          <w:szCs w:val="24"/>
        </w:rPr>
        <w:t xml:space="preserve"> a Luis Ovidio y </w:t>
      </w:r>
      <w:proofErr w:type="spellStart"/>
      <w:r w:rsidRPr="00BB68F4">
        <w:rPr>
          <w:rFonts w:ascii="Book Antiqua" w:hAnsi="Book Antiqua" w:cs="Arial"/>
          <w:sz w:val="24"/>
          <w:szCs w:val="24"/>
        </w:rPr>
        <w:t>Jhon</w:t>
      </w:r>
      <w:proofErr w:type="spellEnd"/>
      <w:r w:rsidRPr="00BB68F4">
        <w:rPr>
          <w:rFonts w:ascii="Book Antiqua" w:hAnsi="Book Antiqua" w:cs="Arial"/>
          <w:sz w:val="24"/>
          <w:szCs w:val="24"/>
        </w:rPr>
        <w:t xml:space="preserve"> William Parra Franco (Incisos 8º y siguientes, auto del 03-03-2016, folio 37, </w:t>
      </w:r>
      <w:r w:rsidRPr="00BB68F4">
        <w:rPr>
          <w:rFonts w:ascii="Book Antiqua" w:hAnsi="Book Antiqua" w:cs="Arial"/>
          <w:sz w:val="24"/>
          <w:szCs w:val="24"/>
        </w:rPr>
        <w:lastRenderedPageBreak/>
        <w:t>ib.), luego con proveído del 17-03-2016, se extendió la orden</w:t>
      </w:r>
      <w:r w:rsidR="0085787C" w:rsidRPr="00BB68F4">
        <w:rPr>
          <w:rFonts w:ascii="Book Antiqua" w:hAnsi="Book Antiqua" w:cs="Arial"/>
          <w:sz w:val="24"/>
          <w:szCs w:val="24"/>
        </w:rPr>
        <w:t>,</w:t>
      </w:r>
      <w:r w:rsidRPr="00BB68F4">
        <w:rPr>
          <w:rFonts w:ascii="Book Antiqua" w:hAnsi="Book Antiqua" w:cs="Arial"/>
          <w:sz w:val="24"/>
          <w:szCs w:val="24"/>
        </w:rPr>
        <w:t xml:space="preserve"> en lo que respecta a Edwin Parra Franco (Folio 50, ib.). </w:t>
      </w:r>
    </w:p>
    <w:p w:rsidR="008354DE" w:rsidRPr="00BB68F4" w:rsidRDefault="008354DE" w:rsidP="00E316D9">
      <w:pPr>
        <w:tabs>
          <w:tab w:val="left" w:pos="-720"/>
        </w:tabs>
        <w:suppressAutoHyphens/>
        <w:spacing w:line="360" w:lineRule="auto"/>
        <w:jc w:val="both"/>
        <w:rPr>
          <w:rFonts w:ascii="Book Antiqua" w:hAnsi="Book Antiqua" w:cs="Arial"/>
          <w:spacing w:val="-3"/>
          <w:sz w:val="22"/>
          <w:szCs w:val="22"/>
        </w:rPr>
      </w:pPr>
    </w:p>
    <w:p w:rsidR="00D60ED4" w:rsidRPr="00BB68F4" w:rsidRDefault="007C4788" w:rsidP="004B6BF7">
      <w:pPr>
        <w:spacing w:line="360" w:lineRule="auto"/>
        <w:jc w:val="both"/>
        <w:rPr>
          <w:rFonts w:ascii="Book Antiqua" w:hAnsi="Book Antiqua" w:cs="Arial"/>
          <w:sz w:val="24"/>
          <w:szCs w:val="24"/>
          <w:lang w:val="es-MX"/>
        </w:rPr>
      </w:pPr>
      <w:r w:rsidRPr="00BB68F4">
        <w:rPr>
          <w:rFonts w:ascii="Book Antiqua" w:hAnsi="Book Antiqua" w:cs="Arial"/>
          <w:sz w:val="24"/>
          <w:szCs w:val="24"/>
        </w:rPr>
        <w:t>La parte actora allegó constancia de la publicación</w:t>
      </w:r>
      <w:r w:rsidR="00643BB9">
        <w:rPr>
          <w:rFonts w:ascii="Book Antiqua" w:hAnsi="Book Antiqua" w:cs="Arial"/>
          <w:sz w:val="24"/>
          <w:szCs w:val="24"/>
        </w:rPr>
        <w:t>,</w:t>
      </w:r>
      <w:r w:rsidRPr="00BB68F4">
        <w:rPr>
          <w:rFonts w:ascii="Book Antiqua" w:hAnsi="Book Antiqua" w:cs="Arial"/>
          <w:sz w:val="24"/>
          <w:szCs w:val="24"/>
        </w:rPr>
        <w:t xml:space="preserve"> que hiciera</w:t>
      </w:r>
      <w:r w:rsidR="005846B6" w:rsidRPr="00BB68F4">
        <w:rPr>
          <w:rFonts w:ascii="Book Antiqua" w:hAnsi="Book Antiqua" w:cs="Arial"/>
          <w:sz w:val="24"/>
          <w:szCs w:val="24"/>
        </w:rPr>
        <w:t xml:space="preserve"> el </w:t>
      </w:r>
      <w:r w:rsidR="008354DE" w:rsidRPr="00BB68F4">
        <w:rPr>
          <w:rFonts w:ascii="Book Antiqua" w:hAnsi="Book Antiqua" w:cs="Arial"/>
          <w:sz w:val="24"/>
          <w:szCs w:val="24"/>
        </w:rPr>
        <w:t>10-04-2016</w:t>
      </w:r>
      <w:r w:rsidR="005846B6" w:rsidRPr="00BB68F4">
        <w:rPr>
          <w:rFonts w:ascii="Book Antiqua" w:hAnsi="Book Antiqua" w:cs="Arial"/>
          <w:sz w:val="24"/>
          <w:szCs w:val="24"/>
        </w:rPr>
        <w:t xml:space="preserve">, </w:t>
      </w:r>
      <w:r w:rsidRPr="00BB68F4">
        <w:rPr>
          <w:rFonts w:ascii="Book Antiqua" w:hAnsi="Book Antiqua" w:cs="Arial"/>
          <w:sz w:val="24"/>
          <w:szCs w:val="24"/>
        </w:rPr>
        <w:t>en uno de los medios indicados por la jueza (Folio</w:t>
      </w:r>
      <w:r w:rsidR="005846B6" w:rsidRPr="00BB68F4">
        <w:rPr>
          <w:rFonts w:ascii="Book Antiqua" w:hAnsi="Book Antiqua" w:cs="Arial"/>
          <w:sz w:val="24"/>
          <w:szCs w:val="24"/>
        </w:rPr>
        <w:t xml:space="preserve"> </w:t>
      </w:r>
      <w:r w:rsidR="008354DE" w:rsidRPr="00BB68F4">
        <w:rPr>
          <w:rFonts w:ascii="Book Antiqua" w:hAnsi="Book Antiqua" w:cs="Arial"/>
          <w:sz w:val="24"/>
          <w:szCs w:val="24"/>
        </w:rPr>
        <w:t>62</w:t>
      </w:r>
      <w:r w:rsidRPr="00BB68F4">
        <w:rPr>
          <w:rFonts w:ascii="Book Antiqua" w:hAnsi="Book Antiqua" w:cs="Arial"/>
          <w:sz w:val="24"/>
          <w:szCs w:val="24"/>
        </w:rPr>
        <w:t xml:space="preserve">, ib.) y luego sin </w:t>
      </w:r>
      <w:r w:rsidR="001902A0" w:rsidRPr="00BB68F4">
        <w:rPr>
          <w:rFonts w:ascii="Book Antiqua" w:hAnsi="Book Antiqua" w:cs="Arial"/>
          <w:sz w:val="24"/>
          <w:szCs w:val="24"/>
        </w:rPr>
        <w:t>percatarse d</w:t>
      </w:r>
      <w:r w:rsidR="005846B6" w:rsidRPr="00BB68F4">
        <w:rPr>
          <w:rFonts w:ascii="Book Antiqua" w:hAnsi="Book Antiqua" w:cs="Arial"/>
          <w:sz w:val="24"/>
          <w:szCs w:val="24"/>
        </w:rPr>
        <w:t xml:space="preserve">el incumplimiento de las reglas </w:t>
      </w:r>
      <w:r w:rsidR="001902A0" w:rsidRPr="00BB68F4">
        <w:rPr>
          <w:rFonts w:ascii="Book Antiqua" w:hAnsi="Book Antiqua" w:cs="Arial"/>
          <w:sz w:val="24"/>
          <w:szCs w:val="24"/>
        </w:rPr>
        <w:t>atrás señaladas</w:t>
      </w:r>
      <w:r w:rsidR="005846B6" w:rsidRPr="00BB68F4">
        <w:rPr>
          <w:rFonts w:ascii="Book Antiqua" w:hAnsi="Book Antiqua" w:cs="Arial"/>
          <w:sz w:val="24"/>
          <w:szCs w:val="24"/>
        </w:rPr>
        <w:t>,</w:t>
      </w:r>
      <w:r w:rsidR="004A550E">
        <w:rPr>
          <w:rFonts w:ascii="Book Antiqua" w:hAnsi="Book Antiqua" w:cs="Arial"/>
          <w:sz w:val="24"/>
          <w:szCs w:val="24"/>
        </w:rPr>
        <w:t xml:space="preserve"> </w:t>
      </w:r>
      <w:r w:rsidR="005846B6" w:rsidRPr="00BB68F4">
        <w:rPr>
          <w:rFonts w:ascii="Book Antiqua" w:hAnsi="Book Antiqua" w:cs="Arial"/>
          <w:sz w:val="24"/>
          <w:szCs w:val="24"/>
        </w:rPr>
        <w:t>design</w:t>
      </w:r>
      <w:r w:rsidR="004A550E">
        <w:rPr>
          <w:rFonts w:ascii="Book Antiqua" w:hAnsi="Book Antiqua" w:cs="Arial"/>
          <w:sz w:val="24"/>
          <w:szCs w:val="24"/>
        </w:rPr>
        <w:t>aron</w:t>
      </w:r>
      <w:r w:rsidR="005846B6" w:rsidRPr="00BB68F4">
        <w:rPr>
          <w:rFonts w:ascii="Book Antiqua" w:hAnsi="Book Antiqua" w:cs="Arial"/>
          <w:sz w:val="24"/>
          <w:szCs w:val="24"/>
        </w:rPr>
        <w:t xml:space="preserve"> </w:t>
      </w:r>
      <w:r w:rsidRPr="00BB68F4">
        <w:rPr>
          <w:rFonts w:ascii="Book Antiqua" w:hAnsi="Book Antiqua" w:cs="Arial"/>
          <w:sz w:val="24"/>
          <w:szCs w:val="24"/>
        </w:rPr>
        <w:t xml:space="preserve">curador </w:t>
      </w:r>
      <w:r w:rsidRPr="00BB68F4">
        <w:rPr>
          <w:rFonts w:ascii="Book Antiqua" w:hAnsi="Book Antiqua" w:cs="Arial"/>
          <w:i/>
          <w:sz w:val="24"/>
          <w:szCs w:val="24"/>
        </w:rPr>
        <w:t xml:space="preserve">ad </w:t>
      </w:r>
      <w:proofErr w:type="spellStart"/>
      <w:r w:rsidRPr="00BB68F4">
        <w:rPr>
          <w:rFonts w:ascii="Book Antiqua" w:hAnsi="Book Antiqua" w:cs="Arial"/>
          <w:i/>
          <w:sz w:val="24"/>
          <w:szCs w:val="24"/>
        </w:rPr>
        <w:t>litem</w:t>
      </w:r>
      <w:proofErr w:type="spellEnd"/>
      <w:r w:rsidRPr="00BB68F4">
        <w:rPr>
          <w:rFonts w:ascii="Book Antiqua" w:hAnsi="Book Antiqua" w:cs="Arial"/>
          <w:i/>
          <w:sz w:val="24"/>
          <w:szCs w:val="24"/>
        </w:rPr>
        <w:t xml:space="preserve"> </w:t>
      </w:r>
      <w:r w:rsidR="005846B6" w:rsidRPr="00BB68F4">
        <w:rPr>
          <w:rFonts w:ascii="Book Antiqua" w:hAnsi="Book Antiqua" w:cs="Arial"/>
          <w:sz w:val="24"/>
          <w:szCs w:val="24"/>
        </w:rPr>
        <w:t>que representar</w:t>
      </w:r>
      <w:r w:rsidR="001902A0" w:rsidRPr="00BB68F4">
        <w:rPr>
          <w:rFonts w:ascii="Book Antiqua" w:hAnsi="Book Antiqua" w:cs="Arial"/>
          <w:sz w:val="24"/>
          <w:szCs w:val="24"/>
        </w:rPr>
        <w:t>a</w:t>
      </w:r>
      <w:r w:rsidR="008354DE" w:rsidRPr="00BB68F4">
        <w:rPr>
          <w:rFonts w:ascii="Book Antiqua" w:hAnsi="Book Antiqua" w:cs="Arial"/>
          <w:sz w:val="24"/>
          <w:szCs w:val="24"/>
        </w:rPr>
        <w:t xml:space="preserve">, solo a Luis Ovidio y </w:t>
      </w:r>
      <w:r w:rsidR="00643BB9">
        <w:rPr>
          <w:rFonts w:ascii="Book Antiqua" w:hAnsi="Book Antiqua" w:cs="Arial"/>
          <w:sz w:val="24"/>
          <w:szCs w:val="24"/>
        </w:rPr>
        <w:t xml:space="preserve">a </w:t>
      </w:r>
      <w:proofErr w:type="spellStart"/>
      <w:r w:rsidR="008354DE" w:rsidRPr="00BB68F4">
        <w:rPr>
          <w:rFonts w:ascii="Book Antiqua" w:hAnsi="Book Antiqua" w:cs="Arial"/>
          <w:sz w:val="24"/>
          <w:szCs w:val="24"/>
        </w:rPr>
        <w:t>Jhon</w:t>
      </w:r>
      <w:proofErr w:type="spellEnd"/>
      <w:r w:rsidR="008354DE" w:rsidRPr="00BB68F4">
        <w:rPr>
          <w:rFonts w:ascii="Book Antiqua" w:hAnsi="Book Antiqua" w:cs="Arial"/>
          <w:sz w:val="24"/>
          <w:szCs w:val="24"/>
        </w:rPr>
        <w:t xml:space="preserve"> William</w:t>
      </w:r>
      <w:r w:rsidR="00643BB9">
        <w:rPr>
          <w:rFonts w:ascii="Book Antiqua" w:hAnsi="Book Antiqua" w:cs="Arial"/>
          <w:sz w:val="24"/>
          <w:szCs w:val="24"/>
        </w:rPr>
        <w:t>,</w:t>
      </w:r>
      <w:r w:rsidR="008354DE" w:rsidRPr="00BB68F4">
        <w:rPr>
          <w:rFonts w:ascii="Book Antiqua" w:hAnsi="Book Antiqua" w:cs="Arial"/>
          <w:sz w:val="24"/>
          <w:szCs w:val="24"/>
        </w:rPr>
        <w:t xml:space="preserve"> porque Edwin ya se había notificado personalmente </w:t>
      </w:r>
      <w:r w:rsidRPr="00BB68F4">
        <w:rPr>
          <w:rFonts w:ascii="Book Antiqua" w:hAnsi="Book Antiqua" w:cs="Arial"/>
          <w:sz w:val="24"/>
          <w:szCs w:val="24"/>
        </w:rPr>
        <w:t xml:space="preserve">(Folio </w:t>
      </w:r>
      <w:r w:rsidR="008354DE" w:rsidRPr="00BB68F4">
        <w:rPr>
          <w:rFonts w:ascii="Book Antiqua" w:hAnsi="Book Antiqua" w:cs="Arial"/>
          <w:sz w:val="24"/>
          <w:szCs w:val="24"/>
        </w:rPr>
        <w:t>94</w:t>
      </w:r>
      <w:r w:rsidRPr="00BB68F4">
        <w:rPr>
          <w:rFonts w:ascii="Book Antiqua" w:hAnsi="Book Antiqua" w:cs="Arial"/>
          <w:sz w:val="24"/>
          <w:szCs w:val="24"/>
        </w:rPr>
        <w:t>, ib.)</w:t>
      </w:r>
      <w:r w:rsidR="005846B6" w:rsidRPr="00BB68F4">
        <w:rPr>
          <w:rFonts w:ascii="Book Antiqua" w:hAnsi="Book Antiqua" w:cs="Arial"/>
          <w:sz w:val="24"/>
          <w:szCs w:val="24"/>
        </w:rPr>
        <w:t>. Y es que una revisión de lo anotado</w:t>
      </w:r>
      <w:r w:rsidR="00E30EE5" w:rsidRPr="00BB68F4">
        <w:rPr>
          <w:rFonts w:ascii="Book Antiqua" w:hAnsi="Book Antiqua" w:cs="Arial"/>
          <w:sz w:val="24"/>
          <w:szCs w:val="24"/>
        </w:rPr>
        <w:t>,</w:t>
      </w:r>
      <w:r w:rsidR="005846B6" w:rsidRPr="00BB68F4">
        <w:rPr>
          <w:rFonts w:ascii="Book Antiqua" w:hAnsi="Book Antiqua" w:cs="Arial"/>
          <w:sz w:val="24"/>
          <w:szCs w:val="24"/>
        </w:rPr>
        <w:t xml:space="preserve"> en el periódico</w:t>
      </w:r>
      <w:r w:rsidR="00E30EE5" w:rsidRPr="00BB68F4">
        <w:rPr>
          <w:rFonts w:ascii="Book Antiqua" w:hAnsi="Book Antiqua" w:cs="Arial"/>
          <w:sz w:val="24"/>
          <w:szCs w:val="24"/>
        </w:rPr>
        <w:t>, eviden</w:t>
      </w:r>
      <w:r w:rsidR="00643BB9">
        <w:rPr>
          <w:rFonts w:ascii="Book Antiqua" w:hAnsi="Book Antiqua" w:cs="Arial"/>
          <w:sz w:val="24"/>
          <w:szCs w:val="24"/>
        </w:rPr>
        <w:t xml:space="preserve">cia </w:t>
      </w:r>
      <w:r w:rsidR="00E30EE5" w:rsidRPr="00BB68F4">
        <w:rPr>
          <w:rFonts w:ascii="Book Antiqua" w:hAnsi="Book Antiqua" w:cs="Arial"/>
          <w:sz w:val="24"/>
          <w:szCs w:val="24"/>
        </w:rPr>
        <w:t xml:space="preserve">que se omitió </w:t>
      </w:r>
      <w:r w:rsidR="001902A0" w:rsidRPr="00BB68F4">
        <w:rPr>
          <w:rFonts w:ascii="Book Antiqua" w:hAnsi="Book Antiqua" w:cs="Arial"/>
          <w:sz w:val="24"/>
          <w:szCs w:val="24"/>
        </w:rPr>
        <w:t xml:space="preserve">anunciar </w:t>
      </w:r>
      <w:r w:rsidR="008354DE" w:rsidRPr="00BB68F4">
        <w:rPr>
          <w:rFonts w:ascii="Book Antiqua" w:hAnsi="Book Antiqua" w:cs="Arial"/>
          <w:sz w:val="24"/>
          <w:szCs w:val="24"/>
        </w:rPr>
        <w:t>integralmente a la parte demandada</w:t>
      </w:r>
      <w:r w:rsidR="00E30EE5" w:rsidRPr="00BB68F4">
        <w:rPr>
          <w:rFonts w:ascii="Book Antiqua" w:hAnsi="Book Antiqua" w:cs="Arial"/>
          <w:sz w:val="24"/>
          <w:szCs w:val="24"/>
        </w:rPr>
        <w:t>, solo se cit</w:t>
      </w:r>
      <w:r w:rsidR="008354DE" w:rsidRPr="00BB68F4">
        <w:rPr>
          <w:rFonts w:ascii="Book Antiqua" w:hAnsi="Book Antiqua" w:cs="Arial"/>
          <w:sz w:val="24"/>
          <w:szCs w:val="24"/>
        </w:rPr>
        <w:t xml:space="preserve">aron </w:t>
      </w:r>
      <w:r w:rsidR="00643BB9">
        <w:rPr>
          <w:rFonts w:ascii="Book Antiqua" w:hAnsi="Book Antiqua" w:cs="Arial"/>
          <w:sz w:val="24"/>
          <w:szCs w:val="24"/>
        </w:rPr>
        <w:t xml:space="preserve">los </w:t>
      </w:r>
      <w:r w:rsidR="008354DE" w:rsidRPr="00BB68F4">
        <w:rPr>
          <w:rFonts w:ascii="Book Antiqua" w:hAnsi="Book Antiqua" w:cs="Arial"/>
          <w:sz w:val="24"/>
          <w:szCs w:val="24"/>
        </w:rPr>
        <w:t>emplazados</w:t>
      </w:r>
      <w:r w:rsidR="00566F65" w:rsidRPr="00BB68F4">
        <w:rPr>
          <w:rFonts w:ascii="Book Antiqua" w:hAnsi="Book Antiqua" w:cs="Arial"/>
          <w:sz w:val="24"/>
          <w:szCs w:val="24"/>
          <w:lang w:val="es-MX"/>
        </w:rPr>
        <w:t>,</w:t>
      </w:r>
      <w:r w:rsidRPr="00BB68F4">
        <w:rPr>
          <w:rFonts w:ascii="Book Antiqua" w:hAnsi="Book Antiqua" w:cs="Arial"/>
          <w:sz w:val="24"/>
          <w:szCs w:val="24"/>
          <w:lang w:val="es-MX"/>
        </w:rPr>
        <w:t xml:space="preserve"> por </w:t>
      </w:r>
      <w:r w:rsidR="00566F65" w:rsidRPr="00BB68F4">
        <w:rPr>
          <w:rFonts w:ascii="Book Antiqua" w:hAnsi="Book Antiqua" w:cs="Arial"/>
          <w:sz w:val="24"/>
          <w:szCs w:val="24"/>
          <w:lang w:val="es-MX"/>
        </w:rPr>
        <w:t xml:space="preserve">lo </w:t>
      </w:r>
      <w:r w:rsidRPr="00BB68F4">
        <w:rPr>
          <w:rFonts w:ascii="Book Antiqua" w:hAnsi="Book Antiqua" w:cs="Arial"/>
          <w:sz w:val="24"/>
          <w:szCs w:val="24"/>
          <w:lang w:val="es-MX"/>
        </w:rPr>
        <w:t>tanto</w:t>
      </w:r>
      <w:r w:rsidR="00566F65" w:rsidRPr="00BB68F4">
        <w:rPr>
          <w:rFonts w:ascii="Book Antiqua" w:hAnsi="Book Antiqua" w:cs="Arial"/>
          <w:sz w:val="24"/>
          <w:szCs w:val="24"/>
          <w:lang w:val="es-MX"/>
        </w:rPr>
        <w:t>,</w:t>
      </w:r>
      <w:r w:rsidRPr="00BB68F4">
        <w:rPr>
          <w:rFonts w:ascii="Book Antiqua" w:hAnsi="Book Antiqua" w:cs="Arial"/>
          <w:sz w:val="24"/>
          <w:szCs w:val="24"/>
          <w:lang w:val="es-MX"/>
        </w:rPr>
        <w:t xml:space="preserve"> </w:t>
      </w:r>
      <w:r w:rsidR="00643BB9">
        <w:rPr>
          <w:rFonts w:ascii="Book Antiqua" w:hAnsi="Book Antiqua" w:cs="Arial"/>
          <w:sz w:val="24"/>
          <w:szCs w:val="24"/>
          <w:lang w:val="es-MX"/>
        </w:rPr>
        <w:t xml:space="preserve">fue </w:t>
      </w:r>
      <w:r w:rsidR="001902A0" w:rsidRPr="00BB68F4">
        <w:rPr>
          <w:rFonts w:ascii="Book Antiqua" w:hAnsi="Book Antiqua" w:cs="Arial"/>
          <w:sz w:val="24"/>
          <w:szCs w:val="24"/>
          <w:lang w:val="es-MX"/>
        </w:rPr>
        <w:t>indebido e</w:t>
      </w:r>
      <w:r w:rsidR="00643BB9">
        <w:rPr>
          <w:rFonts w:ascii="Book Antiqua" w:hAnsi="Book Antiqua" w:cs="Arial"/>
          <w:sz w:val="24"/>
          <w:szCs w:val="24"/>
          <w:lang w:val="es-MX"/>
        </w:rPr>
        <w:t>se trámite</w:t>
      </w:r>
      <w:r w:rsidRPr="00BB68F4">
        <w:rPr>
          <w:rFonts w:ascii="Book Antiqua" w:hAnsi="Book Antiqua" w:cs="Arial"/>
          <w:sz w:val="24"/>
          <w:szCs w:val="24"/>
          <w:lang w:val="es-MX"/>
        </w:rPr>
        <w:t xml:space="preserve">.  </w:t>
      </w:r>
    </w:p>
    <w:p w:rsidR="0055047B" w:rsidRDefault="0055047B" w:rsidP="004B6BF7">
      <w:pPr>
        <w:spacing w:line="360" w:lineRule="auto"/>
        <w:jc w:val="both"/>
        <w:rPr>
          <w:rFonts w:ascii="Book Antiqua" w:hAnsi="Book Antiqua" w:cs="Arial"/>
          <w:sz w:val="24"/>
          <w:szCs w:val="24"/>
          <w:lang w:val="es-MX"/>
        </w:rPr>
      </w:pPr>
    </w:p>
    <w:p w:rsidR="00643BB9" w:rsidRPr="00BB68F4" w:rsidRDefault="004851F8" w:rsidP="00643BB9">
      <w:pPr>
        <w:spacing w:line="360" w:lineRule="auto"/>
        <w:jc w:val="both"/>
        <w:rPr>
          <w:rFonts w:ascii="Book Antiqua" w:hAnsi="Book Antiqua" w:cs="Arial"/>
          <w:sz w:val="24"/>
          <w:szCs w:val="24"/>
          <w:lang w:val="es-MX"/>
        </w:rPr>
      </w:pPr>
      <w:r w:rsidRPr="00BB68F4">
        <w:rPr>
          <w:rFonts w:ascii="Book Antiqua" w:hAnsi="Book Antiqua" w:cs="Arial"/>
          <w:sz w:val="24"/>
          <w:szCs w:val="24"/>
          <w:lang w:val="es-MX"/>
        </w:rPr>
        <w:t xml:space="preserve">El </w:t>
      </w:r>
      <w:r w:rsidR="00643BB9" w:rsidRPr="00BB68F4">
        <w:rPr>
          <w:rFonts w:ascii="Book Antiqua" w:hAnsi="Book Antiqua" w:cs="Arial"/>
          <w:sz w:val="24"/>
          <w:szCs w:val="24"/>
          <w:lang w:val="es-MX"/>
        </w:rPr>
        <w:t xml:space="preserve">emplazamiento de </w:t>
      </w:r>
      <w:r w:rsidR="00643BB9" w:rsidRPr="00BB68F4">
        <w:rPr>
          <w:rFonts w:ascii="Book Antiqua" w:hAnsi="Book Antiqua" w:cs="Arial"/>
          <w:sz w:val="24"/>
          <w:szCs w:val="24"/>
        </w:rPr>
        <w:t>Dolly Yaneth Parra Franco, se itera</w:t>
      </w:r>
      <w:r w:rsidR="00643BB9">
        <w:rPr>
          <w:rFonts w:ascii="Book Antiqua" w:hAnsi="Book Antiqua" w:cs="Arial"/>
          <w:sz w:val="24"/>
          <w:szCs w:val="24"/>
        </w:rPr>
        <w:t xml:space="preserve"> sin</w:t>
      </w:r>
      <w:r w:rsidR="00643BB9" w:rsidRPr="00BB68F4">
        <w:rPr>
          <w:rFonts w:ascii="Book Antiqua" w:hAnsi="Book Antiqua" w:cs="Arial"/>
          <w:sz w:val="24"/>
          <w:szCs w:val="24"/>
        </w:rPr>
        <w:t xml:space="preserve"> </w:t>
      </w:r>
      <w:r w:rsidR="00643BB9" w:rsidRPr="00BB68F4">
        <w:rPr>
          <w:rFonts w:ascii="Book Antiqua" w:hAnsi="Book Antiqua" w:cs="Arial"/>
          <w:sz w:val="24"/>
          <w:szCs w:val="24"/>
          <w:u w:val="single"/>
        </w:rPr>
        <w:t>siquiera medi</w:t>
      </w:r>
      <w:r w:rsidR="00643BB9">
        <w:rPr>
          <w:rFonts w:ascii="Book Antiqua" w:hAnsi="Book Antiqua" w:cs="Arial"/>
          <w:sz w:val="24"/>
          <w:szCs w:val="24"/>
          <w:u w:val="single"/>
        </w:rPr>
        <w:t>ar</w:t>
      </w:r>
      <w:r w:rsidR="00643BB9" w:rsidRPr="00BB68F4">
        <w:rPr>
          <w:rFonts w:ascii="Book Antiqua" w:hAnsi="Book Antiqua" w:cs="Arial"/>
          <w:sz w:val="24"/>
          <w:szCs w:val="24"/>
          <w:u w:val="single"/>
        </w:rPr>
        <w:t xml:space="preserve"> orden</w:t>
      </w:r>
      <w:r w:rsidR="008859BE" w:rsidRPr="008859BE">
        <w:rPr>
          <w:rFonts w:ascii="Book Antiqua" w:hAnsi="Book Antiqua" w:cs="Arial"/>
          <w:sz w:val="24"/>
          <w:szCs w:val="24"/>
        </w:rPr>
        <w:t xml:space="preserve"> (En auto 13-05-2016, se omitió resolverse la petición, folios 76 y 79, ib.)</w:t>
      </w:r>
      <w:r w:rsidR="00643BB9" w:rsidRPr="00BB68F4">
        <w:rPr>
          <w:rFonts w:ascii="Book Antiqua" w:hAnsi="Book Antiqua" w:cs="Arial"/>
          <w:sz w:val="24"/>
          <w:szCs w:val="24"/>
        </w:rPr>
        <w:t xml:space="preserve">, </w:t>
      </w:r>
      <w:r w:rsidR="00643BB9">
        <w:rPr>
          <w:rFonts w:ascii="Book Antiqua" w:hAnsi="Book Antiqua" w:cs="Arial"/>
          <w:sz w:val="24"/>
          <w:szCs w:val="24"/>
        </w:rPr>
        <w:t>fue</w:t>
      </w:r>
      <w:r w:rsidR="00643BB9" w:rsidRPr="00BB68F4">
        <w:rPr>
          <w:rFonts w:ascii="Book Antiqua" w:hAnsi="Book Antiqua" w:cs="Arial"/>
          <w:sz w:val="24"/>
          <w:szCs w:val="24"/>
        </w:rPr>
        <w:t xml:space="preserve"> acept</w:t>
      </w:r>
      <w:r w:rsidR="00643BB9">
        <w:rPr>
          <w:rFonts w:ascii="Book Antiqua" w:hAnsi="Book Antiqua" w:cs="Arial"/>
          <w:sz w:val="24"/>
          <w:szCs w:val="24"/>
        </w:rPr>
        <w:t xml:space="preserve">ado </w:t>
      </w:r>
      <w:r w:rsidR="00643BB9" w:rsidRPr="00BB68F4">
        <w:rPr>
          <w:rFonts w:ascii="Book Antiqua" w:hAnsi="Book Antiqua" w:cs="Arial"/>
          <w:sz w:val="24"/>
          <w:szCs w:val="24"/>
        </w:rPr>
        <w:t>sin tener en cuenta que e</w:t>
      </w:r>
      <w:r w:rsidR="00643BB9">
        <w:rPr>
          <w:rFonts w:ascii="Book Antiqua" w:hAnsi="Book Antiqua" w:cs="Arial"/>
          <w:sz w:val="24"/>
          <w:szCs w:val="24"/>
        </w:rPr>
        <w:t>ra</w:t>
      </w:r>
      <w:r w:rsidR="00643BB9" w:rsidRPr="00BB68F4">
        <w:rPr>
          <w:rFonts w:ascii="Book Antiqua" w:hAnsi="Book Antiqua" w:cs="Arial"/>
          <w:sz w:val="24"/>
          <w:szCs w:val="24"/>
        </w:rPr>
        <w:t xml:space="preserve"> irregular, por idéntica razón.  </w:t>
      </w:r>
    </w:p>
    <w:p w:rsidR="00643BB9" w:rsidRDefault="00643BB9" w:rsidP="004B6BF7">
      <w:pPr>
        <w:spacing w:line="360" w:lineRule="auto"/>
        <w:jc w:val="both"/>
        <w:rPr>
          <w:rFonts w:ascii="Book Antiqua" w:hAnsi="Book Antiqua" w:cs="Arial"/>
          <w:sz w:val="24"/>
          <w:szCs w:val="24"/>
          <w:lang w:val="es-MX"/>
        </w:rPr>
      </w:pPr>
    </w:p>
    <w:p w:rsidR="00643BB9" w:rsidRPr="00BB68F4" w:rsidRDefault="004851F8" w:rsidP="00643BB9">
      <w:pPr>
        <w:spacing w:line="360" w:lineRule="auto"/>
        <w:jc w:val="both"/>
        <w:rPr>
          <w:rFonts w:ascii="Book Antiqua" w:hAnsi="Book Antiqua" w:cs="Arial"/>
          <w:sz w:val="24"/>
          <w:szCs w:val="24"/>
        </w:rPr>
      </w:pPr>
      <w:r>
        <w:rPr>
          <w:rFonts w:ascii="Book Antiqua" w:hAnsi="Book Antiqua" w:cs="Arial"/>
          <w:sz w:val="24"/>
          <w:szCs w:val="24"/>
        </w:rPr>
        <w:t>Ahora</w:t>
      </w:r>
      <w:r w:rsidR="00643BB9" w:rsidRPr="00643BB9">
        <w:rPr>
          <w:rFonts w:ascii="Book Antiqua" w:hAnsi="Book Antiqua" w:cs="Arial"/>
          <w:sz w:val="24"/>
          <w:szCs w:val="24"/>
        </w:rPr>
        <w:t>,</w:t>
      </w:r>
      <w:r w:rsidR="00643BB9">
        <w:rPr>
          <w:rFonts w:ascii="Book Antiqua" w:hAnsi="Book Antiqua" w:cs="Arial"/>
          <w:sz w:val="24"/>
          <w:szCs w:val="24"/>
        </w:rPr>
        <w:t xml:space="preserve"> los señores </w:t>
      </w:r>
      <w:r w:rsidR="00643BB9" w:rsidRPr="00643BB9">
        <w:rPr>
          <w:rFonts w:ascii="Book Antiqua" w:hAnsi="Book Antiqua" w:cs="Arial"/>
          <w:sz w:val="24"/>
          <w:szCs w:val="24"/>
        </w:rPr>
        <w:t>Jaime Alonso</w:t>
      </w:r>
      <w:r w:rsidR="00643BB9">
        <w:rPr>
          <w:rFonts w:ascii="Book Antiqua" w:hAnsi="Book Antiqua" w:cs="Arial"/>
          <w:sz w:val="24"/>
          <w:szCs w:val="24"/>
        </w:rPr>
        <w:t xml:space="preserve">, </w:t>
      </w:r>
      <w:r w:rsidR="00643BB9" w:rsidRPr="00643BB9">
        <w:rPr>
          <w:rFonts w:ascii="Book Antiqua" w:hAnsi="Book Antiqua" w:cs="Arial"/>
          <w:sz w:val="24"/>
          <w:szCs w:val="24"/>
        </w:rPr>
        <w:t xml:space="preserve">Luis Ovidio, </w:t>
      </w:r>
      <w:proofErr w:type="spellStart"/>
      <w:r w:rsidR="00643BB9" w:rsidRPr="00643BB9">
        <w:rPr>
          <w:rFonts w:ascii="Book Antiqua" w:hAnsi="Book Antiqua" w:cs="Arial"/>
          <w:sz w:val="24"/>
          <w:szCs w:val="24"/>
        </w:rPr>
        <w:t>Jhon</w:t>
      </w:r>
      <w:proofErr w:type="spellEnd"/>
      <w:r w:rsidR="00643BB9" w:rsidRPr="00643BB9">
        <w:rPr>
          <w:rFonts w:ascii="Book Antiqua" w:hAnsi="Book Antiqua" w:cs="Arial"/>
          <w:sz w:val="24"/>
          <w:szCs w:val="24"/>
        </w:rPr>
        <w:t xml:space="preserve"> William y Dolly Yaneth Parra Franco</w:t>
      </w:r>
      <w:r w:rsidR="00643BB9">
        <w:rPr>
          <w:rFonts w:ascii="Book Antiqua" w:hAnsi="Book Antiqua" w:cs="Arial"/>
          <w:sz w:val="24"/>
          <w:szCs w:val="24"/>
        </w:rPr>
        <w:t xml:space="preserve">, sanearon </w:t>
      </w:r>
      <w:r w:rsidR="008859BE">
        <w:rPr>
          <w:rFonts w:ascii="Book Antiqua" w:hAnsi="Book Antiqua" w:cs="Arial"/>
          <w:sz w:val="24"/>
          <w:szCs w:val="24"/>
        </w:rPr>
        <w:t xml:space="preserve">la irregularidad ocurrida </w:t>
      </w:r>
      <w:r>
        <w:rPr>
          <w:rFonts w:ascii="Book Antiqua" w:hAnsi="Book Antiqua" w:cs="Arial"/>
          <w:sz w:val="24"/>
          <w:szCs w:val="24"/>
        </w:rPr>
        <w:t xml:space="preserve">frente </w:t>
      </w:r>
      <w:r w:rsidR="008859BE">
        <w:rPr>
          <w:rFonts w:ascii="Book Antiqua" w:hAnsi="Book Antiqua" w:cs="Arial"/>
          <w:sz w:val="24"/>
          <w:szCs w:val="24"/>
        </w:rPr>
        <w:t xml:space="preserve">a ellos, pues comparecieron sin alegarla, el primero </w:t>
      </w:r>
      <w:r>
        <w:rPr>
          <w:rFonts w:ascii="Book Antiqua" w:hAnsi="Book Antiqua" w:cs="Arial"/>
          <w:sz w:val="24"/>
          <w:szCs w:val="24"/>
        </w:rPr>
        <w:t xml:space="preserve">cuando </w:t>
      </w:r>
      <w:r w:rsidR="008859BE" w:rsidRPr="00643BB9">
        <w:rPr>
          <w:rFonts w:ascii="Book Antiqua" w:hAnsi="Book Antiqua" w:cs="Arial"/>
          <w:sz w:val="24"/>
          <w:szCs w:val="24"/>
        </w:rPr>
        <w:t>acudió</w:t>
      </w:r>
      <w:r w:rsidR="00643BB9" w:rsidRPr="00643BB9">
        <w:rPr>
          <w:rFonts w:ascii="Book Antiqua" w:hAnsi="Book Antiqua" w:cs="Arial"/>
          <w:sz w:val="24"/>
          <w:szCs w:val="24"/>
        </w:rPr>
        <w:t xml:space="preserve"> personalmente a la audiencia y </w:t>
      </w:r>
      <w:r w:rsidR="008859BE">
        <w:rPr>
          <w:rFonts w:ascii="Book Antiqua" w:hAnsi="Book Antiqua" w:cs="Arial"/>
          <w:sz w:val="24"/>
          <w:szCs w:val="24"/>
        </w:rPr>
        <w:t xml:space="preserve">allí </w:t>
      </w:r>
      <w:r w:rsidR="00643BB9" w:rsidRPr="00643BB9">
        <w:rPr>
          <w:rFonts w:ascii="Book Antiqua" w:hAnsi="Book Antiqua" w:cs="Arial"/>
          <w:sz w:val="24"/>
          <w:szCs w:val="24"/>
        </w:rPr>
        <w:t xml:space="preserve">confirió poder, </w:t>
      </w:r>
      <w:r w:rsidR="008859BE">
        <w:rPr>
          <w:rFonts w:ascii="Book Antiqua" w:hAnsi="Book Antiqua" w:cs="Arial"/>
          <w:sz w:val="24"/>
          <w:szCs w:val="24"/>
        </w:rPr>
        <w:t xml:space="preserve">y los demás </w:t>
      </w:r>
      <w:r>
        <w:rPr>
          <w:rFonts w:ascii="Book Antiqua" w:hAnsi="Book Antiqua" w:cs="Arial"/>
          <w:sz w:val="24"/>
          <w:szCs w:val="24"/>
        </w:rPr>
        <w:t>al remitir e</w:t>
      </w:r>
      <w:r w:rsidR="00643BB9" w:rsidRPr="00643BB9">
        <w:rPr>
          <w:rFonts w:ascii="Book Antiqua" w:hAnsi="Book Antiqua" w:cs="Arial"/>
          <w:sz w:val="24"/>
          <w:szCs w:val="24"/>
        </w:rPr>
        <w:t>n curso de la misma diligencia, los escritos visibles a folios 133 a 135, ib.</w:t>
      </w:r>
    </w:p>
    <w:p w:rsidR="00643BB9" w:rsidRPr="00BB68F4" w:rsidRDefault="00643BB9" w:rsidP="004B6BF7">
      <w:pPr>
        <w:spacing w:line="360" w:lineRule="auto"/>
        <w:jc w:val="both"/>
        <w:rPr>
          <w:rFonts w:ascii="Book Antiqua" w:hAnsi="Book Antiqua" w:cs="Arial"/>
          <w:sz w:val="24"/>
          <w:szCs w:val="24"/>
          <w:lang w:val="es-MX"/>
        </w:rPr>
      </w:pPr>
    </w:p>
    <w:p w:rsidR="005E0C72" w:rsidRPr="00BB68F4" w:rsidRDefault="0055047B" w:rsidP="006567B9">
      <w:pPr>
        <w:spacing w:line="360" w:lineRule="auto"/>
        <w:jc w:val="both"/>
        <w:rPr>
          <w:rFonts w:ascii="Book Antiqua" w:hAnsi="Book Antiqua" w:cs="Arial"/>
          <w:sz w:val="24"/>
          <w:szCs w:val="24"/>
        </w:rPr>
      </w:pPr>
      <w:r w:rsidRPr="00BB68F4">
        <w:rPr>
          <w:rFonts w:ascii="Book Antiqua" w:hAnsi="Book Antiqua" w:cs="Arial"/>
          <w:sz w:val="24"/>
          <w:szCs w:val="24"/>
        </w:rPr>
        <w:t>Por ende</w:t>
      </w:r>
      <w:r w:rsidR="002A5F6E" w:rsidRPr="00BB68F4">
        <w:rPr>
          <w:rFonts w:ascii="Book Antiqua" w:hAnsi="Book Antiqua" w:cs="Arial"/>
          <w:sz w:val="24"/>
          <w:szCs w:val="24"/>
        </w:rPr>
        <w:t xml:space="preserve">, se considera y así será declarado, que </w:t>
      </w:r>
      <w:r w:rsidR="00566F65" w:rsidRPr="00BB68F4">
        <w:rPr>
          <w:rFonts w:ascii="Book Antiqua" w:hAnsi="Book Antiqua" w:cs="Arial"/>
          <w:sz w:val="24"/>
          <w:szCs w:val="24"/>
        </w:rPr>
        <w:t>la actuación</w:t>
      </w:r>
      <w:r w:rsidR="008859BE">
        <w:rPr>
          <w:rFonts w:ascii="Book Antiqua" w:hAnsi="Book Antiqua" w:cs="Arial"/>
          <w:sz w:val="24"/>
          <w:szCs w:val="24"/>
        </w:rPr>
        <w:t xml:space="preserve"> </w:t>
      </w:r>
      <w:r w:rsidR="008859BE" w:rsidRPr="00BB68F4">
        <w:rPr>
          <w:rFonts w:ascii="Book Antiqua" w:hAnsi="Book Antiqua" w:cs="Arial"/>
          <w:sz w:val="24"/>
          <w:szCs w:val="24"/>
        </w:rPr>
        <w:t>es irregular y encuadra en la causal del artículo 133-8º, ib.,</w:t>
      </w:r>
      <w:r w:rsidR="008859BE">
        <w:rPr>
          <w:rFonts w:ascii="Book Antiqua" w:hAnsi="Book Antiqua" w:cs="Arial"/>
          <w:sz w:val="24"/>
          <w:szCs w:val="24"/>
        </w:rPr>
        <w:t xml:space="preserve"> </w:t>
      </w:r>
      <w:r w:rsidR="004851F8">
        <w:rPr>
          <w:rFonts w:ascii="Book Antiqua" w:hAnsi="Book Antiqua" w:cs="Arial"/>
          <w:sz w:val="24"/>
          <w:szCs w:val="24"/>
        </w:rPr>
        <w:t xml:space="preserve">respecto </w:t>
      </w:r>
      <w:r w:rsidR="008859BE">
        <w:rPr>
          <w:rFonts w:ascii="Book Antiqua" w:hAnsi="Book Antiqua" w:cs="Arial"/>
          <w:sz w:val="24"/>
          <w:szCs w:val="24"/>
        </w:rPr>
        <w:t xml:space="preserve">a los </w:t>
      </w:r>
      <w:r w:rsidR="005E0C72" w:rsidRPr="00BB68F4">
        <w:rPr>
          <w:rFonts w:ascii="Book Antiqua" w:hAnsi="Book Antiqua" w:cs="Arial"/>
          <w:sz w:val="24"/>
          <w:szCs w:val="24"/>
          <w:u w:val="single"/>
        </w:rPr>
        <w:t>herederos indeterminados</w:t>
      </w:r>
      <w:r w:rsidR="0085787C" w:rsidRPr="00BB68F4">
        <w:rPr>
          <w:rFonts w:ascii="Book Antiqua" w:hAnsi="Book Antiqua" w:cs="Arial"/>
          <w:sz w:val="24"/>
          <w:szCs w:val="24"/>
          <w:u w:val="single"/>
        </w:rPr>
        <w:t xml:space="preserve"> del causante, </w:t>
      </w:r>
      <w:r w:rsidR="005E0C72" w:rsidRPr="00BB68F4">
        <w:rPr>
          <w:rFonts w:ascii="Book Antiqua" w:hAnsi="Book Antiqua" w:cs="Arial"/>
          <w:sz w:val="24"/>
          <w:szCs w:val="24"/>
          <w:u w:val="single"/>
        </w:rPr>
        <w:t xml:space="preserve">y </w:t>
      </w:r>
      <w:r w:rsidR="002A5F6E" w:rsidRPr="00BB68F4">
        <w:rPr>
          <w:rFonts w:ascii="Book Antiqua" w:hAnsi="Book Antiqua" w:cs="Arial"/>
          <w:sz w:val="24"/>
          <w:szCs w:val="24"/>
          <w:u w:val="single"/>
        </w:rPr>
        <w:t>ello</w:t>
      </w:r>
      <w:r w:rsidR="00566F65" w:rsidRPr="00BB68F4">
        <w:rPr>
          <w:rFonts w:ascii="Book Antiqua" w:hAnsi="Book Antiqua" w:cs="Arial"/>
          <w:sz w:val="24"/>
          <w:szCs w:val="24"/>
          <w:u w:val="single"/>
        </w:rPr>
        <w:t>,</w:t>
      </w:r>
      <w:r w:rsidR="002A5F6E" w:rsidRPr="00BB68F4">
        <w:rPr>
          <w:rFonts w:ascii="Book Antiqua" w:hAnsi="Book Antiqua" w:cs="Arial"/>
          <w:sz w:val="24"/>
          <w:szCs w:val="24"/>
          <w:u w:val="single"/>
        </w:rPr>
        <w:t xml:space="preserve"> por supuesto</w:t>
      </w:r>
      <w:r w:rsidR="00566F65" w:rsidRPr="00BB68F4">
        <w:rPr>
          <w:rFonts w:ascii="Book Antiqua" w:hAnsi="Book Antiqua" w:cs="Arial"/>
          <w:sz w:val="24"/>
          <w:szCs w:val="24"/>
          <w:u w:val="single"/>
        </w:rPr>
        <w:t>,</w:t>
      </w:r>
      <w:r w:rsidR="00186705" w:rsidRPr="00BB68F4">
        <w:rPr>
          <w:rFonts w:ascii="Book Antiqua" w:hAnsi="Book Antiqua" w:cs="Arial"/>
          <w:sz w:val="24"/>
          <w:szCs w:val="24"/>
          <w:u w:val="single"/>
        </w:rPr>
        <w:t xml:space="preserve"> invalida</w:t>
      </w:r>
      <w:r w:rsidR="002A5F6E" w:rsidRPr="00BB68F4">
        <w:rPr>
          <w:rFonts w:ascii="Book Antiqua" w:hAnsi="Book Antiqua" w:cs="Arial"/>
          <w:sz w:val="24"/>
          <w:szCs w:val="24"/>
          <w:u w:val="single"/>
        </w:rPr>
        <w:t xml:space="preserve"> </w:t>
      </w:r>
      <w:r w:rsidR="002E20D6" w:rsidRPr="00BB68F4">
        <w:rPr>
          <w:rFonts w:ascii="Book Antiqua" w:hAnsi="Book Antiqua" w:cs="Arial"/>
          <w:sz w:val="24"/>
          <w:szCs w:val="24"/>
          <w:u w:val="single"/>
        </w:rPr>
        <w:t xml:space="preserve">la </w:t>
      </w:r>
      <w:r w:rsidR="007D102F" w:rsidRPr="00BB68F4">
        <w:rPr>
          <w:rFonts w:ascii="Book Antiqua" w:hAnsi="Book Antiqua" w:cs="Arial"/>
          <w:sz w:val="24"/>
          <w:szCs w:val="24"/>
          <w:u w:val="single"/>
        </w:rPr>
        <w:t xml:space="preserve">comparecencia del curador </w:t>
      </w:r>
      <w:r w:rsidR="007D102F" w:rsidRPr="00BB68F4">
        <w:rPr>
          <w:rFonts w:ascii="Book Antiqua" w:hAnsi="Book Antiqua" w:cs="Arial"/>
          <w:i/>
          <w:sz w:val="24"/>
          <w:szCs w:val="24"/>
          <w:u w:val="single"/>
        </w:rPr>
        <w:t xml:space="preserve">ad </w:t>
      </w:r>
      <w:proofErr w:type="spellStart"/>
      <w:r w:rsidR="007D102F" w:rsidRPr="00BB68F4">
        <w:rPr>
          <w:rFonts w:ascii="Book Antiqua" w:hAnsi="Book Antiqua" w:cs="Arial"/>
          <w:i/>
          <w:sz w:val="24"/>
          <w:szCs w:val="24"/>
          <w:u w:val="single"/>
        </w:rPr>
        <w:t>litem</w:t>
      </w:r>
      <w:proofErr w:type="spellEnd"/>
      <w:r w:rsidR="006567B9" w:rsidRPr="00BB68F4">
        <w:rPr>
          <w:rFonts w:ascii="Book Antiqua" w:hAnsi="Book Antiqua" w:cs="Arial"/>
          <w:sz w:val="24"/>
          <w:szCs w:val="24"/>
          <w:u w:val="single"/>
        </w:rPr>
        <w:t xml:space="preserve"> que l</w:t>
      </w:r>
      <w:r w:rsidR="0085787C" w:rsidRPr="00BB68F4">
        <w:rPr>
          <w:rFonts w:ascii="Book Antiqua" w:hAnsi="Book Antiqua" w:cs="Arial"/>
          <w:sz w:val="24"/>
          <w:szCs w:val="24"/>
          <w:u w:val="single"/>
        </w:rPr>
        <w:t>os</w:t>
      </w:r>
      <w:r w:rsidR="006567B9" w:rsidRPr="00BB68F4">
        <w:rPr>
          <w:rFonts w:ascii="Book Antiqua" w:hAnsi="Book Antiqua" w:cs="Arial"/>
          <w:sz w:val="24"/>
          <w:szCs w:val="24"/>
          <w:u w:val="single"/>
        </w:rPr>
        <w:t xml:space="preserve"> representó</w:t>
      </w:r>
      <w:r w:rsidR="006567B9" w:rsidRPr="00BB68F4">
        <w:rPr>
          <w:rFonts w:ascii="Book Antiqua" w:hAnsi="Book Antiqua" w:cs="Arial"/>
          <w:sz w:val="24"/>
          <w:szCs w:val="24"/>
        </w:rPr>
        <w:t xml:space="preserve">. </w:t>
      </w:r>
    </w:p>
    <w:p w:rsidR="005E0C72" w:rsidRDefault="005E0C72" w:rsidP="006567B9">
      <w:pPr>
        <w:spacing w:line="360" w:lineRule="auto"/>
        <w:jc w:val="both"/>
        <w:rPr>
          <w:rFonts w:ascii="Book Antiqua" w:hAnsi="Book Antiqua" w:cs="Arial"/>
          <w:sz w:val="24"/>
          <w:szCs w:val="24"/>
        </w:rPr>
      </w:pPr>
    </w:p>
    <w:p w:rsidR="00F537CB" w:rsidRPr="00BB68F4" w:rsidRDefault="00566F65" w:rsidP="00F537CB">
      <w:pPr>
        <w:spacing w:line="360" w:lineRule="auto"/>
        <w:jc w:val="both"/>
        <w:rPr>
          <w:rFonts w:ascii="Book Antiqua" w:hAnsi="Book Antiqua" w:cs="Arial"/>
          <w:sz w:val="24"/>
          <w:szCs w:val="24"/>
          <w:lang w:val="es-MX"/>
        </w:rPr>
      </w:pPr>
      <w:r w:rsidRPr="00BB68F4">
        <w:rPr>
          <w:rFonts w:ascii="Book Antiqua" w:hAnsi="Book Antiqua" w:cs="Arial"/>
          <w:sz w:val="24"/>
          <w:szCs w:val="24"/>
        </w:rPr>
        <w:t xml:space="preserve">Los </w:t>
      </w:r>
      <w:r w:rsidR="00186705" w:rsidRPr="00BB68F4">
        <w:rPr>
          <w:rFonts w:ascii="Book Antiqua" w:hAnsi="Book Antiqua" w:cs="Arial"/>
          <w:sz w:val="24"/>
          <w:szCs w:val="24"/>
          <w:lang w:val="es-MX"/>
        </w:rPr>
        <w:t xml:space="preserve">efectos de esta declaratoria afectan lo actuado </w:t>
      </w:r>
      <w:r w:rsidR="00AF321C" w:rsidRPr="00BB68F4">
        <w:rPr>
          <w:rFonts w:ascii="Book Antiqua" w:hAnsi="Book Antiqua" w:cs="Arial"/>
          <w:sz w:val="24"/>
          <w:szCs w:val="24"/>
          <w:lang w:val="es-MX"/>
        </w:rPr>
        <w:t>a partir del auto de 1</w:t>
      </w:r>
      <w:r w:rsidR="00F537CB" w:rsidRPr="00BB68F4">
        <w:rPr>
          <w:rFonts w:ascii="Book Antiqua" w:hAnsi="Book Antiqua" w:cs="Arial"/>
          <w:sz w:val="24"/>
          <w:szCs w:val="24"/>
          <w:lang w:val="es-MX"/>
        </w:rPr>
        <w:t>9-07</w:t>
      </w:r>
      <w:r w:rsidR="00AF321C" w:rsidRPr="00BB68F4">
        <w:rPr>
          <w:rFonts w:ascii="Book Antiqua" w:hAnsi="Book Antiqua" w:cs="Arial"/>
          <w:sz w:val="24"/>
          <w:szCs w:val="24"/>
          <w:lang w:val="es-MX"/>
        </w:rPr>
        <w:t>-201</w:t>
      </w:r>
      <w:r w:rsidR="00F537CB" w:rsidRPr="00BB68F4">
        <w:rPr>
          <w:rFonts w:ascii="Book Antiqua" w:hAnsi="Book Antiqua" w:cs="Arial"/>
          <w:sz w:val="24"/>
          <w:szCs w:val="24"/>
          <w:lang w:val="es-MX"/>
        </w:rPr>
        <w:t>6, con relación a los</w:t>
      </w:r>
      <w:r w:rsidR="0055047B" w:rsidRPr="00BB68F4">
        <w:rPr>
          <w:rFonts w:ascii="Book Antiqua" w:hAnsi="Book Antiqua" w:cs="Arial"/>
          <w:sz w:val="24"/>
          <w:szCs w:val="24"/>
          <w:lang w:val="es-MX"/>
        </w:rPr>
        <w:t xml:space="preserve"> </w:t>
      </w:r>
      <w:r w:rsidR="00F537CB" w:rsidRPr="00BB68F4">
        <w:rPr>
          <w:rFonts w:ascii="Book Antiqua" w:hAnsi="Book Antiqua" w:cs="Arial"/>
          <w:sz w:val="24"/>
          <w:szCs w:val="24"/>
          <w:u w:val="single"/>
        </w:rPr>
        <w:t>herederos indeterminados</w:t>
      </w:r>
      <w:r w:rsidR="00F537CB" w:rsidRPr="00BB68F4">
        <w:rPr>
          <w:rFonts w:ascii="Book Antiqua" w:hAnsi="Book Antiqua" w:cs="Arial"/>
          <w:sz w:val="24"/>
          <w:szCs w:val="24"/>
          <w:lang w:val="es-MX"/>
        </w:rPr>
        <w:t xml:space="preserve"> </w:t>
      </w:r>
      <w:r w:rsidR="00AF321C" w:rsidRPr="00BB68F4">
        <w:rPr>
          <w:rFonts w:ascii="Book Antiqua" w:hAnsi="Book Antiqua" w:cs="Arial"/>
          <w:sz w:val="24"/>
          <w:szCs w:val="24"/>
          <w:lang w:val="es-MX"/>
        </w:rPr>
        <w:t xml:space="preserve">que entendió como válida la publicación allegada, ya que según lo expuesto, debió rechazarse. </w:t>
      </w:r>
      <w:r w:rsidR="00F537CB" w:rsidRPr="00BB68F4">
        <w:rPr>
          <w:rFonts w:ascii="Book Antiqua" w:hAnsi="Book Antiqua" w:cs="Arial"/>
          <w:sz w:val="24"/>
          <w:szCs w:val="24"/>
          <w:lang w:val="es-MX"/>
        </w:rPr>
        <w:t xml:space="preserve">Sin embargo, conservarán vigor las notificaciones y actuaciones surtidas con relación a los codemandados </w:t>
      </w:r>
      <w:r w:rsidR="00F537CB" w:rsidRPr="00BB68F4">
        <w:rPr>
          <w:rFonts w:ascii="Book Antiqua" w:hAnsi="Book Antiqua" w:cs="Arial"/>
          <w:sz w:val="24"/>
          <w:szCs w:val="24"/>
        </w:rPr>
        <w:t xml:space="preserve">Jaime Alonso, Luis Ovidio, </w:t>
      </w:r>
      <w:proofErr w:type="spellStart"/>
      <w:r w:rsidR="00F537CB" w:rsidRPr="00BB68F4">
        <w:rPr>
          <w:rFonts w:ascii="Book Antiqua" w:hAnsi="Book Antiqua" w:cs="Arial"/>
          <w:sz w:val="24"/>
          <w:szCs w:val="24"/>
        </w:rPr>
        <w:t>Jhon</w:t>
      </w:r>
      <w:proofErr w:type="spellEnd"/>
      <w:r w:rsidR="00F537CB" w:rsidRPr="00BB68F4">
        <w:rPr>
          <w:rFonts w:ascii="Book Antiqua" w:hAnsi="Book Antiqua" w:cs="Arial"/>
          <w:sz w:val="24"/>
          <w:szCs w:val="24"/>
        </w:rPr>
        <w:t xml:space="preserve"> William y Dolly Yaneth Parra Franco (Artículo 136-1º, CGP)</w:t>
      </w:r>
      <w:r w:rsidR="00F537CB" w:rsidRPr="00BB68F4">
        <w:rPr>
          <w:rFonts w:ascii="Book Antiqua" w:hAnsi="Book Antiqua" w:cs="Arial"/>
          <w:sz w:val="24"/>
          <w:szCs w:val="24"/>
          <w:lang w:val="es-MX"/>
        </w:rPr>
        <w:t>.</w:t>
      </w:r>
    </w:p>
    <w:p w:rsidR="003C5098" w:rsidRPr="00BB68F4" w:rsidRDefault="003C5098" w:rsidP="007D102F">
      <w:pPr>
        <w:spacing w:line="360" w:lineRule="auto"/>
        <w:ind w:right="51"/>
        <w:jc w:val="both"/>
        <w:rPr>
          <w:rFonts w:ascii="Book Antiqua" w:hAnsi="Book Antiqua" w:cs="Arial"/>
          <w:sz w:val="24"/>
          <w:szCs w:val="24"/>
          <w:lang w:val="es-MX"/>
        </w:rPr>
      </w:pPr>
    </w:p>
    <w:p w:rsidR="00437EF2" w:rsidRPr="00BB68F4" w:rsidRDefault="00437EF2" w:rsidP="00437EF2">
      <w:pPr>
        <w:spacing w:line="360" w:lineRule="auto"/>
        <w:jc w:val="both"/>
        <w:rPr>
          <w:rFonts w:ascii="Book Antiqua" w:hAnsi="Book Antiqua" w:cs="Arial"/>
          <w:sz w:val="24"/>
          <w:szCs w:val="24"/>
          <w:lang w:val="es-CO"/>
        </w:rPr>
      </w:pPr>
      <w:r w:rsidRPr="00BB68F4">
        <w:rPr>
          <w:rFonts w:ascii="Book Antiqua" w:hAnsi="Book Antiqua" w:cs="Arial"/>
          <w:spacing w:val="-3"/>
          <w:sz w:val="24"/>
          <w:szCs w:val="24"/>
          <w:lang w:val="es-ES_tradnl"/>
        </w:rPr>
        <w:t xml:space="preserve">Finalmente, el código único de radicación de los procesos, ha sido expresamente regulado por el CSJ (Acuerdo </w:t>
      </w:r>
      <w:r w:rsidR="008859BE">
        <w:rPr>
          <w:rFonts w:ascii="Book Antiqua" w:hAnsi="Book Antiqua" w:cs="Arial"/>
          <w:spacing w:val="-3"/>
          <w:sz w:val="24"/>
          <w:szCs w:val="24"/>
          <w:lang w:val="es-ES_tradnl"/>
        </w:rPr>
        <w:t>No.</w:t>
      </w:r>
      <w:r w:rsidRPr="00BB68F4">
        <w:rPr>
          <w:rFonts w:ascii="Book Antiqua" w:hAnsi="Book Antiqua" w:cs="Arial"/>
          <w:spacing w:val="-3"/>
          <w:sz w:val="24"/>
          <w:szCs w:val="24"/>
          <w:lang w:val="es-ES_tradnl"/>
        </w:rPr>
        <w:t>1213 de 2002)</w:t>
      </w:r>
      <w:r w:rsidR="001902A0" w:rsidRPr="00BB68F4">
        <w:rPr>
          <w:rFonts w:ascii="Book Antiqua" w:hAnsi="Book Antiqua" w:cs="Arial"/>
          <w:spacing w:val="-3"/>
          <w:sz w:val="24"/>
          <w:szCs w:val="24"/>
          <w:lang w:val="es-ES_tradnl"/>
        </w:rPr>
        <w:t xml:space="preserve"> y debe acatarse</w:t>
      </w:r>
      <w:r w:rsidRPr="00BB68F4">
        <w:rPr>
          <w:rFonts w:ascii="Book Antiqua" w:hAnsi="Book Antiqua" w:cs="Arial"/>
          <w:sz w:val="24"/>
          <w:szCs w:val="24"/>
          <w:lang w:val="es-CO"/>
        </w:rPr>
        <w:t>.</w:t>
      </w:r>
    </w:p>
    <w:p w:rsidR="00437EF2" w:rsidRPr="00BB68F4" w:rsidRDefault="00437EF2" w:rsidP="007D102F">
      <w:pPr>
        <w:spacing w:line="360" w:lineRule="auto"/>
        <w:ind w:right="51"/>
        <w:jc w:val="both"/>
        <w:rPr>
          <w:rFonts w:ascii="Book Antiqua" w:hAnsi="Book Antiqua" w:cs="Arial"/>
          <w:sz w:val="24"/>
          <w:szCs w:val="24"/>
          <w:lang w:val="es-MX"/>
        </w:rPr>
      </w:pPr>
    </w:p>
    <w:p w:rsidR="003C5098" w:rsidRPr="00BB68F4" w:rsidRDefault="003C5098" w:rsidP="003C5098">
      <w:pPr>
        <w:pStyle w:val="Textopredeterminado"/>
        <w:numPr>
          <w:ilvl w:val="0"/>
          <w:numId w:val="1"/>
        </w:numPr>
        <w:spacing w:line="360" w:lineRule="auto"/>
        <w:jc w:val="both"/>
        <w:textAlignment w:val="baseline"/>
        <w:rPr>
          <w:rFonts w:ascii="Book Antiqua" w:hAnsi="Book Antiqua" w:cs="Arial"/>
        </w:rPr>
      </w:pPr>
      <w:r w:rsidRPr="00BB68F4">
        <w:rPr>
          <w:rFonts w:ascii="Book Antiqua" w:hAnsi="Book Antiqua" w:cs="Arial"/>
        </w:rPr>
        <w:t xml:space="preserve">LAS DECISIONES </w:t>
      </w:r>
    </w:p>
    <w:p w:rsidR="003E1A30" w:rsidRPr="00BB68F4" w:rsidRDefault="003E1A30" w:rsidP="003E1A30">
      <w:pPr>
        <w:pStyle w:val="Textopredeterminado"/>
        <w:spacing w:line="360" w:lineRule="auto"/>
        <w:ind w:left="360"/>
        <w:jc w:val="both"/>
        <w:textAlignment w:val="baseline"/>
        <w:rPr>
          <w:rFonts w:ascii="Book Antiqua" w:hAnsi="Book Antiqua" w:cs="Arial"/>
        </w:rPr>
      </w:pPr>
    </w:p>
    <w:p w:rsidR="002E20D6" w:rsidRDefault="003C5098" w:rsidP="003C5098">
      <w:pPr>
        <w:spacing w:line="360" w:lineRule="auto"/>
        <w:ind w:right="51"/>
        <w:jc w:val="both"/>
        <w:rPr>
          <w:rFonts w:ascii="Book Antiqua" w:hAnsi="Book Antiqua" w:cs="Arial"/>
          <w:sz w:val="24"/>
          <w:szCs w:val="24"/>
          <w:lang w:val="es-MX"/>
        </w:rPr>
      </w:pPr>
      <w:r w:rsidRPr="00BB68F4">
        <w:rPr>
          <w:rFonts w:ascii="Book Antiqua" w:hAnsi="Book Antiqua" w:cs="Arial"/>
          <w:sz w:val="24"/>
          <w:szCs w:val="24"/>
          <w:lang w:val="es-CO"/>
        </w:rPr>
        <w:t xml:space="preserve">En armonía con las premisas expuestas, </w:t>
      </w:r>
      <w:r w:rsidRPr="00BB68F4">
        <w:rPr>
          <w:rFonts w:ascii="Book Antiqua" w:hAnsi="Book Antiqua" w:cs="Arial"/>
          <w:sz w:val="24"/>
          <w:szCs w:val="24"/>
        </w:rPr>
        <w:t>se declarará la nulidad de lo actuado</w:t>
      </w:r>
      <w:r w:rsidR="00F537CB" w:rsidRPr="00BB68F4">
        <w:rPr>
          <w:rFonts w:ascii="Book Antiqua" w:hAnsi="Book Antiqua" w:cs="Arial"/>
          <w:sz w:val="24"/>
          <w:szCs w:val="24"/>
        </w:rPr>
        <w:t xml:space="preserve"> frente a los herederos indeterminados</w:t>
      </w:r>
      <w:r w:rsidRPr="00BB68F4">
        <w:rPr>
          <w:rFonts w:ascii="Book Antiqua" w:hAnsi="Book Antiqua" w:cs="Arial"/>
          <w:sz w:val="24"/>
          <w:szCs w:val="24"/>
        </w:rPr>
        <w:t xml:space="preserve"> desde </w:t>
      </w:r>
      <w:r w:rsidR="008851BC" w:rsidRPr="00BB68F4">
        <w:rPr>
          <w:rFonts w:ascii="Book Antiqua" w:hAnsi="Book Antiqua" w:cs="Arial"/>
          <w:sz w:val="24"/>
          <w:szCs w:val="24"/>
        </w:rPr>
        <w:t xml:space="preserve">el auto de fecha </w:t>
      </w:r>
      <w:r w:rsidR="00F537CB" w:rsidRPr="00BB68F4">
        <w:rPr>
          <w:rFonts w:ascii="Book Antiqua" w:hAnsi="Book Antiqua" w:cs="Arial"/>
          <w:sz w:val="24"/>
          <w:szCs w:val="24"/>
          <w:lang w:val="es-MX"/>
        </w:rPr>
        <w:t>19-07-2016</w:t>
      </w:r>
      <w:r w:rsidR="00566F65" w:rsidRPr="00BB68F4">
        <w:rPr>
          <w:rFonts w:ascii="Book Antiqua" w:hAnsi="Book Antiqua" w:cs="Arial"/>
          <w:sz w:val="24"/>
          <w:szCs w:val="24"/>
        </w:rPr>
        <w:t>, inclusive,</w:t>
      </w:r>
      <w:r w:rsidR="008851BC" w:rsidRPr="00BB68F4">
        <w:rPr>
          <w:rFonts w:ascii="Book Antiqua" w:hAnsi="Book Antiqua" w:cs="Arial"/>
          <w:sz w:val="24"/>
          <w:szCs w:val="24"/>
        </w:rPr>
        <w:t xml:space="preserve"> </w:t>
      </w:r>
      <w:r w:rsidRPr="00BB68F4">
        <w:rPr>
          <w:rFonts w:ascii="Book Antiqua" w:hAnsi="Book Antiqua" w:cs="Arial"/>
          <w:sz w:val="24"/>
          <w:szCs w:val="24"/>
          <w:lang w:val="es-MX"/>
        </w:rPr>
        <w:t xml:space="preserve">a fin de que </w:t>
      </w:r>
      <w:r w:rsidR="008851BC" w:rsidRPr="00BB68F4">
        <w:rPr>
          <w:rFonts w:ascii="Book Antiqua" w:hAnsi="Book Antiqua" w:cs="Arial"/>
          <w:sz w:val="24"/>
          <w:szCs w:val="24"/>
          <w:lang w:val="es-MX"/>
        </w:rPr>
        <w:t xml:space="preserve">en primera instancia, se rehaga la actuación </w:t>
      </w:r>
      <w:r w:rsidR="00054ED1" w:rsidRPr="00BB68F4">
        <w:rPr>
          <w:rFonts w:ascii="Book Antiqua" w:hAnsi="Book Antiqua" w:cs="Arial"/>
          <w:sz w:val="24"/>
          <w:szCs w:val="24"/>
        </w:rPr>
        <w:t xml:space="preserve">anómala </w:t>
      </w:r>
      <w:r w:rsidRPr="00BB68F4">
        <w:rPr>
          <w:rFonts w:ascii="Book Antiqua" w:hAnsi="Book Antiqua" w:cs="Arial"/>
          <w:sz w:val="24"/>
          <w:szCs w:val="24"/>
          <w:lang w:val="es-MX"/>
        </w:rPr>
        <w:t xml:space="preserve">en </w:t>
      </w:r>
      <w:r w:rsidR="008851BC" w:rsidRPr="00BB68F4">
        <w:rPr>
          <w:rFonts w:ascii="Book Antiqua" w:hAnsi="Book Antiqua" w:cs="Arial"/>
          <w:sz w:val="24"/>
          <w:szCs w:val="24"/>
          <w:lang w:val="es-MX"/>
        </w:rPr>
        <w:t xml:space="preserve">la forma </w:t>
      </w:r>
      <w:r w:rsidRPr="00BB68F4">
        <w:rPr>
          <w:rFonts w:ascii="Book Antiqua" w:hAnsi="Book Antiqua" w:cs="Arial"/>
          <w:sz w:val="24"/>
          <w:szCs w:val="24"/>
          <w:lang w:val="es-MX"/>
        </w:rPr>
        <w:t>puest</w:t>
      </w:r>
      <w:r w:rsidR="008851BC" w:rsidRPr="00BB68F4">
        <w:rPr>
          <w:rFonts w:ascii="Book Antiqua" w:hAnsi="Book Antiqua" w:cs="Arial"/>
          <w:sz w:val="24"/>
          <w:szCs w:val="24"/>
          <w:lang w:val="es-MX"/>
        </w:rPr>
        <w:t>a</w:t>
      </w:r>
      <w:r w:rsidR="001902A0" w:rsidRPr="00BB68F4">
        <w:rPr>
          <w:rFonts w:ascii="Book Antiqua" w:hAnsi="Book Antiqua" w:cs="Arial"/>
          <w:sz w:val="24"/>
          <w:szCs w:val="24"/>
          <w:lang w:val="es-MX"/>
        </w:rPr>
        <w:t xml:space="preserve"> de presente, salvo lo relacionado con</w:t>
      </w:r>
      <w:r w:rsidR="00F537CB" w:rsidRPr="00BB68F4">
        <w:rPr>
          <w:rFonts w:ascii="Book Antiqua" w:hAnsi="Book Antiqua" w:cs="Arial"/>
          <w:sz w:val="24"/>
          <w:szCs w:val="24"/>
          <w:lang w:val="es-MX"/>
        </w:rPr>
        <w:t xml:space="preserve"> los demás codemandados, que comparecieron sin alegarla</w:t>
      </w:r>
      <w:r w:rsidR="00E17AE8" w:rsidRPr="00BB68F4">
        <w:rPr>
          <w:rFonts w:ascii="Book Antiqua" w:hAnsi="Book Antiqua" w:cs="Arial"/>
          <w:sz w:val="24"/>
          <w:szCs w:val="24"/>
          <w:lang w:val="es-MX"/>
        </w:rPr>
        <w:t>.</w:t>
      </w:r>
    </w:p>
    <w:p w:rsidR="004851F8" w:rsidRPr="00BB68F4" w:rsidRDefault="004851F8" w:rsidP="003C5098">
      <w:pPr>
        <w:spacing w:line="360" w:lineRule="auto"/>
        <w:ind w:right="51"/>
        <w:jc w:val="both"/>
        <w:rPr>
          <w:rFonts w:ascii="Book Antiqua" w:hAnsi="Book Antiqua" w:cs="Arial"/>
          <w:sz w:val="24"/>
          <w:szCs w:val="24"/>
          <w:lang w:val="es-MX"/>
        </w:rPr>
      </w:pPr>
    </w:p>
    <w:p w:rsidR="00DB2868" w:rsidRPr="00BB68F4" w:rsidRDefault="003C5098" w:rsidP="00DB2868">
      <w:pPr>
        <w:tabs>
          <w:tab w:val="left" w:pos="-720"/>
        </w:tabs>
        <w:suppressAutoHyphens/>
        <w:spacing w:line="360" w:lineRule="auto"/>
        <w:jc w:val="both"/>
        <w:rPr>
          <w:rFonts w:ascii="Book Antiqua" w:hAnsi="Book Antiqua" w:cs="Arial"/>
          <w:spacing w:val="-3"/>
          <w:sz w:val="24"/>
          <w:szCs w:val="24"/>
        </w:rPr>
      </w:pPr>
      <w:r w:rsidRPr="00BB68F4">
        <w:rPr>
          <w:rFonts w:ascii="Book Antiqua" w:hAnsi="Book Antiqua" w:cs="Arial"/>
          <w:sz w:val="24"/>
          <w:szCs w:val="24"/>
        </w:rPr>
        <w:t>Considerando suficientes los argumentos expuestos</w:t>
      </w:r>
      <w:r w:rsidR="00DB2868" w:rsidRPr="00BB68F4">
        <w:rPr>
          <w:rFonts w:ascii="Book Antiqua" w:hAnsi="Book Antiqua" w:cs="Arial"/>
          <w:sz w:val="24"/>
          <w:szCs w:val="24"/>
        </w:rPr>
        <w:t xml:space="preserve">, el </w:t>
      </w:r>
      <w:r w:rsidR="00DB2868" w:rsidRPr="00BB68F4">
        <w:rPr>
          <w:rFonts w:ascii="Book Antiqua" w:hAnsi="Book Antiqua" w:cs="Arial"/>
          <w:smallCaps/>
          <w:sz w:val="24"/>
          <w:szCs w:val="24"/>
        </w:rPr>
        <w:t>Tribunal Superior del Distrito Judicial de Pereira, Sala Unitaria</w:t>
      </w:r>
      <w:r w:rsidR="00DB2868" w:rsidRPr="00BB68F4">
        <w:rPr>
          <w:rFonts w:ascii="Book Antiqua" w:hAnsi="Book Antiqua" w:cs="Arial"/>
          <w:sz w:val="24"/>
          <w:szCs w:val="24"/>
        </w:rPr>
        <w:t>,</w:t>
      </w:r>
    </w:p>
    <w:p w:rsidR="00EA0D28" w:rsidRPr="00BB68F4" w:rsidRDefault="00EA0D28" w:rsidP="00DB2868">
      <w:pPr>
        <w:tabs>
          <w:tab w:val="left" w:pos="-720"/>
        </w:tabs>
        <w:suppressAutoHyphens/>
        <w:spacing w:line="360" w:lineRule="auto"/>
        <w:jc w:val="center"/>
        <w:rPr>
          <w:rFonts w:ascii="Book Antiqua" w:hAnsi="Book Antiqua" w:cs="Arial"/>
          <w:smallCaps/>
          <w:sz w:val="24"/>
          <w:szCs w:val="24"/>
        </w:rPr>
      </w:pPr>
    </w:p>
    <w:p w:rsidR="00DB2868" w:rsidRPr="00BB68F4" w:rsidRDefault="00DB2868" w:rsidP="00DB2868">
      <w:pPr>
        <w:tabs>
          <w:tab w:val="left" w:pos="-720"/>
        </w:tabs>
        <w:suppressAutoHyphens/>
        <w:spacing w:line="360" w:lineRule="auto"/>
        <w:jc w:val="center"/>
        <w:rPr>
          <w:rFonts w:ascii="Book Antiqua" w:hAnsi="Book Antiqua" w:cs="Arial"/>
          <w:smallCaps/>
          <w:sz w:val="24"/>
          <w:szCs w:val="24"/>
        </w:rPr>
      </w:pPr>
      <w:r w:rsidRPr="00BB68F4">
        <w:rPr>
          <w:rFonts w:ascii="Book Antiqua" w:hAnsi="Book Antiqua" w:cs="Arial"/>
          <w:smallCaps/>
          <w:sz w:val="24"/>
          <w:szCs w:val="24"/>
        </w:rPr>
        <w:t>R e s u e l v e,</w:t>
      </w:r>
    </w:p>
    <w:p w:rsidR="001902A0" w:rsidRPr="00BB68F4" w:rsidRDefault="001902A0" w:rsidP="00DB2868">
      <w:pPr>
        <w:tabs>
          <w:tab w:val="left" w:pos="-720"/>
        </w:tabs>
        <w:suppressAutoHyphens/>
        <w:spacing w:line="360" w:lineRule="auto"/>
        <w:jc w:val="center"/>
        <w:rPr>
          <w:rFonts w:ascii="Book Antiqua" w:hAnsi="Book Antiqua" w:cs="Arial"/>
          <w:smallCaps/>
          <w:sz w:val="24"/>
          <w:szCs w:val="24"/>
        </w:rPr>
      </w:pPr>
    </w:p>
    <w:p w:rsidR="004E65E6" w:rsidRPr="00BB68F4" w:rsidRDefault="00DB2868" w:rsidP="007D3507">
      <w:pPr>
        <w:pStyle w:val="Textopredeterminado"/>
        <w:numPr>
          <w:ilvl w:val="0"/>
          <w:numId w:val="9"/>
        </w:numPr>
        <w:spacing w:line="360" w:lineRule="auto"/>
        <w:ind w:right="51"/>
        <w:jc w:val="both"/>
        <w:textAlignment w:val="baseline"/>
        <w:rPr>
          <w:rFonts w:ascii="Book Antiqua" w:hAnsi="Book Antiqua" w:cs="Arial"/>
          <w:szCs w:val="24"/>
          <w:lang w:val="es-MX"/>
        </w:rPr>
      </w:pPr>
      <w:r w:rsidRPr="00BB68F4">
        <w:rPr>
          <w:rFonts w:ascii="Book Antiqua" w:hAnsi="Book Antiqua" w:cs="Arial"/>
          <w:spacing w:val="-3"/>
          <w:szCs w:val="24"/>
        </w:rPr>
        <w:t xml:space="preserve">DECLARAR </w:t>
      </w:r>
      <w:r w:rsidR="003C5098" w:rsidRPr="00BB68F4">
        <w:rPr>
          <w:rFonts w:ascii="Book Antiqua" w:hAnsi="Book Antiqua" w:cs="Arial"/>
          <w:szCs w:val="24"/>
        </w:rPr>
        <w:t xml:space="preserve">la nulidad de lo actuado en este proceso desde </w:t>
      </w:r>
      <w:r w:rsidR="008851BC" w:rsidRPr="00BB68F4">
        <w:rPr>
          <w:rFonts w:ascii="Book Antiqua" w:hAnsi="Book Antiqua" w:cs="Arial"/>
          <w:szCs w:val="24"/>
        </w:rPr>
        <w:t>el auto de fecha</w:t>
      </w:r>
      <w:r w:rsidR="003C5098" w:rsidRPr="00BB68F4">
        <w:rPr>
          <w:rFonts w:ascii="Book Antiqua" w:hAnsi="Book Antiqua" w:cs="Arial"/>
          <w:szCs w:val="24"/>
        </w:rPr>
        <w:t xml:space="preserve"> </w:t>
      </w:r>
      <w:r w:rsidR="00AF321C" w:rsidRPr="00BB68F4">
        <w:rPr>
          <w:rFonts w:ascii="Book Antiqua" w:hAnsi="Book Antiqua" w:cs="Arial"/>
          <w:szCs w:val="24"/>
          <w:lang w:val="es-MX"/>
        </w:rPr>
        <w:t>1</w:t>
      </w:r>
      <w:r w:rsidR="007A1327" w:rsidRPr="00BB68F4">
        <w:rPr>
          <w:rFonts w:ascii="Book Antiqua" w:hAnsi="Book Antiqua" w:cs="Arial"/>
          <w:szCs w:val="24"/>
          <w:lang w:val="es-MX"/>
        </w:rPr>
        <w:t>9-07-2016</w:t>
      </w:r>
      <w:r w:rsidR="003C5098" w:rsidRPr="00BB68F4">
        <w:rPr>
          <w:rFonts w:ascii="Book Antiqua" w:hAnsi="Book Antiqua" w:cs="Arial"/>
          <w:szCs w:val="24"/>
        </w:rPr>
        <w:t>, inclusive</w:t>
      </w:r>
      <w:r w:rsidR="001902A0" w:rsidRPr="00BB68F4">
        <w:rPr>
          <w:rFonts w:ascii="Book Antiqua" w:hAnsi="Book Antiqua" w:cs="Arial"/>
          <w:szCs w:val="24"/>
        </w:rPr>
        <w:t xml:space="preserve">, </w:t>
      </w:r>
      <w:r w:rsidR="004851F8">
        <w:rPr>
          <w:rFonts w:ascii="Book Antiqua" w:hAnsi="Book Antiqua" w:cs="Arial"/>
          <w:szCs w:val="24"/>
        </w:rPr>
        <w:t xml:space="preserve">salvo </w:t>
      </w:r>
      <w:r w:rsidR="004E65E6" w:rsidRPr="00BB68F4">
        <w:rPr>
          <w:rFonts w:ascii="Book Antiqua" w:hAnsi="Book Antiqua" w:cs="Arial"/>
          <w:szCs w:val="24"/>
          <w:lang w:val="es-MX"/>
        </w:rPr>
        <w:t xml:space="preserve">las actuaciones surtidas con relación a </w:t>
      </w:r>
      <w:r w:rsidR="007A1327" w:rsidRPr="00BB68F4">
        <w:rPr>
          <w:rFonts w:ascii="Book Antiqua" w:hAnsi="Book Antiqua" w:cs="Arial"/>
          <w:szCs w:val="24"/>
          <w:lang w:val="es-MX"/>
        </w:rPr>
        <w:t xml:space="preserve">los codemandados </w:t>
      </w:r>
      <w:r w:rsidR="007A1327" w:rsidRPr="00BB68F4">
        <w:rPr>
          <w:rFonts w:ascii="Book Antiqua" w:hAnsi="Book Antiqua" w:cs="Arial"/>
          <w:szCs w:val="24"/>
        </w:rPr>
        <w:t xml:space="preserve">Jaime Alonso, Luis Ovidio, </w:t>
      </w:r>
      <w:proofErr w:type="spellStart"/>
      <w:r w:rsidR="007A1327" w:rsidRPr="00BB68F4">
        <w:rPr>
          <w:rFonts w:ascii="Book Antiqua" w:hAnsi="Book Antiqua" w:cs="Arial"/>
          <w:szCs w:val="24"/>
        </w:rPr>
        <w:t>Jhon</w:t>
      </w:r>
      <w:proofErr w:type="spellEnd"/>
      <w:r w:rsidR="007A1327" w:rsidRPr="00BB68F4">
        <w:rPr>
          <w:rFonts w:ascii="Book Antiqua" w:hAnsi="Book Antiqua" w:cs="Arial"/>
          <w:szCs w:val="24"/>
        </w:rPr>
        <w:t xml:space="preserve"> William y Dolly Yaneth Parra Franco</w:t>
      </w:r>
      <w:r w:rsidR="004E65E6" w:rsidRPr="00BB68F4">
        <w:rPr>
          <w:rFonts w:ascii="Book Antiqua" w:hAnsi="Book Antiqua" w:cs="Arial"/>
          <w:szCs w:val="24"/>
          <w:lang w:val="es-MX"/>
        </w:rPr>
        <w:t>.</w:t>
      </w:r>
    </w:p>
    <w:p w:rsidR="00437EF2" w:rsidRPr="00BB68F4" w:rsidRDefault="00437EF2" w:rsidP="00437EF2">
      <w:pPr>
        <w:pStyle w:val="Textopredeterminado"/>
        <w:spacing w:line="360" w:lineRule="auto"/>
        <w:ind w:left="360"/>
        <w:jc w:val="both"/>
        <w:textAlignment w:val="baseline"/>
        <w:rPr>
          <w:rFonts w:ascii="Book Antiqua" w:hAnsi="Book Antiqua" w:cs="Arial"/>
          <w:szCs w:val="24"/>
        </w:rPr>
      </w:pPr>
    </w:p>
    <w:p w:rsidR="00DB2868" w:rsidRPr="00BB68F4" w:rsidRDefault="003C5098" w:rsidP="003C5098">
      <w:pPr>
        <w:pStyle w:val="Paragraphedeliste"/>
        <w:numPr>
          <w:ilvl w:val="0"/>
          <w:numId w:val="9"/>
        </w:numPr>
        <w:tabs>
          <w:tab w:val="left" w:pos="-720"/>
        </w:tabs>
        <w:suppressAutoHyphens/>
        <w:spacing w:line="360" w:lineRule="auto"/>
        <w:jc w:val="both"/>
        <w:rPr>
          <w:rFonts w:ascii="Book Antiqua" w:hAnsi="Book Antiqua" w:cs="Arial"/>
          <w:sz w:val="24"/>
          <w:szCs w:val="24"/>
        </w:rPr>
      </w:pPr>
      <w:r w:rsidRPr="00BB68F4">
        <w:rPr>
          <w:rFonts w:ascii="Book Antiqua" w:hAnsi="Book Antiqua" w:cs="Arial"/>
          <w:sz w:val="24"/>
          <w:szCs w:val="24"/>
        </w:rPr>
        <w:t>DEVOLVER el expediente al Juzgado</w:t>
      </w:r>
      <w:r w:rsidR="008A52AE" w:rsidRPr="00BB68F4">
        <w:rPr>
          <w:rFonts w:ascii="Book Antiqua" w:hAnsi="Book Antiqua" w:cs="Arial"/>
          <w:sz w:val="24"/>
          <w:szCs w:val="24"/>
        </w:rPr>
        <w:t xml:space="preserve"> </w:t>
      </w:r>
      <w:r w:rsidR="007A1327" w:rsidRPr="00BB68F4">
        <w:rPr>
          <w:rFonts w:ascii="Book Antiqua" w:hAnsi="Book Antiqua" w:cs="Arial"/>
          <w:sz w:val="24"/>
          <w:szCs w:val="24"/>
        </w:rPr>
        <w:t xml:space="preserve">Primero de Familia </w:t>
      </w:r>
      <w:r w:rsidR="00054ED1" w:rsidRPr="00BB68F4">
        <w:rPr>
          <w:rFonts w:ascii="Book Antiqua" w:hAnsi="Book Antiqua" w:cs="Arial"/>
          <w:sz w:val="24"/>
          <w:szCs w:val="24"/>
        </w:rPr>
        <w:t>de Pereira</w:t>
      </w:r>
      <w:r w:rsidR="00DB2868" w:rsidRPr="00BB68F4">
        <w:rPr>
          <w:rFonts w:ascii="Book Antiqua" w:hAnsi="Book Antiqua" w:cs="Arial"/>
          <w:spacing w:val="-3"/>
          <w:sz w:val="24"/>
          <w:szCs w:val="24"/>
        </w:rPr>
        <w:t>, para que se rehaga la actuación viciada, con estricto acatamiento de los términos anotados en esta providencia.</w:t>
      </w:r>
    </w:p>
    <w:p w:rsidR="00DB2868" w:rsidRPr="00BB68F4" w:rsidRDefault="00DB2868" w:rsidP="00DB2868">
      <w:pPr>
        <w:suppressAutoHyphens/>
        <w:spacing w:line="360" w:lineRule="auto"/>
        <w:jc w:val="center"/>
        <w:rPr>
          <w:rFonts w:ascii="Book Antiqua" w:hAnsi="Book Antiqua" w:cs="Arial"/>
          <w:smallCaps/>
          <w:lang w:val="en-GB"/>
        </w:rPr>
      </w:pPr>
      <w:proofErr w:type="spellStart"/>
      <w:r w:rsidRPr="00BB68F4">
        <w:rPr>
          <w:rFonts w:ascii="Book Antiqua" w:hAnsi="Book Antiqua" w:cs="Arial"/>
          <w:smallCaps/>
          <w:sz w:val="24"/>
          <w:szCs w:val="24"/>
          <w:lang w:val="en-GB"/>
        </w:rPr>
        <w:t>Notifíquese</w:t>
      </w:r>
      <w:proofErr w:type="spellEnd"/>
      <w:r w:rsidRPr="00BB68F4">
        <w:rPr>
          <w:rFonts w:ascii="Book Antiqua" w:hAnsi="Book Antiqua" w:cs="Arial"/>
          <w:smallCaps/>
          <w:lang w:val="en-GB"/>
        </w:rPr>
        <w:t>,</w:t>
      </w:r>
    </w:p>
    <w:p w:rsidR="00DB2868" w:rsidRPr="00BB68F4" w:rsidRDefault="00DB2868" w:rsidP="00DB2868">
      <w:pPr>
        <w:pStyle w:val="Corpsdetexte"/>
        <w:spacing w:line="360" w:lineRule="auto"/>
        <w:jc w:val="center"/>
        <w:rPr>
          <w:rFonts w:ascii="Book Antiqua" w:hAnsi="Book Antiqua"/>
          <w:spacing w:val="20"/>
          <w:w w:val="150"/>
          <w:sz w:val="22"/>
          <w:szCs w:val="22"/>
          <w:lang w:val="en-GB"/>
        </w:rPr>
      </w:pPr>
    </w:p>
    <w:p w:rsidR="00DB2868" w:rsidRPr="00BB68F4" w:rsidRDefault="00DB2868" w:rsidP="00DB2868">
      <w:pPr>
        <w:pStyle w:val="Corpsdetexte"/>
        <w:spacing w:line="360" w:lineRule="auto"/>
        <w:jc w:val="center"/>
        <w:rPr>
          <w:rFonts w:ascii="Book Antiqua" w:hAnsi="Book Antiqua"/>
          <w:spacing w:val="20"/>
          <w:w w:val="150"/>
          <w:sz w:val="22"/>
          <w:szCs w:val="22"/>
          <w:lang w:val="en-GB"/>
        </w:rPr>
      </w:pPr>
    </w:p>
    <w:p w:rsidR="003E1A30" w:rsidRPr="00BB68F4" w:rsidRDefault="003E1A30" w:rsidP="00DB2868">
      <w:pPr>
        <w:pStyle w:val="Corpsdetexte"/>
        <w:spacing w:line="360" w:lineRule="auto"/>
        <w:jc w:val="center"/>
        <w:rPr>
          <w:rFonts w:ascii="Book Antiqua" w:hAnsi="Book Antiqua"/>
          <w:spacing w:val="20"/>
          <w:w w:val="150"/>
          <w:sz w:val="22"/>
          <w:szCs w:val="22"/>
          <w:lang w:val="en-GB"/>
        </w:rPr>
      </w:pPr>
    </w:p>
    <w:p w:rsidR="00111F9C" w:rsidRPr="00BB68F4" w:rsidRDefault="00111F9C" w:rsidP="00111F9C">
      <w:pPr>
        <w:pStyle w:val="Textopredeterminado"/>
        <w:spacing w:line="360" w:lineRule="auto"/>
        <w:jc w:val="center"/>
        <w:rPr>
          <w:rFonts w:ascii="Book Antiqua" w:hAnsi="Book Antiqua" w:cs="Arial"/>
          <w:caps/>
          <w:spacing w:val="20"/>
          <w:w w:val="150"/>
          <w:lang w:val="es-MX"/>
        </w:rPr>
      </w:pPr>
      <w:r w:rsidRPr="00BB68F4">
        <w:rPr>
          <w:rFonts w:ascii="Book Antiqua" w:hAnsi="Book Antiqua" w:cs="Arial"/>
          <w:caps/>
          <w:spacing w:val="20"/>
          <w:w w:val="150"/>
          <w:sz w:val="28"/>
          <w:lang w:val="es-MX"/>
        </w:rPr>
        <w:t>D</w:t>
      </w:r>
      <w:r w:rsidRPr="00BB68F4">
        <w:rPr>
          <w:rFonts w:ascii="Book Antiqua" w:hAnsi="Book Antiqua" w:cs="Arial"/>
          <w:caps/>
          <w:spacing w:val="20"/>
          <w:w w:val="150"/>
          <w:sz w:val="18"/>
          <w:lang w:val="es-MX"/>
        </w:rPr>
        <w:t>UBERNEY</w:t>
      </w:r>
      <w:r w:rsidRPr="00BB68F4">
        <w:rPr>
          <w:rFonts w:ascii="Book Antiqua" w:hAnsi="Book Antiqua" w:cs="Arial"/>
          <w:caps/>
          <w:spacing w:val="20"/>
          <w:w w:val="150"/>
          <w:sz w:val="22"/>
          <w:lang w:val="es-MX"/>
        </w:rPr>
        <w:t xml:space="preserve"> </w:t>
      </w:r>
      <w:r w:rsidRPr="00BB68F4">
        <w:rPr>
          <w:rFonts w:ascii="Book Antiqua" w:hAnsi="Book Antiqua" w:cs="Arial"/>
          <w:caps/>
          <w:spacing w:val="20"/>
          <w:w w:val="150"/>
          <w:sz w:val="28"/>
          <w:lang w:val="es-MX"/>
        </w:rPr>
        <w:t>G</w:t>
      </w:r>
      <w:r w:rsidRPr="00BB68F4">
        <w:rPr>
          <w:rFonts w:ascii="Book Antiqua" w:hAnsi="Book Antiqua" w:cs="Arial"/>
          <w:caps/>
          <w:spacing w:val="20"/>
          <w:w w:val="150"/>
          <w:sz w:val="18"/>
          <w:lang w:val="es-MX"/>
        </w:rPr>
        <w:t>RISALES</w:t>
      </w:r>
      <w:r w:rsidRPr="00BB68F4">
        <w:rPr>
          <w:rFonts w:ascii="Book Antiqua" w:hAnsi="Book Antiqua" w:cs="Arial"/>
          <w:caps/>
          <w:spacing w:val="20"/>
          <w:w w:val="150"/>
          <w:sz w:val="22"/>
          <w:lang w:val="es-MX"/>
        </w:rPr>
        <w:t xml:space="preserve"> </w:t>
      </w:r>
      <w:r w:rsidRPr="00BB68F4">
        <w:rPr>
          <w:rFonts w:ascii="Book Antiqua" w:hAnsi="Book Antiqua" w:cs="Arial"/>
          <w:caps/>
          <w:spacing w:val="20"/>
          <w:w w:val="150"/>
          <w:sz w:val="28"/>
          <w:lang w:val="es-MX"/>
        </w:rPr>
        <w:t>H</w:t>
      </w:r>
      <w:r w:rsidRPr="00BB68F4">
        <w:rPr>
          <w:rFonts w:ascii="Book Antiqua" w:hAnsi="Book Antiqua" w:cs="Arial"/>
          <w:caps/>
          <w:spacing w:val="20"/>
          <w:w w:val="150"/>
          <w:sz w:val="18"/>
          <w:lang w:val="es-MX"/>
        </w:rPr>
        <w:t>ERRERA</w:t>
      </w:r>
    </w:p>
    <w:p w:rsidR="00111F9C" w:rsidRPr="00BB68F4" w:rsidRDefault="00111F9C" w:rsidP="00111F9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Book Antiqua" w:hAnsi="Book Antiqua" w:cs="Arial"/>
          <w:spacing w:val="20"/>
          <w:w w:val="150"/>
          <w:sz w:val="18"/>
          <w:szCs w:val="22"/>
          <w:lang w:val="en-US"/>
        </w:rPr>
      </w:pPr>
      <w:r w:rsidRPr="00BB68F4">
        <w:rPr>
          <w:rFonts w:ascii="Book Antiqua" w:hAnsi="Book Antiqua" w:cs="Arial"/>
          <w:caps/>
          <w:spacing w:val="20"/>
          <w:w w:val="150"/>
          <w:sz w:val="28"/>
          <w:szCs w:val="24"/>
        </w:rPr>
        <w:t>M</w:t>
      </w:r>
      <w:r w:rsidRPr="00BB68F4">
        <w:rPr>
          <w:rFonts w:ascii="Book Antiqua" w:hAnsi="Book Antiqua" w:cs="Arial"/>
          <w:caps/>
          <w:spacing w:val="20"/>
          <w:w w:val="150"/>
          <w:sz w:val="18"/>
        </w:rPr>
        <w:t>agistrado</w:t>
      </w:r>
      <w:r w:rsidRPr="00BB68F4">
        <w:rPr>
          <w:rFonts w:ascii="Book Antiqua" w:hAnsi="Book Antiqua" w:cs="Arial"/>
          <w:spacing w:val="20"/>
          <w:w w:val="150"/>
          <w:sz w:val="18"/>
          <w:szCs w:val="22"/>
          <w:lang w:val="en-US"/>
        </w:rPr>
        <w:t xml:space="preserve"> </w:t>
      </w:r>
    </w:p>
    <w:p w:rsidR="00DB2868" w:rsidRPr="00BB68F4" w:rsidRDefault="00DB2868" w:rsidP="00E316D9">
      <w:pPr>
        <w:tabs>
          <w:tab w:val="left" w:pos="-720"/>
        </w:tabs>
        <w:suppressAutoHyphens/>
        <w:spacing w:line="360" w:lineRule="auto"/>
        <w:jc w:val="both"/>
        <w:rPr>
          <w:rFonts w:ascii="Book Antiqua" w:hAnsi="Book Antiqua" w:cs="Arial"/>
          <w:spacing w:val="-3"/>
          <w:sz w:val="12"/>
          <w:szCs w:val="12"/>
          <w:lang w:val="en-US"/>
        </w:rPr>
      </w:pPr>
    </w:p>
    <w:p w:rsidR="00D94D58" w:rsidRPr="00BB68F4" w:rsidRDefault="00BB68F4" w:rsidP="00A11F60">
      <w:pPr>
        <w:pStyle w:val="Corpsdetexte"/>
        <w:spacing w:line="360" w:lineRule="auto"/>
        <w:jc w:val="right"/>
        <w:rPr>
          <w:rFonts w:ascii="Book Antiqua" w:hAnsi="Book Antiqua"/>
          <w:i/>
          <w:caps/>
          <w:spacing w:val="20"/>
          <w:w w:val="150"/>
          <w:sz w:val="8"/>
          <w:szCs w:val="12"/>
          <w:lang w:val="en-US"/>
        </w:rPr>
      </w:pPr>
      <w:r w:rsidRPr="00BB68F4">
        <w:rPr>
          <w:rFonts w:ascii="Book Antiqua" w:hAnsi="Book Antiqua"/>
          <w:noProof/>
          <w:lang w:val="fr-FR" w:eastAsia="fr-FR"/>
        </w:rPr>
        <mc:AlternateContent>
          <mc:Choice Requires="wps">
            <w:drawing>
              <wp:anchor distT="0" distB="0" distL="114300" distR="114300" simplePos="0" relativeHeight="251660288" behindDoc="0" locked="0" layoutInCell="1" allowOverlap="1" wp14:anchorId="7966FE92" wp14:editId="7F411495">
                <wp:simplePos x="0" y="0"/>
                <wp:positionH relativeFrom="page">
                  <wp:posOffset>2383155</wp:posOffset>
                </wp:positionH>
                <wp:positionV relativeFrom="paragraph">
                  <wp:posOffset>85725</wp:posOffset>
                </wp:positionV>
                <wp:extent cx="2672373" cy="1271954"/>
                <wp:effectExtent l="19050" t="19050" r="13970" b="234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373" cy="1271954"/>
                        </a:xfrm>
                        <a:prstGeom prst="rect">
                          <a:avLst/>
                        </a:prstGeom>
                        <a:solidFill>
                          <a:srgbClr val="FFFFFF"/>
                        </a:solidFill>
                        <a:ln w="28575" cmpd="thickThin">
                          <a:solidFill>
                            <a:srgbClr val="000000"/>
                          </a:solidFill>
                          <a:miter lim="800000"/>
                          <a:headEnd/>
                          <a:tailEnd/>
                        </a:ln>
                      </wps:spPr>
                      <wps:txbx>
                        <w:txbxContent>
                          <w:p w:rsidR="00794B7C" w:rsidRPr="00713130" w:rsidRDefault="00794B7C" w:rsidP="00794B7C">
                            <w:pPr>
                              <w:pStyle w:val="Sansinterligne"/>
                              <w:jc w:val="center"/>
                              <w:rPr>
                                <w:rFonts w:ascii="Kalinga" w:hAnsi="Kalinga" w:cs="Kalinga"/>
                                <w:sz w:val="20"/>
                                <w:szCs w:val="16"/>
                              </w:rPr>
                            </w:pPr>
                            <w:r w:rsidRPr="00713130">
                              <w:rPr>
                                <w:rFonts w:ascii="Kalinga" w:hAnsi="Kalinga" w:cs="Kalinga"/>
                                <w:sz w:val="20"/>
                                <w:szCs w:val="16"/>
                              </w:rPr>
                              <w:t xml:space="preserve">LA PROVIDENCIA ANTERIOR </w:t>
                            </w:r>
                          </w:p>
                          <w:p w:rsidR="00794B7C" w:rsidRPr="00713130" w:rsidRDefault="00794B7C" w:rsidP="00794B7C">
                            <w:pPr>
                              <w:pStyle w:val="Sansinterligne"/>
                              <w:jc w:val="center"/>
                              <w:rPr>
                                <w:rFonts w:ascii="Kalinga" w:hAnsi="Kalinga" w:cs="Kalinga"/>
                                <w:sz w:val="12"/>
                                <w:szCs w:val="16"/>
                              </w:rPr>
                            </w:pPr>
                            <w:r w:rsidRPr="00713130">
                              <w:rPr>
                                <w:rFonts w:ascii="Kalinga" w:hAnsi="Kalinga" w:cs="Kalinga"/>
                                <w:sz w:val="20"/>
                                <w:szCs w:val="16"/>
                              </w:rPr>
                              <w:t xml:space="preserve">SE NOTIFICÓ POR ESTADO DEL DÍA </w:t>
                            </w:r>
                          </w:p>
                          <w:p w:rsidR="00794B7C" w:rsidRDefault="00794B7C" w:rsidP="00794B7C">
                            <w:pPr>
                              <w:jc w:val="center"/>
                              <w:rPr>
                                <w:rFonts w:ascii="Kalinga" w:hAnsi="Kalinga" w:cs="Kalinga"/>
                                <w:color w:val="000000"/>
                                <w:szCs w:val="22"/>
                              </w:rPr>
                            </w:pPr>
                          </w:p>
                          <w:p w:rsidR="00794B7C" w:rsidRPr="00713130" w:rsidRDefault="00794B7C" w:rsidP="00794B7C">
                            <w:pPr>
                              <w:jc w:val="center"/>
                              <w:rPr>
                                <w:rFonts w:ascii="Kalinga" w:hAnsi="Kalinga" w:cs="Kalinga"/>
                                <w:color w:val="000000"/>
                                <w:szCs w:val="22"/>
                              </w:rPr>
                            </w:pPr>
                            <w:r w:rsidRPr="00713130">
                              <w:rPr>
                                <w:rFonts w:ascii="Kalinga" w:hAnsi="Kalinga" w:cs="Kalinga"/>
                                <w:color w:val="000000"/>
                                <w:szCs w:val="22"/>
                              </w:rPr>
                              <w:t>______________________________</w:t>
                            </w:r>
                          </w:p>
                          <w:p w:rsidR="00794B7C" w:rsidRPr="00BB62F4" w:rsidRDefault="00794B7C" w:rsidP="00794B7C">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794B7C" w:rsidRPr="00713130" w:rsidRDefault="00794B7C" w:rsidP="00794B7C">
                            <w:pPr>
                              <w:pStyle w:val="Sansinterligne"/>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794B7C" w:rsidRPr="00AC087B" w:rsidRDefault="00794B7C" w:rsidP="00794B7C">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66FE92" id="Rectangle 7" o:spid="_x0000_s1026" style="position:absolute;left:0;text-align:left;margin-left:187.65pt;margin-top:6.75pt;width:210.4pt;height:10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" strokeweight="2.25pt">
                <v:stroke linestyle="thickThin"/>
                <v:textbox>
                  <w:txbxContent>
                    <w:p w:rsidR="00794B7C" w:rsidRPr="00713130" w:rsidRDefault="00794B7C" w:rsidP="00794B7C">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794B7C" w:rsidRPr="00713130" w:rsidRDefault="00794B7C" w:rsidP="00794B7C">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794B7C" w:rsidRDefault="00794B7C" w:rsidP="00794B7C">
                      <w:pPr>
                        <w:jc w:val="center"/>
                        <w:rPr>
                          <w:rFonts w:ascii="Kalinga" w:hAnsi="Kalinga" w:cs="Kalinga"/>
                          <w:color w:val="000000"/>
                          <w:szCs w:val="22"/>
                        </w:rPr>
                      </w:pPr>
                    </w:p>
                    <w:p w:rsidR="00794B7C" w:rsidRPr="00713130" w:rsidRDefault="00794B7C" w:rsidP="00794B7C">
                      <w:pPr>
                        <w:jc w:val="center"/>
                        <w:rPr>
                          <w:rFonts w:ascii="Kalinga" w:hAnsi="Kalinga" w:cs="Kalinga"/>
                          <w:color w:val="000000"/>
                          <w:szCs w:val="22"/>
                        </w:rPr>
                      </w:pPr>
                      <w:r w:rsidRPr="00713130">
                        <w:rPr>
                          <w:rFonts w:ascii="Kalinga" w:hAnsi="Kalinga" w:cs="Kalinga"/>
                          <w:color w:val="000000"/>
                          <w:szCs w:val="22"/>
                        </w:rPr>
                        <w:t>______________________________</w:t>
                      </w:r>
                    </w:p>
                    <w:p w:rsidR="00794B7C" w:rsidRPr="00BB62F4" w:rsidRDefault="00794B7C" w:rsidP="00794B7C">
                      <w:pPr>
                        <w:jc w:val="center"/>
                        <w:rPr>
                          <w:rFonts w:ascii="Kalinga" w:hAnsi="Kalinga" w:cs="Kalinga"/>
                          <w:color w:val="000000"/>
                          <w:sz w:val="18"/>
                          <w:szCs w:val="22"/>
                        </w:rPr>
                      </w:pPr>
                      <w:r w:rsidRPr="00BB62F4">
                        <w:rPr>
                          <w:rFonts w:ascii="Kalinga" w:hAnsi="Kalinga" w:cs="Kalinga"/>
                          <w:color w:val="000000"/>
                          <w:sz w:val="18"/>
                          <w:szCs w:val="22"/>
                        </w:rPr>
                        <w:t>JAÍR DE JESÚS HENAO MOLINA</w:t>
                      </w:r>
                    </w:p>
                    <w:p w:rsidR="00794B7C" w:rsidRPr="00713130" w:rsidRDefault="00794B7C" w:rsidP="00794B7C">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794B7C" w:rsidRPr="00AC087B" w:rsidRDefault="00794B7C" w:rsidP="00794B7C">
                      <w:pPr>
                        <w:jc w:val="center"/>
                        <w:rPr>
                          <w:rFonts w:ascii="Kalinga" w:hAnsi="Kalinga" w:cs="Kalinga"/>
                          <w:sz w:val="22"/>
                          <w:szCs w:val="22"/>
                        </w:rPr>
                      </w:pPr>
                    </w:p>
                  </w:txbxContent>
                </v:textbox>
                <w10:wrap anchorx="page"/>
              </v:rect>
            </w:pict>
          </mc:Fallback>
        </mc:AlternateContent>
      </w:r>
      <w:r w:rsidR="00D915F4" w:rsidRPr="00BB68F4">
        <w:rPr>
          <w:rFonts w:ascii="Book Antiqua" w:hAnsi="Book Antiqua"/>
          <w:i/>
          <w:caps/>
          <w:spacing w:val="20"/>
          <w:w w:val="150"/>
          <w:sz w:val="8"/>
          <w:szCs w:val="12"/>
          <w:lang w:val="en-US"/>
        </w:rPr>
        <w:t xml:space="preserve">dgh / </w:t>
      </w:r>
      <w:r w:rsidR="00F6458D" w:rsidRPr="00BB68F4">
        <w:rPr>
          <w:rFonts w:ascii="Book Antiqua" w:hAnsi="Book Antiqua"/>
          <w:i/>
          <w:caps/>
          <w:spacing w:val="20"/>
          <w:w w:val="150"/>
          <w:sz w:val="8"/>
          <w:szCs w:val="12"/>
          <w:lang w:val="en-US"/>
        </w:rPr>
        <w:t>DGD</w:t>
      </w:r>
      <w:r w:rsidR="00360576" w:rsidRPr="00BB68F4">
        <w:rPr>
          <w:rFonts w:ascii="Book Antiqua" w:hAnsi="Book Antiqua"/>
          <w:i/>
          <w:caps/>
          <w:spacing w:val="20"/>
          <w:w w:val="150"/>
          <w:sz w:val="8"/>
          <w:szCs w:val="12"/>
          <w:lang w:val="en-US"/>
        </w:rPr>
        <w:t>/ 201</w:t>
      </w:r>
      <w:r w:rsidR="00D74561" w:rsidRPr="00BB68F4">
        <w:rPr>
          <w:rFonts w:ascii="Book Antiqua" w:hAnsi="Book Antiqua"/>
          <w:i/>
          <w:caps/>
          <w:spacing w:val="20"/>
          <w:w w:val="150"/>
          <w:sz w:val="8"/>
          <w:szCs w:val="12"/>
          <w:lang w:val="en-US"/>
        </w:rPr>
        <w:t>7</w:t>
      </w:r>
    </w:p>
    <w:p w:rsidR="00794B7C" w:rsidRPr="00BB68F4" w:rsidRDefault="00794B7C" w:rsidP="00A11F60">
      <w:pPr>
        <w:pStyle w:val="Corpsdetexte"/>
        <w:spacing w:line="360" w:lineRule="auto"/>
        <w:jc w:val="right"/>
        <w:rPr>
          <w:rFonts w:ascii="Book Antiqua" w:hAnsi="Book Antiqua"/>
          <w:i/>
          <w:caps/>
          <w:spacing w:val="20"/>
          <w:w w:val="150"/>
          <w:sz w:val="8"/>
          <w:szCs w:val="12"/>
          <w:lang w:val="en-US"/>
        </w:rPr>
      </w:pPr>
    </w:p>
    <w:p w:rsidR="00794B7C" w:rsidRPr="00BB68F4" w:rsidRDefault="00794B7C" w:rsidP="00794B7C">
      <w:pPr>
        <w:rPr>
          <w:rFonts w:ascii="Book Antiqua" w:hAnsi="Book Antiqua"/>
          <w:lang w:val="en-US"/>
        </w:rPr>
      </w:pPr>
    </w:p>
    <w:p w:rsidR="00794B7C" w:rsidRPr="00BB68F4" w:rsidRDefault="00794B7C" w:rsidP="00794B7C">
      <w:pPr>
        <w:rPr>
          <w:rFonts w:ascii="Book Antiqua" w:hAnsi="Book Antiqua"/>
          <w:lang w:val="en-US"/>
        </w:rPr>
      </w:pPr>
    </w:p>
    <w:p w:rsidR="00794B7C" w:rsidRPr="00BB68F4" w:rsidRDefault="00794B7C" w:rsidP="00794B7C">
      <w:pPr>
        <w:rPr>
          <w:rFonts w:ascii="Book Antiqua" w:hAnsi="Book Antiqua"/>
          <w:lang w:val="en-US"/>
        </w:rPr>
      </w:pPr>
    </w:p>
    <w:p w:rsidR="00111F9C" w:rsidRPr="00BB68F4" w:rsidRDefault="00111F9C" w:rsidP="00794B7C">
      <w:pPr>
        <w:jc w:val="center"/>
        <w:rPr>
          <w:rFonts w:ascii="Book Antiqua" w:hAnsi="Book Antiqua"/>
          <w:lang w:val="en-US"/>
        </w:rPr>
      </w:pPr>
    </w:p>
    <w:sectPr w:rsidR="00111F9C" w:rsidRPr="00BB68F4" w:rsidSect="00986196">
      <w:headerReference w:type="default" r:id="rId10"/>
      <w:footerReference w:type="default" r:id="rId11"/>
      <w:pgSz w:w="12240" w:h="18720"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0A" w:rsidRDefault="0034220A" w:rsidP="009A1240">
      <w:r>
        <w:separator/>
      </w:r>
    </w:p>
  </w:endnote>
  <w:endnote w:type="continuationSeparator" w:id="0">
    <w:p w:rsidR="0034220A" w:rsidRDefault="0034220A"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Kalinga">
    <w:altName w:val="Gadugi"/>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3" w:rsidRDefault="00045CE3" w:rsidP="00045CE3">
    <w:pPr>
      <w:pStyle w:val="Pieddepage"/>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depage"/>
      <w:spacing w:line="360" w:lineRule="auto"/>
      <w:jc w:val="right"/>
      <w:rPr>
        <w:rFonts w:ascii="Arial" w:hAnsi="Arial" w:cs="Arial"/>
        <w:spacing w:val="20"/>
        <w:w w:val="200"/>
        <w:sz w:val="14"/>
        <w:szCs w:val="10"/>
        <w:lang w:val="es-CO"/>
      </w:rPr>
    </w:pPr>
  </w:p>
  <w:p w:rsidR="003C5098" w:rsidRPr="003E18D8" w:rsidRDefault="003C5098" w:rsidP="003C5098">
    <w:pPr>
      <w:pStyle w:val="Pieddepage"/>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depage"/>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0A" w:rsidRDefault="0034220A" w:rsidP="009A1240">
      <w:r>
        <w:separator/>
      </w:r>
    </w:p>
  </w:footnote>
  <w:footnote w:type="continuationSeparator" w:id="0">
    <w:p w:rsidR="0034220A" w:rsidRDefault="0034220A" w:rsidP="009A1240">
      <w:r>
        <w:continuationSeparator/>
      </w:r>
    </w:p>
  </w:footnote>
  <w:footnote w:id="1">
    <w:p w:rsidR="00C376B8" w:rsidRPr="00815663" w:rsidRDefault="00C376B8" w:rsidP="00C376B8">
      <w:pPr>
        <w:pStyle w:val="Notedebasdepage"/>
        <w:jc w:val="both"/>
        <w:rPr>
          <w:rFonts w:asciiTheme="minorHAnsi" w:hAnsiTheme="minorHAnsi"/>
        </w:rPr>
      </w:pPr>
      <w:r w:rsidRPr="00815663">
        <w:rPr>
          <w:rStyle w:val="Appelnotedebasdep"/>
          <w:rFonts w:asciiTheme="minorHAnsi" w:hAnsiTheme="minorHAnsi" w:cs="Calibri"/>
          <w:lang w:val="es-CO"/>
        </w:rPr>
        <w:footnoteRef/>
      </w:r>
      <w:r w:rsidRPr="00815663">
        <w:rPr>
          <w:rFonts w:asciiTheme="minorHAnsi" w:hAnsiTheme="minorHAnsi" w:cs="Calibri"/>
          <w:lang w:val="es-CO"/>
        </w:rPr>
        <w:t xml:space="preserve"> CANOSA T., Fernando. Las nulidades en el derecho procesal civil, 3ª edición, Ediciones Doctrina y ley, 1998, p.26.</w:t>
      </w:r>
    </w:p>
  </w:footnote>
  <w:footnote w:id="2">
    <w:p w:rsidR="00C376B8" w:rsidRPr="00815663" w:rsidRDefault="00C376B8" w:rsidP="00C376B8">
      <w:pPr>
        <w:pStyle w:val="Notedebasdepage"/>
        <w:jc w:val="both"/>
        <w:rPr>
          <w:rFonts w:asciiTheme="minorHAnsi" w:hAnsiTheme="minorHAnsi"/>
        </w:rPr>
      </w:pPr>
      <w:r w:rsidRPr="00815663">
        <w:rPr>
          <w:rStyle w:val="Appelnotedebasdep"/>
          <w:rFonts w:asciiTheme="minorHAnsi" w:hAnsiTheme="minorHAnsi" w:cs="Calibri"/>
          <w:szCs w:val="18"/>
          <w:lang w:val="es-CO"/>
        </w:rPr>
        <w:footnoteRef/>
      </w:r>
      <w:r w:rsidRPr="00815663">
        <w:rPr>
          <w:rFonts w:asciiTheme="minorHAnsi" w:hAnsiTheme="minorHAnsi" w:cs="Calibri"/>
          <w:szCs w:val="18"/>
          <w:lang w:val="es-CO"/>
        </w:rPr>
        <w:t xml:space="preserve"> LÓPEZ B., Hernán F. Código General del Proceso, tomo I, parte general, Bogotá DC, </w:t>
      </w:r>
      <w:proofErr w:type="spellStart"/>
      <w:r w:rsidRPr="00815663">
        <w:rPr>
          <w:rFonts w:asciiTheme="minorHAnsi" w:hAnsiTheme="minorHAnsi" w:cs="Calibri"/>
          <w:szCs w:val="18"/>
          <w:lang w:val="es-CO"/>
        </w:rPr>
        <w:t>Dupré</w:t>
      </w:r>
      <w:proofErr w:type="spellEnd"/>
      <w:r w:rsidRPr="00815663">
        <w:rPr>
          <w:rFonts w:asciiTheme="minorHAnsi" w:hAnsiTheme="minorHAnsi" w:cs="Calibri"/>
          <w:szCs w:val="18"/>
          <w:lang w:val="es-CO"/>
        </w:rPr>
        <w:t xml:space="preserve"> editores, 2016, </w:t>
      </w:r>
      <w:proofErr w:type="spellStart"/>
      <w:r w:rsidRPr="00815663">
        <w:rPr>
          <w:rFonts w:asciiTheme="minorHAnsi" w:hAnsiTheme="minorHAnsi" w:cs="Calibri"/>
          <w:szCs w:val="18"/>
          <w:lang w:val="es-CO"/>
        </w:rPr>
        <w:t>p.909</w:t>
      </w:r>
      <w:proofErr w:type="spellEnd"/>
      <w:r w:rsidRPr="00815663">
        <w:rPr>
          <w:rFonts w:asciiTheme="minorHAnsi" w:hAnsiTheme="minorHAnsi" w:cs="Calibri"/>
          <w:szCs w:val="18"/>
          <w:lang w:val="es-CO"/>
        </w:rPr>
        <w:t xml:space="preserve"> ss.</w:t>
      </w:r>
    </w:p>
  </w:footnote>
  <w:footnote w:id="3">
    <w:p w:rsidR="00C376B8" w:rsidRPr="00815663" w:rsidRDefault="00C376B8" w:rsidP="00C376B8">
      <w:pPr>
        <w:pStyle w:val="Notedebasdepage"/>
        <w:jc w:val="both"/>
        <w:rPr>
          <w:rFonts w:asciiTheme="minorHAnsi" w:hAnsiTheme="minorHAnsi"/>
        </w:rPr>
      </w:pPr>
      <w:r w:rsidRPr="00815663">
        <w:rPr>
          <w:rStyle w:val="Appelnotedebasdep"/>
          <w:rFonts w:asciiTheme="minorHAnsi" w:hAnsiTheme="minorHAnsi" w:cs="Calibri"/>
          <w:lang w:val="es-CO"/>
        </w:rPr>
        <w:footnoteRef/>
      </w:r>
      <w:r w:rsidRPr="00815663">
        <w:rPr>
          <w:rFonts w:asciiTheme="minorHAnsi" w:hAnsiTheme="minorHAnsi" w:cs="Calibri"/>
          <w:lang w:val="es-CO"/>
        </w:rPr>
        <w:t xml:space="preserve"> AZULA C., Jaime. Manual de derecho procesal civil, tomo II, 4ª edición, editorial Temis, Bogotá D.C., 1994, p.303.</w:t>
      </w:r>
    </w:p>
  </w:footnote>
  <w:footnote w:id="4">
    <w:p w:rsidR="00C376B8" w:rsidRPr="00815663" w:rsidRDefault="00C376B8" w:rsidP="00C376B8">
      <w:pPr>
        <w:pStyle w:val="Notedebasdepage"/>
        <w:jc w:val="both"/>
        <w:rPr>
          <w:rFonts w:asciiTheme="minorHAnsi" w:hAnsiTheme="minorHAnsi"/>
        </w:rPr>
      </w:pPr>
      <w:r w:rsidRPr="00815663">
        <w:rPr>
          <w:rStyle w:val="Appelnotedebasdep"/>
          <w:rFonts w:asciiTheme="minorHAnsi" w:hAnsiTheme="minorHAnsi" w:cs="Calibri"/>
          <w:lang w:val="es-CO"/>
        </w:rPr>
        <w:footnoteRef/>
      </w:r>
      <w:r w:rsidRPr="00815663">
        <w:rPr>
          <w:rFonts w:asciiTheme="minorHAnsi" w:hAnsiTheme="minorHAnsi" w:cs="Calibri"/>
          <w:lang w:val="es-CO"/>
        </w:rPr>
        <w:t xml:space="preserve"> ROJAS G., Miguel E. Lecciones de derecho procesal, tomo II, Procedimiento Civil, 5ª Edición, </w:t>
      </w:r>
      <w:proofErr w:type="spellStart"/>
      <w:r w:rsidRPr="00815663">
        <w:rPr>
          <w:rFonts w:asciiTheme="minorHAnsi" w:hAnsiTheme="minorHAnsi" w:cs="Calibri"/>
          <w:lang w:val="es-CO"/>
        </w:rPr>
        <w:t>Esaju</w:t>
      </w:r>
      <w:proofErr w:type="spellEnd"/>
      <w:r w:rsidRPr="00815663">
        <w:rPr>
          <w:rFonts w:asciiTheme="minorHAnsi" w:hAnsiTheme="minorHAnsi" w:cs="Calibri"/>
          <w:lang w:val="es-CO"/>
        </w:rPr>
        <w:t>, 2013, Bogotá DC, p.459 a 462.</w:t>
      </w:r>
    </w:p>
  </w:footnote>
  <w:footnote w:id="5">
    <w:p w:rsidR="00C376B8" w:rsidRPr="00815663" w:rsidRDefault="00C376B8" w:rsidP="00C376B8">
      <w:pPr>
        <w:pStyle w:val="Notedebasdepage"/>
        <w:jc w:val="both"/>
        <w:rPr>
          <w:rFonts w:asciiTheme="minorHAnsi" w:hAnsiTheme="minorHAnsi"/>
        </w:rPr>
      </w:pPr>
      <w:r w:rsidRPr="00815663">
        <w:rPr>
          <w:rStyle w:val="Appelnotedebasdep"/>
          <w:rFonts w:asciiTheme="minorHAnsi" w:hAnsiTheme="minorHAnsi" w:cs="Calibri"/>
          <w:lang w:val="es-CO"/>
        </w:rPr>
        <w:footnoteRef/>
      </w:r>
      <w:r w:rsidRPr="00815663">
        <w:rPr>
          <w:rFonts w:asciiTheme="minorHAnsi" w:hAnsiTheme="minorHAnsi" w:cs="Calibri"/>
          <w:lang w:val="es-CO"/>
        </w:rPr>
        <w:t xml:space="preserve"> CANOSA T., Fernando, ob. cit., p.19 y ss.</w:t>
      </w:r>
    </w:p>
  </w:footnote>
  <w:footnote w:id="6">
    <w:p w:rsidR="00C376B8" w:rsidRPr="00815663" w:rsidRDefault="00C376B8" w:rsidP="00C376B8">
      <w:pPr>
        <w:pStyle w:val="Notedebasdepage"/>
        <w:jc w:val="both"/>
        <w:rPr>
          <w:rFonts w:asciiTheme="minorHAnsi" w:hAnsiTheme="minorHAnsi"/>
          <w:lang w:val="es-CO"/>
        </w:rPr>
      </w:pPr>
      <w:r w:rsidRPr="00815663">
        <w:rPr>
          <w:rStyle w:val="Appelnotedebasdep"/>
          <w:rFonts w:asciiTheme="minorHAnsi" w:hAnsiTheme="minorHAnsi"/>
        </w:rPr>
        <w:footnoteRef/>
      </w:r>
      <w:r w:rsidRPr="00815663">
        <w:rPr>
          <w:rFonts w:asciiTheme="minorHAnsi" w:hAnsiTheme="minorHAnsi"/>
        </w:rPr>
        <w:t xml:space="preserve"> </w:t>
      </w:r>
      <w:r w:rsidRPr="00815663">
        <w:rPr>
          <w:rFonts w:asciiTheme="minorHAnsi" w:hAnsiTheme="minorHAnsi"/>
          <w:lang w:val="es-CO"/>
        </w:rPr>
        <w:t xml:space="preserve">CSJ, Sala Civil. SC15413-2014. </w:t>
      </w:r>
    </w:p>
  </w:footnote>
  <w:footnote w:id="7">
    <w:p w:rsidR="00C376B8" w:rsidRPr="00815663" w:rsidRDefault="00C376B8" w:rsidP="00C376B8">
      <w:pPr>
        <w:pStyle w:val="Notedebasdepage"/>
        <w:jc w:val="both"/>
        <w:rPr>
          <w:rFonts w:asciiTheme="minorHAnsi" w:hAnsiTheme="minorHAnsi"/>
          <w:lang w:val="es-CO"/>
        </w:rPr>
      </w:pPr>
      <w:r w:rsidRPr="00815663">
        <w:rPr>
          <w:rStyle w:val="Appelnotedebasdep"/>
          <w:rFonts w:asciiTheme="minorHAnsi" w:hAnsiTheme="minorHAnsi"/>
        </w:rPr>
        <w:footnoteRef/>
      </w:r>
      <w:r w:rsidRPr="00815663">
        <w:rPr>
          <w:rFonts w:asciiTheme="minorHAnsi" w:hAnsiTheme="minorHAnsi" w:cs="Calibri"/>
        </w:rPr>
        <w:t xml:space="preserve"> INSTITUTO COLOMBIANO DE DERECHO PROCESAL. </w:t>
      </w:r>
      <w:r w:rsidRPr="00815663">
        <w:rPr>
          <w:rFonts w:asciiTheme="minorHAnsi" w:hAnsiTheme="minorHAnsi"/>
        </w:rPr>
        <w:t>Sanabria Santos, Henry.</w:t>
      </w:r>
      <w:r w:rsidRPr="00815663">
        <w:rPr>
          <w:rFonts w:asciiTheme="minorHAnsi" w:hAnsiTheme="minorHAnsi" w:cs="Calibri"/>
        </w:rPr>
        <w:t xml:space="preserve"> Código General del Proceso</w:t>
      </w:r>
      <w:r w:rsidRPr="00815663">
        <w:rPr>
          <w:rFonts w:asciiTheme="minorHAnsi" w:hAnsiTheme="minorHAnsi" w:cs="Calibri"/>
          <w:lang w:val="es-CO"/>
        </w:rPr>
        <w:t>, 1ª edición, Impresor Panamericana Formas e Impresos SAS, 2014, p.257.</w:t>
      </w:r>
    </w:p>
  </w:footnote>
  <w:footnote w:id="8">
    <w:p w:rsidR="008354DE" w:rsidRPr="00566F65" w:rsidRDefault="008354DE" w:rsidP="008354DE">
      <w:pPr>
        <w:pStyle w:val="Notedebasdepage"/>
        <w:jc w:val="both"/>
        <w:rPr>
          <w:rFonts w:asciiTheme="minorHAnsi" w:hAnsiTheme="minorHAnsi"/>
        </w:rPr>
      </w:pPr>
      <w:r w:rsidRPr="00566F65">
        <w:rPr>
          <w:rFonts w:asciiTheme="minorHAnsi" w:hAnsiTheme="minorHAnsi" w:cs="Calibri"/>
          <w:vertAlign w:val="superscript"/>
        </w:rPr>
        <w:footnoteRef/>
      </w:r>
      <w:r w:rsidRPr="00566F65">
        <w:rPr>
          <w:rFonts w:asciiTheme="minorHAnsi" w:hAnsiTheme="minorHAnsi" w:cs="Calibri"/>
        </w:rPr>
        <w:t xml:space="preserve"> </w:t>
      </w:r>
      <w:r w:rsidRPr="00566F65">
        <w:rPr>
          <w:rFonts w:asciiTheme="minorHAnsi" w:hAnsiTheme="minorHAnsi" w:cs="Calibri"/>
          <w:szCs w:val="18"/>
          <w:lang w:val="es-CO"/>
        </w:rPr>
        <w:t>LÓPEZ B</w:t>
      </w:r>
      <w:r w:rsidR="0055047B">
        <w:rPr>
          <w:rFonts w:asciiTheme="minorHAnsi" w:hAnsiTheme="minorHAnsi" w:cs="Calibri"/>
          <w:szCs w:val="18"/>
          <w:lang w:val="es-CO"/>
        </w:rPr>
        <w:t>.</w:t>
      </w:r>
      <w:r w:rsidRPr="00566F65">
        <w:rPr>
          <w:rFonts w:asciiTheme="minorHAnsi" w:hAnsiTheme="minorHAnsi" w:cs="Calibri"/>
          <w:szCs w:val="18"/>
          <w:lang w:val="es-CO"/>
        </w:rPr>
        <w:t xml:space="preserve">, Hernán F. </w:t>
      </w:r>
      <w:r w:rsidR="0055047B">
        <w:rPr>
          <w:rFonts w:asciiTheme="minorHAnsi" w:hAnsiTheme="minorHAnsi" w:cs="Calibri"/>
          <w:szCs w:val="18"/>
          <w:lang w:val="es-CO"/>
        </w:rPr>
        <w:t>Ob. cit.</w:t>
      </w:r>
      <w:r w:rsidRPr="00566F65">
        <w:rPr>
          <w:rFonts w:asciiTheme="minorHAnsi" w:hAnsiTheme="minorHAnsi" w:cs="Calibri"/>
          <w:szCs w:val="18"/>
          <w:lang w:val="es-CO"/>
        </w:rPr>
        <w:t>, p.447</w:t>
      </w:r>
      <w:r w:rsidRPr="00566F65">
        <w:rPr>
          <w:rFonts w:asciiTheme="minorHAnsi" w:hAnsiTheme="minorHAnsi" w:cs="Calibri"/>
        </w:rPr>
        <w:t>.</w:t>
      </w:r>
    </w:p>
  </w:footnote>
  <w:footnote w:id="9">
    <w:p w:rsidR="008354DE" w:rsidRPr="00566F65" w:rsidRDefault="008354DE" w:rsidP="008354DE">
      <w:pPr>
        <w:pStyle w:val="Notedebasdepage"/>
        <w:jc w:val="both"/>
        <w:rPr>
          <w:rFonts w:asciiTheme="minorHAnsi" w:hAnsiTheme="minorHAnsi"/>
          <w:lang w:val="es-CO"/>
        </w:rPr>
      </w:pPr>
      <w:r w:rsidRPr="00566F65">
        <w:rPr>
          <w:rStyle w:val="Appelnotedebasdep"/>
          <w:rFonts w:asciiTheme="minorHAnsi" w:hAnsiTheme="minorHAnsi"/>
        </w:rPr>
        <w:footnoteRef/>
      </w:r>
      <w:r w:rsidRPr="00566F65">
        <w:rPr>
          <w:rFonts w:asciiTheme="minorHAnsi" w:hAnsiTheme="minorHAnsi"/>
        </w:rPr>
        <w:t xml:space="preserve"> </w:t>
      </w:r>
      <w:r w:rsidRPr="00566F65">
        <w:rPr>
          <w:rFonts w:asciiTheme="minorHAnsi" w:hAnsiTheme="minorHAnsi" w:cs="Calibri"/>
        </w:rPr>
        <w:t>ROJAS G</w:t>
      </w:r>
      <w:r w:rsidR="0055047B">
        <w:rPr>
          <w:rFonts w:asciiTheme="minorHAnsi" w:hAnsiTheme="minorHAnsi" w:cs="Calibri"/>
        </w:rPr>
        <w:t>.</w:t>
      </w:r>
      <w:r w:rsidRPr="00566F65">
        <w:rPr>
          <w:rFonts w:asciiTheme="minorHAnsi" w:hAnsiTheme="minorHAnsi" w:cs="Calibri"/>
        </w:rPr>
        <w:t>, Miguel E. Lecciones de derecho procesal, Procedimiento civil, tomo II, E</w:t>
      </w:r>
      <w:r w:rsidR="0055047B">
        <w:rPr>
          <w:rFonts w:asciiTheme="minorHAnsi" w:hAnsiTheme="minorHAnsi" w:cs="Calibri"/>
        </w:rPr>
        <w:t>SAJU</w:t>
      </w:r>
      <w:r w:rsidRPr="00566F65">
        <w:rPr>
          <w:rFonts w:asciiTheme="minorHAnsi" w:hAnsiTheme="minorHAnsi" w:cs="Calibri"/>
        </w:rPr>
        <w:t>, 5ª edición, 2013, Bogotá DC, p.319.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E3" w:rsidRPr="00B62758" w:rsidRDefault="00045CE3" w:rsidP="00045CE3">
    <w:pPr>
      <w:pStyle w:val="En-tte"/>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6F3566" w:rsidRPr="006F3566">
      <w:rPr>
        <w:rFonts w:asciiTheme="minorHAnsi" w:hAnsiTheme="minorHAnsi" w:cs="Calibri"/>
        <w:bCs/>
        <w:noProof/>
      </w:rPr>
      <w:t>1</w:t>
    </w:r>
    <w:r w:rsidRPr="00B62758">
      <w:rPr>
        <w:rFonts w:asciiTheme="minorHAnsi" w:hAnsiTheme="minorHAnsi" w:cs="Calibri"/>
      </w:rPr>
      <w:fldChar w:fldCharType="end"/>
    </w:r>
  </w:p>
  <w:p w:rsidR="00045CE3" w:rsidRPr="00323447" w:rsidRDefault="00045CE3" w:rsidP="00045CE3">
    <w:pPr>
      <w:pStyle w:val="En-tte"/>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No.20</w:t>
    </w:r>
    <w:r w:rsidR="008B7145">
      <w:rPr>
        <w:rFonts w:asciiTheme="majorHAnsi" w:hAnsiTheme="majorHAnsi" w:cs="Iskoola Pota"/>
        <w:i/>
        <w:sz w:val="16"/>
        <w:lang w:val="es-CO"/>
      </w:rPr>
      <w:t>1</w:t>
    </w:r>
    <w:r w:rsidR="001A4CAA">
      <w:rPr>
        <w:rFonts w:asciiTheme="majorHAnsi" w:hAnsiTheme="majorHAnsi" w:cs="Iskoola Pota"/>
        <w:i/>
        <w:sz w:val="16"/>
        <w:lang w:val="es-CO"/>
      </w:rPr>
      <w:t>6</w:t>
    </w:r>
    <w:r w:rsidRPr="00323447">
      <w:rPr>
        <w:rFonts w:asciiTheme="majorHAnsi" w:hAnsiTheme="majorHAnsi" w:cs="Iskoola Pota"/>
        <w:i/>
        <w:sz w:val="16"/>
        <w:lang w:val="es-CO"/>
      </w:rPr>
      <w:t>-00</w:t>
    </w:r>
    <w:r w:rsidR="001A4CAA">
      <w:rPr>
        <w:rFonts w:asciiTheme="majorHAnsi" w:hAnsiTheme="majorHAnsi" w:cs="Iskoola Pota"/>
        <w:i/>
        <w:sz w:val="16"/>
        <w:lang w:val="es-CO"/>
      </w:rPr>
      <w:t>054</w:t>
    </w:r>
    <w:r w:rsidR="00AC7745">
      <w:rPr>
        <w:rFonts w:asciiTheme="majorHAnsi" w:hAnsiTheme="majorHAnsi" w:cs="Iskoola Pota"/>
        <w:i/>
        <w:sz w:val="16"/>
        <w:lang w:val="es-CO"/>
      </w:rPr>
      <w:t>-</w:t>
    </w:r>
    <w:r w:rsidRPr="00323447">
      <w:rPr>
        <w:rFonts w:asciiTheme="majorHAnsi" w:hAnsiTheme="majorHAnsi" w:cs="Iskoola Pota"/>
        <w:i/>
        <w:sz w:val="16"/>
        <w:lang w:val="es-CO"/>
      </w:rPr>
      <w:t>0</w:t>
    </w:r>
    <w:r w:rsidR="008B7145">
      <w:rPr>
        <w:rFonts w:asciiTheme="majorHAnsi" w:hAnsiTheme="majorHAnsi" w:cs="Iskoola Pota"/>
        <w:i/>
        <w:sz w:val="16"/>
        <w:lang w:val="es-CO"/>
      </w:rPr>
      <w:t>1</w:t>
    </w:r>
  </w:p>
  <w:p w:rsidR="008D321B" w:rsidRPr="00045CE3" w:rsidRDefault="008D321B" w:rsidP="00045C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A2"/>
    <w:rsid w:val="0000570F"/>
    <w:rsid w:val="000111C6"/>
    <w:rsid w:val="000124CA"/>
    <w:rsid w:val="00032991"/>
    <w:rsid w:val="0004285E"/>
    <w:rsid w:val="00045CE3"/>
    <w:rsid w:val="00050BAF"/>
    <w:rsid w:val="00050E52"/>
    <w:rsid w:val="000521D3"/>
    <w:rsid w:val="00054BF9"/>
    <w:rsid w:val="00054ED1"/>
    <w:rsid w:val="00057617"/>
    <w:rsid w:val="00057B5C"/>
    <w:rsid w:val="00060A66"/>
    <w:rsid w:val="00061786"/>
    <w:rsid w:val="00063444"/>
    <w:rsid w:val="00063E12"/>
    <w:rsid w:val="00073E33"/>
    <w:rsid w:val="00076EDC"/>
    <w:rsid w:val="00081450"/>
    <w:rsid w:val="00091B32"/>
    <w:rsid w:val="00093D74"/>
    <w:rsid w:val="000979F2"/>
    <w:rsid w:val="000A3198"/>
    <w:rsid w:val="000A4144"/>
    <w:rsid w:val="000B2C44"/>
    <w:rsid w:val="000B416A"/>
    <w:rsid w:val="000B4877"/>
    <w:rsid w:val="000B5B84"/>
    <w:rsid w:val="000B62AF"/>
    <w:rsid w:val="000D03C3"/>
    <w:rsid w:val="000D106C"/>
    <w:rsid w:val="000D1C67"/>
    <w:rsid w:val="000D4106"/>
    <w:rsid w:val="000D51C5"/>
    <w:rsid w:val="000D579D"/>
    <w:rsid w:val="000D70EB"/>
    <w:rsid w:val="000E1102"/>
    <w:rsid w:val="000E18D0"/>
    <w:rsid w:val="000E4FA0"/>
    <w:rsid w:val="000E7392"/>
    <w:rsid w:val="000F08E0"/>
    <w:rsid w:val="000F16E3"/>
    <w:rsid w:val="000F1B66"/>
    <w:rsid w:val="000F3C01"/>
    <w:rsid w:val="000F6932"/>
    <w:rsid w:val="00107E1A"/>
    <w:rsid w:val="00110366"/>
    <w:rsid w:val="00111F9C"/>
    <w:rsid w:val="00112D32"/>
    <w:rsid w:val="001130D4"/>
    <w:rsid w:val="00114608"/>
    <w:rsid w:val="00114FEE"/>
    <w:rsid w:val="00117C9A"/>
    <w:rsid w:val="0012018F"/>
    <w:rsid w:val="00121881"/>
    <w:rsid w:val="00122AF4"/>
    <w:rsid w:val="00122CE4"/>
    <w:rsid w:val="00132BE5"/>
    <w:rsid w:val="00134551"/>
    <w:rsid w:val="001403D4"/>
    <w:rsid w:val="00141432"/>
    <w:rsid w:val="00142393"/>
    <w:rsid w:val="001445DE"/>
    <w:rsid w:val="001446B1"/>
    <w:rsid w:val="001452E0"/>
    <w:rsid w:val="00157865"/>
    <w:rsid w:val="00165916"/>
    <w:rsid w:val="00176160"/>
    <w:rsid w:val="00184852"/>
    <w:rsid w:val="00186705"/>
    <w:rsid w:val="00190036"/>
    <w:rsid w:val="001902A0"/>
    <w:rsid w:val="00193145"/>
    <w:rsid w:val="001A46C4"/>
    <w:rsid w:val="001A4CAA"/>
    <w:rsid w:val="001A565D"/>
    <w:rsid w:val="001A688F"/>
    <w:rsid w:val="001B2496"/>
    <w:rsid w:val="001B3230"/>
    <w:rsid w:val="001B4583"/>
    <w:rsid w:val="001B4B9B"/>
    <w:rsid w:val="001C36DF"/>
    <w:rsid w:val="001C3F97"/>
    <w:rsid w:val="001C51D4"/>
    <w:rsid w:val="001C5578"/>
    <w:rsid w:val="001C5598"/>
    <w:rsid w:val="001D0AA3"/>
    <w:rsid w:val="001D5F8C"/>
    <w:rsid w:val="001D60DE"/>
    <w:rsid w:val="001D7953"/>
    <w:rsid w:val="001D7E85"/>
    <w:rsid w:val="001E18FB"/>
    <w:rsid w:val="001E57DE"/>
    <w:rsid w:val="001F53B6"/>
    <w:rsid w:val="00201848"/>
    <w:rsid w:val="00204BB6"/>
    <w:rsid w:val="00207C51"/>
    <w:rsid w:val="0021075B"/>
    <w:rsid w:val="00216AE8"/>
    <w:rsid w:val="002243EA"/>
    <w:rsid w:val="00227FA6"/>
    <w:rsid w:val="00230208"/>
    <w:rsid w:val="00231A7F"/>
    <w:rsid w:val="00232FC6"/>
    <w:rsid w:val="0023681D"/>
    <w:rsid w:val="00236A9B"/>
    <w:rsid w:val="0023704F"/>
    <w:rsid w:val="00237B2C"/>
    <w:rsid w:val="00237BF5"/>
    <w:rsid w:val="002419D4"/>
    <w:rsid w:val="00243379"/>
    <w:rsid w:val="0024455A"/>
    <w:rsid w:val="00247FA8"/>
    <w:rsid w:val="00257943"/>
    <w:rsid w:val="002579E7"/>
    <w:rsid w:val="00257B1F"/>
    <w:rsid w:val="00266906"/>
    <w:rsid w:val="002711FB"/>
    <w:rsid w:val="0027637D"/>
    <w:rsid w:val="00276737"/>
    <w:rsid w:val="00280589"/>
    <w:rsid w:val="002825A8"/>
    <w:rsid w:val="002860D6"/>
    <w:rsid w:val="00286E35"/>
    <w:rsid w:val="002873EC"/>
    <w:rsid w:val="002912F2"/>
    <w:rsid w:val="00297096"/>
    <w:rsid w:val="002A0A88"/>
    <w:rsid w:val="002A18D8"/>
    <w:rsid w:val="002A55F9"/>
    <w:rsid w:val="002A5F6E"/>
    <w:rsid w:val="002B513B"/>
    <w:rsid w:val="002C37C0"/>
    <w:rsid w:val="002C4195"/>
    <w:rsid w:val="002C6B60"/>
    <w:rsid w:val="002C7A37"/>
    <w:rsid w:val="002D045F"/>
    <w:rsid w:val="002D4917"/>
    <w:rsid w:val="002D605B"/>
    <w:rsid w:val="002E0BA3"/>
    <w:rsid w:val="002E20D6"/>
    <w:rsid w:val="002E21FB"/>
    <w:rsid w:val="002E5263"/>
    <w:rsid w:val="002E562C"/>
    <w:rsid w:val="002F4DF5"/>
    <w:rsid w:val="002F7410"/>
    <w:rsid w:val="003013A2"/>
    <w:rsid w:val="00305C99"/>
    <w:rsid w:val="00310EAB"/>
    <w:rsid w:val="003169B1"/>
    <w:rsid w:val="00316BE2"/>
    <w:rsid w:val="00323447"/>
    <w:rsid w:val="003319C7"/>
    <w:rsid w:val="00331B14"/>
    <w:rsid w:val="003336C3"/>
    <w:rsid w:val="0034220A"/>
    <w:rsid w:val="00342E88"/>
    <w:rsid w:val="003458B9"/>
    <w:rsid w:val="00350C7A"/>
    <w:rsid w:val="00352931"/>
    <w:rsid w:val="00354E29"/>
    <w:rsid w:val="00360576"/>
    <w:rsid w:val="00363D70"/>
    <w:rsid w:val="00366D3B"/>
    <w:rsid w:val="00370D1D"/>
    <w:rsid w:val="00371D56"/>
    <w:rsid w:val="0038158A"/>
    <w:rsid w:val="00384791"/>
    <w:rsid w:val="00386111"/>
    <w:rsid w:val="00392869"/>
    <w:rsid w:val="00392F07"/>
    <w:rsid w:val="00393DD3"/>
    <w:rsid w:val="00395E26"/>
    <w:rsid w:val="003972DC"/>
    <w:rsid w:val="003A1A5B"/>
    <w:rsid w:val="003A4792"/>
    <w:rsid w:val="003B19D8"/>
    <w:rsid w:val="003B445E"/>
    <w:rsid w:val="003B5E6E"/>
    <w:rsid w:val="003C5098"/>
    <w:rsid w:val="003C7051"/>
    <w:rsid w:val="003C77D5"/>
    <w:rsid w:val="003D081D"/>
    <w:rsid w:val="003D67D8"/>
    <w:rsid w:val="003D6C3D"/>
    <w:rsid w:val="003E0818"/>
    <w:rsid w:val="003E1A30"/>
    <w:rsid w:val="003E236C"/>
    <w:rsid w:val="003E3CF7"/>
    <w:rsid w:val="003E4533"/>
    <w:rsid w:val="003E5ED3"/>
    <w:rsid w:val="003F3AD2"/>
    <w:rsid w:val="00400B90"/>
    <w:rsid w:val="00402132"/>
    <w:rsid w:val="00403F27"/>
    <w:rsid w:val="004041EA"/>
    <w:rsid w:val="00407A11"/>
    <w:rsid w:val="00411AC5"/>
    <w:rsid w:val="004139EB"/>
    <w:rsid w:val="00414421"/>
    <w:rsid w:val="004155DE"/>
    <w:rsid w:val="004203C3"/>
    <w:rsid w:val="00427BE4"/>
    <w:rsid w:val="004335C7"/>
    <w:rsid w:val="00436669"/>
    <w:rsid w:val="00437EF2"/>
    <w:rsid w:val="00455DE9"/>
    <w:rsid w:val="004614E4"/>
    <w:rsid w:val="00461F2C"/>
    <w:rsid w:val="00465107"/>
    <w:rsid w:val="00467B47"/>
    <w:rsid w:val="00471941"/>
    <w:rsid w:val="00471F25"/>
    <w:rsid w:val="00481083"/>
    <w:rsid w:val="00482924"/>
    <w:rsid w:val="004848E7"/>
    <w:rsid w:val="0048492D"/>
    <w:rsid w:val="004851F8"/>
    <w:rsid w:val="004871C6"/>
    <w:rsid w:val="004972C9"/>
    <w:rsid w:val="004A0049"/>
    <w:rsid w:val="004A4D2E"/>
    <w:rsid w:val="004A550E"/>
    <w:rsid w:val="004A7C24"/>
    <w:rsid w:val="004B6BF7"/>
    <w:rsid w:val="004C24E5"/>
    <w:rsid w:val="004C319B"/>
    <w:rsid w:val="004D1DC4"/>
    <w:rsid w:val="004D3020"/>
    <w:rsid w:val="004D62C6"/>
    <w:rsid w:val="004E1CAC"/>
    <w:rsid w:val="004E1EF9"/>
    <w:rsid w:val="004E2173"/>
    <w:rsid w:val="004E65E6"/>
    <w:rsid w:val="004E6A80"/>
    <w:rsid w:val="004F08A0"/>
    <w:rsid w:val="004F1726"/>
    <w:rsid w:val="004F229E"/>
    <w:rsid w:val="004F537C"/>
    <w:rsid w:val="004F7160"/>
    <w:rsid w:val="00500A43"/>
    <w:rsid w:val="00500DC5"/>
    <w:rsid w:val="005022A7"/>
    <w:rsid w:val="005035D2"/>
    <w:rsid w:val="005136BB"/>
    <w:rsid w:val="00515B6B"/>
    <w:rsid w:val="005226A9"/>
    <w:rsid w:val="0052315C"/>
    <w:rsid w:val="0052398B"/>
    <w:rsid w:val="005269C3"/>
    <w:rsid w:val="0053073B"/>
    <w:rsid w:val="0054427C"/>
    <w:rsid w:val="00544BCA"/>
    <w:rsid w:val="0055047B"/>
    <w:rsid w:val="00550D01"/>
    <w:rsid w:val="0055115B"/>
    <w:rsid w:val="0055475B"/>
    <w:rsid w:val="0055545C"/>
    <w:rsid w:val="00564C16"/>
    <w:rsid w:val="0056502A"/>
    <w:rsid w:val="0056570B"/>
    <w:rsid w:val="00566F65"/>
    <w:rsid w:val="00570A9B"/>
    <w:rsid w:val="00570C60"/>
    <w:rsid w:val="00572804"/>
    <w:rsid w:val="005768FC"/>
    <w:rsid w:val="0058265D"/>
    <w:rsid w:val="00582978"/>
    <w:rsid w:val="00582F12"/>
    <w:rsid w:val="005846B6"/>
    <w:rsid w:val="0058709F"/>
    <w:rsid w:val="00592D99"/>
    <w:rsid w:val="005938D9"/>
    <w:rsid w:val="00597D74"/>
    <w:rsid w:val="005A3571"/>
    <w:rsid w:val="005B781D"/>
    <w:rsid w:val="005C1309"/>
    <w:rsid w:val="005C3D57"/>
    <w:rsid w:val="005C4919"/>
    <w:rsid w:val="005D0B8F"/>
    <w:rsid w:val="005D0C4E"/>
    <w:rsid w:val="005D39F3"/>
    <w:rsid w:val="005D49DF"/>
    <w:rsid w:val="005E03C6"/>
    <w:rsid w:val="005E0C72"/>
    <w:rsid w:val="005E3639"/>
    <w:rsid w:val="005E5E74"/>
    <w:rsid w:val="005E604E"/>
    <w:rsid w:val="005F1FB2"/>
    <w:rsid w:val="005F469F"/>
    <w:rsid w:val="0060427D"/>
    <w:rsid w:val="00606641"/>
    <w:rsid w:val="00607310"/>
    <w:rsid w:val="00611CB0"/>
    <w:rsid w:val="006144B3"/>
    <w:rsid w:val="00617D63"/>
    <w:rsid w:val="00623497"/>
    <w:rsid w:val="006235A9"/>
    <w:rsid w:val="00623A6D"/>
    <w:rsid w:val="00631466"/>
    <w:rsid w:val="00631717"/>
    <w:rsid w:val="00632458"/>
    <w:rsid w:val="006423C6"/>
    <w:rsid w:val="00643BB9"/>
    <w:rsid w:val="00646320"/>
    <w:rsid w:val="00647818"/>
    <w:rsid w:val="00651C7E"/>
    <w:rsid w:val="006527BF"/>
    <w:rsid w:val="006567B9"/>
    <w:rsid w:val="006575B5"/>
    <w:rsid w:val="00660E7E"/>
    <w:rsid w:val="00663341"/>
    <w:rsid w:val="00672632"/>
    <w:rsid w:val="00674682"/>
    <w:rsid w:val="00676A65"/>
    <w:rsid w:val="0067785B"/>
    <w:rsid w:val="00681A45"/>
    <w:rsid w:val="00682BBB"/>
    <w:rsid w:val="006837D2"/>
    <w:rsid w:val="00683C42"/>
    <w:rsid w:val="00684826"/>
    <w:rsid w:val="00686B69"/>
    <w:rsid w:val="006950C1"/>
    <w:rsid w:val="00695536"/>
    <w:rsid w:val="006A11EF"/>
    <w:rsid w:val="006A30E2"/>
    <w:rsid w:val="006A6085"/>
    <w:rsid w:val="006B2386"/>
    <w:rsid w:val="006B6A86"/>
    <w:rsid w:val="006B768E"/>
    <w:rsid w:val="006B7EB8"/>
    <w:rsid w:val="006C408D"/>
    <w:rsid w:val="006C4591"/>
    <w:rsid w:val="006C572F"/>
    <w:rsid w:val="006E07AA"/>
    <w:rsid w:val="006E1121"/>
    <w:rsid w:val="006E221E"/>
    <w:rsid w:val="006F310C"/>
    <w:rsid w:val="006F3566"/>
    <w:rsid w:val="006F58F9"/>
    <w:rsid w:val="006F61F6"/>
    <w:rsid w:val="007031D1"/>
    <w:rsid w:val="00707F42"/>
    <w:rsid w:val="00715013"/>
    <w:rsid w:val="00723A3A"/>
    <w:rsid w:val="00725DA4"/>
    <w:rsid w:val="00726D6E"/>
    <w:rsid w:val="00727833"/>
    <w:rsid w:val="007326D4"/>
    <w:rsid w:val="007330E3"/>
    <w:rsid w:val="00734860"/>
    <w:rsid w:val="00737026"/>
    <w:rsid w:val="00740B86"/>
    <w:rsid w:val="0076163D"/>
    <w:rsid w:val="007668A2"/>
    <w:rsid w:val="00774AD2"/>
    <w:rsid w:val="00776488"/>
    <w:rsid w:val="00776C17"/>
    <w:rsid w:val="00780839"/>
    <w:rsid w:val="00781593"/>
    <w:rsid w:val="00781928"/>
    <w:rsid w:val="007841FC"/>
    <w:rsid w:val="007853A8"/>
    <w:rsid w:val="007860C0"/>
    <w:rsid w:val="007864D6"/>
    <w:rsid w:val="00794B7C"/>
    <w:rsid w:val="007A1327"/>
    <w:rsid w:val="007A1804"/>
    <w:rsid w:val="007A476E"/>
    <w:rsid w:val="007A5D05"/>
    <w:rsid w:val="007C03DB"/>
    <w:rsid w:val="007C4788"/>
    <w:rsid w:val="007C66B8"/>
    <w:rsid w:val="007D102F"/>
    <w:rsid w:val="007D22B1"/>
    <w:rsid w:val="007D341B"/>
    <w:rsid w:val="007D7466"/>
    <w:rsid w:val="007E6325"/>
    <w:rsid w:val="007F105A"/>
    <w:rsid w:val="007F2975"/>
    <w:rsid w:val="007F3A25"/>
    <w:rsid w:val="007F56CD"/>
    <w:rsid w:val="00801E58"/>
    <w:rsid w:val="00810D50"/>
    <w:rsid w:val="008128BA"/>
    <w:rsid w:val="0081363A"/>
    <w:rsid w:val="00817588"/>
    <w:rsid w:val="00820BF6"/>
    <w:rsid w:val="0082292F"/>
    <w:rsid w:val="008247CC"/>
    <w:rsid w:val="00827A6D"/>
    <w:rsid w:val="0083050E"/>
    <w:rsid w:val="00832731"/>
    <w:rsid w:val="00834347"/>
    <w:rsid w:val="00834976"/>
    <w:rsid w:val="008354DE"/>
    <w:rsid w:val="00835665"/>
    <w:rsid w:val="00842FE8"/>
    <w:rsid w:val="00852B82"/>
    <w:rsid w:val="00854173"/>
    <w:rsid w:val="008557A4"/>
    <w:rsid w:val="008566B5"/>
    <w:rsid w:val="0085787C"/>
    <w:rsid w:val="0086284C"/>
    <w:rsid w:val="00863948"/>
    <w:rsid w:val="00866D6C"/>
    <w:rsid w:val="008672C3"/>
    <w:rsid w:val="00876E0A"/>
    <w:rsid w:val="0088358E"/>
    <w:rsid w:val="00884D74"/>
    <w:rsid w:val="008851BC"/>
    <w:rsid w:val="008859BE"/>
    <w:rsid w:val="008872A2"/>
    <w:rsid w:val="008920B4"/>
    <w:rsid w:val="008930E1"/>
    <w:rsid w:val="00895B4B"/>
    <w:rsid w:val="008A52AE"/>
    <w:rsid w:val="008B14AB"/>
    <w:rsid w:val="008B18E2"/>
    <w:rsid w:val="008B3E9A"/>
    <w:rsid w:val="008B500B"/>
    <w:rsid w:val="008B7145"/>
    <w:rsid w:val="008D321B"/>
    <w:rsid w:val="008E0505"/>
    <w:rsid w:val="008E0D48"/>
    <w:rsid w:val="008E1174"/>
    <w:rsid w:val="008E678E"/>
    <w:rsid w:val="008E7C8E"/>
    <w:rsid w:val="00903782"/>
    <w:rsid w:val="009108C5"/>
    <w:rsid w:val="00910B1E"/>
    <w:rsid w:val="00911C83"/>
    <w:rsid w:val="009147CB"/>
    <w:rsid w:val="00921C1B"/>
    <w:rsid w:val="00927679"/>
    <w:rsid w:val="00944538"/>
    <w:rsid w:val="0094593D"/>
    <w:rsid w:val="0094614E"/>
    <w:rsid w:val="00952E5E"/>
    <w:rsid w:val="00953227"/>
    <w:rsid w:val="00953362"/>
    <w:rsid w:val="00953B22"/>
    <w:rsid w:val="00956A70"/>
    <w:rsid w:val="0095728D"/>
    <w:rsid w:val="00960B51"/>
    <w:rsid w:val="00963ECB"/>
    <w:rsid w:val="00967D6F"/>
    <w:rsid w:val="0097144C"/>
    <w:rsid w:val="0097269B"/>
    <w:rsid w:val="009759B2"/>
    <w:rsid w:val="00980394"/>
    <w:rsid w:val="00985FD1"/>
    <w:rsid w:val="00986196"/>
    <w:rsid w:val="0099309B"/>
    <w:rsid w:val="009969C3"/>
    <w:rsid w:val="009A1240"/>
    <w:rsid w:val="009A6C1F"/>
    <w:rsid w:val="009A7A02"/>
    <w:rsid w:val="009A7FF4"/>
    <w:rsid w:val="009C1975"/>
    <w:rsid w:val="009C207D"/>
    <w:rsid w:val="009C743A"/>
    <w:rsid w:val="009C7EA8"/>
    <w:rsid w:val="009D0AF1"/>
    <w:rsid w:val="009E1072"/>
    <w:rsid w:val="009E3076"/>
    <w:rsid w:val="009E3110"/>
    <w:rsid w:val="009F0E61"/>
    <w:rsid w:val="009F2506"/>
    <w:rsid w:val="00A11F60"/>
    <w:rsid w:val="00A12284"/>
    <w:rsid w:val="00A14729"/>
    <w:rsid w:val="00A22745"/>
    <w:rsid w:val="00A230D3"/>
    <w:rsid w:val="00A2585D"/>
    <w:rsid w:val="00A3039E"/>
    <w:rsid w:val="00A33DE2"/>
    <w:rsid w:val="00A35365"/>
    <w:rsid w:val="00A50045"/>
    <w:rsid w:val="00A51E08"/>
    <w:rsid w:val="00A5572D"/>
    <w:rsid w:val="00A56277"/>
    <w:rsid w:val="00A57455"/>
    <w:rsid w:val="00A62541"/>
    <w:rsid w:val="00A62787"/>
    <w:rsid w:val="00A644D6"/>
    <w:rsid w:val="00A71D99"/>
    <w:rsid w:val="00A7420C"/>
    <w:rsid w:val="00A81263"/>
    <w:rsid w:val="00A837CE"/>
    <w:rsid w:val="00A909D6"/>
    <w:rsid w:val="00A9147B"/>
    <w:rsid w:val="00A96BBB"/>
    <w:rsid w:val="00A97E41"/>
    <w:rsid w:val="00AA0D85"/>
    <w:rsid w:val="00AB2D84"/>
    <w:rsid w:val="00AB4752"/>
    <w:rsid w:val="00AB6D90"/>
    <w:rsid w:val="00AB75BC"/>
    <w:rsid w:val="00AC0533"/>
    <w:rsid w:val="00AC51E2"/>
    <w:rsid w:val="00AC71B8"/>
    <w:rsid w:val="00AC72E5"/>
    <w:rsid w:val="00AC7745"/>
    <w:rsid w:val="00AD1A3F"/>
    <w:rsid w:val="00AD410B"/>
    <w:rsid w:val="00AE0641"/>
    <w:rsid w:val="00AE38B2"/>
    <w:rsid w:val="00AF09DF"/>
    <w:rsid w:val="00AF321C"/>
    <w:rsid w:val="00AF3C92"/>
    <w:rsid w:val="00AF4B72"/>
    <w:rsid w:val="00AF6454"/>
    <w:rsid w:val="00AF7A6F"/>
    <w:rsid w:val="00AF7FC7"/>
    <w:rsid w:val="00B01A99"/>
    <w:rsid w:val="00B1222C"/>
    <w:rsid w:val="00B13AA4"/>
    <w:rsid w:val="00B14C4E"/>
    <w:rsid w:val="00B21163"/>
    <w:rsid w:val="00B214D7"/>
    <w:rsid w:val="00B248EB"/>
    <w:rsid w:val="00B25249"/>
    <w:rsid w:val="00B27D74"/>
    <w:rsid w:val="00B307B1"/>
    <w:rsid w:val="00B37678"/>
    <w:rsid w:val="00B40005"/>
    <w:rsid w:val="00B41CDB"/>
    <w:rsid w:val="00B52EC6"/>
    <w:rsid w:val="00B55A68"/>
    <w:rsid w:val="00B60061"/>
    <w:rsid w:val="00B62758"/>
    <w:rsid w:val="00B6380C"/>
    <w:rsid w:val="00B675CB"/>
    <w:rsid w:val="00B704FA"/>
    <w:rsid w:val="00B71EBD"/>
    <w:rsid w:val="00B72103"/>
    <w:rsid w:val="00B724CE"/>
    <w:rsid w:val="00B74B6B"/>
    <w:rsid w:val="00B75A6A"/>
    <w:rsid w:val="00B77F4D"/>
    <w:rsid w:val="00B82B66"/>
    <w:rsid w:val="00B849B9"/>
    <w:rsid w:val="00B87206"/>
    <w:rsid w:val="00B960FD"/>
    <w:rsid w:val="00BA0A2F"/>
    <w:rsid w:val="00BA19C9"/>
    <w:rsid w:val="00BA457F"/>
    <w:rsid w:val="00BB455A"/>
    <w:rsid w:val="00BB68F4"/>
    <w:rsid w:val="00BC1A36"/>
    <w:rsid w:val="00BC2578"/>
    <w:rsid w:val="00BC3D53"/>
    <w:rsid w:val="00BC3EC8"/>
    <w:rsid w:val="00BC589D"/>
    <w:rsid w:val="00BC77B9"/>
    <w:rsid w:val="00BD1343"/>
    <w:rsid w:val="00BD660E"/>
    <w:rsid w:val="00BD744D"/>
    <w:rsid w:val="00BE0E76"/>
    <w:rsid w:val="00BE16DB"/>
    <w:rsid w:val="00BE2F2A"/>
    <w:rsid w:val="00BE392D"/>
    <w:rsid w:val="00BE49F3"/>
    <w:rsid w:val="00BF0045"/>
    <w:rsid w:val="00BF3D32"/>
    <w:rsid w:val="00BF73F6"/>
    <w:rsid w:val="00C022C2"/>
    <w:rsid w:val="00C02A44"/>
    <w:rsid w:val="00C04D9E"/>
    <w:rsid w:val="00C0547C"/>
    <w:rsid w:val="00C0586F"/>
    <w:rsid w:val="00C05C86"/>
    <w:rsid w:val="00C12E58"/>
    <w:rsid w:val="00C15ED5"/>
    <w:rsid w:val="00C20D87"/>
    <w:rsid w:val="00C20FB2"/>
    <w:rsid w:val="00C23440"/>
    <w:rsid w:val="00C31D4B"/>
    <w:rsid w:val="00C32B52"/>
    <w:rsid w:val="00C34DDA"/>
    <w:rsid w:val="00C3537D"/>
    <w:rsid w:val="00C363C4"/>
    <w:rsid w:val="00C363D3"/>
    <w:rsid w:val="00C36400"/>
    <w:rsid w:val="00C36F80"/>
    <w:rsid w:val="00C376B8"/>
    <w:rsid w:val="00C40CD0"/>
    <w:rsid w:val="00C432DC"/>
    <w:rsid w:val="00C5105B"/>
    <w:rsid w:val="00C54FE1"/>
    <w:rsid w:val="00C647E5"/>
    <w:rsid w:val="00C6558E"/>
    <w:rsid w:val="00C65DA3"/>
    <w:rsid w:val="00C741D5"/>
    <w:rsid w:val="00C820E9"/>
    <w:rsid w:val="00C82245"/>
    <w:rsid w:val="00C903AF"/>
    <w:rsid w:val="00C91199"/>
    <w:rsid w:val="00C9127E"/>
    <w:rsid w:val="00C9534A"/>
    <w:rsid w:val="00CA0F66"/>
    <w:rsid w:val="00CA6C0B"/>
    <w:rsid w:val="00CB4F83"/>
    <w:rsid w:val="00CB6B9A"/>
    <w:rsid w:val="00CC1093"/>
    <w:rsid w:val="00CC15CC"/>
    <w:rsid w:val="00CC753D"/>
    <w:rsid w:val="00CC75F4"/>
    <w:rsid w:val="00CD2257"/>
    <w:rsid w:val="00CD7AAA"/>
    <w:rsid w:val="00CF0EBE"/>
    <w:rsid w:val="00CF3CF5"/>
    <w:rsid w:val="00CF6850"/>
    <w:rsid w:val="00CF7AA1"/>
    <w:rsid w:val="00D01EE2"/>
    <w:rsid w:val="00D02CB4"/>
    <w:rsid w:val="00D06465"/>
    <w:rsid w:val="00D112E2"/>
    <w:rsid w:val="00D15AC7"/>
    <w:rsid w:val="00D1698E"/>
    <w:rsid w:val="00D2108D"/>
    <w:rsid w:val="00D23555"/>
    <w:rsid w:val="00D2440A"/>
    <w:rsid w:val="00D26844"/>
    <w:rsid w:val="00D4141F"/>
    <w:rsid w:val="00D43FF1"/>
    <w:rsid w:val="00D46DD8"/>
    <w:rsid w:val="00D47ACB"/>
    <w:rsid w:val="00D51EAD"/>
    <w:rsid w:val="00D5369D"/>
    <w:rsid w:val="00D60ED4"/>
    <w:rsid w:val="00D619AE"/>
    <w:rsid w:val="00D64F30"/>
    <w:rsid w:val="00D70FD2"/>
    <w:rsid w:val="00D71B92"/>
    <w:rsid w:val="00D73D69"/>
    <w:rsid w:val="00D74561"/>
    <w:rsid w:val="00D74DAB"/>
    <w:rsid w:val="00D83E5D"/>
    <w:rsid w:val="00D84F31"/>
    <w:rsid w:val="00D851DA"/>
    <w:rsid w:val="00D9154D"/>
    <w:rsid w:val="00D915F4"/>
    <w:rsid w:val="00D93167"/>
    <w:rsid w:val="00D94D58"/>
    <w:rsid w:val="00D97527"/>
    <w:rsid w:val="00D97B75"/>
    <w:rsid w:val="00DA079E"/>
    <w:rsid w:val="00DA1E67"/>
    <w:rsid w:val="00DA4F77"/>
    <w:rsid w:val="00DA5858"/>
    <w:rsid w:val="00DB0458"/>
    <w:rsid w:val="00DB222B"/>
    <w:rsid w:val="00DB2868"/>
    <w:rsid w:val="00DC031D"/>
    <w:rsid w:val="00DC21CE"/>
    <w:rsid w:val="00DC3B05"/>
    <w:rsid w:val="00DC4E67"/>
    <w:rsid w:val="00DC79CD"/>
    <w:rsid w:val="00DD00F5"/>
    <w:rsid w:val="00DD366D"/>
    <w:rsid w:val="00DD61AC"/>
    <w:rsid w:val="00DE078F"/>
    <w:rsid w:val="00DE19D9"/>
    <w:rsid w:val="00DE429A"/>
    <w:rsid w:val="00DF32A2"/>
    <w:rsid w:val="00DF5461"/>
    <w:rsid w:val="00DF73EF"/>
    <w:rsid w:val="00E036C8"/>
    <w:rsid w:val="00E04499"/>
    <w:rsid w:val="00E04CE6"/>
    <w:rsid w:val="00E10297"/>
    <w:rsid w:val="00E12FA3"/>
    <w:rsid w:val="00E13879"/>
    <w:rsid w:val="00E14DB5"/>
    <w:rsid w:val="00E16943"/>
    <w:rsid w:val="00E17AE8"/>
    <w:rsid w:val="00E17EAD"/>
    <w:rsid w:val="00E23B32"/>
    <w:rsid w:val="00E253EE"/>
    <w:rsid w:val="00E2686D"/>
    <w:rsid w:val="00E30DFC"/>
    <w:rsid w:val="00E30EE5"/>
    <w:rsid w:val="00E316D9"/>
    <w:rsid w:val="00E34EB6"/>
    <w:rsid w:val="00E3677F"/>
    <w:rsid w:val="00E42B6A"/>
    <w:rsid w:val="00E4399D"/>
    <w:rsid w:val="00E44741"/>
    <w:rsid w:val="00E45E5A"/>
    <w:rsid w:val="00E54E75"/>
    <w:rsid w:val="00E55393"/>
    <w:rsid w:val="00E5643E"/>
    <w:rsid w:val="00E5720B"/>
    <w:rsid w:val="00E622B2"/>
    <w:rsid w:val="00E7400E"/>
    <w:rsid w:val="00E8141D"/>
    <w:rsid w:val="00E84AFB"/>
    <w:rsid w:val="00E856DA"/>
    <w:rsid w:val="00E86F07"/>
    <w:rsid w:val="00E87611"/>
    <w:rsid w:val="00E90F47"/>
    <w:rsid w:val="00E92773"/>
    <w:rsid w:val="00E9418E"/>
    <w:rsid w:val="00E96913"/>
    <w:rsid w:val="00EA0D28"/>
    <w:rsid w:val="00EA12F0"/>
    <w:rsid w:val="00EA2148"/>
    <w:rsid w:val="00EA688D"/>
    <w:rsid w:val="00EB1F06"/>
    <w:rsid w:val="00EB2A8A"/>
    <w:rsid w:val="00EB7E37"/>
    <w:rsid w:val="00EC3FF2"/>
    <w:rsid w:val="00EC72BC"/>
    <w:rsid w:val="00ED0720"/>
    <w:rsid w:val="00ED2A1B"/>
    <w:rsid w:val="00EE0413"/>
    <w:rsid w:val="00EE0973"/>
    <w:rsid w:val="00EF4827"/>
    <w:rsid w:val="00EF4C9C"/>
    <w:rsid w:val="00EF5E48"/>
    <w:rsid w:val="00F0240A"/>
    <w:rsid w:val="00F06F96"/>
    <w:rsid w:val="00F07150"/>
    <w:rsid w:val="00F1005D"/>
    <w:rsid w:val="00F121C1"/>
    <w:rsid w:val="00F20247"/>
    <w:rsid w:val="00F25594"/>
    <w:rsid w:val="00F31348"/>
    <w:rsid w:val="00F32BA7"/>
    <w:rsid w:val="00F40355"/>
    <w:rsid w:val="00F404F9"/>
    <w:rsid w:val="00F421BF"/>
    <w:rsid w:val="00F44F5D"/>
    <w:rsid w:val="00F537CB"/>
    <w:rsid w:val="00F6163C"/>
    <w:rsid w:val="00F6458D"/>
    <w:rsid w:val="00F65EC8"/>
    <w:rsid w:val="00F72723"/>
    <w:rsid w:val="00F917C6"/>
    <w:rsid w:val="00F91A2C"/>
    <w:rsid w:val="00F94637"/>
    <w:rsid w:val="00F96938"/>
    <w:rsid w:val="00FA095C"/>
    <w:rsid w:val="00FA35FE"/>
    <w:rsid w:val="00FB30C6"/>
    <w:rsid w:val="00FC0A1B"/>
    <w:rsid w:val="00FC0DD8"/>
    <w:rsid w:val="00FC27BE"/>
    <w:rsid w:val="00FC5390"/>
    <w:rsid w:val="00FC5EB6"/>
    <w:rsid w:val="00FC7BF7"/>
    <w:rsid w:val="00FD7D84"/>
    <w:rsid w:val="00FD7EDC"/>
    <w:rsid w:val="00FE41FD"/>
    <w:rsid w:val="00FE54AD"/>
    <w:rsid w:val="00FE74F1"/>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itre4">
    <w:name w:val="heading 4"/>
    <w:basedOn w:val="Normal"/>
    <w:next w:val="Normal"/>
    <w:link w:val="Titre4Car"/>
    <w:uiPriority w:val="9"/>
    <w:unhideWhenUsed/>
    <w:qFormat/>
    <w:rsid w:val="008872A2"/>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8872A2"/>
    <w:rPr>
      <w:rFonts w:ascii="Calibri" w:hAnsi="Calibri" w:cs="Times New Roman"/>
      <w:b/>
      <w:bCs/>
      <w:sz w:val="28"/>
      <w:szCs w:val="28"/>
      <w:lang w:val="es-ES" w:eastAsia="es-ES"/>
    </w:rPr>
  </w:style>
  <w:style w:type="paragraph" w:styleId="En-tte">
    <w:name w:val="header"/>
    <w:basedOn w:val="Normal"/>
    <w:link w:val="En-tteCar"/>
    <w:uiPriority w:val="99"/>
    <w:unhideWhenUsed/>
    <w:rsid w:val="008872A2"/>
    <w:pPr>
      <w:tabs>
        <w:tab w:val="center" w:pos="4419"/>
        <w:tab w:val="right" w:pos="8838"/>
      </w:tabs>
    </w:pPr>
  </w:style>
  <w:style w:type="character" w:customStyle="1" w:styleId="En-tteCar">
    <w:name w:val="En-tête Car"/>
    <w:basedOn w:val="Policepardfaut"/>
    <w:link w:val="En-tte"/>
    <w:uiPriority w:val="99"/>
    <w:locked/>
    <w:rsid w:val="008872A2"/>
    <w:rPr>
      <w:rFonts w:ascii="Times New Roman" w:hAnsi="Times New Roman" w:cs="Times New Roman"/>
      <w:sz w:val="20"/>
      <w:szCs w:val="20"/>
      <w:lang w:val="es-ES" w:eastAsia="es-ES"/>
    </w:rPr>
  </w:style>
  <w:style w:type="paragraph" w:styleId="Titre">
    <w:name w:val="Title"/>
    <w:basedOn w:val="Normal"/>
    <w:link w:val="TitreCar"/>
    <w:uiPriority w:val="10"/>
    <w:qFormat/>
    <w:rsid w:val="008872A2"/>
    <w:pPr>
      <w:jc w:val="center"/>
    </w:pPr>
    <w:rPr>
      <w:rFonts w:ascii="Arial" w:hAnsi="Arial"/>
      <w:b/>
      <w:i/>
      <w:sz w:val="24"/>
    </w:rPr>
  </w:style>
  <w:style w:type="character" w:customStyle="1" w:styleId="TitreCar">
    <w:name w:val="Titre Car"/>
    <w:basedOn w:val="Policepardfaut"/>
    <w:link w:val="Titre"/>
    <w:uiPriority w:val="10"/>
    <w:locked/>
    <w:rsid w:val="008872A2"/>
    <w:rPr>
      <w:rFonts w:ascii="Arial" w:hAnsi="Arial" w:cs="Times New Roman"/>
      <w:b/>
      <w:i/>
      <w:sz w:val="20"/>
      <w:szCs w:val="20"/>
      <w:lang w:val="es-ES" w:eastAsia="es-ES"/>
    </w:rPr>
  </w:style>
  <w:style w:type="paragraph" w:styleId="Sansinterligne">
    <w:name w:val="No Spacing"/>
    <w:link w:val="Sansinterligne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Corpsdetexte">
    <w:name w:val="Body Text"/>
    <w:basedOn w:val="Normal"/>
    <w:link w:val="Corpsdetex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8872A2"/>
    <w:rPr>
      <w:rFonts w:ascii="Verdana" w:hAnsi="Verdana" w:cs="Times New Roman"/>
      <w:spacing w:val="-3"/>
      <w:sz w:val="20"/>
      <w:szCs w:val="20"/>
      <w:lang w:val="es-ES_tradnl" w:eastAsia="es-ES"/>
    </w:rPr>
  </w:style>
  <w:style w:type="paragraph" w:styleId="Paragraphedeliste">
    <w:name w:val="List Paragraph"/>
    <w:basedOn w:val="Normal"/>
    <w:uiPriority w:val="99"/>
    <w:qFormat/>
    <w:rsid w:val="008872A2"/>
    <w:pPr>
      <w:ind w:left="708"/>
    </w:pPr>
  </w:style>
  <w:style w:type="paragraph" w:styleId="Textedebulles">
    <w:name w:val="Balloon Text"/>
    <w:basedOn w:val="Normal"/>
    <w:link w:val="TextedebullesCar"/>
    <w:uiPriority w:val="99"/>
    <w:semiHidden/>
    <w:unhideWhenUsed/>
    <w:rsid w:val="008872A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872A2"/>
    <w:rPr>
      <w:rFonts w:ascii="Tahoma" w:hAnsi="Tahoma" w:cs="Tahoma"/>
      <w:sz w:val="16"/>
      <w:szCs w:val="16"/>
      <w:lang w:val="es-ES" w:eastAsia="es-ES"/>
    </w:rPr>
  </w:style>
  <w:style w:type="paragraph" w:styleId="Pieddepage">
    <w:name w:val="footer"/>
    <w:aliases w:val="Pie de página Car Car"/>
    <w:basedOn w:val="Normal"/>
    <w:link w:val="PieddepageCar"/>
    <w:uiPriority w:val="99"/>
    <w:unhideWhenUsed/>
    <w:rsid w:val="009A1240"/>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9A1240"/>
    <w:rPr>
      <w:rFonts w:ascii="Times New Roman" w:hAnsi="Times New Roman" w:cs="Times New Roman"/>
      <w:sz w:val="20"/>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nhideWhenUsed/>
    <w:qFormat/>
    <w:rsid w:val="00392869"/>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uiPriority w:val="99"/>
    <w:qFormat/>
    <w:rsid w:val="00E316D9"/>
    <w:rPr>
      <w:rFonts w:cs="Times New Roman"/>
      <w:vertAlign w:val="superscript"/>
    </w:rPr>
  </w:style>
  <w:style w:type="character" w:customStyle="1" w:styleId="SansinterligneCar">
    <w:name w:val="Sans interligne Car"/>
    <w:link w:val="Sansinterligne"/>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rsid w:val="007C4788"/>
    <w:rPr>
      <w:sz w:val="16"/>
      <w:szCs w:val="16"/>
    </w:rPr>
  </w:style>
  <w:style w:type="paragraph" w:styleId="Commentaire">
    <w:name w:val="annotation text"/>
    <w:basedOn w:val="Normal"/>
    <w:link w:val="CommentaireCar"/>
    <w:uiPriority w:val="99"/>
    <w:rsid w:val="007C4788"/>
  </w:style>
  <w:style w:type="character" w:customStyle="1" w:styleId="CommentaireCar">
    <w:name w:val="Commentaire Car"/>
    <w:basedOn w:val="Policepardfaut"/>
    <w:link w:val="Commentaire"/>
    <w:uiPriority w:val="99"/>
    <w:rsid w:val="007C4788"/>
    <w:rPr>
      <w:rFonts w:ascii="Times New Roman" w:hAnsi="Times New Roman" w:cs="Times New Roman"/>
      <w:sz w:val="20"/>
      <w:szCs w:val="20"/>
      <w:lang w:val="es-ES" w:eastAsia="es-ES"/>
    </w:rPr>
  </w:style>
  <w:style w:type="paragraph" w:styleId="Objetducommentaire">
    <w:name w:val="annotation subject"/>
    <w:basedOn w:val="Commentaire"/>
    <w:next w:val="Commentaire"/>
    <w:link w:val="ObjetducommentaireCar"/>
    <w:uiPriority w:val="99"/>
    <w:rsid w:val="007C4788"/>
    <w:rPr>
      <w:b/>
      <w:bCs/>
    </w:rPr>
  </w:style>
  <w:style w:type="character" w:customStyle="1" w:styleId="ObjetducommentaireCar">
    <w:name w:val="Objet du commentaire Car"/>
    <w:basedOn w:val="CommentaireCar"/>
    <w:link w:val="Objetducommentaire"/>
    <w:uiPriority w:val="99"/>
    <w:rsid w:val="007C4788"/>
    <w:rPr>
      <w:rFonts w:ascii="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itre4">
    <w:name w:val="heading 4"/>
    <w:basedOn w:val="Normal"/>
    <w:next w:val="Normal"/>
    <w:link w:val="Titre4Car"/>
    <w:uiPriority w:val="9"/>
    <w:unhideWhenUsed/>
    <w:qFormat/>
    <w:rsid w:val="008872A2"/>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8872A2"/>
    <w:rPr>
      <w:rFonts w:ascii="Calibri" w:hAnsi="Calibri" w:cs="Times New Roman"/>
      <w:b/>
      <w:bCs/>
      <w:sz w:val="28"/>
      <w:szCs w:val="28"/>
      <w:lang w:val="es-ES" w:eastAsia="es-ES"/>
    </w:rPr>
  </w:style>
  <w:style w:type="paragraph" w:styleId="En-tte">
    <w:name w:val="header"/>
    <w:basedOn w:val="Normal"/>
    <w:link w:val="En-tteCar"/>
    <w:uiPriority w:val="99"/>
    <w:unhideWhenUsed/>
    <w:rsid w:val="008872A2"/>
    <w:pPr>
      <w:tabs>
        <w:tab w:val="center" w:pos="4419"/>
        <w:tab w:val="right" w:pos="8838"/>
      </w:tabs>
    </w:pPr>
  </w:style>
  <w:style w:type="character" w:customStyle="1" w:styleId="En-tteCar">
    <w:name w:val="En-tête Car"/>
    <w:basedOn w:val="Policepardfaut"/>
    <w:link w:val="En-tte"/>
    <w:uiPriority w:val="99"/>
    <w:locked/>
    <w:rsid w:val="008872A2"/>
    <w:rPr>
      <w:rFonts w:ascii="Times New Roman" w:hAnsi="Times New Roman" w:cs="Times New Roman"/>
      <w:sz w:val="20"/>
      <w:szCs w:val="20"/>
      <w:lang w:val="es-ES" w:eastAsia="es-ES"/>
    </w:rPr>
  </w:style>
  <w:style w:type="paragraph" w:styleId="Titre">
    <w:name w:val="Title"/>
    <w:basedOn w:val="Normal"/>
    <w:link w:val="TitreCar"/>
    <w:uiPriority w:val="10"/>
    <w:qFormat/>
    <w:rsid w:val="008872A2"/>
    <w:pPr>
      <w:jc w:val="center"/>
    </w:pPr>
    <w:rPr>
      <w:rFonts w:ascii="Arial" w:hAnsi="Arial"/>
      <w:b/>
      <w:i/>
      <w:sz w:val="24"/>
    </w:rPr>
  </w:style>
  <w:style w:type="character" w:customStyle="1" w:styleId="TitreCar">
    <w:name w:val="Titre Car"/>
    <w:basedOn w:val="Policepardfaut"/>
    <w:link w:val="Titre"/>
    <w:uiPriority w:val="10"/>
    <w:locked/>
    <w:rsid w:val="008872A2"/>
    <w:rPr>
      <w:rFonts w:ascii="Arial" w:hAnsi="Arial" w:cs="Times New Roman"/>
      <w:b/>
      <w:i/>
      <w:sz w:val="20"/>
      <w:szCs w:val="20"/>
      <w:lang w:val="es-ES" w:eastAsia="es-ES"/>
    </w:rPr>
  </w:style>
  <w:style w:type="paragraph" w:styleId="Sansinterligne">
    <w:name w:val="No Spacing"/>
    <w:link w:val="Sansinterligne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Corpsdetexte">
    <w:name w:val="Body Text"/>
    <w:basedOn w:val="Normal"/>
    <w:link w:val="Corpsdetex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8872A2"/>
    <w:rPr>
      <w:rFonts w:ascii="Verdana" w:hAnsi="Verdana" w:cs="Times New Roman"/>
      <w:spacing w:val="-3"/>
      <w:sz w:val="20"/>
      <w:szCs w:val="20"/>
      <w:lang w:val="es-ES_tradnl" w:eastAsia="es-ES"/>
    </w:rPr>
  </w:style>
  <w:style w:type="paragraph" w:styleId="Paragraphedeliste">
    <w:name w:val="List Paragraph"/>
    <w:basedOn w:val="Normal"/>
    <w:uiPriority w:val="99"/>
    <w:qFormat/>
    <w:rsid w:val="008872A2"/>
    <w:pPr>
      <w:ind w:left="708"/>
    </w:pPr>
  </w:style>
  <w:style w:type="paragraph" w:styleId="Textedebulles">
    <w:name w:val="Balloon Text"/>
    <w:basedOn w:val="Normal"/>
    <w:link w:val="TextedebullesCar"/>
    <w:uiPriority w:val="99"/>
    <w:semiHidden/>
    <w:unhideWhenUsed/>
    <w:rsid w:val="008872A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872A2"/>
    <w:rPr>
      <w:rFonts w:ascii="Tahoma" w:hAnsi="Tahoma" w:cs="Tahoma"/>
      <w:sz w:val="16"/>
      <w:szCs w:val="16"/>
      <w:lang w:val="es-ES" w:eastAsia="es-ES"/>
    </w:rPr>
  </w:style>
  <w:style w:type="paragraph" w:styleId="Pieddepage">
    <w:name w:val="footer"/>
    <w:aliases w:val="Pie de página Car Car"/>
    <w:basedOn w:val="Normal"/>
    <w:link w:val="PieddepageCar"/>
    <w:uiPriority w:val="99"/>
    <w:unhideWhenUsed/>
    <w:rsid w:val="009A1240"/>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9A1240"/>
    <w:rPr>
      <w:rFonts w:ascii="Times New Roman" w:hAnsi="Times New Roman" w:cs="Times New Roman"/>
      <w:sz w:val="20"/>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nhideWhenUsed/>
    <w:qFormat/>
    <w:rsid w:val="00392869"/>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uiPriority w:val="99"/>
    <w:qFormat/>
    <w:rsid w:val="00E316D9"/>
    <w:rPr>
      <w:rFonts w:cs="Times New Roman"/>
      <w:vertAlign w:val="superscript"/>
    </w:rPr>
  </w:style>
  <w:style w:type="character" w:customStyle="1" w:styleId="SansinterligneCar">
    <w:name w:val="Sans interligne Car"/>
    <w:link w:val="Sansinterligne"/>
    <w:uiPriority w:val="1"/>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rsid w:val="007C4788"/>
    <w:rPr>
      <w:sz w:val="16"/>
      <w:szCs w:val="16"/>
    </w:rPr>
  </w:style>
  <w:style w:type="paragraph" w:styleId="Commentaire">
    <w:name w:val="annotation text"/>
    <w:basedOn w:val="Normal"/>
    <w:link w:val="CommentaireCar"/>
    <w:uiPriority w:val="99"/>
    <w:rsid w:val="007C4788"/>
  </w:style>
  <w:style w:type="character" w:customStyle="1" w:styleId="CommentaireCar">
    <w:name w:val="Commentaire Car"/>
    <w:basedOn w:val="Policepardfaut"/>
    <w:link w:val="Commentaire"/>
    <w:uiPriority w:val="99"/>
    <w:rsid w:val="007C4788"/>
    <w:rPr>
      <w:rFonts w:ascii="Times New Roman" w:hAnsi="Times New Roman" w:cs="Times New Roman"/>
      <w:sz w:val="20"/>
      <w:szCs w:val="20"/>
      <w:lang w:val="es-ES" w:eastAsia="es-ES"/>
    </w:rPr>
  </w:style>
  <w:style w:type="paragraph" w:styleId="Objetducommentaire">
    <w:name w:val="annotation subject"/>
    <w:basedOn w:val="Commentaire"/>
    <w:next w:val="Commentaire"/>
    <w:link w:val="ObjetducommentaireCar"/>
    <w:uiPriority w:val="99"/>
    <w:rsid w:val="007C4788"/>
    <w:rPr>
      <w:b/>
      <w:bCs/>
    </w:rPr>
  </w:style>
  <w:style w:type="character" w:customStyle="1" w:styleId="ObjetducommentaireCar">
    <w:name w:val="Objet du commentaire Car"/>
    <w:basedOn w:val="CommentaireCar"/>
    <w:link w:val="Objetducommentaire"/>
    <w:uiPriority w:val="99"/>
    <w:rsid w:val="007C4788"/>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60101">
      <w:bodyDiv w:val="1"/>
      <w:marLeft w:val="0"/>
      <w:marRight w:val="0"/>
      <w:marTop w:val="0"/>
      <w:marBottom w:val="0"/>
      <w:divBdr>
        <w:top w:val="none" w:sz="0" w:space="0" w:color="auto"/>
        <w:left w:val="none" w:sz="0" w:space="0" w:color="auto"/>
        <w:bottom w:val="none" w:sz="0" w:space="0" w:color="auto"/>
        <w:right w:val="none" w:sz="0" w:space="0" w:color="auto"/>
      </w:divBdr>
    </w:div>
    <w:div w:id="16367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D87C-97C2-47D3-934D-2DAAC398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1765</Words>
  <Characters>9709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Malucimedina</cp:lastModifiedBy>
  <cp:revision>16</cp:revision>
  <cp:lastPrinted>2017-05-26T16:09:00Z</cp:lastPrinted>
  <dcterms:created xsi:type="dcterms:W3CDTF">2017-05-26T13:41:00Z</dcterms:created>
  <dcterms:modified xsi:type="dcterms:W3CDTF">2017-06-26T13:53:00Z</dcterms:modified>
</cp:coreProperties>
</file>