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94" w:rsidRDefault="009B1094" w:rsidP="009B1094">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9B1094" w:rsidRPr="00E756E4" w:rsidRDefault="009B1094" w:rsidP="009B109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9B1094" w:rsidRPr="009B1094" w:rsidRDefault="009B1094" w:rsidP="008B7145">
      <w:pPr>
        <w:pStyle w:val="Sansinterligne"/>
        <w:spacing w:line="360" w:lineRule="auto"/>
        <w:jc w:val="center"/>
        <w:rPr>
          <w:rFonts w:ascii="Arial" w:hAnsi="Arial" w:cs="Arial"/>
          <w:w w:val="140"/>
          <w:sz w:val="14"/>
          <w:szCs w:val="14"/>
          <w:lang w:val="es-CO"/>
        </w:rPr>
      </w:pPr>
    </w:p>
    <w:p w:rsidR="008B7145" w:rsidRDefault="00CD2257" w:rsidP="008B7145">
      <w:pPr>
        <w:pStyle w:val="Sansinterligne"/>
        <w:spacing w:line="360" w:lineRule="auto"/>
        <w:jc w:val="center"/>
        <w:rPr>
          <w:rFonts w:ascii="Arial" w:hAnsi="Arial" w:cs="Arial"/>
          <w:w w:val="140"/>
          <w:sz w:val="14"/>
          <w:szCs w:val="14"/>
        </w:rPr>
      </w:pPr>
      <w:r>
        <w:rPr>
          <w:noProof/>
          <w:lang w:val="fr-FR" w:eastAsia="fr-FR"/>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Default="008B7145" w:rsidP="008B7145">
      <w:pPr>
        <w:pStyle w:val="Sansinterligne"/>
        <w:spacing w:line="360" w:lineRule="auto"/>
        <w:jc w:val="center"/>
        <w:rPr>
          <w:rFonts w:ascii="Arial" w:hAnsi="Arial" w:cs="Arial"/>
          <w:w w:val="140"/>
          <w:sz w:val="14"/>
          <w:szCs w:val="14"/>
        </w:rPr>
      </w:pPr>
    </w:p>
    <w:p w:rsidR="008B7145" w:rsidRPr="007860C0" w:rsidRDefault="008B7145" w:rsidP="008B7145">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8B7145" w:rsidRPr="007860C0" w:rsidRDefault="008B7145" w:rsidP="008B7145">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8B7145" w:rsidRPr="00E55393" w:rsidRDefault="008B7145" w:rsidP="008B7145">
      <w:pPr>
        <w:pStyle w:val="Sansinterligne"/>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1E18FB" w:rsidRPr="00121680" w:rsidRDefault="001E18FB" w:rsidP="001E18FB">
      <w:pPr>
        <w:pStyle w:val="Sansinterligne"/>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8B7145" w:rsidRPr="007860C0" w:rsidRDefault="008B7145" w:rsidP="008B7145">
      <w:pPr>
        <w:pStyle w:val="Sansinterligne"/>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045CE3" w:rsidRPr="00647818" w:rsidRDefault="00045CE3" w:rsidP="00045CE3">
      <w:pPr>
        <w:spacing w:line="360" w:lineRule="auto"/>
        <w:jc w:val="center"/>
        <w:rPr>
          <w:rFonts w:ascii="Arial" w:hAnsi="Arial" w:cs="Arial"/>
          <w:b/>
          <w:bCs/>
          <w:sz w:val="18"/>
          <w:szCs w:val="22"/>
        </w:rPr>
      </w:pPr>
    </w:p>
    <w:p w:rsidR="00455DE9" w:rsidRDefault="009B1094" w:rsidP="00455DE9">
      <w:pPr>
        <w:pStyle w:val="Corpsdetexte"/>
        <w:spacing w:line="360" w:lineRule="auto"/>
        <w:ind w:left="2124"/>
        <w:rPr>
          <w:rFonts w:ascii="Arial" w:hAnsi="Arial" w:cs="Arial"/>
          <w:sz w:val="22"/>
          <w:szCs w:val="22"/>
        </w:rPr>
      </w:pPr>
      <w:r>
        <w:rPr>
          <w:rFonts w:ascii="Arial" w:hAnsi="Arial" w:cs="Arial"/>
          <w:sz w:val="22"/>
          <w:szCs w:val="22"/>
        </w:rPr>
        <w:t>Providencia</w:t>
      </w:r>
      <w:r w:rsidR="00455DE9" w:rsidRPr="00AE38B2">
        <w:rPr>
          <w:rFonts w:ascii="Arial" w:hAnsi="Arial" w:cs="Arial"/>
          <w:sz w:val="22"/>
          <w:szCs w:val="22"/>
        </w:rPr>
        <w:tab/>
      </w:r>
      <w:r w:rsidR="00455DE9" w:rsidRPr="00AE38B2">
        <w:rPr>
          <w:rFonts w:ascii="Arial" w:hAnsi="Arial" w:cs="Arial"/>
          <w:sz w:val="22"/>
          <w:szCs w:val="22"/>
        </w:rPr>
        <w:tab/>
        <w:t xml:space="preserve">: </w:t>
      </w:r>
      <w:r>
        <w:rPr>
          <w:rFonts w:ascii="Arial" w:hAnsi="Arial" w:cs="Arial"/>
          <w:sz w:val="22"/>
          <w:szCs w:val="22"/>
        </w:rPr>
        <w:t>Auto – 08 de mayo de 2017</w:t>
      </w:r>
    </w:p>
    <w:p w:rsidR="009B1094" w:rsidRPr="002E20D6" w:rsidRDefault="009B1094" w:rsidP="009B1094">
      <w:pPr>
        <w:spacing w:line="360" w:lineRule="auto"/>
        <w:ind w:left="4239" w:hanging="2115"/>
        <w:jc w:val="both"/>
        <w:rPr>
          <w:rFonts w:ascii="Arial" w:hAnsi="Arial"/>
          <w:sz w:val="28"/>
          <w:szCs w:val="22"/>
        </w:rPr>
      </w:pPr>
      <w:r>
        <w:rPr>
          <w:rFonts w:ascii="Arial" w:hAnsi="Arial" w:cs="Arial"/>
          <w:sz w:val="22"/>
          <w:szCs w:val="22"/>
        </w:rPr>
        <w:tab/>
      </w:r>
      <w:r>
        <w:rPr>
          <w:rFonts w:ascii="Arial" w:hAnsi="Arial" w:cs="Arial"/>
          <w:sz w:val="22"/>
          <w:szCs w:val="22"/>
        </w:rPr>
        <w:tab/>
      </w:r>
      <w:r>
        <w:rPr>
          <w:rFonts w:ascii="Arial" w:hAnsi="Arial" w:cs="Arial"/>
          <w:sz w:val="22"/>
          <w:szCs w:val="22"/>
        </w:rPr>
        <w:t>Declara nulidad de lo actuado</w:t>
      </w:r>
    </w:p>
    <w:p w:rsidR="00455DE9" w:rsidRDefault="00455DE9" w:rsidP="001E18FB">
      <w:pPr>
        <w:spacing w:line="360" w:lineRule="auto"/>
        <w:ind w:left="4239" w:hanging="2115"/>
        <w:jc w:val="both"/>
        <w:rPr>
          <w:rFonts w:ascii="Arial" w:hAnsi="Arial"/>
          <w:sz w:val="22"/>
          <w:szCs w:val="22"/>
        </w:rPr>
      </w:pPr>
      <w:r w:rsidRPr="00AE38B2">
        <w:rPr>
          <w:rFonts w:ascii="Arial" w:hAnsi="Arial"/>
          <w:sz w:val="22"/>
          <w:szCs w:val="22"/>
        </w:rPr>
        <w:t>Proceso</w:t>
      </w:r>
      <w:r w:rsidRPr="00AE38B2">
        <w:rPr>
          <w:rFonts w:ascii="Arial" w:hAnsi="Arial"/>
          <w:sz w:val="22"/>
          <w:szCs w:val="22"/>
        </w:rPr>
        <w:tab/>
      </w:r>
      <w:r w:rsidRPr="00AE38B2">
        <w:rPr>
          <w:rFonts w:ascii="Arial" w:hAnsi="Arial"/>
          <w:sz w:val="22"/>
          <w:szCs w:val="22"/>
        </w:rPr>
        <w:tab/>
        <w:t xml:space="preserve">: </w:t>
      </w:r>
      <w:r w:rsidR="00B248EB">
        <w:rPr>
          <w:rFonts w:ascii="Arial" w:hAnsi="Arial"/>
          <w:sz w:val="22"/>
          <w:szCs w:val="22"/>
        </w:rPr>
        <w:t>Ejecutivo con pretensión personal</w:t>
      </w:r>
    </w:p>
    <w:p w:rsidR="00455DE9" w:rsidRPr="00AE38B2" w:rsidRDefault="009B1094" w:rsidP="009B1094">
      <w:pPr>
        <w:spacing w:line="360" w:lineRule="auto"/>
        <w:ind w:left="4239" w:hanging="2115"/>
        <w:jc w:val="both"/>
        <w:rPr>
          <w:rFonts w:ascii="Arial" w:hAnsi="Arial"/>
          <w:sz w:val="22"/>
          <w:szCs w:val="22"/>
        </w:rPr>
      </w:pPr>
      <w:r>
        <w:rPr>
          <w:rFonts w:ascii="Arial" w:hAnsi="Arial"/>
          <w:sz w:val="22"/>
          <w:szCs w:val="22"/>
        </w:rPr>
        <w:tab/>
      </w:r>
      <w:r>
        <w:rPr>
          <w:rFonts w:ascii="Arial" w:hAnsi="Arial"/>
          <w:sz w:val="22"/>
          <w:szCs w:val="22"/>
        </w:rPr>
        <w:tab/>
        <w:t xml:space="preserve">  </w:t>
      </w:r>
      <w:r w:rsidR="00B248EB">
        <w:rPr>
          <w:rFonts w:ascii="Arial" w:hAnsi="Arial" w:cs="Arial"/>
          <w:sz w:val="22"/>
          <w:szCs w:val="22"/>
        </w:rPr>
        <w:t>Ejecutan</w:t>
      </w:r>
      <w:r w:rsidR="00455DE9">
        <w:rPr>
          <w:rFonts w:ascii="Arial" w:hAnsi="Arial" w:cs="Arial"/>
          <w:sz w:val="22"/>
          <w:szCs w:val="22"/>
        </w:rPr>
        <w:t>te</w:t>
      </w:r>
      <w:r w:rsidR="00455DE9">
        <w:rPr>
          <w:rFonts w:ascii="Arial" w:hAnsi="Arial" w:cs="Arial"/>
          <w:sz w:val="22"/>
          <w:szCs w:val="22"/>
        </w:rPr>
        <w:tab/>
      </w:r>
      <w:r w:rsidR="00455DE9">
        <w:rPr>
          <w:rFonts w:ascii="Arial" w:hAnsi="Arial" w:cs="Arial"/>
          <w:sz w:val="22"/>
          <w:szCs w:val="22"/>
        </w:rPr>
        <w:tab/>
        <w:t xml:space="preserve">: </w:t>
      </w:r>
      <w:r w:rsidR="00B248EB">
        <w:rPr>
          <w:rFonts w:ascii="Arial" w:hAnsi="Arial" w:cs="Arial"/>
          <w:sz w:val="22"/>
          <w:szCs w:val="22"/>
        </w:rPr>
        <w:t xml:space="preserve">Banco de Bogotá </w:t>
      </w:r>
    </w:p>
    <w:p w:rsidR="00455DE9" w:rsidRPr="00AE38B2" w:rsidRDefault="00B248EB" w:rsidP="00455DE9">
      <w:pPr>
        <w:pStyle w:val="Corpsdetexte"/>
        <w:spacing w:line="360" w:lineRule="auto"/>
        <w:ind w:left="2124"/>
        <w:rPr>
          <w:rFonts w:ascii="Arial" w:hAnsi="Arial" w:cs="Arial"/>
          <w:sz w:val="22"/>
          <w:szCs w:val="22"/>
        </w:rPr>
      </w:pPr>
      <w:r>
        <w:rPr>
          <w:rFonts w:ascii="Arial" w:hAnsi="Arial" w:cs="Arial"/>
          <w:sz w:val="22"/>
          <w:szCs w:val="22"/>
        </w:rPr>
        <w:t>Ejecutados</w:t>
      </w:r>
      <w:r w:rsidR="00455DE9" w:rsidRPr="00AE38B2">
        <w:rPr>
          <w:rFonts w:ascii="Arial" w:hAnsi="Arial" w:cs="Arial"/>
          <w:sz w:val="22"/>
          <w:szCs w:val="22"/>
        </w:rPr>
        <w:tab/>
      </w:r>
      <w:r w:rsidR="00455DE9" w:rsidRPr="00AE38B2">
        <w:rPr>
          <w:rFonts w:ascii="Arial" w:hAnsi="Arial" w:cs="Arial"/>
          <w:sz w:val="22"/>
          <w:szCs w:val="22"/>
        </w:rPr>
        <w:tab/>
        <w:t xml:space="preserve">: </w:t>
      </w:r>
      <w:r>
        <w:rPr>
          <w:rFonts w:ascii="Arial" w:hAnsi="Arial" w:cs="Arial"/>
          <w:sz w:val="22"/>
          <w:szCs w:val="22"/>
        </w:rPr>
        <w:t>Johan Camilo Ramírez Soto y otra</w:t>
      </w:r>
    </w:p>
    <w:p w:rsidR="008B7145" w:rsidRDefault="008B7145" w:rsidP="00455DE9">
      <w:pPr>
        <w:spacing w:line="360" w:lineRule="auto"/>
        <w:ind w:left="2124"/>
        <w:rPr>
          <w:rFonts w:ascii="Arial" w:hAnsi="Arial" w:cs="Arial"/>
          <w:spacing w:val="-3"/>
          <w:sz w:val="22"/>
          <w:szCs w:val="22"/>
          <w:lang w:val="es-ES_tradnl"/>
        </w:rPr>
      </w:pPr>
      <w:r>
        <w:rPr>
          <w:rFonts w:ascii="Arial" w:hAnsi="Arial" w:cs="Arial"/>
          <w:sz w:val="22"/>
          <w:szCs w:val="22"/>
        </w:rPr>
        <w:t>Procedencia</w:t>
      </w:r>
      <w:r>
        <w:rPr>
          <w:rFonts w:ascii="Arial" w:hAnsi="Arial" w:cs="Arial"/>
          <w:sz w:val="22"/>
          <w:szCs w:val="22"/>
        </w:rPr>
        <w:tab/>
      </w:r>
      <w:r>
        <w:rPr>
          <w:rFonts w:ascii="Arial" w:hAnsi="Arial" w:cs="Arial"/>
          <w:sz w:val="22"/>
          <w:szCs w:val="22"/>
        </w:rPr>
        <w:tab/>
        <w:t xml:space="preserve">: </w:t>
      </w:r>
      <w:r w:rsidRPr="001E18FB">
        <w:rPr>
          <w:rFonts w:ascii="Arial" w:hAnsi="Arial" w:cs="Arial"/>
          <w:spacing w:val="-3"/>
          <w:sz w:val="22"/>
          <w:szCs w:val="22"/>
          <w:lang w:val="es-ES_tradnl"/>
        </w:rPr>
        <w:t xml:space="preserve">Juzgado </w:t>
      </w:r>
      <w:r w:rsidR="00B248EB">
        <w:rPr>
          <w:rFonts w:ascii="Arial" w:hAnsi="Arial" w:cs="Arial"/>
          <w:spacing w:val="-3"/>
          <w:sz w:val="22"/>
          <w:szCs w:val="22"/>
          <w:lang w:val="es-ES_tradnl"/>
        </w:rPr>
        <w:t xml:space="preserve">Segundo Civil del Circuito </w:t>
      </w:r>
      <w:r w:rsidRPr="001E18FB">
        <w:rPr>
          <w:rFonts w:ascii="Arial" w:hAnsi="Arial" w:cs="Arial"/>
          <w:spacing w:val="-3"/>
          <w:sz w:val="22"/>
          <w:szCs w:val="22"/>
          <w:lang w:val="es-ES_tradnl"/>
        </w:rPr>
        <w:t xml:space="preserve">de </w:t>
      </w:r>
      <w:r w:rsidR="00E3677F">
        <w:rPr>
          <w:rFonts w:ascii="Arial" w:hAnsi="Arial" w:cs="Arial"/>
          <w:spacing w:val="-3"/>
          <w:sz w:val="22"/>
          <w:szCs w:val="22"/>
          <w:lang w:val="es-ES_tradnl"/>
        </w:rPr>
        <w:t>Pereira</w:t>
      </w:r>
    </w:p>
    <w:p w:rsidR="00455DE9" w:rsidRPr="00AE38B2" w:rsidRDefault="007326D4" w:rsidP="00455DE9">
      <w:pPr>
        <w:spacing w:line="360" w:lineRule="auto"/>
        <w:ind w:left="2124"/>
        <w:rPr>
          <w:rFonts w:ascii="Arial" w:hAnsi="Arial" w:cs="Arial"/>
          <w:sz w:val="22"/>
          <w:szCs w:val="22"/>
        </w:rPr>
      </w:pPr>
      <w:r w:rsidRPr="00FC5390">
        <w:rPr>
          <w:rFonts w:ascii="Arial" w:hAnsi="Arial" w:cs="Arial"/>
          <w:sz w:val="22"/>
          <w:szCs w:val="22"/>
        </w:rPr>
        <w:t>Radicación</w:t>
      </w:r>
      <w:r w:rsidRPr="00FC5390">
        <w:rPr>
          <w:rFonts w:ascii="Arial" w:hAnsi="Arial" w:cs="Arial"/>
          <w:sz w:val="22"/>
          <w:szCs w:val="22"/>
        </w:rPr>
        <w:tab/>
      </w:r>
      <w:r w:rsidRPr="00FC5390">
        <w:rPr>
          <w:rFonts w:ascii="Arial" w:hAnsi="Arial" w:cs="Arial"/>
          <w:sz w:val="22"/>
          <w:szCs w:val="22"/>
        </w:rPr>
        <w:tab/>
        <w:t>: 20</w:t>
      </w:r>
      <w:r w:rsidR="008B7145">
        <w:rPr>
          <w:rFonts w:ascii="Arial" w:hAnsi="Arial" w:cs="Arial"/>
          <w:sz w:val="22"/>
          <w:szCs w:val="22"/>
        </w:rPr>
        <w:t>1</w:t>
      </w:r>
      <w:r w:rsidR="005846B6">
        <w:rPr>
          <w:rFonts w:ascii="Arial" w:hAnsi="Arial" w:cs="Arial"/>
          <w:sz w:val="22"/>
          <w:szCs w:val="22"/>
        </w:rPr>
        <w:t>5</w:t>
      </w:r>
      <w:r w:rsidR="00455DE9" w:rsidRPr="00FC5390">
        <w:rPr>
          <w:rFonts w:ascii="Arial" w:hAnsi="Arial" w:cs="Arial"/>
          <w:sz w:val="22"/>
          <w:szCs w:val="22"/>
        </w:rPr>
        <w:t>-00</w:t>
      </w:r>
      <w:r w:rsidR="00B248EB">
        <w:rPr>
          <w:rFonts w:ascii="Arial" w:hAnsi="Arial" w:cs="Arial"/>
          <w:sz w:val="22"/>
          <w:szCs w:val="22"/>
        </w:rPr>
        <w:t>626-</w:t>
      </w:r>
      <w:r w:rsidRPr="00FC5390">
        <w:rPr>
          <w:rFonts w:ascii="Arial" w:hAnsi="Arial" w:cs="Arial"/>
          <w:sz w:val="22"/>
          <w:szCs w:val="22"/>
        </w:rPr>
        <w:t xml:space="preserve">01 </w:t>
      </w:r>
    </w:p>
    <w:p w:rsidR="007326D4" w:rsidRDefault="00455DE9" w:rsidP="007326D4">
      <w:pPr>
        <w:spacing w:line="360" w:lineRule="auto"/>
        <w:ind w:left="1416" w:firstLine="708"/>
        <w:rPr>
          <w:rFonts w:ascii="Arial" w:hAnsi="Arial"/>
          <w:smallCaps/>
          <w:sz w:val="22"/>
        </w:rPr>
      </w:pPr>
      <w:proofErr w:type="spellStart"/>
      <w:r w:rsidRPr="00AE38B2">
        <w:rPr>
          <w:rFonts w:ascii="Arial" w:hAnsi="Arial" w:cs="Arial"/>
          <w:sz w:val="22"/>
          <w:szCs w:val="22"/>
        </w:rPr>
        <w:t>Mag</w:t>
      </w:r>
      <w:proofErr w:type="spellEnd"/>
      <w:r w:rsidR="001E18FB">
        <w:rPr>
          <w:rFonts w:ascii="Arial" w:hAnsi="Arial" w:cs="Arial"/>
          <w:sz w:val="22"/>
          <w:szCs w:val="22"/>
        </w:rPr>
        <w:t>.</w:t>
      </w:r>
      <w:r w:rsidRPr="00AE38B2">
        <w:rPr>
          <w:rFonts w:ascii="Arial" w:hAnsi="Arial" w:cs="Arial"/>
          <w:sz w:val="22"/>
          <w:szCs w:val="22"/>
        </w:rPr>
        <w:t xml:space="preserve"> </w:t>
      </w:r>
      <w:r w:rsidR="001E18FB">
        <w:rPr>
          <w:rFonts w:ascii="Arial" w:hAnsi="Arial" w:cs="Arial"/>
          <w:sz w:val="22"/>
          <w:szCs w:val="22"/>
        </w:rPr>
        <w:t>Sustanciador</w:t>
      </w:r>
      <w:r w:rsidRPr="00AE38B2">
        <w:rPr>
          <w:rFonts w:ascii="Arial" w:hAnsi="Arial" w:cs="Arial"/>
          <w:sz w:val="22"/>
          <w:szCs w:val="22"/>
        </w:rPr>
        <w:tab/>
        <w:t xml:space="preserve">: </w:t>
      </w:r>
      <w:proofErr w:type="spellStart"/>
      <w:r w:rsidR="007326D4" w:rsidRPr="0000570F">
        <w:rPr>
          <w:rFonts w:ascii="Arial" w:hAnsi="Arial"/>
          <w:smallCaps/>
          <w:sz w:val="22"/>
        </w:rPr>
        <w:t>Duberney</w:t>
      </w:r>
      <w:proofErr w:type="spellEnd"/>
      <w:r w:rsidR="007326D4" w:rsidRPr="0000570F">
        <w:rPr>
          <w:rFonts w:ascii="Arial" w:hAnsi="Arial"/>
          <w:smallCaps/>
          <w:sz w:val="22"/>
        </w:rPr>
        <w:t xml:space="preserve"> Grisales Herrera</w:t>
      </w:r>
    </w:p>
    <w:p w:rsidR="009B1094" w:rsidRPr="00631466" w:rsidRDefault="009B1094" w:rsidP="007326D4">
      <w:pPr>
        <w:spacing w:line="360" w:lineRule="auto"/>
        <w:ind w:left="1416" w:firstLine="708"/>
        <w:rPr>
          <w:rFonts w:ascii="Arial" w:hAnsi="Arial"/>
          <w:sz w:val="22"/>
        </w:rPr>
      </w:pPr>
    </w:p>
    <w:p w:rsidR="009B1094" w:rsidRPr="009B1094" w:rsidRDefault="009B1094" w:rsidP="009B1094">
      <w:pPr>
        <w:ind w:left="2124"/>
        <w:jc w:val="both"/>
        <w:rPr>
          <w:rFonts w:ascii="Arial" w:hAnsi="Arial" w:cs="Arial"/>
          <w:spacing w:val="-3"/>
          <w:sz w:val="22"/>
          <w:szCs w:val="22"/>
          <w:lang w:val="es-MX"/>
        </w:rPr>
      </w:pPr>
      <w:r w:rsidRPr="009B1094">
        <w:rPr>
          <w:rFonts w:ascii="Arial" w:hAnsi="Arial" w:cs="Arial"/>
          <w:b/>
          <w:spacing w:val="-3"/>
          <w:sz w:val="22"/>
          <w:szCs w:val="22"/>
          <w:lang w:val="es-ES_tradnl"/>
        </w:rPr>
        <w:t>T</w:t>
      </w:r>
      <w:r w:rsidRPr="009B1094">
        <w:rPr>
          <w:rFonts w:ascii="Arial" w:hAnsi="Arial" w:cs="Arial"/>
          <w:b/>
          <w:spacing w:val="-3"/>
          <w:sz w:val="22"/>
          <w:szCs w:val="22"/>
          <w:lang w:val="es-ES_tradnl"/>
        </w:rPr>
        <w:t>ema</w:t>
      </w:r>
      <w:r w:rsidRPr="009B1094">
        <w:rPr>
          <w:rFonts w:ascii="Arial" w:hAnsi="Arial" w:cs="Arial"/>
          <w:b/>
          <w:spacing w:val="-3"/>
          <w:sz w:val="22"/>
          <w:szCs w:val="22"/>
          <w:lang w:val="es-ES_tradnl"/>
        </w:rPr>
        <w:tab/>
      </w:r>
      <w:r w:rsidRPr="009B1094">
        <w:rPr>
          <w:rFonts w:ascii="Arial" w:hAnsi="Arial" w:cs="Arial"/>
          <w:b/>
          <w:spacing w:val="-3"/>
          <w:sz w:val="22"/>
          <w:szCs w:val="22"/>
          <w:lang w:val="es-ES_tradnl"/>
        </w:rPr>
        <w:tab/>
      </w:r>
      <w:r w:rsidRPr="009B1094">
        <w:rPr>
          <w:rFonts w:ascii="Arial" w:hAnsi="Arial" w:cs="Arial"/>
          <w:b/>
          <w:spacing w:val="-3"/>
          <w:sz w:val="22"/>
          <w:szCs w:val="22"/>
          <w:lang w:val="es-ES_tradnl"/>
        </w:rPr>
        <w:tab/>
        <w:t xml:space="preserve">: </w:t>
      </w:r>
      <w:r w:rsidRPr="009B1094">
        <w:rPr>
          <w:rFonts w:ascii="Arial" w:hAnsi="Arial" w:cs="Arial"/>
          <w:b/>
          <w:spacing w:val="-3"/>
          <w:sz w:val="22"/>
          <w:szCs w:val="22"/>
          <w:lang w:val="es-ES_tradnl"/>
        </w:rPr>
        <w:t>INDEBIDO EMPLAZAMIENTO</w:t>
      </w:r>
      <w:r>
        <w:rPr>
          <w:rFonts w:ascii="Arial" w:hAnsi="Arial" w:cs="Arial"/>
          <w:b/>
          <w:spacing w:val="-3"/>
          <w:sz w:val="22"/>
          <w:szCs w:val="22"/>
          <w:lang w:val="es-ES_tradnl"/>
        </w:rPr>
        <w:t>.</w:t>
      </w:r>
      <w:r w:rsidRPr="009B1094">
        <w:rPr>
          <w:rFonts w:ascii="Arial" w:hAnsi="Arial" w:cs="Arial"/>
          <w:sz w:val="24"/>
          <w:szCs w:val="24"/>
        </w:rPr>
        <w:t xml:space="preserve"> </w:t>
      </w:r>
      <w:r w:rsidRPr="009B1094">
        <w:rPr>
          <w:rFonts w:ascii="Arial" w:hAnsi="Arial" w:cs="Arial"/>
          <w:spacing w:val="-3"/>
          <w:sz w:val="22"/>
          <w:szCs w:val="22"/>
        </w:rPr>
        <w:t xml:space="preserve">La parte actora, allegó constancia de la publicación que hiciera el 20-12-2015, en uno de los medios indicados por la jueza (Folio 46, ib.) y luego sin percatarse del incumplimiento de las reglas atrás señaladas, el despacho designó curador </w:t>
      </w:r>
      <w:r w:rsidRPr="009B1094">
        <w:rPr>
          <w:rFonts w:ascii="Arial" w:hAnsi="Arial" w:cs="Arial"/>
          <w:i/>
          <w:spacing w:val="-3"/>
          <w:sz w:val="22"/>
          <w:szCs w:val="22"/>
        </w:rPr>
        <w:t xml:space="preserve">ad </w:t>
      </w:r>
      <w:proofErr w:type="spellStart"/>
      <w:r w:rsidRPr="009B1094">
        <w:rPr>
          <w:rFonts w:ascii="Arial" w:hAnsi="Arial" w:cs="Arial"/>
          <w:i/>
          <w:spacing w:val="-3"/>
          <w:sz w:val="22"/>
          <w:szCs w:val="22"/>
        </w:rPr>
        <w:t>litem</w:t>
      </w:r>
      <w:proofErr w:type="spellEnd"/>
      <w:r w:rsidRPr="009B1094">
        <w:rPr>
          <w:rFonts w:ascii="Arial" w:hAnsi="Arial" w:cs="Arial"/>
          <w:i/>
          <w:spacing w:val="-3"/>
          <w:sz w:val="22"/>
          <w:szCs w:val="22"/>
        </w:rPr>
        <w:t xml:space="preserve"> </w:t>
      </w:r>
      <w:r w:rsidRPr="009B1094">
        <w:rPr>
          <w:rFonts w:ascii="Arial" w:hAnsi="Arial" w:cs="Arial"/>
          <w:spacing w:val="-3"/>
          <w:sz w:val="22"/>
          <w:szCs w:val="22"/>
        </w:rPr>
        <w:t xml:space="preserve">que la representara (Folio 47, ib.). Y es que una revisión de lo anotado, en el periódico, evidentemente muestra que se omitió anunciar </w:t>
      </w:r>
      <w:r w:rsidRPr="009B1094">
        <w:rPr>
          <w:rFonts w:ascii="Arial" w:hAnsi="Arial" w:cs="Arial"/>
          <w:spacing w:val="-3"/>
          <w:sz w:val="22"/>
          <w:szCs w:val="22"/>
          <w:u w:val="single"/>
        </w:rPr>
        <w:t>todos</w:t>
      </w:r>
      <w:r w:rsidRPr="009B1094">
        <w:rPr>
          <w:rFonts w:ascii="Arial" w:hAnsi="Arial" w:cs="Arial"/>
          <w:spacing w:val="-3"/>
          <w:sz w:val="22"/>
          <w:szCs w:val="22"/>
        </w:rPr>
        <w:t xml:space="preserve"> los integrantes de la parte ejecutada, solo se citó a la sociedad con exclusión del señor Johan Camilo Ramírez Soto</w:t>
      </w:r>
      <w:r w:rsidRPr="009B1094">
        <w:rPr>
          <w:rFonts w:ascii="Arial" w:hAnsi="Arial" w:cs="Arial"/>
          <w:spacing w:val="-3"/>
          <w:sz w:val="22"/>
          <w:szCs w:val="22"/>
          <w:lang w:val="es-MX"/>
        </w:rPr>
        <w:t xml:space="preserve">, por lo tanto, se incurrió en un indebido emplazamiento. </w:t>
      </w:r>
      <w:r w:rsidRPr="009B1094">
        <w:rPr>
          <w:rFonts w:ascii="Arial" w:hAnsi="Arial" w:cs="Arial"/>
          <w:spacing w:val="-3"/>
          <w:sz w:val="22"/>
          <w:szCs w:val="22"/>
        </w:rPr>
        <w:t xml:space="preserve">Así las cosas, se considera y así será declarado, que la actuación es irregular y encuadra en la causal del artículo 140-8º, ib., y ello, por supuesto, invalida la comparecencia del curador </w:t>
      </w:r>
      <w:r w:rsidRPr="009B1094">
        <w:rPr>
          <w:rFonts w:ascii="Arial" w:hAnsi="Arial" w:cs="Arial"/>
          <w:i/>
          <w:spacing w:val="-3"/>
          <w:sz w:val="22"/>
          <w:szCs w:val="22"/>
        </w:rPr>
        <w:t xml:space="preserve">ad </w:t>
      </w:r>
      <w:proofErr w:type="spellStart"/>
      <w:r w:rsidRPr="009B1094">
        <w:rPr>
          <w:rFonts w:ascii="Arial" w:hAnsi="Arial" w:cs="Arial"/>
          <w:i/>
          <w:spacing w:val="-3"/>
          <w:sz w:val="22"/>
          <w:szCs w:val="22"/>
        </w:rPr>
        <w:t>litem</w:t>
      </w:r>
      <w:proofErr w:type="spellEnd"/>
      <w:r w:rsidRPr="009B1094">
        <w:rPr>
          <w:rFonts w:ascii="Arial" w:hAnsi="Arial" w:cs="Arial"/>
          <w:spacing w:val="-3"/>
          <w:sz w:val="22"/>
          <w:szCs w:val="22"/>
        </w:rPr>
        <w:t xml:space="preserve"> que la representó. Los </w:t>
      </w:r>
      <w:r w:rsidRPr="009B1094">
        <w:rPr>
          <w:rFonts w:ascii="Arial" w:hAnsi="Arial" w:cs="Arial"/>
          <w:spacing w:val="-3"/>
          <w:sz w:val="22"/>
          <w:szCs w:val="22"/>
          <w:lang w:val="es-MX"/>
        </w:rPr>
        <w:t>efectos de esta declaratoria afectan todo lo actuado a partir del auto de 12-02-2015 que entendió como válida la publicación allegada, ya que según lo expuesto, debió rechazarse. Sin embargo, conservarán vigor las actuaciones surtidas con relación a la subrogación.</w:t>
      </w:r>
    </w:p>
    <w:p w:rsidR="009B1094" w:rsidRPr="00647818" w:rsidRDefault="009B1094" w:rsidP="007326D4">
      <w:pPr>
        <w:pBdr>
          <w:bottom w:val="double" w:sz="6" w:space="1" w:color="auto"/>
        </w:pBdr>
        <w:spacing w:line="360" w:lineRule="auto"/>
        <w:rPr>
          <w:rFonts w:ascii="Arial" w:hAnsi="Arial" w:cs="Arial"/>
          <w:b/>
          <w:bCs/>
          <w:sz w:val="24"/>
          <w:szCs w:val="24"/>
        </w:rPr>
      </w:pPr>
    </w:p>
    <w:p w:rsidR="00045CE3" w:rsidRPr="00647818" w:rsidRDefault="00045CE3" w:rsidP="00D1698E">
      <w:pPr>
        <w:spacing w:line="360" w:lineRule="auto"/>
        <w:jc w:val="center"/>
        <w:rPr>
          <w:rFonts w:ascii="Arial" w:hAnsi="Arial" w:cs="Arial"/>
          <w:b/>
          <w:bCs/>
          <w:szCs w:val="26"/>
        </w:rPr>
      </w:pPr>
    </w:p>
    <w:p w:rsidR="008B7145" w:rsidRPr="007F56CD" w:rsidRDefault="001902A0" w:rsidP="008B7145">
      <w:pPr>
        <w:spacing w:line="360" w:lineRule="auto"/>
        <w:jc w:val="center"/>
        <w:rPr>
          <w:rFonts w:ascii="Arial" w:hAnsi="Arial" w:cs="Arial"/>
          <w:smallCaps/>
          <w:sz w:val="28"/>
          <w:szCs w:val="24"/>
        </w:rPr>
      </w:pPr>
      <w:r>
        <w:rPr>
          <w:rFonts w:ascii="Arial" w:hAnsi="Arial" w:cs="Arial"/>
          <w:smallCaps/>
          <w:sz w:val="28"/>
          <w:szCs w:val="24"/>
        </w:rPr>
        <w:t xml:space="preserve">ocho </w:t>
      </w:r>
      <w:r w:rsidR="008B7145" w:rsidRPr="007F56CD">
        <w:rPr>
          <w:rFonts w:ascii="Arial" w:hAnsi="Arial" w:cs="Arial"/>
          <w:smallCaps/>
          <w:sz w:val="28"/>
          <w:szCs w:val="24"/>
        </w:rPr>
        <w:t>(</w:t>
      </w:r>
      <w:r>
        <w:rPr>
          <w:rFonts w:ascii="Arial" w:hAnsi="Arial" w:cs="Arial"/>
          <w:smallCaps/>
          <w:sz w:val="28"/>
          <w:szCs w:val="24"/>
        </w:rPr>
        <w:t>8</w:t>
      </w:r>
      <w:r w:rsidR="008B7145" w:rsidRPr="007F56CD">
        <w:rPr>
          <w:rFonts w:ascii="Arial" w:hAnsi="Arial" w:cs="Arial"/>
          <w:smallCaps/>
          <w:sz w:val="28"/>
          <w:szCs w:val="24"/>
        </w:rPr>
        <w:t xml:space="preserve">) de </w:t>
      </w:r>
      <w:r w:rsidR="00B248EB">
        <w:rPr>
          <w:rFonts w:ascii="Arial" w:hAnsi="Arial" w:cs="Arial"/>
          <w:smallCaps/>
          <w:sz w:val="28"/>
          <w:szCs w:val="24"/>
        </w:rPr>
        <w:t xml:space="preserve">mayo </w:t>
      </w:r>
      <w:r w:rsidR="008B7145" w:rsidRPr="007F56CD">
        <w:rPr>
          <w:rFonts w:ascii="Arial" w:hAnsi="Arial" w:cs="Arial"/>
          <w:smallCaps/>
          <w:sz w:val="28"/>
          <w:szCs w:val="24"/>
        </w:rPr>
        <w:t xml:space="preserve">de dos mil </w:t>
      </w:r>
      <w:r w:rsidR="00683C42" w:rsidRPr="007F56CD">
        <w:rPr>
          <w:rFonts w:ascii="Arial" w:hAnsi="Arial" w:cs="Arial"/>
          <w:smallCaps/>
          <w:sz w:val="28"/>
          <w:szCs w:val="24"/>
        </w:rPr>
        <w:t>diecis</w:t>
      </w:r>
      <w:r w:rsidR="00B248EB">
        <w:rPr>
          <w:rFonts w:ascii="Arial" w:hAnsi="Arial" w:cs="Arial"/>
          <w:smallCaps/>
          <w:sz w:val="28"/>
          <w:szCs w:val="24"/>
        </w:rPr>
        <w:t xml:space="preserve">iete </w:t>
      </w:r>
      <w:r w:rsidR="008B7145" w:rsidRPr="007F56CD">
        <w:rPr>
          <w:rFonts w:ascii="Arial" w:hAnsi="Arial" w:cs="Arial"/>
          <w:smallCaps/>
          <w:sz w:val="28"/>
          <w:szCs w:val="24"/>
        </w:rPr>
        <w:t>(201</w:t>
      </w:r>
      <w:r w:rsidR="00B248EB">
        <w:rPr>
          <w:rFonts w:ascii="Arial" w:hAnsi="Arial" w:cs="Arial"/>
          <w:smallCaps/>
          <w:sz w:val="28"/>
          <w:szCs w:val="24"/>
        </w:rPr>
        <w:t>7</w:t>
      </w:r>
      <w:r w:rsidR="008B7145" w:rsidRPr="007F56CD">
        <w:rPr>
          <w:rFonts w:ascii="Arial" w:hAnsi="Arial" w:cs="Arial"/>
          <w:smallCaps/>
          <w:sz w:val="28"/>
          <w:szCs w:val="24"/>
        </w:rPr>
        <w:t>).</w:t>
      </w:r>
    </w:p>
    <w:p w:rsidR="00AC7745" w:rsidRDefault="00AC7745" w:rsidP="008B7145">
      <w:pPr>
        <w:pStyle w:val="Titre"/>
        <w:spacing w:line="360" w:lineRule="auto"/>
        <w:rPr>
          <w:rFonts w:cs="Arial"/>
          <w:b w:val="0"/>
          <w:i w:val="0"/>
          <w:spacing w:val="-3"/>
          <w:szCs w:val="22"/>
        </w:rPr>
      </w:pPr>
    </w:p>
    <w:p w:rsidR="008872A2" w:rsidRPr="00350C7A" w:rsidRDefault="00350C7A" w:rsidP="008872A2">
      <w:pPr>
        <w:pStyle w:val="Titre"/>
        <w:numPr>
          <w:ilvl w:val="0"/>
          <w:numId w:val="1"/>
        </w:numPr>
        <w:spacing w:line="360" w:lineRule="auto"/>
        <w:jc w:val="left"/>
        <w:rPr>
          <w:rFonts w:cs="Arial"/>
          <w:b w:val="0"/>
          <w:i w:val="0"/>
          <w:smallCaps/>
          <w:spacing w:val="-3"/>
          <w:sz w:val="26"/>
          <w:szCs w:val="24"/>
          <w:lang w:val="es-ES_tradnl"/>
        </w:rPr>
      </w:pPr>
      <w:r w:rsidRPr="00350C7A">
        <w:rPr>
          <w:rFonts w:cs="Arial"/>
          <w:b w:val="0"/>
          <w:i w:val="0"/>
          <w:smallCaps/>
          <w:sz w:val="26"/>
          <w:szCs w:val="24"/>
        </w:rPr>
        <w:t>el asunto por decidir</w:t>
      </w:r>
    </w:p>
    <w:p w:rsidR="008872A2" w:rsidRPr="000F1B66" w:rsidRDefault="008872A2" w:rsidP="008872A2">
      <w:pPr>
        <w:pStyle w:val="Titre"/>
        <w:spacing w:line="360" w:lineRule="auto"/>
        <w:jc w:val="left"/>
        <w:rPr>
          <w:rFonts w:cs="Arial"/>
          <w:b w:val="0"/>
          <w:i w:val="0"/>
          <w:spacing w:val="-3"/>
          <w:szCs w:val="24"/>
          <w:lang w:val="es-ES_tradnl"/>
        </w:rPr>
      </w:pPr>
    </w:p>
    <w:p w:rsidR="008872A2" w:rsidRPr="000F1B66" w:rsidRDefault="00737026" w:rsidP="008872A2">
      <w:pPr>
        <w:spacing w:line="360" w:lineRule="auto"/>
        <w:jc w:val="both"/>
        <w:rPr>
          <w:rFonts w:ascii="Arial" w:hAnsi="Arial" w:cs="Arial"/>
          <w:sz w:val="24"/>
          <w:szCs w:val="24"/>
        </w:rPr>
      </w:pPr>
      <w:r w:rsidRPr="000F1B66">
        <w:rPr>
          <w:rFonts w:ascii="Arial" w:hAnsi="Arial" w:cs="Arial"/>
          <w:spacing w:val="-3"/>
          <w:sz w:val="24"/>
          <w:szCs w:val="24"/>
        </w:rPr>
        <w:t>Previo a la decisión de fondo, debe resolver</w:t>
      </w:r>
      <w:r w:rsidR="00AF321C">
        <w:rPr>
          <w:rFonts w:ascii="Arial" w:hAnsi="Arial" w:cs="Arial"/>
          <w:spacing w:val="-3"/>
          <w:sz w:val="24"/>
          <w:szCs w:val="24"/>
        </w:rPr>
        <w:t>se</w:t>
      </w:r>
      <w:r w:rsidRPr="000F1B66">
        <w:rPr>
          <w:rFonts w:ascii="Arial" w:hAnsi="Arial" w:cs="Arial"/>
          <w:spacing w:val="-3"/>
          <w:sz w:val="24"/>
          <w:szCs w:val="24"/>
        </w:rPr>
        <w:t xml:space="preserve"> sobre la </w:t>
      </w:r>
      <w:r w:rsidR="00C903AF" w:rsidRPr="000F1B66">
        <w:rPr>
          <w:rFonts w:ascii="Arial" w:hAnsi="Arial" w:cs="Arial"/>
          <w:spacing w:val="-3"/>
          <w:sz w:val="24"/>
          <w:szCs w:val="24"/>
        </w:rPr>
        <w:t xml:space="preserve">nulidad </w:t>
      </w:r>
      <w:r w:rsidR="003458B9" w:rsidRPr="000F1B66">
        <w:rPr>
          <w:rFonts w:ascii="Arial" w:hAnsi="Arial" w:cs="Arial"/>
          <w:spacing w:val="-3"/>
          <w:sz w:val="24"/>
          <w:szCs w:val="24"/>
        </w:rPr>
        <w:t xml:space="preserve">que advierte </w:t>
      </w:r>
      <w:r w:rsidR="008872A2" w:rsidRPr="000F1B66">
        <w:rPr>
          <w:rFonts w:ascii="Arial" w:hAnsi="Arial" w:cs="Arial"/>
          <w:spacing w:val="-3"/>
          <w:sz w:val="24"/>
          <w:szCs w:val="24"/>
        </w:rPr>
        <w:t xml:space="preserve">esta </w:t>
      </w:r>
      <w:r w:rsidR="00683C42">
        <w:rPr>
          <w:rFonts w:ascii="Arial" w:hAnsi="Arial" w:cs="Arial"/>
          <w:spacing w:val="-3"/>
          <w:sz w:val="24"/>
          <w:szCs w:val="24"/>
        </w:rPr>
        <w:t>Sala</w:t>
      </w:r>
      <w:r w:rsidR="003458B9" w:rsidRPr="000F1B66">
        <w:rPr>
          <w:rFonts w:ascii="Arial" w:hAnsi="Arial" w:cs="Arial"/>
          <w:spacing w:val="-3"/>
          <w:sz w:val="24"/>
          <w:szCs w:val="24"/>
        </w:rPr>
        <w:t>,</w:t>
      </w:r>
      <w:r w:rsidR="008872A2" w:rsidRPr="000F1B66">
        <w:rPr>
          <w:rFonts w:ascii="Arial" w:hAnsi="Arial" w:cs="Arial"/>
          <w:spacing w:val="-3"/>
          <w:sz w:val="24"/>
          <w:szCs w:val="24"/>
        </w:rPr>
        <w:t xml:space="preserve"> </w:t>
      </w:r>
      <w:r w:rsidRPr="000F1B66">
        <w:rPr>
          <w:rFonts w:ascii="Arial" w:hAnsi="Arial" w:cs="Arial"/>
          <w:spacing w:val="-3"/>
          <w:sz w:val="24"/>
          <w:szCs w:val="24"/>
        </w:rPr>
        <w:t xml:space="preserve">en el </w:t>
      </w:r>
      <w:r w:rsidR="000D1C67">
        <w:rPr>
          <w:rFonts w:ascii="Arial" w:hAnsi="Arial" w:cs="Arial"/>
          <w:spacing w:val="-3"/>
          <w:sz w:val="24"/>
          <w:szCs w:val="24"/>
        </w:rPr>
        <w:t xml:space="preserve">curso del </w:t>
      </w:r>
      <w:r w:rsidR="000F1B66" w:rsidRPr="000F1B66">
        <w:rPr>
          <w:rFonts w:ascii="Arial" w:hAnsi="Arial" w:cs="Arial"/>
          <w:spacing w:val="-3"/>
          <w:sz w:val="24"/>
          <w:szCs w:val="24"/>
        </w:rPr>
        <w:t>proceso</w:t>
      </w:r>
      <w:r w:rsidR="000D1C67">
        <w:rPr>
          <w:rFonts w:ascii="Arial" w:hAnsi="Arial" w:cs="Arial"/>
          <w:spacing w:val="-3"/>
          <w:sz w:val="24"/>
          <w:szCs w:val="24"/>
        </w:rPr>
        <w:t xml:space="preserve"> de la referencia</w:t>
      </w:r>
      <w:r w:rsidR="008872A2" w:rsidRPr="000F1B66">
        <w:rPr>
          <w:rFonts w:ascii="Arial" w:hAnsi="Arial" w:cs="Arial"/>
          <w:spacing w:val="-3"/>
          <w:sz w:val="24"/>
          <w:szCs w:val="24"/>
        </w:rPr>
        <w:t>, al tenor de las consideraciones que siguen.</w:t>
      </w:r>
    </w:p>
    <w:p w:rsidR="00AC7745" w:rsidRPr="00F404F9" w:rsidRDefault="00AC7745" w:rsidP="008872A2">
      <w:pPr>
        <w:spacing w:line="360" w:lineRule="auto"/>
        <w:jc w:val="both"/>
        <w:rPr>
          <w:rFonts w:ascii="Arial" w:hAnsi="Arial" w:cs="Arial"/>
          <w:sz w:val="24"/>
          <w:szCs w:val="22"/>
        </w:rPr>
      </w:pPr>
    </w:p>
    <w:p w:rsidR="008872A2" w:rsidRPr="00350C7A" w:rsidRDefault="00350C7A" w:rsidP="008872A2">
      <w:pPr>
        <w:numPr>
          <w:ilvl w:val="0"/>
          <w:numId w:val="1"/>
        </w:numPr>
        <w:spacing w:line="360" w:lineRule="auto"/>
        <w:jc w:val="both"/>
        <w:rPr>
          <w:rFonts w:ascii="Arial" w:hAnsi="Arial" w:cs="Arial"/>
          <w:smallCaps/>
          <w:sz w:val="26"/>
          <w:szCs w:val="24"/>
        </w:rPr>
      </w:pPr>
      <w:r w:rsidRPr="00350C7A">
        <w:rPr>
          <w:rFonts w:ascii="Arial" w:hAnsi="Arial" w:cs="Arial"/>
          <w:smallCaps/>
          <w:sz w:val="26"/>
          <w:szCs w:val="24"/>
        </w:rPr>
        <w:t>la síntesis de la crónica procesal</w:t>
      </w:r>
    </w:p>
    <w:p w:rsidR="00607310" w:rsidRDefault="00607310" w:rsidP="00607310">
      <w:pPr>
        <w:spacing w:line="360" w:lineRule="auto"/>
        <w:jc w:val="both"/>
        <w:rPr>
          <w:rFonts w:ascii="Arial" w:hAnsi="Arial" w:cs="Arial"/>
          <w:sz w:val="24"/>
          <w:szCs w:val="24"/>
        </w:rPr>
      </w:pPr>
    </w:p>
    <w:p w:rsidR="00E3677F" w:rsidRDefault="00607310" w:rsidP="00607310">
      <w:pPr>
        <w:spacing w:line="360" w:lineRule="auto"/>
        <w:jc w:val="both"/>
        <w:rPr>
          <w:rFonts w:ascii="Arial" w:hAnsi="Arial" w:cs="Arial"/>
          <w:sz w:val="24"/>
          <w:szCs w:val="24"/>
        </w:rPr>
      </w:pPr>
      <w:r w:rsidRPr="00607310">
        <w:rPr>
          <w:rFonts w:ascii="Arial" w:hAnsi="Arial" w:cs="Arial"/>
          <w:sz w:val="24"/>
          <w:szCs w:val="24"/>
        </w:rPr>
        <w:lastRenderedPageBreak/>
        <w:t>La demanda fue</w:t>
      </w:r>
      <w:r w:rsidR="000D1C67">
        <w:rPr>
          <w:rFonts w:ascii="Arial" w:hAnsi="Arial" w:cs="Arial"/>
          <w:sz w:val="24"/>
          <w:szCs w:val="24"/>
        </w:rPr>
        <w:t xml:space="preserve"> </w:t>
      </w:r>
      <w:r w:rsidR="00B248EB">
        <w:rPr>
          <w:rFonts w:ascii="Arial" w:hAnsi="Arial" w:cs="Arial"/>
          <w:sz w:val="24"/>
          <w:szCs w:val="24"/>
        </w:rPr>
        <w:t>repartida a</w:t>
      </w:r>
      <w:r w:rsidR="000D1C67">
        <w:rPr>
          <w:rFonts w:ascii="Arial" w:hAnsi="Arial" w:cs="Arial"/>
          <w:sz w:val="24"/>
          <w:szCs w:val="24"/>
        </w:rPr>
        <w:t xml:space="preserve">l </w:t>
      </w:r>
      <w:r w:rsidR="00E3677F">
        <w:rPr>
          <w:rFonts w:ascii="Arial" w:hAnsi="Arial" w:cs="Arial"/>
          <w:sz w:val="24"/>
          <w:szCs w:val="24"/>
        </w:rPr>
        <w:t xml:space="preserve">Juzgado </w:t>
      </w:r>
      <w:r w:rsidR="00B248EB">
        <w:rPr>
          <w:rFonts w:ascii="Arial" w:hAnsi="Arial" w:cs="Arial"/>
          <w:sz w:val="24"/>
          <w:szCs w:val="24"/>
        </w:rPr>
        <w:t xml:space="preserve">Segundo Civil del Circuito </w:t>
      </w:r>
      <w:r w:rsidR="00E3677F">
        <w:rPr>
          <w:rFonts w:ascii="Arial" w:hAnsi="Arial" w:cs="Arial"/>
          <w:sz w:val="24"/>
          <w:szCs w:val="24"/>
        </w:rPr>
        <w:t>de Pereira</w:t>
      </w:r>
      <w:r w:rsidR="002F4DF5">
        <w:rPr>
          <w:rFonts w:ascii="Arial" w:hAnsi="Arial" w:cs="Arial"/>
          <w:sz w:val="24"/>
          <w:szCs w:val="24"/>
        </w:rPr>
        <w:t>,</w:t>
      </w:r>
      <w:r w:rsidR="000D1C67">
        <w:rPr>
          <w:rFonts w:ascii="Arial" w:hAnsi="Arial" w:cs="Arial"/>
          <w:sz w:val="24"/>
          <w:szCs w:val="24"/>
        </w:rPr>
        <w:t xml:space="preserve"> </w:t>
      </w:r>
      <w:r w:rsidRPr="00607310">
        <w:rPr>
          <w:rFonts w:ascii="Arial" w:hAnsi="Arial" w:cs="Arial"/>
          <w:sz w:val="24"/>
          <w:szCs w:val="24"/>
        </w:rPr>
        <w:t xml:space="preserve">que </w:t>
      </w:r>
      <w:r w:rsidR="00B248EB">
        <w:rPr>
          <w:rFonts w:ascii="Arial" w:hAnsi="Arial" w:cs="Arial"/>
          <w:sz w:val="24"/>
          <w:szCs w:val="24"/>
        </w:rPr>
        <w:t xml:space="preserve">con proveído del 21-09-2015 libró mandamiento de pago y </w:t>
      </w:r>
      <w:r w:rsidRPr="00607310">
        <w:rPr>
          <w:rFonts w:ascii="Arial" w:hAnsi="Arial" w:cs="Arial"/>
          <w:sz w:val="24"/>
          <w:szCs w:val="24"/>
        </w:rPr>
        <w:t xml:space="preserve">ordenó </w:t>
      </w:r>
      <w:r w:rsidR="00E3677F">
        <w:rPr>
          <w:rFonts w:ascii="Arial" w:hAnsi="Arial" w:cs="Arial"/>
          <w:sz w:val="24"/>
          <w:szCs w:val="24"/>
        </w:rPr>
        <w:t>notificar</w:t>
      </w:r>
      <w:r w:rsidR="00B248EB">
        <w:rPr>
          <w:rFonts w:ascii="Arial" w:hAnsi="Arial" w:cs="Arial"/>
          <w:sz w:val="24"/>
          <w:szCs w:val="24"/>
        </w:rPr>
        <w:t>, entre otra</w:t>
      </w:r>
      <w:r w:rsidRPr="00607310">
        <w:rPr>
          <w:rFonts w:ascii="Arial" w:hAnsi="Arial" w:cs="Arial"/>
          <w:sz w:val="24"/>
          <w:szCs w:val="24"/>
        </w:rPr>
        <w:t>s</w:t>
      </w:r>
      <w:r w:rsidR="000D1C67">
        <w:rPr>
          <w:rFonts w:ascii="Arial" w:hAnsi="Arial" w:cs="Arial"/>
          <w:sz w:val="24"/>
          <w:szCs w:val="24"/>
        </w:rPr>
        <w:t xml:space="preserve"> </w:t>
      </w:r>
      <w:r w:rsidR="00B248EB">
        <w:rPr>
          <w:rFonts w:ascii="Arial" w:hAnsi="Arial" w:cs="Arial"/>
          <w:sz w:val="24"/>
          <w:szCs w:val="24"/>
        </w:rPr>
        <w:t>disposiciones (Folios 32 a 34, cuaderno principal</w:t>
      </w:r>
      <w:r w:rsidRPr="00607310">
        <w:rPr>
          <w:rFonts w:ascii="Arial" w:hAnsi="Arial" w:cs="Arial"/>
          <w:sz w:val="24"/>
          <w:szCs w:val="24"/>
        </w:rPr>
        <w:t>).</w:t>
      </w:r>
      <w:r w:rsidR="00B25249">
        <w:rPr>
          <w:rFonts w:ascii="Arial" w:hAnsi="Arial" w:cs="Arial"/>
          <w:sz w:val="24"/>
          <w:szCs w:val="24"/>
        </w:rPr>
        <w:t xml:space="preserve"> </w:t>
      </w:r>
    </w:p>
    <w:p w:rsidR="00E3677F" w:rsidRDefault="00E3677F" w:rsidP="00607310">
      <w:pPr>
        <w:spacing w:line="360" w:lineRule="auto"/>
        <w:jc w:val="both"/>
        <w:rPr>
          <w:rFonts w:ascii="Arial" w:hAnsi="Arial" w:cs="Arial"/>
          <w:sz w:val="24"/>
          <w:szCs w:val="24"/>
        </w:rPr>
      </w:pPr>
    </w:p>
    <w:p w:rsidR="000A4144" w:rsidRDefault="00B248EB" w:rsidP="00ED2A1B">
      <w:pPr>
        <w:spacing w:line="360" w:lineRule="auto"/>
        <w:jc w:val="both"/>
        <w:rPr>
          <w:rFonts w:ascii="Arial" w:hAnsi="Arial" w:cs="Arial"/>
          <w:sz w:val="24"/>
          <w:szCs w:val="24"/>
        </w:rPr>
      </w:pPr>
      <w:r>
        <w:rPr>
          <w:rFonts w:ascii="Arial" w:hAnsi="Arial" w:cs="Arial"/>
          <w:sz w:val="24"/>
          <w:szCs w:val="24"/>
        </w:rPr>
        <w:t>La</w:t>
      </w:r>
      <w:r w:rsidR="00350C7A">
        <w:rPr>
          <w:rFonts w:ascii="Arial" w:hAnsi="Arial" w:cs="Arial"/>
          <w:sz w:val="24"/>
          <w:szCs w:val="24"/>
        </w:rPr>
        <w:t>s</w:t>
      </w:r>
      <w:r>
        <w:rPr>
          <w:rFonts w:ascii="Arial" w:hAnsi="Arial" w:cs="Arial"/>
          <w:sz w:val="24"/>
          <w:szCs w:val="24"/>
        </w:rPr>
        <w:t xml:space="preserve"> citaciones, remitidas a los ejecutados, resultaron infructuosas (Folios 38 a 41, cuaderno principal)</w:t>
      </w:r>
      <w:r w:rsidR="004A0049">
        <w:rPr>
          <w:rFonts w:ascii="Arial" w:hAnsi="Arial" w:cs="Arial"/>
          <w:sz w:val="24"/>
          <w:szCs w:val="24"/>
        </w:rPr>
        <w:t xml:space="preserve">, por lo que la parte actora solicitó el emplazamiento (Folio 42, cuaderno principal), pero </w:t>
      </w:r>
      <w:r w:rsidR="00AF321C">
        <w:rPr>
          <w:rFonts w:ascii="Arial" w:hAnsi="Arial" w:cs="Arial"/>
          <w:sz w:val="24"/>
          <w:szCs w:val="24"/>
        </w:rPr>
        <w:t xml:space="preserve">solo </w:t>
      </w:r>
      <w:r w:rsidR="004A0049">
        <w:rPr>
          <w:rFonts w:ascii="Arial" w:hAnsi="Arial" w:cs="Arial"/>
          <w:sz w:val="24"/>
          <w:szCs w:val="24"/>
        </w:rPr>
        <w:t>fue autorizad</w:t>
      </w:r>
      <w:r w:rsidR="000A4144">
        <w:rPr>
          <w:rFonts w:ascii="Arial" w:hAnsi="Arial" w:cs="Arial"/>
          <w:sz w:val="24"/>
          <w:szCs w:val="24"/>
        </w:rPr>
        <w:t>o</w:t>
      </w:r>
      <w:r w:rsidR="004A0049">
        <w:rPr>
          <w:rFonts w:ascii="Arial" w:hAnsi="Arial" w:cs="Arial"/>
          <w:sz w:val="24"/>
          <w:szCs w:val="24"/>
        </w:rPr>
        <w:t xml:space="preserve"> el correspondiente a la sociedad JCR IMPORTS EU</w:t>
      </w:r>
      <w:r w:rsidR="000A4144">
        <w:rPr>
          <w:rFonts w:ascii="Arial" w:hAnsi="Arial" w:cs="Arial"/>
          <w:sz w:val="24"/>
          <w:szCs w:val="24"/>
        </w:rPr>
        <w:t xml:space="preserve"> y se ordenó la notificación del señor Ramírez Soto, en otra dirección (Folio 43, ibídem). </w:t>
      </w:r>
    </w:p>
    <w:p w:rsidR="000A4144" w:rsidRDefault="000A4144" w:rsidP="00ED2A1B">
      <w:pPr>
        <w:spacing w:line="360" w:lineRule="auto"/>
        <w:jc w:val="both"/>
        <w:rPr>
          <w:rFonts w:ascii="Arial" w:hAnsi="Arial" w:cs="Arial"/>
          <w:sz w:val="24"/>
          <w:szCs w:val="24"/>
        </w:rPr>
      </w:pPr>
    </w:p>
    <w:p w:rsidR="005846B6" w:rsidRDefault="006B6A86" w:rsidP="00ED2A1B">
      <w:pPr>
        <w:spacing w:line="360" w:lineRule="auto"/>
        <w:jc w:val="both"/>
        <w:rPr>
          <w:rFonts w:ascii="Arial" w:hAnsi="Arial" w:cs="Arial"/>
          <w:sz w:val="24"/>
          <w:szCs w:val="24"/>
        </w:rPr>
      </w:pPr>
      <w:r>
        <w:rPr>
          <w:rFonts w:ascii="Arial" w:hAnsi="Arial" w:cs="Arial"/>
          <w:sz w:val="24"/>
          <w:szCs w:val="24"/>
        </w:rPr>
        <w:t>El emplazamiento se publicó en medio de comunicación</w:t>
      </w:r>
      <w:r w:rsidR="00ED2A1B">
        <w:rPr>
          <w:rFonts w:ascii="Arial" w:hAnsi="Arial" w:cs="Arial"/>
          <w:sz w:val="24"/>
          <w:szCs w:val="24"/>
        </w:rPr>
        <w:t xml:space="preserve"> y </w:t>
      </w:r>
      <w:r>
        <w:rPr>
          <w:rFonts w:ascii="Arial" w:hAnsi="Arial" w:cs="Arial"/>
          <w:sz w:val="24"/>
          <w:szCs w:val="24"/>
        </w:rPr>
        <w:t xml:space="preserve">de </w:t>
      </w:r>
      <w:r w:rsidR="00ED2A1B">
        <w:rPr>
          <w:rFonts w:ascii="Arial" w:hAnsi="Arial" w:cs="Arial"/>
          <w:sz w:val="24"/>
          <w:szCs w:val="24"/>
        </w:rPr>
        <w:t>ello se aportó</w:t>
      </w:r>
      <w:r>
        <w:rPr>
          <w:rFonts w:ascii="Arial" w:hAnsi="Arial" w:cs="Arial"/>
          <w:sz w:val="24"/>
          <w:szCs w:val="24"/>
        </w:rPr>
        <w:t xml:space="preserve"> constancia </w:t>
      </w:r>
      <w:r w:rsidR="00ED2A1B">
        <w:rPr>
          <w:rFonts w:ascii="Arial" w:hAnsi="Arial" w:cs="Arial"/>
          <w:sz w:val="24"/>
          <w:szCs w:val="24"/>
        </w:rPr>
        <w:t>(Folio</w:t>
      </w:r>
      <w:r w:rsidR="000A4144">
        <w:rPr>
          <w:rFonts w:ascii="Arial" w:hAnsi="Arial" w:cs="Arial"/>
          <w:sz w:val="24"/>
          <w:szCs w:val="24"/>
        </w:rPr>
        <w:t xml:space="preserve"> 46, ibídem</w:t>
      </w:r>
      <w:r w:rsidR="00AF321C">
        <w:rPr>
          <w:rFonts w:ascii="Arial" w:hAnsi="Arial" w:cs="Arial"/>
          <w:sz w:val="24"/>
          <w:szCs w:val="24"/>
        </w:rPr>
        <w:t xml:space="preserve">), </w:t>
      </w:r>
      <w:r>
        <w:rPr>
          <w:rFonts w:ascii="Arial" w:hAnsi="Arial" w:cs="Arial"/>
          <w:sz w:val="24"/>
          <w:szCs w:val="24"/>
        </w:rPr>
        <w:t xml:space="preserve">enseguida con auto del </w:t>
      </w:r>
      <w:r w:rsidR="000A4144">
        <w:rPr>
          <w:rFonts w:ascii="Arial" w:hAnsi="Arial" w:cs="Arial"/>
          <w:sz w:val="24"/>
          <w:szCs w:val="24"/>
        </w:rPr>
        <w:t>12-02</w:t>
      </w:r>
      <w:r>
        <w:rPr>
          <w:rFonts w:ascii="Arial" w:hAnsi="Arial" w:cs="Arial"/>
          <w:sz w:val="24"/>
          <w:szCs w:val="24"/>
        </w:rPr>
        <w:t xml:space="preserve">-2016 se nombró curador </w:t>
      </w:r>
      <w:r>
        <w:rPr>
          <w:rFonts w:ascii="Arial" w:hAnsi="Arial" w:cs="Arial"/>
          <w:i/>
          <w:sz w:val="22"/>
          <w:szCs w:val="24"/>
        </w:rPr>
        <w:t xml:space="preserve">ad </w:t>
      </w:r>
      <w:proofErr w:type="spellStart"/>
      <w:r>
        <w:rPr>
          <w:rFonts w:ascii="Arial" w:hAnsi="Arial" w:cs="Arial"/>
          <w:i/>
          <w:sz w:val="22"/>
          <w:szCs w:val="24"/>
        </w:rPr>
        <w:t>litem</w:t>
      </w:r>
      <w:proofErr w:type="spellEnd"/>
      <w:r w:rsidR="00AF321C">
        <w:rPr>
          <w:rFonts w:ascii="Arial" w:hAnsi="Arial" w:cs="Arial"/>
          <w:i/>
          <w:sz w:val="22"/>
          <w:szCs w:val="24"/>
        </w:rPr>
        <w:t xml:space="preserve"> </w:t>
      </w:r>
      <w:r w:rsidR="00ED2A1B">
        <w:rPr>
          <w:rFonts w:ascii="Arial" w:hAnsi="Arial" w:cs="Arial"/>
          <w:i/>
          <w:sz w:val="22"/>
          <w:szCs w:val="24"/>
        </w:rPr>
        <w:t xml:space="preserve"> </w:t>
      </w:r>
      <w:r w:rsidR="00ED2A1B">
        <w:rPr>
          <w:rFonts w:ascii="Arial" w:hAnsi="Arial" w:cs="Arial"/>
          <w:sz w:val="24"/>
          <w:szCs w:val="24"/>
        </w:rPr>
        <w:t>(Folio</w:t>
      </w:r>
      <w:r w:rsidR="000A4144">
        <w:rPr>
          <w:rFonts w:ascii="Arial" w:hAnsi="Arial" w:cs="Arial"/>
          <w:sz w:val="24"/>
          <w:szCs w:val="24"/>
        </w:rPr>
        <w:t>s 47 y 48</w:t>
      </w:r>
      <w:r w:rsidR="00ED2A1B">
        <w:rPr>
          <w:rFonts w:ascii="Arial" w:hAnsi="Arial" w:cs="Arial"/>
          <w:sz w:val="24"/>
          <w:szCs w:val="24"/>
        </w:rPr>
        <w:t>, ibídem)</w:t>
      </w:r>
      <w:r w:rsidR="000A4144">
        <w:rPr>
          <w:rFonts w:ascii="Arial" w:hAnsi="Arial" w:cs="Arial"/>
          <w:sz w:val="24"/>
          <w:szCs w:val="24"/>
        </w:rPr>
        <w:t>, quien contestó la demanda</w:t>
      </w:r>
      <w:r w:rsidR="00AF321C">
        <w:rPr>
          <w:rFonts w:ascii="Arial" w:hAnsi="Arial" w:cs="Arial"/>
          <w:sz w:val="24"/>
          <w:szCs w:val="24"/>
        </w:rPr>
        <w:t xml:space="preserve"> (Folios 52 y 52, ib.)</w:t>
      </w:r>
      <w:r w:rsidR="006423C6">
        <w:rPr>
          <w:rFonts w:ascii="Arial" w:hAnsi="Arial" w:cs="Arial"/>
          <w:sz w:val="24"/>
          <w:szCs w:val="24"/>
        </w:rPr>
        <w:t xml:space="preserve">. </w:t>
      </w:r>
      <w:r w:rsidR="000A4144">
        <w:rPr>
          <w:rFonts w:ascii="Arial" w:hAnsi="Arial" w:cs="Arial"/>
          <w:sz w:val="24"/>
          <w:szCs w:val="24"/>
        </w:rPr>
        <w:t>Por su parte, la citación de Johan Camilo fue remitida y devuelta, sin cumplir su cometido (Folios 51, 86 y 87, ib.).</w:t>
      </w:r>
      <w:r w:rsidR="005846B6">
        <w:rPr>
          <w:rFonts w:ascii="Arial" w:hAnsi="Arial" w:cs="Arial"/>
          <w:sz w:val="24"/>
          <w:szCs w:val="24"/>
        </w:rPr>
        <w:t xml:space="preserve"> Entretanto, se pidió el reconocimiento de subrogación parcial a favor del Fondo Nacional de Garantías, a la cual se dio el trámite corres</w:t>
      </w:r>
      <w:r w:rsidR="00AF321C">
        <w:rPr>
          <w:rFonts w:ascii="Arial" w:hAnsi="Arial" w:cs="Arial"/>
          <w:sz w:val="24"/>
          <w:szCs w:val="24"/>
        </w:rPr>
        <w:t>pondiente (Folios 54 a 75 y 79,</w:t>
      </w:r>
      <w:r w:rsidR="005846B6">
        <w:rPr>
          <w:rFonts w:ascii="Arial" w:hAnsi="Arial" w:cs="Arial"/>
          <w:sz w:val="24"/>
          <w:szCs w:val="24"/>
        </w:rPr>
        <w:t xml:space="preserve"> ib.). </w:t>
      </w:r>
    </w:p>
    <w:p w:rsidR="005846B6" w:rsidRDefault="005846B6" w:rsidP="00ED2A1B">
      <w:pPr>
        <w:spacing w:line="360" w:lineRule="auto"/>
        <w:jc w:val="both"/>
        <w:rPr>
          <w:rFonts w:ascii="Arial" w:hAnsi="Arial" w:cs="Arial"/>
          <w:sz w:val="24"/>
          <w:szCs w:val="24"/>
        </w:rPr>
      </w:pPr>
    </w:p>
    <w:p w:rsidR="00607310" w:rsidRDefault="000A4144" w:rsidP="000A4144">
      <w:pPr>
        <w:spacing w:line="360" w:lineRule="auto"/>
        <w:jc w:val="both"/>
        <w:rPr>
          <w:rFonts w:ascii="Arial" w:hAnsi="Arial" w:cs="Arial"/>
          <w:sz w:val="24"/>
          <w:szCs w:val="24"/>
        </w:rPr>
      </w:pPr>
      <w:r>
        <w:rPr>
          <w:rFonts w:ascii="Arial" w:hAnsi="Arial" w:cs="Arial"/>
          <w:sz w:val="24"/>
          <w:szCs w:val="24"/>
        </w:rPr>
        <w:t xml:space="preserve">Con autos de 20-10-2016 y 28-11-2016 (Folios 89 y 100, ib.) fue requerida la parte actora </w:t>
      </w:r>
      <w:r w:rsidR="00E17AE8">
        <w:rPr>
          <w:rFonts w:ascii="Arial" w:hAnsi="Arial" w:cs="Arial"/>
          <w:sz w:val="24"/>
          <w:szCs w:val="24"/>
        </w:rPr>
        <w:t xml:space="preserve">a efectos de </w:t>
      </w:r>
      <w:r>
        <w:rPr>
          <w:rFonts w:ascii="Arial" w:hAnsi="Arial" w:cs="Arial"/>
          <w:sz w:val="24"/>
          <w:szCs w:val="24"/>
        </w:rPr>
        <w:t>que procurará la notificación personal del señor Ramírez Soto, sin que lo acatara, por lo que con proveído del 15-02-2017 se declaró terminado el proceso por desistimiento tácito (Folios 101 y 102, ib.)</w:t>
      </w:r>
      <w:r w:rsidR="00BD660E">
        <w:rPr>
          <w:rFonts w:ascii="Arial" w:hAnsi="Arial" w:cs="Arial"/>
          <w:i/>
          <w:sz w:val="24"/>
          <w:szCs w:val="24"/>
        </w:rPr>
        <w:t xml:space="preserve">, </w:t>
      </w:r>
      <w:r w:rsidR="00F07150">
        <w:rPr>
          <w:rFonts w:ascii="Arial" w:hAnsi="Arial" w:cs="Arial"/>
          <w:sz w:val="24"/>
          <w:szCs w:val="24"/>
        </w:rPr>
        <w:t xml:space="preserve">decisión recurrida </w:t>
      </w:r>
      <w:r w:rsidR="002825A8">
        <w:rPr>
          <w:rFonts w:ascii="Arial" w:hAnsi="Arial" w:cs="Arial"/>
          <w:sz w:val="24"/>
          <w:szCs w:val="24"/>
        </w:rPr>
        <w:t xml:space="preserve">por la </w:t>
      </w:r>
      <w:r>
        <w:rPr>
          <w:rFonts w:ascii="Arial" w:hAnsi="Arial" w:cs="Arial"/>
          <w:sz w:val="24"/>
          <w:szCs w:val="24"/>
        </w:rPr>
        <w:t>ejecutante</w:t>
      </w:r>
      <w:r w:rsidR="00F07150">
        <w:rPr>
          <w:rFonts w:ascii="Arial" w:hAnsi="Arial" w:cs="Arial"/>
          <w:sz w:val="24"/>
          <w:szCs w:val="24"/>
        </w:rPr>
        <w:t>, en reposición y apelación</w:t>
      </w:r>
      <w:r w:rsidR="00E17AE8">
        <w:rPr>
          <w:rFonts w:ascii="Arial" w:hAnsi="Arial" w:cs="Arial"/>
          <w:sz w:val="24"/>
          <w:szCs w:val="24"/>
        </w:rPr>
        <w:t>, lo que</w:t>
      </w:r>
      <w:r w:rsidR="00F07150">
        <w:rPr>
          <w:rFonts w:ascii="Arial" w:hAnsi="Arial" w:cs="Arial"/>
          <w:sz w:val="24"/>
          <w:szCs w:val="24"/>
        </w:rPr>
        <w:t xml:space="preserve"> </w:t>
      </w:r>
      <w:r w:rsidR="00BD660E">
        <w:rPr>
          <w:rFonts w:ascii="Arial" w:hAnsi="Arial" w:cs="Arial"/>
          <w:sz w:val="24"/>
          <w:szCs w:val="24"/>
        </w:rPr>
        <w:t>dio lugar a</w:t>
      </w:r>
      <w:r w:rsidR="002825A8">
        <w:rPr>
          <w:rFonts w:ascii="Arial" w:hAnsi="Arial" w:cs="Arial"/>
          <w:sz w:val="24"/>
          <w:szCs w:val="24"/>
        </w:rPr>
        <w:t xml:space="preserve"> la remisión del expediente a esta Sala (Folio</w:t>
      </w:r>
      <w:r w:rsidR="00BD660E">
        <w:rPr>
          <w:rFonts w:ascii="Arial" w:hAnsi="Arial" w:cs="Arial"/>
          <w:sz w:val="24"/>
          <w:szCs w:val="24"/>
        </w:rPr>
        <w:t xml:space="preserve">s </w:t>
      </w:r>
      <w:r w:rsidR="00F07150">
        <w:rPr>
          <w:rFonts w:ascii="Arial" w:hAnsi="Arial" w:cs="Arial"/>
          <w:sz w:val="24"/>
          <w:szCs w:val="24"/>
        </w:rPr>
        <w:t>107 a 109</w:t>
      </w:r>
      <w:r w:rsidR="00BD660E">
        <w:rPr>
          <w:rFonts w:ascii="Arial" w:hAnsi="Arial" w:cs="Arial"/>
          <w:sz w:val="24"/>
          <w:szCs w:val="24"/>
        </w:rPr>
        <w:t>,</w:t>
      </w:r>
      <w:r w:rsidR="002825A8">
        <w:rPr>
          <w:rFonts w:ascii="Arial" w:hAnsi="Arial" w:cs="Arial"/>
          <w:sz w:val="24"/>
          <w:szCs w:val="24"/>
        </w:rPr>
        <w:t xml:space="preserve"> </w:t>
      </w:r>
      <w:r w:rsidR="006423C6">
        <w:rPr>
          <w:rFonts w:ascii="Arial" w:hAnsi="Arial" w:cs="Arial"/>
          <w:sz w:val="24"/>
          <w:szCs w:val="24"/>
        </w:rPr>
        <w:t>ib</w:t>
      </w:r>
      <w:r w:rsidR="00F07150">
        <w:rPr>
          <w:rFonts w:ascii="Arial" w:hAnsi="Arial" w:cs="Arial"/>
          <w:sz w:val="24"/>
          <w:szCs w:val="24"/>
        </w:rPr>
        <w:t>.</w:t>
      </w:r>
      <w:r w:rsidR="002825A8">
        <w:rPr>
          <w:rFonts w:ascii="Arial" w:hAnsi="Arial" w:cs="Arial"/>
          <w:sz w:val="24"/>
          <w:szCs w:val="24"/>
        </w:rPr>
        <w:t>)</w:t>
      </w:r>
      <w:r w:rsidR="00F44F5D">
        <w:rPr>
          <w:rFonts w:ascii="Arial" w:hAnsi="Arial" w:cs="Arial"/>
          <w:sz w:val="24"/>
          <w:szCs w:val="24"/>
        </w:rPr>
        <w:t>.</w:t>
      </w:r>
    </w:p>
    <w:p w:rsidR="002E20D6" w:rsidRDefault="002E20D6" w:rsidP="00607310">
      <w:pPr>
        <w:spacing w:line="360" w:lineRule="auto"/>
        <w:jc w:val="both"/>
        <w:rPr>
          <w:rFonts w:ascii="Arial" w:hAnsi="Arial" w:cs="Arial"/>
          <w:sz w:val="24"/>
          <w:szCs w:val="24"/>
        </w:rPr>
      </w:pPr>
    </w:p>
    <w:p w:rsidR="00E316D9" w:rsidRPr="00350C7A" w:rsidRDefault="00350C7A" w:rsidP="00D02CB4">
      <w:pPr>
        <w:pStyle w:val="Paragraphedeliste"/>
        <w:numPr>
          <w:ilvl w:val="0"/>
          <w:numId w:val="1"/>
        </w:numPr>
        <w:tabs>
          <w:tab w:val="left" w:pos="-720"/>
        </w:tabs>
        <w:suppressAutoHyphens/>
        <w:spacing w:line="360" w:lineRule="auto"/>
        <w:jc w:val="both"/>
        <w:rPr>
          <w:rFonts w:ascii="Arial" w:hAnsi="Arial" w:cs="Arial"/>
          <w:smallCaps/>
          <w:spacing w:val="-3"/>
          <w:sz w:val="26"/>
          <w:szCs w:val="24"/>
        </w:rPr>
      </w:pPr>
      <w:r w:rsidRPr="00350C7A">
        <w:rPr>
          <w:rFonts w:ascii="Arial" w:hAnsi="Arial" w:cs="Arial"/>
          <w:smallCaps/>
          <w:spacing w:val="-3"/>
          <w:sz w:val="26"/>
          <w:szCs w:val="24"/>
        </w:rPr>
        <w:t>las estimaciones jurídicas para decidir</w:t>
      </w:r>
    </w:p>
    <w:p w:rsidR="00647818" w:rsidRDefault="00647818" w:rsidP="00647818">
      <w:pPr>
        <w:pStyle w:val="Sansinterligne"/>
        <w:widowControl/>
        <w:autoSpaceDE/>
        <w:autoSpaceDN/>
        <w:adjustRightInd/>
        <w:spacing w:line="360" w:lineRule="auto"/>
        <w:ind w:left="360"/>
        <w:jc w:val="both"/>
        <w:rPr>
          <w:rFonts w:ascii="Arial" w:hAnsi="Arial" w:cs="Arial"/>
        </w:rPr>
      </w:pPr>
    </w:p>
    <w:p w:rsidR="00582F12" w:rsidRPr="00350C7A" w:rsidRDefault="00582F12" w:rsidP="002E20D6">
      <w:pPr>
        <w:pStyle w:val="Sansinterligne"/>
        <w:widowControl/>
        <w:numPr>
          <w:ilvl w:val="1"/>
          <w:numId w:val="1"/>
        </w:numPr>
        <w:autoSpaceDE/>
        <w:autoSpaceDN/>
        <w:adjustRightInd/>
        <w:spacing w:line="360" w:lineRule="auto"/>
        <w:jc w:val="both"/>
        <w:rPr>
          <w:rFonts w:ascii="Arial" w:hAnsi="Arial" w:cs="Arial"/>
          <w:smallCaps/>
        </w:rPr>
      </w:pPr>
      <w:r w:rsidRPr="00350C7A">
        <w:rPr>
          <w:rFonts w:ascii="Arial" w:hAnsi="Arial" w:cs="Arial"/>
          <w:smallCaps/>
        </w:rPr>
        <w:t>El régimen de las nulidades procesales</w:t>
      </w:r>
    </w:p>
    <w:p w:rsidR="002825A8" w:rsidRPr="00582F12" w:rsidRDefault="002825A8" w:rsidP="002825A8">
      <w:pPr>
        <w:pStyle w:val="Sansinterligne"/>
        <w:widowControl/>
        <w:autoSpaceDE/>
        <w:autoSpaceDN/>
        <w:adjustRightInd/>
        <w:spacing w:line="360" w:lineRule="auto"/>
        <w:jc w:val="both"/>
        <w:rPr>
          <w:rFonts w:ascii="Arial" w:hAnsi="Arial" w:cs="Arial"/>
        </w:rPr>
      </w:pPr>
    </w:p>
    <w:p w:rsidR="00350C7A" w:rsidRPr="00672632" w:rsidRDefault="00350C7A" w:rsidP="00350C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r w:rsidRPr="00672632">
        <w:rPr>
          <w:rFonts w:ascii="Arial" w:hAnsi="Arial" w:cs="Arial"/>
          <w:sz w:val="24"/>
          <w:szCs w:val="22"/>
        </w:rPr>
        <w:t>La institución de las nulidades de tipo procedimental está consagrada con el propósito de salvaguardar el derecho constitucional del “debido proceso” y su derivado natural, el derecho de defensa (Artículo 29</w:t>
      </w:r>
      <w:r w:rsidR="001902A0">
        <w:rPr>
          <w:rFonts w:ascii="Arial" w:hAnsi="Arial" w:cs="Arial"/>
          <w:sz w:val="24"/>
          <w:szCs w:val="22"/>
        </w:rPr>
        <w:t>,</w:t>
      </w:r>
      <w:r w:rsidRPr="00672632">
        <w:rPr>
          <w:rFonts w:ascii="Arial" w:hAnsi="Arial" w:cs="Arial"/>
          <w:sz w:val="24"/>
          <w:szCs w:val="22"/>
        </w:rPr>
        <w:t xml:space="preserve"> CP).</w:t>
      </w:r>
    </w:p>
    <w:p w:rsidR="00350C7A" w:rsidRPr="00FE6F62" w:rsidRDefault="00350C7A" w:rsidP="00350C7A">
      <w:pPr>
        <w:spacing w:line="360" w:lineRule="auto"/>
        <w:jc w:val="both"/>
        <w:rPr>
          <w:rFonts w:ascii="Arial" w:hAnsi="Arial" w:cs="Arial"/>
          <w:sz w:val="26"/>
          <w:szCs w:val="26"/>
          <w:lang w:val="es-CO"/>
        </w:rPr>
      </w:pPr>
    </w:p>
    <w:p w:rsidR="00350C7A" w:rsidRDefault="00350C7A" w:rsidP="00350C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i/>
          <w:sz w:val="24"/>
          <w:szCs w:val="22"/>
        </w:rPr>
      </w:pPr>
      <w:r w:rsidRPr="00672632">
        <w:rPr>
          <w:rFonts w:ascii="Arial" w:hAnsi="Arial" w:cs="Arial"/>
          <w:sz w:val="24"/>
          <w:szCs w:val="22"/>
        </w:rPr>
        <w:t xml:space="preserve">El régimen establecido por </w:t>
      </w:r>
      <w:r>
        <w:rPr>
          <w:rFonts w:ascii="Arial" w:hAnsi="Arial" w:cs="Arial"/>
          <w:sz w:val="24"/>
          <w:szCs w:val="22"/>
        </w:rPr>
        <w:t xml:space="preserve">la </w:t>
      </w:r>
      <w:r w:rsidRPr="00672632">
        <w:rPr>
          <w:rFonts w:ascii="Arial" w:hAnsi="Arial" w:cs="Arial"/>
          <w:sz w:val="24"/>
          <w:szCs w:val="22"/>
        </w:rPr>
        <w:t>Codificación Ritual Civil</w:t>
      </w:r>
      <w:r>
        <w:rPr>
          <w:rFonts w:ascii="Arial" w:hAnsi="Arial" w:cs="Arial"/>
          <w:sz w:val="24"/>
          <w:szCs w:val="22"/>
        </w:rPr>
        <w:t xml:space="preserve">, </w:t>
      </w:r>
      <w:r w:rsidR="001902A0">
        <w:rPr>
          <w:rFonts w:ascii="Arial" w:hAnsi="Arial" w:cs="Arial"/>
          <w:sz w:val="24"/>
          <w:szCs w:val="22"/>
        </w:rPr>
        <w:t>está</w:t>
      </w:r>
      <w:r w:rsidRPr="00672632">
        <w:rPr>
          <w:rFonts w:ascii="Arial" w:hAnsi="Arial" w:cs="Arial"/>
          <w:sz w:val="24"/>
          <w:szCs w:val="22"/>
        </w:rPr>
        <w:t xml:space="preserve"> informa</w:t>
      </w:r>
      <w:r>
        <w:rPr>
          <w:rFonts w:ascii="Arial" w:hAnsi="Arial" w:cs="Arial"/>
          <w:sz w:val="24"/>
          <w:szCs w:val="22"/>
        </w:rPr>
        <w:t>do</w:t>
      </w:r>
      <w:r w:rsidRPr="00672632">
        <w:rPr>
          <w:rFonts w:ascii="Arial" w:hAnsi="Arial" w:cs="Arial"/>
          <w:sz w:val="24"/>
          <w:szCs w:val="22"/>
        </w:rPr>
        <w:t xml:space="preserve"> por el principio de la </w:t>
      </w:r>
      <w:proofErr w:type="spellStart"/>
      <w:r w:rsidRPr="00672632">
        <w:rPr>
          <w:rFonts w:ascii="Arial" w:hAnsi="Arial" w:cs="Arial"/>
          <w:sz w:val="24"/>
          <w:szCs w:val="22"/>
        </w:rPr>
        <w:t>taxatividad</w:t>
      </w:r>
      <w:proofErr w:type="spellEnd"/>
      <w:r w:rsidRPr="00672632">
        <w:rPr>
          <w:rFonts w:ascii="Arial" w:hAnsi="Arial" w:cs="Arial"/>
          <w:sz w:val="24"/>
          <w:szCs w:val="22"/>
        </w:rPr>
        <w:t xml:space="preserve"> o especificidad, por cuya razón las causales de anulación, única y exclusivamente son las estipuladas en los artículos 140 y 141 CPC</w:t>
      </w:r>
      <w:r>
        <w:rPr>
          <w:rFonts w:ascii="Arial" w:hAnsi="Arial" w:cs="Arial"/>
          <w:sz w:val="24"/>
          <w:szCs w:val="22"/>
        </w:rPr>
        <w:t xml:space="preserve">, </w:t>
      </w:r>
      <w:r w:rsidRPr="00153364">
        <w:rPr>
          <w:rFonts w:ascii="Arial" w:hAnsi="Arial" w:cs="Arial"/>
          <w:sz w:val="24"/>
          <w:szCs w:val="22"/>
        </w:rPr>
        <w:t>estatuto aplicable</w:t>
      </w:r>
      <w:r>
        <w:rPr>
          <w:rFonts w:ascii="Arial" w:hAnsi="Arial" w:cs="Arial"/>
          <w:sz w:val="24"/>
          <w:szCs w:val="22"/>
        </w:rPr>
        <w:t>,</w:t>
      </w:r>
      <w:r w:rsidRPr="00153364">
        <w:rPr>
          <w:rFonts w:ascii="Arial" w:hAnsi="Arial" w:cs="Arial"/>
          <w:sz w:val="24"/>
          <w:szCs w:val="22"/>
        </w:rPr>
        <w:t xml:space="preserve"> </w:t>
      </w:r>
      <w:r>
        <w:rPr>
          <w:rFonts w:ascii="Arial" w:hAnsi="Arial" w:cs="Arial"/>
          <w:sz w:val="24"/>
          <w:szCs w:val="22"/>
        </w:rPr>
        <w:t xml:space="preserve">dado que el trámite se procuró con CPC, por cuanto inició antes de la vigencia del CGP y aún no </w:t>
      </w:r>
      <w:r w:rsidR="001902A0">
        <w:rPr>
          <w:rFonts w:ascii="Arial" w:hAnsi="Arial" w:cs="Arial"/>
          <w:sz w:val="24"/>
          <w:szCs w:val="22"/>
        </w:rPr>
        <w:t xml:space="preserve">se </w:t>
      </w:r>
      <w:r>
        <w:rPr>
          <w:rFonts w:ascii="Arial" w:hAnsi="Arial" w:cs="Arial"/>
          <w:sz w:val="24"/>
          <w:szCs w:val="22"/>
        </w:rPr>
        <w:t>había surtido el tránsito de legislación (</w:t>
      </w:r>
      <w:r w:rsidRPr="00153364">
        <w:rPr>
          <w:rFonts w:ascii="Arial" w:hAnsi="Arial" w:cs="Arial"/>
          <w:sz w:val="24"/>
          <w:szCs w:val="22"/>
        </w:rPr>
        <w:t>Artículo 625</w:t>
      </w:r>
      <w:r w:rsidR="001902A0">
        <w:rPr>
          <w:rFonts w:ascii="Arial" w:hAnsi="Arial" w:cs="Arial"/>
          <w:sz w:val="24"/>
          <w:szCs w:val="22"/>
        </w:rPr>
        <w:t>, CGP</w:t>
      </w:r>
      <w:r>
        <w:rPr>
          <w:rFonts w:ascii="Arial" w:hAnsi="Arial" w:cs="Arial"/>
          <w:sz w:val="24"/>
          <w:szCs w:val="22"/>
        </w:rPr>
        <w:t>)</w:t>
      </w:r>
      <w:r w:rsidRPr="00672632">
        <w:rPr>
          <w:rFonts w:ascii="Arial" w:hAnsi="Arial" w:cs="Arial"/>
          <w:sz w:val="24"/>
          <w:szCs w:val="22"/>
        </w:rPr>
        <w:t>.</w:t>
      </w:r>
      <w:r w:rsidRPr="00672632">
        <w:rPr>
          <w:rFonts w:ascii="Arial" w:hAnsi="Arial" w:cs="Arial"/>
          <w:i/>
          <w:sz w:val="24"/>
          <w:szCs w:val="22"/>
        </w:rPr>
        <w:t xml:space="preserve"> </w:t>
      </w:r>
      <w:r>
        <w:rPr>
          <w:rFonts w:ascii="Arial" w:hAnsi="Arial" w:cs="Arial"/>
          <w:i/>
          <w:sz w:val="24"/>
          <w:szCs w:val="22"/>
        </w:rPr>
        <w:t xml:space="preserve"> </w:t>
      </w:r>
    </w:p>
    <w:p w:rsidR="00647818" w:rsidRDefault="00647818" w:rsidP="006478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p>
    <w:p w:rsidR="00350C7A" w:rsidRPr="00350C7A" w:rsidRDefault="00647818" w:rsidP="00350C7A">
      <w:pPr>
        <w:spacing w:line="360" w:lineRule="auto"/>
        <w:jc w:val="both"/>
        <w:rPr>
          <w:rFonts w:ascii="Arial" w:hAnsi="Arial" w:cs="Arial"/>
          <w:sz w:val="24"/>
          <w:szCs w:val="22"/>
        </w:rPr>
      </w:pPr>
      <w:r w:rsidRPr="00350C7A">
        <w:rPr>
          <w:rFonts w:ascii="Arial" w:hAnsi="Arial" w:cs="Arial"/>
          <w:sz w:val="24"/>
          <w:szCs w:val="22"/>
        </w:rPr>
        <w:t xml:space="preserve">En efecto, respecto a la </w:t>
      </w:r>
      <w:proofErr w:type="spellStart"/>
      <w:r w:rsidRPr="00350C7A">
        <w:rPr>
          <w:rFonts w:ascii="Arial" w:hAnsi="Arial" w:cs="Arial"/>
          <w:sz w:val="24"/>
          <w:szCs w:val="22"/>
        </w:rPr>
        <w:t>taxatividad</w:t>
      </w:r>
      <w:proofErr w:type="spellEnd"/>
      <w:r w:rsidRPr="00350C7A">
        <w:rPr>
          <w:rFonts w:ascii="Arial" w:hAnsi="Arial" w:cs="Arial"/>
          <w:sz w:val="24"/>
          <w:szCs w:val="22"/>
        </w:rPr>
        <w:t>, puede consultarse la doctrina de los profesores López Blanco</w:t>
      </w:r>
      <w:r w:rsidR="001902A0">
        <w:rPr>
          <w:rStyle w:val="Appelnotedebasdep"/>
          <w:rFonts w:ascii="Arial" w:hAnsi="Arial"/>
          <w:sz w:val="24"/>
          <w:szCs w:val="22"/>
        </w:rPr>
        <w:footnoteReference w:id="1"/>
      </w:r>
      <w:r w:rsidRPr="00350C7A">
        <w:rPr>
          <w:rFonts w:ascii="Arial" w:hAnsi="Arial" w:cs="Arial"/>
          <w:sz w:val="24"/>
          <w:szCs w:val="22"/>
        </w:rPr>
        <w:t xml:space="preserve"> y Sanabria Santos</w:t>
      </w:r>
      <w:r w:rsidR="001902A0">
        <w:rPr>
          <w:rStyle w:val="Appelnotedebasdep"/>
          <w:rFonts w:ascii="Arial" w:hAnsi="Arial"/>
          <w:sz w:val="24"/>
          <w:szCs w:val="22"/>
        </w:rPr>
        <w:footnoteReference w:id="2"/>
      </w:r>
      <w:r w:rsidRPr="00350C7A">
        <w:rPr>
          <w:rFonts w:ascii="Arial" w:hAnsi="Arial" w:cs="Arial"/>
          <w:sz w:val="24"/>
          <w:szCs w:val="22"/>
        </w:rPr>
        <w:t xml:space="preserve">. </w:t>
      </w:r>
      <w:r w:rsidRPr="00672632">
        <w:rPr>
          <w:rFonts w:ascii="Arial" w:hAnsi="Arial" w:cs="Arial"/>
          <w:sz w:val="24"/>
          <w:szCs w:val="22"/>
        </w:rPr>
        <w:t>Otros principios</w:t>
      </w:r>
      <w:r>
        <w:rPr>
          <w:rFonts w:ascii="Arial" w:hAnsi="Arial" w:cs="Arial"/>
          <w:sz w:val="24"/>
          <w:szCs w:val="22"/>
        </w:rPr>
        <w:t xml:space="preserve"> </w:t>
      </w:r>
      <w:r w:rsidRPr="00672632">
        <w:rPr>
          <w:rFonts w:ascii="Arial" w:hAnsi="Arial" w:cs="Arial"/>
          <w:sz w:val="24"/>
          <w:szCs w:val="22"/>
        </w:rPr>
        <w:t xml:space="preserve">de igual entidad, que permean la figura en comento, </w:t>
      </w:r>
      <w:r w:rsidRPr="00350C7A">
        <w:rPr>
          <w:rFonts w:ascii="Arial" w:hAnsi="Arial" w:cs="Arial"/>
          <w:sz w:val="24"/>
          <w:szCs w:val="22"/>
        </w:rPr>
        <w:t xml:space="preserve">son el de preclusión, protección, convalidación, </w:t>
      </w:r>
      <w:r w:rsidR="00350C7A" w:rsidRPr="00350C7A">
        <w:rPr>
          <w:rFonts w:ascii="Arial" w:hAnsi="Arial" w:cs="Arial"/>
          <w:sz w:val="24"/>
          <w:szCs w:val="22"/>
        </w:rPr>
        <w:t>trascendencia y legitimación para invocarla, así lo reconoce la CSJ</w:t>
      </w:r>
      <w:r w:rsidR="00350C7A">
        <w:rPr>
          <w:rStyle w:val="Appelnotedebasdep"/>
          <w:rFonts w:ascii="Arial" w:hAnsi="Arial"/>
          <w:sz w:val="24"/>
          <w:szCs w:val="22"/>
        </w:rPr>
        <w:footnoteReference w:id="3"/>
      </w:r>
      <w:r w:rsidR="00350C7A">
        <w:rPr>
          <w:rFonts w:ascii="Arial" w:hAnsi="Arial" w:cs="Arial"/>
          <w:sz w:val="24"/>
          <w:szCs w:val="22"/>
        </w:rPr>
        <w:t>.</w:t>
      </w:r>
      <w:r w:rsidR="00350C7A" w:rsidRPr="00350C7A">
        <w:rPr>
          <w:rFonts w:ascii="Arial" w:hAnsi="Arial" w:cs="Arial"/>
          <w:sz w:val="24"/>
          <w:szCs w:val="22"/>
        </w:rPr>
        <w:t xml:space="preserve"> </w:t>
      </w:r>
    </w:p>
    <w:p w:rsidR="00647818" w:rsidRPr="00672632" w:rsidRDefault="00647818" w:rsidP="00582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p>
    <w:p w:rsidR="00B704FA" w:rsidRDefault="00B704FA" w:rsidP="00B704FA">
      <w:pPr>
        <w:tabs>
          <w:tab w:val="left" w:pos="-720"/>
        </w:tabs>
        <w:suppressAutoHyphens/>
        <w:spacing w:line="360" w:lineRule="auto"/>
        <w:jc w:val="both"/>
        <w:rPr>
          <w:rFonts w:ascii="Arial" w:hAnsi="Arial" w:cs="Arial"/>
          <w:sz w:val="24"/>
          <w:szCs w:val="24"/>
        </w:rPr>
      </w:pPr>
      <w:r w:rsidRPr="00A22738">
        <w:rPr>
          <w:rFonts w:ascii="Arial" w:hAnsi="Arial" w:cs="Arial"/>
          <w:sz w:val="24"/>
        </w:rPr>
        <w:t>La</w:t>
      </w:r>
      <w:r w:rsidR="00566F65">
        <w:rPr>
          <w:rFonts w:ascii="Arial" w:hAnsi="Arial" w:cs="Arial"/>
          <w:sz w:val="24"/>
        </w:rPr>
        <w:t>s</w:t>
      </w:r>
      <w:r w:rsidRPr="00A22738">
        <w:rPr>
          <w:rFonts w:ascii="Arial" w:hAnsi="Arial" w:cs="Arial"/>
          <w:sz w:val="24"/>
        </w:rPr>
        <w:t xml:space="preserve"> sentencia</w:t>
      </w:r>
      <w:r w:rsidR="00566F65">
        <w:rPr>
          <w:rFonts w:ascii="Arial" w:hAnsi="Arial" w:cs="Arial"/>
          <w:sz w:val="24"/>
        </w:rPr>
        <w:t>s</w:t>
      </w:r>
      <w:r w:rsidRPr="00A22738">
        <w:rPr>
          <w:rFonts w:ascii="Arial" w:hAnsi="Arial" w:cs="Arial"/>
          <w:sz w:val="24"/>
        </w:rPr>
        <w:t xml:space="preserve"> C-491 de 1995 </w:t>
      </w:r>
      <w:r w:rsidR="00566F65">
        <w:rPr>
          <w:rFonts w:ascii="Arial" w:hAnsi="Arial" w:cs="Arial"/>
          <w:sz w:val="24"/>
        </w:rPr>
        <w:t>y C-217 de 1996</w:t>
      </w:r>
      <w:r w:rsidRPr="00A22738">
        <w:rPr>
          <w:rFonts w:ascii="Arial" w:hAnsi="Arial" w:cs="Arial"/>
          <w:sz w:val="24"/>
        </w:rPr>
        <w:t xml:space="preserve">, </w:t>
      </w:r>
      <w:r w:rsidR="001902A0">
        <w:rPr>
          <w:rFonts w:ascii="Arial" w:hAnsi="Arial" w:cs="Arial"/>
          <w:sz w:val="24"/>
        </w:rPr>
        <w:t xml:space="preserve">agregaron </w:t>
      </w:r>
      <w:r w:rsidRPr="00A22738">
        <w:rPr>
          <w:rFonts w:ascii="Arial" w:hAnsi="Arial" w:cs="Arial"/>
          <w:sz w:val="24"/>
        </w:rPr>
        <w:t>otra causal, en los siguientes términos:</w:t>
      </w:r>
      <w:r w:rsidRPr="007355B9">
        <w:rPr>
          <w:rFonts w:ascii="Arial" w:hAnsi="Arial" w:cs="Arial"/>
        </w:rPr>
        <w:t xml:space="preserve"> </w:t>
      </w:r>
      <w:r w:rsidRPr="00A22738">
        <w:rPr>
          <w:rFonts w:ascii="Arial" w:hAnsi="Arial" w:cs="Arial"/>
          <w:i/>
          <w:sz w:val="22"/>
        </w:rPr>
        <w:t>“Además de dichas causales legales de nulidad es viable y puede ser invocada la consagrada en el artículo 29 de la Constitución, según el cual es nula, de pleno derecho, la prueba obtenida con violación del debido proceso, (...)”.</w:t>
      </w:r>
    </w:p>
    <w:p w:rsidR="00B704FA" w:rsidRDefault="00B704FA" w:rsidP="00AB6D90">
      <w:pPr>
        <w:tabs>
          <w:tab w:val="left" w:pos="-720"/>
        </w:tabs>
        <w:suppressAutoHyphens/>
        <w:spacing w:line="360" w:lineRule="auto"/>
        <w:jc w:val="both"/>
        <w:rPr>
          <w:rFonts w:ascii="Arial" w:hAnsi="Arial" w:cs="Arial"/>
          <w:sz w:val="24"/>
          <w:szCs w:val="24"/>
        </w:rPr>
      </w:pPr>
    </w:p>
    <w:p w:rsidR="008247CC" w:rsidRDefault="008247CC" w:rsidP="008247CC">
      <w:pPr>
        <w:pStyle w:val="Sansinterligne"/>
        <w:widowControl/>
        <w:numPr>
          <w:ilvl w:val="1"/>
          <w:numId w:val="1"/>
        </w:numPr>
        <w:autoSpaceDE/>
        <w:autoSpaceDN/>
        <w:adjustRightInd/>
        <w:spacing w:line="360" w:lineRule="auto"/>
        <w:jc w:val="both"/>
        <w:rPr>
          <w:rFonts w:ascii="Arial" w:hAnsi="Arial" w:cs="Arial"/>
          <w:smallCaps/>
        </w:rPr>
      </w:pPr>
      <w:r w:rsidRPr="00350C7A">
        <w:rPr>
          <w:rFonts w:ascii="Arial" w:hAnsi="Arial" w:cs="Arial"/>
          <w:smallCaps/>
        </w:rPr>
        <w:t>Los presupuestos de las nulidades procesales</w:t>
      </w:r>
    </w:p>
    <w:p w:rsidR="00350C7A" w:rsidRPr="00903782" w:rsidRDefault="00350C7A" w:rsidP="00350C7A">
      <w:pPr>
        <w:tabs>
          <w:tab w:val="left" w:pos="-720"/>
        </w:tabs>
        <w:suppressAutoHyphens/>
        <w:spacing w:line="360" w:lineRule="auto"/>
        <w:jc w:val="both"/>
        <w:rPr>
          <w:rFonts w:ascii="Arial" w:hAnsi="Arial" w:cs="Arial"/>
          <w:sz w:val="24"/>
          <w:szCs w:val="24"/>
          <w:lang w:val="es-MX"/>
        </w:rPr>
      </w:pPr>
      <w:r w:rsidRPr="007A7757">
        <w:rPr>
          <w:rFonts w:ascii="Arial" w:hAnsi="Arial" w:cs="Arial"/>
          <w:sz w:val="24"/>
        </w:rPr>
        <w:t xml:space="preserve">Consisten en la concurrencia de legitimación, falta de saneamiento y oportunidad para proponerlas (Artículos 142, 143 y 144 del CPC); verificado el cumplimiento de tales requisitos se abre paso el análisis de la respectiva causal.  En este caso, se hace el pronunciamiento de oficio, conforme autoriza el artículo 145 ibídem, por ello hay habilitación legal para declararla, amén de que es tempestivo hacerlo. Empero ser la causal </w:t>
      </w:r>
      <w:proofErr w:type="spellStart"/>
      <w:r w:rsidRPr="007A7757">
        <w:rPr>
          <w:rFonts w:ascii="Arial" w:hAnsi="Arial" w:cs="Arial"/>
          <w:sz w:val="24"/>
        </w:rPr>
        <w:t>saneable</w:t>
      </w:r>
      <w:proofErr w:type="spellEnd"/>
      <w:r>
        <w:rPr>
          <w:rFonts w:ascii="Arial" w:hAnsi="Arial" w:cs="Arial"/>
          <w:sz w:val="24"/>
        </w:rPr>
        <w:t xml:space="preserve"> </w:t>
      </w:r>
      <w:r>
        <w:rPr>
          <w:rFonts w:ascii="Arial" w:hAnsi="Arial" w:cs="Arial"/>
          <w:sz w:val="24"/>
          <w:szCs w:val="24"/>
          <w:lang w:val="es-MX"/>
        </w:rPr>
        <w:t>(Artículo 144, ordina</w:t>
      </w:r>
      <w:r w:rsidRPr="00903782">
        <w:rPr>
          <w:rFonts w:ascii="Arial" w:hAnsi="Arial" w:cs="Arial"/>
          <w:sz w:val="24"/>
          <w:szCs w:val="24"/>
        </w:rPr>
        <w:t>l 3°</w:t>
      </w:r>
      <w:r>
        <w:rPr>
          <w:rFonts w:ascii="Arial" w:hAnsi="Arial" w:cs="Arial"/>
          <w:sz w:val="24"/>
          <w:szCs w:val="24"/>
        </w:rPr>
        <w:t xml:space="preserve">, </w:t>
      </w:r>
      <w:proofErr w:type="spellStart"/>
      <w:r>
        <w:rPr>
          <w:rFonts w:ascii="Arial" w:hAnsi="Arial" w:cs="Arial"/>
          <w:sz w:val="24"/>
          <w:szCs w:val="24"/>
        </w:rPr>
        <w:t>CPC</w:t>
      </w:r>
      <w:proofErr w:type="spellEnd"/>
      <w:r>
        <w:rPr>
          <w:rFonts w:ascii="Arial" w:hAnsi="Arial" w:cs="Arial"/>
          <w:sz w:val="24"/>
          <w:szCs w:val="24"/>
        </w:rPr>
        <w:t>)</w:t>
      </w:r>
      <w:r w:rsidRPr="007A7757">
        <w:rPr>
          <w:rFonts w:ascii="Arial" w:hAnsi="Arial" w:cs="Arial"/>
          <w:sz w:val="24"/>
        </w:rPr>
        <w:t>, ante la ausencia de la parte, representada por curador</w:t>
      </w:r>
      <w:r w:rsidRPr="003E1A30">
        <w:rPr>
          <w:rFonts w:ascii="Arial" w:hAnsi="Arial" w:cs="Arial"/>
          <w:i/>
          <w:sz w:val="24"/>
          <w:szCs w:val="24"/>
        </w:rPr>
        <w:t xml:space="preserve"> </w:t>
      </w:r>
      <w:r w:rsidRPr="00903782">
        <w:rPr>
          <w:rFonts w:ascii="Arial" w:hAnsi="Arial" w:cs="Arial"/>
          <w:i/>
          <w:sz w:val="24"/>
          <w:szCs w:val="24"/>
        </w:rPr>
        <w:t xml:space="preserve">ad </w:t>
      </w:r>
      <w:proofErr w:type="spellStart"/>
      <w:r w:rsidRPr="00903782">
        <w:rPr>
          <w:rFonts w:ascii="Arial" w:hAnsi="Arial" w:cs="Arial"/>
          <w:i/>
          <w:sz w:val="24"/>
          <w:szCs w:val="24"/>
        </w:rPr>
        <w:t>litem</w:t>
      </w:r>
      <w:proofErr w:type="spellEnd"/>
      <w:r w:rsidRPr="00903782">
        <w:rPr>
          <w:rFonts w:ascii="Arial" w:hAnsi="Arial" w:cs="Arial"/>
          <w:sz w:val="24"/>
          <w:szCs w:val="24"/>
        </w:rPr>
        <w:t>, que carec</w:t>
      </w:r>
      <w:r>
        <w:rPr>
          <w:rFonts w:ascii="Arial" w:hAnsi="Arial" w:cs="Arial"/>
          <w:sz w:val="24"/>
          <w:szCs w:val="24"/>
        </w:rPr>
        <w:t xml:space="preserve">e </w:t>
      </w:r>
      <w:r w:rsidRPr="00903782">
        <w:rPr>
          <w:rFonts w:ascii="Arial" w:hAnsi="Arial" w:cs="Arial"/>
          <w:sz w:val="24"/>
          <w:szCs w:val="24"/>
        </w:rPr>
        <w:t>de toda facultad para convalidar la actuación, debe remediarse</w:t>
      </w:r>
      <w:r w:rsidRPr="00903782">
        <w:rPr>
          <w:rFonts w:ascii="Arial" w:hAnsi="Arial" w:cs="Arial"/>
          <w:sz w:val="24"/>
          <w:szCs w:val="24"/>
          <w:lang w:val="es-MX"/>
        </w:rPr>
        <w:t xml:space="preserve"> bajo la declaración de nulidad. </w:t>
      </w:r>
    </w:p>
    <w:p w:rsidR="008247CC" w:rsidRDefault="008247CC" w:rsidP="00AB6D90">
      <w:pPr>
        <w:tabs>
          <w:tab w:val="left" w:pos="-720"/>
        </w:tabs>
        <w:suppressAutoHyphens/>
        <w:spacing w:line="360" w:lineRule="auto"/>
        <w:jc w:val="both"/>
        <w:rPr>
          <w:rFonts w:ascii="Arial" w:hAnsi="Arial" w:cs="Arial"/>
          <w:sz w:val="24"/>
          <w:szCs w:val="24"/>
          <w:lang w:val="es-MX"/>
        </w:rPr>
      </w:pPr>
    </w:p>
    <w:p w:rsidR="00350C7A" w:rsidRPr="00350C7A" w:rsidRDefault="00350C7A" w:rsidP="00350C7A">
      <w:pPr>
        <w:pStyle w:val="Paragraphedeliste"/>
        <w:numPr>
          <w:ilvl w:val="1"/>
          <w:numId w:val="1"/>
        </w:numPr>
        <w:tabs>
          <w:tab w:val="left" w:pos="-720"/>
        </w:tabs>
        <w:suppressAutoHyphens/>
        <w:spacing w:line="360" w:lineRule="auto"/>
        <w:jc w:val="both"/>
        <w:rPr>
          <w:rFonts w:ascii="Arial" w:hAnsi="Arial" w:cs="Arial"/>
          <w:smallCaps/>
          <w:spacing w:val="-3"/>
          <w:sz w:val="24"/>
          <w:szCs w:val="24"/>
          <w:lang w:val="es-MX"/>
        </w:rPr>
      </w:pPr>
      <w:r w:rsidRPr="00350C7A">
        <w:rPr>
          <w:rFonts w:ascii="Arial" w:hAnsi="Arial" w:cs="Arial"/>
          <w:smallCaps/>
          <w:spacing w:val="-3"/>
          <w:sz w:val="24"/>
          <w:szCs w:val="24"/>
          <w:lang w:val="es-MX"/>
        </w:rPr>
        <w:t xml:space="preserve">El indebido emplazamiento de </w:t>
      </w:r>
      <w:r>
        <w:rPr>
          <w:rFonts w:ascii="Arial" w:hAnsi="Arial" w:cs="Arial"/>
          <w:smallCaps/>
          <w:spacing w:val="-3"/>
          <w:sz w:val="24"/>
          <w:szCs w:val="24"/>
          <w:lang w:val="es-MX"/>
        </w:rPr>
        <w:t>las partes ejecutadas</w:t>
      </w:r>
      <w:r w:rsidRPr="00350C7A">
        <w:rPr>
          <w:rFonts w:ascii="Arial" w:hAnsi="Arial" w:cs="Arial"/>
          <w:smallCaps/>
          <w:spacing w:val="-3"/>
          <w:sz w:val="24"/>
          <w:szCs w:val="24"/>
          <w:lang w:val="es-MX"/>
        </w:rPr>
        <w:t xml:space="preserve"> </w:t>
      </w:r>
    </w:p>
    <w:p w:rsidR="00350C7A" w:rsidRDefault="00350C7A" w:rsidP="00350C7A">
      <w:pPr>
        <w:tabs>
          <w:tab w:val="left" w:pos="-720"/>
        </w:tabs>
        <w:suppressAutoHyphens/>
        <w:spacing w:line="360" w:lineRule="auto"/>
        <w:jc w:val="both"/>
        <w:rPr>
          <w:rFonts w:ascii="Arial" w:hAnsi="Arial" w:cs="Arial"/>
          <w:spacing w:val="-3"/>
          <w:sz w:val="24"/>
          <w:szCs w:val="24"/>
        </w:rPr>
      </w:pPr>
    </w:p>
    <w:p w:rsidR="00350C7A" w:rsidRDefault="00350C7A" w:rsidP="00350C7A">
      <w:pPr>
        <w:spacing w:line="360" w:lineRule="auto"/>
        <w:ind w:right="51"/>
        <w:jc w:val="both"/>
        <w:rPr>
          <w:rFonts w:ascii="Arial" w:hAnsi="Arial" w:cs="Arial"/>
          <w:sz w:val="24"/>
          <w:szCs w:val="24"/>
          <w:lang w:val="es-MX"/>
        </w:rPr>
      </w:pPr>
      <w:r>
        <w:rPr>
          <w:rFonts w:ascii="Arial" w:hAnsi="Arial" w:cs="Arial"/>
          <w:sz w:val="24"/>
          <w:szCs w:val="24"/>
          <w:lang w:val="es-MX"/>
        </w:rPr>
        <w:t xml:space="preserve">El emplazamiento de una persona determinada ha de verificar los requisitos estatuidos en el artículo 318 del CPC, a saber: (i) El nombre del emplazado; (ii) </w:t>
      </w:r>
      <w:r w:rsidRPr="00350C7A">
        <w:rPr>
          <w:rFonts w:ascii="Arial" w:hAnsi="Arial" w:cs="Arial"/>
          <w:sz w:val="24"/>
          <w:szCs w:val="24"/>
          <w:u w:val="single"/>
          <w:lang w:val="es-MX"/>
        </w:rPr>
        <w:t>Las partes del proceso</w:t>
      </w:r>
      <w:r>
        <w:rPr>
          <w:rFonts w:ascii="Arial" w:hAnsi="Arial" w:cs="Arial"/>
          <w:sz w:val="24"/>
          <w:szCs w:val="24"/>
          <w:lang w:val="es-MX"/>
        </w:rPr>
        <w:t xml:space="preserve">; y, (iii) La naturaleza del asunto o el juzgado que lo </w:t>
      </w:r>
      <w:r w:rsidRPr="00146704">
        <w:rPr>
          <w:rFonts w:ascii="Arial" w:hAnsi="Arial" w:cs="Arial"/>
          <w:sz w:val="24"/>
          <w:szCs w:val="24"/>
          <w:lang w:val="es-MX"/>
        </w:rPr>
        <w:t>requiere</w:t>
      </w:r>
      <w:r>
        <w:rPr>
          <w:rFonts w:ascii="Arial" w:hAnsi="Arial" w:cs="Arial"/>
          <w:sz w:val="24"/>
          <w:szCs w:val="24"/>
          <w:lang w:val="es-MX"/>
        </w:rPr>
        <w:t xml:space="preserve">, </w:t>
      </w:r>
      <w:r w:rsidRPr="00146704">
        <w:rPr>
          <w:rFonts w:ascii="Arial" w:hAnsi="Arial" w:cs="Arial"/>
          <w:sz w:val="24"/>
          <w:szCs w:val="24"/>
          <w:lang w:val="es-MX"/>
        </w:rPr>
        <w:t xml:space="preserve">edicto </w:t>
      </w:r>
      <w:r>
        <w:rPr>
          <w:rFonts w:ascii="Arial" w:hAnsi="Arial" w:cs="Arial"/>
          <w:sz w:val="24"/>
          <w:szCs w:val="24"/>
          <w:lang w:val="es-MX"/>
        </w:rPr>
        <w:t xml:space="preserve">que </w:t>
      </w:r>
      <w:r w:rsidRPr="00146704">
        <w:rPr>
          <w:rFonts w:ascii="Arial" w:hAnsi="Arial" w:cs="Arial"/>
          <w:sz w:val="24"/>
          <w:szCs w:val="24"/>
          <w:lang w:val="es-MX"/>
        </w:rPr>
        <w:t>debe publicarse</w:t>
      </w:r>
      <w:r>
        <w:rPr>
          <w:rFonts w:ascii="Arial" w:hAnsi="Arial" w:cs="Arial"/>
          <w:sz w:val="24"/>
          <w:szCs w:val="24"/>
          <w:lang w:val="es-MX"/>
        </w:rPr>
        <w:t xml:space="preserve"> por una sola vez, en un diario de amplia circulación nacional en día domingo, a criterio del juez, que postulará al menos dos. Luego de 15 días siguientes a la publicación se entenderá surtido. El incumplimiento de alguno de estos supuestos, genera nulidad.</w:t>
      </w:r>
    </w:p>
    <w:p w:rsidR="00350C7A" w:rsidRDefault="00350C7A" w:rsidP="00350C7A">
      <w:pPr>
        <w:tabs>
          <w:tab w:val="left" w:pos="-720"/>
        </w:tabs>
        <w:suppressAutoHyphens/>
        <w:spacing w:line="360" w:lineRule="auto"/>
        <w:jc w:val="both"/>
        <w:rPr>
          <w:rFonts w:ascii="Arial" w:hAnsi="Arial" w:cs="Arial"/>
          <w:spacing w:val="-3"/>
          <w:sz w:val="24"/>
          <w:szCs w:val="24"/>
          <w:lang w:val="es-MX"/>
        </w:rPr>
      </w:pPr>
    </w:p>
    <w:p w:rsidR="004A4D2E" w:rsidRDefault="004972C9" w:rsidP="004A4D2E">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 xml:space="preserve">Y </w:t>
      </w:r>
      <w:r w:rsidR="00E17AE8">
        <w:rPr>
          <w:rFonts w:ascii="Arial" w:hAnsi="Arial" w:cs="Arial"/>
          <w:spacing w:val="-3"/>
          <w:sz w:val="24"/>
          <w:szCs w:val="24"/>
        </w:rPr>
        <w:t xml:space="preserve">para el caso </w:t>
      </w:r>
      <w:r>
        <w:rPr>
          <w:rFonts w:ascii="Arial" w:hAnsi="Arial" w:cs="Arial"/>
          <w:spacing w:val="-3"/>
          <w:sz w:val="24"/>
          <w:szCs w:val="24"/>
        </w:rPr>
        <w:t xml:space="preserve">de la parte ejecutada, esa irregularidad encuadra en la regla establecida en el </w:t>
      </w:r>
      <w:r w:rsidR="004A4D2E">
        <w:rPr>
          <w:rFonts w:ascii="Arial" w:hAnsi="Arial" w:cs="Arial"/>
          <w:spacing w:val="-3"/>
          <w:sz w:val="24"/>
          <w:szCs w:val="24"/>
        </w:rPr>
        <w:t>artículo 140-8º</w:t>
      </w:r>
      <w:r w:rsidR="001902A0">
        <w:rPr>
          <w:rFonts w:ascii="Arial" w:hAnsi="Arial" w:cs="Arial"/>
          <w:spacing w:val="-3"/>
          <w:sz w:val="24"/>
          <w:szCs w:val="24"/>
        </w:rPr>
        <w:t>,</w:t>
      </w:r>
      <w:r w:rsidR="004A4D2E">
        <w:rPr>
          <w:rFonts w:ascii="Arial" w:hAnsi="Arial" w:cs="Arial"/>
          <w:spacing w:val="-3"/>
          <w:sz w:val="24"/>
          <w:szCs w:val="24"/>
        </w:rPr>
        <w:t xml:space="preserve"> </w:t>
      </w:r>
      <w:r w:rsidR="001902A0">
        <w:rPr>
          <w:rFonts w:ascii="Arial" w:hAnsi="Arial" w:cs="Arial"/>
          <w:spacing w:val="-3"/>
          <w:sz w:val="24"/>
          <w:szCs w:val="24"/>
        </w:rPr>
        <w:t>ibídem</w:t>
      </w:r>
      <w:r>
        <w:rPr>
          <w:rFonts w:ascii="Arial" w:hAnsi="Arial" w:cs="Arial"/>
          <w:spacing w:val="-3"/>
          <w:sz w:val="24"/>
          <w:szCs w:val="24"/>
        </w:rPr>
        <w:t xml:space="preserve">, pues </w:t>
      </w:r>
      <w:r w:rsidR="004A4D2E">
        <w:rPr>
          <w:rFonts w:ascii="Arial" w:hAnsi="Arial" w:cs="Arial"/>
          <w:spacing w:val="-3"/>
          <w:sz w:val="24"/>
          <w:szCs w:val="24"/>
        </w:rPr>
        <w:t>establece que cuando se pr</w:t>
      </w:r>
      <w:r w:rsidR="001902A0">
        <w:rPr>
          <w:rFonts w:ascii="Arial" w:hAnsi="Arial" w:cs="Arial"/>
          <w:spacing w:val="-3"/>
          <w:sz w:val="24"/>
          <w:szCs w:val="24"/>
        </w:rPr>
        <w:t>a</w:t>
      </w:r>
      <w:r w:rsidR="004A4D2E">
        <w:rPr>
          <w:rFonts w:ascii="Arial" w:hAnsi="Arial" w:cs="Arial"/>
          <w:spacing w:val="-3"/>
          <w:sz w:val="24"/>
          <w:szCs w:val="24"/>
        </w:rPr>
        <w:t>ctica en forma indebida, valga decir no se hace en forma legal, la notificación al demandado</w:t>
      </w:r>
      <w:r>
        <w:rPr>
          <w:rFonts w:ascii="Arial" w:hAnsi="Arial" w:cs="Arial"/>
          <w:spacing w:val="-3"/>
          <w:sz w:val="24"/>
          <w:szCs w:val="24"/>
        </w:rPr>
        <w:t xml:space="preserve"> (O ejecutado)</w:t>
      </w:r>
      <w:r w:rsidR="004A4D2E">
        <w:rPr>
          <w:rFonts w:ascii="Arial" w:hAnsi="Arial" w:cs="Arial"/>
          <w:spacing w:val="-3"/>
          <w:sz w:val="24"/>
          <w:szCs w:val="24"/>
        </w:rPr>
        <w:t xml:space="preserve"> de la providencia que admite la demanda o </w:t>
      </w:r>
      <w:r w:rsidR="004A4D2E" w:rsidRPr="004972C9">
        <w:rPr>
          <w:rFonts w:ascii="Arial" w:hAnsi="Arial" w:cs="Arial"/>
          <w:spacing w:val="-3"/>
          <w:sz w:val="24"/>
          <w:szCs w:val="24"/>
          <w:u w:val="single"/>
        </w:rPr>
        <w:t>libra mandamiento ejecutivo</w:t>
      </w:r>
      <w:r w:rsidR="004A4D2E">
        <w:rPr>
          <w:rFonts w:ascii="Arial" w:hAnsi="Arial" w:cs="Arial"/>
          <w:spacing w:val="-3"/>
          <w:sz w:val="24"/>
          <w:szCs w:val="24"/>
        </w:rPr>
        <w:t xml:space="preserve">, será nula la actuación </w:t>
      </w:r>
      <w:r w:rsidR="004A4D2E">
        <w:rPr>
          <w:rFonts w:ascii="Arial" w:hAnsi="Arial" w:cs="Arial"/>
          <w:spacing w:val="-3"/>
          <w:sz w:val="24"/>
          <w:szCs w:val="24"/>
        </w:rPr>
        <w:lastRenderedPageBreak/>
        <w:t xml:space="preserve">posterior que dependa de dicha providencia, salvo que la parte a quien se dejó de notificar haya actuado sin proponerla (Artículo 144-4º, </w:t>
      </w:r>
      <w:r w:rsidR="001902A0">
        <w:rPr>
          <w:rFonts w:ascii="Arial" w:hAnsi="Arial" w:cs="Arial"/>
          <w:spacing w:val="-3"/>
          <w:sz w:val="24"/>
          <w:szCs w:val="24"/>
        </w:rPr>
        <w:t>ibídem</w:t>
      </w:r>
      <w:r w:rsidR="004A4D2E">
        <w:rPr>
          <w:rFonts w:ascii="Arial" w:hAnsi="Arial" w:cs="Arial"/>
          <w:spacing w:val="-3"/>
          <w:sz w:val="24"/>
          <w:szCs w:val="24"/>
        </w:rPr>
        <w:t>).</w:t>
      </w:r>
    </w:p>
    <w:p w:rsidR="004A4D2E" w:rsidRDefault="004A4D2E" w:rsidP="004A4D2E">
      <w:pPr>
        <w:tabs>
          <w:tab w:val="left" w:pos="-720"/>
        </w:tabs>
        <w:suppressAutoHyphens/>
        <w:spacing w:line="360" w:lineRule="auto"/>
        <w:jc w:val="both"/>
        <w:rPr>
          <w:rFonts w:ascii="Arial" w:hAnsi="Arial" w:cs="Arial"/>
          <w:spacing w:val="-3"/>
          <w:sz w:val="24"/>
          <w:szCs w:val="24"/>
        </w:rPr>
      </w:pPr>
    </w:p>
    <w:p w:rsidR="004A4D2E" w:rsidRDefault="004A4D2E" w:rsidP="004A4D2E">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Este acto de notificación, tiene el carácter de principal, dado que pretende asegurar la debida vinculación del demandado al proceso, con miras a que efectivamente pueda ejercer su derecho de defensa, así lo ha sostenido la jurisprudencia de la CSJ</w:t>
      </w:r>
      <w:r>
        <w:rPr>
          <w:rStyle w:val="Appelnotedebasdep"/>
          <w:rFonts w:ascii="Arial" w:hAnsi="Arial"/>
          <w:spacing w:val="-3"/>
          <w:sz w:val="24"/>
          <w:szCs w:val="24"/>
        </w:rPr>
        <w:footnoteReference w:id="4"/>
      </w:r>
      <w:r>
        <w:rPr>
          <w:rFonts w:ascii="Arial" w:hAnsi="Arial" w:cs="Arial"/>
          <w:spacing w:val="-3"/>
          <w:sz w:val="24"/>
          <w:szCs w:val="24"/>
          <w:vertAlign w:val="superscript"/>
        </w:rPr>
        <w:t>-</w:t>
      </w:r>
      <w:r>
        <w:rPr>
          <w:rStyle w:val="Appelnotedebasdep"/>
          <w:rFonts w:ascii="Arial" w:hAnsi="Arial"/>
          <w:spacing w:val="-3"/>
          <w:sz w:val="24"/>
          <w:szCs w:val="24"/>
        </w:rPr>
        <w:footnoteReference w:id="5"/>
      </w:r>
      <w:r>
        <w:rPr>
          <w:rFonts w:ascii="Arial" w:hAnsi="Arial" w:cs="Arial"/>
          <w:spacing w:val="-3"/>
          <w:sz w:val="24"/>
          <w:szCs w:val="24"/>
        </w:rPr>
        <w:t xml:space="preserve">: </w:t>
      </w:r>
    </w:p>
    <w:p w:rsidR="004A4D2E" w:rsidRDefault="004A4D2E" w:rsidP="004A4D2E">
      <w:pPr>
        <w:tabs>
          <w:tab w:val="left" w:pos="-720"/>
        </w:tabs>
        <w:suppressAutoHyphens/>
        <w:spacing w:line="360" w:lineRule="auto"/>
        <w:jc w:val="both"/>
        <w:rPr>
          <w:rFonts w:ascii="Arial" w:hAnsi="Arial" w:cs="Arial"/>
          <w:spacing w:val="-3"/>
          <w:sz w:val="24"/>
          <w:szCs w:val="24"/>
        </w:rPr>
      </w:pPr>
    </w:p>
    <w:p w:rsidR="004A4D2E" w:rsidRDefault="004A4D2E" w:rsidP="004A4D2E">
      <w:pPr>
        <w:tabs>
          <w:tab w:val="left" w:pos="-720"/>
        </w:tabs>
        <w:suppressAutoHyphens/>
        <w:ind w:left="567" w:right="567"/>
        <w:jc w:val="both"/>
        <w:rPr>
          <w:rFonts w:ascii="Arial" w:hAnsi="Arial" w:cs="Arial"/>
          <w:spacing w:val="-3"/>
          <w:sz w:val="24"/>
          <w:szCs w:val="24"/>
        </w:rPr>
      </w:pPr>
      <w:r>
        <w:rPr>
          <w:rFonts w:ascii="Arial" w:hAnsi="Arial" w:cs="Arial"/>
          <w:i/>
          <w:sz w:val="24"/>
          <w:szCs w:val="22"/>
        </w:rPr>
        <w:t xml:space="preserve">…“la finalidad de la primera notificación en juicio a la parte demandada es la de hacerle saber el contenido de la demanda contra ella entablada, brindándole la oportunidad de proponer la defensa que juzgue más adecuada, de donde se sigue que en esta materia ha de procurarse por todos los medios posibles que de dicha demanda pueda tener conocimiento real y efectivo el enjuiciado, </w:t>
      </w:r>
      <w:r>
        <w:rPr>
          <w:rFonts w:ascii="Arial" w:hAnsi="Arial" w:cs="Arial"/>
          <w:i/>
          <w:sz w:val="24"/>
          <w:szCs w:val="22"/>
          <w:u w:val="single"/>
        </w:rPr>
        <w:t>razón por la cual la ley exige de los funcionarios especial celo en la cumplida utilización de todos los instrumentos previstos, positivamente para alcanzar tal propósito</w:t>
      </w:r>
      <w:r>
        <w:rPr>
          <w:rFonts w:ascii="Arial" w:hAnsi="Arial" w:cs="Arial"/>
          <w:sz w:val="24"/>
          <w:szCs w:val="22"/>
        </w:rPr>
        <w:t xml:space="preserve">”(CSJ SC, sentencia 11 de marzo de 1991). </w:t>
      </w:r>
      <w:r>
        <w:rPr>
          <w:rFonts w:ascii="Arial" w:hAnsi="Arial" w:cs="Arial"/>
          <w:spacing w:val="-3"/>
          <w:sz w:val="24"/>
          <w:szCs w:val="24"/>
        </w:rPr>
        <w:t xml:space="preserve">Bastardilla y </w:t>
      </w:r>
      <w:proofErr w:type="spellStart"/>
      <w:r>
        <w:rPr>
          <w:rFonts w:ascii="Arial" w:hAnsi="Arial" w:cs="Arial"/>
          <w:spacing w:val="-3"/>
          <w:sz w:val="24"/>
          <w:szCs w:val="24"/>
        </w:rPr>
        <w:t>encomillado</w:t>
      </w:r>
      <w:proofErr w:type="spellEnd"/>
      <w:r>
        <w:rPr>
          <w:rFonts w:ascii="Arial" w:hAnsi="Arial" w:cs="Arial"/>
          <w:spacing w:val="-3"/>
          <w:sz w:val="24"/>
          <w:szCs w:val="24"/>
        </w:rPr>
        <w:t xml:space="preserve"> propio del texto. Subrayas de esta Sala.</w:t>
      </w:r>
    </w:p>
    <w:p w:rsidR="00E316D9" w:rsidRPr="004972C9" w:rsidRDefault="002E20D6" w:rsidP="004972C9">
      <w:pPr>
        <w:pStyle w:val="Paragraphedeliste"/>
        <w:numPr>
          <w:ilvl w:val="0"/>
          <w:numId w:val="1"/>
        </w:numPr>
        <w:tabs>
          <w:tab w:val="left" w:pos="-720"/>
        </w:tabs>
        <w:suppressAutoHyphens/>
        <w:spacing w:line="360" w:lineRule="auto"/>
        <w:jc w:val="both"/>
        <w:rPr>
          <w:rFonts w:ascii="Arial" w:hAnsi="Arial" w:cs="Arial"/>
          <w:smallCaps/>
          <w:spacing w:val="-3"/>
          <w:sz w:val="24"/>
          <w:szCs w:val="24"/>
        </w:rPr>
      </w:pPr>
      <w:r w:rsidRPr="004972C9">
        <w:rPr>
          <w:rFonts w:ascii="Arial" w:hAnsi="Arial" w:cs="Arial"/>
          <w:smallCaps/>
          <w:spacing w:val="-3"/>
          <w:sz w:val="24"/>
          <w:szCs w:val="24"/>
        </w:rPr>
        <w:t>El caso concreto que se analiza</w:t>
      </w:r>
    </w:p>
    <w:p w:rsidR="00A81263" w:rsidRDefault="00A81263" w:rsidP="00E316D9">
      <w:pPr>
        <w:tabs>
          <w:tab w:val="left" w:pos="-720"/>
        </w:tabs>
        <w:suppressAutoHyphens/>
        <w:spacing w:line="360" w:lineRule="auto"/>
        <w:jc w:val="both"/>
        <w:rPr>
          <w:rFonts w:ascii="Arial" w:hAnsi="Arial" w:cs="Arial"/>
          <w:spacing w:val="-3"/>
          <w:sz w:val="22"/>
          <w:szCs w:val="22"/>
        </w:rPr>
      </w:pPr>
    </w:p>
    <w:p w:rsidR="005846B6" w:rsidRDefault="004B6BF7" w:rsidP="004B6BF7">
      <w:pPr>
        <w:spacing w:line="360" w:lineRule="auto"/>
        <w:jc w:val="both"/>
        <w:rPr>
          <w:rFonts w:ascii="Arial" w:hAnsi="Arial" w:cs="Arial"/>
          <w:sz w:val="24"/>
          <w:szCs w:val="24"/>
        </w:rPr>
      </w:pPr>
      <w:r w:rsidRPr="005846B6">
        <w:rPr>
          <w:rFonts w:ascii="Arial" w:hAnsi="Arial" w:cs="Arial"/>
          <w:sz w:val="24"/>
          <w:szCs w:val="24"/>
        </w:rPr>
        <w:t xml:space="preserve">Se ordenó </w:t>
      </w:r>
      <w:r w:rsidR="00350C7A" w:rsidRPr="005846B6">
        <w:rPr>
          <w:rFonts w:ascii="Arial" w:hAnsi="Arial" w:cs="Arial"/>
          <w:sz w:val="24"/>
          <w:szCs w:val="24"/>
        </w:rPr>
        <w:t xml:space="preserve">con </w:t>
      </w:r>
      <w:r w:rsidRPr="005846B6">
        <w:rPr>
          <w:rFonts w:ascii="Arial" w:hAnsi="Arial" w:cs="Arial"/>
          <w:sz w:val="24"/>
          <w:szCs w:val="24"/>
        </w:rPr>
        <w:t xml:space="preserve">auto </w:t>
      </w:r>
      <w:r w:rsidR="00350C7A" w:rsidRPr="005846B6">
        <w:rPr>
          <w:rFonts w:ascii="Arial" w:hAnsi="Arial" w:cs="Arial"/>
          <w:sz w:val="24"/>
          <w:szCs w:val="24"/>
        </w:rPr>
        <w:t xml:space="preserve">de 10-12-2015 el </w:t>
      </w:r>
      <w:r w:rsidR="00395E26" w:rsidRPr="005846B6">
        <w:rPr>
          <w:rFonts w:ascii="Arial" w:hAnsi="Arial" w:cs="Arial"/>
          <w:sz w:val="24"/>
          <w:szCs w:val="24"/>
        </w:rPr>
        <w:t>emplaza</w:t>
      </w:r>
      <w:r w:rsidR="00350C7A" w:rsidRPr="005846B6">
        <w:rPr>
          <w:rFonts w:ascii="Arial" w:hAnsi="Arial" w:cs="Arial"/>
          <w:sz w:val="24"/>
          <w:szCs w:val="24"/>
        </w:rPr>
        <w:t>miento</w:t>
      </w:r>
      <w:r w:rsidR="005846B6">
        <w:rPr>
          <w:rFonts w:ascii="Arial" w:hAnsi="Arial" w:cs="Arial"/>
          <w:sz w:val="24"/>
          <w:szCs w:val="24"/>
        </w:rPr>
        <w:t xml:space="preserve"> de la sociedad JCR IMPORTS EU, ejecutada en el proceso, </w:t>
      </w:r>
      <w:r w:rsidR="00395E26" w:rsidRPr="005846B6">
        <w:rPr>
          <w:rFonts w:ascii="Arial" w:hAnsi="Arial" w:cs="Arial"/>
          <w:sz w:val="24"/>
          <w:szCs w:val="24"/>
        </w:rPr>
        <w:t>en los términos del</w:t>
      </w:r>
      <w:r w:rsidR="00395E26">
        <w:rPr>
          <w:rFonts w:ascii="Arial" w:hAnsi="Arial" w:cs="Arial"/>
          <w:sz w:val="24"/>
          <w:szCs w:val="24"/>
        </w:rPr>
        <w:t xml:space="preserve"> artículo </w:t>
      </w:r>
      <w:r w:rsidR="005846B6">
        <w:rPr>
          <w:rFonts w:ascii="Arial" w:hAnsi="Arial" w:cs="Arial"/>
          <w:sz w:val="24"/>
          <w:szCs w:val="24"/>
        </w:rPr>
        <w:t>318</w:t>
      </w:r>
      <w:r w:rsidR="001902A0">
        <w:rPr>
          <w:rFonts w:ascii="Arial" w:hAnsi="Arial" w:cs="Arial"/>
          <w:sz w:val="24"/>
          <w:szCs w:val="24"/>
        </w:rPr>
        <w:t xml:space="preserve">, ibídem </w:t>
      </w:r>
      <w:r w:rsidR="005E5E74">
        <w:rPr>
          <w:rFonts w:ascii="Arial" w:hAnsi="Arial" w:cs="Arial"/>
          <w:sz w:val="24"/>
          <w:szCs w:val="24"/>
        </w:rPr>
        <w:t>(</w:t>
      </w:r>
      <w:r w:rsidR="005846B6">
        <w:rPr>
          <w:rFonts w:ascii="Arial" w:hAnsi="Arial" w:cs="Arial"/>
          <w:sz w:val="24"/>
          <w:szCs w:val="24"/>
        </w:rPr>
        <w:t>F</w:t>
      </w:r>
      <w:r w:rsidR="00371D56">
        <w:rPr>
          <w:rFonts w:ascii="Arial" w:hAnsi="Arial" w:cs="Arial"/>
          <w:sz w:val="24"/>
          <w:szCs w:val="24"/>
        </w:rPr>
        <w:t xml:space="preserve">olio </w:t>
      </w:r>
      <w:r w:rsidR="005846B6">
        <w:rPr>
          <w:rFonts w:ascii="Arial" w:hAnsi="Arial" w:cs="Arial"/>
          <w:sz w:val="24"/>
          <w:szCs w:val="24"/>
        </w:rPr>
        <w:t>43</w:t>
      </w:r>
      <w:r w:rsidR="005E5E74">
        <w:rPr>
          <w:rFonts w:ascii="Arial" w:hAnsi="Arial" w:cs="Arial"/>
          <w:sz w:val="24"/>
          <w:szCs w:val="24"/>
        </w:rPr>
        <w:t xml:space="preserve">, ib.). </w:t>
      </w:r>
    </w:p>
    <w:p w:rsidR="005846B6" w:rsidRDefault="005846B6" w:rsidP="004B6BF7">
      <w:pPr>
        <w:spacing w:line="360" w:lineRule="auto"/>
        <w:jc w:val="both"/>
        <w:rPr>
          <w:rFonts w:ascii="Arial" w:hAnsi="Arial" w:cs="Arial"/>
          <w:sz w:val="24"/>
          <w:szCs w:val="24"/>
        </w:rPr>
      </w:pPr>
    </w:p>
    <w:p w:rsidR="00D60ED4" w:rsidRDefault="007C4788" w:rsidP="004B6BF7">
      <w:pPr>
        <w:spacing w:line="360" w:lineRule="auto"/>
        <w:jc w:val="both"/>
        <w:rPr>
          <w:rFonts w:ascii="Arial" w:hAnsi="Arial" w:cs="Arial"/>
          <w:sz w:val="24"/>
          <w:szCs w:val="24"/>
          <w:lang w:val="es-MX"/>
        </w:rPr>
      </w:pPr>
      <w:r>
        <w:rPr>
          <w:rFonts w:ascii="Arial" w:hAnsi="Arial" w:cs="Arial"/>
          <w:sz w:val="24"/>
          <w:szCs w:val="24"/>
        </w:rPr>
        <w:t>La parte actora, allegó constancia de la publicación que hiciera</w:t>
      </w:r>
      <w:r w:rsidR="005846B6">
        <w:rPr>
          <w:rFonts w:ascii="Arial" w:hAnsi="Arial" w:cs="Arial"/>
          <w:sz w:val="24"/>
          <w:szCs w:val="24"/>
        </w:rPr>
        <w:t xml:space="preserve"> el 20-12-2015, </w:t>
      </w:r>
      <w:r>
        <w:rPr>
          <w:rFonts w:ascii="Arial" w:hAnsi="Arial" w:cs="Arial"/>
          <w:sz w:val="24"/>
          <w:szCs w:val="24"/>
        </w:rPr>
        <w:t>en uno de los medios indicados por la jueza (Folio</w:t>
      </w:r>
      <w:r w:rsidR="005846B6">
        <w:rPr>
          <w:rFonts w:ascii="Arial" w:hAnsi="Arial" w:cs="Arial"/>
          <w:sz w:val="24"/>
          <w:szCs w:val="24"/>
        </w:rPr>
        <w:t xml:space="preserve"> 46</w:t>
      </w:r>
      <w:r>
        <w:rPr>
          <w:rFonts w:ascii="Arial" w:hAnsi="Arial" w:cs="Arial"/>
          <w:sz w:val="24"/>
          <w:szCs w:val="24"/>
        </w:rPr>
        <w:t xml:space="preserve">, ib.) y luego sin </w:t>
      </w:r>
      <w:r w:rsidR="001902A0">
        <w:rPr>
          <w:rFonts w:ascii="Arial" w:hAnsi="Arial" w:cs="Arial"/>
          <w:sz w:val="24"/>
          <w:szCs w:val="24"/>
        </w:rPr>
        <w:t>percatarse d</w:t>
      </w:r>
      <w:r w:rsidR="005846B6">
        <w:rPr>
          <w:rFonts w:ascii="Arial" w:hAnsi="Arial" w:cs="Arial"/>
          <w:sz w:val="24"/>
          <w:szCs w:val="24"/>
        </w:rPr>
        <w:t xml:space="preserve">el incumplimiento de las reglas </w:t>
      </w:r>
      <w:r w:rsidR="001902A0">
        <w:rPr>
          <w:rFonts w:ascii="Arial" w:hAnsi="Arial" w:cs="Arial"/>
          <w:sz w:val="24"/>
          <w:szCs w:val="24"/>
        </w:rPr>
        <w:t>atrás señaladas</w:t>
      </w:r>
      <w:r w:rsidR="005846B6">
        <w:rPr>
          <w:rFonts w:ascii="Arial" w:hAnsi="Arial" w:cs="Arial"/>
          <w:sz w:val="24"/>
          <w:szCs w:val="24"/>
        </w:rPr>
        <w:t>, el despacho design</w:t>
      </w:r>
      <w:r w:rsidR="00E17AE8">
        <w:rPr>
          <w:rFonts w:ascii="Arial" w:hAnsi="Arial" w:cs="Arial"/>
          <w:sz w:val="24"/>
          <w:szCs w:val="24"/>
        </w:rPr>
        <w:t>ó</w:t>
      </w:r>
      <w:r w:rsidR="005846B6">
        <w:rPr>
          <w:rFonts w:ascii="Arial" w:hAnsi="Arial" w:cs="Arial"/>
          <w:sz w:val="24"/>
          <w:szCs w:val="24"/>
        </w:rPr>
        <w:t xml:space="preserve"> </w:t>
      </w:r>
      <w:r>
        <w:rPr>
          <w:rFonts w:ascii="Arial" w:hAnsi="Arial" w:cs="Arial"/>
          <w:sz w:val="24"/>
          <w:szCs w:val="24"/>
        </w:rPr>
        <w:t xml:space="preserve">curador </w:t>
      </w:r>
      <w:r>
        <w:rPr>
          <w:rFonts w:ascii="Arial" w:hAnsi="Arial" w:cs="Arial"/>
          <w:i/>
          <w:sz w:val="24"/>
          <w:szCs w:val="24"/>
        </w:rPr>
        <w:t xml:space="preserve">ad </w:t>
      </w:r>
      <w:proofErr w:type="spellStart"/>
      <w:r>
        <w:rPr>
          <w:rFonts w:ascii="Arial" w:hAnsi="Arial" w:cs="Arial"/>
          <w:i/>
          <w:sz w:val="24"/>
          <w:szCs w:val="24"/>
        </w:rPr>
        <w:t>litem</w:t>
      </w:r>
      <w:proofErr w:type="spellEnd"/>
      <w:r>
        <w:rPr>
          <w:rFonts w:ascii="Arial" w:hAnsi="Arial" w:cs="Arial"/>
          <w:i/>
          <w:sz w:val="24"/>
          <w:szCs w:val="24"/>
        </w:rPr>
        <w:t xml:space="preserve"> </w:t>
      </w:r>
      <w:r w:rsidR="005846B6">
        <w:rPr>
          <w:rFonts w:ascii="Arial" w:hAnsi="Arial" w:cs="Arial"/>
          <w:sz w:val="24"/>
          <w:szCs w:val="24"/>
        </w:rPr>
        <w:t xml:space="preserve">que </w:t>
      </w:r>
      <w:r w:rsidR="00E17AE8">
        <w:rPr>
          <w:rFonts w:ascii="Arial" w:hAnsi="Arial" w:cs="Arial"/>
          <w:sz w:val="24"/>
          <w:szCs w:val="24"/>
        </w:rPr>
        <w:t xml:space="preserve">la </w:t>
      </w:r>
      <w:r w:rsidR="005846B6">
        <w:rPr>
          <w:rFonts w:ascii="Arial" w:hAnsi="Arial" w:cs="Arial"/>
          <w:sz w:val="24"/>
          <w:szCs w:val="24"/>
        </w:rPr>
        <w:t>representar</w:t>
      </w:r>
      <w:r w:rsidR="001902A0">
        <w:rPr>
          <w:rFonts w:ascii="Arial" w:hAnsi="Arial" w:cs="Arial"/>
          <w:sz w:val="24"/>
          <w:szCs w:val="24"/>
        </w:rPr>
        <w:t>a</w:t>
      </w:r>
      <w:r w:rsidR="005846B6">
        <w:rPr>
          <w:rFonts w:ascii="Arial" w:hAnsi="Arial" w:cs="Arial"/>
          <w:sz w:val="24"/>
          <w:szCs w:val="24"/>
        </w:rPr>
        <w:t xml:space="preserve"> </w:t>
      </w:r>
      <w:r>
        <w:rPr>
          <w:rFonts w:ascii="Arial" w:hAnsi="Arial" w:cs="Arial"/>
          <w:sz w:val="24"/>
          <w:szCs w:val="24"/>
        </w:rPr>
        <w:t xml:space="preserve">(Folio </w:t>
      </w:r>
      <w:r w:rsidR="005846B6">
        <w:rPr>
          <w:rFonts w:ascii="Arial" w:hAnsi="Arial" w:cs="Arial"/>
          <w:sz w:val="24"/>
          <w:szCs w:val="24"/>
        </w:rPr>
        <w:t>47</w:t>
      </w:r>
      <w:r>
        <w:rPr>
          <w:rFonts w:ascii="Arial" w:hAnsi="Arial" w:cs="Arial"/>
          <w:sz w:val="24"/>
          <w:szCs w:val="24"/>
        </w:rPr>
        <w:t>, ib.)</w:t>
      </w:r>
      <w:r w:rsidR="005846B6">
        <w:rPr>
          <w:rFonts w:ascii="Arial" w:hAnsi="Arial" w:cs="Arial"/>
          <w:sz w:val="24"/>
          <w:szCs w:val="24"/>
        </w:rPr>
        <w:t>. Y es que una revisión de lo anotado</w:t>
      </w:r>
      <w:r w:rsidR="00E30EE5">
        <w:rPr>
          <w:rFonts w:ascii="Arial" w:hAnsi="Arial" w:cs="Arial"/>
          <w:sz w:val="24"/>
          <w:szCs w:val="24"/>
        </w:rPr>
        <w:t>,</w:t>
      </w:r>
      <w:r w:rsidR="005846B6">
        <w:rPr>
          <w:rFonts w:ascii="Arial" w:hAnsi="Arial" w:cs="Arial"/>
          <w:sz w:val="24"/>
          <w:szCs w:val="24"/>
        </w:rPr>
        <w:t xml:space="preserve"> en el periódico</w:t>
      </w:r>
      <w:r w:rsidR="00E30EE5">
        <w:rPr>
          <w:rFonts w:ascii="Arial" w:hAnsi="Arial" w:cs="Arial"/>
          <w:sz w:val="24"/>
          <w:szCs w:val="24"/>
        </w:rPr>
        <w:t xml:space="preserve">, evidentemente muestra que se omitió </w:t>
      </w:r>
      <w:r w:rsidR="001902A0">
        <w:rPr>
          <w:rFonts w:ascii="Arial" w:hAnsi="Arial" w:cs="Arial"/>
          <w:sz w:val="24"/>
          <w:szCs w:val="24"/>
        </w:rPr>
        <w:t xml:space="preserve">anunciar </w:t>
      </w:r>
      <w:r w:rsidR="00E30EE5" w:rsidRPr="00E30EE5">
        <w:rPr>
          <w:rFonts w:ascii="Arial" w:hAnsi="Arial" w:cs="Arial"/>
          <w:sz w:val="24"/>
          <w:szCs w:val="24"/>
          <w:u w:val="single"/>
        </w:rPr>
        <w:t>tod</w:t>
      </w:r>
      <w:r w:rsidR="001902A0">
        <w:rPr>
          <w:rFonts w:ascii="Arial" w:hAnsi="Arial" w:cs="Arial"/>
          <w:sz w:val="24"/>
          <w:szCs w:val="24"/>
          <w:u w:val="single"/>
        </w:rPr>
        <w:t>o</w:t>
      </w:r>
      <w:r w:rsidR="00E30EE5" w:rsidRPr="00E30EE5">
        <w:rPr>
          <w:rFonts w:ascii="Arial" w:hAnsi="Arial" w:cs="Arial"/>
          <w:sz w:val="24"/>
          <w:szCs w:val="24"/>
          <w:u w:val="single"/>
        </w:rPr>
        <w:t>s</w:t>
      </w:r>
      <w:r w:rsidR="00E30EE5">
        <w:rPr>
          <w:rFonts w:ascii="Arial" w:hAnsi="Arial" w:cs="Arial"/>
          <w:sz w:val="24"/>
          <w:szCs w:val="24"/>
        </w:rPr>
        <w:t xml:space="preserve"> l</w:t>
      </w:r>
      <w:r w:rsidR="001902A0">
        <w:rPr>
          <w:rFonts w:ascii="Arial" w:hAnsi="Arial" w:cs="Arial"/>
          <w:sz w:val="24"/>
          <w:szCs w:val="24"/>
        </w:rPr>
        <w:t>os integrantes de la parte ejecutada</w:t>
      </w:r>
      <w:r w:rsidR="00E30EE5">
        <w:rPr>
          <w:rFonts w:ascii="Arial" w:hAnsi="Arial" w:cs="Arial"/>
          <w:sz w:val="24"/>
          <w:szCs w:val="24"/>
        </w:rPr>
        <w:t>, solo se citó a la sociedad</w:t>
      </w:r>
      <w:r w:rsidR="001902A0">
        <w:rPr>
          <w:rFonts w:ascii="Arial" w:hAnsi="Arial" w:cs="Arial"/>
          <w:sz w:val="24"/>
          <w:szCs w:val="24"/>
        </w:rPr>
        <w:t xml:space="preserve"> con </w:t>
      </w:r>
      <w:r w:rsidR="00E30EE5">
        <w:rPr>
          <w:rFonts w:ascii="Arial" w:hAnsi="Arial" w:cs="Arial"/>
          <w:sz w:val="24"/>
          <w:szCs w:val="24"/>
        </w:rPr>
        <w:t>exclu</w:t>
      </w:r>
      <w:r w:rsidR="001902A0">
        <w:rPr>
          <w:rFonts w:ascii="Arial" w:hAnsi="Arial" w:cs="Arial"/>
          <w:sz w:val="24"/>
          <w:szCs w:val="24"/>
        </w:rPr>
        <w:t>sión de</w:t>
      </w:r>
      <w:r w:rsidR="00E30EE5">
        <w:rPr>
          <w:rFonts w:ascii="Arial" w:hAnsi="Arial" w:cs="Arial"/>
          <w:sz w:val="24"/>
          <w:szCs w:val="24"/>
        </w:rPr>
        <w:t>l señor Johan Camilo Ramírez Soto</w:t>
      </w:r>
      <w:r w:rsidR="00566F65">
        <w:rPr>
          <w:rFonts w:ascii="Arial" w:hAnsi="Arial" w:cs="Arial"/>
          <w:sz w:val="24"/>
          <w:szCs w:val="24"/>
          <w:lang w:val="es-MX"/>
        </w:rPr>
        <w:t>,</w:t>
      </w:r>
      <w:r>
        <w:rPr>
          <w:rFonts w:ascii="Arial" w:hAnsi="Arial" w:cs="Arial"/>
          <w:sz w:val="24"/>
          <w:szCs w:val="24"/>
          <w:lang w:val="es-MX"/>
        </w:rPr>
        <w:t xml:space="preserve"> por </w:t>
      </w:r>
      <w:r w:rsidR="00566F65">
        <w:rPr>
          <w:rFonts w:ascii="Arial" w:hAnsi="Arial" w:cs="Arial"/>
          <w:sz w:val="24"/>
          <w:szCs w:val="24"/>
          <w:lang w:val="es-MX"/>
        </w:rPr>
        <w:t xml:space="preserve">lo </w:t>
      </w:r>
      <w:r>
        <w:rPr>
          <w:rFonts w:ascii="Arial" w:hAnsi="Arial" w:cs="Arial"/>
          <w:sz w:val="24"/>
          <w:szCs w:val="24"/>
          <w:lang w:val="es-MX"/>
        </w:rPr>
        <w:t>tanto</w:t>
      </w:r>
      <w:r w:rsidR="00566F65">
        <w:rPr>
          <w:rFonts w:ascii="Arial" w:hAnsi="Arial" w:cs="Arial"/>
          <w:sz w:val="24"/>
          <w:szCs w:val="24"/>
          <w:lang w:val="es-MX"/>
        </w:rPr>
        <w:t>,</w:t>
      </w:r>
      <w:r>
        <w:rPr>
          <w:rFonts w:ascii="Arial" w:hAnsi="Arial" w:cs="Arial"/>
          <w:sz w:val="24"/>
          <w:szCs w:val="24"/>
          <w:lang w:val="es-MX"/>
        </w:rPr>
        <w:t xml:space="preserve"> </w:t>
      </w:r>
      <w:r w:rsidR="001902A0">
        <w:rPr>
          <w:rFonts w:ascii="Arial" w:hAnsi="Arial" w:cs="Arial"/>
          <w:sz w:val="24"/>
          <w:szCs w:val="24"/>
          <w:lang w:val="es-MX"/>
        </w:rPr>
        <w:t xml:space="preserve">se incurrió </w:t>
      </w:r>
      <w:r>
        <w:rPr>
          <w:rFonts w:ascii="Arial" w:hAnsi="Arial" w:cs="Arial"/>
          <w:sz w:val="24"/>
          <w:szCs w:val="24"/>
          <w:lang w:val="es-MX"/>
        </w:rPr>
        <w:t>en</w:t>
      </w:r>
      <w:r w:rsidR="001902A0">
        <w:rPr>
          <w:rFonts w:ascii="Arial" w:hAnsi="Arial" w:cs="Arial"/>
          <w:sz w:val="24"/>
          <w:szCs w:val="24"/>
          <w:lang w:val="es-MX"/>
        </w:rPr>
        <w:t xml:space="preserve"> un indebido e</w:t>
      </w:r>
      <w:r>
        <w:rPr>
          <w:rFonts w:ascii="Arial" w:hAnsi="Arial" w:cs="Arial"/>
          <w:sz w:val="24"/>
          <w:szCs w:val="24"/>
          <w:lang w:val="es-MX"/>
        </w:rPr>
        <w:t xml:space="preserve">mplazamiento.  </w:t>
      </w:r>
    </w:p>
    <w:p w:rsidR="007C4788" w:rsidRDefault="007C4788" w:rsidP="004B6BF7">
      <w:pPr>
        <w:spacing w:line="360" w:lineRule="auto"/>
        <w:jc w:val="both"/>
        <w:rPr>
          <w:rFonts w:ascii="Arial" w:hAnsi="Arial" w:cs="Arial"/>
          <w:sz w:val="24"/>
          <w:szCs w:val="24"/>
        </w:rPr>
      </w:pPr>
    </w:p>
    <w:p w:rsidR="005C3D57" w:rsidRDefault="002A5F6E" w:rsidP="006567B9">
      <w:pPr>
        <w:spacing w:line="360" w:lineRule="auto"/>
        <w:jc w:val="both"/>
        <w:rPr>
          <w:rFonts w:ascii="Arial" w:hAnsi="Arial" w:cs="Arial"/>
          <w:sz w:val="24"/>
          <w:szCs w:val="24"/>
          <w:lang w:val="es-MX"/>
        </w:rPr>
      </w:pPr>
      <w:r>
        <w:rPr>
          <w:rFonts w:ascii="Arial" w:hAnsi="Arial" w:cs="Arial"/>
          <w:sz w:val="24"/>
          <w:szCs w:val="24"/>
        </w:rPr>
        <w:t xml:space="preserve">Así las cosas, se considera y así será declarado, que </w:t>
      </w:r>
      <w:r w:rsidR="00566F65">
        <w:rPr>
          <w:rFonts w:ascii="Arial" w:hAnsi="Arial" w:cs="Arial"/>
          <w:sz w:val="24"/>
          <w:szCs w:val="24"/>
        </w:rPr>
        <w:t xml:space="preserve">la actuación es irregular y encuadra en </w:t>
      </w:r>
      <w:r w:rsidRPr="007031D1">
        <w:rPr>
          <w:rFonts w:ascii="Arial" w:hAnsi="Arial" w:cs="Arial"/>
          <w:sz w:val="24"/>
          <w:szCs w:val="24"/>
        </w:rPr>
        <w:t xml:space="preserve">la causal </w:t>
      </w:r>
      <w:r>
        <w:rPr>
          <w:rFonts w:ascii="Arial" w:hAnsi="Arial" w:cs="Arial"/>
          <w:sz w:val="24"/>
          <w:szCs w:val="24"/>
        </w:rPr>
        <w:t>d</w:t>
      </w:r>
      <w:r w:rsidRPr="007031D1">
        <w:rPr>
          <w:rFonts w:ascii="Arial" w:hAnsi="Arial" w:cs="Arial"/>
          <w:sz w:val="24"/>
          <w:szCs w:val="24"/>
        </w:rPr>
        <w:t>el artículo</w:t>
      </w:r>
      <w:r>
        <w:rPr>
          <w:rFonts w:ascii="Arial" w:hAnsi="Arial" w:cs="Arial"/>
          <w:sz w:val="24"/>
          <w:szCs w:val="24"/>
        </w:rPr>
        <w:t xml:space="preserve"> 1</w:t>
      </w:r>
      <w:r w:rsidR="004972C9">
        <w:rPr>
          <w:rFonts w:ascii="Arial" w:hAnsi="Arial" w:cs="Arial"/>
          <w:sz w:val="24"/>
          <w:szCs w:val="24"/>
        </w:rPr>
        <w:t>40</w:t>
      </w:r>
      <w:r>
        <w:rPr>
          <w:rFonts w:ascii="Arial" w:hAnsi="Arial" w:cs="Arial"/>
          <w:sz w:val="24"/>
          <w:szCs w:val="24"/>
        </w:rPr>
        <w:t>-</w:t>
      </w:r>
      <w:r w:rsidR="004972C9">
        <w:rPr>
          <w:rFonts w:ascii="Arial" w:hAnsi="Arial" w:cs="Arial"/>
          <w:sz w:val="24"/>
          <w:szCs w:val="24"/>
        </w:rPr>
        <w:t>8</w:t>
      </w:r>
      <w:r w:rsidR="00566F65">
        <w:rPr>
          <w:rFonts w:ascii="Arial" w:hAnsi="Arial" w:cs="Arial"/>
          <w:sz w:val="24"/>
          <w:szCs w:val="24"/>
        </w:rPr>
        <w:t>º</w:t>
      </w:r>
      <w:r w:rsidR="001902A0">
        <w:rPr>
          <w:rFonts w:ascii="Arial" w:hAnsi="Arial" w:cs="Arial"/>
          <w:sz w:val="24"/>
          <w:szCs w:val="24"/>
        </w:rPr>
        <w:t>, ib.</w:t>
      </w:r>
      <w:r w:rsidR="00566F65">
        <w:rPr>
          <w:rFonts w:ascii="Arial" w:hAnsi="Arial" w:cs="Arial"/>
          <w:sz w:val="24"/>
          <w:szCs w:val="24"/>
        </w:rPr>
        <w:t>,</w:t>
      </w:r>
      <w:r>
        <w:rPr>
          <w:rFonts w:ascii="Arial" w:hAnsi="Arial" w:cs="Arial"/>
          <w:sz w:val="24"/>
          <w:szCs w:val="24"/>
        </w:rPr>
        <w:t xml:space="preserve"> y ello</w:t>
      </w:r>
      <w:r w:rsidR="00566F65">
        <w:rPr>
          <w:rFonts w:ascii="Arial" w:hAnsi="Arial" w:cs="Arial"/>
          <w:sz w:val="24"/>
          <w:szCs w:val="24"/>
        </w:rPr>
        <w:t>,</w:t>
      </w:r>
      <w:r>
        <w:rPr>
          <w:rFonts w:ascii="Arial" w:hAnsi="Arial" w:cs="Arial"/>
          <w:sz w:val="24"/>
          <w:szCs w:val="24"/>
        </w:rPr>
        <w:t xml:space="preserve"> por supuesto</w:t>
      </w:r>
      <w:r w:rsidR="00566F65">
        <w:rPr>
          <w:rFonts w:ascii="Arial" w:hAnsi="Arial" w:cs="Arial"/>
          <w:sz w:val="24"/>
          <w:szCs w:val="24"/>
        </w:rPr>
        <w:t>,</w:t>
      </w:r>
      <w:r w:rsidR="00186705">
        <w:rPr>
          <w:rFonts w:ascii="Arial" w:hAnsi="Arial" w:cs="Arial"/>
          <w:sz w:val="24"/>
          <w:szCs w:val="24"/>
        </w:rPr>
        <w:t xml:space="preserve"> invalida</w:t>
      </w:r>
      <w:r>
        <w:rPr>
          <w:rFonts w:ascii="Arial" w:hAnsi="Arial" w:cs="Arial"/>
          <w:sz w:val="24"/>
          <w:szCs w:val="24"/>
        </w:rPr>
        <w:t xml:space="preserve"> </w:t>
      </w:r>
      <w:r w:rsidR="002E20D6">
        <w:rPr>
          <w:rFonts w:ascii="Arial" w:hAnsi="Arial" w:cs="Arial"/>
          <w:sz w:val="24"/>
          <w:szCs w:val="24"/>
        </w:rPr>
        <w:t xml:space="preserve">la </w:t>
      </w:r>
      <w:r w:rsidR="007D102F">
        <w:rPr>
          <w:rFonts w:ascii="Arial" w:hAnsi="Arial" w:cs="Arial"/>
          <w:sz w:val="24"/>
          <w:szCs w:val="24"/>
        </w:rPr>
        <w:t xml:space="preserve">comparecencia del curador </w:t>
      </w:r>
      <w:r w:rsidR="007D102F">
        <w:rPr>
          <w:rFonts w:ascii="Arial" w:hAnsi="Arial" w:cs="Arial"/>
          <w:i/>
          <w:sz w:val="24"/>
          <w:szCs w:val="24"/>
        </w:rPr>
        <w:t xml:space="preserve">ad </w:t>
      </w:r>
      <w:proofErr w:type="spellStart"/>
      <w:r w:rsidR="007D102F">
        <w:rPr>
          <w:rFonts w:ascii="Arial" w:hAnsi="Arial" w:cs="Arial"/>
          <w:i/>
          <w:sz w:val="24"/>
          <w:szCs w:val="24"/>
        </w:rPr>
        <w:t>litem</w:t>
      </w:r>
      <w:proofErr w:type="spellEnd"/>
      <w:r w:rsidR="006567B9">
        <w:rPr>
          <w:rFonts w:ascii="Arial" w:hAnsi="Arial" w:cs="Arial"/>
          <w:sz w:val="24"/>
          <w:szCs w:val="24"/>
        </w:rPr>
        <w:t xml:space="preserve"> que la representó. </w:t>
      </w:r>
      <w:r w:rsidR="00566F65">
        <w:rPr>
          <w:rFonts w:ascii="Arial" w:hAnsi="Arial" w:cs="Arial"/>
          <w:sz w:val="24"/>
          <w:szCs w:val="24"/>
        </w:rPr>
        <w:t xml:space="preserve">Los </w:t>
      </w:r>
      <w:r w:rsidR="00186705" w:rsidRPr="00903782">
        <w:rPr>
          <w:rFonts w:ascii="Arial" w:hAnsi="Arial" w:cs="Arial"/>
          <w:sz w:val="24"/>
          <w:szCs w:val="24"/>
          <w:lang w:val="es-MX"/>
        </w:rPr>
        <w:t xml:space="preserve">efectos de </w:t>
      </w:r>
      <w:r w:rsidR="00186705">
        <w:rPr>
          <w:rFonts w:ascii="Arial" w:hAnsi="Arial" w:cs="Arial"/>
          <w:sz w:val="24"/>
          <w:szCs w:val="24"/>
          <w:lang w:val="es-MX"/>
        </w:rPr>
        <w:t xml:space="preserve">esta </w:t>
      </w:r>
      <w:r w:rsidR="00186705" w:rsidRPr="00903782">
        <w:rPr>
          <w:rFonts w:ascii="Arial" w:hAnsi="Arial" w:cs="Arial"/>
          <w:sz w:val="24"/>
          <w:szCs w:val="24"/>
          <w:lang w:val="es-MX"/>
        </w:rPr>
        <w:t>declaratoria</w:t>
      </w:r>
      <w:r w:rsidR="00186705">
        <w:rPr>
          <w:rFonts w:ascii="Arial" w:hAnsi="Arial" w:cs="Arial"/>
          <w:sz w:val="24"/>
          <w:szCs w:val="24"/>
          <w:lang w:val="es-MX"/>
        </w:rPr>
        <w:t xml:space="preserve"> </w:t>
      </w:r>
      <w:r w:rsidR="00186705" w:rsidRPr="00903782">
        <w:rPr>
          <w:rFonts w:ascii="Arial" w:hAnsi="Arial" w:cs="Arial"/>
          <w:sz w:val="24"/>
          <w:szCs w:val="24"/>
          <w:lang w:val="es-MX"/>
        </w:rPr>
        <w:t xml:space="preserve">afectan </w:t>
      </w:r>
      <w:r w:rsidR="00186705">
        <w:rPr>
          <w:rFonts w:ascii="Arial" w:hAnsi="Arial" w:cs="Arial"/>
          <w:sz w:val="24"/>
          <w:szCs w:val="24"/>
          <w:lang w:val="es-MX"/>
        </w:rPr>
        <w:t xml:space="preserve">todo </w:t>
      </w:r>
      <w:r w:rsidR="00186705" w:rsidRPr="00903782">
        <w:rPr>
          <w:rFonts w:ascii="Arial" w:hAnsi="Arial" w:cs="Arial"/>
          <w:sz w:val="24"/>
          <w:szCs w:val="24"/>
          <w:lang w:val="es-MX"/>
        </w:rPr>
        <w:t xml:space="preserve">lo actuado </w:t>
      </w:r>
      <w:r w:rsidR="00AF321C">
        <w:rPr>
          <w:rFonts w:ascii="Arial" w:hAnsi="Arial" w:cs="Arial"/>
          <w:sz w:val="24"/>
          <w:szCs w:val="24"/>
          <w:lang w:val="es-MX"/>
        </w:rPr>
        <w:t xml:space="preserve">a partir del auto de 12-02-2015 que entendió como válida la publicación allegada, ya que según lo expuesto, debió rechazarse. </w:t>
      </w:r>
      <w:r w:rsidR="00E17AE8">
        <w:rPr>
          <w:rFonts w:ascii="Arial" w:hAnsi="Arial" w:cs="Arial"/>
          <w:sz w:val="24"/>
          <w:szCs w:val="24"/>
          <w:lang w:val="es-MX"/>
        </w:rPr>
        <w:t xml:space="preserve">Sin embargo, </w:t>
      </w:r>
      <w:r w:rsidR="001902A0">
        <w:rPr>
          <w:rFonts w:ascii="Arial" w:hAnsi="Arial" w:cs="Arial"/>
          <w:sz w:val="24"/>
          <w:szCs w:val="24"/>
          <w:lang w:val="es-MX"/>
        </w:rPr>
        <w:t xml:space="preserve">conservarán vigor </w:t>
      </w:r>
      <w:r w:rsidR="00AF321C">
        <w:rPr>
          <w:rFonts w:ascii="Arial" w:hAnsi="Arial" w:cs="Arial"/>
          <w:sz w:val="24"/>
          <w:szCs w:val="24"/>
          <w:lang w:val="es-MX"/>
        </w:rPr>
        <w:t>las actuaciones surtidas con relación a la subrogación</w:t>
      </w:r>
      <w:r w:rsidR="00DF32A2">
        <w:rPr>
          <w:rFonts w:ascii="Arial" w:hAnsi="Arial" w:cs="Arial"/>
          <w:sz w:val="24"/>
          <w:szCs w:val="24"/>
          <w:lang w:val="es-MX"/>
        </w:rPr>
        <w:t>.</w:t>
      </w:r>
    </w:p>
    <w:p w:rsidR="003C5098" w:rsidRDefault="003C5098" w:rsidP="007D102F">
      <w:pPr>
        <w:spacing w:line="360" w:lineRule="auto"/>
        <w:ind w:right="51"/>
        <w:jc w:val="both"/>
        <w:rPr>
          <w:rFonts w:ascii="Arial" w:hAnsi="Arial" w:cs="Arial"/>
          <w:sz w:val="24"/>
          <w:szCs w:val="24"/>
          <w:lang w:val="es-MX"/>
        </w:rPr>
      </w:pPr>
    </w:p>
    <w:p w:rsidR="00437EF2" w:rsidRPr="005C6652" w:rsidRDefault="00437EF2" w:rsidP="00437EF2">
      <w:pPr>
        <w:spacing w:line="360" w:lineRule="auto"/>
        <w:jc w:val="both"/>
        <w:rPr>
          <w:rFonts w:ascii="Arial" w:hAnsi="Arial" w:cs="Arial"/>
          <w:sz w:val="24"/>
          <w:szCs w:val="24"/>
          <w:lang w:val="es-CO"/>
        </w:rPr>
      </w:pPr>
      <w:r>
        <w:rPr>
          <w:rFonts w:ascii="Arial" w:hAnsi="Arial" w:cs="Arial"/>
          <w:spacing w:val="-3"/>
          <w:sz w:val="24"/>
          <w:szCs w:val="24"/>
          <w:lang w:val="es-ES_tradnl"/>
        </w:rPr>
        <w:t>Finalmente, el código único de radicación de los procesos, ha sido expresamente regulado por el CSJ (Acuerdo 1213 de 2002)</w:t>
      </w:r>
      <w:r w:rsidR="001902A0">
        <w:rPr>
          <w:rFonts w:ascii="Arial" w:hAnsi="Arial" w:cs="Arial"/>
          <w:spacing w:val="-3"/>
          <w:sz w:val="24"/>
          <w:szCs w:val="24"/>
          <w:lang w:val="es-ES_tradnl"/>
        </w:rPr>
        <w:t xml:space="preserve"> y debe acatar</w:t>
      </w:r>
      <w:bookmarkStart w:id="0" w:name="_GoBack"/>
      <w:bookmarkEnd w:id="0"/>
      <w:r w:rsidR="001902A0">
        <w:rPr>
          <w:rFonts w:ascii="Arial" w:hAnsi="Arial" w:cs="Arial"/>
          <w:spacing w:val="-3"/>
          <w:sz w:val="24"/>
          <w:szCs w:val="24"/>
          <w:lang w:val="es-ES_tradnl"/>
        </w:rPr>
        <w:t>se</w:t>
      </w:r>
      <w:r w:rsidRPr="005C6652">
        <w:rPr>
          <w:rFonts w:ascii="Arial" w:hAnsi="Arial" w:cs="Arial"/>
          <w:sz w:val="24"/>
          <w:szCs w:val="24"/>
          <w:lang w:val="es-CO"/>
        </w:rPr>
        <w:t>.</w:t>
      </w:r>
    </w:p>
    <w:p w:rsidR="00437EF2" w:rsidRDefault="00437EF2" w:rsidP="007D102F">
      <w:pPr>
        <w:spacing w:line="360" w:lineRule="auto"/>
        <w:ind w:right="51"/>
        <w:jc w:val="both"/>
        <w:rPr>
          <w:rFonts w:ascii="Arial" w:hAnsi="Arial" w:cs="Arial"/>
          <w:sz w:val="24"/>
          <w:szCs w:val="24"/>
          <w:lang w:val="es-MX"/>
        </w:rPr>
      </w:pPr>
    </w:p>
    <w:p w:rsidR="003C5098" w:rsidRDefault="003C5098" w:rsidP="003C5098">
      <w:pPr>
        <w:pStyle w:val="Textopredeterminado"/>
        <w:numPr>
          <w:ilvl w:val="0"/>
          <w:numId w:val="1"/>
        </w:numPr>
        <w:spacing w:line="360" w:lineRule="auto"/>
        <w:jc w:val="both"/>
        <w:textAlignment w:val="baseline"/>
        <w:rPr>
          <w:rFonts w:ascii="Arial" w:hAnsi="Arial" w:cs="Arial"/>
        </w:rPr>
      </w:pPr>
      <w:r w:rsidRPr="0014171F">
        <w:rPr>
          <w:rFonts w:ascii="Arial" w:hAnsi="Arial" w:cs="Arial"/>
        </w:rPr>
        <w:lastRenderedPageBreak/>
        <w:t xml:space="preserve">LAS DECISIONES </w:t>
      </w:r>
    </w:p>
    <w:p w:rsidR="003E1A30" w:rsidRPr="0014171F" w:rsidRDefault="003E1A30" w:rsidP="003E1A30">
      <w:pPr>
        <w:pStyle w:val="Textopredeterminado"/>
        <w:spacing w:line="360" w:lineRule="auto"/>
        <w:ind w:left="360"/>
        <w:jc w:val="both"/>
        <w:textAlignment w:val="baseline"/>
        <w:rPr>
          <w:rFonts w:ascii="Arial" w:hAnsi="Arial" w:cs="Arial"/>
        </w:rPr>
      </w:pPr>
    </w:p>
    <w:p w:rsidR="002E20D6" w:rsidRDefault="003C5098" w:rsidP="003C5098">
      <w:pPr>
        <w:spacing w:line="360" w:lineRule="auto"/>
        <w:ind w:right="51"/>
        <w:jc w:val="both"/>
        <w:rPr>
          <w:rFonts w:ascii="Arial" w:hAnsi="Arial" w:cs="Arial"/>
          <w:sz w:val="24"/>
          <w:szCs w:val="24"/>
          <w:lang w:val="es-MX"/>
        </w:rPr>
      </w:pPr>
      <w:r w:rsidRPr="003C5098">
        <w:rPr>
          <w:rFonts w:ascii="Arial" w:hAnsi="Arial" w:cs="Arial"/>
          <w:sz w:val="24"/>
          <w:szCs w:val="24"/>
          <w:lang w:val="es-CO"/>
        </w:rPr>
        <w:t xml:space="preserve">En armonía con las premisas expuestas, </w:t>
      </w:r>
      <w:r w:rsidRPr="003C5098">
        <w:rPr>
          <w:rFonts w:ascii="Arial" w:hAnsi="Arial" w:cs="Arial"/>
          <w:sz w:val="24"/>
          <w:szCs w:val="24"/>
        </w:rPr>
        <w:t xml:space="preserve">se declarará la nulidad de lo actuado desde </w:t>
      </w:r>
      <w:r w:rsidR="008851BC">
        <w:rPr>
          <w:rFonts w:ascii="Arial" w:hAnsi="Arial" w:cs="Arial"/>
          <w:sz w:val="24"/>
          <w:szCs w:val="24"/>
        </w:rPr>
        <w:t xml:space="preserve">el auto de fecha </w:t>
      </w:r>
      <w:r w:rsidR="00AF321C">
        <w:rPr>
          <w:rFonts w:ascii="Arial" w:hAnsi="Arial" w:cs="Arial"/>
          <w:sz w:val="24"/>
          <w:szCs w:val="24"/>
          <w:lang w:val="es-MX"/>
        </w:rPr>
        <w:t>12-02-2015</w:t>
      </w:r>
      <w:r w:rsidR="00566F65">
        <w:rPr>
          <w:rFonts w:ascii="Arial" w:hAnsi="Arial" w:cs="Arial"/>
          <w:sz w:val="24"/>
          <w:szCs w:val="24"/>
        </w:rPr>
        <w:t>, inclusive,</w:t>
      </w:r>
      <w:r w:rsidR="008851BC">
        <w:rPr>
          <w:rFonts w:ascii="Arial" w:hAnsi="Arial" w:cs="Arial"/>
          <w:sz w:val="24"/>
          <w:szCs w:val="24"/>
        </w:rPr>
        <w:t xml:space="preserve"> </w:t>
      </w:r>
      <w:r w:rsidRPr="003C5098">
        <w:rPr>
          <w:rFonts w:ascii="Arial" w:hAnsi="Arial" w:cs="Arial"/>
          <w:sz w:val="24"/>
          <w:szCs w:val="24"/>
          <w:lang w:val="es-MX"/>
        </w:rPr>
        <w:t xml:space="preserve">a fin de que </w:t>
      </w:r>
      <w:r w:rsidR="008851BC">
        <w:rPr>
          <w:rFonts w:ascii="Arial" w:hAnsi="Arial" w:cs="Arial"/>
          <w:sz w:val="24"/>
          <w:szCs w:val="24"/>
          <w:lang w:val="es-MX"/>
        </w:rPr>
        <w:t xml:space="preserve">en primera instancia, se rehaga la actuación </w:t>
      </w:r>
      <w:r w:rsidR="00054ED1">
        <w:rPr>
          <w:rFonts w:ascii="Arial" w:hAnsi="Arial" w:cs="Arial"/>
          <w:sz w:val="24"/>
          <w:szCs w:val="24"/>
        </w:rPr>
        <w:t xml:space="preserve">anómala </w:t>
      </w:r>
      <w:r w:rsidRPr="003C5098">
        <w:rPr>
          <w:rFonts w:ascii="Arial" w:hAnsi="Arial" w:cs="Arial"/>
          <w:sz w:val="24"/>
          <w:szCs w:val="24"/>
          <w:lang w:val="es-MX"/>
        </w:rPr>
        <w:t xml:space="preserve">en </w:t>
      </w:r>
      <w:r w:rsidR="008851BC">
        <w:rPr>
          <w:rFonts w:ascii="Arial" w:hAnsi="Arial" w:cs="Arial"/>
          <w:sz w:val="24"/>
          <w:szCs w:val="24"/>
          <w:lang w:val="es-MX"/>
        </w:rPr>
        <w:t xml:space="preserve">la forma </w:t>
      </w:r>
      <w:r w:rsidRPr="003C5098">
        <w:rPr>
          <w:rFonts w:ascii="Arial" w:hAnsi="Arial" w:cs="Arial"/>
          <w:sz w:val="24"/>
          <w:szCs w:val="24"/>
          <w:lang w:val="es-MX"/>
        </w:rPr>
        <w:t>puest</w:t>
      </w:r>
      <w:r w:rsidR="008851BC">
        <w:rPr>
          <w:rFonts w:ascii="Arial" w:hAnsi="Arial" w:cs="Arial"/>
          <w:sz w:val="24"/>
          <w:szCs w:val="24"/>
          <w:lang w:val="es-MX"/>
        </w:rPr>
        <w:t>a</w:t>
      </w:r>
      <w:r w:rsidR="001902A0">
        <w:rPr>
          <w:rFonts w:ascii="Arial" w:hAnsi="Arial" w:cs="Arial"/>
          <w:sz w:val="24"/>
          <w:szCs w:val="24"/>
          <w:lang w:val="es-MX"/>
        </w:rPr>
        <w:t xml:space="preserve"> de presente, salvo lo relacionado con </w:t>
      </w:r>
      <w:r w:rsidR="00E17AE8">
        <w:rPr>
          <w:rFonts w:ascii="Arial" w:hAnsi="Arial" w:cs="Arial"/>
          <w:sz w:val="24"/>
          <w:szCs w:val="24"/>
          <w:lang w:val="es-MX"/>
        </w:rPr>
        <w:t>la subrogación.</w:t>
      </w:r>
    </w:p>
    <w:p w:rsidR="002D045F" w:rsidRDefault="002D045F" w:rsidP="003C5098">
      <w:pPr>
        <w:spacing w:line="360" w:lineRule="auto"/>
        <w:ind w:right="51"/>
        <w:jc w:val="both"/>
        <w:rPr>
          <w:rFonts w:ascii="Arial" w:hAnsi="Arial" w:cs="Arial"/>
          <w:sz w:val="24"/>
          <w:szCs w:val="24"/>
          <w:lang w:val="es-MX"/>
        </w:rPr>
      </w:pPr>
    </w:p>
    <w:p w:rsidR="00DB2868" w:rsidRPr="00112D32" w:rsidRDefault="003C5098" w:rsidP="00DB2868">
      <w:pPr>
        <w:tabs>
          <w:tab w:val="left" w:pos="-720"/>
        </w:tabs>
        <w:suppressAutoHyphens/>
        <w:spacing w:line="360" w:lineRule="auto"/>
        <w:jc w:val="both"/>
        <w:rPr>
          <w:rFonts w:ascii="Arial" w:hAnsi="Arial" w:cs="Arial"/>
          <w:spacing w:val="-3"/>
          <w:sz w:val="24"/>
          <w:szCs w:val="24"/>
        </w:rPr>
      </w:pPr>
      <w:r w:rsidRPr="005B51AB">
        <w:rPr>
          <w:rFonts w:ascii="Arial" w:hAnsi="Arial" w:cs="Arial"/>
          <w:sz w:val="24"/>
          <w:szCs w:val="24"/>
        </w:rPr>
        <w:t>Considerando suficientes los argumentos expuestos</w:t>
      </w:r>
      <w:r w:rsidR="00DB2868" w:rsidRPr="00112D32">
        <w:rPr>
          <w:rFonts w:ascii="Arial" w:hAnsi="Arial" w:cs="Arial"/>
          <w:sz w:val="24"/>
          <w:szCs w:val="24"/>
        </w:rPr>
        <w:t xml:space="preserve">, el </w:t>
      </w:r>
      <w:r w:rsidR="00DB2868" w:rsidRPr="00112D32">
        <w:rPr>
          <w:rFonts w:ascii="Arial" w:hAnsi="Arial" w:cs="Arial"/>
          <w:smallCaps/>
          <w:sz w:val="24"/>
          <w:szCs w:val="24"/>
        </w:rPr>
        <w:t xml:space="preserve">Tribunal Superior del Distrito Judicial de </w:t>
      </w:r>
      <w:r w:rsidR="00DB2868">
        <w:rPr>
          <w:rFonts w:ascii="Arial" w:hAnsi="Arial" w:cs="Arial"/>
          <w:smallCaps/>
          <w:sz w:val="24"/>
          <w:szCs w:val="24"/>
        </w:rPr>
        <w:t>Pereira</w:t>
      </w:r>
      <w:r w:rsidR="00DB2868" w:rsidRPr="00112D32">
        <w:rPr>
          <w:rFonts w:ascii="Arial" w:hAnsi="Arial" w:cs="Arial"/>
          <w:smallCaps/>
          <w:sz w:val="24"/>
          <w:szCs w:val="24"/>
        </w:rPr>
        <w:t>, Sala</w:t>
      </w:r>
      <w:r w:rsidR="00DB2868">
        <w:rPr>
          <w:rFonts w:ascii="Arial" w:hAnsi="Arial" w:cs="Arial"/>
          <w:smallCaps/>
          <w:sz w:val="24"/>
          <w:szCs w:val="24"/>
        </w:rPr>
        <w:t xml:space="preserve"> </w:t>
      </w:r>
      <w:r w:rsidR="00DB2868" w:rsidRPr="00112D32">
        <w:rPr>
          <w:rFonts w:ascii="Arial" w:hAnsi="Arial" w:cs="Arial"/>
          <w:smallCaps/>
          <w:sz w:val="24"/>
          <w:szCs w:val="24"/>
        </w:rPr>
        <w:t>Unitaria</w:t>
      </w:r>
      <w:r w:rsidR="00DB2868" w:rsidRPr="00112D32">
        <w:rPr>
          <w:rFonts w:ascii="Arial" w:hAnsi="Arial" w:cs="Arial"/>
          <w:sz w:val="24"/>
          <w:szCs w:val="24"/>
        </w:rPr>
        <w:t>,</w:t>
      </w:r>
    </w:p>
    <w:p w:rsidR="00EA0D28" w:rsidRDefault="00EA0D28" w:rsidP="00DB2868">
      <w:pPr>
        <w:tabs>
          <w:tab w:val="left" w:pos="-720"/>
        </w:tabs>
        <w:suppressAutoHyphens/>
        <w:spacing w:line="360" w:lineRule="auto"/>
        <w:jc w:val="center"/>
        <w:rPr>
          <w:rFonts w:ascii="Arial" w:hAnsi="Arial" w:cs="Arial"/>
          <w:smallCaps/>
          <w:sz w:val="24"/>
          <w:szCs w:val="24"/>
        </w:rPr>
      </w:pPr>
    </w:p>
    <w:p w:rsidR="009B1094" w:rsidRDefault="009B1094" w:rsidP="00DB2868">
      <w:pPr>
        <w:tabs>
          <w:tab w:val="left" w:pos="-720"/>
        </w:tabs>
        <w:suppressAutoHyphens/>
        <w:spacing w:line="360" w:lineRule="auto"/>
        <w:jc w:val="center"/>
        <w:rPr>
          <w:rFonts w:ascii="Arial" w:hAnsi="Arial" w:cs="Arial"/>
          <w:smallCaps/>
          <w:sz w:val="24"/>
          <w:szCs w:val="24"/>
        </w:rPr>
      </w:pPr>
    </w:p>
    <w:p w:rsidR="00DB2868" w:rsidRDefault="00DB2868" w:rsidP="00DB2868">
      <w:pPr>
        <w:tabs>
          <w:tab w:val="left" w:pos="-720"/>
        </w:tabs>
        <w:suppressAutoHyphens/>
        <w:spacing w:line="360" w:lineRule="auto"/>
        <w:jc w:val="center"/>
        <w:rPr>
          <w:rFonts w:ascii="Arial" w:hAnsi="Arial" w:cs="Arial"/>
          <w:smallCaps/>
          <w:sz w:val="24"/>
          <w:szCs w:val="24"/>
        </w:rPr>
      </w:pPr>
      <w:r w:rsidRPr="00112D32">
        <w:rPr>
          <w:rFonts w:ascii="Arial" w:hAnsi="Arial" w:cs="Arial"/>
          <w:smallCaps/>
          <w:sz w:val="24"/>
          <w:szCs w:val="24"/>
        </w:rPr>
        <w:t>R e s u e l v e,</w:t>
      </w:r>
    </w:p>
    <w:p w:rsidR="001902A0" w:rsidRDefault="001902A0" w:rsidP="00DB2868">
      <w:pPr>
        <w:tabs>
          <w:tab w:val="left" w:pos="-720"/>
        </w:tabs>
        <w:suppressAutoHyphens/>
        <w:spacing w:line="360" w:lineRule="auto"/>
        <w:jc w:val="center"/>
        <w:rPr>
          <w:rFonts w:ascii="Arial" w:hAnsi="Arial" w:cs="Arial"/>
          <w:smallCaps/>
          <w:sz w:val="24"/>
          <w:szCs w:val="24"/>
        </w:rPr>
      </w:pPr>
    </w:p>
    <w:p w:rsidR="004E65E6" w:rsidRPr="004E65E6" w:rsidRDefault="00DB2868" w:rsidP="007D3507">
      <w:pPr>
        <w:pStyle w:val="Textopredeterminado"/>
        <w:numPr>
          <w:ilvl w:val="0"/>
          <w:numId w:val="9"/>
        </w:numPr>
        <w:spacing w:line="360" w:lineRule="auto"/>
        <w:ind w:right="51"/>
        <w:jc w:val="both"/>
        <w:textAlignment w:val="baseline"/>
        <w:rPr>
          <w:rFonts w:ascii="Arial" w:hAnsi="Arial" w:cs="Arial"/>
          <w:szCs w:val="24"/>
          <w:lang w:val="es-MX"/>
        </w:rPr>
      </w:pPr>
      <w:r w:rsidRPr="004E65E6">
        <w:rPr>
          <w:rFonts w:ascii="Arial" w:hAnsi="Arial" w:cs="Arial"/>
          <w:spacing w:val="-3"/>
          <w:szCs w:val="24"/>
        </w:rPr>
        <w:t xml:space="preserve">DECLARAR </w:t>
      </w:r>
      <w:r w:rsidR="003C5098" w:rsidRPr="004E65E6">
        <w:rPr>
          <w:rFonts w:ascii="Arial" w:hAnsi="Arial" w:cs="Arial"/>
          <w:szCs w:val="24"/>
        </w:rPr>
        <w:t xml:space="preserve">la nulidad de lo actuado en este proceso desde </w:t>
      </w:r>
      <w:r w:rsidR="008851BC" w:rsidRPr="004E65E6">
        <w:rPr>
          <w:rFonts w:ascii="Arial" w:hAnsi="Arial" w:cs="Arial"/>
          <w:szCs w:val="24"/>
        </w:rPr>
        <w:t>el auto de fecha</w:t>
      </w:r>
      <w:r w:rsidR="003C5098" w:rsidRPr="004E65E6">
        <w:rPr>
          <w:rFonts w:ascii="Arial" w:hAnsi="Arial" w:cs="Arial"/>
          <w:szCs w:val="24"/>
        </w:rPr>
        <w:t xml:space="preserve"> </w:t>
      </w:r>
      <w:r w:rsidR="00AF321C" w:rsidRPr="004E65E6">
        <w:rPr>
          <w:rFonts w:ascii="Arial" w:hAnsi="Arial" w:cs="Arial"/>
          <w:szCs w:val="24"/>
          <w:lang w:val="es-MX"/>
        </w:rPr>
        <w:t>12-02-2015</w:t>
      </w:r>
      <w:r w:rsidR="003C5098" w:rsidRPr="004E65E6">
        <w:rPr>
          <w:rFonts w:ascii="Arial" w:hAnsi="Arial" w:cs="Arial"/>
          <w:szCs w:val="24"/>
        </w:rPr>
        <w:t>, inclusive</w:t>
      </w:r>
      <w:r w:rsidR="001902A0">
        <w:rPr>
          <w:rFonts w:ascii="Arial" w:hAnsi="Arial" w:cs="Arial"/>
          <w:szCs w:val="24"/>
        </w:rPr>
        <w:t xml:space="preserve">, salvo </w:t>
      </w:r>
      <w:r w:rsidR="004E65E6" w:rsidRPr="004E65E6">
        <w:rPr>
          <w:rFonts w:ascii="Arial" w:hAnsi="Arial" w:cs="Arial"/>
          <w:szCs w:val="24"/>
          <w:lang w:val="es-MX"/>
        </w:rPr>
        <w:t>las actuaciones surtidas con relación a la subrogación.</w:t>
      </w:r>
    </w:p>
    <w:p w:rsidR="00437EF2" w:rsidRDefault="00437EF2" w:rsidP="00437EF2">
      <w:pPr>
        <w:pStyle w:val="Textopredeterminado"/>
        <w:spacing w:line="360" w:lineRule="auto"/>
        <w:ind w:left="360"/>
        <w:jc w:val="both"/>
        <w:textAlignment w:val="baseline"/>
        <w:rPr>
          <w:rFonts w:ascii="Arial" w:hAnsi="Arial" w:cs="Arial"/>
          <w:szCs w:val="24"/>
        </w:rPr>
      </w:pPr>
    </w:p>
    <w:p w:rsidR="00DB2868" w:rsidRPr="003C5098" w:rsidRDefault="003C5098" w:rsidP="003C5098">
      <w:pPr>
        <w:pStyle w:val="Paragraphedeliste"/>
        <w:numPr>
          <w:ilvl w:val="0"/>
          <w:numId w:val="9"/>
        </w:numPr>
        <w:tabs>
          <w:tab w:val="left" w:pos="-720"/>
        </w:tabs>
        <w:suppressAutoHyphens/>
        <w:spacing w:line="360" w:lineRule="auto"/>
        <w:jc w:val="both"/>
        <w:rPr>
          <w:rFonts w:ascii="Arial" w:hAnsi="Arial" w:cs="Arial"/>
          <w:sz w:val="24"/>
          <w:szCs w:val="24"/>
        </w:rPr>
      </w:pPr>
      <w:r w:rsidRPr="003C5098">
        <w:rPr>
          <w:rFonts w:ascii="Arial" w:hAnsi="Arial" w:cs="Arial"/>
          <w:sz w:val="24"/>
          <w:szCs w:val="24"/>
        </w:rPr>
        <w:t>DEVOLVER el expediente al Juzgado</w:t>
      </w:r>
      <w:r w:rsidR="008A52AE">
        <w:rPr>
          <w:rFonts w:ascii="Arial" w:hAnsi="Arial" w:cs="Arial"/>
          <w:sz w:val="24"/>
          <w:szCs w:val="24"/>
        </w:rPr>
        <w:t xml:space="preserve"> </w:t>
      </w:r>
      <w:r w:rsidR="00AF321C">
        <w:rPr>
          <w:rFonts w:ascii="Arial" w:hAnsi="Arial" w:cs="Arial"/>
          <w:sz w:val="24"/>
          <w:szCs w:val="24"/>
        </w:rPr>
        <w:t xml:space="preserve">Segundo Civil del Circuito </w:t>
      </w:r>
      <w:r w:rsidR="00054ED1">
        <w:rPr>
          <w:rFonts w:ascii="Arial" w:hAnsi="Arial" w:cs="Arial"/>
          <w:sz w:val="24"/>
          <w:szCs w:val="24"/>
        </w:rPr>
        <w:t>de Pereira</w:t>
      </w:r>
      <w:r w:rsidR="00DB2868" w:rsidRPr="003C5098">
        <w:rPr>
          <w:rFonts w:ascii="Arial" w:hAnsi="Arial" w:cs="Arial"/>
          <w:spacing w:val="-3"/>
          <w:sz w:val="24"/>
          <w:szCs w:val="24"/>
        </w:rPr>
        <w:t>, para que se rehaga la actuación viciada, con estricto acatamiento de los términos anotados en esta providencia.</w:t>
      </w:r>
    </w:p>
    <w:p w:rsidR="003E0818" w:rsidRDefault="003E0818" w:rsidP="00DB2868">
      <w:pPr>
        <w:suppressAutoHyphens/>
        <w:spacing w:line="360" w:lineRule="auto"/>
        <w:jc w:val="center"/>
        <w:rPr>
          <w:rFonts w:ascii="Arial" w:hAnsi="Arial" w:cs="Arial"/>
          <w:smallCaps/>
          <w:sz w:val="24"/>
          <w:szCs w:val="24"/>
        </w:rPr>
      </w:pPr>
    </w:p>
    <w:p w:rsidR="00DB2868" w:rsidRPr="006F61F6" w:rsidRDefault="00DB2868" w:rsidP="00DB2868">
      <w:pPr>
        <w:suppressAutoHyphens/>
        <w:spacing w:line="360" w:lineRule="auto"/>
        <w:jc w:val="center"/>
        <w:rPr>
          <w:rFonts w:ascii="Arial" w:hAnsi="Arial" w:cs="Arial"/>
          <w:smallCaps/>
          <w:lang w:val="en-GB"/>
        </w:rPr>
      </w:pPr>
      <w:proofErr w:type="spellStart"/>
      <w:r w:rsidRPr="003C5098">
        <w:rPr>
          <w:rFonts w:ascii="Arial" w:hAnsi="Arial" w:cs="Arial"/>
          <w:smallCaps/>
          <w:sz w:val="24"/>
          <w:szCs w:val="24"/>
          <w:lang w:val="en-GB"/>
        </w:rPr>
        <w:t>Notifíquese</w:t>
      </w:r>
      <w:proofErr w:type="spellEnd"/>
      <w:r w:rsidRPr="006F61F6">
        <w:rPr>
          <w:rFonts w:ascii="Arial" w:hAnsi="Arial" w:cs="Arial"/>
          <w:smallCaps/>
          <w:lang w:val="en-GB"/>
        </w:rPr>
        <w:t>,</w:t>
      </w:r>
    </w:p>
    <w:p w:rsidR="00DB2868" w:rsidRPr="006F61F6" w:rsidRDefault="00DB2868" w:rsidP="00DB2868">
      <w:pPr>
        <w:pStyle w:val="Corpsdetexte"/>
        <w:spacing w:line="360" w:lineRule="auto"/>
        <w:jc w:val="center"/>
        <w:rPr>
          <w:spacing w:val="20"/>
          <w:w w:val="150"/>
          <w:sz w:val="22"/>
          <w:szCs w:val="22"/>
          <w:lang w:val="en-GB"/>
        </w:rPr>
      </w:pPr>
    </w:p>
    <w:p w:rsidR="00DB2868" w:rsidRDefault="00DB2868" w:rsidP="00DB2868">
      <w:pPr>
        <w:pStyle w:val="Corpsdetexte"/>
        <w:spacing w:line="360" w:lineRule="auto"/>
        <w:jc w:val="center"/>
        <w:rPr>
          <w:spacing w:val="20"/>
          <w:w w:val="150"/>
          <w:sz w:val="22"/>
          <w:szCs w:val="22"/>
          <w:lang w:val="en-GB"/>
        </w:rPr>
      </w:pPr>
    </w:p>
    <w:p w:rsidR="003E1A30" w:rsidRPr="006F61F6" w:rsidRDefault="003E1A30" w:rsidP="00DB2868">
      <w:pPr>
        <w:pStyle w:val="Corpsdetexte"/>
        <w:spacing w:line="360" w:lineRule="auto"/>
        <w:jc w:val="center"/>
        <w:rPr>
          <w:spacing w:val="20"/>
          <w:w w:val="150"/>
          <w:sz w:val="22"/>
          <w:szCs w:val="22"/>
          <w:lang w:val="en-GB"/>
        </w:rPr>
      </w:pPr>
    </w:p>
    <w:p w:rsidR="00111F9C" w:rsidRPr="006E333E" w:rsidRDefault="00111F9C" w:rsidP="00111F9C">
      <w:pPr>
        <w:pStyle w:val="Textopredeterminado"/>
        <w:spacing w:line="360" w:lineRule="auto"/>
        <w:jc w:val="center"/>
        <w:rPr>
          <w:rFonts w:ascii="Arial" w:hAnsi="Arial" w:cs="Arial"/>
          <w:caps/>
          <w:spacing w:val="20"/>
          <w:w w:val="150"/>
          <w:lang w:val="es-MX"/>
        </w:rPr>
      </w:pPr>
      <w:r w:rsidRPr="006E333E">
        <w:rPr>
          <w:rFonts w:ascii="Arial" w:hAnsi="Arial" w:cs="Arial"/>
          <w:caps/>
          <w:spacing w:val="20"/>
          <w:w w:val="150"/>
          <w:sz w:val="28"/>
          <w:lang w:val="es-MX"/>
        </w:rPr>
        <w:t>D</w:t>
      </w:r>
      <w:r w:rsidRPr="006E333E">
        <w:rPr>
          <w:rFonts w:ascii="Arial" w:hAnsi="Arial" w:cs="Arial"/>
          <w:caps/>
          <w:spacing w:val="20"/>
          <w:w w:val="150"/>
          <w:sz w:val="18"/>
          <w:lang w:val="es-MX"/>
        </w:rPr>
        <w:t>UBERNEY</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G</w:t>
      </w:r>
      <w:r w:rsidRPr="006E333E">
        <w:rPr>
          <w:rFonts w:ascii="Arial" w:hAnsi="Arial" w:cs="Arial"/>
          <w:caps/>
          <w:spacing w:val="20"/>
          <w:w w:val="150"/>
          <w:sz w:val="18"/>
          <w:lang w:val="es-MX"/>
        </w:rPr>
        <w:t>RISALES</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H</w:t>
      </w:r>
      <w:r w:rsidRPr="006E333E">
        <w:rPr>
          <w:rFonts w:ascii="Arial" w:hAnsi="Arial" w:cs="Arial"/>
          <w:caps/>
          <w:spacing w:val="20"/>
          <w:w w:val="150"/>
          <w:sz w:val="18"/>
          <w:lang w:val="es-MX"/>
        </w:rPr>
        <w:t>ERRERA</w:t>
      </w:r>
    </w:p>
    <w:p w:rsidR="00111F9C" w:rsidRDefault="00111F9C" w:rsidP="00111F9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spacing w:val="20"/>
          <w:w w:val="150"/>
          <w:sz w:val="18"/>
          <w:szCs w:val="22"/>
          <w:lang w:val="en-US"/>
        </w:rPr>
      </w:pPr>
      <w:r w:rsidRPr="006E333E">
        <w:rPr>
          <w:rFonts w:ascii="Arial" w:hAnsi="Arial" w:cs="Arial"/>
          <w:caps/>
          <w:spacing w:val="20"/>
          <w:w w:val="150"/>
          <w:sz w:val="28"/>
          <w:szCs w:val="24"/>
        </w:rPr>
        <w:t>M</w:t>
      </w:r>
      <w:r w:rsidRPr="006E333E">
        <w:rPr>
          <w:rFonts w:ascii="Arial" w:hAnsi="Arial" w:cs="Arial"/>
          <w:caps/>
          <w:spacing w:val="20"/>
          <w:w w:val="150"/>
          <w:sz w:val="18"/>
        </w:rPr>
        <w:t>agistrado</w:t>
      </w:r>
      <w:r w:rsidRPr="000A184C">
        <w:rPr>
          <w:rFonts w:ascii="Arial" w:hAnsi="Arial" w:cs="Arial"/>
          <w:spacing w:val="20"/>
          <w:w w:val="150"/>
          <w:sz w:val="18"/>
          <w:szCs w:val="22"/>
          <w:lang w:val="en-US"/>
        </w:rPr>
        <w:t xml:space="preserve"> </w:t>
      </w:r>
    </w:p>
    <w:p w:rsidR="00DB2868" w:rsidRPr="00BD744D" w:rsidRDefault="00054ED1" w:rsidP="00E316D9">
      <w:pPr>
        <w:tabs>
          <w:tab w:val="left" w:pos="-720"/>
        </w:tabs>
        <w:suppressAutoHyphens/>
        <w:spacing w:line="360" w:lineRule="auto"/>
        <w:jc w:val="both"/>
        <w:rPr>
          <w:rFonts w:ascii="Arial" w:hAnsi="Arial" w:cs="Arial"/>
          <w:spacing w:val="-3"/>
          <w:sz w:val="12"/>
          <w:szCs w:val="12"/>
          <w:lang w:val="en-US"/>
        </w:rPr>
      </w:pPr>
      <w:r w:rsidRPr="002F0F02">
        <w:rPr>
          <w:noProof/>
          <w:lang w:val="fr-FR" w:eastAsia="fr-FR"/>
        </w:rPr>
        <mc:AlternateContent>
          <mc:Choice Requires="wps">
            <w:drawing>
              <wp:anchor distT="0" distB="0" distL="114300" distR="114300" simplePos="0" relativeHeight="251660288" behindDoc="0" locked="0" layoutInCell="1" allowOverlap="1" wp14:anchorId="320FC0FF" wp14:editId="216BC7C9">
                <wp:simplePos x="0" y="0"/>
                <wp:positionH relativeFrom="page">
                  <wp:posOffset>2773680</wp:posOffset>
                </wp:positionH>
                <wp:positionV relativeFrom="paragraph">
                  <wp:posOffset>113030</wp:posOffset>
                </wp:positionV>
                <wp:extent cx="2672373" cy="1271954"/>
                <wp:effectExtent l="19050" t="19050" r="13970"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373" cy="1271954"/>
                        </a:xfrm>
                        <a:prstGeom prst="rect">
                          <a:avLst/>
                        </a:prstGeom>
                        <a:solidFill>
                          <a:srgbClr val="FFFFFF"/>
                        </a:solidFill>
                        <a:ln w="28575" cmpd="thickThin">
                          <a:solidFill>
                            <a:srgbClr val="000000"/>
                          </a:solidFill>
                          <a:miter lim="800000"/>
                          <a:headEnd/>
                          <a:tailEnd/>
                        </a:ln>
                      </wps:spPr>
                      <wps:txbx>
                        <w:txbxContent>
                          <w:p w:rsidR="00794B7C" w:rsidRPr="00713130" w:rsidRDefault="00794B7C" w:rsidP="00794B7C">
                            <w:pPr>
                              <w:pStyle w:val="Sansinterligne"/>
                              <w:jc w:val="center"/>
                              <w:rPr>
                                <w:rFonts w:ascii="Kalinga" w:hAnsi="Kalinga" w:cs="Kalinga"/>
                                <w:sz w:val="20"/>
                                <w:szCs w:val="16"/>
                              </w:rPr>
                            </w:pPr>
                            <w:r w:rsidRPr="00713130">
                              <w:rPr>
                                <w:rFonts w:ascii="Kalinga" w:hAnsi="Kalinga" w:cs="Kalinga"/>
                                <w:sz w:val="20"/>
                                <w:szCs w:val="16"/>
                              </w:rPr>
                              <w:t xml:space="preserve">LA PROVIDENCIA ANTERIOR </w:t>
                            </w:r>
                          </w:p>
                          <w:p w:rsidR="00794B7C" w:rsidRPr="00713130" w:rsidRDefault="00794B7C" w:rsidP="00794B7C">
                            <w:pPr>
                              <w:pStyle w:val="Sansinterligne"/>
                              <w:jc w:val="center"/>
                              <w:rPr>
                                <w:rFonts w:ascii="Kalinga" w:hAnsi="Kalinga" w:cs="Kalinga"/>
                                <w:sz w:val="12"/>
                                <w:szCs w:val="16"/>
                              </w:rPr>
                            </w:pPr>
                            <w:r w:rsidRPr="00713130">
                              <w:rPr>
                                <w:rFonts w:ascii="Kalinga" w:hAnsi="Kalinga" w:cs="Kalinga"/>
                                <w:sz w:val="20"/>
                                <w:szCs w:val="16"/>
                              </w:rPr>
                              <w:t xml:space="preserve">SE NOTIFICÓ POR ESTADO DEL DÍA </w:t>
                            </w:r>
                          </w:p>
                          <w:p w:rsidR="00794B7C" w:rsidRDefault="00794B7C" w:rsidP="00794B7C">
                            <w:pPr>
                              <w:jc w:val="center"/>
                              <w:rPr>
                                <w:rFonts w:ascii="Kalinga" w:hAnsi="Kalinga" w:cs="Kalinga"/>
                                <w:color w:val="000000"/>
                                <w:szCs w:val="22"/>
                              </w:rPr>
                            </w:pPr>
                          </w:p>
                          <w:p w:rsidR="00794B7C" w:rsidRPr="00713130" w:rsidRDefault="00794B7C" w:rsidP="00794B7C">
                            <w:pPr>
                              <w:jc w:val="center"/>
                              <w:rPr>
                                <w:rFonts w:ascii="Kalinga" w:hAnsi="Kalinga" w:cs="Kalinga"/>
                                <w:color w:val="000000"/>
                                <w:szCs w:val="22"/>
                              </w:rPr>
                            </w:pPr>
                            <w:r w:rsidRPr="00713130">
                              <w:rPr>
                                <w:rFonts w:ascii="Kalinga" w:hAnsi="Kalinga" w:cs="Kalinga"/>
                                <w:color w:val="000000"/>
                                <w:szCs w:val="22"/>
                              </w:rPr>
                              <w:t>______________________________</w:t>
                            </w:r>
                          </w:p>
                          <w:p w:rsidR="00794B7C" w:rsidRPr="00BB62F4" w:rsidRDefault="00794B7C" w:rsidP="00794B7C">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794B7C" w:rsidRPr="00713130" w:rsidRDefault="00794B7C" w:rsidP="00794B7C">
                            <w:pPr>
                              <w:pStyle w:val="Sansinterligne"/>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794B7C" w:rsidRPr="00AC087B" w:rsidRDefault="00794B7C" w:rsidP="00794B7C">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0FC0FF" id="Rectangle 7" o:spid="_x0000_s1026" style="position:absolute;left:0;text-align:left;margin-left:218.4pt;margin-top:8.9pt;width:210.4pt;height:10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" strokeweight="2.25pt">
                <v:stroke linestyle="thickThin"/>
                <v:textbox>
                  <w:txbxContent>
                    <w:p w:rsidR="00794B7C" w:rsidRPr="00713130" w:rsidRDefault="00794B7C" w:rsidP="00794B7C">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794B7C" w:rsidRPr="00713130" w:rsidRDefault="00794B7C" w:rsidP="00794B7C">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794B7C" w:rsidRDefault="00794B7C" w:rsidP="00794B7C">
                      <w:pPr>
                        <w:jc w:val="center"/>
                        <w:rPr>
                          <w:rFonts w:ascii="Kalinga" w:hAnsi="Kalinga" w:cs="Kalinga"/>
                          <w:color w:val="000000"/>
                          <w:szCs w:val="22"/>
                        </w:rPr>
                      </w:pPr>
                    </w:p>
                    <w:p w:rsidR="00794B7C" w:rsidRPr="00713130" w:rsidRDefault="00794B7C" w:rsidP="00794B7C">
                      <w:pPr>
                        <w:jc w:val="center"/>
                        <w:rPr>
                          <w:rFonts w:ascii="Kalinga" w:hAnsi="Kalinga" w:cs="Kalinga"/>
                          <w:color w:val="000000"/>
                          <w:szCs w:val="22"/>
                        </w:rPr>
                      </w:pPr>
                      <w:r w:rsidRPr="00713130">
                        <w:rPr>
                          <w:rFonts w:ascii="Kalinga" w:hAnsi="Kalinga" w:cs="Kalinga"/>
                          <w:color w:val="000000"/>
                          <w:szCs w:val="22"/>
                        </w:rPr>
                        <w:t>______________________________</w:t>
                      </w:r>
                    </w:p>
                    <w:p w:rsidR="00794B7C" w:rsidRPr="00BB62F4" w:rsidRDefault="00794B7C" w:rsidP="00794B7C">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794B7C" w:rsidRPr="00713130" w:rsidRDefault="00794B7C" w:rsidP="00794B7C">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794B7C" w:rsidRPr="00AC087B" w:rsidRDefault="00794B7C" w:rsidP="00794B7C">
                      <w:pPr>
                        <w:jc w:val="center"/>
                        <w:rPr>
                          <w:rFonts w:ascii="Kalinga" w:hAnsi="Kalinga" w:cs="Kalinga"/>
                          <w:sz w:val="22"/>
                          <w:szCs w:val="22"/>
                        </w:rPr>
                      </w:pPr>
                    </w:p>
                  </w:txbxContent>
                </v:textbox>
                <w10:wrap anchorx="page"/>
              </v:rect>
            </w:pict>
          </mc:Fallback>
        </mc:AlternateContent>
      </w:r>
    </w:p>
    <w:p w:rsidR="00D94D58" w:rsidRDefault="00D915F4" w:rsidP="00A11F60">
      <w:pPr>
        <w:pStyle w:val="Corpsdetexte"/>
        <w:spacing w:line="360" w:lineRule="auto"/>
        <w:jc w:val="right"/>
        <w:rPr>
          <w:rFonts w:ascii="Arial" w:hAnsi="Arial"/>
          <w:i/>
          <w:caps/>
          <w:spacing w:val="20"/>
          <w:w w:val="150"/>
          <w:sz w:val="8"/>
          <w:szCs w:val="12"/>
          <w:lang w:val="en-US"/>
        </w:rPr>
      </w:pPr>
      <w:r w:rsidRPr="00F6458D">
        <w:rPr>
          <w:rFonts w:ascii="Arial" w:hAnsi="Arial"/>
          <w:i/>
          <w:caps/>
          <w:spacing w:val="20"/>
          <w:w w:val="150"/>
          <w:sz w:val="8"/>
          <w:szCs w:val="12"/>
          <w:lang w:val="en-US"/>
        </w:rPr>
        <w:t xml:space="preserve">dgh / </w:t>
      </w:r>
      <w:r w:rsidR="00F6458D" w:rsidRPr="00F6458D">
        <w:rPr>
          <w:rFonts w:ascii="Arial" w:hAnsi="Arial"/>
          <w:i/>
          <w:caps/>
          <w:spacing w:val="20"/>
          <w:w w:val="150"/>
          <w:sz w:val="8"/>
          <w:szCs w:val="12"/>
          <w:lang w:val="en-US"/>
        </w:rPr>
        <w:t>DGD</w:t>
      </w:r>
      <w:r w:rsidR="00360576" w:rsidRPr="00F6458D">
        <w:rPr>
          <w:rFonts w:ascii="Arial" w:hAnsi="Arial"/>
          <w:i/>
          <w:caps/>
          <w:spacing w:val="20"/>
          <w:w w:val="150"/>
          <w:sz w:val="8"/>
          <w:szCs w:val="12"/>
          <w:lang w:val="en-US"/>
        </w:rPr>
        <w:t>/ 201</w:t>
      </w:r>
      <w:r w:rsidR="008A52AE">
        <w:rPr>
          <w:rFonts w:ascii="Arial" w:hAnsi="Arial"/>
          <w:i/>
          <w:caps/>
          <w:spacing w:val="20"/>
          <w:w w:val="150"/>
          <w:sz w:val="8"/>
          <w:szCs w:val="12"/>
          <w:lang w:val="en-US"/>
        </w:rPr>
        <w:t>6</w:t>
      </w:r>
    </w:p>
    <w:p w:rsidR="00794B7C" w:rsidRDefault="00794B7C" w:rsidP="00A11F60">
      <w:pPr>
        <w:pStyle w:val="Corpsdetexte"/>
        <w:spacing w:line="360" w:lineRule="auto"/>
        <w:jc w:val="right"/>
        <w:rPr>
          <w:rFonts w:ascii="Arial" w:hAnsi="Arial"/>
          <w:i/>
          <w:caps/>
          <w:spacing w:val="20"/>
          <w:w w:val="150"/>
          <w:sz w:val="8"/>
          <w:szCs w:val="12"/>
          <w:lang w:val="en-US"/>
        </w:rPr>
      </w:pPr>
    </w:p>
    <w:p w:rsidR="00794B7C" w:rsidRPr="00794B7C" w:rsidRDefault="00794B7C" w:rsidP="00794B7C">
      <w:pPr>
        <w:rPr>
          <w:lang w:val="en-US"/>
        </w:rPr>
      </w:pPr>
    </w:p>
    <w:p w:rsidR="00794B7C" w:rsidRPr="00794B7C" w:rsidRDefault="00794B7C" w:rsidP="00794B7C">
      <w:pPr>
        <w:rPr>
          <w:lang w:val="en-US"/>
        </w:rPr>
      </w:pPr>
    </w:p>
    <w:p w:rsidR="00794B7C" w:rsidRDefault="00794B7C" w:rsidP="00794B7C">
      <w:pPr>
        <w:rPr>
          <w:lang w:val="en-US"/>
        </w:rPr>
      </w:pPr>
    </w:p>
    <w:p w:rsidR="00111F9C" w:rsidRPr="00794B7C" w:rsidRDefault="00111F9C" w:rsidP="00794B7C">
      <w:pPr>
        <w:jc w:val="center"/>
        <w:rPr>
          <w:lang w:val="en-US"/>
        </w:rPr>
      </w:pPr>
    </w:p>
    <w:sectPr w:rsidR="00111F9C" w:rsidRPr="00794B7C" w:rsidSect="00986196">
      <w:headerReference w:type="default" r:id="rId10"/>
      <w:footerReference w:type="default" r:id="rId11"/>
      <w:pgSz w:w="12240" w:h="18720"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14" w:rsidRDefault="00251F14" w:rsidP="009A1240">
      <w:r>
        <w:separator/>
      </w:r>
    </w:p>
  </w:endnote>
  <w:endnote w:type="continuationSeparator" w:id="0">
    <w:p w:rsidR="00251F14" w:rsidRDefault="00251F14"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linga">
    <w:altName w:val="Gadugi"/>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3" w:rsidRDefault="00045CE3" w:rsidP="00045CE3">
    <w:pPr>
      <w:pStyle w:val="Pieddepage"/>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depage"/>
      <w:spacing w:line="360" w:lineRule="auto"/>
      <w:jc w:val="right"/>
      <w:rPr>
        <w:rFonts w:ascii="Arial" w:hAnsi="Arial" w:cs="Arial"/>
        <w:spacing w:val="20"/>
        <w:w w:val="200"/>
        <w:sz w:val="14"/>
        <w:szCs w:val="10"/>
        <w:lang w:val="es-CO"/>
      </w:rPr>
    </w:pPr>
  </w:p>
  <w:p w:rsidR="003C5098" w:rsidRPr="003E18D8" w:rsidRDefault="003C5098" w:rsidP="003C5098">
    <w:pPr>
      <w:pStyle w:val="Pieddepage"/>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depage"/>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14" w:rsidRDefault="00251F14" w:rsidP="009A1240">
      <w:r>
        <w:separator/>
      </w:r>
    </w:p>
  </w:footnote>
  <w:footnote w:type="continuationSeparator" w:id="0">
    <w:p w:rsidR="00251F14" w:rsidRDefault="00251F14" w:rsidP="009A1240">
      <w:r>
        <w:continuationSeparator/>
      </w:r>
    </w:p>
  </w:footnote>
  <w:footnote w:id="1">
    <w:p w:rsidR="001902A0" w:rsidRPr="001902A0" w:rsidRDefault="001902A0" w:rsidP="001902A0">
      <w:pPr>
        <w:pStyle w:val="Notedebasdepage"/>
        <w:jc w:val="both"/>
        <w:rPr>
          <w:lang w:val="es-CO"/>
        </w:rPr>
      </w:pPr>
      <w:r>
        <w:rPr>
          <w:rStyle w:val="Appelnotedebasdep"/>
        </w:rPr>
        <w:footnoteRef/>
      </w:r>
      <w:r>
        <w:rPr>
          <w:rFonts w:asciiTheme="minorHAnsi" w:hAnsiTheme="minorHAnsi" w:cs="Calibri"/>
          <w:szCs w:val="18"/>
          <w:lang w:val="es-CO"/>
        </w:rPr>
        <w:t xml:space="preserve"> </w:t>
      </w:r>
      <w:r w:rsidRPr="003A4792">
        <w:rPr>
          <w:rFonts w:asciiTheme="minorHAnsi" w:hAnsiTheme="minorHAnsi" w:cs="Calibri"/>
          <w:szCs w:val="18"/>
          <w:lang w:val="es-CO"/>
        </w:rPr>
        <w:t>LÓPEZ B</w:t>
      </w:r>
      <w:r>
        <w:rPr>
          <w:rFonts w:asciiTheme="minorHAnsi" w:hAnsiTheme="minorHAnsi" w:cs="Calibri"/>
          <w:szCs w:val="18"/>
          <w:lang w:val="es-CO"/>
        </w:rPr>
        <w:t>.</w:t>
      </w:r>
      <w:r w:rsidRPr="003A4792">
        <w:rPr>
          <w:rFonts w:asciiTheme="minorHAnsi" w:hAnsiTheme="minorHAnsi" w:cs="Calibri"/>
          <w:szCs w:val="18"/>
          <w:lang w:val="es-CO"/>
        </w:rPr>
        <w:t xml:space="preserve">, Hernán F. </w:t>
      </w:r>
      <w:r>
        <w:rPr>
          <w:rFonts w:asciiTheme="minorHAnsi" w:hAnsiTheme="minorHAnsi" w:cs="Calibri"/>
          <w:szCs w:val="18"/>
          <w:lang w:val="es-CO"/>
        </w:rPr>
        <w:t>Código General del Proceso</w:t>
      </w:r>
      <w:r w:rsidRPr="003A4792">
        <w:rPr>
          <w:rFonts w:asciiTheme="minorHAnsi" w:hAnsiTheme="minorHAnsi" w:cs="Calibri"/>
          <w:szCs w:val="18"/>
          <w:lang w:val="es-CO"/>
        </w:rPr>
        <w:t xml:space="preserve">, parte general, Bogotá DC, </w:t>
      </w:r>
      <w:proofErr w:type="spellStart"/>
      <w:r w:rsidRPr="003A4792">
        <w:rPr>
          <w:rFonts w:asciiTheme="minorHAnsi" w:hAnsiTheme="minorHAnsi" w:cs="Calibri"/>
          <w:szCs w:val="18"/>
          <w:lang w:val="es-CO"/>
        </w:rPr>
        <w:t>Dupré</w:t>
      </w:r>
      <w:proofErr w:type="spellEnd"/>
      <w:r w:rsidRPr="003A4792">
        <w:rPr>
          <w:rFonts w:asciiTheme="minorHAnsi" w:hAnsiTheme="minorHAnsi" w:cs="Calibri"/>
          <w:szCs w:val="18"/>
          <w:lang w:val="es-CO"/>
        </w:rPr>
        <w:t xml:space="preserve"> editores, 201</w:t>
      </w:r>
      <w:r>
        <w:rPr>
          <w:rFonts w:asciiTheme="minorHAnsi" w:hAnsiTheme="minorHAnsi" w:cs="Calibri"/>
          <w:szCs w:val="18"/>
          <w:lang w:val="es-CO"/>
        </w:rPr>
        <w:t>6</w:t>
      </w:r>
      <w:r w:rsidRPr="003A4792">
        <w:rPr>
          <w:rFonts w:asciiTheme="minorHAnsi" w:hAnsiTheme="minorHAnsi" w:cs="Calibri"/>
          <w:szCs w:val="18"/>
          <w:lang w:val="es-CO"/>
        </w:rPr>
        <w:t xml:space="preserve">, </w:t>
      </w:r>
      <w:proofErr w:type="spellStart"/>
      <w:r w:rsidRPr="003A4792">
        <w:rPr>
          <w:rFonts w:asciiTheme="minorHAnsi" w:hAnsiTheme="minorHAnsi" w:cs="Calibri"/>
          <w:szCs w:val="18"/>
          <w:lang w:val="es-CO"/>
        </w:rPr>
        <w:t>p.</w:t>
      </w:r>
      <w:r>
        <w:rPr>
          <w:rFonts w:asciiTheme="minorHAnsi" w:hAnsiTheme="minorHAnsi" w:cs="Calibri"/>
          <w:szCs w:val="18"/>
          <w:lang w:val="es-CO"/>
        </w:rPr>
        <w:t>909</w:t>
      </w:r>
      <w:proofErr w:type="spellEnd"/>
      <w:r>
        <w:rPr>
          <w:rFonts w:asciiTheme="minorHAnsi" w:hAnsiTheme="minorHAnsi" w:cs="Calibri"/>
          <w:szCs w:val="18"/>
          <w:lang w:val="es-CO"/>
        </w:rPr>
        <w:t xml:space="preserve"> </w:t>
      </w:r>
      <w:proofErr w:type="spellStart"/>
      <w:r>
        <w:rPr>
          <w:rFonts w:asciiTheme="minorHAnsi" w:hAnsiTheme="minorHAnsi" w:cs="Calibri"/>
          <w:szCs w:val="18"/>
          <w:lang w:val="es-CO"/>
        </w:rPr>
        <w:t>ss</w:t>
      </w:r>
      <w:proofErr w:type="spellEnd"/>
      <w:r>
        <w:t>.</w:t>
      </w:r>
    </w:p>
  </w:footnote>
  <w:footnote w:id="2">
    <w:p w:rsidR="001902A0" w:rsidRPr="001902A0" w:rsidRDefault="001902A0" w:rsidP="001902A0">
      <w:pPr>
        <w:pStyle w:val="Notedebasdepage"/>
        <w:jc w:val="both"/>
        <w:rPr>
          <w:lang w:val="es-CO"/>
        </w:rPr>
      </w:pPr>
      <w:r>
        <w:rPr>
          <w:rStyle w:val="Appelnotedebasdep"/>
        </w:rPr>
        <w:footnoteRef/>
      </w:r>
      <w:r>
        <w:t xml:space="preserve"> </w:t>
      </w:r>
      <w:r w:rsidRPr="006725A4">
        <w:rPr>
          <w:rFonts w:asciiTheme="minorHAnsi" w:hAnsiTheme="minorHAnsi" w:cs="Calibri"/>
        </w:rPr>
        <w:t>INSTITUTO COLOMBIANO DE DERECHO PROCESAL. Código General del Proceso</w:t>
      </w:r>
      <w:r w:rsidRPr="006725A4">
        <w:rPr>
          <w:rFonts w:asciiTheme="minorHAnsi" w:hAnsiTheme="minorHAnsi" w:cs="Calibri"/>
          <w:lang w:val="es-CO"/>
        </w:rPr>
        <w:t>, Henry Sanabria S</w:t>
      </w:r>
      <w:r>
        <w:rPr>
          <w:rFonts w:asciiTheme="minorHAnsi" w:hAnsiTheme="minorHAnsi" w:cs="Calibri"/>
          <w:lang w:val="es-CO"/>
        </w:rPr>
        <w:t>.</w:t>
      </w:r>
      <w:r w:rsidRPr="006725A4">
        <w:rPr>
          <w:rFonts w:asciiTheme="minorHAnsi" w:hAnsiTheme="minorHAnsi" w:cs="Calibri"/>
          <w:lang w:val="es-CO"/>
        </w:rPr>
        <w:t>, Impresor Panamericana Formas e Impresos SAS, 2014, p.258</w:t>
      </w:r>
      <w:r>
        <w:rPr>
          <w:rFonts w:asciiTheme="minorHAnsi" w:hAnsiTheme="minorHAnsi" w:cs="Calibri"/>
          <w:lang w:val="es-CO"/>
        </w:rPr>
        <w:t>.</w:t>
      </w:r>
      <w:r>
        <w:t xml:space="preserve"> </w:t>
      </w:r>
    </w:p>
  </w:footnote>
  <w:footnote w:id="3">
    <w:p w:rsidR="00350C7A" w:rsidRPr="00350C7A" w:rsidRDefault="00350C7A">
      <w:pPr>
        <w:pStyle w:val="Notedebasdepage"/>
        <w:rPr>
          <w:lang w:val="es-CO"/>
        </w:rPr>
      </w:pPr>
      <w:r>
        <w:rPr>
          <w:rStyle w:val="Appelnotedebasdep"/>
        </w:rPr>
        <w:footnoteRef/>
      </w:r>
      <w:r>
        <w:t xml:space="preserve"> </w:t>
      </w:r>
      <w:r>
        <w:rPr>
          <w:rFonts w:asciiTheme="minorHAnsi" w:hAnsiTheme="minorHAnsi"/>
          <w:lang w:val="es-CO"/>
        </w:rPr>
        <w:t>CSJ, Civil. Sentencia SC15413 de 2014, MP: Margarita Cabello B.</w:t>
      </w:r>
    </w:p>
  </w:footnote>
  <w:footnote w:id="4">
    <w:p w:rsidR="004A4D2E" w:rsidRDefault="004A4D2E" w:rsidP="004A4D2E">
      <w:pPr>
        <w:pStyle w:val="Notedebasdepage"/>
        <w:jc w:val="both"/>
        <w:rPr>
          <w:rFonts w:asciiTheme="minorHAnsi" w:hAnsiTheme="minorHAnsi" w:cs="Arial"/>
          <w:lang w:val="es-CO"/>
        </w:rPr>
      </w:pPr>
      <w:r>
        <w:rPr>
          <w:rStyle w:val="Appelnotedebasdep"/>
          <w:rFonts w:asciiTheme="minorHAnsi" w:hAnsiTheme="minorHAnsi" w:cs="Arial"/>
        </w:rPr>
        <w:footnoteRef/>
      </w:r>
      <w:r>
        <w:rPr>
          <w:rFonts w:asciiTheme="minorHAnsi" w:hAnsiTheme="minorHAnsi" w:cs="Arial"/>
        </w:rPr>
        <w:t xml:space="preserve"> </w:t>
      </w:r>
      <w:r>
        <w:rPr>
          <w:rFonts w:asciiTheme="minorHAnsi" w:hAnsiTheme="minorHAnsi"/>
          <w:lang w:val="es-CO"/>
        </w:rPr>
        <w:t xml:space="preserve">CSJ, Civil.  Sentencia del 11-10-1999, </w:t>
      </w:r>
      <w:proofErr w:type="spellStart"/>
      <w:r>
        <w:rPr>
          <w:rFonts w:asciiTheme="minorHAnsi" w:hAnsiTheme="minorHAnsi"/>
          <w:lang w:val="es-CO"/>
        </w:rPr>
        <w:t>MP</w:t>
      </w:r>
      <w:proofErr w:type="spellEnd"/>
      <w:r>
        <w:rPr>
          <w:rFonts w:asciiTheme="minorHAnsi" w:hAnsiTheme="minorHAnsi"/>
          <w:lang w:val="es-CO"/>
        </w:rPr>
        <w:t xml:space="preserve">: Nicolás </w:t>
      </w:r>
      <w:proofErr w:type="spellStart"/>
      <w:r>
        <w:rPr>
          <w:rFonts w:asciiTheme="minorHAnsi" w:hAnsiTheme="minorHAnsi"/>
          <w:lang w:val="es-CO"/>
        </w:rPr>
        <w:t>Bechara</w:t>
      </w:r>
      <w:proofErr w:type="spellEnd"/>
      <w:r>
        <w:rPr>
          <w:rFonts w:asciiTheme="minorHAnsi" w:hAnsiTheme="minorHAnsi"/>
          <w:lang w:val="es-CO"/>
        </w:rPr>
        <w:t xml:space="preserve"> S</w:t>
      </w:r>
      <w:r w:rsidR="004972C9">
        <w:rPr>
          <w:rFonts w:asciiTheme="minorHAnsi" w:hAnsiTheme="minorHAnsi"/>
          <w:lang w:val="es-CO"/>
        </w:rPr>
        <w:t>.,</w:t>
      </w:r>
      <w:r>
        <w:rPr>
          <w:rFonts w:asciiTheme="minorHAnsi" w:hAnsiTheme="minorHAnsi"/>
          <w:lang w:val="es-CO"/>
        </w:rPr>
        <w:t xml:space="preserve"> No.6398.</w:t>
      </w:r>
    </w:p>
  </w:footnote>
  <w:footnote w:id="5">
    <w:p w:rsidR="004A4D2E" w:rsidRDefault="004A4D2E" w:rsidP="004A4D2E">
      <w:pPr>
        <w:pStyle w:val="Notedebasdepage"/>
        <w:jc w:val="both"/>
        <w:rPr>
          <w:rFonts w:asciiTheme="minorHAnsi" w:hAnsiTheme="minorHAnsi"/>
          <w:lang w:val="es-CO"/>
        </w:rPr>
      </w:pPr>
      <w:r>
        <w:rPr>
          <w:rStyle w:val="Appelnotedebasdep"/>
          <w:rFonts w:asciiTheme="minorHAnsi" w:hAnsiTheme="minorHAnsi"/>
        </w:rPr>
        <w:footnoteRef/>
      </w:r>
      <w:r>
        <w:rPr>
          <w:rFonts w:asciiTheme="minorHAnsi" w:hAnsiTheme="minorHAnsi"/>
        </w:rPr>
        <w:t xml:space="preserve"> </w:t>
      </w:r>
      <w:r w:rsidR="004972C9">
        <w:rPr>
          <w:rFonts w:asciiTheme="minorHAnsi" w:hAnsiTheme="minorHAnsi"/>
          <w:lang w:val="es-CO"/>
        </w:rPr>
        <w:t>CSJ, Civil.</w:t>
      </w:r>
      <w:r>
        <w:rPr>
          <w:rFonts w:asciiTheme="minorHAnsi" w:hAnsiTheme="minorHAnsi" w:cs="Arial"/>
        </w:rPr>
        <w:t xml:space="preserve"> Sentencia STC4610-2014, MP: Fernando Giraldo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3" w:rsidRPr="00B62758" w:rsidRDefault="00045CE3" w:rsidP="00045CE3">
    <w:pPr>
      <w:pStyle w:val="En-tte"/>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9B1094" w:rsidRPr="009B1094">
      <w:rPr>
        <w:rFonts w:asciiTheme="minorHAnsi" w:hAnsiTheme="minorHAnsi" w:cs="Calibri"/>
        <w:bCs/>
        <w:noProof/>
      </w:rPr>
      <w:t>5</w:t>
    </w:r>
    <w:r w:rsidRPr="00B62758">
      <w:rPr>
        <w:rFonts w:asciiTheme="minorHAnsi" w:hAnsiTheme="minorHAnsi" w:cs="Calibri"/>
      </w:rPr>
      <w:fldChar w:fldCharType="end"/>
    </w:r>
  </w:p>
  <w:p w:rsidR="00045CE3" w:rsidRPr="00323447" w:rsidRDefault="00045CE3" w:rsidP="00045CE3">
    <w:pPr>
      <w:pStyle w:val="En-tte"/>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No.20</w:t>
    </w:r>
    <w:r w:rsidR="008B7145">
      <w:rPr>
        <w:rFonts w:asciiTheme="majorHAnsi" w:hAnsiTheme="majorHAnsi" w:cs="Iskoola Pota"/>
        <w:i/>
        <w:sz w:val="16"/>
        <w:lang w:val="es-CO"/>
      </w:rPr>
      <w:t>1</w:t>
    </w:r>
    <w:r w:rsidR="005846B6">
      <w:rPr>
        <w:rFonts w:asciiTheme="majorHAnsi" w:hAnsiTheme="majorHAnsi" w:cs="Iskoola Pota"/>
        <w:i/>
        <w:sz w:val="16"/>
        <w:lang w:val="es-CO"/>
      </w:rPr>
      <w:t>5</w:t>
    </w:r>
    <w:r w:rsidRPr="00323447">
      <w:rPr>
        <w:rFonts w:asciiTheme="majorHAnsi" w:hAnsiTheme="majorHAnsi" w:cs="Iskoola Pota"/>
        <w:i/>
        <w:sz w:val="16"/>
        <w:lang w:val="es-CO"/>
      </w:rPr>
      <w:t>-00</w:t>
    </w:r>
    <w:r w:rsidR="00B248EB">
      <w:rPr>
        <w:rFonts w:asciiTheme="majorHAnsi" w:hAnsiTheme="majorHAnsi" w:cs="Iskoola Pota"/>
        <w:i/>
        <w:sz w:val="16"/>
        <w:lang w:val="es-CO"/>
      </w:rPr>
      <w:t>626</w:t>
    </w:r>
    <w:r w:rsidR="00AC7745">
      <w:rPr>
        <w:rFonts w:asciiTheme="majorHAnsi" w:hAnsiTheme="majorHAnsi" w:cs="Iskoola Pota"/>
        <w:i/>
        <w:sz w:val="16"/>
        <w:lang w:val="es-CO"/>
      </w:rPr>
      <w:t>-</w:t>
    </w:r>
    <w:r w:rsidRPr="00323447">
      <w:rPr>
        <w:rFonts w:asciiTheme="majorHAnsi" w:hAnsiTheme="majorHAnsi" w:cs="Iskoola Pota"/>
        <w:i/>
        <w:sz w:val="16"/>
        <w:lang w:val="es-CO"/>
      </w:rPr>
      <w:t>0</w:t>
    </w:r>
    <w:r w:rsidR="008B7145">
      <w:rPr>
        <w:rFonts w:asciiTheme="majorHAnsi" w:hAnsiTheme="majorHAnsi" w:cs="Iskoola Pota"/>
        <w:i/>
        <w:sz w:val="16"/>
        <w:lang w:val="es-CO"/>
      </w:rPr>
      <w:t>1</w:t>
    </w:r>
  </w:p>
  <w:p w:rsidR="008D321B" w:rsidRPr="00045CE3" w:rsidRDefault="008D321B" w:rsidP="00045C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2"/>
    <w:rsid w:val="0000570F"/>
    <w:rsid w:val="000111C6"/>
    <w:rsid w:val="000124CA"/>
    <w:rsid w:val="00032991"/>
    <w:rsid w:val="0004285E"/>
    <w:rsid w:val="00045CE3"/>
    <w:rsid w:val="00050BAF"/>
    <w:rsid w:val="00050E52"/>
    <w:rsid w:val="000521D3"/>
    <w:rsid w:val="00054BF9"/>
    <w:rsid w:val="00054ED1"/>
    <w:rsid w:val="00057617"/>
    <w:rsid w:val="00057B5C"/>
    <w:rsid w:val="00060A66"/>
    <w:rsid w:val="00061786"/>
    <w:rsid w:val="00063444"/>
    <w:rsid w:val="00063E12"/>
    <w:rsid w:val="00073E33"/>
    <w:rsid w:val="00076EDC"/>
    <w:rsid w:val="00081450"/>
    <w:rsid w:val="00091B32"/>
    <w:rsid w:val="00093D74"/>
    <w:rsid w:val="000979F2"/>
    <w:rsid w:val="000A3198"/>
    <w:rsid w:val="000A4144"/>
    <w:rsid w:val="000B2C44"/>
    <w:rsid w:val="000B416A"/>
    <w:rsid w:val="000B4877"/>
    <w:rsid w:val="000B5B84"/>
    <w:rsid w:val="000B62AF"/>
    <w:rsid w:val="000D03C3"/>
    <w:rsid w:val="000D106C"/>
    <w:rsid w:val="000D1C67"/>
    <w:rsid w:val="000D4106"/>
    <w:rsid w:val="000D51C5"/>
    <w:rsid w:val="000D579D"/>
    <w:rsid w:val="000D70EB"/>
    <w:rsid w:val="000E1102"/>
    <w:rsid w:val="000E18D0"/>
    <w:rsid w:val="000E4FA0"/>
    <w:rsid w:val="000E7392"/>
    <w:rsid w:val="000F08E0"/>
    <w:rsid w:val="000F16E3"/>
    <w:rsid w:val="000F1B66"/>
    <w:rsid w:val="000F3C01"/>
    <w:rsid w:val="000F6932"/>
    <w:rsid w:val="00107E1A"/>
    <w:rsid w:val="00110366"/>
    <w:rsid w:val="00111F9C"/>
    <w:rsid w:val="00112D32"/>
    <w:rsid w:val="001130D4"/>
    <w:rsid w:val="00114608"/>
    <w:rsid w:val="00114FEE"/>
    <w:rsid w:val="00117C9A"/>
    <w:rsid w:val="0012018F"/>
    <w:rsid w:val="00121881"/>
    <w:rsid w:val="00122AF4"/>
    <w:rsid w:val="00122CE4"/>
    <w:rsid w:val="00132BE5"/>
    <w:rsid w:val="00134551"/>
    <w:rsid w:val="001403D4"/>
    <w:rsid w:val="00141432"/>
    <w:rsid w:val="00142393"/>
    <w:rsid w:val="001445DE"/>
    <w:rsid w:val="001446B1"/>
    <w:rsid w:val="001452E0"/>
    <w:rsid w:val="00157865"/>
    <w:rsid w:val="00165916"/>
    <w:rsid w:val="00176160"/>
    <w:rsid w:val="00184852"/>
    <w:rsid w:val="00186705"/>
    <w:rsid w:val="00190036"/>
    <w:rsid w:val="001902A0"/>
    <w:rsid w:val="00193145"/>
    <w:rsid w:val="001A46C4"/>
    <w:rsid w:val="001A565D"/>
    <w:rsid w:val="001A688F"/>
    <w:rsid w:val="001B2496"/>
    <w:rsid w:val="001B3230"/>
    <w:rsid w:val="001B4583"/>
    <w:rsid w:val="001B4B9B"/>
    <w:rsid w:val="001C36DF"/>
    <w:rsid w:val="001C3F97"/>
    <w:rsid w:val="001C51D4"/>
    <w:rsid w:val="001C5578"/>
    <w:rsid w:val="001C5598"/>
    <w:rsid w:val="001D0AA3"/>
    <w:rsid w:val="001D5F8C"/>
    <w:rsid w:val="001D60DE"/>
    <w:rsid w:val="001D7953"/>
    <w:rsid w:val="001D7E85"/>
    <w:rsid w:val="001E18FB"/>
    <w:rsid w:val="001E57DE"/>
    <w:rsid w:val="001F53B6"/>
    <w:rsid w:val="00201848"/>
    <w:rsid w:val="00204BB6"/>
    <w:rsid w:val="00207C51"/>
    <w:rsid w:val="0021075B"/>
    <w:rsid w:val="00216AE8"/>
    <w:rsid w:val="002243EA"/>
    <w:rsid w:val="00227FA6"/>
    <w:rsid w:val="00230208"/>
    <w:rsid w:val="00231A7F"/>
    <w:rsid w:val="00232FC6"/>
    <w:rsid w:val="0023681D"/>
    <w:rsid w:val="00236A9B"/>
    <w:rsid w:val="0023704F"/>
    <w:rsid w:val="00237B2C"/>
    <w:rsid w:val="00237BF5"/>
    <w:rsid w:val="002419D4"/>
    <w:rsid w:val="00243379"/>
    <w:rsid w:val="0024455A"/>
    <w:rsid w:val="00247FA8"/>
    <w:rsid w:val="00251F14"/>
    <w:rsid w:val="00257943"/>
    <w:rsid w:val="002579E7"/>
    <w:rsid w:val="00257B1F"/>
    <w:rsid w:val="00266906"/>
    <w:rsid w:val="002711FB"/>
    <w:rsid w:val="0027637D"/>
    <w:rsid w:val="00276737"/>
    <w:rsid w:val="00280589"/>
    <w:rsid w:val="002825A8"/>
    <w:rsid w:val="002860D6"/>
    <w:rsid w:val="00286E35"/>
    <w:rsid w:val="002873EC"/>
    <w:rsid w:val="002912F2"/>
    <w:rsid w:val="00297096"/>
    <w:rsid w:val="002A0A88"/>
    <w:rsid w:val="002A18D8"/>
    <w:rsid w:val="002A55F9"/>
    <w:rsid w:val="002A5F6E"/>
    <w:rsid w:val="002B513B"/>
    <w:rsid w:val="002C37C0"/>
    <w:rsid w:val="002C4195"/>
    <w:rsid w:val="002C6B60"/>
    <w:rsid w:val="002C7A37"/>
    <w:rsid w:val="002D045F"/>
    <w:rsid w:val="002D4917"/>
    <w:rsid w:val="002D605B"/>
    <w:rsid w:val="002E0BA3"/>
    <w:rsid w:val="002E20D6"/>
    <w:rsid w:val="002E21FB"/>
    <w:rsid w:val="002E5263"/>
    <w:rsid w:val="002E562C"/>
    <w:rsid w:val="002F4DF5"/>
    <w:rsid w:val="002F7410"/>
    <w:rsid w:val="003013A2"/>
    <w:rsid w:val="00305C99"/>
    <w:rsid w:val="00310EAB"/>
    <w:rsid w:val="003169B1"/>
    <w:rsid w:val="00316BE2"/>
    <w:rsid w:val="00323447"/>
    <w:rsid w:val="003319C7"/>
    <w:rsid w:val="00331B14"/>
    <w:rsid w:val="003336C3"/>
    <w:rsid w:val="00342E88"/>
    <w:rsid w:val="003458B9"/>
    <w:rsid w:val="00350C7A"/>
    <w:rsid w:val="00352931"/>
    <w:rsid w:val="00354E29"/>
    <w:rsid w:val="00360576"/>
    <w:rsid w:val="00363D70"/>
    <w:rsid w:val="00366D3B"/>
    <w:rsid w:val="00370D1D"/>
    <w:rsid w:val="00371D56"/>
    <w:rsid w:val="0038158A"/>
    <w:rsid w:val="00384791"/>
    <w:rsid w:val="00386111"/>
    <w:rsid w:val="00392869"/>
    <w:rsid w:val="00392F07"/>
    <w:rsid w:val="00393DD3"/>
    <w:rsid w:val="00395E26"/>
    <w:rsid w:val="003972DC"/>
    <w:rsid w:val="003A1A5B"/>
    <w:rsid w:val="003A4792"/>
    <w:rsid w:val="003B19D8"/>
    <w:rsid w:val="003B445E"/>
    <w:rsid w:val="003B5E6E"/>
    <w:rsid w:val="003C5098"/>
    <w:rsid w:val="003C7051"/>
    <w:rsid w:val="003C77D5"/>
    <w:rsid w:val="003D081D"/>
    <w:rsid w:val="003D67D8"/>
    <w:rsid w:val="003D6C3D"/>
    <w:rsid w:val="003E0818"/>
    <w:rsid w:val="003E1A30"/>
    <w:rsid w:val="003E236C"/>
    <w:rsid w:val="003E3CF7"/>
    <w:rsid w:val="003E4533"/>
    <w:rsid w:val="003E5ED3"/>
    <w:rsid w:val="003F3AD2"/>
    <w:rsid w:val="00400B90"/>
    <w:rsid w:val="00402132"/>
    <w:rsid w:val="00403F27"/>
    <w:rsid w:val="004041EA"/>
    <w:rsid w:val="00407A11"/>
    <w:rsid w:val="00411AC5"/>
    <w:rsid w:val="004139EB"/>
    <w:rsid w:val="00414421"/>
    <w:rsid w:val="004155DE"/>
    <w:rsid w:val="004203C3"/>
    <w:rsid w:val="00427BE4"/>
    <w:rsid w:val="004335C7"/>
    <w:rsid w:val="00436669"/>
    <w:rsid w:val="00437EF2"/>
    <w:rsid w:val="00455DE9"/>
    <w:rsid w:val="004614E4"/>
    <w:rsid w:val="00461F2C"/>
    <w:rsid w:val="00465107"/>
    <w:rsid w:val="00467B47"/>
    <w:rsid w:val="00471941"/>
    <w:rsid w:val="00471F25"/>
    <w:rsid w:val="00481083"/>
    <w:rsid w:val="00482924"/>
    <w:rsid w:val="004848E7"/>
    <w:rsid w:val="0048492D"/>
    <w:rsid w:val="004871C6"/>
    <w:rsid w:val="004972C9"/>
    <w:rsid w:val="004A0049"/>
    <w:rsid w:val="004A4D2E"/>
    <w:rsid w:val="004A7C24"/>
    <w:rsid w:val="004B6BF7"/>
    <w:rsid w:val="004C24E5"/>
    <w:rsid w:val="004C319B"/>
    <w:rsid w:val="004D1DC4"/>
    <w:rsid w:val="004D3020"/>
    <w:rsid w:val="004D62C6"/>
    <w:rsid w:val="004E1CAC"/>
    <w:rsid w:val="004E1EF9"/>
    <w:rsid w:val="004E2173"/>
    <w:rsid w:val="004E65E6"/>
    <w:rsid w:val="004E6A80"/>
    <w:rsid w:val="004F1726"/>
    <w:rsid w:val="004F229E"/>
    <w:rsid w:val="004F537C"/>
    <w:rsid w:val="004F7160"/>
    <w:rsid w:val="00500A43"/>
    <w:rsid w:val="00500DC5"/>
    <w:rsid w:val="005022A7"/>
    <w:rsid w:val="005035D2"/>
    <w:rsid w:val="005136BB"/>
    <w:rsid w:val="00515B6B"/>
    <w:rsid w:val="005226A9"/>
    <w:rsid w:val="0052315C"/>
    <w:rsid w:val="0052398B"/>
    <w:rsid w:val="005269C3"/>
    <w:rsid w:val="0053073B"/>
    <w:rsid w:val="0054427C"/>
    <w:rsid w:val="00544BCA"/>
    <w:rsid w:val="00550D01"/>
    <w:rsid w:val="0055115B"/>
    <w:rsid w:val="0055475B"/>
    <w:rsid w:val="0055545C"/>
    <w:rsid w:val="00564C16"/>
    <w:rsid w:val="0056502A"/>
    <w:rsid w:val="0056570B"/>
    <w:rsid w:val="00566F65"/>
    <w:rsid w:val="00570A9B"/>
    <w:rsid w:val="00570C60"/>
    <w:rsid w:val="00572804"/>
    <w:rsid w:val="005768FC"/>
    <w:rsid w:val="0058265D"/>
    <w:rsid w:val="00582F12"/>
    <w:rsid w:val="005846B6"/>
    <w:rsid w:val="0058709F"/>
    <w:rsid w:val="00592D99"/>
    <w:rsid w:val="005938D9"/>
    <w:rsid w:val="00597D74"/>
    <w:rsid w:val="005A3571"/>
    <w:rsid w:val="005B781D"/>
    <w:rsid w:val="005C1309"/>
    <w:rsid w:val="005C3D57"/>
    <w:rsid w:val="005C4919"/>
    <w:rsid w:val="005D0B8F"/>
    <w:rsid w:val="005D0C4E"/>
    <w:rsid w:val="005D39F3"/>
    <w:rsid w:val="005D49DF"/>
    <w:rsid w:val="005E03C6"/>
    <w:rsid w:val="005E5E74"/>
    <w:rsid w:val="005E604E"/>
    <w:rsid w:val="005F1FB2"/>
    <w:rsid w:val="0060427D"/>
    <w:rsid w:val="00606641"/>
    <w:rsid w:val="00607310"/>
    <w:rsid w:val="00611CB0"/>
    <w:rsid w:val="006144B3"/>
    <w:rsid w:val="00617D63"/>
    <w:rsid w:val="00623497"/>
    <w:rsid w:val="006235A9"/>
    <w:rsid w:val="00623A6D"/>
    <w:rsid w:val="00631466"/>
    <w:rsid w:val="00631717"/>
    <w:rsid w:val="00632458"/>
    <w:rsid w:val="006423C6"/>
    <w:rsid w:val="00646320"/>
    <w:rsid w:val="00647818"/>
    <w:rsid w:val="00651C7E"/>
    <w:rsid w:val="006527BF"/>
    <w:rsid w:val="006567B9"/>
    <w:rsid w:val="006575B5"/>
    <w:rsid w:val="00660E7E"/>
    <w:rsid w:val="00663341"/>
    <w:rsid w:val="00672632"/>
    <w:rsid w:val="00674682"/>
    <w:rsid w:val="00676A65"/>
    <w:rsid w:val="0067785B"/>
    <w:rsid w:val="00681A45"/>
    <w:rsid w:val="00682BBB"/>
    <w:rsid w:val="006837D2"/>
    <w:rsid w:val="00683C42"/>
    <w:rsid w:val="00684826"/>
    <w:rsid w:val="00686B69"/>
    <w:rsid w:val="006950C1"/>
    <w:rsid w:val="00695536"/>
    <w:rsid w:val="006A11EF"/>
    <w:rsid w:val="006A30E2"/>
    <w:rsid w:val="006A6085"/>
    <w:rsid w:val="006B2386"/>
    <w:rsid w:val="006B6A86"/>
    <w:rsid w:val="006B768E"/>
    <w:rsid w:val="006B7EB8"/>
    <w:rsid w:val="006C408D"/>
    <w:rsid w:val="006C4591"/>
    <w:rsid w:val="006C572F"/>
    <w:rsid w:val="006E07AA"/>
    <w:rsid w:val="006E1121"/>
    <w:rsid w:val="006E221E"/>
    <w:rsid w:val="006F310C"/>
    <w:rsid w:val="006F58F9"/>
    <w:rsid w:val="006F61F6"/>
    <w:rsid w:val="007031D1"/>
    <w:rsid w:val="00707F42"/>
    <w:rsid w:val="00715013"/>
    <w:rsid w:val="00723A3A"/>
    <w:rsid w:val="00725DA4"/>
    <w:rsid w:val="00726D6E"/>
    <w:rsid w:val="00727833"/>
    <w:rsid w:val="007326D4"/>
    <w:rsid w:val="007330E3"/>
    <w:rsid w:val="00734860"/>
    <w:rsid w:val="00737026"/>
    <w:rsid w:val="00740B86"/>
    <w:rsid w:val="0076163D"/>
    <w:rsid w:val="007668A2"/>
    <w:rsid w:val="00774AD2"/>
    <w:rsid w:val="00776488"/>
    <w:rsid w:val="00776C17"/>
    <w:rsid w:val="00780839"/>
    <w:rsid w:val="00781593"/>
    <w:rsid w:val="00781928"/>
    <w:rsid w:val="007841FC"/>
    <w:rsid w:val="007853A8"/>
    <w:rsid w:val="007860C0"/>
    <w:rsid w:val="007864D6"/>
    <w:rsid w:val="00794B7C"/>
    <w:rsid w:val="007A1804"/>
    <w:rsid w:val="007A476E"/>
    <w:rsid w:val="007A5D05"/>
    <w:rsid w:val="007C03DB"/>
    <w:rsid w:val="007C4788"/>
    <w:rsid w:val="007C66B8"/>
    <w:rsid w:val="007D102F"/>
    <w:rsid w:val="007D22B1"/>
    <w:rsid w:val="007D341B"/>
    <w:rsid w:val="007D7466"/>
    <w:rsid w:val="007E6325"/>
    <w:rsid w:val="007F105A"/>
    <w:rsid w:val="007F2975"/>
    <w:rsid w:val="007F3A25"/>
    <w:rsid w:val="007F56CD"/>
    <w:rsid w:val="00801E58"/>
    <w:rsid w:val="00810D50"/>
    <w:rsid w:val="008128BA"/>
    <w:rsid w:val="0081363A"/>
    <w:rsid w:val="00817588"/>
    <w:rsid w:val="00820BF6"/>
    <w:rsid w:val="0082292F"/>
    <w:rsid w:val="008247CC"/>
    <w:rsid w:val="00827A6D"/>
    <w:rsid w:val="0083050E"/>
    <w:rsid w:val="00832731"/>
    <w:rsid w:val="00834347"/>
    <w:rsid w:val="00834976"/>
    <w:rsid w:val="00835665"/>
    <w:rsid w:val="00842FE8"/>
    <w:rsid w:val="00852B82"/>
    <w:rsid w:val="008557A4"/>
    <w:rsid w:val="008566B5"/>
    <w:rsid w:val="0086284C"/>
    <w:rsid w:val="00863948"/>
    <w:rsid w:val="008672C3"/>
    <w:rsid w:val="00876E0A"/>
    <w:rsid w:val="0088358E"/>
    <w:rsid w:val="00884D74"/>
    <w:rsid w:val="008851BC"/>
    <w:rsid w:val="008872A2"/>
    <w:rsid w:val="008920B4"/>
    <w:rsid w:val="008930E1"/>
    <w:rsid w:val="00895B4B"/>
    <w:rsid w:val="008A52AE"/>
    <w:rsid w:val="008B14AB"/>
    <w:rsid w:val="008B18E2"/>
    <w:rsid w:val="008B3E9A"/>
    <w:rsid w:val="008B500B"/>
    <w:rsid w:val="008B7145"/>
    <w:rsid w:val="008D321B"/>
    <w:rsid w:val="008E0505"/>
    <w:rsid w:val="008E0D48"/>
    <w:rsid w:val="008E1174"/>
    <w:rsid w:val="008E678E"/>
    <w:rsid w:val="008E7C8E"/>
    <w:rsid w:val="00903782"/>
    <w:rsid w:val="009108C5"/>
    <w:rsid w:val="00910B1E"/>
    <w:rsid w:val="00911C83"/>
    <w:rsid w:val="009147CB"/>
    <w:rsid w:val="00921C1B"/>
    <w:rsid w:val="00927679"/>
    <w:rsid w:val="00944538"/>
    <w:rsid w:val="0094593D"/>
    <w:rsid w:val="0094614E"/>
    <w:rsid w:val="00952E5E"/>
    <w:rsid w:val="00953227"/>
    <w:rsid w:val="00953362"/>
    <w:rsid w:val="00953B22"/>
    <w:rsid w:val="00956A70"/>
    <w:rsid w:val="0095728D"/>
    <w:rsid w:val="00960B51"/>
    <w:rsid w:val="00963ECB"/>
    <w:rsid w:val="00967D6F"/>
    <w:rsid w:val="0097144C"/>
    <w:rsid w:val="0097269B"/>
    <w:rsid w:val="009759B2"/>
    <w:rsid w:val="00980394"/>
    <w:rsid w:val="00985FD1"/>
    <w:rsid w:val="00986196"/>
    <w:rsid w:val="0099309B"/>
    <w:rsid w:val="009969C3"/>
    <w:rsid w:val="009A1240"/>
    <w:rsid w:val="009A6C1F"/>
    <w:rsid w:val="009A7A02"/>
    <w:rsid w:val="009A7FF4"/>
    <w:rsid w:val="009B1094"/>
    <w:rsid w:val="009C1975"/>
    <w:rsid w:val="009C207D"/>
    <w:rsid w:val="009C743A"/>
    <w:rsid w:val="009C7EA8"/>
    <w:rsid w:val="009D0AF1"/>
    <w:rsid w:val="009E1072"/>
    <w:rsid w:val="009E3076"/>
    <w:rsid w:val="009E3110"/>
    <w:rsid w:val="009F0E61"/>
    <w:rsid w:val="009F2506"/>
    <w:rsid w:val="00A11F60"/>
    <w:rsid w:val="00A12284"/>
    <w:rsid w:val="00A14729"/>
    <w:rsid w:val="00A22745"/>
    <w:rsid w:val="00A230D3"/>
    <w:rsid w:val="00A2585D"/>
    <w:rsid w:val="00A3039E"/>
    <w:rsid w:val="00A33DE2"/>
    <w:rsid w:val="00A35365"/>
    <w:rsid w:val="00A50045"/>
    <w:rsid w:val="00A51E08"/>
    <w:rsid w:val="00A5572D"/>
    <w:rsid w:val="00A56277"/>
    <w:rsid w:val="00A57455"/>
    <w:rsid w:val="00A62541"/>
    <w:rsid w:val="00A62787"/>
    <w:rsid w:val="00A644D6"/>
    <w:rsid w:val="00A71D99"/>
    <w:rsid w:val="00A7420C"/>
    <w:rsid w:val="00A81263"/>
    <w:rsid w:val="00A837CE"/>
    <w:rsid w:val="00A909D6"/>
    <w:rsid w:val="00A9147B"/>
    <w:rsid w:val="00A96BBB"/>
    <w:rsid w:val="00A97E41"/>
    <w:rsid w:val="00AA0D85"/>
    <w:rsid w:val="00AB2D84"/>
    <w:rsid w:val="00AB4752"/>
    <w:rsid w:val="00AB6D90"/>
    <w:rsid w:val="00AB75BC"/>
    <w:rsid w:val="00AC0533"/>
    <w:rsid w:val="00AC51E2"/>
    <w:rsid w:val="00AC71B8"/>
    <w:rsid w:val="00AC72E5"/>
    <w:rsid w:val="00AC7745"/>
    <w:rsid w:val="00AD1A3F"/>
    <w:rsid w:val="00AD410B"/>
    <w:rsid w:val="00AE0641"/>
    <w:rsid w:val="00AE38B2"/>
    <w:rsid w:val="00AF09DF"/>
    <w:rsid w:val="00AF321C"/>
    <w:rsid w:val="00AF3C92"/>
    <w:rsid w:val="00AF4B72"/>
    <w:rsid w:val="00AF6454"/>
    <w:rsid w:val="00AF7A6F"/>
    <w:rsid w:val="00AF7FC7"/>
    <w:rsid w:val="00B01A99"/>
    <w:rsid w:val="00B1222C"/>
    <w:rsid w:val="00B13AA4"/>
    <w:rsid w:val="00B14C4E"/>
    <w:rsid w:val="00B21163"/>
    <w:rsid w:val="00B214D7"/>
    <w:rsid w:val="00B248EB"/>
    <w:rsid w:val="00B25249"/>
    <w:rsid w:val="00B27D74"/>
    <w:rsid w:val="00B307B1"/>
    <w:rsid w:val="00B37678"/>
    <w:rsid w:val="00B40005"/>
    <w:rsid w:val="00B52EC6"/>
    <w:rsid w:val="00B55A68"/>
    <w:rsid w:val="00B60061"/>
    <w:rsid w:val="00B62758"/>
    <w:rsid w:val="00B6380C"/>
    <w:rsid w:val="00B675CB"/>
    <w:rsid w:val="00B704FA"/>
    <w:rsid w:val="00B71EBD"/>
    <w:rsid w:val="00B72103"/>
    <w:rsid w:val="00B724CE"/>
    <w:rsid w:val="00B74B6B"/>
    <w:rsid w:val="00B75A6A"/>
    <w:rsid w:val="00B82B66"/>
    <w:rsid w:val="00B849B9"/>
    <w:rsid w:val="00B87206"/>
    <w:rsid w:val="00B960FD"/>
    <w:rsid w:val="00BA0A2F"/>
    <w:rsid w:val="00BA19C9"/>
    <w:rsid w:val="00BA457F"/>
    <w:rsid w:val="00BB455A"/>
    <w:rsid w:val="00BC1A36"/>
    <w:rsid w:val="00BC2578"/>
    <w:rsid w:val="00BC3D53"/>
    <w:rsid w:val="00BC3EC8"/>
    <w:rsid w:val="00BC589D"/>
    <w:rsid w:val="00BC77B9"/>
    <w:rsid w:val="00BD1343"/>
    <w:rsid w:val="00BD660E"/>
    <w:rsid w:val="00BD744D"/>
    <w:rsid w:val="00BE0E76"/>
    <w:rsid w:val="00BE16DB"/>
    <w:rsid w:val="00BE2F2A"/>
    <w:rsid w:val="00BE392D"/>
    <w:rsid w:val="00BE49F3"/>
    <w:rsid w:val="00BF0045"/>
    <w:rsid w:val="00BF73F6"/>
    <w:rsid w:val="00C022C2"/>
    <w:rsid w:val="00C02A44"/>
    <w:rsid w:val="00C04D9E"/>
    <w:rsid w:val="00C0547C"/>
    <w:rsid w:val="00C0586F"/>
    <w:rsid w:val="00C05C86"/>
    <w:rsid w:val="00C12E58"/>
    <w:rsid w:val="00C15ED5"/>
    <w:rsid w:val="00C20D87"/>
    <w:rsid w:val="00C20FB2"/>
    <w:rsid w:val="00C23440"/>
    <w:rsid w:val="00C31D4B"/>
    <w:rsid w:val="00C32B52"/>
    <w:rsid w:val="00C34DDA"/>
    <w:rsid w:val="00C3537D"/>
    <w:rsid w:val="00C363C4"/>
    <w:rsid w:val="00C363D3"/>
    <w:rsid w:val="00C36400"/>
    <w:rsid w:val="00C36F80"/>
    <w:rsid w:val="00C40CD0"/>
    <w:rsid w:val="00C432DC"/>
    <w:rsid w:val="00C5105B"/>
    <w:rsid w:val="00C54FE1"/>
    <w:rsid w:val="00C647E5"/>
    <w:rsid w:val="00C6558E"/>
    <w:rsid w:val="00C65DA3"/>
    <w:rsid w:val="00C741D5"/>
    <w:rsid w:val="00C820E9"/>
    <w:rsid w:val="00C82245"/>
    <w:rsid w:val="00C903AF"/>
    <w:rsid w:val="00C91199"/>
    <w:rsid w:val="00C9127E"/>
    <w:rsid w:val="00C9534A"/>
    <w:rsid w:val="00CA0F66"/>
    <w:rsid w:val="00CA6C0B"/>
    <w:rsid w:val="00CB4F83"/>
    <w:rsid w:val="00CB6B9A"/>
    <w:rsid w:val="00CC1093"/>
    <w:rsid w:val="00CC15CC"/>
    <w:rsid w:val="00CC753D"/>
    <w:rsid w:val="00CC75F4"/>
    <w:rsid w:val="00CD2257"/>
    <w:rsid w:val="00CD7AAA"/>
    <w:rsid w:val="00CF0EBE"/>
    <w:rsid w:val="00CF3CF5"/>
    <w:rsid w:val="00CF6850"/>
    <w:rsid w:val="00CF7AA1"/>
    <w:rsid w:val="00D01EE2"/>
    <w:rsid w:val="00D02CB4"/>
    <w:rsid w:val="00D06465"/>
    <w:rsid w:val="00D112E2"/>
    <w:rsid w:val="00D15AC7"/>
    <w:rsid w:val="00D1698E"/>
    <w:rsid w:val="00D2108D"/>
    <w:rsid w:val="00D2440A"/>
    <w:rsid w:val="00D26844"/>
    <w:rsid w:val="00D4141F"/>
    <w:rsid w:val="00D43FF1"/>
    <w:rsid w:val="00D46DD8"/>
    <w:rsid w:val="00D47ACB"/>
    <w:rsid w:val="00D51EAD"/>
    <w:rsid w:val="00D5369D"/>
    <w:rsid w:val="00D60ED4"/>
    <w:rsid w:val="00D619AE"/>
    <w:rsid w:val="00D64F30"/>
    <w:rsid w:val="00D70FD2"/>
    <w:rsid w:val="00D71B92"/>
    <w:rsid w:val="00D73D69"/>
    <w:rsid w:val="00D74DAB"/>
    <w:rsid w:val="00D83E5D"/>
    <w:rsid w:val="00D84F31"/>
    <w:rsid w:val="00D851DA"/>
    <w:rsid w:val="00D9154D"/>
    <w:rsid w:val="00D915F4"/>
    <w:rsid w:val="00D93167"/>
    <w:rsid w:val="00D94D58"/>
    <w:rsid w:val="00D97527"/>
    <w:rsid w:val="00D97B75"/>
    <w:rsid w:val="00DA079E"/>
    <w:rsid w:val="00DA1E67"/>
    <w:rsid w:val="00DA4F77"/>
    <w:rsid w:val="00DA5858"/>
    <w:rsid w:val="00DB0458"/>
    <w:rsid w:val="00DB222B"/>
    <w:rsid w:val="00DB2868"/>
    <w:rsid w:val="00DC031D"/>
    <w:rsid w:val="00DC21CE"/>
    <w:rsid w:val="00DC3B05"/>
    <w:rsid w:val="00DC4E67"/>
    <w:rsid w:val="00DC79CD"/>
    <w:rsid w:val="00DD00F5"/>
    <w:rsid w:val="00DD366D"/>
    <w:rsid w:val="00DD61AC"/>
    <w:rsid w:val="00DE078F"/>
    <w:rsid w:val="00DE19D9"/>
    <w:rsid w:val="00DE429A"/>
    <w:rsid w:val="00DF32A2"/>
    <w:rsid w:val="00DF5461"/>
    <w:rsid w:val="00DF73EF"/>
    <w:rsid w:val="00E036C8"/>
    <w:rsid w:val="00E04499"/>
    <w:rsid w:val="00E04CE6"/>
    <w:rsid w:val="00E10297"/>
    <w:rsid w:val="00E12FA3"/>
    <w:rsid w:val="00E13879"/>
    <w:rsid w:val="00E14DB5"/>
    <w:rsid w:val="00E16943"/>
    <w:rsid w:val="00E17AE8"/>
    <w:rsid w:val="00E17EAD"/>
    <w:rsid w:val="00E23B32"/>
    <w:rsid w:val="00E253EE"/>
    <w:rsid w:val="00E2686D"/>
    <w:rsid w:val="00E30DFC"/>
    <w:rsid w:val="00E30EE5"/>
    <w:rsid w:val="00E316D9"/>
    <w:rsid w:val="00E34EB6"/>
    <w:rsid w:val="00E3677F"/>
    <w:rsid w:val="00E42B6A"/>
    <w:rsid w:val="00E4399D"/>
    <w:rsid w:val="00E44741"/>
    <w:rsid w:val="00E45E5A"/>
    <w:rsid w:val="00E54E75"/>
    <w:rsid w:val="00E55393"/>
    <w:rsid w:val="00E5643E"/>
    <w:rsid w:val="00E5720B"/>
    <w:rsid w:val="00E622B2"/>
    <w:rsid w:val="00E7400E"/>
    <w:rsid w:val="00E8141D"/>
    <w:rsid w:val="00E84AFB"/>
    <w:rsid w:val="00E856DA"/>
    <w:rsid w:val="00E86F07"/>
    <w:rsid w:val="00E87611"/>
    <w:rsid w:val="00E90F47"/>
    <w:rsid w:val="00E92773"/>
    <w:rsid w:val="00E9418E"/>
    <w:rsid w:val="00E96913"/>
    <w:rsid w:val="00EA0D28"/>
    <w:rsid w:val="00EA12F0"/>
    <w:rsid w:val="00EA2148"/>
    <w:rsid w:val="00EB1F06"/>
    <w:rsid w:val="00EB2A8A"/>
    <w:rsid w:val="00EB7E37"/>
    <w:rsid w:val="00EC3FF2"/>
    <w:rsid w:val="00EC72BC"/>
    <w:rsid w:val="00ED0720"/>
    <w:rsid w:val="00ED2A1B"/>
    <w:rsid w:val="00EE0413"/>
    <w:rsid w:val="00EE0973"/>
    <w:rsid w:val="00EF4827"/>
    <w:rsid w:val="00EF4C9C"/>
    <w:rsid w:val="00EF5E48"/>
    <w:rsid w:val="00F0240A"/>
    <w:rsid w:val="00F06F96"/>
    <w:rsid w:val="00F07150"/>
    <w:rsid w:val="00F1005D"/>
    <w:rsid w:val="00F121C1"/>
    <w:rsid w:val="00F20247"/>
    <w:rsid w:val="00F25594"/>
    <w:rsid w:val="00F31348"/>
    <w:rsid w:val="00F32BA7"/>
    <w:rsid w:val="00F40355"/>
    <w:rsid w:val="00F404F9"/>
    <w:rsid w:val="00F421BF"/>
    <w:rsid w:val="00F44F5D"/>
    <w:rsid w:val="00F6163C"/>
    <w:rsid w:val="00F6458D"/>
    <w:rsid w:val="00F65EC8"/>
    <w:rsid w:val="00F72723"/>
    <w:rsid w:val="00F917C6"/>
    <w:rsid w:val="00F91A2C"/>
    <w:rsid w:val="00F94637"/>
    <w:rsid w:val="00F96938"/>
    <w:rsid w:val="00FA095C"/>
    <w:rsid w:val="00FA35FE"/>
    <w:rsid w:val="00FB30C6"/>
    <w:rsid w:val="00FC0A1B"/>
    <w:rsid w:val="00FC0DD8"/>
    <w:rsid w:val="00FC5390"/>
    <w:rsid w:val="00FC5EB6"/>
    <w:rsid w:val="00FC7BF7"/>
    <w:rsid w:val="00FD7D84"/>
    <w:rsid w:val="00FD7EDC"/>
    <w:rsid w:val="00FE41FD"/>
    <w:rsid w:val="00FE54AD"/>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itre4">
    <w:name w:val="heading 4"/>
    <w:basedOn w:val="Normal"/>
    <w:next w:val="Normal"/>
    <w:link w:val="Titre4Car"/>
    <w:uiPriority w:val="9"/>
    <w:unhideWhenUsed/>
    <w:qFormat/>
    <w:rsid w:val="008872A2"/>
    <w:pPr>
      <w:keepNext/>
      <w:spacing w:before="240" w:after="60"/>
      <w:outlineLvl w:val="3"/>
    </w:pPr>
    <w:rPr>
      <w:rFonts w:ascii="Calibri" w:hAnsi="Calibri"/>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8872A2"/>
    <w:rPr>
      <w:rFonts w:ascii="Calibri" w:hAnsi="Calibri" w:cs="Times New Roman"/>
      <w:b/>
      <w:bCs/>
      <w:sz w:val="28"/>
      <w:szCs w:val="28"/>
      <w:lang w:val="es-ES" w:eastAsia="es-ES"/>
    </w:rPr>
  </w:style>
  <w:style w:type="paragraph" w:styleId="En-tte">
    <w:name w:val="header"/>
    <w:basedOn w:val="Normal"/>
    <w:link w:val="En-tteCar"/>
    <w:uiPriority w:val="99"/>
    <w:unhideWhenUsed/>
    <w:rsid w:val="008872A2"/>
    <w:pPr>
      <w:tabs>
        <w:tab w:val="center" w:pos="4419"/>
        <w:tab w:val="right" w:pos="8838"/>
      </w:tabs>
    </w:pPr>
  </w:style>
  <w:style w:type="character" w:customStyle="1" w:styleId="En-tteCar">
    <w:name w:val="En-tête Car"/>
    <w:basedOn w:val="Policepardfaut"/>
    <w:link w:val="En-tte"/>
    <w:uiPriority w:val="99"/>
    <w:locked/>
    <w:rsid w:val="008872A2"/>
    <w:rPr>
      <w:rFonts w:ascii="Times New Roman" w:hAnsi="Times New Roman" w:cs="Times New Roman"/>
      <w:sz w:val="20"/>
      <w:szCs w:val="20"/>
      <w:lang w:val="es-ES" w:eastAsia="es-ES"/>
    </w:rPr>
  </w:style>
  <w:style w:type="paragraph" w:styleId="Titre">
    <w:name w:val="Title"/>
    <w:basedOn w:val="Normal"/>
    <w:link w:val="TitreCar"/>
    <w:uiPriority w:val="10"/>
    <w:qFormat/>
    <w:rsid w:val="008872A2"/>
    <w:pPr>
      <w:jc w:val="center"/>
    </w:pPr>
    <w:rPr>
      <w:rFonts w:ascii="Arial" w:hAnsi="Arial"/>
      <w:b/>
      <w:i/>
      <w:sz w:val="24"/>
    </w:rPr>
  </w:style>
  <w:style w:type="character" w:customStyle="1" w:styleId="TitreCar">
    <w:name w:val="Titre Car"/>
    <w:basedOn w:val="Policepardfaut"/>
    <w:link w:val="Titre"/>
    <w:uiPriority w:val="10"/>
    <w:locked/>
    <w:rsid w:val="008872A2"/>
    <w:rPr>
      <w:rFonts w:ascii="Arial" w:hAnsi="Arial" w:cs="Times New Roman"/>
      <w:b/>
      <w:i/>
      <w:sz w:val="20"/>
      <w:szCs w:val="20"/>
      <w:lang w:val="es-ES" w:eastAsia="es-ES"/>
    </w:rPr>
  </w:style>
  <w:style w:type="paragraph" w:styleId="Sansinterligne">
    <w:name w:val="No Spacing"/>
    <w:link w:val="Sansinterligne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Corpsdetexte">
    <w:name w:val="Body Text"/>
    <w:basedOn w:val="Normal"/>
    <w:link w:val="Corpsdetex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8872A2"/>
    <w:rPr>
      <w:rFonts w:ascii="Verdana" w:hAnsi="Verdana" w:cs="Times New Roman"/>
      <w:spacing w:val="-3"/>
      <w:sz w:val="20"/>
      <w:szCs w:val="20"/>
      <w:lang w:val="es-ES_tradnl" w:eastAsia="es-ES"/>
    </w:rPr>
  </w:style>
  <w:style w:type="paragraph" w:styleId="Paragraphedeliste">
    <w:name w:val="List Paragraph"/>
    <w:basedOn w:val="Normal"/>
    <w:uiPriority w:val="99"/>
    <w:qFormat/>
    <w:rsid w:val="008872A2"/>
    <w:pPr>
      <w:ind w:left="708"/>
    </w:pPr>
  </w:style>
  <w:style w:type="paragraph" w:styleId="Textedebulles">
    <w:name w:val="Balloon Text"/>
    <w:basedOn w:val="Normal"/>
    <w:link w:val="TextedebullesCar"/>
    <w:uiPriority w:val="99"/>
    <w:semiHidden/>
    <w:unhideWhenUsed/>
    <w:rsid w:val="008872A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872A2"/>
    <w:rPr>
      <w:rFonts w:ascii="Tahoma" w:hAnsi="Tahoma" w:cs="Tahoma"/>
      <w:sz w:val="16"/>
      <w:szCs w:val="16"/>
      <w:lang w:val="es-ES" w:eastAsia="es-ES"/>
    </w:rPr>
  </w:style>
  <w:style w:type="paragraph" w:styleId="Pieddepage">
    <w:name w:val="footer"/>
    <w:aliases w:val="Pie de página Car Car"/>
    <w:basedOn w:val="Normal"/>
    <w:link w:val="PieddepageCar"/>
    <w:uiPriority w:val="99"/>
    <w:unhideWhenUsed/>
    <w:rsid w:val="009A1240"/>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9A1240"/>
    <w:rPr>
      <w:rFonts w:ascii="Times New Roman" w:hAnsi="Times New Roman" w:cs="Times New Roman"/>
      <w:sz w:val="20"/>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392869"/>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
    <w:basedOn w:val="Policepardfaut"/>
    <w:uiPriority w:val="99"/>
    <w:rsid w:val="00E316D9"/>
    <w:rPr>
      <w:rFonts w:cs="Times New Roman"/>
      <w:vertAlign w:val="superscript"/>
    </w:rPr>
  </w:style>
  <w:style w:type="character" w:customStyle="1" w:styleId="SansinterligneCar">
    <w:name w:val="Sans interligne Car"/>
    <w:link w:val="Sansinterligne"/>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rsid w:val="007C4788"/>
    <w:rPr>
      <w:sz w:val="16"/>
      <w:szCs w:val="16"/>
    </w:rPr>
  </w:style>
  <w:style w:type="paragraph" w:styleId="Commentaire">
    <w:name w:val="annotation text"/>
    <w:basedOn w:val="Normal"/>
    <w:link w:val="CommentaireCar"/>
    <w:uiPriority w:val="99"/>
    <w:rsid w:val="007C4788"/>
  </w:style>
  <w:style w:type="character" w:customStyle="1" w:styleId="CommentaireCar">
    <w:name w:val="Commentaire Car"/>
    <w:basedOn w:val="Policepardfaut"/>
    <w:link w:val="Commentaire"/>
    <w:uiPriority w:val="99"/>
    <w:rsid w:val="007C4788"/>
    <w:rPr>
      <w:rFonts w:ascii="Times New Roman" w:hAnsi="Times New Roman" w:cs="Times New Roman"/>
      <w:sz w:val="20"/>
      <w:szCs w:val="20"/>
      <w:lang w:val="es-ES" w:eastAsia="es-ES"/>
    </w:rPr>
  </w:style>
  <w:style w:type="paragraph" w:styleId="Objetducommentaire">
    <w:name w:val="annotation subject"/>
    <w:basedOn w:val="Commentaire"/>
    <w:next w:val="Commentaire"/>
    <w:link w:val="ObjetducommentaireCar"/>
    <w:uiPriority w:val="99"/>
    <w:rsid w:val="007C4788"/>
    <w:rPr>
      <w:b/>
      <w:bCs/>
    </w:rPr>
  </w:style>
  <w:style w:type="character" w:customStyle="1" w:styleId="ObjetducommentaireCar">
    <w:name w:val="Objet du commentaire Car"/>
    <w:basedOn w:val="CommentaireCar"/>
    <w:link w:val="Objetducommentaire"/>
    <w:uiPriority w:val="99"/>
    <w:rsid w:val="007C4788"/>
    <w:rPr>
      <w:rFonts w:ascii="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itre4">
    <w:name w:val="heading 4"/>
    <w:basedOn w:val="Normal"/>
    <w:next w:val="Normal"/>
    <w:link w:val="Titre4Car"/>
    <w:uiPriority w:val="9"/>
    <w:unhideWhenUsed/>
    <w:qFormat/>
    <w:rsid w:val="008872A2"/>
    <w:pPr>
      <w:keepNext/>
      <w:spacing w:before="240" w:after="60"/>
      <w:outlineLvl w:val="3"/>
    </w:pPr>
    <w:rPr>
      <w:rFonts w:ascii="Calibri" w:hAnsi="Calibri"/>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8872A2"/>
    <w:rPr>
      <w:rFonts w:ascii="Calibri" w:hAnsi="Calibri" w:cs="Times New Roman"/>
      <w:b/>
      <w:bCs/>
      <w:sz w:val="28"/>
      <w:szCs w:val="28"/>
      <w:lang w:val="es-ES" w:eastAsia="es-ES"/>
    </w:rPr>
  </w:style>
  <w:style w:type="paragraph" w:styleId="En-tte">
    <w:name w:val="header"/>
    <w:basedOn w:val="Normal"/>
    <w:link w:val="En-tteCar"/>
    <w:uiPriority w:val="99"/>
    <w:unhideWhenUsed/>
    <w:rsid w:val="008872A2"/>
    <w:pPr>
      <w:tabs>
        <w:tab w:val="center" w:pos="4419"/>
        <w:tab w:val="right" w:pos="8838"/>
      </w:tabs>
    </w:pPr>
  </w:style>
  <w:style w:type="character" w:customStyle="1" w:styleId="En-tteCar">
    <w:name w:val="En-tête Car"/>
    <w:basedOn w:val="Policepardfaut"/>
    <w:link w:val="En-tte"/>
    <w:uiPriority w:val="99"/>
    <w:locked/>
    <w:rsid w:val="008872A2"/>
    <w:rPr>
      <w:rFonts w:ascii="Times New Roman" w:hAnsi="Times New Roman" w:cs="Times New Roman"/>
      <w:sz w:val="20"/>
      <w:szCs w:val="20"/>
      <w:lang w:val="es-ES" w:eastAsia="es-ES"/>
    </w:rPr>
  </w:style>
  <w:style w:type="paragraph" w:styleId="Titre">
    <w:name w:val="Title"/>
    <w:basedOn w:val="Normal"/>
    <w:link w:val="TitreCar"/>
    <w:uiPriority w:val="10"/>
    <w:qFormat/>
    <w:rsid w:val="008872A2"/>
    <w:pPr>
      <w:jc w:val="center"/>
    </w:pPr>
    <w:rPr>
      <w:rFonts w:ascii="Arial" w:hAnsi="Arial"/>
      <w:b/>
      <w:i/>
      <w:sz w:val="24"/>
    </w:rPr>
  </w:style>
  <w:style w:type="character" w:customStyle="1" w:styleId="TitreCar">
    <w:name w:val="Titre Car"/>
    <w:basedOn w:val="Policepardfaut"/>
    <w:link w:val="Titre"/>
    <w:uiPriority w:val="10"/>
    <w:locked/>
    <w:rsid w:val="008872A2"/>
    <w:rPr>
      <w:rFonts w:ascii="Arial" w:hAnsi="Arial" w:cs="Times New Roman"/>
      <w:b/>
      <w:i/>
      <w:sz w:val="20"/>
      <w:szCs w:val="20"/>
      <w:lang w:val="es-ES" w:eastAsia="es-ES"/>
    </w:rPr>
  </w:style>
  <w:style w:type="paragraph" w:styleId="Sansinterligne">
    <w:name w:val="No Spacing"/>
    <w:link w:val="Sansinterligne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Corpsdetexte">
    <w:name w:val="Body Text"/>
    <w:basedOn w:val="Normal"/>
    <w:link w:val="Corpsdetex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8872A2"/>
    <w:rPr>
      <w:rFonts w:ascii="Verdana" w:hAnsi="Verdana" w:cs="Times New Roman"/>
      <w:spacing w:val="-3"/>
      <w:sz w:val="20"/>
      <w:szCs w:val="20"/>
      <w:lang w:val="es-ES_tradnl" w:eastAsia="es-ES"/>
    </w:rPr>
  </w:style>
  <w:style w:type="paragraph" w:styleId="Paragraphedeliste">
    <w:name w:val="List Paragraph"/>
    <w:basedOn w:val="Normal"/>
    <w:uiPriority w:val="99"/>
    <w:qFormat/>
    <w:rsid w:val="008872A2"/>
    <w:pPr>
      <w:ind w:left="708"/>
    </w:pPr>
  </w:style>
  <w:style w:type="paragraph" w:styleId="Textedebulles">
    <w:name w:val="Balloon Text"/>
    <w:basedOn w:val="Normal"/>
    <w:link w:val="TextedebullesCar"/>
    <w:uiPriority w:val="99"/>
    <w:semiHidden/>
    <w:unhideWhenUsed/>
    <w:rsid w:val="008872A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872A2"/>
    <w:rPr>
      <w:rFonts w:ascii="Tahoma" w:hAnsi="Tahoma" w:cs="Tahoma"/>
      <w:sz w:val="16"/>
      <w:szCs w:val="16"/>
      <w:lang w:val="es-ES" w:eastAsia="es-ES"/>
    </w:rPr>
  </w:style>
  <w:style w:type="paragraph" w:styleId="Pieddepage">
    <w:name w:val="footer"/>
    <w:aliases w:val="Pie de página Car Car"/>
    <w:basedOn w:val="Normal"/>
    <w:link w:val="PieddepageCar"/>
    <w:uiPriority w:val="99"/>
    <w:unhideWhenUsed/>
    <w:rsid w:val="009A1240"/>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9A1240"/>
    <w:rPr>
      <w:rFonts w:ascii="Times New Roman" w:hAnsi="Times New Roman" w:cs="Times New Roman"/>
      <w:sz w:val="20"/>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392869"/>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
    <w:basedOn w:val="Policepardfaut"/>
    <w:uiPriority w:val="99"/>
    <w:rsid w:val="00E316D9"/>
    <w:rPr>
      <w:rFonts w:cs="Times New Roman"/>
      <w:vertAlign w:val="superscript"/>
    </w:rPr>
  </w:style>
  <w:style w:type="character" w:customStyle="1" w:styleId="SansinterligneCar">
    <w:name w:val="Sans interligne Car"/>
    <w:link w:val="Sansinterligne"/>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rsid w:val="007C4788"/>
    <w:rPr>
      <w:sz w:val="16"/>
      <w:szCs w:val="16"/>
    </w:rPr>
  </w:style>
  <w:style w:type="paragraph" w:styleId="Commentaire">
    <w:name w:val="annotation text"/>
    <w:basedOn w:val="Normal"/>
    <w:link w:val="CommentaireCar"/>
    <w:uiPriority w:val="99"/>
    <w:rsid w:val="007C4788"/>
  </w:style>
  <w:style w:type="character" w:customStyle="1" w:styleId="CommentaireCar">
    <w:name w:val="Commentaire Car"/>
    <w:basedOn w:val="Policepardfaut"/>
    <w:link w:val="Commentaire"/>
    <w:uiPriority w:val="99"/>
    <w:rsid w:val="007C4788"/>
    <w:rPr>
      <w:rFonts w:ascii="Times New Roman" w:hAnsi="Times New Roman" w:cs="Times New Roman"/>
      <w:sz w:val="20"/>
      <w:szCs w:val="20"/>
      <w:lang w:val="es-ES" w:eastAsia="es-ES"/>
    </w:rPr>
  </w:style>
  <w:style w:type="paragraph" w:styleId="Objetducommentaire">
    <w:name w:val="annotation subject"/>
    <w:basedOn w:val="Commentaire"/>
    <w:next w:val="Commentaire"/>
    <w:link w:val="ObjetducommentaireCar"/>
    <w:uiPriority w:val="99"/>
    <w:rsid w:val="007C4788"/>
    <w:rPr>
      <w:b/>
      <w:bCs/>
    </w:rPr>
  </w:style>
  <w:style w:type="character" w:customStyle="1" w:styleId="ObjetducommentaireCar">
    <w:name w:val="Objet du commentaire Car"/>
    <w:basedOn w:val="CommentaireCar"/>
    <w:link w:val="Objetducommentaire"/>
    <w:uiPriority w:val="99"/>
    <w:rsid w:val="007C4788"/>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1012-6D85-44F3-ABDC-7AD94736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1520</Words>
  <Characters>8362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Malucimedina</cp:lastModifiedBy>
  <cp:revision>6</cp:revision>
  <cp:lastPrinted>2017-05-08T12:05:00Z</cp:lastPrinted>
  <dcterms:created xsi:type="dcterms:W3CDTF">2017-05-08T12:06:00Z</dcterms:created>
  <dcterms:modified xsi:type="dcterms:W3CDTF">2017-06-26T13:45:00Z</dcterms:modified>
</cp:coreProperties>
</file>