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7C" w:rsidRPr="006E4540" w:rsidRDefault="0090017C" w:rsidP="0090017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90017C" w:rsidRPr="0090017C" w:rsidRDefault="0090017C"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0017C">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0017C">
        <w:rPr>
          <w:rFonts w:ascii="Arial" w:hAnsi="Arial" w:cs="Arial"/>
          <w:sz w:val="22"/>
          <w:szCs w:val="22"/>
        </w:rPr>
        <w:t>– 1ª instancia – 15 de mayo de 2017</w:t>
      </w:r>
    </w:p>
    <w:p w:rsidR="0090017C" w:rsidRDefault="0090017C"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5656B">
        <w:rPr>
          <w:rFonts w:ascii="Arial" w:hAnsi="Arial" w:cs="Arial"/>
          <w:sz w:val="22"/>
        </w:rPr>
        <w:t xml:space="preserve">Javier Elías Arias </w:t>
      </w:r>
      <w:proofErr w:type="spellStart"/>
      <w:r w:rsidR="00B5656B">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r w:rsidR="003D7DC8">
        <w:rPr>
          <w:rFonts w:ascii="Arial" w:hAnsi="Arial" w:cs="Arial"/>
          <w:sz w:val="22"/>
        </w:rPr>
        <w:t xml:space="preserve"> y otra</w:t>
      </w:r>
    </w:p>
    <w:p w:rsidR="00A00766" w:rsidRPr="00A00766" w:rsidRDefault="00A00766" w:rsidP="00283DCB">
      <w:pPr>
        <w:pStyle w:val="Corpsdetex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766A9E">
        <w:rPr>
          <w:rFonts w:ascii="Arial" w:hAnsi="Arial" w:cs="Arial"/>
          <w:sz w:val="22"/>
          <w:szCs w:val="22"/>
        </w:rPr>
        <w:t>Banco Caja Social SA –sucursal accionada-</w:t>
      </w:r>
      <w:r w:rsidR="0041111B">
        <w:rPr>
          <w:rFonts w:ascii="Arial" w:hAnsi="Arial" w:cs="Arial"/>
          <w:sz w:val="22"/>
          <w:szCs w:val="22"/>
        </w:rPr>
        <w:t xml:space="preserve"> </w:t>
      </w:r>
      <w:r w:rsidRPr="00A00766">
        <w:rPr>
          <w:rFonts w:ascii="Arial" w:hAnsi="Arial" w:cs="Arial"/>
          <w:sz w:val="22"/>
          <w:szCs w:val="22"/>
        </w:rPr>
        <w:t>y</w:t>
      </w:r>
      <w:r w:rsidR="00896574">
        <w:rPr>
          <w:rFonts w:ascii="Arial" w:hAnsi="Arial" w:cs="Arial"/>
          <w:sz w:val="22"/>
          <w:szCs w:val="22"/>
        </w:rPr>
        <w:t>/o</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D7DC8">
        <w:rPr>
          <w:rFonts w:ascii="Arial" w:hAnsi="Arial" w:cs="Arial"/>
          <w:sz w:val="22"/>
        </w:rPr>
        <w:t>2017-00</w:t>
      </w:r>
      <w:r w:rsidR="00766A9E">
        <w:rPr>
          <w:rFonts w:ascii="Arial" w:hAnsi="Arial" w:cs="Arial"/>
          <w:sz w:val="22"/>
        </w:rPr>
        <w:t>468</w:t>
      </w:r>
      <w:r w:rsidR="003D7DC8">
        <w:rPr>
          <w:rFonts w:ascii="Arial" w:hAnsi="Arial" w:cs="Arial"/>
          <w:sz w:val="22"/>
        </w:rPr>
        <w:t>-00 (Interna No.</w:t>
      </w:r>
      <w:r w:rsidR="00766A9E">
        <w:rPr>
          <w:rFonts w:ascii="Arial" w:hAnsi="Arial" w:cs="Arial"/>
          <w:sz w:val="22"/>
        </w:rPr>
        <w:t>468</w:t>
      </w:r>
      <w:r w:rsidR="003D7DC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2772C3">
        <w:rPr>
          <w:rFonts w:ascii="Arial" w:hAnsi="Arial"/>
          <w:sz w:val="22"/>
          <w:szCs w:val="22"/>
        </w:rPr>
        <w:t>250</w:t>
      </w:r>
      <w:r w:rsidR="0073683E">
        <w:rPr>
          <w:rFonts w:ascii="Arial" w:hAnsi="Arial"/>
          <w:sz w:val="22"/>
          <w:szCs w:val="22"/>
        </w:rPr>
        <w:t xml:space="preserve"> de</w:t>
      </w:r>
      <w:r w:rsidR="00766A9E">
        <w:rPr>
          <w:rFonts w:ascii="Arial" w:hAnsi="Arial"/>
          <w:sz w:val="22"/>
          <w:szCs w:val="22"/>
        </w:rPr>
        <w:t xml:space="preserve"> </w:t>
      </w:r>
      <w:r w:rsidR="002772C3">
        <w:rPr>
          <w:rFonts w:ascii="Arial" w:hAnsi="Arial"/>
          <w:sz w:val="22"/>
          <w:szCs w:val="22"/>
        </w:rPr>
        <w:t>15</w:t>
      </w:r>
      <w:r w:rsidR="0073683E">
        <w:rPr>
          <w:rFonts w:ascii="Arial" w:hAnsi="Arial"/>
          <w:sz w:val="22"/>
          <w:szCs w:val="22"/>
        </w:rPr>
        <w:t>-0</w:t>
      </w:r>
      <w:r w:rsidR="00766A9E">
        <w:rPr>
          <w:rFonts w:ascii="Arial" w:hAnsi="Arial"/>
          <w:sz w:val="22"/>
          <w:szCs w:val="22"/>
        </w:rPr>
        <w:t>5</w:t>
      </w:r>
      <w:r w:rsidR="0073683E">
        <w:rPr>
          <w:rFonts w:ascii="Arial" w:hAnsi="Arial"/>
          <w:sz w:val="22"/>
          <w:szCs w:val="22"/>
        </w:rPr>
        <w:t>-2017</w:t>
      </w:r>
    </w:p>
    <w:p w:rsidR="0090017C" w:rsidRPr="0090017C" w:rsidRDefault="0090017C" w:rsidP="0090017C">
      <w:pPr>
        <w:ind w:left="708" w:firstLine="708"/>
        <w:rPr>
          <w:rFonts w:ascii="Arial" w:hAnsi="Arial"/>
          <w:sz w:val="10"/>
          <w:szCs w:val="10"/>
        </w:rPr>
      </w:pPr>
    </w:p>
    <w:p w:rsidR="0090017C" w:rsidRPr="0090017C" w:rsidRDefault="0090017C" w:rsidP="0090017C">
      <w:pPr>
        <w:pStyle w:val="Corpsdetexte"/>
        <w:ind w:left="1416" w:hanging="1416"/>
        <w:rPr>
          <w:rFonts w:ascii="Arial" w:hAnsi="Arial" w:cs="Arial"/>
          <w:b/>
          <w:sz w:val="22"/>
          <w:szCs w:val="21"/>
          <w:lang w:val="es-ES"/>
        </w:rPr>
      </w:pPr>
      <w:r w:rsidRPr="002060F5">
        <w:rPr>
          <w:rFonts w:ascii="Arial" w:hAnsi="Arial" w:cs="Arial"/>
          <w:sz w:val="22"/>
          <w:szCs w:val="22"/>
        </w:rPr>
        <w:tab/>
      </w:r>
      <w:r w:rsidRPr="002060F5">
        <w:rPr>
          <w:rFonts w:ascii="Arial" w:hAnsi="Arial" w:cs="Arial"/>
          <w:sz w:val="22"/>
          <w:szCs w:val="22"/>
        </w:rPr>
        <w:tab/>
      </w:r>
      <w:r w:rsidRPr="0090017C">
        <w:rPr>
          <w:rFonts w:ascii="Arial" w:hAnsi="Arial" w:cs="Arial"/>
          <w:b/>
          <w:sz w:val="22"/>
          <w:szCs w:val="22"/>
        </w:rPr>
        <w:t>Temas</w:t>
      </w:r>
      <w:r w:rsidRPr="0090017C">
        <w:rPr>
          <w:rFonts w:ascii="Arial" w:hAnsi="Arial" w:cs="Arial"/>
          <w:b/>
          <w:sz w:val="22"/>
          <w:szCs w:val="22"/>
        </w:rPr>
        <w:tab/>
      </w:r>
      <w:r w:rsidRPr="0090017C">
        <w:rPr>
          <w:rFonts w:ascii="Arial" w:hAnsi="Arial" w:cs="Arial"/>
          <w:b/>
          <w:sz w:val="22"/>
          <w:szCs w:val="22"/>
        </w:rPr>
        <w:tab/>
      </w:r>
      <w:r w:rsidRPr="0090017C">
        <w:rPr>
          <w:rFonts w:ascii="Arial" w:hAnsi="Arial" w:cs="Arial"/>
          <w:b/>
          <w:sz w:val="22"/>
          <w:szCs w:val="22"/>
        </w:rPr>
        <w:tab/>
        <w:t xml:space="preserve">: </w:t>
      </w:r>
      <w:r w:rsidRPr="0090017C">
        <w:rPr>
          <w:rFonts w:ascii="Arial" w:hAnsi="Arial" w:cs="Arial"/>
          <w:b/>
          <w:sz w:val="22"/>
          <w:szCs w:val="21"/>
        </w:rPr>
        <w:t>SUBSIDIARIEDAD – PREMATURA</w:t>
      </w:r>
      <w:r>
        <w:rPr>
          <w:rFonts w:ascii="Arial" w:hAnsi="Arial" w:cs="Arial"/>
          <w:b/>
          <w:sz w:val="22"/>
          <w:szCs w:val="21"/>
        </w:rPr>
        <w:t>.</w:t>
      </w:r>
      <w:r w:rsidRPr="0090017C">
        <w:rPr>
          <w:rFonts w:ascii="Arial" w:hAnsi="Arial" w:cs="Arial"/>
        </w:rPr>
        <w:t xml:space="preserve"> </w:t>
      </w:r>
      <w:r w:rsidRPr="0090017C">
        <w:rPr>
          <w:rFonts w:ascii="Arial" w:hAnsi="Arial" w:cs="Arial"/>
          <w:sz w:val="22"/>
          <w:szCs w:val="21"/>
          <w:lang w:val="es-ES"/>
        </w:rPr>
        <w:t>Sin que sea necesario ahondar en el asunto hay que decir que el amparo es prematuro porque cuestiona una decisión sin ejecutoria, evidentemente prefirió promoverlo en lugar de agotar los mecanismos ordinarios con que contaba, por manera que es improcedente</w:t>
      </w:r>
      <w:r w:rsidRPr="0090017C">
        <w:rPr>
          <w:rFonts w:ascii="Arial" w:hAnsi="Arial" w:cs="Arial"/>
          <w:sz w:val="22"/>
          <w:szCs w:val="21"/>
          <w:lang w:val="es-CO"/>
        </w:rPr>
        <w:t>.</w:t>
      </w:r>
      <w:r w:rsidRPr="0090017C">
        <w:rPr>
          <w:rFonts w:ascii="Arial" w:hAnsi="Arial" w:cs="Arial"/>
          <w:sz w:val="22"/>
          <w:szCs w:val="21"/>
          <w:lang w:val="es-ES"/>
        </w:rPr>
        <w:t xml:space="preserve"> Así lo ha dispuesto la jurisprudencia de la CC, criterio también expuesto por la CSJ. </w:t>
      </w:r>
      <w:r w:rsidRPr="0090017C">
        <w:rPr>
          <w:rFonts w:ascii="Arial" w:hAnsi="Arial" w:cs="Arial"/>
          <w:sz w:val="22"/>
          <w:szCs w:val="21"/>
        </w:rPr>
        <w:t xml:space="preserve">Evidente, entonces, es la falta de agotamiento del supuesto de subsidiariedad, como ha explicado </w:t>
      </w:r>
      <w:r w:rsidRPr="0090017C">
        <w:rPr>
          <w:rFonts w:ascii="Arial" w:hAnsi="Arial" w:cs="Arial"/>
          <w:sz w:val="22"/>
          <w:szCs w:val="21"/>
          <w:lang w:val="es-ES"/>
        </w:rPr>
        <w:t xml:space="preserve">la CC, que reiteradamente ha referido que la acción de tutela </w:t>
      </w:r>
      <w:r w:rsidRPr="0090017C">
        <w:rPr>
          <w:rFonts w:ascii="Arial" w:hAnsi="Arial" w:cs="Arial"/>
          <w:sz w:val="22"/>
          <w:szCs w:val="21"/>
          <w:u w:val="single"/>
          <w:lang w:val="es-ES"/>
        </w:rPr>
        <w:t>no puede implementarse como mecanismo alternativo o paralelo para resolver problemas jurídicos que deben ser resueltos dentro del trámite ordinario</w:t>
      </w:r>
      <w:r w:rsidRPr="0090017C">
        <w:rPr>
          <w:rFonts w:ascii="Arial" w:hAnsi="Arial" w:cs="Arial"/>
          <w:sz w:val="22"/>
          <w:szCs w:val="21"/>
          <w:lang w:val="es-ES"/>
        </w:rPr>
        <w:t xml:space="preserve">. (…) </w:t>
      </w:r>
      <w:r w:rsidRPr="0090017C">
        <w:rPr>
          <w:rFonts w:ascii="Arial" w:hAnsi="Arial" w:cs="Arial"/>
          <w:sz w:val="22"/>
          <w:szCs w:val="21"/>
        </w:rPr>
        <w:t>En ese contexto, el presente amparo es improcedente toda vez que se incumple con uno de los siete (7) requisitos generales de procedibilidad, como lo es el de la subsidiariedad, dado que la acción popular aún se está tramitando</w:t>
      </w:r>
      <w:r w:rsidRPr="0090017C">
        <w:rPr>
          <w:rFonts w:ascii="Arial" w:hAnsi="Arial" w:cs="Arial"/>
          <w:sz w:val="22"/>
          <w:szCs w:val="21"/>
          <w:lang w:val="es-ES"/>
        </w:rPr>
        <w:t>.</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w:t>
      </w:r>
      <w:r w:rsidR="002772C3">
        <w:rPr>
          <w:rFonts w:ascii="Arial" w:hAnsi="Arial" w:cs="Arial"/>
          <w:iCs/>
          <w:smallCaps/>
          <w:sz w:val="28"/>
          <w:szCs w:val="28"/>
          <w:lang w:val="es-CO"/>
        </w:rPr>
        <w:t xml:space="preserve">quince </w:t>
      </w:r>
      <w:r w:rsidR="00437198" w:rsidRPr="00303E85">
        <w:rPr>
          <w:rFonts w:ascii="Arial" w:hAnsi="Arial" w:cs="Arial"/>
          <w:iCs/>
          <w:smallCaps/>
          <w:sz w:val="28"/>
          <w:szCs w:val="28"/>
          <w:lang w:val="es-CO"/>
        </w:rPr>
        <w:t>(</w:t>
      </w:r>
      <w:r w:rsidR="002772C3">
        <w:rPr>
          <w:rFonts w:ascii="Arial" w:hAnsi="Arial" w:cs="Arial"/>
          <w:iCs/>
          <w:smallCaps/>
          <w:sz w:val="28"/>
          <w:szCs w:val="28"/>
          <w:lang w:val="es-CO"/>
        </w:rPr>
        <w:t>15</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766A9E">
        <w:rPr>
          <w:rFonts w:ascii="Arial" w:hAnsi="Arial" w:cs="Arial"/>
          <w:iCs/>
          <w:smallCaps/>
          <w:sz w:val="28"/>
          <w:szCs w:val="28"/>
          <w:lang w:val="es-CO"/>
        </w:rPr>
        <w:t>mayo</w:t>
      </w:r>
      <w:r w:rsidR="003D7DC8">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 xml:space="preserve">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83DCB" w:rsidRPr="00CC7D54" w:rsidRDefault="00766A9E" w:rsidP="00271459">
      <w:pPr>
        <w:spacing w:line="360" w:lineRule="auto"/>
        <w:jc w:val="both"/>
        <w:rPr>
          <w:rFonts w:ascii="Times New Roman" w:hAnsi="Times New Roman" w:cs="Times New Roman"/>
        </w:rPr>
      </w:pPr>
      <w:r w:rsidRPr="00CC7D54">
        <w:rPr>
          <w:rFonts w:ascii="Arial" w:hAnsi="Arial" w:cs="Arial"/>
        </w:rPr>
        <w:t xml:space="preserve">Afirmó </w:t>
      </w:r>
      <w:r w:rsidR="00104367" w:rsidRPr="00CC7D54">
        <w:rPr>
          <w:rFonts w:ascii="Arial" w:hAnsi="Arial" w:cs="Arial"/>
        </w:rPr>
        <w:t xml:space="preserve">el actor </w:t>
      </w:r>
      <w:r w:rsidR="0041111B" w:rsidRPr="00CC7D54">
        <w:rPr>
          <w:rFonts w:ascii="Arial" w:hAnsi="Arial" w:cs="Arial"/>
        </w:rPr>
        <w:t xml:space="preserve">que </w:t>
      </w:r>
      <w:r w:rsidR="003D7DC8" w:rsidRPr="00CC7D54">
        <w:rPr>
          <w:rFonts w:ascii="Arial" w:hAnsi="Arial" w:cs="Arial"/>
        </w:rPr>
        <w:t xml:space="preserve">el Despacho Judicial accionado </w:t>
      </w:r>
      <w:r w:rsidRPr="00CC7D54">
        <w:rPr>
          <w:rFonts w:ascii="Arial" w:hAnsi="Arial" w:cs="Arial"/>
        </w:rPr>
        <w:t xml:space="preserve">pretende </w:t>
      </w:r>
      <w:r w:rsidR="00FA358F" w:rsidRPr="00FA358F">
        <w:rPr>
          <w:rFonts w:ascii="Arial" w:hAnsi="Arial" w:cs="Arial"/>
          <w:i/>
        </w:rPr>
        <w:t xml:space="preserve">“modificar, </w:t>
      </w:r>
      <w:r w:rsidRPr="00FA358F">
        <w:rPr>
          <w:rFonts w:ascii="Arial" w:hAnsi="Arial" w:cs="Arial"/>
          <w:i/>
        </w:rPr>
        <w:t>reformar</w:t>
      </w:r>
      <w:r w:rsidR="00FA358F" w:rsidRPr="00FA358F">
        <w:rPr>
          <w:rFonts w:ascii="Arial" w:hAnsi="Arial" w:cs="Arial"/>
          <w:i/>
        </w:rPr>
        <w:t>, varia</w:t>
      </w:r>
      <w:r w:rsidR="00FA358F">
        <w:rPr>
          <w:rFonts w:ascii="Arial" w:hAnsi="Arial" w:cs="Arial"/>
          <w:i/>
        </w:rPr>
        <w:t>r</w:t>
      </w:r>
      <w:r w:rsidR="00FA358F" w:rsidRPr="00FA358F">
        <w:rPr>
          <w:rFonts w:ascii="Arial" w:hAnsi="Arial" w:cs="Arial"/>
          <w:i/>
        </w:rPr>
        <w:t>, cambiar”</w:t>
      </w:r>
      <w:r w:rsidRPr="00CC7D54">
        <w:rPr>
          <w:rFonts w:ascii="Arial" w:hAnsi="Arial" w:cs="Arial"/>
        </w:rPr>
        <w:t xml:space="preserve"> la sentencia</w:t>
      </w:r>
      <w:r w:rsidR="001D1962" w:rsidRPr="00CC7D54">
        <w:rPr>
          <w:rFonts w:ascii="Arial" w:hAnsi="Arial" w:cs="Arial"/>
        </w:rPr>
        <w:t xml:space="preserve"> </w:t>
      </w:r>
      <w:r w:rsidR="00FA358F">
        <w:rPr>
          <w:rFonts w:ascii="Arial" w:hAnsi="Arial" w:cs="Arial"/>
        </w:rPr>
        <w:t xml:space="preserve">ejecutoriada, </w:t>
      </w:r>
      <w:r w:rsidR="00DE47B9" w:rsidRPr="00CC7D54">
        <w:rPr>
          <w:rFonts w:ascii="Arial" w:hAnsi="Arial" w:cs="Arial"/>
        </w:rPr>
        <w:t xml:space="preserve">proferida </w:t>
      </w:r>
      <w:r w:rsidR="007475F9" w:rsidRPr="00CC7D54">
        <w:rPr>
          <w:rFonts w:ascii="Arial" w:hAnsi="Arial" w:cs="Arial"/>
        </w:rPr>
        <w:t>en la acción popular No.201</w:t>
      </w:r>
      <w:r w:rsidRPr="00CC7D54">
        <w:rPr>
          <w:rFonts w:ascii="Arial" w:hAnsi="Arial" w:cs="Arial"/>
        </w:rPr>
        <w:t>5</w:t>
      </w:r>
      <w:r w:rsidR="007475F9" w:rsidRPr="00CC7D54">
        <w:rPr>
          <w:rFonts w:ascii="Arial" w:hAnsi="Arial" w:cs="Arial"/>
        </w:rPr>
        <w:t>-00</w:t>
      </w:r>
      <w:r w:rsidRPr="00CC7D54">
        <w:rPr>
          <w:rFonts w:ascii="Arial" w:hAnsi="Arial" w:cs="Arial"/>
        </w:rPr>
        <w:t>248</w:t>
      </w:r>
      <w:r w:rsidR="007475F9" w:rsidRPr="00CC7D54">
        <w:rPr>
          <w:rFonts w:ascii="Arial" w:hAnsi="Arial" w:cs="Arial"/>
        </w:rPr>
        <w:t>-00</w:t>
      </w:r>
      <w:r w:rsidR="005A7D42" w:rsidRPr="00CC7D54">
        <w:rPr>
          <w:rFonts w:ascii="Arial" w:hAnsi="Arial" w:cs="Arial"/>
        </w:rPr>
        <w:t xml:space="preserve"> (</w:t>
      </w:r>
      <w:r w:rsidR="007475F9" w:rsidRPr="00CC7D54">
        <w:rPr>
          <w:rFonts w:ascii="Arial" w:hAnsi="Arial" w:cs="Arial"/>
        </w:rPr>
        <w:t xml:space="preserve">Folio </w:t>
      </w:r>
      <w:r w:rsidR="003525B5" w:rsidRPr="00CC7D54">
        <w:rPr>
          <w:rFonts w:ascii="Arial" w:hAnsi="Arial" w:cs="Arial"/>
        </w:rPr>
        <w:t xml:space="preserve">1, </w:t>
      </w:r>
      <w:r w:rsidR="00AB69A6" w:rsidRPr="00CC7D54">
        <w:rPr>
          <w:rFonts w:ascii="Arial" w:hAnsi="Arial" w:cs="Arial"/>
        </w:rPr>
        <w:t>este</w:t>
      </w:r>
      <w:r w:rsidR="003525B5" w:rsidRPr="00CC7D54">
        <w:rPr>
          <w:rFonts w:ascii="Arial" w:hAnsi="Arial" w:cs="Arial"/>
        </w:rPr>
        <w:t xml:space="preserve"> cuaderno).</w:t>
      </w:r>
    </w:p>
    <w:p w:rsidR="002B0607" w:rsidRPr="00CC7D54" w:rsidRDefault="002B0607" w:rsidP="00283DCB">
      <w:pPr>
        <w:pStyle w:val="Corpsdetexte"/>
        <w:spacing w:line="360" w:lineRule="auto"/>
        <w:rPr>
          <w:rFonts w:ascii="Arial" w:hAnsi="Arial"/>
          <w:sz w:val="20"/>
          <w:szCs w:val="24"/>
          <w:lang w:val="es-ES"/>
        </w:rPr>
      </w:pPr>
    </w:p>
    <w:p w:rsidR="0099045D" w:rsidRPr="00CC7D54" w:rsidRDefault="00265F36" w:rsidP="0099045D">
      <w:pPr>
        <w:pStyle w:val="Corpsdetexte"/>
        <w:numPr>
          <w:ilvl w:val="0"/>
          <w:numId w:val="1"/>
        </w:numPr>
        <w:spacing w:line="360" w:lineRule="auto"/>
        <w:rPr>
          <w:rFonts w:ascii="Arial" w:hAnsi="Arial"/>
          <w:szCs w:val="24"/>
        </w:rPr>
      </w:pPr>
      <w:r w:rsidRPr="00CC7D54">
        <w:rPr>
          <w:rFonts w:ascii="Arial" w:hAnsi="Arial"/>
          <w:szCs w:val="24"/>
        </w:rPr>
        <w:lastRenderedPageBreak/>
        <w:t xml:space="preserve">LOS </w:t>
      </w:r>
      <w:r w:rsidR="0099045D" w:rsidRPr="00CC7D54">
        <w:rPr>
          <w:rFonts w:ascii="Arial" w:hAnsi="Arial"/>
          <w:szCs w:val="24"/>
        </w:rPr>
        <w:t>DERECHO</w:t>
      </w:r>
      <w:r w:rsidRPr="00CC7D54">
        <w:rPr>
          <w:rFonts w:ascii="Arial" w:hAnsi="Arial"/>
          <w:szCs w:val="24"/>
        </w:rPr>
        <w:t>S</w:t>
      </w:r>
      <w:r w:rsidR="0099045D" w:rsidRPr="00CC7D54">
        <w:rPr>
          <w:rFonts w:ascii="Arial" w:hAnsi="Arial"/>
          <w:szCs w:val="24"/>
        </w:rPr>
        <w:t xml:space="preserve"> </w:t>
      </w:r>
      <w:r w:rsidR="004B7439" w:rsidRPr="00CC7D54">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w:t>
      </w:r>
      <w:r w:rsidRPr="00EA458D">
        <w:rPr>
          <w:rFonts w:ascii="Arial" w:hAnsi="Arial" w:cs="Arial"/>
          <w:i/>
          <w:spacing w:val="-3"/>
          <w:sz w:val="22"/>
          <w:lang w:val="es-ES_tradnl"/>
        </w:rPr>
        <w:t xml:space="preserve">“(…) </w:t>
      </w:r>
      <w:r w:rsidR="005975C3">
        <w:rPr>
          <w:rFonts w:ascii="Arial" w:hAnsi="Arial" w:cs="Arial"/>
          <w:i/>
          <w:spacing w:val="-3"/>
          <w:sz w:val="22"/>
          <w:lang w:val="es-ES_tradnl"/>
        </w:rPr>
        <w:t xml:space="preserve">mis </w:t>
      </w:r>
      <w:r w:rsidRPr="00EA458D">
        <w:rPr>
          <w:rFonts w:ascii="Arial" w:hAnsi="Arial" w:cs="Arial"/>
          <w:i/>
          <w:spacing w:val="-3"/>
          <w:sz w:val="22"/>
          <w:lang w:val="es-ES_tradnl"/>
        </w:rPr>
        <w:t>garantías procesales</w:t>
      </w:r>
      <w:r w:rsidR="005975C3">
        <w:rPr>
          <w:rFonts w:ascii="Arial" w:hAnsi="Arial" w:cs="Arial"/>
          <w:i/>
          <w:spacing w:val="-3"/>
          <w:sz w:val="22"/>
          <w:lang w:val="es-ES_tradnl"/>
        </w:rPr>
        <w:t xml:space="preserve"> (…)”</w:t>
      </w:r>
      <w:r w:rsidR="005A7D42" w:rsidRPr="005975C3">
        <w:rPr>
          <w:rFonts w:ascii="Arial" w:hAnsi="Arial" w:cs="Arial"/>
          <w:spacing w:val="-3"/>
          <w:lang w:val="es-ES_tradnl"/>
        </w:rPr>
        <w:t xml:space="preserve">, </w:t>
      </w:r>
      <w:r w:rsidR="005975C3">
        <w:rPr>
          <w:rFonts w:ascii="Arial" w:hAnsi="Arial" w:cs="Arial"/>
          <w:spacing w:val="-3"/>
          <w:lang w:val="es-ES_tradnl"/>
        </w:rPr>
        <w:t xml:space="preserve">el </w:t>
      </w:r>
      <w:r w:rsidR="005A7D42" w:rsidRPr="005975C3">
        <w:rPr>
          <w:rFonts w:ascii="Arial" w:hAnsi="Arial" w:cs="Arial"/>
          <w:spacing w:val="-3"/>
          <w:lang w:val="es-ES_tradnl"/>
        </w:rPr>
        <w:t>debido proceso</w:t>
      </w:r>
      <w:r w:rsidR="005975C3">
        <w:rPr>
          <w:rFonts w:ascii="Arial" w:hAnsi="Arial" w:cs="Arial"/>
          <w:spacing w:val="-3"/>
          <w:lang w:val="es-ES_tradnl"/>
        </w:rPr>
        <w:t xml:space="preserve"> y </w:t>
      </w:r>
      <w:r w:rsidR="005A7D42" w:rsidRPr="005975C3">
        <w:rPr>
          <w:rFonts w:ascii="Arial" w:hAnsi="Arial" w:cs="Arial"/>
          <w:spacing w:val="-3"/>
          <w:lang w:val="es-ES_tradnl"/>
        </w:rPr>
        <w:t xml:space="preserve"> </w:t>
      </w:r>
      <w:r w:rsidR="005975C3">
        <w:rPr>
          <w:rFonts w:ascii="Arial" w:hAnsi="Arial" w:cs="Arial"/>
          <w:spacing w:val="-3"/>
          <w:lang w:val="es-ES_tradnl"/>
        </w:rPr>
        <w:t xml:space="preserve">el </w:t>
      </w:r>
      <w:r w:rsidR="005A7D42" w:rsidRPr="005975C3">
        <w:rPr>
          <w:rFonts w:ascii="Arial" w:hAnsi="Arial" w:cs="Arial"/>
          <w:spacing w:val="-3"/>
          <w:lang w:val="es-ES_tradnl"/>
        </w:rPr>
        <w:t>derecho a la igualdad</w:t>
      </w:r>
      <w:r w:rsidRPr="005975C3">
        <w:rPr>
          <w:rFonts w:ascii="Arial" w:hAnsi="Arial" w:cs="Arial"/>
          <w:i/>
          <w:spacing w:val="-3"/>
          <w:lang w:val="es-ES_tradnl"/>
        </w:rPr>
        <w:t xml:space="preserve"> </w:t>
      </w:r>
      <w:r w:rsidR="007475F9">
        <w:rPr>
          <w:rFonts w:ascii="Arial" w:hAnsi="Arial" w:cs="Arial"/>
          <w:spacing w:val="-3"/>
          <w:lang w:val="es-ES_tradnl"/>
        </w:rPr>
        <w:t>(Folio</w:t>
      </w:r>
      <w:r>
        <w:rPr>
          <w:rFonts w:ascii="Arial" w:hAnsi="Arial" w:cs="Arial"/>
          <w:spacing w:val="-3"/>
          <w:lang w:val="es-ES_tradnl"/>
        </w:rPr>
        <w:t xml:space="preserve"> </w:t>
      </w:r>
      <w:r w:rsidR="007475F9">
        <w:rPr>
          <w:rFonts w:ascii="Arial" w:hAnsi="Arial" w:cs="Arial"/>
          <w:spacing w:val="-3"/>
          <w:lang w:val="es-ES_tradnl"/>
        </w:rPr>
        <w:t>2</w:t>
      </w:r>
      <w:r>
        <w:rPr>
          <w:rFonts w:ascii="Arial" w:hAnsi="Arial" w:cs="Arial"/>
          <w:spacing w:val="-3"/>
          <w:lang w:val="es-ES_tradnl"/>
        </w:rPr>
        <w:t>,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7475F9">
        <w:rPr>
          <w:rFonts w:ascii="Arial" w:hAnsi="Arial" w:cs="Arial"/>
        </w:rPr>
        <w:t>: (i) S</w:t>
      </w:r>
      <w:r w:rsidR="00D669DC">
        <w:rPr>
          <w:rFonts w:ascii="Arial" w:hAnsi="Arial" w:cs="Arial"/>
        </w:rPr>
        <w:t>e ordene al accionado</w:t>
      </w:r>
      <w:r w:rsidR="00005484">
        <w:rPr>
          <w:rFonts w:ascii="Arial" w:hAnsi="Arial" w:cs="Arial"/>
        </w:rPr>
        <w:t xml:space="preserve"> revocar el auto que amplió </w:t>
      </w:r>
      <w:r w:rsidR="005975C3">
        <w:rPr>
          <w:rFonts w:ascii="Arial" w:hAnsi="Arial" w:cs="Arial"/>
        </w:rPr>
        <w:t xml:space="preserve">a cuatro (4) meses </w:t>
      </w:r>
      <w:r w:rsidR="00005484">
        <w:rPr>
          <w:rFonts w:ascii="Arial" w:hAnsi="Arial" w:cs="Arial"/>
        </w:rPr>
        <w:t>el término para cumplir el fallo</w:t>
      </w:r>
      <w:r w:rsidR="007475F9">
        <w:rPr>
          <w:rFonts w:ascii="Arial" w:hAnsi="Arial" w:cs="Arial"/>
        </w:rPr>
        <w:t>;</w:t>
      </w:r>
      <w:r w:rsidR="00005484">
        <w:rPr>
          <w:rFonts w:ascii="Arial" w:hAnsi="Arial" w:cs="Arial"/>
        </w:rPr>
        <w:t xml:space="preserve"> </w:t>
      </w:r>
      <w:r w:rsidR="00DE47B9">
        <w:rPr>
          <w:rFonts w:ascii="Arial" w:hAnsi="Arial" w:cs="Arial"/>
        </w:rPr>
        <w:t>(</w:t>
      </w:r>
      <w:r w:rsidR="00177896">
        <w:rPr>
          <w:rFonts w:ascii="Arial" w:hAnsi="Arial" w:cs="Arial"/>
        </w:rPr>
        <w:t>ii</w:t>
      </w:r>
      <w:r w:rsidR="00DE47B9">
        <w:rPr>
          <w:rFonts w:ascii="Arial" w:hAnsi="Arial" w:cs="Arial"/>
        </w:rPr>
        <w:t xml:space="preserve">) Se </w:t>
      </w:r>
      <w:r w:rsidR="007475F9">
        <w:rPr>
          <w:rFonts w:ascii="Arial" w:hAnsi="Arial" w:cs="Arial"/>
        </w:rPr>
        <w:t xml:space="preserve">disponga que el procurador delegado </w:t>
      </w:r>
      <w:r w:rsidR="005975C3">
        <w:rPr>
          <w:rFonts w:ascii="Arial" w:hAnsi="Arial" w:cs="Arial"/>
        </w:rPr>
        <w:t xml:space="preserve">demostrar </w:t>
      </w:r>
      <w:r w:rsidR="007475F9">
        <w:rPr>
          <w:rFonts w:ascii="Arial" w:hAnsi="Arial" w:cs="Arial"/>
        </w:rPr>
        <w:t>qu</w:t>
      </w:r>
      <w:r w:rsidR="0073683E">
        <w:rPr>
          <w:rFonts w:ascii="Arial" w:hAnsi="Arial" w:cs="Arial"/>
        </w:rPr>
        <w:t>é</w:t>
      </w:r>
      <w:r w:rsidR="007475F9">
        <w:rPr>
          <w:rFonts w:ascii="Arial" w:hAnsi="Arial" w:cs="Arial"/>
        </w:rPr>
        <w:t xml:space="preserve"> actividades ha realizado para </w:t>
      </w:r>
      <w:r w:rsidR="00ED5606">
        <w:rPr>
          <w:rFonts w:ascii="Arial" w:hAnsi="Arial" w:cs="Arial"/>
        </w:rPr>
        <w:t>gestionar</w:t>
      </w:r>
      <w:r w:rsidR="007475F9">
        <w:rPr>
          <w:rFonts w:ascii="Arial" w:hAnsi="Arial" w:cs="Arial"/>
        </w:rPr>
        <w:t xml:space="preserve"> </w:t>
      </w:r>
      <w:r w:rsidR="00917319">
        <w:rPr>
          <w:rFonts w:ascii="Arial" w:hAnsi="Arial" w:cs="Arial"/>
        </w:rPr>
        <w:t xml:space="preserve">las </w:t>
      </w:r>
      <w:r w:rsidR="007475F9">
        <w:rPr>
          <w:rFonts w:ascii="Arial" w:hAnsi="Arial" w:cs="Arial"/>
        </w:rPr>
        <w:t>garantías procesales del actor</w:t>
      </w:r>
      <w:r w:rsidR="00DE47B9" w:rsidRPr="00005484">
        <w:rPr>
          <w:rFonts w:ascii="Arial" w:hAnsi="Arial" w:cs="Arial"/>
        </w:rPr>
        <w:t>, y</w:t>
      </w:r>
      <w:r w:rsidR="00DE47B9">
        <w:rPr>
          <w:rFonts w:ascii="Arial" w:hAnsi="Arial" w:cs="Arial"/>
        </w:rPr>
        <w:t>, (i</w:t>
      </w:r>
      <w:r w:rsidR="00177896">
        <w:rPr>
          <w:rFonts w:ascii="Arial" w:hAnsi="Arial" w:cs="Arial"/>
        </w:rPr>
        <w:t>ii</w:t>
      </w:r>
      <w:r w:rsidR="00DE47B9">
        <w:rPr>
          <w:rFonts w:ascii="Arial" w:hAnsi="Arial" w:cs="Arial"/>
        </w:rPr>
        <w:t>) Se ordene al tutelado mantener incólume el fallo y conceder de nuevo un término para su cumplimiento</w:t>
      </w:r>
      <w:r w:rsidR="007475F9">
        <w:rPr>
          <w:rFonts w:ascii="Arial" w:hAnsi="Arial" w:cs="Arial"/>
        </w:rPr>
        <w:t xml:space="preserve"> </w:t>
      </w:r>
      <w:r w:rsidR="00612C75">
        <w:rPr>
          <w:rFonts w:ascii="Arial" w:hAnsi="Arial" w:cs="Arial"/>
          <w:spacing w:val="-3"/>
          <w:lang w:val="es-ES_tradnl"/>
        </w:rPr>
        <w:t>(Folio</w:t>
      </w:r>
      <w:r w:rsidR="005975C3">
        <w:rPr>
          <w:rFonts w:ascii="Arial" w:hAnsi="Arial" w:cs="Arial"/>
          <w:spacing w:val="-3"/>
          <w:lang w:val="es-ES_tradnl"/>
        </w:rPr>
        <w:t>s</w:t>
      </w:r>
      <w:r w:rsidR="00612C75">
        <w:rPr>
          <w:rFonts w:ascii="Arial" w:hAnsi="Arial" w:cs="Arial"/>
          <w:spacing w:val="-3"/>
          <w:lang w:val="es-ES_tradnl"/>
        </w:rPr>
        <w:t xml:space="preserve"> </w:t>
      </w:r>
      <w:r w:rsidR="005975C3">
        <w:rPr>
          <w:rFonts w:ascii="Arial" w:hAnsi="Arial" w:cs="Arial"/>
          <w:spacing w:val="-3"/>
          <w:lang w:val="es-ES_tradnl"/>
        </w:rPr>
        <w:t xml:space="preserve">1 y </w:t>
      </w:r>
      <w:r w:rsidR="00EA458D">
        <w:rPr>
          <w:rFonts w:ascii="Arial" w:hAnsi="Arial" w:cs="Arial"/>
          <w:spacing w:val="-3"/>
          <w:lang w:val="es-ES_tradnl"/>
        </w:rPr>
        <w:t>2</w:t>
      </w:r>
      <w:r w:rsidR="00D669DC">
        <w:rPr>
          <w:rFonts w:ascii="Arial" w:hAnsi="Arial" w:cs="Arial"/>
          <w:spacing w:val="-3"/>
          <w:lang w:val="es-ES_tradnl"/>
        </w:rPr>
        <w:t>, este cuaderno).</w:t>
      </w:r>
    </w:p>
    <w:p w:rsidR="00CE71D8" w:rsidRPr="005975C3" w:rsidRDefault="00CE71D8" w:rsidP="000145EA">
      <w:pPr>
        <w:pStyle w:val="Sansinterligne"/>
        <w:spacing w:line="360" w:lineRule="auto"/>
        <w:jc w:val="both"/>
        <w:rPr>
          <w:rFonts w:ascii="Arial" w:hAnsi="Arial" w:cs="Arial"/>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DE4A67" w:rsidRDefault="00971166" w:rsidP="004B1EB8">
      <w:pPr>
        <w:spacing w:line="360" w:lineRule="auto"/>
        <w:jc w:val="both"/>
        <w:rPr>
          <w:rFonts w:ascii="Arial" w:hAnsi="Arial" w:cs="Arial"/>
          <w:color w:val="000000"/>
        </w:rPr>
      </w:pPr>
      <w:r w:rsidRPr="00B74361">
        <w:rPr>
          <w:rFonts w:ascii="Arial" w:hAnsi="Arial"/>
        </w:rPr>
        <w:t xml:space="preserve">En reparto ordinario del </w:t>
      </w:r>
      <w:r w:rsidR="00DE4A67">
        <w:rPr>
          <w:rFonts w:ascii="Arial" w:hAnsi="Arial"/>
        </w:rPr>
        <w:t>28</w:t>
      </w:r>
      <w:r w:rsidR="00ED5606">
        <w:rPr>
          <w:rFonts w:ascii="Arial" w:hAnsi="Arial"/>
        </w:rPr>
        <w:t>-04</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DE4A67">
        <w:rPr>
          <w:rFonts w:ascii="Arial" w:hAnsi="Arial" w:cs="Arial"/>
          <w:color w:val="000000"/>
        </w:rPr>
        <w:t>02-05-2017</w:t>
      </w:r>
      <w:r w:rsidR="00EA458D">
        <w:rPr>
          <w:rFonts w:ascii="Arial" w:hAnsi="Arial" w:cs="Arial"/>
          <w:color w:val="000000"/>
        </w:rPr>
        <w:t xml:space="preserve"> </w:t>
      </w:r>
      <w:r w:rsidR="00ED5606">
        <w:rPr>
          <w:rFonts w:ascii="Arial" w:hAnsi="Arial" w:cs="Arial"/>
          <w:color w:val="000000"/>
        </w:rPr>
        <w:t>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DE4A67">
        <w:rPr>
          <w:rFonts w:ascii="Arial" w:hAnsi="Arial"/>
        </w:rPr>
        <w:t>5</w:t>
      </w:r>
      <w:r w:rsidR="00BB4CEF">
        <w:rPr>
          <w:rFonts w:ascii="Arial" w:hAnsi="Arial"/>
        </w:rPr>
        <w:t xml:space="preserve"> a </w:t>
      </w:r>
      <w:r w:rsidR="00DE4A67">
        <w:rPr>
          <w:rFonts w:ascii="Arial" w:hAnsi="Arial"/>
        </w:rPr>
        <w:t>6</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 </w:t>
      </w:r>
      <w:r w:rsidR="00DE4A67">
        <w:rPr>
          <w:rFonts w:ascii="Arial" w:hAnsi="Arial" w:cs="Arial"/>
          <w:color w:val="000000"/>
        </w:rPr>
        <w:t>7 a 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w:t>
      </w:r>
      <w:r w:rsidR="001E3291">
        <w:rPr>
          <w:rFonts w:ascii="Arial" w:hAnsi="Arial" w:cs="Arial"/>
          <w:color w:val="000000"/>
        </w:rPr>
        <w:t xml:space="preserve"> </w:t>
      </w:r>
      <w:r w:rsidR="00ED5606">
        <w:rPr>
          <w:rFonts w:ascii="Arial" w:hAnsi="Arial" w:cs="Arial"/>
          <w:color w:val="000000"/>
        </w:rPr>
        <w:t xml:space="preserve">Contestó la </w:t>
      </w:r>
      <w:r w:rsidR="00DE4A67">
        <w:rPr>
          <w:rFonts w:ascii="Arial" w:hAnsi="Arial" w:cs="Arial"/>
          <w:color w:val="000000"/>
        </w:rPr>
        <w:t xml:space="preserve">Procuraduría General de la Nación, en adelante PGN, Regional de Pereira (Folio 51, ib.). El Municipio de Pereira (Folio 55 a 56, ib.). </w:t>
      </w:r>
      <w:r w:rsidR="005975C3">
        <w:rPr>
          <w:rFonts w:ascii="Arial" w:hAnsi="Arial" w:cs="Arial"/>
          <w:color w:val="000000"/>
        </w:rPr>
        <w:t xml:space="preserve">La </w:t>
      </w:r>
      <w:r w:rsidR="00DE4A67">
        <w:rPr>
          <w:rFonts w:ascii="Arial" w:hAnsi="Arial" w:cs="Arial"/>
          <w:color w:val="000000"/>
        </w:rPr>
        <w:t>Personería de Pereira (Folios</w:t>
      </w:r>
      <w:r w:rsidR="00CA226B">
        <w:rPr>
          <w:rFonts w:ascii="Arial" w:hAnsi="Arial" w:cs="Arial"/>
          <w:color w:val="000000"/>
        </w:rPr>
        <w:t xml:space="preserve"> 61 a 63, ib.), y, el Banco Caja Social (Folio 67 a 69, ib.).</w:t>
      </w:r>
      <w:r w:rsidR="00DE4A67">
        <w:rPr>
          <w:rFonts w:ascii="Arial" w:hAnsi="Arial" w:cs="Arial"/>
          <w:color w:val="000000"/>
        </w:rPr>
        <w:t xml:space="preserve"> </w:t>
      </w:r>
    </w:p>
    <w:p w:rsidR="00DE4A67" w:rsidRDefault="00DE4A67" w:rsidP="004B1EB8">
      <w:pPr>
        <w:spacing w:line="360" w:lineRule="auto"/>
        <w:jc w:val="both"/>
        <w:rPr>
          <w:rFonts w:ascii="Arial" w:hAnsi="Arial" w:cs="Arial"/>
          <w:color w:val="00000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C323F1" w:rsidRDefault="000C0D00" w:rsidP="008F2C43">
      <w:pPr>
        <w:widowControl/>
        <w:spacing w:line="360" w:lineRule="auto"/>
        <w:jc w:val="both"/>
        <w:rPr>
          <w:rFonts w:ascii="Arial" w:hAnsi="Arial" w:cs="Arial"/>
        </w:rPr>
      </w:pPr>
      <w:r>
        <w:rPr>
          <w:rFonts w:ascii="Arial" w:hAnsi="Arial"/>
        </w:rPr>
        <w:t xml:space="preserve">La PGN, Regional Risaralda, </w:t>
      </w:r>
      <w:r w:rsidRPr="001136A5">
        <w:rPr>
          <w:rFonts w:ascii="Arial" w:hAnsi="Arial"/>
        </w:rPr>
        <w:t>la</w:t>
      </w:r>
      <w:r>
        <w:rPr>
          <w:rFonts w:ascii="Arial" w:hAnsi="Arial"/>
        </w:rPr>
        <w:t xml:space="preserve"> Alcaldía y</w:t>
      </w:r>
      <w:r w:rsidRPr="001136A5">
        <w:rPr>
          <w:rFonts w:ascii="Arial" w:hAnsi="Arial"/>
        </w:rPr>
        <w:t xml:space="preserve"> Personería de Pereira, adujeron que la situación alegada es ajena a sus funciones, y que es al Juzgado accionado al que le corresponde tramitar la acción popular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sidR="0070660E">
        <w:rPr>
          <w:rFonts w:ascii="Arial" w:hAnsi="Arial"/>
        </w:rPr>
        <w:t xml:space="preserve"> (Folios 51, 55 a 55 y</w:t>
      </w:r>
      <w:r w:rsidR="00AA2221">
        <w:rPr>
          <w:rFonts w:ascii="Arial" w:hAnsi="Arial"/>
        </w:rPr>
        <w:t xml:space="preserve"> </w:t>
      </w:r>
      <w:r w:rsidR="0070660E">
        <w:rPr>
          <w:rFonts w:ascii="Arial" w:hAnsi="Arial"/>
        </w:rPr>
        <w:t>61 a 63, ib.)</w:t>
      </w:r>
      <w:r w:rsidR="00AA2221">
        <w:rPr>
          <w:rFonts w:ascii="Arial" w:hAnsi="Arial"/>
        </w:rPr>
        <w:t>, y, el Banco Caja Social</w:t>
      </w:r>
      <w:r w:rsidR="00D276B6">
        <w:rPr>
          <w:rFonts w:ascii="Arial" w:hAnsi="Arial"/>
        </w:rPr>
        <w:t xml:space="preserve"> de Bogotá,</w:t>
      </w:r>
      <w:r w:rsidR="00017AEE">
        <w:rPr>
          <w:rFonts w:ascii="Arial" w:hAnsi="Arial"/>
        </w:rPr>
        <w:t xml:space="preserve"> </w:t>
      </w:r>
      <w:r w:rsidR="00DB110D">
        <w:rPr>
          <w:rFonts w:ascii="Arial" w:hAnsi="Arial"/>
        </w:rPr>
        <w:t>señaló que e</w:t>
      </w:r>
      <w:r w:rsidR="008F2C43">
        <w:rPr>
          <w:rFonts w:ascii="Arial" w:hAnsi="Arial" w:cs="Arial"/>
          <w:color w:val="000000"/>
        </w:rPr>
        <w:t xml:space="preserve">l actor no </w:t>
      </w:r>
      <w:r w:rsidR="00DB110D">
        <w:rPr>
          <w:rFonts w:ascii="Arial" w:hAnsi="Arial" w:cs="Arial"/>
          <w:color w:val="000000"/>
        </w:rPr>
        <w:t>agotó</w:t>
      </w:r>
      <w:r w:rsidR="008F2C43">
        <w:rPr>
          <w:rFonts w:ascii="Arial" w:hAnsi="Arial" w:cs="Arial"/>
          <w:color w:val="000000"/>
        </w:rPr>
        <w:t xml:space="preserve"> los recursos</w:t>
      </w:r>
      <w:r w:rsidR="00316890">
        <w:rPr>
          <w:rFonts w:ascii="Arial" w:hAnsi="Arial" w:cs="Arial"/>
          <w:color w:val="000000"/>
        </w:rPr>
        <w:t xml:space="preserve"> legales</w:t>
      </w:r>
      <w:r w:rsidR="003C0060">
        <w:rPr>
          <w:rFonts w:ascii="Arial" w:hAnsi="Arial" w:cs="Arial"/>
          <w:color w:val="000000"/>
        </w:rPr>
        <w:t xml:space="preserve"> frente a</w:t>
      </w:r>
      <w:r w:rsidR="00316890">
        <w:rPr>
          <w:rFonts w:ascii="Arial" w:hAnsi="Arial" w:cs="Arial"/>
          <w:color w:val="000000"/>
        </w:rPr>
        <w:t>l</w:t>
      </w:r>
      <w:r w:rsidR="008F2C43">
        <w:rPr>
          <w:rFonts w:ascii="Arial" w:hAnsi="Arial" w:cs="Arial"/>
          <w:color w:val="000000"/>
        </w:rPr>
        <w:t xml:space="preserve"> auto </w:t>
      </w:r>
      <w:r w:rsidR="00C933F1">
        <w:rPr>
          <w:rFonts w:ascii="Arial" w:hAnsi="Arial"/>
        </w:rPr>
        <w:t>que concedió el término adicional</w:t>
      </w:r>
      <w:r w:rsidR="00C933F1">
        <w:rPr>
          <w:rFonts w:ascii="Arial" w:hAnsi="Arial" w:cs="Arial"/>
          <w:color w:val="000000"/>
        </w:rPr>
        <w:t xml:space="preserve"> para </w:t>
      </w:r>
      <w:r w:rsidR="00E64FE2">
        <w:rPr>
          <w:rFonts w:ascii="Arial" w:hAnsi="Arial" w:cs="Arial"/>
          <w:color w:val="000000"/>
        </w:rPr>
        <w:t>cumplir e</w:t>
      </w:r>
      <w:r w:rsidR="00C933F1">
        <w:rPr>
          <w:rFonts w:ascii="Arial" w:hAnsi="Arial" w:cs="Arial"/>
          <w:color w:val="000000"/>
        </w:rPr>
        <w:t>l fallo</w:t>
      </w:r>
      <w:r w:rsidR="005975C3">
        <w:rPr>
          <w:rFonts w:ascii="Arial" w:hAnsi="Arial" w:cs="Arial"/>
          <w:color w:val="000000"/>
        </w:rPr>
        <w:t xml:space="preserve">. Pidió </w:t>
      </w:r>
      <w:r w:rsidR="00261753">
        <w:rPr>
          <w:rFonts w:ascii="Arial" w:hAnsi="Arial" w:cs="Arial"/>
          <w:color w:val="000000"/>
        </w:rPr>
        <w:t xml:space="preserve">negar y ordenar </w:t>
      </w:r>
      <w:r w:rsidR="00316890">
        <w:rPr>
          <w:rFonts w:ascii="Arial" w:hAnsi="Arial" w:cs="Arial"/>
          <w:color w:val="000000"/>
        </w:rPr>
        <w:t>su</w:t>
      </w:r>
      <w:r w:rsidR="00261753">
        <w:rPr>
          <w:rFonts w:ascii="Arial" w:hAnsi="Arial" w:cs="Arial"/>
          <w:color w:val="000000"/>
        </w:rPr>
        <w:t xml:space="preserve"> d</w:t>
      </w:r>
      <w:r w:rsidR="00E11E8A">
        <w:rPr>
          <w:rFonts w:ascii="Arial" w:hAnsi="Arial" w:cs="Arial"/>
          <w:color w:val="000000"/>
        </w:rPr>
        <w:t>esvincul</w:t>
      </w:r>
      <w:r w:rsidR="00261753">
        <w:rPr>
          <w:rFonts w:ascii="Arial" w:hAnsi="Arial" w:cs="Arial"/>
          <w:color w:val="000000"/>
        </w:rPr>
        <w:t xml:space="preserve">ación </w:t>
      </w:r>
      <w:r w:rsidR="00316890">
        <w:rPr>
          <w:rFonts w:ascii="Arial" w:hAnsi="Arial" w:cs="Arial"/>
          <w:color w:val="000000"/>
        </w:rPr>
        <w:t xml:space="preserve">en este amparo </w:t>
      </w:r>
      <w:r w:rsidR="00017AEE">
        <w:rPr>
          <w:rFonts w:ascii="Arial" w:hAnsi="Arial"/>
        </w:rPr>
        <w:t>(Folio</w:t>
      </w:r>
      <w:r w:rsidR="00E11E8A">
        <w:rPr>
          <w:rFonts w:ascii="Arial" w:hAnsi="Arial"/>
        </w:rPr>
        <w:t>s 67 a 69</w:t>
      </w:r>
      <w:r w:rsidR="00017AEE">
        <w:rPr>
          <w:rFonts w:ascii="Arial" w:hAnsi="Arial"/>
        </w:rPr>
        <w:t>, ib.).</w:t>
      </w:r>
    </w:p>
    <w:p w:rsidR="00C323F1" w:rsidRDefault="00C323F1" w:rsidP="00C323F1">
      <w:pPr>
        <w:widowControl/>
        <w:spacing w:line="360" w:lineRule="auto"/>
        <w:jc w:val="both"/>
        <w:rPr>
          <w:rFonts w:ascii="Arial" w:hAnsi="Arial" w:cs="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A15670" w:rsidRPr="005764A9">
        <w:rPr>
          <w:rFonts w:ascii="Arial" w:hAnsi="Arial" w:cs="Arial"/>
          <w:szCs w:val="24"/>
        </w:rPr>
        <w:t>acci</w:t>
      </w:r>
      <w:r w:rsidR="00A65C62">
        <w:rPr>
          <w:rFonts w:ascii="Arial" w:hAnsi="Arial" w:cs="Arial"/>
          <w:szCs w:val="24"/>
        </w:rPr>
        <w:t>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DC2991" w:rsidRPr="005764A9">
        <w:rPr>
          <w:rFonts w:ascii="Arial" w:hAnsi="Arial" w:cs="Arial"/>
          <w:color w:val="000000"/>
          <w:szCs w:val="24"/>
        </w:rPr>
        <w:t xml:space="preserve">Cuarto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lastRenderedPageBreak/>
        <w:t xml:space="preserve">El problema jurídico a resolver. </w:t>
      </w:r>
      <w:r w:rsidRPr="005764A9">
        <w:rPr>
          <w:rFonts w:ascii="Arial" w:hAnsi="Arial" w:cs="Arial"/>
        </w:rPr>
        <w:t>¿El Juzgado accionado</w:t>
      </w:r>
      <w:r w:rsidR="00ED5606">
        <w:rPr>
          <w:rFonts w:ascii="Arial" w:hAnsi="Arial" w:cs="Arial"/>
        </w:rPr>
        <w:t xml:space="preserve"> y la Procuraduría General de la Nación, Regional</w:t>
      </w:r>
      <w:r w:rsidR="00A65C62">
        <w:rPr>
          <w:rFonts w:ascii="Arial" w:hAnsi="Arial" w:cs="Arial"/>
        </w:rPr>
        <w:t xml:space="preserve"> Risaralda</w:t>
      </w:r>
      <w:r w:rsidRPr="005764A9">
        <w:rPr>
          <w:rFonts w:ascii="Arial" w:hAnsi="Arial" w:cs="Arial"/>
        </w:rPr>
        <w:t>, ha</w:t>
      </w:r>
      <w:r w:rsidR="00ED5606">
        <w:rPr>
          <w:rFonts w:ascii="Arial" w:hAnsi="Arial" w:cs="Arial"/>
        </w:rPr>
        <w:t>n</w:t>
      </w:r>
      <w:r w:rsidRPr="005764A9">
        <w:rPr>
          <w:rFonts w:ascii="Arial" w:hAnsi="Arial" w:cs="Arial"/>
        </w:rPr>
        <w:t xml:space="preserve"> vulnerado o amenazado los derechos fundamentales del accionante, según lo expuesto en </w:t>
      </w:r>
      <w:r w:rsidR="00A65C62">
        <w:rPr>
          <w:rFonts w:ascii="Arial" w:hAnsi="Arial" w:cs="Arial"/>
        </w:rPr>
        <w:t>el</w:t>
      </w:r>
      <w:r w:rsidRPr="005764A9">
        <w:rPr>
          <w:rFonts w:ascii="Arial" w:hAnsi="Arial" w:cs="Arial"/>
        </w:rPr>
        <w:t xml:space="preserve"> escrito de tutela?</w:t>
      </w:r>
      <w:r w:rsidR="004561AA">
        <w:rPr>
          <w:rFonts w:ascii="Arial" w:hAnsi="Arial" w:cs="Arial"/>
        </w:rPr>
        <w:t>.</w:t>
      </w:r>
    </w:p>
    <w:p w:rsidR="00ED5606" w:rsidRDefault="00ED5606" w:rsidP="00ED5606">
      <w:pPr>
        <w:rPr>
          <w:rFonts w:ascii="Arial" w:hAnsi="Arial" w:cs="Arial"/>
        </w:rPr>
      </w:pPr>
    </w:p>
    <w:p w:rsidR="00ED5606" w:rsidRPr="00ED5606" w:rsidRDefault="00ED5606" w:rsidP="00ED5606">
      <w:pPr>
        <w:pStyle w:val="Paragraphedeliste"/>
        <w:numPr>
          <w:ilvl w:val="1"/>
          <w:numId w:val="18"/>
        </w:numPr>
        <w:rPr>
          <w:rFonts w:ascii="Arial" w:hAnsi="Arial" w:cs="Arial"/>
          <w:smallCaps/>
        </w:rPr>
      </w:pPr>
      <w:r w:rsidRPr="00ED5606">
        <w:rPr>
          <w:rFonts w:ascii="Arial" w:hAnsi="Arial" w:cs="Arial"/>
          <w:smallCaps/>
        </w:rPr>
        <w:t>Los presupuestos generales de procedencia</w:t>
      </w:r>
    </w:p>
    <w:p w:rsidR="00ED5606" w:rsidRPr="00ED5606" w:rsidRDefault="00ED5606" w:rsidP="00ED5606">
      <w:pPr>
        <w:pStyle w:val="Paragraphedeliste"/>
        <w:rPr>
          <w:rFonts w:ascii="Arial" w:hAnsi="Arial" w:cs="Arial"/>
        </w:rPr>
      </w:pPr>
    </w:p>
    <w:p w:rsidR="00ED5606" w:rsidRPr="00ED5606" w:rsidRDefault="00ED5606" w:rsidP="00ED5606">
      <w:pPr>
        <w:pStyle w:val="Paragraphedeliste"/>
        <w:ind w:left="720"/>
        <w:rPr>
          <w:rFonts w:ascii="Arial" w:hAnsi="Arial" w:cs="Arial"/>
        </w:rPr>
      </w:pPr>
    </w:p>
    <w:p w:rsidR="00ED5606" w:rsidRPr="0073683E" w:rsidRDefault="00ED5606" w:rsidP="00ED5606">
      <w:pPr>
        <w:pStyle w:val="Corpsdetexte"/>
        <w:numPr>
          <w:ilvl w:val="2"/>
          <w:numId w:val="18"/>
        </w:numPr>
        <w:spacing w:line="360" w:lineRule="auto"/>
        <w:rPr>
          <w:rFonts w:ascii="Arial" w:hAnsi="Arial" w:cs="Arial"/>
          <w:sz w:val="22"/>
          <w:szCs w:val="24"/>
        </w:rPr>
      </w:pPr>
      <w:r w:rsidRPr="0073683E">
        <w:rPr>
          <w:rFonts w:ascii="Arial" w:hAnsi="Arial"/>
          <w:smallCaps/>
          <w:sz w:val="22"/>
          <w:szCs w:val="24"/>
        </w:rPr>
        <w:t xml:space="preserve">La legitimación en la causa. </w:t>
      </w:r>
    </w:p>
    <w:p w:rsidR="00ED5606" w:rsidRDefault="00ED5606" w:rsidP="00ED5606">
      <w:pPr>
        <w:pStyle w:val="Corpsdetexte"/>
        <w:spacing w:line="360" w:lineRule="auto"/>
        <w:rPr>
          <w:rFonts w:ascii="Arial" w:hAnsi="Arial" w:cs="Arial"/>
          <w:spacing w:val="0"/>
          <w:szCs w:val="24"/>
          <w:lang w:val="es-ES"/>
        </w:rPr>
      </w:pPr>
    </w:p>
    <w:p w:rsidR="00ED5606" w:rsidRDefault="00ED5606" w:rsidP="00ED5606">
      <w:pPr>
        <w:pStyle w:val="Corpsdetexte"/>
        <w:spacing w:line="360" w:lineRule="auto"/>
        <w:rPr>
          <w:rFonts w:ascii="Arial" w:hAnsi="Arial" w:cs="Arial"/>
          <w:szCs w:val="24"/>
        </w:rPr>
      </w:pPr>
      <w:r w:rsidRPr="005764A9">
        <w:rPr>
          <w:rFonts w:ascii="Arial" w:hAnsi="Arial" w:cs="Arial"/>
          <w:szCs w:val="24"/>
        </w:rPr>
        <w:t xml:space="preserve">Se cumple por activa dado que </w:t>
      </w:r>
      <w:r>
        <w:rPr>
          <w:rFonts w:ascii="Arial" w:hAnsi="Arial" w:cs="Arial"/>
          <w:szCs w:val="24"/>
        </w:rPr>
        <w:t xml:space="preserve">es el promotor de acción popular en la </w:t>
      </w:r>
      <w:r w:rsidRPr="005764A9">
        <w:rPr>
          <w:rFonts w:ascii="Arial" w:hAnsi="Arial" w:cs="Arial"/>
          <w:szCs w:val="24"/>
        </w:rPr>
        <w:t xml:space="preserve">reprocha la falta al debido proceso. Y por pasiva, porque el </w:t>
      </w:r>
      <w:r>
        <w:rPr>
          <w:rFonts w:ascii="Arial" w:hAnsi="Arial" w:cs="Arial"/>
          <w:szCs w:val="24"/>
        </w:rPr>
        <w:t>accionado</w:t>
      </w:r>
      <w:r w:rsidRPr="005764A9">
        <w:rPr>
          <w:rFonts w:ascii="Arial" w:hAnsi="Arial" w:cs="Arial"/>
          <w:szCs w:val="24"/>
        </w:rPr>
        <w:t>,</w:t>
      </w:r>
      <w:r>
        <w:rPr>
          <w:rFonts w:ascii="Arial" w:hAnsi="Arial" w:cs="Arial"/>
          <w:szCs w:val="24"/>
        </w:rPr>
        <w:t xml:space="preserve"> </w:t>
      </w:r>
      <w:r w:rsidRPr="005764A9">
        <w:rPr>
          <w:rFonts w:ascii="Arial" w:hAnsi="Arial" w:cs="Arial"/>
          <w:szCs w:val="24"/>
        </w:rPr>
        <w:t>es la autoridad judicial que conoce los juicios.</w:t>
      </w:r>
    </w:p>
    <w:p w:rsidR="0090017C" w:rsidRDefault="0090017C" w:rsidP="00ED5606">
      <w:pPr>
        <w:pStyle w:val="Corpsdetexte"/>
        <w:spacing w:line="360" w:lineRule="auto"/>
        <w:rPr>
          <w:rFonts w:ascii="Arial" w:hAnsi="Arial" w:cs="Arial"/>
          <w:szCs w:val="24"/>
        </w:rPr>
      </w:pPr>
    </w:p>
    <w:p w:rsidR="00ED5606" w:rsidRDefault="00ED5606" w:rsidP="00ED5606">
      <w:pPr>
        <w:pStyle w:val="Corpsdetexte"/>
        <w:spacing w:line="360" w:lineRule="auto"/>
        <w:rPr>
          <w:rFonts w:ascii="Arial" w:hAnsi="Arial" w:cs="Arial"/>
          <w:szCs w:val="24"/>
        </w:rPr>
      </w:pPr>
      <w:r>
        <w:rPr>
          <w:rFonts w:ascii="Arial" w:hAnsi="Arial" w:cs="Arial"/>
          <w:szCs w:val="24"/>
        </w:rPr>
        <w:t>Diferente es respecto de la PGN, Regiona</w:t>
      </w:r>
      <w:r w:rsidR="004561AA">
        <w:rPr>
          <w:rFonts w:ascii="Arial" w:hAnsi="Arial" w:cs="Arial"/>
          <w:szCs w:val="24"/>
        </w:rPr>
        <w:t>l  Risaralda</w:t>
      </w:r>
      <w:r>
        <w:rPr>
          <w:rFonts w:ascii="Arial" w:hAnsi="Arial" w:cs="Arial"/>
          <w:szCs w:val="24"/>
        </w:rPr>
        <w:t>, toda vez que no ha sido vinculada a la acción popular.</w:t>
      </w:r>
      <w:r w:rsidR="002772C3">
        <w:rPr>
          <w:rFonts w:ascii="Arial" w:hAnsi="Arial" w:cs="Arial"/>
          <w:szCs w:val="24"/>
        </w:rPr>
        <w:t xml:space="preserve"> </w:t>
      </w: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ED5606" w:rsidRDefault="00ED5606" w:rsidP="00ED5606">
      <w:pPr>
        <w:pStyle w:val="Corpsdetexte"/>
        <w:tabs>
          <w:tab w:val="clear" w:pos="0"/>
        </w:tabs>
        <w:spacing w:line="240" w:lineRule="auto"/>
        <w:ind w:left="567" w:right="618"/>
        <w:rPr>
          <w:rFonts w:ascii="Arial" w:hAnsi="Arial"/>
          <w:szCs w:val="24"/>
        </w:rPr>
      </w:pPr>
    </w:p>
    <w:p w:rsidR="00ED5606" w:rsidRDefault="00ED5606" w:rsidP="00ED5606">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ED5606" w:rsidRDefault="00ED5606" w:rsidP="00ED5606">
      <w:pPr>
        <w:pStyle w:val="Corpsdetexte"/>
        <w:tabs>
          <w:tab w:val="clear" w:pos="0"/>
        </w:tabs>
        <w:spacing w:line="240" w:lineRule="auto"/>
        <w:ind w:left="567" w:right="618"/>
        <w:rPr>
          <w:rFonts w:ascii="Arial" w:hAnsi="Arial"/>
          <w:szCs w:val="24"/>
          <w:lang w:val="es-ES"/>
        </w:rPr>
      </w:pPr>
      <w:r>
        <w:rPr>
          <w:rFonts w:ascii="Arial" w:hAnsi="Arial"/>
          <w:szCs w:val="24"/>
        </w:rPr>
        <w:t> </w:t>
      </w:r>
    </w:p>
    <w:p w:rsidR="00ED5606" w:rsidRDefault="00ED5606" w:rsidP="00ED5606">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ED5606" w:rsidRPr="00696EF1" w:rsidRDefault="00ED5606" w:rsidP="00ED5606">
      <w:pPr>
        <w:pStyle w:val="Corpsdetexte"/>
        <w:spacing w:line="360" w:lineRule="auto"/>
        <w:rPr>
          <w:rFonts w:ascii="Arial" w:hAnsi="Arial" w:cs="Arial"/>
          <w:sz w:val="28"/>
          <w:szCs w:val="24"/>
          <w:lang w:val="es-CO"/>
        </w:rPr>
      </w:pPr>
    </w:p>
    <w:p w:rsidR="00ED5606" w:rsidRDefault="00ED5606" w:rsidP="00ED5606">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ED5606" w:rsidRPr="00AB5228" w:rsidRDefault="00ED5606" w:rsidP="00ED5606">
      <w:pPr>
        <w:spacing w:line="360" w:lineRule="auto"/>
        <w:ind w:left="567" w:right="335"/>
        <w:jc w:val="both"/>
        <w:rPr>
          <w:rFonts w:ascii="Arial" w:hAnsi="Arial" w:cs="Arial"/>
          <w:lang w:val="es-CO"/>
        </w:rPr>
      </w:pPr>
    </w:p>
    <w:p w:rsidR="00ED5606" w:rsidRDefault="00ED5606" w:rsidP="00ED5606">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ED5606" w:rsidRDefault="00ED5606" w:rsidP="00ED5606">
      <w:pPr>
        <w:ind w:left="567" w:right="567"/>
        <w:jc w:val="both"/>
        <w:rPr>
          <w:rFonts w:ascii="Arial" w:hAnsi="Arial" w:cs="Arial"/>
          <w:sz w:val="28"/>
          <w:u w:val="single"/>
          <w:lang w:val="es-CO"/>
        </w:rPr>
      </w:pPr>
    </w:p>
    <w:p w:rsidR="00ED5606" w:rsidRDefault="00ED5606" w:rsidP="00ED5606">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ED5606" w:rsidRPr="00DC53D1" w:rsidRDefault="00ED5606" w:rsidP="00ED5606">
      <w:pPr>
        <w:spacing w:line="360" w:lineRule="auto"/>
        <w:jc w:val="both"/>
        <w:rPr>
          <w:rFonts w:ascii="Arial" w:hAnsi="Arial" w:cs="Arial"/>
          <w:lang w:val="es-ES_tradnl"/>
        </w:rPr>
      </w:pPr>
      <w:r w:rsidRPr="00DC53D1">
        <w:rPr>
          <w:rFonts w:ascii="Arial" w:hAnsi="Arial" w:cs="Arial"/>
          <w:lang w:val="es-ES_tradnl"/>
        </w:rPr>
        <w:lastRenderedPageBreak/>
        <w:t xml:space="preserve">Así las cosas, se declarará improcedente el amparo en su contra, pues, se itera, nunca </w:t>
      </w:r>
      <w:r>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ED5606" w:rsidRPr="002772C3" w:rsidRDefault="00ED5606" w:rsidP="005764A9">
      <w:pPr>
        <w:pStyle w:val="Paragraphedeliste"/>
        <w:rPr>
          <w:rFonts w:ascii="Arial" w:hAnsi="Arial" w:cs="Arial"/>
          <w:sz w:val="28"/>
        </w:rPr>
      </w:pPr>
    </w:p>
    <w:p w:rsidR="008F4C33" w:rsidRPr="002A0C2A" w:rsidRDefault="008F4C33" w:rsidP="008F4C33">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8F4C33" w:rsidRPr="00773B57" w:rsidRDefault="008F4C33" w:rsidP="008F4C33">
      <w:pPr>
        <w:pStyle w:val="Corpsdetexte"/>
        <w:spacing w:line="360" w:lineRule="auto"/>
        <w:rPr>
          <w:rFonts w:ascii="Arial" w:hAnsi="Arial"/>
          <w:smallCaps/>
          <w:szCs w:val="24"/>
        </w:rPr>
      </w:pPr>
    </w:p>
    <w:p w:rsidR="008F4C33" w:rsidRPr="00907C22" w:rsidRDefault="008F4C33" w:rsidP="008F4C33">
      <w:pPr>
        <w:pStyle w:val="Corpsdetex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8F4C33" w:rsidRPr="00773B57" w:rsidRDefault="008F4C33" w:rsidP="008F4C33">
      <w:pPr>
        <w:pStyle w:val="Corpsdetexte"/>
        <w:spacing w:line="360" w:lineRule="auto"/>
        <w:rPr>
          <w:rFonts w:ascii="Arial" w:hAnsi="Arial" w:cs="Arial"/>
          <w:szCs w:val="24"/>
        </w:rPr>
      </w:pPr>
    </w:p>
    <w:p w:rsidR="008F4C33" w:rsidRPr="00907C22" w:rsidRDefault="008F4C33" w:rsidP="008F4C33">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8F4C33" w:rsidRPr="00907C22" w:rsidRDefault="008F4C33" w:rsidP="008F4C33">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8F4C33" w:rsidRPr="00773B57" w:rsidRDefault="008F4C33" w:rsidP="008F4C33">
      <w:pPr>
        <w:pStyle w:val="Corpsdetexte"/>
        <w:spacing w:line="360" w:lineRule="auto"/>
        <w:rPr>
          <w:rFonts w:ascii="Arial" w:hAnsi="Arial" w:cs="Arial"/>
          <w:szCs w:val="24"/>
        </w:rPr>
      </w:pPr>
    </w:p>
    <w:p w:rsidR="008F4C33" w:rsidRDefault="008F4C33" w:rsidP="008F4C33">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Pr>
          <w:rFonts w:ascii="Arial" w:hAnsi="Arial" w:cs="Arial"/>
          <w:szCs w:val="24"/>
          <w:vertAlign w:val="superscript"/>
        </w:rPr>
        <w:t>-</w:t>
      </w:r>
      <w:r>
        <w:rPr>
          <w:rStyle w:val="Appelnotedebasdep"/>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8F4C33" w:rsidRPr="00773B57" w:rsidRDefault="008F4C33" w:rsidP="008F4C33">
      <w:pPr>
        <w:pStyle w:val="Corpsdetexte"/>
        <w:spacing w:line="360" w:lineRule="auto"/>
        <w:rPr>
          <w:rFonts w:ascii="Arial" w:hAnsi="Arial" w:cs="Arial"/>
          <w:szCs w:val="24"/>
        </w:rPr>
      </w:pPr>
    </w:p>
    <w:p w:rsidR="008F4C33" w:rsidRDefault="008F4C33" w:rsidP="008F4C33">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8F4C33" w:rsidRPr="00907C22" w:rsidRDefault="008F4C33" w:rsidP="008F4C33">
      <w:pPr>
        <w:pStyle w:val="Corpsdetexte"/>
        <w:spacing w:line="360" w:lineRule="auto"/>
        <w:rPr>
          <w:rFonts w:ascii="Arial" w:hAnsi="Arial" w:cs="Arial"/>
          <w:szCs w:val="24"/>
        </w:rPr>
      </w:pPr>
      <w:r w:rsidRPr="00907C22">
        <w:rPr>
          <w:rFonts w:ascii="Arial" w:hAnsi="Arial" w:cs="Arial"/>
          <w:szCs w:val="24"/>
        </w:rPr>
        <w:t xml:space="preserve">siguientes: (i) Defecto orgánico, (ii) Defecto procedimental absoluto, (iii) Defecto fáctico, (iv) Error inducido, (v) Decisión sin motivación, (vi) Defecto material o sustantivo; (vii) </w:t>
      </w:r>
      <w:r w:rsidRPr="00907C22">
        <w:rPr>
          <w:rFonts w:ascii="Arial" w:hAnsi="Arial" w:cs="Arial"/>
          <w:szCs w:val="24"/>
        </w:rPr>
        <w:lastRenderedPageBreak/>
        <w:t>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Appelnotedebasdep"/>
          <w:rFonts w:ascii="Arial" w:hAnsi="Arial" w:cs="Arial"/>
          <w:szCs w:val="24"/>
        </w:rPr>
        <w:footnoteReference w:id="12"/>
      </w:r>
      <w:r w:rsidRPr="00907C22">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73683E" w:rsidRDefault="00D10AEC" w:rsidP="00ED5606">
      <w:pPr>
        <w:pStyle w:val="Corpsdetex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ED5606" w:rsidRDefault="00ED5606" w:rsidP="00ED5606">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90017C" w:rsidRDefault="0090017C" w:rsidP="00ED5606">
      <w:pPr>
        <w:pStyle w:val="Corpsdetexte"/>
        <w:tabs>
          <w:tab w:val="clear" w:pos="0"/>
        </w:tabs>
        <w:spacing w:line="360" w:lineRule="auto"/>
        <w:rPr>
          <w:rFonts w:ascii="Arial" w:hAnsi="Arial" w:cs="Arial"/>
          <w:szCs w:val="24"/>
        </w:rPr>
      </w:pPr>
    </w:p>
    <w:p w:rsidR="00ED5606" w:rsidRDefault="00ED5606" w:rsidP="00ED5606">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3"/>
      </w:r>
      <w:r>
        <w:rPr>
          <w:rFonts w:ascii="Arial" w:hAnsi="Arial" w:cs="Arial"/>
          <w:i/>
          <w:sz w:val="22"/>
          <w:szCs w:val="22"/>
        </w:rPr>
        <w:t>.</w:t>
      </w:r>
    </w:p>
    <w:p w:rsidR="00ED5606" w:rsidRPr="00A8313B" w:rsidRDefault="00ED5606" w:rsidP="00ED5606">
      <w:pPr>
        <w:widowControl/>
        <w:spacing w:line="360" w:lineRule="auto"/>
        <w:jc w:val="both"/>
        <w:rPr>
          <w:rFonts w:ascii="Arial" w:hAnsi="Arial" w:cs="Arial"/>
          <w:szCs w:val="22"/>
          <w:lang w:val="es-ES_tradnl"/>
        </w:rPr>
      </w:pPr>
    </w:p>
    <w:p w:rsidR="00ED5606" w:rsidRDefault="00ED5606" w:rsidP="00ED5606">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6"/>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w:t>
      </w:r>
      <w:r w:rsidRPr="003E0E8A">
        <w:rPr>
          <w:rFonts w:ascii="Arial" w:hAnsi="Arial" w:cs="Arial"/>
          <w:lang w:val="es-ES_tradnl"/>
        </w:rPr>
        <w:lastRenderedPageBreak/>
        <w:t xml:space="preserve">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677AA0" w:rsidRDefault="00677AA0" w:rsidP="00AA2028">
      <w:pPr>
        <w:widowControl/>
        <w:spacing w:line="360" w:lineRule="auto"/>
        <w:jc w:val="both"/>
        <w:rPr>
          <w:rFonts w:ascii="Arial" w:hAnsi="Arial" w:cs="Arial"/>
        </w:rPr>
      </w:pPr>
      <w:r>
        <w:rPr>
          <w:rFonts w:ascii="Arial" w:hAnsi="Arial" w:cs="Arial"/>
        </w:rPr>
        <w:t xml:space="preserve">El </w:t>
      </w:r>
      <w:r w:rsidR="005543F4">
        <w:rPr>
          <w:rFonts w:ascii="Arial" w:hAnsi="Arial" w:cs="Arial"/>
        </w:rPr>
        <w:t xml:space="preserve">promotor del amparo </w:t>
      </w:r>
      <w:r>
        <w:rPr>
          <w:rFonts w:ascii="Arial" w:hAnsi="Arial" w:cs="Arial"/>
        </w:rPr>
        <w:t>se duele porque</w:t>
      </w:r>
      <w:r w:rsidR="00B320F4">
        <w:rPr>
          <w:rFonts w:ascii="Arial" w:hAnsi="Arial" w:cs="Arial"/>
        </w:rPr>
        <w:t xml:space="preserve"> el</w:t>
      </w:r>
      <w:r>
        <w:rPr>
          <w:rFonts w:ascii="Arial" w:hAnsi="Arial" w:cs="Arial"/>
        </w:rPr>
        <w:t xml:space="preserve"> </w:t>
      </w:r>
      <w:r w:rsidR="00CE4092">
        <w:rPr>
          <w:rFonts w:ascii="Arial" w:hAnsi="Arial" w:cs="Arial"/>
        </w:rPr>
        <w:t xml:space="preserve">Despacho Judicial </w:t>
      </w:r>
      <w:r>
        <w:rPr>
          <w:rFonts w:ascii="Arial" w:hAnsi="Arial" w:cs="Arial"/>
        </w:rPr>
        <w:t>accionado</w:t>
      </w:r>
      <w:r w:rsidR="00CE4092">
        <w:rPr>
          <w:rFonts w:ascii="Arial" w:hAnsi="Arial" w:cs="Arial"/>
        </w:rPr>
        <w:t>,</w:t>
      </w:r>
      <w:r>
        <w:rPr>
          <w:rFonts w:ascii="Arial" w:hAnsi="Arial" w:cs="Arial"/>
        </w:rPr>
        <w:t xml:space="preserve"> </w:t>
      </w:r>
      <w:r w:rsidR="005543F4">
        <w:rPr>
          <w:rFonts w:ascii="Arial" w:hAnsi="Arial" w:cs="Arial"/>
        </w:rPr>
        <w:t xml:space="preserve">pretende modificar la sentencia proferida </w:t>
      </w:r>
      <w:r w:rsidR="00CE4092">
        <w:rPr>
          <w:rFonts w:ascii="Arial" w:hAnsi="Arial" w:cs="Arial"/>
        </w:rPr>
        <w:t>en la acción popular No.201</w:t>
      </w:r>
      <w:r w:rsidR="005543F4">
        <w:rPr>
          <w:rFonts w:ascii="Arial" w:hAnsi="Arial" w:cs="Arial"/>
        </w:rPr>
        <w:t>5</w:t>
      </w:r>
      <w:r w:rsidR="00CE4092">
        <w:rPr>
          <w:rFonts w:ascii="Arial" w:hAnsi="Arial" w:cs="Arial"/>
        </w:rPr>
        <w:t>-00</w:t>
      </w:r>
      <w:r w:rsidR="005543F4">
        <w:rPr>
          <w:rFonts w:ascii="Arial" w:hAnsi="Arial" w:cs="Arial"/>
        </w:rPr>
        <w:t>248</w:t>
      </w:r>
      <w:r w:rsidR="00CE4092">
        <w:rPr>
          <w:rFonts w:ascii="Arial" w:hAnsi="Arial" w:cs="Arial"/>
        </w:rPr>
        <w:t>-00</w:t>
      </w:r>
      <w:r w:rsidR="00F853E6">
        <w:rPr>
          <w:rFonts w:ascii="Arial" w:hAnsi="Arial" w:cs="Arial"/>
        </w:rPr>
        <w:t>.</w:t>
      </w:r>
    </w:p>
    <w:p w:rsidR="00DC6BEA" w:rsidRDefault="00DC6BEA" w:rsidP="00AA2028">
      <w:pPr>
        <w:widowControl/>
        <w:spacing w:line="360" w:lineRule="auto"/>
        <w:jc w:val="both"/>
        <w:rPr>
          <w:rFonts w:ascii="Arial" w:hAnsi="Arial" w:cs="Arial"/>
        </w:rPr>
      </w:pPr>
    </w:p>
    <w:p w:rsidR="00A913A9" w:rsidRPr="00A80FCC" w:rsidRDefault="008060A3" w:rsidP="00A913A9">
      <w:pPr>
        <w:widowControl/>
        <w:spacing w:line="360" w:lineRule="auto"/>
        <w:jc w:val="both"/>
        <w:rPr>
          <w:rFonts w:ascii="Arial" w:hAnsi="Arial" w:cs="Arial"/>
          <w:lang w:val="es-ES_tradnl"/>
        </w:rPr>
      </w:pPr>
      <w:r>
        <w:rPr>
          <w:rFonts w:ascii="Arial" w:hAnsi="Arial" w:cs="Arial"/>
        </w:rPr>
        <w:t xml:space="preserve">De acuerdo con los medios de pruebas, </w:t>
      </w:r>
      <w:r w:rsidR="00CE4092">
        <w:rPr>
          <w:rFonts w:ascii="Arial" w:hAnsi="Arial" w:cs="Arial"/>
        </w:rPr>
        <w:t>el</w:t>
      </w:r>
      <w:r>
        <w:rPr>
          <w:rFonts w:ascii="Arial" w:hAnsi="Arial" w:cs="Arial"/>
        </w:rPr>
        <w:t xml:space="preserve"> Juzgado accionado el 19-07-2016 ordenó al </w:t>
      </w:r>
      <w:r w:rsidR="00862496">
        <w:rPr>
          <w:rFonts w:ascii="Arial" w:hAnsi="Arial" w:cs="Arial"/>
        </w:rPr>
        <w:t>Banco Caja Social,</w:t>
      </w:r>
      <w:r w:rsidR="00FF5755">
        <w:rPr>
          <w:rFonts w:ascii="Arial" w:hAnsi="Arial" w:cs="Arial"/>
        </w:rPr>
        <w:t xml:space="preserve"> implementar en el término de sesenta (60) días</w:t>
      </w:r>
      <w:r w:rsidR="00862496">
        <w:rPr>
          <w:rFonts w:ascii="Arial" w:hAnsi="Arial" w:cs="Arial"/>
        </w:rPr>
        <w:t>,</w:t>
      </w:r>
      <w:r w:rsidR="00FF5755">
        <w:rPr>
          <w:rFonts w:ascii="Arial" w:hAnsi="Arial" w:cs="Arial"/>
        </w:rPr>
        <w:t xml:space="preserve"> las gestiones necesarias para la atención de las personas con limitaciones auditivas y visuales en el cajero automático ubicado en la </w:t>
      </w:r>
      <w:r w:rsidR="00C0117F">
        <w:rPr>
          <w:rFonts w:ascii="Arial" w:hAnsi="Arial" w:cs="Arial"/>
        </w:rPr>
        <w:t>Cra.</w:t>
      </w:r>
      <w:r w:rsidR="00FF5755">
        <w:rPr>
          <w:rFonts w:ascii="Arial" w:hAnsi="Arial" w:cs="Arial"/>
        </w:rPr>
        <w:t>7 No</w:t>
      </w:r>
      <w:r w:rsidR="00C0117F">
        <w:rPr>
          <w:rFonts w:ascii="Arial" w:hAnsi="Arial" w:cs="Arial"/>
        </w:rPr>
        <w:t xml:space="preserve">.19-32 (Folios 11 a 19, ib.), decisión confirmada en segunda instancia mediante sentencia datada el 15-12-2016 (Disco compacto visible a folio 50, ib.); seguidamente, </w:t>
      </w:r>
      <w:r w:rsidR="002B2F51">
        <w:rPr>
          <w:rFonts w:ascii="Arial" w:hAnsi="Arial" w:cs="Arial"/>
        </w:rPr>
        <w:t>el 26-04-2017</w:t>
      </w:r>
      <w:r w:rsidR="00C4440F">
        <w:rPr>
          <w:rFonts w:ascii="Arial" w:hAnsi="Arial" w:cs="Arial"/>
        </w:rPr>
        <w:t xml:space="preserve"> </w:t>
      </w:r>
      <w:r w:rsidR="00C0117F">
        <w:rPr>
          <w:rFonts w:ascii="Arial" w:hAnsi="Arial" w:cs="Arial"/>
        </w:rPr>
        <w:t xml:space="preserve">el despacho </w:t>
      </w:r>
      <w:r w:rsidR="002B2F51">
        <w:rPr>
          <w:rFonts w:ascii="Arial" w:hAnsi="Arial" w:cs="Arial"/>
        </w:rPr>
        <w:t xml:space="preserve">amplió el plazo para </w:t>
      </w:r>
      <w:r w:rsidR="00617EB1">
        <w:rPr>
          <w:rFonts w:ascii="Arial" w:hAnsi="Arial" w:cs="Arial"/>
        </w:rPr>
        <w:t>cumplir</w:t>
      </w:r>
      <w:r w:rsidR="00862496">
        <w:rPr>
          <w:rFonts w:ascii="Arial" w:hAnsi="Arial" w:cs="Arial"/>
        </w:rPr>
        <w:t xml:space="preserve"> </w:t>
      </w:r>
      <w:r w:rsidR="00C0117F">
        <w:rPr>
          <w:rFonts w:ascii="Arial" w:hAnsi="Arial" w:cs="Arial"/>
        </w:rPr>
        <w:t>con la orden</w:t>
      </w:r>
      <w:r w:rsidR="002B2F51">
        <w:rPr>
          <w:rFonts w:ascii="Arial" w:hAnsi="Arial" w:cs="Arial"/>
        </w:rPr>
        <w:t>, en cuatro (4) meses</w:t>
      </w:r>
      <w:r w:rsidR="00E24992">
        <w:rPr>
          <w:rFonts w:ascii="Arial" w:hAnsi="Arial" w:cs="Arial"/>
        </w:rPr>
        <w:t>; providencia notificada en el estado del 27-04-2017, pendiente de ejecutoria (Folio 49, ib.)</w:t>
      </w:r>
      <w:r w:rsidR="00A913A9">
        <w:rPr>
          <w:rFonts w:ascii="Arial" w:hAnsi="Arial" w:cs="Arial"/>
        </w:rPr>
        <w:t xml:space="preserve">. El 28-04-2017 </w:t>
      </w:r>
      <w:r w:rsidR="00A913A9">
        <w:rPr>
          <w:rFonts w:ascii="Arial" w:hAnsi="Arial" w:cs="Arial"/>
          <w:lang w:val="es-ES_tradnl"/>
        </w:rPr>
        <w:t>se promovió esta tutela</w:t>
      </w:r>
      <w:r w:rsidR="00B10727">
        <w:rPr>
          <w:rFonts w:ascii="Arial" w:hAnsi="Arial" w:cs="Arial"/>
          <w:lang w:val="es-ES_tradnl"/>
        </w:rPr>
        <w:t xml:space="preserve"> (Folio 3, ib.)</w:t>
      </w:r>
      <w:r w:rsidR="00A913A9" w:rsidRPr="00A80FCC">
        <w:rPr>
          <w:rFonts w:ascii="Arial" w:hAnsi="Arial" w:cs="Arial"/>
          <w:lang w:val="es-ES_tradnl"/>
        </w:rPr>
        <w:t>.</w:t>
      </w:r>
    </w:p>
    <w:p w:rsidR="00A913A9" w:rsidRPr="00A80FCC" w:rsidRDefault="00A913A9" w:rsidP="00A913A9">
      <w:pPr>
        <w:pStyle w:val="Corpsdetexte"/>
        <w:spacing w:line="360" w:lineRule="auto"/>
        <w:rPr>
          <w:rFonts w:ascii="Arial" w:hAnsi="Arial" w:cs="Arial"/>
          <w:szCs w:val="24"/>
        </w:rPr>
      </w:pPr>
    </w:p>
    <w:p w:rsidR="00A913A9" w:rsidRPr="00A80FCC" w:rsidRDefault="00A913A9" w:rsidP="00A913A9">
      <w:pPr>
        <w:spacing w:line="360" w:lineRule="auto"/>
        <w:ind w:right="51"/>
        <w:jc w:val="both"/>
        <w:rPr>
          <w:rFonts w:ascii="Arial" w:hAnsi="Arial" w:cs="Arial"/>
        </w:rPr>
      </w:pPr>
      <w:r w:rsidRPr="00A80FCC">
        <w:rPr>
          <w:rFonts w:ascii="Arial" w:hAnsi="Arial" w:cs="Arial"/>
        </w:rPr>
        <w:t xml:space="preserve">Sin que sea necesario ahondar en el asunto hay que decir que </w:t>
      </w:r>
      <w:r w:rsidR="00C0117F">
        <w:rPr>
          <w:rFonts w:ascii="Arial" w:hAnsi="Arial" w:cs="Arial"/>
        </w:rPr>
        <w:t xml:space="preserve">el </w:t>
      </w:r>
      <w:r w:rsidRPr="00A80FCC">
        <w:rPr>
          <w:rFonts w:ascii="Arial" w:hAnsi="Arial" w:cs="Arial"/>
        </w:rPr>
        <w:t xml:space="preserve">amparo </w:t>
      </w:r>
      <w:r w:rsidR="00C0117F">
        <w:rPr>
          <w:rFonts w:ascii="Arial" w:hAnsi="Arial" w:cs="Arial"/>
        </w:rPr>
        <w:t xml:space="preserve">es </w:t>
      </w:r>
      <w:r w:rsidRPr="00A80FCC">
        <w:rPr>
          <w:rFonts w:ascii="Arial" w:hAnsi="Arial" w:cs="Arial"/>
        </w:rPr>
        <w:t xml:space="preserve">prematuro porque </w:t>
      </w:r>
      <w:r w:rsidR="008F4C33">
        <w:rPr>
          <w:rFonts w:ascii="Arial" w:hAnsi="Arial" w:cs="Arial"/>
        </w:rPr>
        <w:t xml:space="preserve">cuestiona </w:t>
      </w:r>
      <w:r w:rsidR="00C0117F">
        <w:rPr>
          <w:rFonts w:ascii="Arial" w:hAnsi="Arial" w:cs="Arial"/>
        </w:rPr>
        <w:t xml:space="preserve">una decisión sin ejecutoria, evidentemente prefirió </w:t>
      </w:r>
      <w:r w:rsidR="008F4C33">
        <w:rPr>
          <w:rFonts w:ascii="Arial" w:hAnsi="Arial" w:cs="Arial"/>
        </w:rPr>
        <w:t>promoverlo en lugar de agotar los mecanismos ordinarios con que contaba</w:t>
      </w:r>
      <w:r w:rsidRPr="00A80FCC">
        <w:rPr>
          <w:rFonts w:ascii="Arial" w:hAnsi="Arial" w:cs="Arial"/>
        </w:rPr>
        <w:t>, por manera que es improcedente</w:t>
      </w:r>
      <w:r w:rsidRPr="00A80FCC">
        <w:rPr>
          <w:rFonts w:ascii="Arial" w:hAnsi="Arial" w:cs="Arial"/>
          <w:lang w:val="es-CO"/>
        </w:rPr>
        <w:t>.</w:t>
      </w:r>
      <w:r w:rsidRPr="00A80FCC">
        <w:rPr>
          <w:rFonts w:ascii="Arial" w:hAnsi="Arial" w:cs="Arial"/>
        </w:rPr>
        <w:t xml:space="preserve"> Así lo ha dispuesto la jurisprudencia de la </w:t>
      </w:r>
      <w:r>
        <w:rPr>
          <w:rFonts w:ascii="Arial" w:hAnsi="Arial" w:cs="Arial"/>
        </w:rPr>
        <w:t>CC</w:t>
      </w:r>
      <w:r w:rsidRPr="00A80FCC">
        <w:rPr>
          <w:rStyle w:val="Appelnotedebasdep"/>
          <w:rFonts w:ascii="Arial" w:hAnsi="Arial"/>
        </w:rPr>
        <w:footnoteReference w:id="18"/>
      </w:r>
      <w:r w:rsidRPr="00A80FCC">
        <w:rPr>
          <w:rFonts w:ascii="Arial" w:hAnsi="Arial" w:cs="Arial"/>
        </w:rPr>
        <w:t>, criterio también expuesto por la CSJ</w:t>
      </w:r>
      <w:r w:rsidRPr="00A80FCC">
        <w:rPr>
          <w:rStyle w:val="Appelnotedebasdep"/>
          <w:rFonts w:ascii="Arial" w:hAnsi="Arial"/>
        </w:rPr>
        <w:footnoteReference w:id="19"/>
      </w:r>
      <w:r w:rsidRPr="00A80FCC">
        <w:rPr>
          <w:rFonts w:ascii="Arial" w:hAnsi="Arial" w:cs="Arial"/>
        </w:rPr>
        <w:t>.</w:t>
      </w:r>
    </w:p>
    <w:p w:rsidR="00A913A9" w:rsidRPr="00A80FCC" w:rsidRDefault="00A913A9" w:rsidP="00A913A9">
      <w:pPr>
        <w:pStyle w:val="Corpsdetexte"/>
        <w:spacing w:line="360" w:lineRule="auto"/>
        <w:rPr>
          <w:rFonts w:ascii="Arial" w:hAnsi="Arial" w:cs="Arial"/>
          <w:szCs w:val="24"/>
        </w:rPr>
      </w:pPr>
    </w:p>
    <w:p w:rsidR="00AB69A6" w:rsidRDefault="00A913A9" w:rsidP="00AB69A6">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sidR="008F4C33">
        <w:rPr>
          <w:rFonts w:ascii="Arial" w:hAnsi="Arial" w:cs="Arial"/>
        </w:rPr>
        <w:t>CC</w:t>
      </w:r>
      <w:r w:rsidRPr="00A80FCC">
        <w:rPr>
          <w:rFonts w:ascii="Arial" w:hAnsi="Arial" w:cs="Arial"/>
        </w:rPr>
        <w:t xml:space="preserve">, que reiteradamente ha referido que la acción de tutela </w:t>
      </w:r>
      <w:r w:rsidRPr="008F4C33">
        <w:rPr>
          <w:rFonts w:ascii="Arial" w:hAnsi="Arial" w:cs="Arial"/>
          <w:u w:val="single"/>
        </w:rPr>
        <w:t xml:space="preserve">no puede implementarse como </w:t>
      </w:r>
      <w:r w:rsidRPr="008F4C33">
        <w:rPr>
          <w:rFonts w:ascii="Arial" w:hAnsi="Arial" w:cs="Arial"/>
          <w:u w:val="single"/>
          <w:shd w:val="clear" w:color="auto" w:fill="FFFFFF"/>
        </w:rPr>
        <w:t>mecanismo alternativo o paralelo para resolver problemas jurídicos que deben ser resueltos dentro del trámite ordinario</w:t>
      </w:r>
      <w:r w:rsidR="00AB69A6" w:rsidRPr="00A80FCC">
        <w:rPr>
          <w:rStyle w:val="Appelnotedebasdep"/>
          <w:rFonts w:ascii="Arial" w:hAnsi="Arial" w:cs="Arial"/>
        </w:rPr>
        <w:footnoteReference w:id="20"/>
      </w:r>
      <w:r w:rsidR="00AB69A6" w:rsidRPr="00A80FCC">
        <w:rPr>
          <w:rFonts w:ascii="Arial" w:hAnsi="Arial" w:cs="Arial"/>
        </w:rPr>
        <w:t xml:space="preserve">. </w:t>
      </w:r>
    </w:p>
    <w:p w:rsidR="00D10AEC" w:rsidRPr="008F4C33" w:rsidRDefault="00D10AEC" w:rsidP="00AB69A6">
      <w:pPr>
        <w:spacing w:line="360" w:lineRule="auto"/>
        <w:jc w:val="both"/>
        <w:rPr>
          <w:rFonts w:ascii="Arial" w:hAnsi="Arial" w:cs="Arial"/>
          <w:bCs/>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1"/>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2"/>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Default="00D10AEC" w:rsidP="00D10AEC">
      <w:pPr>
        <w:spacing w:line="360" w:lineRule="auto"/>
        <w:ind w:right="51"/>
        <w:jc w:val="both"/>
        <w:rPr>
          <w:rFonts w:ascii="Arial" w:hAnsi="Arial"/>
        </w:rPr>
      </w:pPr>
      <w:r w:rsidRPr="0004784E">
        <w:rPr>
          <w:rFonts w:ascii="Arial" w:hAnsi="Arial" w:cs="Arial"/>
          <w:lang w:val="es-ES_tradnl"/>
        </w:rPr>
        <w:lastRenderedPageBreak/>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sidR="00CE4092">
        <w:rPr>
          <w:rFonts w:ascii="Arial" w:hAnsi="Arial" w:cs="Arial"/>
          <w:lang w:val="es-ES_tradnl"/>
        </w:rPr>
        <w:t xml:space="preserve">dado que la acción popular </w:t>
      </w:r>
      <w:r w:rsidR="00081FDD">
        <w:rPr>
          <w:rFonts w:ascii="Arial" w:hAnsi="Arial" w:cs="Arial"/>
          <w:lang w:val="es-ES_tradnl"/>
        </w:rPr>
        <w:t>aún se está tramitando</w:t>
      </w:r>
      <w:r>
        <w:rPr>
          <w:rFonts w:ascii="Arial" w:hAnsi="Arial"/>
        </w:rPr>
        <w:t>.</w:t>
      </w:r>
    </w:p>
    <w:p w:rsidR="004D732D" w:rsidRPr="005E276A" w:rsidRDefault="004D732D"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5E276A" w:rsidRDefault="00511FE0" w:rsidP="00424EC5">
      <w:pPr>
        <w:pStyle w:val="Corpsdetexte"/>
        <w:spacing w:line="360" w:lineRule="auto"/>
        <w:rPr>
          <w:rFonts w:ascii="Arial" w:hAnsi="Arial" w:cs="Arial"/>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sidR="00CE4092">
        <w:rPr>
          <w:rFonts w:ascii="Arial" w:hAnsi="Arial" w:cs="Arial"/>
          <w:szCs w:val="24"/>
          <w:lang w:val="es-ES"/>
        </w:rPr>
        <w:t>: (i) Se declarará</w:t>
      </w:r>
      <w:r w:rsidR="00511FE0">
        <w:rPr>
          <w:rFonts w:ascii="Arial" w:hAnsi="Arial" w:cs="Arial"/>
          <w:szCs w:val="24"/>
          <w:lang w:val="es-ES"/>
        </w:rPr>
        <w:t xml:space="preserve"> </w:t>
      </w:r>
      <w:r w:rsidR="00AA2028">
        <w:rPr>
          <w:rFonts w:ascii="Arial" w:hAnsi="Arial" w:cs="Arial"/>
          <w:szCs w:val="24"/>
          <w:lang w:val="es-ES"/>
        </w:rPr>
        <w:t>improcedente</w:t>
      </w:r>
      <w:r w:rsidR="005E276A">
        <w:rPr>
          <w:rFonts w:ascii="Arial" w:hAnsi="Arial" w:cs="Arial"/>
          <w:szCs w:val="24"/>
          <w:lang w:val="es-ES"/>
        </w:rPr>
        <w:t xml:space="preserve"> </w:t>
      </w:r>
      <w:r w:rsidR="00CE4092">
        <w:rPr>
          <w:rFonts w:ascii="Arial" w:hAnsi="Arial" w:cs="Arial"/>
          <w:szCs w:val="24"/>
          <w:lang w:val="es-ES"/>
        </w:rPr>
        <w:t xml:space="preserve">el amparo </w:t>
      </w:r>
      <w:r w:rsidR="00AA2028">
        <w:rPr>
          <w:rFonts w:ascii="Arial" w:hAnsi="Arial" w:cs="Arial"/>
          <w:szCs w:val="24"/>
          <w:lang w:val="es-ES"/>
        </w:rPr>
        <w:t xml:space="preserve">constitucional </w:t>
      </w:r>
      <w:r w:rsidR="007D0ECC">
        <w:rPr>
          <w:rFonts w:ascii="Arial" w:hAnsi="Arial" w:cs="Arial"/>
          <w:szCs w:val="24"/>
          <w:lang w:val="es-ES"/>
        </w:rPr>
        <w:t>frente al Juzgado Cuarto Civil del Circuito de Pereira</w:t>
      </w:r>
      <w:r w:rsidR="00CE4092">
        <w:rPr>
          <w:rFonts w:ascii="Arial" w:hAnsi="Arial" w:cs="Arial"/>
          <w:szCs w:val="24"/>
          <w:lang w:val="es-ES"/>
        </w:rPr>
        <w:t xml:space="preserve"> y la Procuraduría General de la Nación, Regional de </w:t>
      </w:r>
      <w:r w:rsidR="00C4440F">
        <w:rPr>
          <w:rFonts w:ascii="Arial" w:hAnsi="Arial" w:cs="Arial"/>
          <w:szCs w:val="24"/>
          <w:lang w:val="es-ES"/>
        </w:rPr>
        <w:t>Risaralda</w:t>
      </w:r>
      <w:r w:rsidR="00B1322D">
        <w:rPr>
          <w:rFonts w:ascii="Arial" w:hAnsi="Arial" w:cs="Arial"/>
          <w:szCs w:val="24"/>
          <w:lang w:val="es-ES"/>
        </w:rPr>
        <w:t>.</w:t>
      </w:r>
    </w:p>
    <w:p w:rsidR="00C86CC1" w:rsidRPr="005E276A" w:rsidRDefault="00C86CC1" w:rsidP="00502EC8">
      <w:pPr>
        <w:pStyle w:val="Corpsdetexte"/>
        <w:tabs>
          <w:tab w:val="clear" w:pos="708"/>
        </w:tabs>
        <w:spacing w:line="360" w:lineRule="auto"/>
        <w:rPr>
          <w:rFonts w:ascii="Arial" w:hAnsi="Arial" w:cs="Arial"/>
          <w:szCs w:val="24"/>
          <w:lang w:val="es-CO"/>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90017C" w:rsidRDefault="0090017C" w:rsidP="00FF5B57">
      <w:pPr>
        <w:pStyle w:val="Corpsdetexte"/>
        <w:spacing w:line="360" w:lineRule="auto"/>
        <w:jc w:val="center"/>
        <w:rPr>
          <w:rFonts w:ascii="Arial" w:hAnsi="Arial" w:cs="Arial"/>
          <w:bCs/>
          <w:smallCaps/>
          <w:szCs w:val="24"/>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167C8F" w:rsidRPr="002772C3" w:rsidRDefault="00167C8F" w:rsidP="00FF5B57">
      <w:pPr>
        <w:pStyle w:val="Corpsdetexte"/>
        <w:spacing w:line="360" w:lineRule="auto"/>
        <w:jc w:val="center"/>
        <w:rPr>
          <w:rFonts w:ascii="Arial" w:hAnsi="Arial" w:cs="Arial"/>
          <w:bCs/>
          <w:smallCaps/>
          <w:sz w:val="20"/>
          <w:szCs w:val="24"/>
        </w:rPr>
      </w:pPr>
    </w:p>
    <w:p w:rsidR="00167C8F" w:rsidRDefault="00357C99" w:rsidP="0077206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4092">
        <w:rPr>
          <w:rFonts w:ascii="Arial" w:hAnsi="Arial"/>
        </w:rPr>
        <w:t>DECLARAR</w:t>
      </w:r>
      <w:r w:rsidR="00AE6C59" w:rsidRPr="00CE4092">
        <w:rPr>
          <w:rFonts w:ascii="Arial" w:hAnsi="Arial" w:cs="Arial"/>
        </w:rPr>
        <w:t xml:space="preserve"> improcedente</w:t>
      </w:r>
      <w:r w:rsidRPr="00CE4092">
        <w:rPr>
          <w:rFonts w:ascii="Arial" w:hAnsi="Arial" w:cs="Arial"/>
        </w:rPr>
        <w:t xml:space="preserve"> </w:t>
      </w:r>
      <w:r w:rsidR="0073683E">
        <w:rPr>
          <w:rFonts w:ascii="Arial" w:hAnsi="Arial" w:cs="Arial"/>
        </w:rPr>
        <w:t xml:space="preserve">la </w:t>
      </w:r>
      <w:r w:rsidR="00AE6C59" w:rsidRPr="00CE4092">
        <w:rPr>
          <w:rFonts w:ascii="Arial" w:hAnsi="Arial" w:cs="Arial"/>
        </w:rPr>
        <w:t>tutela</w:t>
      </w:r>
      <w:r w:rsidRPr="00CE4092">
        <w:rPr>
          <w:rFonts w:ascii="Arial" w:hAnsi="Arial" w:cs="Arial"/>
        </w:rPr>
        <w:t xml:space="preserve"> </w:t>
      </w:r>
      <w:r w:rsidR="00AE6C59" w:rsidRPr="00CE4092">
        <w:rPr>
          <w:rFonts w:ascii="Arial" w:hAnsi="Arial" w:cs="Arial"/>
        </w:rPr>
        <w:t>propuesta</w:t>
      </w:r>
      <w:r w:rsidRPr="00CE4092">
        <w:rPr>
          <w:rFonts w:ascii="Arial" w:hAnsi="Arial" w:cs="Arial"/>
        </w:rPr>
        <w:t xml:space="preserve"> </w:t>
      </w:r>
      <w:r w:rsidR="00AA2028" w:rsidRPr="00CE4092">
        <w:rPr>
          <w:rFonts w:ascii="Arial" w:hAnsi="Arial" w:cs="Arial"/>
        </w:rPr>
        <w:t>por el señor</w:t>
      </w:r>
      <w:r w:rsidR="0073683E">
        <w:rPr>
          <w:rFonts w:ascii="Arial" w:hAnsi="Arial" w:cs="Arial"/>
        </w:rPr>
        <w:t xml:space="preserve"> Javier Elías Arias </w:t>
      </w:r>
      <w:proofErr w:type="spellStart"/>
      <w:r w:rsidR="0073683E">
        <w:rPr>
          <w:rFonts w:ascii="Arial" w:hAnsi="Arial" w:cs="Arial"/>
        </w:rPr>
        <w:t>Idárraga</w:t>
      </w:r>
      <w:proofErr w:type="spellEnd"/>
      <w:r w:rsidR="00AA2028" w:rsidRPr="00CE4092">
        <w:rPr>
          <w:rFonts w:ascii="Arial" w:hAnsi="Arial" w:cs="Arial"/>
        </w:rPr>
        <w:t xml:space="preserve"> </w:t>
      </w:r>
      <w:r w:rsidR="00CE4092">
        <w:rPr>
          <w:rFonts w:ascii="Arial" w:hAnsi="Arial" w:cs="Arial"/>
        </w:rPr>
        <w:t>Juzgado Cuarto Civil del Circuito de Pereira y la Procuraduría General de la Nación, Regiona</w:t>
      </w:r>
      <w:r w:rsidR="00F26B12">
        <w:rPr>
          <w:rFonts w:ascii="Arial" w:hAnsi="Arial" w:cs="Arial"/>
        </w:rPr>
        <w:t>l Risaralda</w:t>
      </w:r>
      <w:r w:rsidR="00CE4092">
        <w:rPr>
          <w:rFonts w:ascii="Arial" w:hAnsi="Arial" w:cs="Arial"/>
        </w:rPr>
        <w:t>.</w:t>
      </w:r>
    </w:p>
    <w:p w:rsidR="00CE4092" w:rsidRPr="00CE4092" w:rsidRDefault="00CE4092" w:rsidP="00CE4092">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67C8F" w:rsidRDefault="00167C8F" w:rsidP="00167C8F">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167C8F" w:rsidRPr="00167C8F" w:rsidRDefault="00167C8F" w:rsidP="00167C8F">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90017C" w:rsidRDefault="00167C8F" w:rsidP="00193C99">
      <w:pPr>
        <w:pStyle w:val="Corpsdetexte"/>
        <w:tabs>
          <w:tab w:val="left" w:pos="3944"/>
          <w:tab w:val="center" w:pos="4703"/>
        </w:tabs>
        <w:spacing w:line="360" w:lineRule="auto"/>
        <w:jc w:val="left"/>
        <w:rPr>
          <w:rFonts w:ascii="Arial" w:hAnsi="Arial"/>
          <w:smallCaps/>
          <w:sz w:val="20"/>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90017C">
        <w:rPr>
          <w:rFonts w:ascii="Arial" w:hAnsi="Arial"/>
          <w:smallCaps/>
          <w:sz w:val="28"/>
          <w:szCs w:val="24"/>
          <w:lang w:val="es-CO"/>
        </w:rPr>
        <w:tab/>
      </w:r>
      <w:r w:rsidRPr="0090017C">
        <w:rPr>
          <w:rFonts w:ascii="Arial" w:hAnsi="Arial"/>
          <w:smallCaps/>
          <w:sz w:val="28"/>
          <w:szCs w:val="24"/>
          <w:lang w:val="es-CO"/>
        </w:rPr>
        <w:tab/>
      </w:r>
      <w:r w:rsidRPr="0090017C">
        <w:rPr>
          <w:rFonts w:ascii="Arial" w:hAnsi="Arial"/>
          <w:smallCaps/>
          <w:sz w:val="28"/>
          <w:szCs w:val="24"/>
          <w:lang w:val="es-CO"/>
        </w:rPr>
        <w:tab/>
      </w:r>
      <w:r w:rsidRPr="0090017C">
        <w:rPr>
          <w:rFonts w:ascii="Arial" w:hAnsi="Arial"/>
          <w:smallCaps/>
          <w:sz w:val="28"/>
          <w:szCs w:val="24"/>
          <w:lang w:val="es-CO"/>
        </w:rPr>
        <w:tab/>
      </w:r>
      <w:r w:rsidRPr="0090017C">
        <w:rPr>
          <w:rFonts w:ascii="Arial" w:hAnsi="Arial"/>
          <w:smallCaps/>
          <w:sz w:val="28"/>
          <w:szCs w:val="24"/>
          <w:lang w:val="es-CO"/>
        </w:rPr>
        <w:tab/>
      </w:r>
      <w:r w:rsidRPr="0090017C">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167C8F" w:rsidRDefault="00167C8F" w:rsidP="00167C8F">
      <w:pPr>
        <w:pStyle w:val="Corpsdetexte"/>
        <w:spacing w:line="360" w:lineRule="auto"/>
        <w:jc w:val="center"/>
        <w:rPr>
          <w:rFonts w:ascii="Arial" w:hAnsi="Arial"/>
          <w:smallCaps/>
          <w:szCs w:val="24"/>
          <w:lang w:val="en-US"/>
        </w:rPr>
      </w:pPr>
    </w:p>
    <w:p w:rsidR="006660E4" w:rsidRDefault="006660E4" w:rsidP="00167C8F">
      <w:pPr>
        <w:pStyle w:val="Corpsdetex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Default="006660E4" w:rsidP="00167C8F">
      <w:pPr>
        <w:pStyle w:val="Corpsdetexte"/>
        <w:spacing w:line="360" w:lineRule="auto"/>
        <w:jc w:val="center"/>
        <w:rPr>
          <w:rFonts w:ascii="Arial" w:hAnsi="Arial"/>
          <w:smallCaps/>
          <w:szCs w:val="24"/>
          <w:lang w:val="en-US"/>
        </w:rPr>
      </w:pPr>
    </w:p>
    <w:p w:rsidR="004B7598" w:rsidRDefault="004B7598" w:rsidP="00167C8F">
      <w:pPr>
        <w:pStyle w:val="Corpsdetexte"/>
        <w:spacing w:line="360" w:lineRule="auto"/>
        <w:jc w:val="center"/>
        <w:rPr>
          <w:rFonts w:ascii="Arial" w:hAnsi="Arial"/>
          <w:smallCaps/>
          <w:szCs w:val="24"/>
          <w:lang w:val="en-US"/>
        </w:rPr>
      </w:pPr>
    </w:p>
    <w:p w:rsidR="004B7598" w:rsidRPr="004B7598" w:rsidRDefault="004B7598" w:rsidP="00167C8F">
      <w:pPr>
        <w:pStyle w:val="Corpsdetex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sidRPr="008F4C33">
        <w:rPr>
          <w:rFonts w:ascii="Arial" w:hAnsi="Arial"/>
          <w:w w:val="150"/>
          <w:sz w:val="10"/>
          <w:szCs w:val="10"/>
          <w:lang w:val="en-US"/>
        </w:rPr>
        <w:t>DGH</w:t>
      </w:r>
      <w:r w:rsidR="008F4C33">
        <w:rPr>
          <w:rFonts w:ascii="Arial" w:hAnsi="Arial"/>
          <w:w w:val="150"/>
          <w:sz w:val="10"/>
          <w:szCs w:val="10"/>
          <w:lang w:val="en-US"/>
        </w:rPr>
        <w:t xml:space="preserve"> </w:t>
      </w:r>
      <w:r w:rsidR="00157CDD" w:rsidRPr="008F4C33">
        <w:rPr>
          <w:rFonts w:ascii="Arial" w:hAnsi="Arial"/>
          <w:w w:val="150"/>
          <w:sz w:val="10"/>
          <w:szCs w:val="10"/>
          <w:lang w:val="en-US"/>
        </w:rPr>
        <w:t>/</w:t>
      </w:r>
      <w:r w:rsidR="008F4C33">
        <w:rPr>
          <w:rFonts w:ascii="Arial" w:hAnsi="Arial"/>
          <w:w w:val="150"/>
          <w:sz w:val="10"/>
          <w:szCs w:val="10"/>
          <w:lang w:val="en-US"/>
        </w:rPr>
        <w:t xml:space="preserve"> </w:t>
      </w:r>
      <w:r w:rsidR="0023296A" w:rsidRPr="008F4C33">
        <w:rPr>
          <w:rFonts w:ascii="Arial" w:hAnsi="Arial"/>
          <w:w w:val="150"/>
          <w:sz w:val="10"/>
          <w:szCs w:val="10"/>
          <w:lang w:val="en-US"/>
        </w:rPr>
        <w:t>ODCD</w:t>
      </w:r>
      <w:r w:rsidR="008F4C33">
        <w:rPr>
          <w:rFonts w:ascii="Arial" w:hAnsi="Arial"/>
          <w:w w:val="150"/>
          <w:sz w:val="10"/>
          <w:szCs w:val="10"/>
          <w:lang w:val="en-US"/>
        </w:rPr>
        <w:t xml:space="preserve"> </w:t>
      </w:r>
      <w:r w:rsidR="00F26B12" w:rsidRPr="008F4C33">
        <w:rPr>
          <w:rFonts w:ascii="Arial" w:hAnsi="Arial"/>
          <w:w w:val="150"/>
          <w:sz w:val="10"/>
          <w:szCs w:val="10"/>
          <w:lang w:val="en-US"/>
        </w:rPr>
        <w:t>/</w:t>
      </w:r>
      <w:r w:rsidR="008F4C33">
        <w:rPr>
          <w:rFonts w:ascii="Arial" w:hAnsi="Arial"/>
          <w:w w:val="150"/>
          <w:sz w:val="10"/>
          <w:szCs w:val="10"/>
          <w:lang w:val="en-US"/>
        </w:rPr>
        <w:t xml:space="preserve"> </w:t>
      </w:r>
      <w:r w:rsidR="00F26B12" w:rsidRPr="008F4C33">
        <w:rPr>
          <w:rFonts w:ascii="Arial" w:hAnsi="Arial"/>
          <w:w w:val="150"/>
          <w:sz w:val="10"/>
          <w:szCs w:val="10"/>
          <w:lang w:val="en-US"/>
        </w:rPr>
        <w:t>LSCL</w:t>
      </w:r>
      <w:r w:rsidR="008F4C33">
        <w:rPr>
          <w:rFonts w:ascii="Arial" w:hAnsi="Arial"/>
          <w:w w:val="150"/>
          <w:sz w:val="10"/>
          <w:szCs w:val="10"/>
          <w:lang w:val="en-US"/>
        </w:rPr>
        <w:t xml:space="preserve"> </w:t>
      </w:r>
      <w:r w:rsidR="00E606C4" w:rsidRPr="008F4C33">
        <w:rPr>
          <w:rFonts w:ascii="Arial" w:hAnsi="Arial"/>
          <w:w w:val="150"/>
          <w:sz w:val="10"/>
          <w:szCs w:val="10"/>
          <w:lang w:val="en-US"/>
        </w:rPr>
        <w:t>/</w:t>
      </w:r>
      <w:r w:rsidR="008F4C33">
        <w:rPr>
          <w:rFonts w:ascii="Arial" w:hAnsi="Arial"/>
          <w:w w:val="150"/>
          <w:sz w:val="10"/>
          <w:szCs w:val="10"/>
          <w:lang w:val="en-US"/>
        </w:rPr>
        <w:t xml:space="preserve"> </w:t>
      </w:r>
      <w:r w:rsidRPr="008F4C33">
        <w:rPr>
          <w:rFonts w:ascii="Arial" w:hAnsi="Arial"/>
          <w:w w:val="150"/>
          <w:sz w:val="10"/>
          <w:szCs w:val="10"/>
          <w:lang w:val="en-US"/>
        </w:rPr>
        <w:t>/</w:t>
      </w:r>
      <w:r w:rsidR="00081FDD" w:rsidRPr="008F4C33">
        <w:rPr>
          <w:rFonts w:ascii="Arial" w:hAnsi="Arial"/>
          <w:w w:val="150"/>
          <w:sz w:val="10"/>
          <w:szCs w:val="10"/>
          <w:lang w:val="en-US"/>
        </w:rPr>
        <w:t>2017</w:t>
      </w:r>
    </w:p>
    <w:sectPr w:rsidR="00E606C4" w:rsidSect="00FF44E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565" w:rsidRDefault="00B82565" w:rsidP="0099045D">
      <w:r>
        <w:separator/>
      </w:r>
    </w:p>
  </w:endnote>
  <w:endnote w:type="continuationSeparator" w:id="0">
    <w:p w:rsidR="00B82565" w:rsidRDefault="00B8256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565" w:rsidRDefault="00B82565" w:rsidP="0099045D">
      <w:r>
        <w:separator/>
      </w:r>
    </w:p>
  </w:footnote>
  <w:footnote w:type="continuationSeparator" w:id="0">
    <w:p w:rsidR="00B82565" w:rsidRDefault="00B82565" w:rsidP="0099045D">
      <w:r>
        <w:continuationSeparator/>
      </w:r>
    </w:p>
  </w:footnote>
  <w:footnote w:id="1">
    <w:p w:rsidR="00ED5606" w:rsidRPr="0090017C" w:rsidRDefault="00ED5606" w:rsidP="00ED5606">
      <w:pPr>
        <w:pStyle w:val="Notedebasdepage"/>
        <w:rPr>
          <w:rFonts w:ascii="Calibri" w:hAnsi="Calibri"/>
          <w:lang w:val="fr-FR"/>
        </w:rPr>
      </w:pPr>
      <w:r>
        <w:rPr>
          <w:rStyle w:val="Appelnotedebasdep"/>
          <w:rFonts w:ascii="Calibri" w:hAnsi="Calibri"/>
        </w:rPr>
        <w:footnoteRef/>
      </w:r>
      <w:r w:rsidRPr="0090017C">
        <w:rPr>
          <w:rFonts w:ascii="Calibri" w:hAnsi="Calibri"/>
          <w:lang w:val="fr-FR"/>
        </w:rPr>
        <w:t xml:space="preserve"> CC. T-382 de 2016</w:t>
      </w:r>
    </w:p>
  </w:footnote>
  <w:footnote w:id="2">
    <w:p w:rsidR="00ED5606" w:rsidRPr="0090017C" w:rsidRDefault="00ED5606" w:rsidP="00ED5606">
      <w:pPr>
        <w:pStyle w:val="Notedebasdepage"/>
        <w:rPr>
          <w:rFonts w:ascii="Calibri" w:hAnsi="Calibri"/>
          <w:lang w:val="fr-FR"/>
        </w:rPr>
      </w:pPr>
      <w:r>
        <w:rPr>
          <w:rStyle w:val="Appelnotedebasdep"/>
          <w:rFonts w:ascii="Calibri" w:hAnsi="Calibri"/>
        </w:rPr>
        <w:footnoteRef/>
      </w:r>
      <w:r w:rsidRPr="0090017C">
        <w:rPr>
          <w:rFonts w:ascii="Calibri" w:hAnsi="Calibri"/>
          <w:lang w:val="fr-FR"/>
        </w:rPr>
        <w:t xml:space="preserve"> CC. T–1191 de 2004 </w:t>
      </w:r>
    </w:p>
  </w:footnote>
  <w:footnote w:id="3">
    <w:p w:rsidR="00ED5606" w:rsidRDefault="00ED5606" w:rsidP="00ED5606">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8F4C33" w:rsidRPr="00E17BD7" w:rsidRDefault="008F4C33" w:rsidP="008F4C3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8F4C33" w:rsidRPr="00E17BD7" w:rsidRDefault="008F4C33" w:rsidP="008F4C3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8F4C33" w:rsidRPr="0090017C" w:rsidRDefault="008F4C33" w:rsidP="008F4C3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0017C">
        <w:rPr>
          <w:rFonts w:asciiTheme="minorHAnsi" w:hAnsiTheme="minorHAnsi" w:cs="Calibri"/>
          <w:lang w:val="fr-FR"/>
        </w:rPr>
        <w:t xml:space="preserve"> CC. T-917 de 2011.</w:t>
      </w:r>
    </w:p>
  </w:footnote>
  <w:footnote w:id="7">
    <w:p w:rsidR="008F4C33" w:rsidRPr="0090017C" w:rsidRDefault="008F4C33" w:rsidP="008F4C3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0017C">
        <w:rPr>
          <w:rFonts w:asciiTheme="minorHAnsi" w:hAnsiTheme="minorHAnsi" w:cs="Calibri"/>
          <w:lang w:val="fr-FR"/>
        </w:rPr>
        <w:t xml:space="preserve"> CC. C-590 de 2005.</w:t>
      </w:r>
    </w:p>
  </w:footnote>
  <w:footnote w:id="8">
    <w:p w:rsidR="008F4C33" w:rsidRPr="0090017C" w:rsidRDefault="008F4C33" w:rsidP="008F4C33">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90017C">
        <w:rPr>
          <w:rFonts w:asciiTheme="minorHAnsi" w:hAnsiTheme="minorHAnsi" w:cs="Calibri"/>
          <w:lang w:val="fr-FR"/>
        </w:rPr>
        <w:t xml:space="preserve"> CC. </w:t>
      </w:r>
      <w:proofErr w:type="spellStart"/>
      <w:r w:rsidRPr="0090017C">
        <w:rPr>
          <w:rFonts w:asciiTheme="minorHAnsi" w:hAnsiTheme="minorHAnsi" w:cs="Calibri"/>
          <w:bCs/>
          <w:lang w:val="fr-FR"/>
        </w:rPr>
        <w:t>SU-222</w:t>
      </w:r>
      <w:proofErr w:type="spellEnd"/>
      <w:r w:rsidRPr="0090017C">
        <w:rPr>
          <w:rFonts w:asciiTheme="minorHAnsi" w:hAnsiTheme="minorHAnsi" w:cs="Calibri"/>
          <w:bCs/>
          <w:lang w:val="fr-FR"/>
        </w:rPr>
        <w:t xml:space="preserve"> de 2016</w:t>
      </w:r>
      <w:r w:rsidRPr="0090017C">
        <w:rPr>
          <w:rFonts w:asciiTheme="minorHAnsi" w:hAnsiTheme="minorHAnsi" w:cs="Calibri"/>
          <w:lang w:val="fr-FR"/>
        </w:rPr>
        <w:t>.</w:t>
      </w:r>
    </w:p>
  </w:footnote>
  <w:footnote w:id="9">
    <w:p w:rsidR="008F4C33" w:rsidRPr="0090017C" w:rsidRDefault="008F4C33" w:rsidP="008F4C33">
      <w:pPr>
        <w:pStyle w:val="Notedebasdepage"/>
        <w:rPr>
          <w:rFonts w:ascii="Calibri" w:hAnsi="Calibri"/>
          <w:b/>
          <w:bCs/>
          <w:lang w:val="fr-FR"/>
        </w:rPr>
      </w:pPr>
      <w:r w:rsidRPr="00D65FBA">
        <w:rPr>
          <w:rStyle w:val="Appelnotedebasdep"/>
          <w:rFonts w:ascii="Calibri" w:hAnsi="Calibri"/>
        </w:rPr>
        <w:footnoteRef/>
      </w:r>
      <w:r w:rsidRPr="0090017C">
        <w:rPr>
          <w:rFonts w:ascii="Calibri" w:hAnsi="Calibri"/>
          <w:lang w:val="fr-FR"/>
        </w:rPr>
        <w:t xml:space="preserve"> </w:t>
      </w:r>
      <w:r w:rsidRPr="0090017C">
        <w:rPr>
          <w:rFonts w:ascii="Calibri" w:hAnsi="Calibri"/>
          <w:bCs/>
          <w:lang w:val="fr-FR"/>
        </w:rPr>
        <w:t>CC. T-137 de 2017.</w:t>
      </w:r>
    </w:p>
  </w:footnote>
  <w:footnote w:id="10">
    <w:p w:rsidR="008F4C33" w:rsidRPr="00E17BD7" w:rsidRDefault="008F4C33" w:rsidP="008F4C33">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8F4C33" w:rsidRPr="00E17BD7" w:rsidRDefault="008F4C33" w:rsidP="008F4C3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8F4C33" w:rsidRPr="00E17BD7" w:rsidRDefault="008F4C33" w:rsidP="008F4C3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ED5606" w:rsidRPr="0090017C" w:rsidRDefault="00ED5606" w:rsidP="00ED5606">
      <w:pPr>
        <w:pStyle w:val="Notedebasdepage"/>
        <w:jc w:val="both"/>
        <w:rPr>
          <w:lang w:val="fr-FR"/>
        </w:rPr>
      </w:pPr>
      <w:r>
        <w:rPr>
          <w:rStyle w:val="Appelnotedebasdep"/>
          <w:rFonts w:asciiTheme="minorHAnsi" w:hAnsiTheme="minorHAnsi"/>
        </w:rPr>
        <w:footnoteRef/>
      </w:r>
      <w:r w:rsidRPr="0090017C">
        <w:rPr>
          <w:rFonts w:asciiTheme="minorHAnsi" w:hAnsiTheme="minorHAnsi"/>
          <w:lang w:val="fr-FR"/>
        </w:rPr>
        <w:t xml:space="preserve"> </w:t>
      </w:r>
      <w:r w:rsidRPr="0090017C">
        <w:rPr>
          <w:rFonts w:asciiTheme="minorHAnsi" w:hAnsiTheme="minorHAnsi" w:cs="Calibri"/>
          <w:lang w:val="fr-FR"/>
        </w:rPr>
        <w:t xml:space="preserve">CC. T-134 de 1994. </w:t>
      </w:r>
    </w:p>
  </w:footnote>
  <w:footnote w:id="14">
    <w:p w:rsidR="00ED5606" w:rsidRPr="0090017C" w:rsidRDefault="00ED5606" w:rsidP="00ED5606">
      <w:pPr>
        <w:pStyle w:val="Notedebasdepage"/>
        <w:rPr>
          <w:lang w:val="fr-FR"/>
        </w:rPr>
      </w:pPr>
      <w:r>
        <w:rPr>
          <w:rStyle w:val="Appelnotedebasdep"/>
        </w:rPr>
        <w:footnoteRef/>
      </w:r>
      <w:r w:rsidRPr="0090017C">
        <w:rPr>
          <w:lang w:val="fr-FR"/>
        </w:rPr>
        <w:t xml:space="preserve"> </w:t>
      </w:r>
      <w:r w:rsidRPr="0090017C">
        <w:rPr>
          <w:rFonts w:asciiTheme="minorHAnsi" w:hAnsiTheme="minorHAnsi" w:cs="Calibri"/>
          <w:lang w:val="fr-FR"/>
        </w:rPr>
        <w:t>CC. T-103 de 2014.</w:t>
      </w:r>
    </w:p>
  </w:footnote>
  <w:footnote w:id="15">
    <w:p w:rsidR="00ED5606" w:rsidRPr="0090017C" w:rsidRDefault="00ED5606" w:rsidP="00ED5606">
      <w:pPr>
        <w:pStyle w:val="Notedebasdepage"/>
        <w:jc w:val="both"/>
        <w:rPr>
          <w:lang w:val="fr-FR"/>
        </w:rPr>
      </w:pPr>
      <w:r>
        <w:rPr>
          <w:rStyle w:val="Appelnotedebasdep"/>
          <w:rFonts w:asciiTheme="minorHAnsi" w:hAnsiTheme="minorHAnsi" w:cs="Calibri"/>
        </w:rPr>
        <w:footnoteRef/>
      </w:r>
      <w:r w:rsidRPr="0090017C">
        <w:rPr>
          <w:rFonts w:asciiTheme="minorHAnsi" w:hAnsiTheme="minorHAnsi" w:cs="Calibri"/>
          <w:lang w:val="fr-FR"/>
        </w:rPr>
        <w:t xml:space="preserve"> CC. T-567 de 1998.</w:t>
      </w:r>
    </w:p>
  </w:footnote>
  <w:footnote w:id="16">
    <w:p w:rsidR="00ED5606" w:rsidRPr="0090017C" w:rsidRDefault="00ED5606" w:rsidP="00ED5606">
      <w:pPr>
        <w:pStyle w:val="Notedebasdepage"/>
        <w:jc w:val="both"/>
        <w:rPr>
          <w:lang w:val="fr-FR"/>
        </w:rPr>
      </w:pPr>
      <w:r>
        <w:rPr>
          <w:rStyle w:val="Appelnotedebasdep"/>
          <w:rFonts w:asciiTheme="minorHAnsi" w:hAnsiTheme="minorHAnsi"/>
        </w:rPr>
        <w:footnoteRef/>
      </w:r>
      <w:r w:rsidRPr="0090017C">
        <w:rPr>
          <w:rFonts w:asciiTheme="minorHAnsi" w:hAnsiTheme="minorHAnsi"/>
          <w:lang w:val="fr-FR"/>
        </w:rPr>
        <w:t xml:space="preserve"> </w:t>
      </w:r>
      <w:r w:rsidRPr="0090017C">
        <w:rPr>
          <w:rFonts w:asciiTheme="minorHAnsi" w:hAnsiTheme="minorHAnsi" w:cs="Calibri"/>
          <w:lang w:val="fr-FR"/>
        </w:rPr>
        <w:t xml:space="preserve">CC. T-662 de 2013, </w:t>
      </w:r>
      <w:r w:rsidRPr="0090017C">
        <w:rPr>
          <w:rFonts w:ascii="Calibri" w:hAnsi="Calibri"/>
          <w:bCs/>
          <w:bdr w:val="none" w:sz="0" w:space="0" w:color="auto" w:frame="1"/>
          <w:shd w:val="clear" w:color="auto" w:fill="FFFFFF"/>
          <w:lang w:val="fr-FR"/>
        </w:rPr>
        <w:t xml:space="preserve">T-037 de 2016, T-120 de 2016, </w:t>
      </w:r>
      <w:r w:rsidRPr="0090017C">
        <w:rPr>
          <w:rFonts w:ascii="Calibri" w:hAnsi="Calibri"/>
          <w:lang w:val="fr-FR"/>
        </w:rPr>
        <w:t>T-001 de 2017</w:t>
      </w:r>
      <w:r w:rsidR="00F361D7" w:rsidRPr="0090017C">
        <w:rPr>
          <w:rFonts w:ascii="Calibri" w:hAnsi="Calibri"/>
          <w:lang w:val="fr-FR"/>
        </w:rPr>
        <w:t>,</w:t>
      </w:r>
      <w:r w:rsidRPr="0090017C">
        <w:rPr>
          <w:rFonts w:ascii="Calibri" w:hAnsi="Calibri"/>
          <w:lang w:val="fr-FR"/>
        </w:rPr>
        <w:t xml:space="preserve"> T-038</w:t>
      </w:r>
      <w:r w:rsidR="00F361D7" w:rsidRPr="0090017C">
        <w:rPr>
          <w:rFonts w:ascii="Calibri" w:hAnsi="Calibri"/>
          <w:lang w:val="fr-FR"/>
        </w:rPr>
        <w:t xml:space="preserve"> y 106</w:t>
      </w:r>
      <w:r w:rsidRPr="0090017C">
        <w:rPr>
          <w:rFonts w:ascii="Calibri" w:hAnsi="Calibri"/>
          <w:lang w:val="fr-FR"/>
        </w:rPr>
        <w:t xml:space="preserve"> de 2017</w:t>
      </w:r>
      <w:r w:rsidRPr="0090017C">
        <w:rPr>
          <w:rFonts w:asciiTheme="minorHAnsi" w:hAnsiTheme="minorHAnsi" w:cs="Calibri"/>
          <w:lang w:val="fr-FR"/>
        </w:rPr>
        <w:t>.</w:t>
      </w:r>
      <w:r w:rsidRPr="0090017C">
        <w:rPr>
          <w:b/>
          <w:bCs/>
          <w:color w:val="2D2D2D"/>
          <w:sz w:val="28"/>
          <w:szCs w:val="28"/>
          <w:bdr w:val="none" w:sz="0" w:space="0" w:color="auto" w:frame="1"/>
          <w:shd w:val="clear" w:color="auto" w:fill="FFFFFF"/>
          <w:lang w:val="fr-FR"/>
        </w:rPr>
        <w:t xml:space="preserve"> </w:t>
      </w:r>
    </w:p>
  </w:footnote>
  <w:footnote w:id="17">
    <w:p w:rsidR="00ED5606" w:rsidRDefault="00ED5606" w:rsidP="00ED5606">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A913A9" w:rsidRPr="000D485C" w:rsidRDefault="00A913A9" w:rsidP="00A913A9">
      <w:pPr>
        <w:pStyle w:val="Notedebasdepage"/>
        <w:jc w:val="both"/>
        <w:rPr>
          <w:rFonts w:asciiTheme="minorHAnsi" w:hAnsiTheme="minorHAnsi" w:cstheme="minorHAnsi"/>
          <w:lang w:val="es-CO"/>
        </w:rPr>
      </w:pPr>
      <w:r w:rsidRPr="000D485C">
        <w:rPr>
          <w:rStyle w:val="Appelnotedebasdep"/>
          <w:rFonts w:asciiTheme="minorHAnsi" w:hAnsiTheme="minorHAnsi" w:cstheme="minorHAnsi"/>
        </w:rPr>
        <w:footnoteRef/>
      </w:r>
      <w:r w:rsidRPr="000D485C">
        <w:rPr>
          <w:rFonts w:asciiTheme="minorHAnsi" w:hAnsiTheme="minorHAnsi" w:cstheme="minorHAnsi"/>
        </w:rPr>
        <w:t xml:space="preserve"> CC. T-103 de 2014. </w:t>
      </w:r>
      <w:r w:rsidRPr="000D485C">
        <w:rPr>
          <w:rFonts w:asciiTheme="minorHAnsi" w:hAnsiTheme="minorHAnsi" w:cstheme="minorHAnsi"/>
          <w:lang w:val="es-CO"/>
        </w:rPr>
        <w:t xml:space="preserve">En esta providencia la Corte estableció “(…) </w:t>
      </w:r>
      <w:r w:rsidRPr="000D485C">
        <w:rPr>
          <w:rFonts w:asciiTheme="minorHAnsi" w:hAnsiTheme="minorHAnsi" w:cstheme="minorHAnsi"/>
        </w:rPr>
        <w:t xml:space="preserve">que el principio de subsidiariedad de la acción de tutela envuelve tres características importantes que llevan a su improcedencia contra providencias judiciales, a saber: (i) </w:t>
      </w:r>
      <w:r w:rsidRPr="000D485C">
        <w:rPr>
          <w:rFonts w:asciiTheme="minorHAnsi" w:hAnsiTheme="minorHAnsi" w:cstheme="minorHAnsi"/>
          <w:u w:val="single"/>
        </w:rPr>
        <w:t>el asunto está en trámite</w:t>
      </w:r>
      <w:r w:rsidRPr="000D485C">
        <w:rPr>
          <w:rFonts w:asciiTheme="minorHAnsi" w:hAnsiTheme="minorHAnsi" w:cstheme="minorHAnsi"/>
        </w:rPr>
        <w:t>; (ii) no se han agotado los medios de defensa judicial ordinarios y extraordinarios; y (iii) se usa para revivir etapas procesales en donde se dejaron de emplear los recursos previstos en el ordenamiento jurídico (…)”</w:t>
      </w:r>
      <w:r w:rsidRPr="000D485C">
        <w:rPr>
          <w:rFonts w:asciiTheme="minorHAnsi" w:hAnsiTheme="minorHAnsi" w:cstheme="minorHAnsi"/>
          <w:lang w:val="es-CO"/>
        </w:rPr>
        <w:t xml:space="preserve"> </w:t>
      </w:r>
    </w:p>
  </w:footnote>
  <w:footnote w:id="19">
    <w:p w:rsidR="00A913A9" w:rsidRPr="0090017C" w:rsidRDefault="00A913A9" w:rsidP="00A913A9">
      <w:pPr>
        <w:pStyle w:val="Notedebasdepage"/>
        <w:jc w:val="both"/>
        <w:rPr>
          <w:rFonts w:asciiTheme="minorHAnsi" w:hAnsiTheme="minorHAnsi" w:cstheme="minorHAnsi"/>
          <w:lang w:val="fr-FR"/>
        </w:rPr>
      </w:pPr>
      <w:r w:rsidRPr="000D485C">
        <w:rPr>
          <w:rStyle w:val="Appelnotedebasdep"/>
          <w:rFonts w:asciiTheme="minorHAnsi" w:hAnsiTheme="minorHAnsi" w:cstheme="minorHAnsi"/>
        </w:rPr>
        <w:footnoteRef/>
      </w:r>
      <w:r w:rsidRPr="0090017C">
        <w:rPr>
          <w:rFonts w:asciiTheme="minorHAnsi" w:hAnsiTheme="minorHAnsi" w:cstheme="minorHAnsi"/>
          <w:lang w:val="fr-FR"/>
        </w:rPr>
        <w:t xml:space="preserve"> </w:t>
      </w:r>
      <w:proofErr w:type="spellStart"/>
      <w:r w:rsidRPr="0090017C">
        <w:rPr>
          <w:rFonts w:asciiTheme="minorHAnsi" w:hAnsiTheme="minorHAnsi" w:cstheme="minorHAnsi"/>
          <w:lang w:val="fr-FR"/>
        </w:rPr>
        <w:t>CSJ</w:t>
      </w:r>
      <w:proofErr w:type="spellEnd"/>
      <w:r w:rsidRPr="0090017C">
        <w:rPr>
          <w:rFonts w:asciiTheme="minorHAnsi" w:hAnsiTheme="minorHAnsi" w:cstheme="minorHAnsi"/>
          <w:lang w:val="fr-FR"/>
        </w:rPr>
        <w:t xml:space="preserve">, Sala Civil.  </w:t>
      </w:r>
      <w:proofErr w:type="spellStart"/>
      <w:r w:rsidRPr="0090017C">
        <w:rPr>
          <w:rFonts w:asciiTheme="minorHAnsi" w:hAnsiTheme="minorHAnsi" w:cstheme="minorHAnsi"/>
          <w:lang w:val="fr-FR"/>
        </w:rPr>
        <w:t>STC3950</w:t>
      </w:r>
      <w:proofErr w:type="spellEnd"/>
      <w:r w:rsidRPr="0090017C">
        <w:rPr>
          <w:rFonts w:asciiTheme="minorHAnsi" w:hAnsiTheme="minorHAnsi" w:cstheme="minorHAnsi"/>
          <w:lang w:val="fr-FR"/>
        </w:rPr>
        <w:t>-2016.</w:t>
      </w:r>
    </w:p>
  </w:footnote>
  <w:footnote w:id="20">
    <w:p w:rsidR="00AB69A6" w:rsidRPr="0090017C" w:rsidRDefault="00AB69A6" w:rsidP="00AB69A6">
      <w:pPr>
        <w:pStyle w:val="Notedebasdepage"/>
        <w:jc w:val="both"/>
        <w:rPr>
          <w:lang w:val="fr-FR"/>
        </w:rPr>
      </w:pPr>
      <w:r>
        <w:rPr>
          <w:rStyle w:val="Appelnotedebasdep"/>
          <w:rFonts w:asciiTheme="minorHAnsi" w:hAnsiTheme="minorHAnsi" w:cs="Calibri"/>
        </w:rPr>
        <w:footnoteRef/>
      </w:r>
      <w:r w:rsidRPr="0090017C">
        <w:rPr>
          <w:rFonts w:asciiTheme="minorHAnsi" w:hAnsiTheme="minorHAnsi" w:cs="Calibri"/>
          <w:lang w:val="fr-FR"/>
        </w:rPr>
        <w:t xml:space="preserve"> CC. T-103 de 2014</w:t>
      </w:r>
      <w:r w:rsidR="005E276A" w:rsidRPr="0090017C">
        <w:rPr>
          <w:rFonts w:asciiTheme="minorHAnsi" w:hAnsiTheme="minorHAnsi" w:cs="Calibri"/>
          <w:lang w:val="fr-FR"/>
        </w:rPr>
        <w:t xml:space="preserve"> y </w:t>
      </w:r>
      <w:proofErr w:type="spellStart"/>
      <w:r w:rsidRPr="0090017C">
        <w:rPr>
          <w:rFonts w:asciiTheme="minorHAnsi" w:hAnsiTheme="minorHAnsi" w:cs="Calibri"/>
          <w:bCs/>
          <w:lang w:val="fr-FR"/>
        </w:rPr>
        <w:t>SU-297</w:t>
      </w:r>
      <w:proofErr w:type="spellEnd"/>
      <w:r w:rsidRPr="0090017C">
        <w:rPr>
          <w:rFonts w:asciiTheme="minorHAnsi" w:hAnsiTheme="minorHAnsi" w:cs="Calibri"/>
          <w:bCs/>
          <w:lang w:val="fr-FR"/>
        </w:rPr>
        <w:t xml:space="preserve"> de 2015.</w:t>
      </w:r>
    </w:p>
  </w:footnote>
  <w:footnote w:id="21">
    <w:p w:rsidR="00D10AEC" w:rsidRPr="0090017C" w:rsidRDefault="00D10AEC" w:rsidP="00D10AEC">
      <w:pPr>
        <w:pStyle w:val="Notedebasdepage"/>
        <w:rPr>
          <w:lang w:val="fr-FR"/>
        </w:rPr>
      </w:pPr>
      <w:r>
        <w:rPr>
          <w:rStyle w:val="Appelnotedebasdep"/>
        </w:rPr>
        <w:footnoteRef/>
      </w:r>
      <w:r w:rsidRPr="0090017C">
        <w:rPr>
          <w:lang w:val="fr-FR"/>
        </w:rPr>
        <w:t xml:space="preserve"> </w:t>
      </w:r>
      <w:r w:rsidRPr="0090017C">
        <w:rPr>
          <w:rFonts w:asciiTheme="minorHAnsi" w:hAnsiTheme="minorHAnsi" w:cs="Calibri"/>
          <w:lang w:val="fr-FR"/>
        </w:rPr>
        <w:t>CC. T-717 de 2011.</w:t>
      </w:r>
    </w:p>
  </w:footnote>
  <w:footnote w:id="22">
    <w:p w:rsidR="00D10AEC" w:rsidRPr="0090017C" w:rsidRDefault="00D10AEC" w:rsidP="00D10AEC">
      <w:pPr>
        <w:pStyle w:val="Notedebasdepage"/>
        <w:rPr>
          <w:lang w:val="fr-FR"/>
        </w:rPr>
      </w:pPr>
      <w:r>
        <w:rPr>
          <w:rStyle w:val="Appelnotedebasdep"/>
        </w:rPr>
        <w:footnoteRef/>
      </w:r>
      <w:r w:rsidRPr="0090017C">
        <w:rPr>
          <w:lang w:val="fr-FR"/>
        </w:rPr>
        <w:t xml:space="preserve"> </w:t>
      </w:r>
      <w:r w:rsidRPr="0090017C">
        <w:rPr>
          <w:rFonts w:asciiTheme="minorHAnsi" w:hAnsiTheme="minorHAnsi" w:cs="Calibri"/>
          <w:lang w:val="fr-FR"/>
        </w:rPr>
        <w:t>CC. T-429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90017C">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w:t>
    </w:r>
    <w:r w:rsidR="003D7DC8">
      <w:rPr>
        <w:rFonts w:ascii="Calibri" w:hAnsi="Calibri" w:cs="Calibri"/>
        <w:i/>
        <w:sz w:val="20"/>
        <w:szCs w:val="22"/>
      </w:rPr>
      <w:t>00</w:t>
    </w:r>
    <w:r w:rsidR="00B5656B">
      <w:rPr>
        <w:rFonts w:ascii="Calibri" w:hAnsi="Calibri" w:cs="Calibri"/>
        <w:i/>
        <w:sz w:val="20"/>
        <w:szCs w:val="22"/>
      </w:rPr>
      <w:t>468</w:t>
    </w:r>
    <w:r w:rsidR="0041111B">
      <w:rPr>
        <w:rFonts w:ascii="Calibri" w:hAnsi="Calibri" w:cs="Calibri"/>
        <w:i/>
        <w:sz w:val="20"/>
        <w:szCs w:val="22"/>
      </w:rPr>
      <w:t>-00</w:t>
    </w:r>
    <w:r w:rsidR="007229B8">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484"/>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AEE"/>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D00"/>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96"/>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36BD"/>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96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53"/>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1F19"/>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2C3"/>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F51"/>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890"/>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A36"/>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3CE"/>
    <w:rsid w:val="003A04D5"/>
    <w:rsid w:val="003A0BE6"/>
    <w:rsid w:val="003A1A7C"/>
    <w:rsid w:val="003A1BF0"/>
    <w:rsid w:val="003A1D51"/>
    <w:rsid w:val="003A1DC4"/>
    <w:rsid w:val="003A20B4"/>
    <w:rsid w:val="003A2854"/>
    <w:rsid w:val="003A29DD"/>
    <w:rsid w:val="003A2B25"/>
    <w:rsid w:val="003A34DF"/>
    <w:rsid w:val="003A3642"/>
    <w:rsid w:val="003A36E4"/>
    <w:rsid w:val="003A3C31"/>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0060"/>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D7DC8"/>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1AA"/>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2F0A"/>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3F4"/>
    <w:rsid w:val="00554FD1"/>
    <w:rsid w:val="00555BC2"/>
    <w:rsid w:val="005561DB"/>
    <w:rsid w:val="00556508"/>
    <w:rsid w:val="0055788B"/>
    <w:rsid w:val="0055798C"/>
    <w:rsid w:val="00557A1B"/>
    <w:rsid w:val="00557C16"/>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5C3"/>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D42"/>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17EB1"/>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66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83E"/>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A9E"/>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BE0"/>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0A3"/>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496"/>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6C38"/>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2C43"/>
    <w:rsid w:val="008F30BF"/>
    <w:rsid w:val="008F34B8"/>
    <w:rsid w:val="008F3A7B"/>
    <w:rsid w:val="008F4157"/>
    <w:rsid w:val="008F42D9"/>
    <w:rsid w:val="008F4477"/>
    <w:rsid w:val="008F4C33"/>
    <w:rsid w:val="008F59AB"/>
    <w:rsid w:val="008F5D8D"/>
    <w:rsid w:val="008F699B"/>
    <w:rsid w:val="008F6AC9"/>
    <w:rsid w:val="008F73B5"/>
    <w:rsid w:val="008F7558"/>
    <w:rsid w:val="008F7F4F"/>
    <w:rsid w:val="0090017C"/>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1731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5E86"/>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5C6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00"/>
    <w:rsid w:val="00A77EC1"/>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A9"/>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2221"/>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1E77"/>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727"/>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56B"/>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2565"/>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17F"/>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40F"/>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9F0"/>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33F1"/>
    <w:rsid w:val="00C94C61"/>
    <w:rsid w:val="00C94F63"/>
    <w:rsid w:val="00C95109"/>
    <w:rsid w:val="00C958A3"/>
    <w:rsid w:val="00C968CD"/>
    <w:rsid w:val="00C96F91"/>
    <w:rsid w:val="00C9794A"/>
    <w:rsid w:val="00CA0077"/>
    <w:rsid w:val="00CA064A"/>
    <w:rsid w:val="00CA12AE"/>
    <w:rsid w:val="00CA14C5"/>
    <w:rsid w:val="00CA17C2"/>
    <w:rsid w:val="00CA226B"/>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D54"/>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6B6"/>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10D"/>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7B9"/>
    <w:rsid w:val="00DE4A67"/>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1E8A"/>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4992"/>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2B4F"/>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0B28"/>
    <w:rsid w:val="00E61C1E"/>
    <w:rsid w:val="00E62C1E"/>
    <w:rsid w:val="00E62F1F"/>
    <w:rsid w:val="00E63174"/>
    <w:rsid w:val="00E635EF"/>
    <w:rsid w:val="00E63652"/>
    <w:rsid w:val="00E64FE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606"/>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6B12"/>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61D7"/>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58F"/>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4ED"/>
    <w:rsid w:val="00FF4A0D"/>
    <w:rsid w:val="00FF4DA2"/>
    <w:rsid w:val="00FF4FAB"/>
    <w:rsid w:val="00FF5755"/>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8BBA-1E02-48F0-BF43-E4A9E8E2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2235</Words>
  <Characters>12295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4</cp:revision>
  <cp:lastPrinted>2017-05-12T13:15:00Z</cp:lastPrinted>
  <dcterms:created xsi:type="dcterms:W3CDTF">2017-05-12T13:29:00Z</dcterms:created>
  <dcterms:modified xsi:type="dcterms:W3CDTF">2017-06-26T15:36:00Z</dcterms:modified>
</cp:coreProperties>
</file>