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2E" w:rsidRPr="006E4540" w:rsidRDefault="00634E2E" w:rsidP="00634E2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634E2E" w:rsidRPr="00634E2E" w:rsidRDefault="00634E2E"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634E2E">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634E2E">
        <w:rPr>
          <w:rFonts w:ascii="Arial" w:hAnsi="Arial" w:cs="Arial"/>
          <w:sz w:val="22"/>
          <w:szCs w:val="22"/>
        </w:rPr>
        <w:t>-1ª instancia – 23 de mayo de 2017</w:t>
      </w:r>
    </w:p>
    <w:p w:rsidR="00634E2E" w:rsidRPr="002060F5" w:rsidRDefault="00634E2E"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68647B" w:rsidRP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Accionante</w:t>
      </w:r>
      <w:r w:rsidRPr="0068647B">
        <w:rPr>
          <w:rFonts w:ascii="Arial" w:hAnsi="Arial" w:cs="Arial"/>
          <w:sz w:val="22"/>
        </w:rPr>
        <w:tab/>
      </w:r>
      <w:r w:rsidRPr="0068647B">
        <w:rPr>
          <w:rFonts w:ascii="Arial" w:hAnsi="Arial" w:cs="Arial"/>
          <w:sz w:val="22"/>
        </w:rPr>
        <w:tab/>
        <w:t xml:space="preserve">: </w:t>
      </w:r>
      <w:r w:rsidR="0017750B">
        <w:rPr>
          <w:rFonts w:ascii="Arial" w:hAnsi="Arial" w:cs="Arial"/>
          <w:sz w:val="22"/>
        </w:rPr>
        <w:t xml:space="preserve">César Albeiro Vaca </w:t>
      </w:r>
      <w:proofErr w:type="spellStart"/>
      <w:r w:rsidR="0017750B">
        <w:rPr>
          <w:rFonts w:ascii="Arial" w:hAnsi="Arial" w:cs="Arial"/>
          <w:sz w:val="22"/>
        </w:rPr>
        <w:t>Urrego</w:t>
      </w:r>
      <w:proofErr w:type="spellEnd"/>
      <w:r w:rsidR="0017750B">
        <w:rPr>
          <w:rFonts w:ascii="Arial" w:hAnsi="Arial" w:cs="Arial"/>
          <w:sz w:val="22"/>
        </w:rPr>
        <w:t xml:space="preserve"> y otro</w:t>
      </w:r>
    </w:p>
    <w:p w:rsidR="0068647B" w:rsidRP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Accionado (s)</w:t>
      </w:r>
      <w:r w:rsidRPr="0068647B">
        <w:rPr>
          <w:rFonts w:ascii="Arial" w:hAnsi="Arial" w:cs="Arial"/>
          <w:sz w:val="22"/>
        </w:rPr>
        <w:tab/>
      </w:r>
      <w:r w:rsidRPr="0068647B">
        <w:rPr>
          <w:rFonts w:ascii="Arial" w:hAnsi="Arial" w:cs="Arial"/>
          <w:sz w:val="22"/>
        </w:rPr>
        <w:tab/>
        <w:t xml:space="preserve">: </w:t>
      </w:r>
      <w:r w:rsidR="0017750B">
        <w:rPr>
          <w:rFonts w:ascii="Arial" w:hAnsi="Arial" w:cs="Arial"/>
          <w:sz w:val="22"/>
          <w:lang w:val="es-CO"/>
        </w:rPr>
        <w:t xml:space="preserve">Fiscalía General de la Nación </w:t>
      </w:r>
    </w:p>
    <w:p w:rsidR="0068647B" w:rsidRPr="0068647B" w:rsidRDefault="0068647B" w:rsidP="0017750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Litisconsorte (s)</w:t>
      </w:r>
      <w:r w:rsidRPr="0068647B">
        <w:rPr>
          <w:rFonts w:ascii="Arial" w:hAnsi="Arial" w:cs="Arial"/>
          <w:sz w:val="22"/>
        </w:rPr>
        <w:tab/>
        <w:t xml:space="preserve">: </w:t>
      </w:r>
      <w:proofErr w:type="spellStart"/>
      <w:r w:rsidR="0017750B">
        <w:rPr>
          <w:rFonts w:ascii="Arial" w:hAnsi="Arial" w:cs="Arial"/>
          <w:sz w:val="22"/>
        </w:rPr>
        <w:t>Vicefiscalía</w:t>
      </w:r>
      <w:proofErr w:type="spellEnd"/>
      <w:r w:rsidR="0017750B">
        <w:rPr>
          <w:rFonts w:ascii="Arial" w:hAnsi="Arial" w:cs="Arial"/>
          <w:sz w:val="22"/>
        </w:rPr>
        <w:t xml:space="preserve"> General de la Nación y otros</w:t>
      </w:r>
    </w:p>
    <w:p w:rsid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Radicación</w:t>
      </w:r>
      <w:r w:rsidRPr="0068647B">
        <w:rPr>
          <w:rFonts w:ascii="Arial" w:hAnsi="Arial" w:cs="Arial"/>
          <w:sz w:val="22"/>
        </w:rPr>
        <w:tab/>
      </w:r>
      <w:r w:rsidRPr="0068647B">
        <w:rPr>
          <w:rFonts w:ascii="Arial" w:hAnsi="Arial" w:cs="Arial"/>
          <w:sz w:val="22"/>
        </w:rPr>
        <w:tab/>
        <w:t xml:space="preserve">: </w:t>
      </w:r>
      <w:r w:rsidR="0017750B">
        <w:rPr>
          <w:rFonts w:ascii="Arial" w:hAnsi="Arial" w:cs="Arial"/>
          <w:sz w:val="22"/>
        </w:rPr>
        <w:t xml:space="preserve">2017-00477-00 </w:t>
      </w:r>
      <w:r w:rsidR="00A9348E">
        <w:rPr>
          <w:rFonts w:ascii="Arial" w:hAnsi="Arial" w:cs="Arial"/>
          <w:sz w:val="22"/>
        </w:rPr>
        <w:t>(Interna No.</w:t>
      </w:r>
      <w:r w:rsidR="0017750B">
        <w:rPr>
          <w:rFonts w:ascii="Arial" w:hAnsi="Arial" w:cs="Arial"/>
          <w:sz w:val="22"/>
        </w:rPr>
        <w:t>477</w:t>
      </w:r>
      <w:r w:rsidR="00A9348E">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sidR="00A3743E">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5B5611">
        <w:rPr>
          <w:rFonts w:ascii="Arial" w:hAnsi="Arial"/>
          <w:sz w:val="22"/>
          <w:szCs w:val="22"/>
        </w:rPr>
        <w:t xml:space="preserve"> </w:t>
      </w:r>
      <w:r w:rsidR="001C33DC">
        <w:rPr>
          <w:rFonts w:ascii="Arial" w:hAnsi="Arial"/>
          <w:sz w:val="22"/>
          <w:szCs w:val="22"/>
        </w:rPr>
        <w:t>265 de 23-05-2017</w:t>
      </w:r>
    </w:p>
    <w:p w:rsidR="00634E2E" w:rsidRDefault="00634E2E" w:rsidP="00D70A1B">
      <w:pPr>
        <w:spacing w:line="360" w:lineRule="auto"/>
        <w:ind w:left="708" w:firstLine="708"/>
        <w:rPr>
          <w:rFonts w:ascii="Arial" w:hAnsi="Arial"/>
          <w:sz w:val="22"/>
          <w:szCs w:val="22"/>
        </w:rPr>
      </w:pPr>
    </w:p>
    <w:p w:rsidR="00634E2E" w:rsidRPr="00634E2E" w:rsidRDefault="00634E2E" w:rsidP="00634E2E">
      <w:pPr>
        <w:ind w:left="1416"/>
        <w:jc w:val="both"/>
        <w:rPr>
          <w:rFonts w:ascii="Arial" w:hAnsi="Arial"/>
          <w:sz w:val="22"/>
          <w:szCs w:val="22"/>
          <w:lang w:val="es-ES_tradnl"/>
        </w:rPr>
      </w:pPr>
      <w:r w:rsidRPr="00634E2E">
        <w:rPr>
          <w:rFonts w:ascii="Arial" w:hAnsi="Arial" w:cs="Arial"/>
          <w:b/>
          <w:sz w:val="22"/>
        </w:rPr>
        <w:t>Temas</w:t>
      </w:r>
      <w:r w:rsidRPr="00634E2E">
        <w:rPr>
          <w:rFonts w:ascii="Arial" w:hAnsi="Arial" w:cs="Arial"/>
          <w:b/>
          <w:sz w:val="22"/>
        </w:rPr>
        <w:tab/>
      </w:r>
      <w:r w:rsidRPr="00634E2E">
        <w:rPr>
          <w:rFonts w:ascii="Arial" w:hAnsi="Arial" w:cs="Arial"/>
          <w:b/>
          <w:sz w:val="22"/>
        </w:rPr>
        <w:tab/>
      </w:r>
      <w:r w:rsidRPr="00634E2E">
        <w:rPr>
          <w:rFonts w:ascii="Arial" w:hAnsi="Arial" w:cs="Arial"/>
          <w:b/>
          <w:sz w:val="22"/>
        </w:rPr>
        <w:tab/>
        <w:t>:</w:t>
      </w:r>
      <w:r w:rsidRPr="00634E2E">
        <w:rPr>
          <w:rFonts w:ascii="Arial" w:hAnsi="Arial" w:cs="Arial"/>
          <w:b/>
          <w:sz w:val="22"/>
          <w:szCs w:val="22"/>
        </w:rPr>
        <w:t xml:space="preserve"> </w:t>
      </w:r>
      <w:r w:rsidRPr="00634E2E">
        <w:rPr>
          <w:rFonts w:ascii="Arial" w:hAnsi="Arial" w:cs="Arial"/>
          <w:b/>
          <w:sz w:val="22"/>
          <w:szCs w:val="18"/>
        </w:rPr>
        <w:t>ACTO ADMINISTRATIVO – TRASLADO - PERJUICIO IRREMEDIABLE</w:t>
      </w:r>
      <w:r>
        <w:rPr>
          <w:rFonts w:ascii="Arial" w:hAnsi="Arial" w:cs="Arial"/>
          <w:b/>
          <w:sz w:val="22"/>
          <w:szCs w:val="18"/>
        </w:rPr>
        <w:t xml:space="preserve">. </w:t>
      </w:r>
      <w:r w:rsidRPr="00634E2E">
        <w:rPr>
          <w:rFonts w:ascii="Arial" w:hAnsi="Arial"/>
          <w:sz w:val="22"/>
          <w:szCs w:val="22"/>
        </w:rPr>
        <w:t>[E]l acto administrativo de traslado a la Subdirección Seccional de Policía Judicial – Tumaco, tuvo como motivación la necesidades propias del servicio (Folios 19 y 20, ib.); determinación que no se antoja caprichosa, toda vez que es un trabajador público que pertenece a una planta de personal global y flexible</w:t>
      </w:r>
      <w:r w:rsidRPr="00634E2E">
        <w:rPr>
          <w:rFonts w:ascii="Arial" w:hAnsi="Arial"/>
          <w:sz w:val="22"/>
          <w:szCs w:val="22"/>
          <w:vertAlign w:val="superscript"/>
        </w:rPr>
        <w:footnoteReference w:id="1"/>
      </w:r>
      <w:r w:rsidRPr="00634E2E">
        <w:rPr>
          <w:rFonts w:ascii="Arial" w:hAnsi="Arial"/>
          <w:sz w:val="22"/>
          <w:szCs w:val="22"/>
        </w:rPr>
        <w:t xml:space="preserve">, donde el traslado territorial es un presupuesto de la vinculación laboral y es una circunstancia conocida por el accionante, por lo tanto, no se considera arbitraria la decisión de traslado. (…) </w:t>
      </w:r>
      <w:r w:rsidRPr="00634E2E">
        <w:rPr>
          <w:rFonts w:ascii="Arial" w:hAnsi="Arial"/>
          <w:sz w:val="22"/>
          <w:szCs w:val="22"/>
          <w:lang w:val="es-ES_tradnl"/>
        </w:rPr>
        <w:t>En armonía con las premisas expuestas en los acápites anteriores se declarará improcedente la   acción,   pues   los accionantes cuentan con  un  mecanismo  eficaz  para salvaguardar los derechos alegados y no se demostró un daño irreparable para hacer viable el amparo.</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1C33DC">
        <w:rPr>
          <w:rFonts w:ascii="Arial" w:hAnsi="Arial" w:cs="Arial"/>
          <w:iCs/>
          <w:smallCaps/>
          <w:sz w:val="28"/>
          <w:szCs w:val="28"/>
          <w:lang w:val="es-CO"/>
        </w:rPr>
        <w:t xml:space="preserve">veintitrés </w:t>
      </w:r>
      <w:r w:rsidR="00437198" w:rsidRPr="00D06248">
        <w:rPr>
          <w:rFonts w:ascii="Arial" w:hAnsi="Arial" w:cs="Arial"/>
          <w:iCs/>
          <w:smallCaps/>
          <w:sz w:val="28"/>
          <w:szCs w:val="28"/>
          <w:lang w:val="es-CO"/>
        </w:rPr>
        <w:t>(</w:t>
      </w:r>
      <w:r w:rsidR="001C33DC">
        <w:rPr>
          <w:rFonts w:ascii="Arial" w:hAnsi="Arial" w:cs="Arial"/>
          <w:iCs/>
          <w:smallCaps/>
          <w:sz w:val="28"/>
          <w:szCs w:val="28"/>
          <w:lang w:val="es-CO"/>
        </w:rPr>
        <w:t>23</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17750B">
        <w:rPr>
          <w:rFonts w:ascii="Arial" w:hAnsi="Arial" w:cs="Arial"/>
          <w:iCs/>
          <w:smallCaps/>
          <w:sz w:val="28"/>
          <w:szCs w:val="28"/>
          <w:lang w:val="es-CO"/>
        </w:rPr>
        <w:t xml:space="preserve">mayo </w:t>
      </w:r>
      <w:r w:rsidRPr="00D06248">
        <w:rPr>
          <w:rFonts w:ascii="Arial" w:hAnsi="Arial" w:cs="Arial"/>
          <w:iCs/>
          <w:smallCaps/>
          <w:sz w:val="28"/>
          <w:szCs w:val="28"/>
          <w:lang w:val="es-CO"/>
        </w:rPr>
        <w:t xml:space="preserve">de dos mil </w:t>
      </w:r>
      <w:r w:rsidR="00A9348E">
        <w:rPr>
          <w:rFonts w:ascii="Arial" w:hAnsi="Arial" w:cs="Arial"/>
          <w:iCs/>
          <w:smallCaps/>
          <w:sz w:val="28"/>
          <w:szCs w:val="28"/>
          <w:lang w:val="es-CO"/>
        </w:rPr>
        <w:t xml:space="preserve">diecisiete </w:t>
      </w:r>
      <w:r w:rsidRPr="00D06248">
        <w:rPr>
          <w:rFonts w:ascii="Arial" w:hAnsi="Arial" w:cs="Arial"/>
          <w:iCs/>
          <w:smallCaps/>
          <w:sz w:val="28"/>
          <w:szCs w:val="28"/>
          <w:lang w:val="es-CO"/>
        </w:rPr>
        <w:t>(</w:t>
      </w:r>
      <w:r w:rsidR="00A9348E">
        <w:rPr>
          <w:rFonts w:ascii="Arial" w:hAnsi="Arial" w:cs="Arial"/>
          <w:iCs/>
          <w:smallCaps/>
          <w:sz w:val="28"/>
          <w:szCs w:val="28"/>
          <w:lang w:val="es-CO"/>
        </w:rPr>
        <w:t>2017</w:t>
      </w:r>
      <w:r w:rsidRPr="00D06248">
        <w:rPr>
          <w:rFonts w:ascii="Arial" w:hAnsi="Arial" w:cs="Arial"/>
          <w:iCs/>
          <w:smallCaps/>
          <w:sz w:val="28"/>
          <w:szCs w:val="28"/>
          <w:lang w:val="es-CO"/>
        </w:rPr>
        <w:t>)</w:t>
      </w:r>
      <w:r w:rsidRPr="00D06248">
        <w:rPr>
          <w:rFonts w:ascii="Arial" w:hAnsi="Arial" w:cs="Arial"/>
          <w:iCs/>
          <w:sz w:val="28"/>
          <w:szCs w:val="28"/>
          <w:lang w:val="es-CO"/>
        </w:rPr>
        <w:t>.</w:t>
      </w:r>
    </w:p>
    <w:p w:rsidR="000147A2" w:rsidRPr="00D06248" w:rsidRDefault="000147A2" w:rsidP="0099045D">
      <w:pPr>
        <w:spacing w:line="360" w:lineRule="auto"/>
        <w:jc w:val="center"/>
        <w:rPr>
          <w:rFonts w:ascii="Arial" w:hAnsi="Arial" w:cs="Arial"/>
          <w:b/>
          <w:bCs/>
          <w:lang w:val="es-CO"/>
        </w:rPr>
      </w:pPr>
    </w:p>
    <w:p w:rsidR="00152300" w:rsidRPr="00F9418E" w:rsidRDefault="00152300" w:rsidP="00152300">
      <w:pPr>
        <w:pStyle w:val="Corpsdetex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634E2E">
      <w:pPr>
        <w:pStyle w:val="Corpsdetexte"/>
        <w:spacing w:line="240" w:lineRule="auto"/>
        <w:rPr>
          <w:rFonts w:ascii="Arial" w:hAnsi="Arial"/>
          <w:szCs w:val="24"/>
        </w:rPr>
      </w:pPr>
    </w:p>
    <w:p w:rsidR="00235C5D" w:rsidRDefault="0043570B" w:rsidP="00235C5D">
      <w:pPr>
        <w:pStyle w:val="Corpsdetex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Corpsdetexte"/>
        <w:spacing w:line="360" w:lineRule="auto"/>
        <w:rPr>
          <w:rFonts w:ascii="Arial" w:hAnsi="Arial"/>
          <w:szCs w:val="24"/>
          <w:lang w:val="es-CO"/>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 xml:space="preserve">LA SÍNTESIS </w:t>
      </w:r>
      <w:r w:rsidR="00B77A7E">
        <w:rPr>
          <w:rFonts w:ascii="Arial" w:hAnsi="Arial"/>
          <w:szCs w:val="24"/>
        </w:rPr>
        <w:t>FÁCTICA</w:t>
      </w:r>
    </w:p>
    <w:p w:rsidR="0099045D" w:rsidRDefault="0099045D" w:rsidP="00634E2E">
      <w:pPr>
        <w:pStyle w:val="Corpsdetexte"/>
        <w:spacing w:line="240" w:lineRule="auto"/>
        <w:rPr>
          <w:rFonts w:ascii="Arial" w:hAnsi="Arial" w:cs="Arial"/>
          <w:szCs w:val="24"/>
        </w:rPr>
      </w:pPr>
    </w:p>
    <w:p w:rsidR="007C6CE9" w:rsidRDefault="0073451A" w:rsidP="00152300">
      <w:pPr>
        <w:spacing w:line="360" w:lineRule="auto"/>
        <w:jc w:val="both"/>
        <w:rPr>
          <w:rFonts w:ascii="Arial" w:hAnsi="Arial" w:cs="Arial"/>
        </w:rPr>
      </w:pPr>
      <w:r w:rsidRPr="008644AE">
        <w:rPr>
          <w:rFonts w:ascii="Arial" w:hAnsi="Arial" w:cs="Arial"/>
        </w:rPr>
        <w:t xml:space="preserve">Expuso </w:t>
      </w:r>
      <w:r w:rsidR="00A9348E" w:rsidRPr="008644AE">
        <w:rPr>
          <w:rFonts w:ascii="Arial" w:hAnsi="Arial" w:cs="Arial"/>
        </w:rPr>
        <w:t xml:space="preserve">el actor </w:t>
      </w:r>
      <w:r w:rsidR="00AA2369" w:rsidRPr="008644AE">
        <w:rPr>
          <w:rFonts w:ascii="Arial" w:hAnsi="Arial" w:cs="Arial"/>
        </w:rPr>
        <w:t>que</w:t>
      </w:r>
      <w:r w:rsidR="00A9348E" w:rsidRPr="008644AE">
        <w:rPr>
          <w:rFonts w:ascii="Arial" w:hAnsi="Arial" w:cs="Arial"/>
        </w:rPr>
        <w:t xml:space="preserve"> </w:t>
      </w:r>
      <w:r w:rsidR="0017750B">
        <w:rPr>
          <w:rFonts w:ascii="Arial" w:hAnsi="Arial" w:cs="Arial"/>
        </w:rPr>
        <w:t xml:space="preserve">desde el año de 1994 trabaja como Investigador Judicial I en la Dirección Seccional CTI de Pereira; el 07-02-2017 sufrió un esguince de rodilla, está </w:t>
      </w:r>
      <w:r w:rsidR="0017750B">
        <w:rPr>
          <w:rFonts w:ascii="Arial" w:hAnsi="Arial" w:cs="Arial"/>
        </w:rPr>
        <w:lastRenderedPageBreak/>
        <w:t xml:space="preserve">incapacitado y se encuentra pendiente de que se desate el recurso de apelación presentado contra el dictamen </w:t>
      </w:r>
      <w:r w:rsidR="003D6A9A">
        <w:rPr>
          <w:rFonts w:ascii="Arial" w:hAnsi="Arial" w:cs="Arial"/>
        </w:rPr>
        <w:t xml:space="preserve">realizado por Positiva Compañía de Seguros SA ante la </w:t>
      </w:r>
      <w:r w:rsidR="0017750B">
        <w:rPr>
          <w:rFonts w:ascii="Arial" w:hAnsi="Arial" w:cs="Arial"/>
        </w:rPr>
        <w:t xml:space="preserve">Junta Regional de Calificación de Invalidez. </w:t>
      </w:r>
      <w:r w:rsidR="00C51D3A">
        <w:rPr>
          <w:rFonts w:ascii="Arial" w:hAnsi="Arial" w:cs="Arial"/>
        </w:rPr>
        <w:t>Tiene bajo su cuidado</w:t>
      </w:r>
      <w:r w:rsidR="00B77A7E">
        <w:rPr>
          <w:rFonts w:ascii="Arial" w:hAnsi="Arial" w:cs="Arial"/>
        </w:rPr>
        <w:t>,</w:t>
      </w:r>
      <w:r w:rsidR="00C51D3A">
        <w:rPr>
          <w:rFonts w:ascii="Arial" w:hAnsi="Arial" w:cs="Arial"/>
        </w:rPr>
        <w:t xml:space="preserve"> y con manutención compartida con la madre</w:t>
      </w:r>
      <w:r w:rsidR="00B77A7E">
        <w:rPr>
          <w:rFonts w:ascii="Arial" w:hAnsi="Arial" w:cs="Arial"/>
        </w:rPr>
        <w:t>,</w:t>
      </w:r>
      <w:r w:rsidR="00C51D3A">
        <w:rPr>
          <w:rFonts w:ascii="Arial" w:hAnsi="Arial" w:cs="Arial"/>
        </w:rPr>
        <w:t xml:space="preserve"> a su hijo </w:t>
      </w:r>
      <w:r w:rsidR="0017750B">
        <w:rPr>
          <w:rFonts w:ascii="Arial" w:hAnsi="Arial" w:cs="Arial"/>
        </w:rPr>
        <w:t>Sebastián Vaca Amaya</w:t>
      </w:r>
      <w:r w:rsidR="00B77A7E">
        <w:rPr>
          <w:rFonts w:ascii="Arial" w:hAnsi="Arial" w:cs="Arial"/>
        </w:rPr>
        <w:t>,</w:t>
      </w:r>
      <w:r w:rsidR="0017750B">
        <w:rPr>
          <w:rFonts w:ascii="Arial" w:hAnsi="Arial" w:cs="Arial"/>
        </w:rPr>
        <w:t xml:space="preserve"> quien desde el año de 2016 estudia en la Universidad Tecnológica de Pereira</w:t>
      </w:r>
      <w:r w:rsidR="00C51D3A">
        <w:rPr>
          <w:rFonts w:ascii="Arial" w:hAnsi="Arial" w:cs="Arial"/>
        </w:rPr>
        <w:t>. El 04-05-2017 fue notificado de su traslado a la Subdirección Seccional de Policía CTI Tumaco</w:t>
      </w:r>
      <w:r w:rsidR="003E18C4">
        <w:rPr>
          <w:rFonts w:ascii="Arial" w:hAnsi="Arial" w:cs="Arial"/>
        </w:rPr>
        <w:t xml:space="preserve"> (Folios </w:t>
      </w:r>
      <w:r w:rsidR="00C51D3A">
        <w:rPr>
          <w:rFonts w:ascii="Arial" w:hAnsi="Arial" w:cs="Arial"/>
        </w:rPr>
        <w:t>1 a 18</w:t>
      </w:r>
      <w:r w:rsidR="003E18C4">
        <w:rPr>
          <w:rFonts w:ascii="Arial" w:hAnsi="Arial" w:cs="Arial"/>
        </w:rPr>
        <w:t>, este cuaderno)</w:t>
      </w:r>
      <w:r w:rsidR="008644AE" w:rsidRPr="008644AE">
        <w:rPr>
          <w:rFonts w:ascii="Arial" w:hAnsi="Arial" w:cs="Arial"/>
        </w:rPr>
        <w:t>.</w:t>
      </w:r>
      <w:r w:rsidR="008644AE">
        <w:rPr>
          <w:rFonts w:ascii="Arial" w:hAnsi="Arial" w:cs="Arial"/>
          <w:highlight w:val="yellow"/>
        </w:rPr>
        <w:t xml:space="preserve"> </w:t>
      </w:r>
    </w:p>
    <w:p w:rsidR="007C6CE9" w:rsidRDefault="007C6CE9" w:rsidP="00152300">
      <w:pPr>
        <w:spacing w:line="360" w:lineRule="auto"/>
        <w:jc w:val="both"/>
        <w:rPr>
          <w:rFonts w:ascii="Arial" w:hAnsi="Arial" w:cs="Arial"/>
        </w:rPr>
      </w:pPr>
    </w:p>
    <w:p w:rsidR="0099045D"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C51D3A" w:rsidRPr="00F9418E" w:rsidRDefault="00C51D3A" w:rsidP="00C51D3A">
      <w:pPr>
        <w:pStyle w:val="Corpsdetexte"/>
        <w:spacing w:line="360" w:lineRule="auto"/>
        <w:ind w:left="360"/>
        <w:rPr>
          <w:rFonts w:ascii="Arial" w:hAnsi="Arial"/>
          <w:szCs w:val="24"/>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C51D3A">
        <w:rPr>
          <w:rFonts w:ascii="Arial" w:hAnsi="Arial" w:cs="Arial"/>
          <w:spacing w:val="-3"/>
          <w:lang w:val="es-ES_tradnl"/>
        </w:rPr>
        <w:t xml:space="preserve">a la vida digna, el trabajo en condiciones dignas, al debido proceso administrativo, a la salud, a la estabilidad y unidad familiar </w:t>
      </w:r>
      <w:r w:rsidR="00235C5D" w:rsidRPr="00AF753A">
        <w:rPr>
          <w:rFonts w:ascii="Arial" w:hAnsi="Arial" w:cs="Arial"/>
        </w:rPr>
        <w:t>(Folio</w:t>
      </w:r>
      <w:r w:rsidR="00235C5D">
        <w:rPr>
          <w:rFonts w:ascii="Arial" w:hAnsi="Arial" w:cs="Arial"/>
        </w:rPr>
        <w:t xml:space="preserve"> </w:t>
      </w:r>
      <w:r w:rsidR="00C51D3A">
        <w:rPr>
          <w:rFonts w:ascii="Arial" w:hAnsi="Arial" w:cs="Arial"/>
        </w:rPr>
        <w:t>1</w:t>
      </w:r>
      <w:r w:rsidR="00235C5D" w:rsidRPr="00AF753A">
        <w:rPr>
          <w:rFonts w:ascii="Arial" w:hAnsi="Arial" w:cs="Arial"/>
        </w:rPr>
        <w:t xml:space="preserve">, </w:t>
      </w:r>
      <w:r w:rsidR="00235C5D">
        <w:rPr>
          <w:rFonts w:ascii="Arial" w:hAnsi="Arial" w:cs="Arial"/>
        </w:rPr>
        <w:t>este cuaderno)</w:t>
      </w:r>
      <w:r w:rsidR="00235C5D" w:rsidRPr="00AF753A">
        <w:rPr>
          <w:rFonts w:ascii="Arial" w:hAnsi="Arial" w:cs="Arial"/>
        </w:rPr>
        <w:t>.</w:t>
      </w:r>
    </w:p>
    <w:p w:rsidR="00634E2E" w:rsidRDefault="00634E2E"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Corpsdetexte"/>
        <w:spacing w:line="360" w:lineRule="auto"/>
        <w:ind w:left="360"/>
        <w:rPr>
          <w:rFonts w:ascii="Arial" w:hAnsi="Arial"/>
          <w:szCs w:val="24"/>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sidR="00A63585">
        <w:rPr>
          <w:rFonts w:ascii="Arial" w:hAnsi="Arial" w:cs="Arial"/>
          <w:color w:val="000000"/>
          <w:szCs w:val="24"/>
        </w:rPr>
        <w:t>el</w:t>
      </w:r>
      <w:r>
        <w:rPr>
          <w:rFonts w:ascii="Arial" w:hAnsi="Arial" w:cs="Arial"/>
          <w:color w:val="000000"/>
          <w:szCs w:val="24"/>
        </w:rPr>
        <w:t xml:space="preserve">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C51D3A">
        <w:rPr>
          <w:rFonts w:ascii="Arial" w:hAnsi="Arial" w:cs="Arial"/>
          <w:szCs w:val="24"/>
        </w:rPr>
        <w:t xml:space="preserve"> y</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w:t>
      </w:r>
      <w:r w:rsidR="00C51D3A">
        <w:rPr>
          <w:rFonts w:ascii="Arial" w:hAnsi="Arial" w:cs="Arial"/>
          <w:szCs w:val="24"/>
        </w:rPr>
        <w:t xml:space="preserve">deje sin efectos la resolución 1- 0277 de 26-04-2017 de la </w:t>
      </w:r>
      <w:proofErr w:type="spellStart"/>
      <w:r w:rsidR="00C51D3A">
        <w:rPr>
          <w:rFonts w:ascii="Arial" w:hAnsi="Arial" w:cs="Arial"/>
          <w:szCs w:val="24"/>
        </w:rPr>
        <w:t>Vicefiscalía</w:t>
      </w:r>
      <w:proofErr w:type="spellEnd"/>
      <w:r w:rsidR="00C51D3A">
        <w:rPr>
          <w:rFonts w:ascii="Arial" w:hAnsi="Arial" w:cs="Arial"/>
          <w:szCs w:val="24"/>
        </w:rPr>
        <w:t xml:space="preserve"> General de la Nación </w:t>
      </w:r>
      <w:r w:rsidR="00235C5D" w:rsidRPr="00AF753A">
        <w:rPr>
          <w:rFonts w:ascii="Arial" w:hAnsi="Arial" w:cs="Arial"/>
        </w:rPr>
        <w:t>(Folio</w:t>
      </w:r>
      <w:r w:rsidR="003E18C4">
        <w:rPr>
          <w:rFonts w:ascii="Arial" w:hAnsi="Arial" w:cs="Arial"/>
        </w:rPr>
        <w:t>s</w:t>
      </w:r>
      <w:r w:rsidR="00235C5D">
        <w:rPr>
          <w:rFonts w:ascii="Arial" w:hAnsi="Arial" w:cs="Arial"/>
        </w:rPr>
        <w:t xml:space="preserve"> </w:t>
      </w:r>
      <w:r w:rsidR="00C51D3A">
        <w:rPr>
          <w:rFonts w:ascii="Arial" w:hAnsi="Arial" w:cs="Arial"/>
        </w:rPr>
        <w:t>13</w:t>
      </w:r>
      <w:r w:rsidR="003E18C4">
        <w:rPr>
          <w:rFonts w:ascii="Arial" w:hAnsi="Arial" w:cs="Arial"/>
        </w:rPr>
        <w:t>, este cuaderno</w:t>
      </w:r>
      <w:r w:rsidR="00235C5D">
        <w:rPr>
          <w:rFonts w:ascii="Arial" w:hAnsi="Arial" w:cs="Arial"/>
        </w:rPr>
        <w:t>)</w:t>
      </w:r>
      <w:r w:rsidR="00235C5D" w:rsidRPr="00AF753A">
        <w:rPr>
          <w:rFonts w:ascii="Arial" w:hAnsi="Arial" w:cs="Arial"/>
        </w:rPr>
        <w:t>.</w:t>
      </w:r>
    </w:p>
    <w:p w:rsidR="00CE71D8" w:rsidRPr="00B5411C"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w:t>
      </w:r>
      <w:r w:rsidR="00C51D3A">
        <w:rPr>
          <w:rFonts w:ascii="Arial" w:hAnsi="Arial"/>
        </w:rPr>
        <w:t xml:space="preserve">09-05-2017 </w:t>
      </w:r>
      <w:r w:rsidR="00EF10BF">
        <w:rPr>
          <w:rFonts w:ascii="Arial" w:hAnsi="Arial"/>
        </w:rPr>
        <w:t xml:space="preserve">fue asignada </w:t>
      </w:r>
      <w:r w:rsidR="00EF10BF"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w:t>
      </w:r>
      <w:r w:rsidR="00196C98">
        <w:rPr>
          <w:rFonts w:ascii="Arial" w:hAnsi="Arial"/>
        </w:rPr>
        <w:t xml:space="preserve"> </w:t>
      </w:r>
      <w:r w:rsidR="00D06248">
        <w:rPr>
          <w:rFonts w:ascii="Arial" w:hAnsi="Arial"/>
        </w:rPr>
        <w:t>l</w:t>
      </w:r>
      <w:r w:rsidR="00196C98">
        <w:rPr>
          <w:rFonts w:ascii="Arial" w:hAnsi="Arial"/>
        </w:rPr>
        <w:t>a misma fecha</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 </w:t>
      </w:r>
      <w:r w:rsidR="00C51D3A">
        <w:rPr>
          <w:rFonts w:ascii="Arial" w:hAnsi="Arial"/>
        </w:rPr>
        <w:t>105</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notificados l</w:t>
      </w:r>
      <w:r w:rsidR="00D06248">
        <w:rPr>
          <w:rFonts w:ascii="Arial" w:hAnsi="Arial"/>
        </w:rPr>
        <w:t>os extremos de la acción (Folio</w:t>
      </w:r>
      <w:r w:rsidR="00A323EA">
        <w:rPr>
          <w:rFonts w:ascii="Arial" w:hAnsi="Arial"/>
        </w:rPr>
        <w:t>s</w:t>
      </w:r>
      <w:r w:rsidRPr="00D55E5A">
        <w:rPr>
          <w:rFonts w:ascii="Arial" w:hAnsi="Arial"/>
        </w:rPr>
        <w:t xml:space="preserve"> </w:t>
      </w:r>
      <w:r w:rsidR="00C51D3A">
        <w:rPr>
          <w:rFonts w:ascii="Arial" w:hAnsi="Arial"/>
        </w:rPr>
        <w:t>106 a 109</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3D6A9A">
        <w:rPr>
          <w:rFonts w:ascii="Arial" w:hAnsi="Arial"/>
        </w:rPr>
        <w:t xml:space="preserve">Positiva Compañía de Seguros SA </w:t>
      </w:r>
      <w:r w:rsidR="00A323EA">
        <w:rPr>
          <w:rFonts w:ascii="Arial" w:hAnsi="Arial"/>
        </w:rPr>
        <w:t xml:space="preserve">(Folios </w:t>
      </w:r>
      <w:r w:rsidR="003D6A9A">
        <w:rPr>
          <w:rFonts w:ascii="Arial" w:hAnsi="Arial"/>
        </w:rPr>
        <w:t xml:space="preserve">112 y 113, ibídem), la </w:t>
      </w:r>
      <w:r w:rsidR="00F66D2A">
        <w:rPr>
          <w:rFonts w:ascii="Arial" w:hAnsi="Arial"/>
        </w:rPr>
        <w:t xml:space="preserve">Subdirección Seccional de Apoyo a la Gestión, Seccional Risaralda y la Subdirección de Policía Judicial CTI </w:t>
      </w:r>
      <w:r w:rsidR="003D6A9A">
        <w:rPr>
          <w:rFonts w:ascii="Arial" w:hAnsi="Arial"/>
        </w:rPr>
        <w:t>(Folios 122 a 124, ib.) la Fiscalía General de la Nación, en adelante FGN (Folios 13</w:t>
      </w:r>
      <w:r w:rsidR="00765DBD">
        <w:rPr>
          <w:rFonts w:ascii="Arial" w:hAnsi="Arial"/>
        </w:rPr>
        <w:t>3 a 141</w:t>
      </w:r>
      <w:r w:rsidR="003D6A9A">
        <w:rPr>
          <w:rFonts w:ascii="Arial" w:hAnsi="Arial"/>
        </w:rPr>
        <w:t>, ib.), y la Subdirección de Talento Humano de la FGN (Folios 146 a 156, ib.)</w:t>
      </w:r>
      <w:r>
        <w:rPr>
          <w:rFonts w:ascii="Arial" w:hAnsi="Arial" w:cs="Arial"/>
          <w:spacing w:val="3"/>
        </w:rPr>
        <w:t>.</w:t>
      </w:r>
      <w:r w:rsidR="00A323EA">
        <w:rPr>
          <w:rFonts w:ascii="Arial" w:hAnsi="Arial" w:cs="Arial"/>
          <w:spacing w:val="3"/>
        </w:rPr>
        <w:t xml:space="preserve"> </w:t>
      </w:r>
    </w:p>
    <w:p w:rsidR="00B41B3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66D2A" w:rsidRDefault="003D6A9A" w:rsidP="006064E0">
      <w:pPr>
        <w:spacing w:line="360" w:lineRule="auto"/>
        <w:jc w:val="both"/>
        <w:rPr>
          <w:rFonts w:ascii="Arial" w:hAnsi="Arial"/>
        </w:rPr>
      </w:pPr>
      <w:r>
        <w:rPr>
          <w:rFonts w:ascii="Arial" w:hAnsi="Arial"/>
        </w:rPr>
        <w:t xml:space="preserve">Positiva Compañía de Seguros SA solicitó declarar improcedente el amparo en su contra porque no es la empleadora del accionante y tampoco está en la obligación de brindar el servicio de salud debido a que </w:t>
      </w:r>
      <w:r w:rsidR="00F66D2A">
        <w:rPr>
          <w:rFonts w:ascii="Arial" w:hAnsi="Arial"/>
        </w:rPr>
        <w:t xml:space="preserve">la calificación de su lesión fue como de origen común, por lo que debe atenderlo la EPS (Folios 112 y 113, ib.). La Subdirección Seccional de Apoyo a la Gestión, Seccional Risaralda y la Subdirección de Policía </w:t>
      </w:r>
      <w:r w:rsidR="00F66D2A">
        <w:rPr>
          <w:rFonts w:ascii="Arial" w:hAnsi="Arial"/>
        </w:rPr>
        <w:lastRenderedPageBreak/>
        <w:t xml:space="preserve">Judicial CTI, pidieron su desvinculación ya que no les corresponde expedir decisiones de traslado de servidores (Folios 122 a 124, ib.).  </w:t>
      </w:r>
    </w:p>
    <w:p w:rsidR="00F66D2A" w:rsidRDefault="00F66D2A" w:rsidP="006064E0">
      <w:pPr>
        <w:spacing w:line="360" w:lineRule="auto"/>
        <w:jc w:val="both"/>
        <w:rPr>
          <w:rFonts w:ascii="Arial" w:hAnsi="Arial"/>
        </w:rPr>
      </w:pPr>
    </w:p>
    <w:p w:rsidR="00901486" w:rsidRDefault="003C2C2D" w:rsidP="006064E0">
      <w:pPr>
        <w:spacing w:line="360" w:lineRule="auto"/>
        <w:jc w:val="both"/>
        <w:rPr>
          <w:rFonts w:ascii="Arial" w:hAnsi="Arial"/>
        </w:rPr>
      </w:pPr>
      <w:r>
        <w:rPr>
          <w:rFonts w:ascii="Arial" w:hAnsi="Arial"/>
        </w:rPr>
        <w:t>La</w:t>
      </w:r>
      <w:r w:rsidR="00F66D2A">
        <w:rPr>
          <w:rFonts w:ascii="Arial" w:hAnsi="Arial"/>
        </w:rPr>
        <w:t xml:space="preserve"> FGN </w:t>
      </w:r>
      <w:r>
        <w:rPr>
          <w:rFonts w:ascii="Arial" w:hAnsi="Arial"/>
        </w:rPr>
        <w:t xml:space="preserve">refirió que la tutela es improcedente porque el actor cuenta con la acción de nulidad y restablecimiento de derechos ante </w:t>
      </w:r>
      <w:r w:rsidR="0003382C">
        <w:rPr>
          <w:rFonts w:ascii="Arial" w:hAnsi="Arial"/>
        </w:rPr>
        <w:t>juez contencioso administrativo</w:t>
      </w:r>
      <w:r>
        <w:rPr>
          <w:rFonts w:ascii="Arial" w:hAnsi="Arial"/>
        </w:rPr>
        <w:t>, tampoco como mecanismo transitorio</w:t>
      </w:r>
      <w:r w:rsidR="00083A5B">
        <w:rPr>
          <w:rFonts w:ascii="Arial" w:hAnsi="Arial"/>
        </w:rPr>
        <w:t>,</w:t>
      </w:r>
      <w:r>
        <w:rPr>
          <w:rFonts w:ascii="Arial" w:hAnsi="Arial"/>
        </w:rPr>
        <w:t xml:space="preserve"> </w:t>
      </w:r>
      <w:r w:rsidR="00765DBD">
        <w:rPr>
          <w:rFonts w:ascii="Arial" w:hAnsi="Arial"/>
        </w:rPr>
        <w:t xml:space="preserve">puesto que </w:t>
      </w:r>
      <w:r>
        <w:rPr>
          <w:rFonts w:ascii="Arial" w:hAnsi="Arial"/>
        </w:rPr>
        <w:t xml:space="preserve">no se configura un perjuicio irremediable; la decisión se tomó por la necesidades del servicio, </w:t>
      </w:r>
      <w:r w:rsidR="0003382C">
        <w:rPr>
          <w:rFonts w:ascii="Arial" w:hAnsi="Arial"/>
        </w:rPr>
        <w:t xml:space="preserve">sin ser </w:t>
      </w:r>
      <w:r>
        <w:rPr>
          <w:rFonts w:ascii="Arial" w:hAnsi="Arial"/>
        </w:rPr>
        <w:t xml:space="preserve">arbitraria, ni desmejora </w:t>
      </w:r>
      <w:r w:rsidR="00083A5B">
        <w:rPr>
          <w:rFonts w:ascii="Arial" w:hAnsi="Arial"/>
        </w:rPr>
        <w:t xml:space="preserve">sus </w:t>
      </w:r>
      <w:r>
        <w:rPr>
          <w:rFonts w:ascii="Arial" w:hAnsi="Arial"/>
        </w:rPr>
        <w:t>condiciones laborales</w:t>
      </w:r>
      <w:r w:rsidR="0003382C">
        <w:rPr>
          <w:rFonts w:ascii="Arial" w:hAnsi="Arial"/>
        </w:rPr>
        <w:t>,</w:t>
      </w:r>
      <w:r w:rsidR="00765DBD">
        <w:rPr>
          <w:rFonts w:ascii="Arial" w:hAnsi="Arial"/>
        </w:rPr>
        <w:t xml:space="preserve"> ni afecta su mínimo vital </w:t>
      </w:r>
      <w:r w:rsidR="004A294B">
        <w:rPr>
          <w:rFonts w:ascii="Arial" w:hAnsi="Arial"/>
        </w:rPr>
        <w:t xml:space="preserve">(Folios </w:t>
      </w:r>
      <w:r w:rsidR="00765DBD">
        <w:rPr>
          <w:rFonts w:ascii="Arial" w:hAnsi="Arial"/>
        </w:rPr>
        <w:t>133 a 141</w:t>
      </w:r>
      <w:r w:rsidR="004A294B">
        <w:rPr>
          <w:rFonts w:ascii="Arial" w:hAnsi="Arial"/>
        </w:rPr>
        <w:t>, ib.)</w:t>
      </w:r>
      <w:r w:rsidR="00901486">
        <w:rPr>
          <w:rFonts w:ascii="Arial" w:hAnsi="Arial"/>
        </w:rPr>
        <w:t xml:space="preserve">. </w:t>
      </w:r>
      <w:r w:rsidR="00765DBD">
        <w:rPr>
          <w:rFonts w:ascii="Arial" w:hAnsi="Arial"/>
        </w:rPr>
        <w:t>La Subdirección de Talento Humano anotó que como la FGN cuenta con una planta de personal global y flexible</w:t>
      </w:r>
      <w:r w:rsidR="00083A5B">
        <w:rPr>
          <w:rFonts w:ascii="Arial" w:hAnsi="Arial"/>
        </w:rPr>
        <w:t xml:space="preserve">, </w:t>
      </w:r>
      <w:r w:rsidR="00765DBD">
        <w:rPr>
          <w:rFonts w:ascii="Arial" w:hAnsi="Arial"/>
        </w:rPr>
        <w:t xml:space="preserve">para el cumplimiento de sus funciones, puede realizar movimientos de personal, situación que </w:t>
      </w:r>
      <w:r w:rsidR="0003382C">
        <w:rPr>
          <w:rFonts w:ascii="Arial" w:hAnsi="Arial"/>
        </w:rPr>
        <w:t xml:space="preserve">conoce el </w:t>
      </w:r>
      <w:r w:rsidR="00765DBD">
        <w:rPr>
          <w:rFonts w:ascii="Arial" w:hAnsi="Arial"/>
        </w:rPr>
        <w:t xml:space="preserve">accionante. Agregó que el traslado no es una situación insuperable que atente contra </w:t>
      </w:r>
      <w:r w:rsidR="00083A5B">
        <w:rPr>
          <w:rFonts w:ascii="Arial" w:hAnsi="Arial"/>
        </w:rPr>
        <w:t xml:space="preserve">la </w:t>
      </w:r>
      <w:r w:rsidR="00765DBD">
        <w:rPr>
          <w:rFonts w:ascii="Arial" w:hAnsi="Arial"/>
        </w:rPr>
        <w:t xml:space="preserve">unidad familiar, es tolerable </w:t>
      </w:r>
      <w:r w:rsidR="00FE1B1A">
        <w:rPr>
          <w:rFonts w:ascii="Arial" w:hAnsi="Arial"/>
        </w:rPr>
        <w:t xml:space="preserve">ya que las dificultades </w:t>
      </w:r>
      <w:r w:rsidR="00083A5B">
        <w:rPr>
          <w:rFonts w:ascii="Arial" w:hAnsi="Arial"/>
        </w:rPr>
        <w:t xml:space="preserve">que tuvo con </w:t>
      </w:r>
      <w:r w:rsidR="00FE1B1A">
        <w:rPr>
          <w:rFonts w:ascii="Arial" w:hAnsi="Arial"/>
        </w:rPr>
        <w:t xml:space="preserve">hijo </w:t>
      </w:r>
      <w:r w:rsidR="00083A5B">
        <w:rPr>
          <w:rFonts w:ascii="Arial" w:hAnsi="Arial"/>
        </w:rPr>
        <w:t>al día de hoy ya están superadas (Folios 146 a 156, ib.).</w:t>
      </w:r>
    </w:p>
    <w:p w:rsidR="00901486" w:rsidRDefault="00901486" w:rsidP="006064E0">
      <w:pPr>
        <w:spacing w:line="360" w:lineRule="auto"/>
        <w:jc w:val="both"/>
        <w:rPr>
          <w:rFonts w:ascii="Arial" w:hAnsi="Arial"/>
        </w:rPr>
      </w:pPr>
    </w:p>
    <w:p w:rsidR="00E06BFF" w:rsidRPr="00832CC5" w:rsidRDefault="00E06BFF" w:rsidP="00832CC5">
      <w:pPr>
        <w:pStyle w:val="Paragraphedeliste"/>
        <w:numPr>
          <w:ilvl w:val="0"/>
          <w:numId w:val="18"/>
        </w:numPr>
        <w:spacing w:line="360" w:lineRule="auto"/>
        <w:jc w:val="both"/>
        <w:rPr>
          <w:rFonts w:ascii="Arial" w:hAnsi="Arial"/>
        </w:rPr>
      </w:pPr>
      <w:r w:rsidRPr="00832CC5">
        <w:rPr>
          <w:rFonts w:ascii="Arial" w:hAnsi="Arial"/>
        </w:rPr>
        <w:t>LA FUNDAMENTACIÓN JURÍDICA PARA DECIDIR</w:t>
      </w:r>
    </w:p>
    <w:p w:rsidR="00E06BFF" w:rsidRDefault="00E06BFF" w:rsidP="00E06BFF">
      <w:pPr>
        <w:pStyle w:val="Corpsdetexte"/>
        <w:numPr>
          <w:ilvl w:val="1"/>
          <w:numId w:val="1"/>
        </w:numPr>
        <w:tabs>
          <w:tab w:val="clear" w:pos="708"/>
          <w:tab w:val="left" w:pos="709"/>
        </w:tabs>
        <w:spacing w:line="360" w:lineRule="auto"/>
        <w:ind w:left="720" w:hanging="720"/>
        <w:rPr>
          <w:rFonts w:ascii="Arial" w:hAnsi="Arial"/>
          <w:szCs w:val="24"/>
        </w:rPr>
      </w:pPr>
    </w:p>
    <w:p w:rsidR="00E06BFF" w:rsidRPr="003D6220" w:rsidRDefault="00E06BFF" w:rsidP="00E06BFF">
      <w:pPr>
        <w:pStyle w:val="Paragraphedeliste"/>
        <w:numPr>
          <w:ilvl w:val="0"/>
          <w:numId w:val="18"/>
        </w:numPr>
        <w:spacing w:line="360" w:lineRule="auto"/>
        <w:jc w:val="both"/>
        <w:rPr>
          <w:rFonts w:ascii="Arial" w:hAnsi="Arial"/>
          <w:vanish/>
        </w:rPr>
      </w:pPr>
    </w:p>
    <w:p w:rsidR="00E06BFF" w:rsidRPr="008E2A4C" w:rsidRDefault="00E06BFF" w:rsidP="008E2A4C">
      <w:pPr>
        <w:pStyle w:val="Paragraphedeliste"/>
        <w:numPr>
          <w:ilvl w:val="1"/>
          <w:numId w:val="31"/>
        </w:numPr>
        <w:tabs>
          <w:tab w:val="left" w:pos="709"/>
        </w:tabs>
        <w:spacing w:line="360" w:lineRule="auto"/>
        <w:jc w:val="both"/>
        <w:rPr>
          <w:rFonts w:ascii="Arial" w:hAnsi="Arial" w:cs="Arial"/>
          <w:szCs w:val="22"/>
        </w:rPr>
      </w:pPr>
      <w:r w:rsidRPr="008E2A4C">
        <w:rPr>
          <w:rFonts w:ascii="Arial" w:hAnsi="Arial"/>
          <w:smallCaps/>
        </w:rPr>
        <w:t>La competencia</w:t>
      </w:r>
      <w:r w:rsidR="008E2A4C" w:rsidRPr="008E2A4C">
        <w:rPr>
          <w:rFonts w:ascii="Arial" w:hAnsi="Arial"/>
          <w:smallCaps/>
        </w:rPr>
        <w:t>.</w:t>
      </w:r>
      <w:r w:rsidR="008E2A4C">
        <w:rPr>
          <w:rFonts w:ascii="Arial" w:hAnsi="Arial"/>
          <w:smallCaps/>
        </w:rPr>
        <w:t xml:space="preserve"> </w:t>
      </w:r>
      <w:r w:rsidRPr="008E2A4C">
        <w:rPr>
          <w:rFonts w:ascii="Arial" w:hAnsi="Arial" w:cs="Arial"/>
        </w:rPr>
        <w:t xml:space="preserve">Este Tribunal es competente para conocer la acción en virtud del factor territorial, en razón al lugar donde ocurre la presunta violación, al tener </w:t>
      </w:r>
      <w:r w:rsidR="008E2A4C">
        <w:rPr>
          <w:rFonts w:ascii="Arial" w:hAnsi="Arial" w:cs="Arial"/>
        </w:rPr>
        <w:t xml:space="preserve">el </w:t>
      </w:r>
      <w:r w:rsidRPr="008E2A4C">
        <w:rPr>
          <w:rFonts w:ascii="Arial" w:hAnsi="Arial" w:cs="Arial"/>
        </w:rPr>
        <w:t>accionante su domicilio en este Distrito</w:t>
      </w:r>
      <w:r w:rsidR="00832CC5" w:rsidRPr="008E2A4C">
        <w:rPr>
          <w:rFonts w:ascii="Arial" w:hAnsi="Arial" w:cs="Arial"/>
        </w:rPr>
        <w:t xml:space="preserve">, </w:t>
      </w:r>
      <w:r w:rsidR="000E4EBE" w:rsidRPr="008E2A4C">
        <w:rPr>
          <w:rFonts w:ascii="Arial" w:hAnsi="Arial" w:cs="Arial"/>
        </w:rPr>
        <w:t xml:space="preserve">también, </w:t>
      </w:r>
      <w:r w:rsidR="00832CC5" w:rsidRPr="008E2A4C">
        <w:rPr>
          <w:rFonts w:ascii="Arial" w:hAnsi="Arial" w:cs="Arial"/>
        </w:rPr>
        <w:t xml:space="preserve">por el factor </w:t>
      </w:r>
      <w:r w:rsidR="000E4EBE" w:rsidRPr="008E2A4C">
        <w:rPr>
          <w:rFonts w:ascii="Arial" w:hAnsi="Arial" w:cs="Arial"/>
        </w:rPr>
        <w:t>orgánico,</w:t>
      </w:r>
      <w:r w:rsidR="00832CC5" w:rsidRPr="008E2A4C">
        <w:rPr>
          <w:rFonts w:ascii="Arial" w:hAnsi="Arial" w:cs="Arial"/>
        </w:rPr>
        <w:t xml:space="preserve"> dado que </w:t>
      </w:r>
      <w:r w:rsidR="00A3743E" w:rsidRPr="008E2A4C">
        <w:rPr>
          <w:rFonts w:ascii="Arial" w:hAnsi="Arial" w:cs="Arial"/>
        </w:rPr>
        <w:t xml:space="preserve">las accionadas </w:t>
      </w:r>
      <w:r w:rsidR="00832CC5" w:rsidRPr="008E2A4C">
        <w:rPr>
          <w:rFonts w:ascii="Arial" w:hAnsi="Arial" w:cs="Arial"/>
        </w:rPr>
        <w:t xml:space="preserve">son </w:t>
      </w:r>
      <w:r w:rsidRPr="008E2A4C">
        <w:rPr>
          <w:rFonts w:ascii="Arial" w:hAnsi="Arial" w:cs="Arial"/>
          <w:szCs w:val="22"/>
        </w:rPr>
        <w:t>autoridad</w:t>
      </w:r>
      <w:r w:rsidR="00832CC5" w:rsidRPr="008E2A4C">
        <w:rPr>
          <w:rFonts w:ascii="Arial" w:hAnsi="Arial" w:cs="Arial"/>
          <w:szCs w:val="22"/>
        </w:rPr>
        <w:t>es</w:t>
      </w:r>
      <w:r w:rsidRPr="008E2A4C">
        <w:rPr>
          <w:rFonts w:ascii="Arial" w:hAnsi="Arial" w:cs="Arial"/>
          <w:szCs w:val="22"/>
        </w:rPr>
        <w:t xml:space="preserve"> pública</w:t>
      </w:r>
      <w:r w:rsidR="00832CC5" w:rsidRPr="008E2A4C">
        <w:rPr>
          <w:rFonts w:ascii="Arial" w:hAnsi="Arial" w:cs="Arial"/>
          <w:szCs w:val="22"/>
        </w:rPr>
        <w:t>s</w:t>
      </w:r>
      <w:r w:rsidRPr="008E2A4C">
        <w:rPr>
          <w:rFonts w:ascii="Arial" w:hAnsi="Arial" w:cs="Arial"/>
          <w:szCs w:val="22"/>
        </w:rPr>
        <w:t xml:space="preserve"> del orden nacional (Artículos 1°, numeral 1° del Decreto 1382 del 2000).</w:t>
      </w:r>
    </w:p>
    <w:p w:rsidR="000E4EBE" w:rsidRDefault="000E4EBE" w:rsidP="00E06BFF">
      <w:pPr>
        <w:pStyle w:val="Retraitcorpsdetexte2"/>
        <w:spacing w:after="0" w:line="360" w:lineRule="auto"/>
        <w:ind w:left="0"/>
        <w:jc w:val="both"/>
        <w:rPr>
          <w:rFonts w:ascii="Arial" w:hAnsi="Arial" w:cs="Arial"/>
          <w:sz w:val="24"/>
          <w:szCs w:val="22"/>
        </w:rPr>
      </w:pPr>
    </w:p>
    <w:p w:rsidR="00B567E3" w:rsidRPr="008E2A4C" w:rsidRDefault="00B567E3" w:rsidP="00182573">
      <w:pPr>
        <w:pStyle w:val="Corpsdetexte"/>
        <w:numPr>
          <w:ilvl w:val="1"/>
          <w:numId w:val="31"/>
        </w:numPr>
        <w:spacing w:line="360" w:lineRule="auto"/>
        <w:rPr>
          <w:rFonts w:ascii="Arial" w:hAnsi="Arial" w:cs="Arial"/>
          <w:lang w:val="es-CO"/>
        </w:rPr>
      </w:pPr>
      <w:r w:rsidRPr="008E2A4C">
        <w:rPr>
          <w:rFonts w:ascii="Arial" w:hAnsi="Arial"/>
          <w:smallCaps/>
          <w:szCs w:val="24"/>
        </w:rPr>
        <w:t>El problema jurídico a resolver</w:t>
      </w:r>
      <w:r w:rsidR="008E2A4C" w:rsidRPr="008E2A4C">
        <w:rPr>
          <w:rFonts w:ascii="Arial" w:hAnsi="Arial"/>
          <w:smallCaps/>
          <w:szCs w:val="24"/>
        </w:rPr>
        <w:t>.</w:t>
      </w:r>
      <w:r w:rsidR="008E2A4C">
        <w:rPr>
          <w:rFonts w:ascii="Arial" w:hAnsi="Arial"/>
          <w:smallCaps/>
          <w:szCs w:val="24"/>
        </w:rPr>
        <w:t xml:space="preserve"> </w:t>
      </w:r>
      <w:r w:rsidRPr="008E2A4C">
        <w:rPr>
          <w:rFonts w:ascii="Arial" w:hAnsi="Arial" w:cs="Arial"/>
        </w:rPr>
        <w:t>¿Es procedente el amparo constitucional, como mecanismo transitorio, para conjurar la supuesta afectación de derechos fundamentales</w:t>
      </w:r>
      <w:r w:rsidR="008C6364" w:rsidRPr="008E2A4C">
        <w:rPr>
          <w:rFonts w:ascii="Arial" w:hAnsi="Arial" w:cs="Arial"/>
        </w:rPr>
        <w:t xml:space="preserve"> con ocasión de </w:t>
      </w:r>
      <w:r w:rsidR="008E2A4C">
        <w:rPr>
          <w:rFonts w:ascii="Arial" w:hAnsi="Arial" w:cs="Arial"/>
        </w:rPr>
        <w:t xml:space="preserve">la decisión administrativa de traslado tomada por la </w:t>
      </w:r>
      <w:proofErr w:type="spellStart"/>
      <w:r w:rsidR="008E2A4C">
        <w:rPr>
          <w:rFonts w:ascii="Arial" w:hAnsi="Arial" w:cs="Arial"/>
        </w:rPr>
        <w:t>Vicefiscalía</w:t>
      </w:r>
      <w:proofErr w:type="spellEnd"/>
      <w:r w:rsidR="008E2A4C">
        <w:rPr>
          <w:rFonts w:ascii="Arial" w:hAnsi="Arial" w:cs="Arial"/>
        </w:rPr>
        <w:t xml:space="preserve"> General de la Nación</w:t>
      </w:r>
      <w:r w:rsidRPr="008E2A4C">
        <w:rPr>
          <w:rFonts w:ascii="Arial" w:hAnsi="Arial" w:cs="Arial"/>
        </w:rPr>
        <w:t>?</w:t>
      </w:r>
    </w:p>
    <w:p w:rsidR="00B567E3" w:rsidRPr="00F06C11"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0E4EBE" w:rsidRPr="008E2A4C" w:rsidRDefault="000E4EBE" w:rsidP="000E4EBE">
      <w:pPr>
        <w:pStyle w:val="Corpsdetexte"/>
        <w:numPr>
          <w:ilvl w:val="1"/>
          <w:numId w:val="31"/>
        </w:numPr>
        <w:tabs>
          <w:tab w:val="clear" w:pos="708"/>
          <w:tab w:val="clear" w:pos="1416"/>
          <w:tab w:val="left" w:pos="709"/>
          <w:tab w:val="left" w:pos="1418"/>
        </w:tabs>
        <w:spacing w:line="360" w:lineRule="auto"/>
        <w:rPr>
          <w:rFonts w:ascii="Arial" w:hAnsi="Arial"/>
          <w:smallCaps/>
          <w:szCs w:val="24"/>
        </w:rPr>
      </w:pPr>
      <w:r w:rsidRPr="008E2A4C">
        <w:rPr>
          <w:rFonts w:ascii="Arial" w:hAnsi="Arial"/>
          <w:smallCaps/>
          <w:szCs w:val="24"/>
        </w:rPr>
        <w:t>Los presupuestos generales de procedencia</w:t>
      </w:r>
    </w:p>
    <w:p w:rsidR="000E4EBE" w:rsidRDefault="000E4EBE" w:rsidP="000E4EBE">
      <w:pPr>
        <w:pStyle w:val="Sansinterligne"/>
        <w:spacing w:line="360" w:lineRule="auto"/>
        <w:jc w:val="both"/>
        <w:rPr>
          <w:rFonts w:ascii="Arial" w:hAnsi="Arial" w:cs="Arial"/>
          <w:szCs w:val="24"/>
        </w:rPr>
      </w:pPr>
    </w:p>
    <w:p w:rsidR="000E4EBE" w:rsidRPr="001C33DC" w:rsidRDefault="000E4EBE" w:rsidP="000E4EBE">
      <w:pPr>
        <w:pStyle w:val="Paragraphedeliste"/>
        <w:numPr>
          <w:ilvl w:val="2"/>
          <w:numId w:val="31"/>
        </w:numPr>
        <w:spacing w:line="360" w:lineRule="auto"/>
        <w:jc w:val="both"/>
        <w:rPr>
          <w:rFonts w:ascii="Arial" w:hAnsi="Arial"/>
          <w:smallCaps/>
        </w:rPr>
      </w:pPr>
      <w:r w:rsidRPr="001C33DC">
        <w:rPr>
          <w:rFonts w:ascii="Arial" w:hAnsi="Arial"/>
          <w:smallCaps/>
          <w:sz w:val="22"/>
        </w:rPr>
        <w:t>La legitimación en la causa</w:t>
      </w:r>
    </w:p>
    <w:p w:rsidR="000E4EBE" w:rsidRPr="00407788" w:rsidRDefault="000E4EBE" w:rsidP="000E4EBE">
      <w:pPr>
        <w:pStyle w:val="Corpsdetexte"/>
        <w:numPr>
          <w:ilvl w:val="1"/>
          <w:numId w:val="1"/>
        </w:numPr>
        <w:spacing w:line="360" w:lineRule="auto"/>
        <w:ind w:left="720" w:hanging="720"/>
        <w:rPr>
          <w:rFonts w:ascii="Arial" w:hAnsi="Arial"/>
          <w:szCs w:val="24"/>
        </w:rPr>
      </w:pPr>
    </w:p>
    <w:p w:rsidR="000E4EBE" w:rsidRDefault="000E4EBE" w:rsidP="000E4EBE">
      <w:pPr>
        <w:pStyle w:val="Corpsdetexte"/>
        <w:spacing w:line="360" w:lineRule="auto"/>
        <w:rPr>
          <w:rFonts w:ascii="Arial" w:hAnsi="Arial" w:cs="Arial"/>
          <w:szCs w:val="22"/>
        </w:rPr>
      </w:pPr>
      <w:r w:rsidRPr="008F2E47">
        <w:rPr>
          <w:rFonts w:ascii="Arial" w:hAnsi="Arial" w:cs="Arial"/>
          <w:szCs w:val="22"/>
        </w:rPr>
        <w:t xml:space="preserve">Por activa se cumple en consideración a que </w:t>
      </w:r>
      <w:r>
        <w:rPr>
          <w:rFonts w:ascii="Arial" w:hAnsi="Arial" w:cs="Arial"/>
          <w:szCs w:val="22"/>
        </w:rPr>
        <w:t xml:space="preserve">el señor </w:t>
      </w:r>
      <w:r w:rsidR="008E2A4C">
        <w:rPr>
          <w:rFonts w:ascii="Arial" w:hAnsi="Arial" w:cs="Arial"/>
          <w:szCs w:val="22"/>
        </w:rPr>
        <w:t xml:space="preserve">César Albeiro Vaca </w:t>
      </w:r>
      <w:proofErr w:type="spellStart"/>
      <w:r w:rsidR="008E2A4C">
        <w:rPr>
          <w:rFonts w:ascii="Arial" w:hAnsi="Arial" w:cs="Arial"/>
          <w:szCs w:val="22"/>
        </w:rPr>
        <w:t>Urrego</w:t>
      </w:r>
      <w:proofErr w:type="spellEnd"/>
      <w:r w:rsidRPr="00B95F25">
        <w:rPr>
          <w:rFonts w:ascii="Arial" w:hAnsi="Arial" w:cs="Arial"/>
          <w:szCs w:val="24"/>
        </w:rPr>
        <w:t xml:space="preserve"> </w:t>
      </w:r>
      <w:r w:rsidR="008E2A4C">
        <w:rPr>
          <w:rFonts w:ascii="Arial" w:hAnsi="Arial" w:cs="Arial"/>
          <w:szCs w:val="24"/>
        </w:rPr>
        <w:t>fue la persona objeto del traslado laboral que aquí se cuestiona y el señor Sebastián Vaca Amaya por cuenta de que convive con su padre y afirma que aquella determinación afecta sus derechos a la unidad familiar y a la educación</w:t>
      </w:r>
      <w:r w:rsidRPr="008F2E47">
        <w:rPr>
          <w:rFonts w:ascii="Arial" w:hAnsi="Arial" w:cs="Arial"/>
          <w:szCs w:val="22"/>
        </w:rPr>
        <w:t>.</w:t>
      </w:r>
      <w:r>
        <w:rPr>
          <w:rFonts w:ascii="Arial" w:hAnsi="Arial" w:cs="Arial"/>
          <w:szCs w:val="22"/>
        </w:rPr>
        <w:t xml:space="preserve"> </w:t>
      </w:r>
      <w:r w:rsidRPr="008F2E47">
        <w:rPr>
          <w:rFonts w:ascii="Arial" w:hAnsi="Arial" w:cs="Arial"/>
          <w:szCs w:val="22"/>
        </w:rPr>
        <w:t xml:space="preserve">Por pasiva, </w:t>
      </w:r>
      <w:r w:rsidR="008E2A4C">
        <w:rPr>
          <w:rFonts w:ascii="Arial" w:hAnsi="Arial" w:cs="Arial"/>
          <w:szCs w:val="22"/>
        </w:rPr>
        <w:t xml:space="preserve">la </w:t>
      </w:r>
      <w:proofErr w:type="spellStart"/>
      <w:r w:rsidR="008E2A4C">
        <w:rPr>
          <w:rFonts w:ascii="Arial" w:hAnsi="Arial" w:cs="Arial"/>
          <w:szCs w:val="22"/>
        </w:rPr>
        <w:t>Vicefiscalía</w:t>
      </w:r>
      <w:proofErr w:type="spellEnd"/>
      <w:r w:rsidR="008E2A4C">
        <w:rPr>
          <w:rFonts w:ascii="Arial" w:hAnsi="Arial" w:cs="Arial"/>
          <w:szCs w:val="22"/>
        </w:rPr>
        <w:t xml:space="preserve"> General de la Nación</w:t>
      </w:r>
      <w:r w:rsidR="00725BFB">
        <w:rPr>
          <w:rFonts w:ascii="Arial" w:hAnsi="Arial" w:cs="Arial"/>
          <w:szCs w:val="22"/>
        </w:rPr>
        <w:t xml:space="preserve">, porque </w:t>
      </w:r>
      <w:r w:rsidR="008A1A1B">
        <w:rPr>
          <w:rFonts w:ascii="Arial" w:hAnsi="Arial" w:cs="Arial"/>
          <w:szCs w:val="22"/>
        </w:rPr>
        <w:t xml:space="preserve">emitió el acto administrativo </w:t>
      </w:r>
      <w:r w:rsidR="008E2A4C">
        <w:rPr>
          <w:rFonts w:ascii="Arial" w:hAnsi="Arial" w:cs="Arial"/>
          <w:szCs w:val="22"/>
        </w:rPr>
        <w:t xml:space="preserve">de traslado </w:t>
      </w:r>
      <w:r>
        <w:rPr>
          <w:rFonts w:ascii="Arial" w:hAnsi="Arial" w:cs="Arial"/>
          <w:szCs w:val="22"/>
        </w:rPr>
        <w:t>(</w:t>
      </w:r>
      <w:r w:rsidR="008E2A4C">
        <w:rPr>
          <w:rFonts w:ascii="Arial" w:hAnsi="Arial" w:cs="Arial"/>
          <w:szCs w:val="22"/>
          <w:lang w:val="es-CO"/>
        </w:rPr>
        <w:t xml:space="preserve">Folios 19 y 20, ib.), no sucede lo mismo con la FGN, si bien le compete tomar ese tipo de determinaciones (Artículo 4º-26 del Decreto 016 de 09-01-2014), también lo es que delegó dicha función a la aludida dependencia </w:t>
      </w:r>
      <w:r w:rsidR="008E2A4C">
        <w:rPr>
          <w:rFonts w:ascii="Arial" w:hAnsi="Arial" w:cs="Arial"/>
          <w:szCs w:val="22"/>
        </w:rPr>
        <w:t>(</w:t>
      </w:r>
      <w:r w:rsidR="00606376">
        <w:rPr>
          <w:rFonts w:ascii="Arial" w:hAnsi="Arial" w:cs="Arial"/>
          <w:szCs w:val="22"/>
        </w:rPr>
        <w:t>Artículo 3º-b de la Resolución 0-0191 de 23-01-2017)</w:t>
      </w:r>
      <w:r>
        <w:rPr>
          <w:rFonts w:ascii="Arial" w:hAnsi="Arial" w:cs="Arial"/>
          <w:szCs w:val="22"/>
        </w:rPr>
        <w:t>.</w:t>
      </w:r>
    </w:p>
    <w:p w:rsidR="00386A76" w:rsidRPr="001C33DC" w:rsidRDefault="00386A76" w:rsidP="001C33DC">
      <w:pPr>
        <w:pStyle w:val="Paragraphedeliste"/>
        <w:numPr>
          <w:ilvl w:val="2"/>
          <w:numId w:val="31"/>
        </w:numPr>
        <w:spacing w:line="360" w:lineRule="auto"/>
        <w:jc w:val="both"/>
        <w:rPr>
          <w:rFonts w:ascii="Arial" w:hAnsi="Arial"/>
          <w:smallCaps/>
        </w:rPr>
      </w:pPr>
      <w:r w:rsidRPr="001C33DC">
        <w:rPr>
          <w:rFonts w:ascii="Arial" w:hAnsi="Arial"/>
          <w:smallCaps/>
          <w:sz w:val="22"/>
        </w:rPr>
        <w:lastRenderedPageBreak/>
        <w:t>La inmediatez y la subsidiariedad</w:t>
      </w:r>
    </w:p>
    <w:p w:rsidR="00386A76" w:rsidRPr="00C3390C" w:rsidRDefault="00386A76" w:rsidP="00E06BFF">
      <w:pPr>
        <w:pStyle w:val="Sansinterligne"/>
        <w:spacing w:line="360" w:lineRule="auto"/>
        <w:jc w:val="both"/>
        <w:rPr>
          <w:rFonts w:ascii="Arial" w:hAnsi="Arial" w:cs="Arial"/>
          <w:szCs w:val="24"/>
        </w:rPr>
      </w:pPr>
    </w:p>
    <w:p w:rsidR="00E06BFF" w:rsidRPr="00C3390C" w:rsidRDefault="00E06BFF" w:rsidP="00E06BFF">
      <w:pPr>
        <w:pStyle w:val="Sansinterligne"/>
        <w:spacing w:line="360" w:lineRule="auto"/>
        <w:jc w:val="both"/>
        <w:rPr>
          <w:rFonts w:ascii="Arial" w:hAnsi="Arial" w:cs="Arial"/>
          <w:szCs w:val="24"/>
        </w:rPr>
      </w:pPr>
      <w:r w:rsidRPr="00C3390C">
        <w:rPr>
          <w:rFonts w:ascii="Arial" w:hAnsi="Arial" w:cs="Arial"/>
          <w:szCs w:val="24"/>
        </w:rPr>
        <w:t xml:space="preserve">El artículo 86 de </w:t>
      </w:r>
      <w:smartTag w:uri="urn:schemas-microsoft-com:office:smarttags" w:element="PersonName">
        <w:smartTagPr>
          <w:attr w:name="ProductID" w:val="la Constituci￳n Pol￭tica"/>
        </w:smartTagPr>
        <w:r w:rsidRPr="00C3390C">
          <w:rPr>
            <w:rFonts w:ascii="Arial" w:hAnsi="Arial" w:cs="Arial"/>
            <w:szCs w:val="24"/>
          </w:rPr>
          <w:t>la Constitución Política</w:t>
        </w:r>
      </w:smartTag>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27D70">
        <w:rPr>
          <w:rFonts w:ascii="Arial" w:hAnsi="Arial" w:cs="Arial"/>
          <w:i/>
          <w:sz w:val="22"/>
          <w:szCs w:val="24"/>
        </w:rPr>
        <w:t>“(…) solo procederá cuando el afectado no disponga de otro medio de defensa judicial, salvo que aquella se utilice como mecanismo transitorio para evitar un perjuicio irremediable.”.</w:t>
      </w:r>
      <w:r w:rsidRPr="00027D70">
        <w:rPr>
          <w:rFonts w:ascii="Arial" w:hAnsi="Arial" w:cs="Arial"/>
          <w:sz w:val="22"/>
          <w:szCs w:val="24"/>
        </w:rPr>
        <w:t xml:space="preserve"> </w:t>
      </w:r>
    </w:p>
    <w:p w:rsidR="00E06BFF" w:rsidRPr="00D31C92" w:rsidRDefault="00E06BFF" w:rsidP="00E06BFF">
      <w:pPr>
        <w:pStyle w:val="Sansinterligne"/>
        <w:spacing w:line="360" w:lineRule="auto"/>
        <w:jc w:val="both"/>
        <w:rPr>
          <w:rFonts w:ascii="Arial" w:hAnsi="Arial" w:cs="Arial"/>
          <w:noProof/>
          <w:sz w:val="20"/>
          <w:szCs w:val="24"/>
        </w:rPr>
      </w:pPr>
    </w:p>
    <w:p w:rsidR="00E06BFF" w:rsidRDefault="00E06BFF" w:rsidP="00E06BFF">
      <w:pPr>
        <w:pStyle w:val="Sansinterligne"/>
        <w:spacing w:line="360" w:lineRule="auto"/>
        <w:jc w:val="both"/>
        <w:rPr>
          <w:rFonts w:ascii="Arial" w:hAnsi="Arial" w:cs="Arial"/>
        </w:rPr>
      </w:pPr>
      <w:r w:rsidRPr="00C3390C">
        <w:rPr>
          <w:rFonts w:ascii="Arial" w:hAnsi="Arial" w:cs="Arial"/>
          <w:noProof/>
          <w:szCs w:val="24"/>
        </w:rPr>
        <w:t xml:space="preserve">Nuestra </w:t>
      </w:r>
      <w:r w:rsidR="00606376">
        <w:rPr>
          <w:rFonts w:ascii="Arial" w:hAnsi="Arial" w:cs="Arial"/>
          <w:noProof/>
          <w:szCs w:val="24"/>
        </w:rPr>
        <w:t xml:space="preserve">CC </w:t>
      </w:r>
      <w:r w:rsidRPr="00C3390C">
        <w:rPr>
          <w:rFonts w:ascii="Arial" w:hAnsi="Arial" w:cs="Arial"/>
          <w:noProof/>
          <w:szCs w:val="24"/>
        </w:rPr>
        <w:t>tiene establecido que</w:t>
      </w:r>
      <w:r w:rsidR="00E0756B">
        <w:rPr>
          <w:rFonts w:ascii="Arial" w:hAnsi="Arial" w:cs="Arial"/>
          <w:noProof/>
          <w:szCs w:val="24"/>
        </w:rPr>
        <w:t>:</w:t>
      </w:r>
      <w:r w:rsidRPr="00C3390C">
        <w:rPr>
          <w:rFonts w:ascii="Arial" w:hAnsi="Arial" w:cs="Arial"/>
          <w:noProof/>
          <w:szCs w:val="24"/>
        </w:rPr>
        <w:t xml:space="preserv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2"/>
      </w:r>
      <w:r w:rsidRPr="00C3390C">
        <w:rPr>
          <w:rFonts w:ascii="Arial" w:hAnsi="Arial" w:cs="Arial"/>
          <w:noProof/>
          <w:szCs w:val="24"/>
        </w:rPr>
        <w:t>.</w:t>
      </w:r>
      <w:r>
        <w:rPr>
          <w:rFonts w:ascii="Arial" w:hAnsi="Arial" w:cs="Arial"/>
          <w:noProof/>
          <w:szCs w:val="24"/>
          <w:lang w:val="es-CO"/>
        </w:rPr>
        <w:t xml:space="preserve"> </w:t>
      </w:r>
    </w:p>
    <w:p w:rsidR="00E06BFF" w:rsidRPr="00D31C92" w:rsidRDefault="00E06BFF" w:rsidP="00E06BFF">
      <w:pPr>
        <w:spacing w:line="360" w:lineRule="auto"/>
        <w:jc w:val="both"/>
        <w:rPr>
          <w:rFonts w:ascii="Arial" w:hAnsi="Arial" w:cs="Arial"/>
          <w:sz w:val="20"/>
        </w:rPr>
      </w:pPr>
    </w:p>
    <w:p w:rsidR="00386A76" w:rsidRPr="008A4FAF" w:rsidRDefault="00E06BFF" w:rsidP="00386A76">
      <w:pPr>
        <w:spacing w:line="360" w:lineRule="auto"/>
        <w:ind w:right="51"/>
        <w:jc w:val="both"/>
        <w:rPr>
          <w:rFonts w:ascii="Arial" w:hAnsi="Arial" w:cs="Arial"/>
          <w:bCs/>
        </w:rPr>
      </w:pPr>
      <w:r>
        <w:rPr>
          <w:rFonts w:ascii="Arial" w:hAnsi="Arial" w:cs="Arial"/>
        </w:rPr>
        <w:t xml:space="preserve">El presupuesto de la inmediatez, </w:t>
      </w:r>
      <w:r>
        <w:rPr>
          <w:rFonts w:ascii="Arial" w:hAnsi="Arial" w:cs="Arial"/>
          <w:noProof/>
          <w:szCs w:val="22"/>
        </w:rPr>
        <w:t xml:space="preserve">no merece reparo, pues la acción se formuló dentro de los seis (6) meses siguientes a los hechos supuestamente violatarios, que es el plazo general, </w:t>
      </w:r>
      <w:r w:rsidR="00DC3B4F">
        <w:rPr>
          <w:rFonts w:ascii="Arial" w:hAnsi="Arial" w:cs="Arial"/>
          <w:noProof/>
          <w:szCs w:val="22"/>
          <w:lang w:val="es-CO"/>
        </w:rPr>
        <w:t>fijado por la doctrina constitucional</w:t>
      </w:r>
      <w:r w:rsidR="00276D37" w:rsidRPr="00276D37">
        <w:rPr>
          <w:rFonts w:ascii="Arial" w:hAnsi="Arial" w:cs="Arial"/>
          <w:noProof/>
          <w:szCs w:val="22"/>
          <w:vertAlign w:val="superscript"/>
          <w:lang w:val="es-CO"/>
        </w:rPr>
        <w:footnoteReference w:id="3"/>
      </w:r>
      <w:r>
        <w:rPr>
          <w:rFonts w:ascii="Arial" w:hAnsi="Arial" w:cs="Arial"/>
          <w:noProof/>
          <w:szCs w:val="22"/>
        </w:rPr>
        <w:t xml:space="preserve">; nótese que </w:t>
      </w:r>
      <w:r w:rsidR="00276D37">
        <w:rPr>
          <w:rFonts w:ascii="Arial" w:hAnsi="Arial" w:cs="Arial"/>
          <w:noProof/>
          <w:szCs w:val="22"/>
        </w:rPr>
        <w:t xml:space="preserve">el </w:t>
      </w:r>
      <w:r w:rsidR="00606376">
        <w:rPr>
          <w:rFonts w:ascii="Arial" w:hAnsi="Arial" w:cs="Arial"/>
          <w:noProof/>
          <w:szCs w:val="22"/>
        </w:rPr>
        <w:t xml:space="preserve">acto administrativo fue notificado el 04-05-2017 </w:t>
      </w:r>
      <w:r>
        <w:rPr>
          <w:rFonts w:ascii="Arial" w:hAnsi="Arial" w:cs="Arial"/>
          <w:noProof/>
          <w:szCs w:val="22"/>
        </w:rPr>
        <w:t>(Folio</w:t>
      </w:r>
      <w:r w:rsidR="00606376">
        <w:rPr>
          <w:rFonts w:ascii="Arial" w:hAnsi="Arial" w:cs="Arial"/>
          <w:noProof/>
          <w:szCs w:val="22"/>
        </w:rPr>
        <w:t xml:space="preserve"> 21</w:t>
      </w:r>
      <w:r w:rsidR="00E0756B">
        <w:rPr>
          <w:rFonts w:ascii="Arial" w:hAnsi="Arial" w:cs="Arial"/>
          <w:noProof/>
          <w:szCs w:val="22"/>
        </w:rPr>
        <w:t>, ib.)</w:t>
      </w:r>
      <w:r>
        <w:rPr>
          <w:rFonts w:ascii="Arial" w:hAnsi="Arial" w:cs="Arial"/>
          <w:noProof/>
          <w:szCs w:val="22"/>
        </w:rPr>
        <w:t xml:space="preserve"> y la tutela se radicó el </w:t>
      </w:r>
      <w:r w:rsidR="00606376">
        <w:rPr>
          <w:rFonts w:ascii="Arial" w:hAnsi="Arial" w:cs="Arial"/>
          <w:noProof/>
          <w:szCs w:val="22"/>
        </w:rPr>
        <w:t xml:space="preserve">09-05-2017 </w:t>
      </w:r>
      <w:r>
        <w:rPr>
          <w:rFonts w:ascii="Arial" w:hAnsi="Arial" w:cs="Arial"/>
          <w:noProof/>
          <w:szCs w:val="22"/>
        </w:rPr>
        <w:t>(Folio</w:t>
      </w:r>
      <w:r w:rsidR="00E0756B">
        <w:rPr>
          <w:rFonts w:ascii="Arial" w:hAnsi="Arial" w:cs="Arial"/>
          <w:noProof/>
          <w:szCs w:val="22"/>
        </w:rPr>
        <w:t xml:space="preserve"> </w:t>
      </w:r>
      <w:r w:rsidR="00606376">
        <w:rPr>
          <w:rFonts w:ascii="Arial" w:hAnsi="Arial" w:cs="Arial"/>
          <w:noProof/>
          <w:szCs w:val="22"/>
        </w:rPr>
        <w:t>18</w:t>
      </w:r>
      <w:r w:rsidR="00E0756B">
        <w:rPr>
          <w:rFonts w:ascii="Arial" w:hAnsi="Arial" w:cs="Arial"/>
          <w:noProof/>
          <w:szCs w:val="22"/>
        </w:rPr>
        <w:t>, ib.</w:t>
      </w:r>
      <w:r>
        <w:rPr>
          <w:rFonts w:ascii="Arial" w:hAnsi="Arial" w:cs="Arial"/>
          <w:noProof/>
          <w:szCs w:val="22"/>
        </w:rPr>
        <w:t xml:space="preserve">). </w:t>
      </w:r>
      <w:r w:rsidR="00386A76">
        <w:rPr>
          <w:rFonts w:ascii="Arial" w:hAnsi="Arial" w:cs="Arial"/>
          <w:noProof/>
          <w:szCs w:val="22"/>
          <w:lang w:val="es-CO"/>
        </w:rPr>
        <w:t xml:space="preserve">En cambio la </w:t>
      </w:r>
      <w:r w:rsidR="00386A76" w:rsidRPr="00AD2F16">
        <w:rPr>
          <w:rFonts w:ascii="Arial" w:hAnsi="Arial" w:cs="Arial"/>
          <w:iCs/>
          <w:noProof/>
        </w:rPr>
        <w:t>subsidiariedad</w:t>
      </w:r>
      <w:r w:rsidR="00386A76" w:rsidRPr="00AD2F16">
        <w:rPr>
          <w:rFonts w:ascii="Arial" w:hAnsi="Arial" w:cs="Arial"/>
          <w:noProof/>
        </w:rPr>
        <w:t xml:space="preserve"> </w:t>
      </w:r>
      <w:r w:rsidR="00386A76">
        <w:rPr>
          <w:rFonts w:ascii="Arial" w:hAnsi="Arial" w:cs="Arial"/>
          <w:noProof/>
          <w:szCs w:val="22"/>
          <w:lang w:val="es-CO"/>
        </w:rPr>
        <w:t>esta incumplida, tal como pasará a explicarse.</w:t>
      </w:r>
    </w:p>
    <w:p w:rsidR="00E06BFF" w:rsidRPr="003A3570" w:rsidRDefault="00E06BFF" w:rsidP="00E06BFF">
      <w:pPr>
        <w:pStyle w:val="Corpsdetexte"/>
        <w:tabs>
          <w:tab w:val="clear" w:pos="708"/>
          <w:tab w:val="clear" w:pos="1416"/>
          <w:tab w:val="left" w:pos="709"/>
          <w:tab w:val="left" w:pos="1418"/>
        </w:tabs>
        <w:spacing w:line="360" w:lineRule="auto"/>
        <w:ind w:left="720"/>
        <w:rPr>
          <w:rFonts w:ascii="Arial" w:hAnsi="Arial"/>
          <w:szCs w:val="24"/>
        </w:rPr>
      </w:pPr>
    </w:p>
    <w:p w:rsidR="00E06BFF" w:rsidRPr="00606376" w:rsidRDefault="00606376" w:rsidP="00182573">
      <w:pPr>
        <w:pStyle w:val="Corpsdetexte"/>
        <w:numPr>
          <w:ilvl w:val="2"/>
          <w:numId w:val="31"/>
        </w:numPr>
        <w:spacing w:line="360" w:lineRule="auto"/>
        <w:rPr>
          <w:rFonts w:ascii="Arial" w:hAnsi="Arial" w:cs="Arial"/>
          <w:szCs w:val="22"/>
        </w:rPr>
      </w:pPr>
      <w:r w:rsidRPr="001C33DC">
        <w:rPr>
          <w:rFonts w:ascii="Arial" w:hAnsi="Arial" w:cs="Arial"/>
          <w:smallCaps/>
          <w:sz w:val="22"/>
          <w:szCs w:val="22"/>
        </w:rPr>
        <w:t xml:space="preserve">la tutela como mecanismo para controvertir decisiones de traslado </w:t>
      </w:r>
    </w:p>
    <w:p w:rsidR="00606376" w:rsidRPr="00606376" w:rsidRDefault="00606376" w:rsidP="00606376">
      <w:pPr>
        <w:pStyle w:val="Corpsdetexte"/>
        <w:spacing w:line="360" w:lineRule="auto"/>
        <w:ind w:left="720"/>
        <w:rPr>
          <w:rFonts w:ascii="Arial" w:hAnsi="Arial" w:cs="Arial"/>
          <w:szCs w:val="22"/>
        </w:rPr>
      </w:pPr>
    </w:p>
    <w:p w:rsidR="00E06BFF" w:rsidRPr="00A474AF" w:rsidRDefault="00E06BFF" w:rsidP="00E06BFF">
      <w:pPr>
        <w:pStyle w:val="Corpsdetexte"/>
        <w:spacing w:line="360" w:lineRule="auto"/>
        <w:rPr>
          <w:rFonts w:ascii="Arial" w:hAnsi="Arial" w:cs="Arial"/>
          <w:szCs w:val="22"/>
        </w:rPr>
      </w:pPr>
      <w:r w:rsidRPr="008F2E47">
        <w:rPr>
          <w:rFonts w:ascii="Arial" w:hAnsi="Arial" w:cs="Arial"/>
          <w:szCs w:val="22"/>
        </w:rPr>
        <w:t>El debido proceso es de contenido constitucional, está consagrado principalmente en el artículo 29 de la Carta Política e implica necesariamen</w:t>
      </w:r>
      <w:r>
        <w:rPr>
          <w:rFonts w:ascii="Arial" w:hAnsi="Arial" w:cs="Arial"/>
          <w:szCs w:val="22"/>
        </w:rPr>
        <w:t>te tener la posibilidad de (i) C</w:t>
      </w:r>
      <w:r w:rsidRPr="008F2E47">
        <w:rPr>
          <w:rFonts w:ascii="Arial" w:hAnsi="Arial" w:cs="Arial"/>
          <w:szCs w:val="22"/>
        </w:rPr>
        <w:t xml:space="preserve">onocer a quien investiga, (ii) </w:t>
      </w:r>
      <w:r>
        <w:rPr>
          <w:rFonts w:ascii="Arial" w:hAnsi="Arial" w:cs="Arial"/>
          <w:szCs w:val="22"/>
        </w:rPr>
        <w:t>P</w:t>
      </w:r>
      <w:r w:rsidRPr="008F2E47">
        <w:rPr>
          <w:rFonts w:ascii="Arial" w:hAnsi="Arial" w:cs="Arial"/>
          <w:szCs w:val="22"/>
        </w:rPr>
        <w:t>oder controvertir la</w:t>
      </w:r>
      <w:r>
        <w:rPr>
          <w:rFonts w:ascii="Arial" w:hAnsi="Arial" w:cs="Arial"/>
          <w:szCs w:val="22"/>
        </w:rPr>
        <w:t>s</w:t>
      </w:r>
      <w:r w:rsidRPr="008F2E47">
        <w:rPr>
          <w:rFonts w:ascii="Arial" w:hAnsi="Arial" w:cs="Arial"/>
          <w:szCs w:val="22"/>
        </w:rPr>
        <w:t xml:space="preserve"> probanzas que se tengan en cuenta para adoptar las decisiones, (iii) </w:t>
      </w:r>
      <w:r>
        <w:rPr>
          <w:rFonts w:ascii="Arial" w:hAnsi="Arial" w:cs="Arial"/>
          <w:szCs w:val="22"/>
        </w:rPr>
        <w:t>A</w:t>
      </w:r>
      <w:r w:rsidRPr="008F2E47">
        <w:rPr>
          <w:rFonts w:ascii="Arial" w:hAnsi="Arial" w:cs="Arial"/>
          <w:szCs w:val="22"/>
        </w:rPr>
        <w:t xml:space="preserve">portar el material probatorio que se estime del caso, (iv) </w:t>
      </w:r>
      <w:r>
        <w:rPr>
          <w:rFonts w:ascii="Arial" w:hAnsi="Arial" w:cs="Arial"/>
          <w:szCs w:val="22"/>
        </w:rPr>
        <w:t>T</w:t>
      </w:r>
      <w:r w:rsidRPr="008F2E47">
        <w:rPr>
          <w:rFonts w:ascii="Arial" w:hAnsi="Arial" w:cs="Arial"/>
          <w:szCs w:val="22"/>
        </w:rPr>
        <w:t xml:space="preserve">ener acceso al expediente o actuación, (v) </w:t>
      </w:r>
      <w:r>
        <w:rPr>
          <w:rFonts w:ascii="Arial" w:hAnsi="Arial" w:cs="Arial"/>
          <w:szCs w:val="22"/>
        </w:rPr>
        <w:t>C</w:t>
      </w:r>
      <w:r w:rsidRPr="008F2E47">
        <w:rPr>
          <w:rFonts w:ascii="Arial" w:hAnsi="Arial" w:cs="Arial"/>
          <w:szCs w:val="22"/>
        </w:rPr>
        <w:t xml:space="preserve">onocer las fases que ha de seguir el trámite de la investigación adelantada en su contra, (vi) </w:t>
      </w:r>
      <w:r>
        <w:rPr>
          <w:rFonts w:ascii="Arial" w:hAnsi="Arial" w:cs="Arial"/>
          <w:szCs w:val="22"/>
        </w:rPr>
        <w:t>P</w:t>
      </w:r>
      <w:r w:rsidRPr="008F2E47">
        <w:rPr>
          <w:rFonts w:ascii="Arial" w:hAnsi="Arial" w:cs="Arial"/>
          <w:szCs w:val="22"/>
        </w:rPr>
        <w:t xml:space="preserve">oder presentar alegaciones para la defensa de los intereses propios; aspectos que constituyen sus principios integradores, así lo entiende la </w:t>
      </w:r>
      <w:r w:rsidR="001619BD">
        <w:rPr>
          <w:rFonts w:ascii="Arial" w:hAnsi="Arial" w:cs="Arial"/>
          <w:szCs w:val="22"/>
        </w:rPr>
        <w:t>CC</w:t>
      </w:r>
      <w:r w:rsidRPr="00A474AF">
        <w:rPr>
          <w:rStyle w:val="Appelnotedebasdep"/>
          <w:rFonts w:ascii="Arial" w:hAnsi="Arial" w:cs="Arial"/>
          <w:szCs w:val="22"/>
        </w:rPr>
        <w:footnoteReference w:id="4"/>
      </w:r>
      <w:r w:rsidRPr="00A474AF">
        <w:rPr>
          <w:rFonts w:ascii="Arial" w:hAnsi="Arial" w:cs="Arial"/>
          <w:szCs w:val="22"/>
        </w:rPr>
        <w:t>, en análisis que hace el profesor Bernal Pulido</w:t>
      </w:r>
      <w:r w:rsidRPr="00A474AF">
        <w:rPr>
          <w:rStyle w:val="Appelnotedebasdep"/>
          <w:rFonts w:ascii="Arial" w:hAnsi="Arial" w:cs="Arial"/>
          <w:szCs w:val="22"/>
        </w:rPr>
        <w:footnoteReference w:id="5"/>
      </w:r>
      <w:r w:rsidRPr="00A474AF">
        <w:rPr>
          <w:rFonts w:ascii="Arial" w:hAnsi="Arial" w:cs="Arial"/>
          <w:szCs w:val="22"/>
        </w:rPr>
        <w:t xml:space="preserve"> en su obra.</w:t>
      </w:r>
      <w:r w:rsidR="001619BD">
        <w:rPr>
          <w:rFonts w:ascii="Arial" w:hAnsi="Arial" w:cs="Arial"/>
          <w:szCs w:val="22"/>
        </w:rPr>
        <w:t xml:space="preserve"> Criterio ampliado y desarrollado</w:t>
      </w:r>
      <w:r w:rsidR="008D32DD">
        <w:rPr>
          <w:rFonts w:ascii="Arial" w:hAnsi="Arial" w:cs="Arial"/>
          <w:szCs w:val="22"/>
        </w:rPr>
        <w:t xml:space="preserve"> por la jurisprudencia constitucional</w:t>
      </w:r>
      <w:r w:rsidR="001619BD">
        <w:rPr>
          <w:rStyle w:val="Appelnotedebasdep"/>
          <w:rFonts w:ascii="Arial" w:hAnsi="Arial"/>
          <w:szCs w:val="22"/>
        </w:rPr>
        <w:footnoteReference w:id="6"/>
      </w:r>
      <w:r w:rsidR="001619BD">
        <w:rPr>
          <w:rFonts w:ascii="Arial" w:hAnsi="Arial" w:cs="Arial"/>
          <w:szCs w:val="22"/>
        </w:rPr>
        <w:t>.</w:t>
      </w:r>
    </w:p>
    <w:p w:rsidR="00E06BFF" w:rsidRPr="003A3570" w:rsidRDefault="00E06BFF" w:rsidP="00E06BFF">
      <w:pPr>
        <w:pStyle w:val="Corpsdetexte"/>
        <w:spacing w:line="360" w:lineRule="auto"/>
        <w:ind w:left="708" w:hanging="708"/>
        <w:rPr>
          <w:rFonts w:ascii="Arial" w:hAnsi="Arial" w:cs="Arial"/>
          <w:szCs w:val="24"/>
        </w:rPr>
      </w:pPr>
    </w:p>
    <w:p w:rsidR="00E06BFF" w:rsidRDefault="00E06BFF" w:rsidP="00E06BFF">
      <w:pPr>
        <w:pStyle w:val="Corpsdetexte"/>
        <w:tabs>
          <w:tab w:val="clear" w:pos="708"/>
          <w:tab w:val="left" w:pos="-284"/>
        </w:tabs>
        <w:spacing w:line="360" w:lineRule="auto"/>
        <w:rPr>
          <w:rFonts w:ascii="Arial" w:hAnsi="Arial" w:cs="Arial"/>
          <w:szCs w:val="24"/>
        </w:rPr>
      </w:pPr>
      <w:r w:rsidRPr="003E5D53">
        <w:rPr>
          <w:rFonts w:ascii="Arial" w:hAnsi="Arial"/>
          <w:szCs w:val="24"/>
        </w:rPr>
        <w:t>La Corte</w:t>
      </w:r>
      <w:r w:rsidRPr="003E5D53">
        <w:rPr>
          <w:rStyle w:val="Appelnotedebasdep"/>
          <w:rFonts w:ascii="Arial" w:hAnsi="Arial"/>
          <w:szCs w:val="24"/>
        </w:rPr>
        <w:footnoteReference w:id="7"/>
      </w:r>
      <w:r w:rsidRPr="003E5D53">
        <w:rPr>
          <w:rFonts w:ascii="Arial" w:hAnsi="Arial"/>
          <w:szCs w:val="24"/>
        </w:rPr>
        <w:t xml:space="preserve"> enseña que </w:t>
      </w:r>
      <w:r w:rsidRPr="003E5D53">
        <w:rPr>
          <w:rFonts w:ascii="Arial" w:hAnsi="Arial" w:cs="Arial"/>
          <w:szCs w:val="24"/>
        </w:rPr>
        <w:t xml:space="preserve">el juez de tutela no puede asumir la facultad para sustituir al juez administrativo en la definición </w:t>
      </w:r>
      <w:r>
        <w:rPr>
          <w:rFonts w:ascii="Arial" w:hAnsi="Arial" w:cs="Arial"/>
          <w:szCs w:val="24"/>
        </w:rPr>
        <w:t xml:space="preserve">de </w:t>
      </w:r>
      <w:r w:rsidRPr="003E5D53">
        <w:rPr>
          <w:rFonts w:ascii="Arial" w:hAnsi="Arial" w:cs="Arial"/>
          <w:szCs w:val="24"/>
        </w:rPr>
        <w:t xml:space="preserve">la validez de los actos, ni suponer que podría </w:t>
      </w:r>
      <w:r w:rsidRPr="003E5D53">
        <w:rPr>
          <w:rFonts w:ascii="Arial" w:hAnsi="Arial" w:cs="Arial"/>
          <w:szCs w:val="24"/>
        </w:rPr>
        <w:lastRenderedPageBreak/>
        <w:t>suspenderlos provisionalmente pues ello representaría invadir el ámbito constitucional de dicha jurisdicción.</w:t>
      </w:r>
    </w:p>
    <w:p w:rsidR="00606376" w:rsidRPr="003E5D53" w:rsidRDefault="00606376" w:rsidP="00E06BFF">
      <w:pPr>
        <w:pStyle w:val="Corpsdetexte"/>
        <w:tabs>
          <w:tab w:val="clear" w:pos="708"/>
          <w:tab w:val="left" w:pos="-284"/>
        </w:tabs>
        <w:spacing w:line="360" w:lineRule="auto"/>
        <w:rPr>
          <w:rFonts w:ascii="Arial" w:hAnsi="Arial" w:cs="Arial"/>
          <w:szCs w:val="24"/>
        </w:rPr>
      </w:pPr>
    </w:p>
    <w:p w:rsidR="00E06BFF" w:rsidRDefault="00E06BFF" w:rsidP="00E06BFF">
      <w:pPr>
        <w:spacing w:line="360" w:lineRule="auto"/>
        <w:ind w:right="51"/>
        <w:jc w:val="both"/>
        <w:rPr>
          <w:rFonts w:ascii="Arial" w:hAnsi="Arial" w:cs="Arial"/>
        </w:rPr>
      </w:pPr>
      <w:r w:rsidRPr="00A474AF">
        <w:rPr>
          <w:rFonts w:ascii="Arial" w:hAnsi="Arial" w:cs="Arial"/>
        </w:rPr>
        <w:t xml:space="preserve">En tratándose de </w:t>
      </w:r>
      <w:r w:rsidR="00606376">
        <w:rPr>
          <w:rFonts w:ascii="Arial" w:hAnsi="Arial" w:cs="Arial"/>
        </w:rPr>
        <w:t>decisiones de traslado</w:t>
      </w:r>
      <w:r w:rsidR="008D32DD">
        <w:rPr>
          <w:rStyle w:val="Appelnotedebasdep"/>
          <w:rFonts w:ascii="Arial" w:hAnsi="Arial"/>
        </w:rPr>
        <w:footnoteReference w:id="8"/>
      </w:r>
      <w:r w:rsidRPr="00A474AF">
        <w:rPr>
          <w:rFonts w:ascii="Arial" w:hAnsi="Arial" w:cs="Arial"/>
        </w:rPr>
        <w:t xml:space="preserve"> tiene explicado la </w:t>
      </w:r>
      <w:r w:rsidR="001619BD">
        <w:rPr>
          <w:rFonts w:ascii="Arial" w:hAnsi="Arial" w:cs="Arial"/>
        </w:rPr>
        <w:t>CC</w:t>
      </w:r>
      <w:r w:rsidRPr="00A474AF">
        <w:rPr>
          <w:rFonts w:ascii="Arial" w:hAnsi="Arial" w:cs="Arial"/>
        </w:rPr>
        <w:t xml:space="preserve">, como órgano de cierre en la especialidad, que es </w:t>
      </w:r>
      <w:r>
        <w:rPr>
          <w:rFonts w:ascii="Arial" w:hAnsi="Arial" w:cs="Arial"/>
        </w:rPr>
        <w:t xml:space="preserve">improcedente la acción de tutela, por regla general, y quien pretenda discutir </w:t>
      </w:r>
      <w:r w:rsidRPr="00A75AE4">
        <w:rPr>
          <w:rFonts w:ascii="Arial" w:hAnsi="Arial" w:cs="Arial"/>
          <w:lang w:val="es-CO"/>
        </w:rPr>
        <w:t>el contenido de un acto administrativo, debe acudir a las acciones que para tales fines existe</w:t>
      </w:r>
      <w:r>
        <w:rPr>
          <w:rFonts w:ascii="Arial" w:hAnsi="Arial" w:cs="Arial"/>
          <w:lang w:val="es-CO"/>
        </w:rPr>
        <w:t>n</w:t>
      </w:r>
      <w:r w:rsidRPr="00A75AE4">
        <w:rPr>
          <w:rFonts w:ascii="Arial" w:hAnsi="Arial" w:cs="Arial"/>
          <w:lang w:val="es-CO"/>
        </w:rPr>
        <w:t xml:space="preserve"> en la </w:t>
      </w:r>
      <w:r w:rsidRPr="00A75AE4">
        <w:rPr>
          <w:rFonts w:ascii="Arial" w:hAnsi="Arial" w:cs="Arial"/>
        </w:rPr>
        <w:t>jurisdicción administrativa.</w:t>
      </w:r>
    </w:p>
    <w:p w:rsidR="00B567E3" w:rsidRDefault="00B567E3" w:rsidP="00634E2E">
      <w:pPr>
        <w:ind w:right="51"/>
        <w:jc w:val="both"/>
        <w:rPr>
          <w:rFonts w:ascii="Arial" w:hAnsi="Arial" w:cs="Arial"/>
        </w:rPr>
      </w:pPr>
    </w:p>
    <w:p w:rsidR="00F63BA1" w:rsidRPr="00367616" w:rsidRDefault="00F63BA1" w:rsidP="00F63BA1">
      <w:pPr>
        <w:spacing w:line="360" w:lineRule="auto"/>
        <w:ind w:right="51"/>
        <w:jc w:val="both"/>
        <w:rPr>
          <w:rFonts w:ascii="Arial" w:hAnsi="Arial" w:cs="Arial"/>
          <w:sz w:val="22"/>
        </w:rPr>
      </w:pPr>
      <w:r>
        <w:rPr>
          <w:rFonts w:ascii="Arial" w:hAnsi="Arial" w:cs="Arial"/>
        </w:rPr>
        <w:t>No sobra memorar que la C</w:t>
      </w:r>
      <w:r w:rsidRPr="00F63BA1">
        <w:rPr>
          <w:rFonts w:ascii="Arial" w:hAnsi="Arial" w:cs="Arial"/>
        </w:rPr>
        <w:t>orte</w:t>
      </w:r>
      <w:r w:rsidRPr="00F63BA1">
        <w:rPr>
          <w:rStyle w:val="Appelnotedebasdep"/>
          <w:rFonts w:ascii="Arial" w:hAnsi="Arial" w:cs="Arial"/>
        </w:rPr>
        <w:footnoteReference w:id="9"/>
      </w:r>
      <w:r w:rsidRPr="00F63BA1">
        <w:rPr>
          <w:rFonts w:ascii="Arial" w:hAnsi="Arial" w:cs="Arial"/>
        </w:rPr>
        <w:t xml:space="preserve">, luego de analizar la Ley 1437, concluyó </w:t>
      </w:r>
      <w:r w:rsidR="00EE0D9D">
        <w:rPr>
          <w:rFonts w:ascii="Arial" w:hAnsi="Arial" w:cs="Arial"/>
        </w:rPr>
        <w:t xml:space="preserve">también que la </w:t>
      </w:r>
      <w:r w:rsidRPr="00F63BA1">
        <w:rPr>
          <w:rFonts w:ascii="Arial" w:hAnsi="Arial" w:cs="Arial"/>
        </w:rPr>
        <w:t xml:space="preserve">tutela </w:t>
      </w:r>
      <w:r w:rsidR="00EE0D9D">
        <w:rPr>
          <w:rFonts w:ascii="Arial" w:hAnsi="Arial" w:cs="Arial"/>
        </w:rPr>
        <w:t>es improcedente</w:t>
      </w:r>
      <w:r>
        <w:rPr>
          <w:rFonts w:ascii="Arial" w:hAnsi="Arial" w:cs="Arial"/>
          <w:color w:val="000000"/>
        </w:rPr>
        <w:t>,</w:t>
      </w:r>
      <w:r w:rsidRPr="00F63BA1">
        <w:rPr>
          <w:rFonts w:ascii="Arial" w:hAnsi="Arial" w:cs="Arial"/>
        </w:rPr>
        <w:t xml:space="preserve"> porque </w:t>
      </w:r>
      <w:r w:rsidR="00EE0D9D">
        <w:rPr>
          <w:rFonts w:ascii="Arial" w:hAnsi="Arial" w:cs="Arial"/>
        </w:rPr>
        <w:t xml:space="preserve">el actor </w:t>
      </w:r>
      <w:r w:rsidRPr="00F63BA1">
        <w:rPr>
          <w:rFonts w:ascii="Arial" w:hAnsi="Arial" w:cs="Arial"/>
        </w:rPr>
        <w:t xml:space="preserve">cuenta con un mecanismo </w:t>
      </w:r>
      <w:r>
        <w:rPr>
          <w:rFonts w:ascii="Arial" w:hAnsi="Arial" w:cs="Arial"/>
        </w:rPr>
        <w:t xml:space="preserve">judicial </w:t>
      </w:r>
      <w:r w:rsidRPr="00F63BA1">
        <w:rPr>
          <w:rFonts w:ascii="Arial" w:hAnsi="Arial" w:cs="Arial"/>
        </w:rPr>
        <w:t>idóneo y eficaz</w:t>
      </w:r>
      <w:r>
        <w:rPr>
          <w:rFonts w:ascii="Arial" w:hAnsi="Arial" w:cs="Arial"/>
        </w:rPr>
        <w:t>,</w:t>
      </w:r>
      <w:r w:rsidRPr="00F63BA1">
        <w:rPr>
          <w:rFonts w:ascii="Arial" w:hAnsi="Arial" w:cs="Arial"/>
        </w:rPr>
        <w:t xml:space="preserve"> </w:t>
      </w:r>
      <w:r>
        <w:rPr>
          <w:rFonts w:ascii="Arial" w:hAnsi="Arial" w:cs="Arial"/>
        </w:rPr>
        <w:t xml:space="preserve">que puede promover ante el juez natural, </w:t>
      </w:r>
      <w:r w:rsidR="00EE0D9D">
        <w:rPr>
          <w:rFonts w:ascii="Arial" w:hAnsi="Arial" w:cs="Arial"/>
        </w:rPr>
        <w:t xml:space="preserve">cual es, </w:t>
      </w:r>
      <w:r w:rsidRPr="00F63BA1">
        <w:rPr>
          <w:rFonts w:ascii="Arial" w:hAnsi="Arial" w:cs="Arial"/>
        </w:rPr>
        <w:t xml:space="preserve">la acción de nulidad o de nulidad y restablecimiento, junto con la solicitud de medidas cautelares, </w:t>
      </w:r>
      <w:r w:rsidR="00EE0D9D">
        <w:rPr>
          <w:rFonts w:ascii="Arial" w:hAnsi="Arial" w:cs="Arial"/>
        </w:rPr>
        <w:t xml:space="preserve">y </w:t>
      </w:r>
      <w:r>
        <w:rPr>
          <w:rFonts w:ascii="Arial" w:hAnsi="Arial" w:cs="Arial"/>
        </w:rPr>
        <w:t xml:space="preserve">que solo </w:t>
      </w:r>
      <w:r w:rsidRPr="00F63BA1">
        <w:rPr>
          <w:rFonts w:ascii="Arial" w:hAnsi="Arial" w:cs="Arial"/>
        </w:rPr>
        <w:t xml:space="preserve">podría </w:t>
      </w:r>
      <w:r w:rsidR="00EE0D9D">
        <w:rPr>
          <w:rFonts w:ascii="Arial" w:hAnsi="Arial" w:cs="Arial"/>
        </w:rPr>
        <w:t xml:space="preserve">considerarse deficiente si en juez constitucional advierte que </w:t>
      </w:r>
      <w:r w:rsidRPr="00367616">
        <w:rPr>
          <w:rFonts w:ascii="Arial" w:hAnsi="Arial" w:cs="Arial"/>
          <w:i/>
          <w:sz w:val="22"/>
        </w:rPr>
        <w:t xml:space="preserve">“(…) </w:t>
      </w:r>
      <w:r w:rsidRPr="00367616">
        <w:rPr>
          <w:rFonts w:ascii="Arial" w:hAnsi="Arial" w:cs="Arial"/>
          <w:i/>
          <w:sz w:val="22"/>
          <w:lang w:val="es-CO"/>
        </w:rPr>
        <w:t xml:space="preserve">(i) </w:t>
      </w:r>
      <w:r w:rsidR="00EE0D9D">
        <w:rPr>
          <w:rFonts w:ascii="Arial" w:hAnsi="Arial" w:cs="Arial"/>
          <w:i/>
          <w:sz w:val="22"/>
          <w:lang w:val="es-CO"/>
        </w:rPr>
        <w:t>…</w:t>
      </w:r>
      <w:r w:rsidRPr="00367616">
        <w:rPr>
          <w:rFonts w:ascii="Arial" w:hAnsi="Arial" w:cs="Arial"/>
          <w:i/>
          <w:sz w:val="22"/>
          <w:lang w:val="es-CO"/>
        </w:rPr>
        <w:t>la aplicación de las normas del CPACA no proporcione una protección oportuna de los derechos fundamentales o (ii) cuando el contenido o interpretación de las disposiciones de dicho Código no provean un amparo integral de tales derechos (…)”</w:t>
      </w:r>
      <w:r w:rsidR="0003382C">
        <w:rPr>
          <w:rFonts w:ascii="Arial" w:hAnsi="Arial" w:cs="Arial"/>
          <w:i/>
          <w:sz w:val="22"/>
          <w:lang w:val="es-CO"/>
        </w:rPr>
        <w:t>.</w:t>
      </w:r>
      <w:r w:rsidRPr="00367616">
        <w:rPr>
          <w:rFonts w:ascii="Arial" w:hAnsi="Arial" w:cs="Arial"/>
          <w:lang w:val="es-CO"/>
        </w:rPr>
        <w:t xml:space="preserve">  </w:t>
      </w:r>
    </w:p>
    <w:p w:rsidR="00F63BA1" w:rsidRPr="00F93426" w:rsidRDefault="00F63BA1" w:rsidP="00F63BA1">
      <w:pPr>
        <w:spacing w:line="360" w:lineRule="auto"/>
        <w:ind w:right="51"/>
        <w:jc w:val="both"/>
        <w:rPr>
          <w:rFonts w:ascii="Arial" w:hAnsi="Arial" w:cs="Arial"/>
          <w:sz w:val="20"/>
        </w:rPr>
      </w:pPr>
      <w:r w:rsidRPr="00F93426">
        <w:rPr>
          <w:rFonts w:ascii="Arial" w:hAnsi="Arial" w:cs="Arial"/>
          <w:sz w:val="20"/>
          <w:lang w:val="es-CO"/>
        </w:rPr>
        <w:t> </w:t>
      </w:r>
    </w:p>
    <w:p w:rsidR="00E06BFF" w:rsidRPr="00606376" w:rsidRDefault="00E06BFF" w:rsidP="00362E4A">
      <w:pPr>
        <w:pStyle w:val="Paragraphedeliste"/>
        <w:numPr>
          <w:ilvl w:val="2"/>
          <w:numId w:val="31"/>
        </w:numPr>
        <w:spacing w:line="360" w:lineRule="auto"/>
        <w:ind w:right="51"/>
        <w:jc w:val="both"/>
        <w:rPr>
          <w:rFonts w:ascii="Arial" w:hAnsi="Arial" w:cs="Arial"/>
          <w:smallCaps/>
        </w:rPr>
      </w:pPr>
      <w:r w:rsidRPr="001C33DC">
        <w:rPr>
          <w:rFonts w:ascii="Arial" w:hAnsi="Arial" w:cs="Arial"/>
          <w:smallCaps/>
          <w:sz w:val="22"/>
        </w:rPr>
        <w:t>La procedencia excepcional de la tutela</w:t>
      </w:r>
    </w:p>
    <w:p w:rsidR="00E06BFF" w:rsidRPr="00D31C92" w:rsidRDefault="00E06BFF" w:rsidP="00E06BFF">
      <w:pPr>
        <w:pStyle w:val="Paragraphedeliste"/>
        <w:spacing w:line="360" w:lineRule="auto"/>
        <w:ind w:left="720" w:right="51"/>
        <w:jc w:val="both"/>
        <w:rPr>
          <w:rFonts w:ascii="Arial" w:hAnsi="Arial" w:cs="Arial"/>
          <w:sz w:val="20"/>
        </w:rPr>
      </w:pPr>
    </w:p>
    <w:p w:rsidR="00E06BFF" w:rsidRDefault="00362E4A" w:rsidP="00E06BFF">
      <w:pPr>
        <w:spacing w:line="360" w:lineRule="auto"/>
        <w:ind w:right="51"/>
        <w:jc w:val="both"/>
        <w:rPr>
          <w:rFonts w:ascii="Arial" w:hAnsi="Arial" w:cs="Arial"/>
        </w:rPr>
      </w:pPr>
      <w:r>
        <w:rPr>
          <w:rFonts w:ascii="Arial" w:hAnsi="Arial" w:cs="Arial"/>
        </w:rPr>
        <w:t xml:space="preserve">Además de </w:t>
      </w:r>
      <w:r w:rsidR="00E06BFF">
        <w:rPr>
          <w:rFonts w:ascii="Arial" w:hAnsi="Arial" w:cs="Arial"/>
        </w:rPr>
        <w:t xml:space="preserve">lo anterior, esa </w:t>
      </w:r>
      <w:r w:rsidR="00E06BFF" w:rsidRPr="00A75AE4">
        <w:rPr>
          <w:rFonts w:ascii="Arial" w:hAnsi="Arial" w:cs="Arial"/>
        </w:rPr>
        <w:t xml:space="preserve">Corporación también ha señalado que existen, al menos, dos excepciones a la regla </w:t>
      </w:r>
      <w:r w:rsidR="00E06BFF">
        <w:rPr>
          <w:rFonts w:ascii="Arial" w:hAnsi="Arial" w:cs="Arial"/>
        </w:rPr>
        <w:t>general</w:t>
      </w:r>
      <w:r w:rsidR="00E06BFF" w:rsidRPr="00A75AE4">
        <w:rPr>
          <w:rFonts w:ascii="Arial" w:hAnsi="Arial" w:cs="Arial"/>
          <w:vertAlign w:val="superscript"/>
        </w:rPr>
        <w:footnoteReference w:id="10"/>
      </w:r>
      <w:r w:rsidR="00E06BFF">
        <w:rPr>
          <w:rFonts w:ascii="Arial" w:hAnsi="Arial" w:cs="Arial"/>
        </w:rPr>
        <w:t>:</w:t>
      </w:r>
      <w:r w:rsidR="00E06BFF" w:rsidRPr="00A75AE4">
        <w:rPr>
          <w:rFonts w:ascii="Arial" w:hAnsi="Arial" w:cs="Arial"/>
        </w:rPr>
        <w:t xml:space="preserve"> (i) </w:t>
      </w:r>
      <w:r w:rsidR="00E06BFF">
        <w:rPr>
          <w:rFonts w:ascii="Arial" w:hAnsi="Arial" w:cs="Arial"/>
        </w:rPr>
        <w:t>C</w:t>
      </w:r>
      <w:r w:rsidR="00E06BFF" w:rsidRPr="00A75AE4">
        <w:rPr>
          <w:rFonts w:ascii="Arial" w:hAnsi="Arial" w:cs="Arial"/>
        </w:rPr>
        <w:t>uando la persona afectada no tiene un mecanismo distinto y eficaz a la acción de tutela para defender sus derechos porque no está legitimada para impugnar los actos administrativos que los vulneran</w:t>
      </w:r>
      <w:r w:rsidR="00E06BFF" w:rsidRPr="00A75AE4">
        <w:rPr>
          <w:rFonts w:ascii="Arial" w:hAnsi="Arial" w:cs="Arial"/>
          <w:vertAlign w:val="superscript"/>
        </w:rPr>
        <w:footnoteReference w:id="11"/>
      </w:r>
      <w:r w:rsidR="00E06BFF" w:rsidRPr="00A75AE4">
        <w:rPr>
          <w:rFonts w:ascii="Arial" w:hAnsi="Arial" w:cs="Arial"/>
        </w:rPr>
        <w:t xml:space="preserve"> o porque la cuestión debatida es eminentemente constitucional</w:t>
      </w:r>
      <w:r w:rsidR="00E06BFF" w:rsidRPr="00A75AE4">
        <w:rPr>
          <w:rFonts w:ascii="Arial" w:hAnsi="Arial" w:cs="Arial"/>
          <w:vertAlign w:val="superscript"/>
        </w:rPr>
        <w:footnoteReference w:id="12"/>
      </w:r>
      <w:r w:rsidR="00E06BFF">
        <w:rPr>
          <w:rFonts w:ascii="Arial" w:hAnsi="Arial" w:cs="Arial"/>
        </w:rPr>
        <w:t>,</w:t>
      </w:r>
      <w:r w:rsidR="00E06BFF" w:rsidRPr="00A75AE4">
        <w:rPr>
          <w:rFonts w:ascii="Arial" w:hAnsi="Arial" w:cs="Arial"/>
        </w:rPr>
        <w:t xml:space="preserve"> y </w:t>
      </w:r>
      <w:r w:rsidR="00E06BFF" w:rsidRPr="00362E4A">
        <w:rPr>
          <w:rFonts w:ascii="Arial" w:hAnsi="Arial" w:cs="Arial"/>
        </w:rPr>
        <w:t>(ii) cuando se trata de evitar la ocurrencia de un perjuicio irremediable</w:t>
      </w:r>
      <w:r w:rsidR="00E06BFF" w:rsidRPr="00362E4A">
        <w:rPr>
          <w:rFonts w:ascii="Arial" w:hAnsi="Arial" w:cs="Arial"/>
          <w:vertAlign w:val="superscript"/>
        </w:rPr>
        <w:footnoteReference w:id="13"/>
      </w:r>
      <w:r w:rsidR="00E06BFF" w:rsidRPr="00362E4A">
        <w:rPr>
          <w:rFonts w:ascii="Arial" w:hAnsi="Arial" w:cs="Arial"/>
        </w:rPr>
        <w:t>.</w:t>
      </w:r>
    </w:p>
    <w:p w:rsidR="008D32DD" w:rsidRDefault="008D32DD" w:rsidP="00634E2E">
      <w:pPr>
        <w:ind w:right="51"/>
        <w:jc w:val="both"/>
        <w:rPr>
          <w:rFonts w:ascii="Arial" w:hAnsi="Arial" w:cs="Arial"/>
          <w:u w:val="single"/>
        </w:rPr>
      </w:pPr>
    </w:p>
    <w:p w:rsidR="00E06BFF" w:rsidRPr="00B308B5" w:rsidRDefault="00E06BFF" w:rsidP="00E06BFF">
      <w:pPr>
        <w:spacing w:line="360"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w:t>
      </w:r>
      <w:r w:rsidR="00A2767C">
        <w:rPr>
          <w:rFonts w:ascii="Arial" w:hAnsi="Arial" w:cs="Arial"/>
          <w:szCs w:val="28"/>
        </w:rPr>
        <w:t xml:space="preserve">presupuesto de procedibilidad para </w:t>
      </w:r>
      <w:r>
        <w:rPr>
          <w:rFonts w:ascii="Arial" w:hAnsi="Arial" w:cs="Arial"/>
          <w:szCs w:val="28"/>
        </w:rPr>
        <w:t>examinar</w:t>
      </w:r>
      <w:r w:rsidR="00A2767C">
        <w:rPr>
          <w:rFonts w:ascii="Arial" w:hAnsi="Arial" w:cs="Arial"/>
          <w:szCs w:val="28"/>
        </w:rPr>
        <w:t>,</w:t>
      </w:r>
      <w:r>
        <w:rPr>
          <w:rFonts w:ascii="Arial" w:hAnsi="Arial" w:cs="Arial"/>
          <w:szCs w:val="28"/>
        </w:rPr>
        <w:t xml:space="preserve"> en sede constitucional</w:t>
      </w:r>
      <w:r w:rsidR="00A2767C">
        <w:rPr>
          <w:rFonts w:ascii="Arial" w:hAnsi="Arial" w:cs="Arial"/>
          <w:szCs w:val="28"/>
        </w:rPr>
        <w:t>,</w:t>
      </w:r>
      <w:r>
        <w:rPr>
          <w:rFonts w:ascii="Arial" w:hAnsi="Arial" w:cs="Arial"/>
          <w:szCs w:val="28"/>
        </w:rPr>
        <w:t xml:space="preserve"> la violación o amenaza al debido proceso administrativo, que alega la parte actora. A propósito, valga recordar que ninguna discusión amerita comprender que ese derecho alegado, tiene la estirpe </w:t>
      </w:r>
      <w:proofErr w:type="spellStart"/>
      <w:r w:rsidRPr="0082008F">
        <w:rPr>
          <w:rFonts w:ascii="Arial" w:hAnsi="Arial" w:cs="Arial"/>
          <w:i/>
          <w:szCs w:val="28"/>
        </w:rPr>
        <w:t>iusfundamental</w:t>
      </w:r>
      <w:proofErr w:type="spellEnd"/>
      <w:r>
        <w:rPr>
          <w:rFonts w:ascii="Arial" w:hAnsi="Arial" w:cs="Arial"/>
          <w:szCs w:val="28"/>
        </w:rPr>
        <w:t xml:space="preserve"> pretendida; en realidad, la cuestión medular se centra en la viabilidad por virtud del daño irreparable que se logre invocar y probar.</w:t>
      </w:r>
    </w:p>
    <w:p w:rsidR="00E06BFF" w:rsidRPr="00A21662" w:rsidRDefault="00E06BFF" w:rsidP="00E06BFF">
      <w:pPr>
        <w:spacing w:line="360" w:lineRule="auto"/>
        <w:ind w:right="51"/>
        <w:jc w:val="both"/>
        <w:rPr>
          <w:rFonts w:ascii="Arial" w:hAnsi="Arial"/>
          <w:szCs w:val="22"/>
          <w:lang w:val="es-ES_tradnl"/>
        </w:rPr>
      </w:pPr>
      <w:r>
        <w:rPr>
          <w:rFonts w:ascii="Arial" w:hAnsi="Arial" w:cs="Arial"/>
        </w:rPr>
        <w:lastRenderedPageBreak/>
        <w:t>Sobre la</w:t>
      </w:r>
      <w:r w:rsidRPr="00B308B5">
        <w:rPr>
          <w:rFonts w:ascii="Arial" w:hAnsi="Arial" w:cs="Arial"/>
        </w:rPr>
        <w:t xml:space="preserve"> </w:t>
      </w:r>
      <w:proofErr w:type="spellStart"/>
      <w:r w:rsidRPr="00B308B5">
        <w:rPr>
          <w:rFonts w:ascii="Arial" w:hAnsi="Arial" w:cs="Arial"/>
        </w:rPr>
        <w:t>irremediabilidad</w:t>
      </w:r>
      <w:proofErr w:type="spellEnd"/>
      <w:r w:rsidRPr="00B308B5">
        <w:rPr>
          <w:rFonts w:ascii="Arial" w:hAnsi="Arial" w:cs="Arial"/>
        </w:rPr>
        <w:t xml:space="preserve"> del perjuicio, la </w:t>
      </w:r>
      <w:r w:rsidR="00EE0D9D">
        <w:rPr>
          <w:rFonts w:ascii="Arial" w:hAnsi="Arial" w:cs="Arial"/>
        </w:rPr>
        <w:t>CC</w:t>
      </w:r>
      <w:r>
        <w:rPr>
          <w:rStyle w:val="Appelnotedebasdep"/>
          <w:rFonts w:ascii="Arial" w:hAnsi="Arial"/>
        </w:rPr>
        <w:footnoteReference w:id="14"/>
      </w:r>
      <w:r>
        <w:rPr>
          <w:rFonts w:ascii="Arial" w:hAnsi="Arial" w:cs="Arial"/>
        </w:rPr>
        <w:t xml:space="preserve"> estima indispensable concurran las siguientes notas características</w:t>
      </w:r>
      <w:r w:rsidRPr="00B308B5">
        <w:rPr>
          <w:rFonts w:ascii="Arial" w:hAnsi="Arial" w:cs="Arial"/>
        </w:rPr>
        <w:t xml:space="preserve">: </w:t>
      </w:r>
      <w:r>
        <w:rPr>
          <w:rFonts w:ascii="Arial" w:hAnsi="Arial" w:cs="Arial"/>
        </w:rPr>
        <w:t>“</w:t>
      </w:r>
      <w:r w:rsidRPr="00E06BD5">
        <w:rPr>
          <w:rFonts w:ascii="Arial" w:hAnsi="Arial" w:cs="Arial"/>
          <w:i/>
          <w:sz w:val="22"/>
        </w:rPr>
        <w:t xml:space="preserve">(i) </w:t>
      </w:r>
      <w:r w:rsidRPr="00E06BD5">
        <w:rPr>
          <w:rFonts w:ascii="Arial" w:hAnsi="Arial" w:cs="Arial"/>
          <w:i/>
          <w:sz w:val="22"/>
          <w:u w:val="single"/>
        </w:rPr>
        <w:t>la inminencia del daño</w:t>
      </w:r>
      <w:r w:rsidRPr="00E06BD5">
        <w:rPr>
          <w:rFonts w:ascii="Arial" w:hAnsi="Arial"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E06BD5">
        <w:rPr>
          <w:rFonts w:ascii="Arial" w:hAnsi="Arial" w:cs="Arial"/>
          <w:i/>
          <w:sz w:val="22"/>
          <w:u w:val="single"/>
        </w:rPr>
        <w:t>la gravedad</w:t>
      </w:r>
      <w:r w:rsidRPr="00E06BD5">
        <w:rPr>
          <w:rFonts w:ascii="Arial" w:hAnsi="Arial" w:cs="Arial"/>
          <w:i/>
          <w:sz w:val="22"/>
        </w:rPr>
        <w:t xml:space="preserve">, esto es, que el daño o menoscabo material o moral en el haber jurídico de la persona sea de gran intensidad; (iii) </w:t>
      </w:r>
      <w:r w:rsidRPr="00E06BD5">
        <w:rPr>
          <w:rFonts w:ascii="Arial" w:hAnsi="Arial" w:cs="Arial"/>
          <w:i/>
          <w:sz w:val="22"/>
          <w:u w:val="single"/>
        </w:rPr>
        <w:t>la urgencia</w:t>
      </w:r>
      <w:r w:rsidRPr="00E06BD5">
        <w:rPr>
          <w:rFonts w:ascii="Arial" w:hAnsi="Arial" w:cs="Arial"/>
          <w:i/>
          <w:sz w:val="22"/>
        </w:rPr>
        <w:t xml:space="preserve">, que exige la adopción de medidas prontas o inmediatas para conjurar la amenaza; (iv) </w:t>
      </w:r>
      <w:r w:rsidRPr="00E06BD5">
        <w:rPr>
          <w:rFonts w:ascii="Arial" w:hAnsi="Arial" w:cs="Arial"/>
          <w:i/>
          <w:sz w:val="22"/>
          <w:u w:val="single"/>
        </w:rPr>
        <w:t xml:space="preserve">la </w:t>
      </w:r>
      <w:proofErr w:type="spellStart"/>
      <w:r w:rsidRPr="00E06BD5">
        <w:rPr>
          <w:rFonts w:ascii="Arial" w:hAnsi="Arial" w:cs="Arial"/>
          <w:i/>
          <w:sz w:val="22"/>
          <w:u w:val="single"/>
        </w:rPr>
        <w:t>impostergabilidad</w:t>
      </w:r>
      <w:proofErr w:type="spellEnd"/>
      <w:r w:rsidRPr="00E06BD5">
        <w:rPr>
          <w:rFonts w:ascii="Arial" w:hAnsi="Arial" w:cs="Arial"/>
          <w:i/>
          <w:sz w:val="22"/>
        </w:rPr>
        <w:t xml:space="preserve"> de la tutela, que implica acreditar la necesidad de recurrir al amparo como mecanismo expedito y necesario para la protección de los derechos fundamentales</w:t>
      </w:r>
      <w:r w:rsidRPr="00B308B5">
        <w:rPr>
          <w:rFonts w:ascii="Arial" w:hAnsi="Arial" w:cs="Arial"/>
          <w:szCs w:val="28"/>
          <w:vertAlign w:val="superscript"/>
        </w:rPr>
        <w:footnoteReference w:id="15"/>
      </w:r>
      <w:r w:rsidRPr="00B308B5">
        <w:rPr>
          <w:rFonts w:ascii="Arial" w:hAnsi="Arial" w:cs="Arial"/>
          <w:vertAlign w:val="superscript"/>
        </w:rPr>
        <w:t xml:space="preserve"> </w:t>
      </w:r>
      <w:r w:rsidR="00A21662">
        <w:rPr>
          <w:rFonts w:ascii="Arial" w:hAnsi="Arial" w:cs="Arial"/>
        </w:rPr>
        <w:t xml:space="preserve">”. </w:t>
      </w:r>
      <w:r>
        <w:rPr>
          <w:rFonts w:ascii="Arial" w:hAnsi="Arial"/>
        </w:rPr>
        <w:t>Las características del perjuicio irremediable conservan vigencia</w:t>
      </w:r>
      <w:r>
        <w:rPr>
          <w:rStyle w:val="Appelnotedebasdep"/>
          <w:rFonts w:ascii="Arial" w:hAnsi="Arial"/>
        </w:rPr>
        <w:footnoteReference w:id="16"/>
      </w:r>
      <w:r>
        <w:rPr>
          <w:rFonts w:ascii="Arial" w:hAnsi="Arial"/>
        </w:rPr>
        <w:t>. Al respecto existe precedente horizontal de esta Sala del Tribunal</w:t>
      </w:r>
      <w:r>
        <w:rPr>
          <w:rStyle w:val="Appelnotedebasdep"/>
          <w:rFonts w:ascii="Arial" w:hAnsi="Arial"/>
        </w:rPr>
        <w:footnoteReference w:id="17"/>
      </w:r>
      <w:r>
        <w:rPr>
          <w:rFonts w:ascii="Arial" w:hAnsi="Arial"/>
        </w:rPr>
        <w:t>.</w:t>
      </w:r>
    </w:p>
    <w:p w:rsidR="00E06BFF" w:rsidRPr="00D31C92" w:rsidRDefault="00E06BFF" w:rsidP="00E06BFF">
      <w:pPr>
        <w:spacing w:line="360" w:lineRule="auto"/>
        <w:ind w:right="51"/>
        <w:jc w:val="both"/>
        <w:rPr>
          <w:rFonts w:ascii="Arial" w:hAnsi="Arial"/>
          <w:sz w:val="20"/>
        </w:rPr>
      </w:pPr>
    </w:p>
    <w:p w:rsidR="004C6ED5" w:rsidRPr="00E91169" w:rsidRDefault="00E06BFF" w:rsidP="00E06BFF">
      <w:pPr>
        <w:spacing w:line="360" w:lineRule="auto"/>
        <w:ind w:right="51"/>
        <w:jc w:val="both"/>
        <w:rPr>
          <w:rFonts w:ascii="Arial" w:hAnsi="Arial" w:cs="Arial"/>
        </w:rPr>
      </w:pPr>
      <w:r>
        <w:rPr>
          <w:rFonts w:ascii="Arial" w:hAnsi="Arial"/>
        </w:rPr>
        <w:t>También la Sala de Casación Civil de la CSJ</w:t>
      </w:r>
      <w:r>
        <w:rPr>
          <w:rStyle w:val="Appelnotedebasdep"/>
          <w:rFonts w:ascii="Arial" w:hAnsi="Arial"/>
        </w:rPr>
        <w:footnoteReference w:id="18"/>
      </w:r>
      <w:r>
        <w:rPr>
          <w:rFonts w:ascii="Arial" w:hAnsi="Arial"/>
        </w:rPr>
        <w:t xml:space="preserve">, órgano de cierre de esta Corporación, ha sido reiterativa en cuanto a la improcedencia del amparo constitucional por el incumplimiento del supuesto de subsidiariedad y la ausencia de demostración del </w:t>
      </w:r>
      <w:r w:rsidRPr="00E91169">
        <w:rPr>
          <w:rFonts w:ascii="Arial" w:hAnsi="Arial" w:cs="Arial"/>
        </w:rPr>
        <w:t>perjuicio irremediable</w:t>
      </w:r>
      <w:r w:rsidR="00A21662" w:rsidRPr="00E91169">
        <w:rPr>
          <w:rFonts w:ascii="Arial" w:hAnsi="Arial" w:cs="Arial"/>
        </w:rPr>
        <w:t>.</w:t>
      </w:r>
      <w:r w:rsidRPr="00E91169">
        <w:rPr>
          <w:rFonts w:ascii="Arial" w:hAnsi="Arial" w:cs="Arial"/>
        </w:rPr>
        <w:t xml:space="preserve"> </w:t>
      </w:r>
    </w:p>
    <w:p w:rsidR="004C6ED5" w:rsidRPr="00E91169" w:rsidRDefault="004C6ED5" w:rsidP="00E06BFF">
      <w:pPr>
        <w:spacing w:line="360" w:lineRule="auto"/>
        <w:ind w:right="51"/>
        <w:jc w:val="both"/>
        <w:rPr>
          <w:rFonts w:ascii="Arial" w:hAnsi="Arial" w:cs="Arial"/>
        </w:rPr>
      </w:pPr>
    </w:p>
    <w:p w:rsidR="00A21662" w:rsidRPr="00E91169" w:rsidRDefault="00E91169" w:rsidP="00E06BFF">
      <w:pPr>
        <w:spacing w:line="360" w:lineRule="auto"/>
        <w:ind w:right="51"/>
        <w:jc w:val="both"/>
        <w:rPr>
          <w:rFonts w:ascii="Arial" w:hAnsi="Arial" w:cs="Arial"/>
          <w:lang w:val="es-CO"/>
        </w:rPr>
      </w:pPr>
      <w:r>
        <w:rPr>
          <w:rFonts w:ascii="Arial" w:hAnsi="Arial" w:cs="Arial"/>
          <w:lang w:val="es-CO"/>
        </w:rPr>
        <w:t>Específicamente, e</w:t>
      </w:r>
      <w:r w:rsidR="00A21662" w:rsidRPr="00E91169">
        <w:rPr>
          <w:rFonts w:ascii="Arial" w:hAnsi="Arial" w:cs="Arial"/>
          <w:lang w:val="es-CO"/>
        </w:rPr>
        <w:t xml:space="preserve">n torno a </w:t>
      </w:r>
      <w:r>
        <w:rPr>
          <w:rFonts w:ascii="Arial" w:hAnsi="Arial" w:cs="Arial"/>
          <w:lang w:val="es-CO"/>
        </w:rPr>
        <w:t xml:space="preserve">la tutela tendiente a </w:t>
      </w:r>
      <w:r w:rsidR="00A21662" w:rsidRPr="00E91169">
        <w:rPr>
          <w:rFonts w:ascii="Arial" w:hAnsi="Arial" w:cs="Arial"/>
          <w:lang w:val="es-CO"/>
        </w:rPr>
        <w:t>controvertir decisiones de reubicación laboral, la CC</w:t>
      </w:r>
      <w:r>
        <w:rPr>
          <w:rStyle w:val="Appelnotedebasdep"/>
          <w:rFonts w:ascii="Arial" w:hAnsi="Arial"/>
          <w:lang w:val="es-CO"/>
        </w:rPr>
        <w:footnoteReference w:id="19"/>
      </w:r>
      <w:r w:rsidR="00A21662" w:rsidRPr="00E91169">
        <w:rPr>
          <w:rFonts w:ascii="Arial" w:hAnsi="Arial" w:cs="Arial"/>
          <w:lang w:val="es-CO"/>
        </w:rPr>
        <w:t xml:space="preserve"> ha precisado que procede</w:t>
      </w:r>
      <w:r>
        <w:rPr>
          <w:rFonts w:ascii="Arial" w:hAnsi="Arial" w:cs="Arial"/>
          <w:lang w:val="es-CO"/>
        </w:rPr>
        <w:t>,</w:t>
      </w:r>
      <w:r w:rsidR="00A21662" w:rsidRPr="00E91169">
        <w:rPr>
          <w:rFonts w:ascii="Arial" w:hAnsi="Arial" w:cs="Arial"/>
          <w:lang w:val="es-CO"/>
        </w:rPr>
        <w:t xml:space="preserve"> excepcionalmente</w:t>
      </w:r>
      <w:r>
        <w:rPr>
          <w:rFonts w:ascii="Arial" w:hAnsi="Arial" w:cs="Arial"/>
          <w:lang w:val="es-CO"/>
        </w:rPr>
        <w:t>,</w:t>
      </w:r>
      <w:r w:rsidR="00A21662" w:rsidRPr="00E91169">
        <w:rPr>
          <w:rFonts w:ascii="Arial" w:hAnsi="Arial" w:cs="Arial"/>
          <w:lang w:val="es-CO"/>
        </w:rPr>
        <w:t xml:space="preserve"> siempre y cuando se presente</w:t>
      </w:r>
      <w:r>
        <w:rPr>
          <w:rFonts w:ascii="Arial" w:hAnsi="Arial" w:cs="Arial"/>
          <w:lang w:val="es-CO"/>
        </w:rPr>
        <w:t>n</w:t>
      </w:r>
      <w:r w:rsidR="00A21662" w:rsidRPr="00E91169">
        <w:rPr>
          <w:rFonts w:ascii="Arial" w:hAnsi="Arial" w:cs="Arial"/>
          <w:lang w:val="es-CO"/>
        </w:rPr>
        <w:t xml:space="preserve"> los siguientes supuestos: </w:t>
      </w:r>
      <w:r w:rsidRPr="00E91169">
        <w:rPr>
          <w:rFonts w:ascii="Arial" w:hAnsi="Arial" w:cs="Arial"/>
          <w:sz w:val="22"/>
          <w:lang w:val="es-CO"/>
        </w:rPr>
        <w:t>“</w:t>
      </w:r>
      <w:r w:rsidR="00A21662" w:rsidRPr="00E91169">
        <w:rPr>
          <w:rFonts w:ascii="Arial" w:hAnsi="Arial" w:cs="Arial"/>
          <w:i/>
          <w:iCs/>
          <w:sz w:val="22"/>
          <w:bdr w:val="none" w:sz="0" w:space="0" w:color="auto" w:frame="1"/>
          <w:shd w:val="clear" w:color="auto" w:fill="FFFFFF"/>
        </w:rPr>
        <w:t>(i) que la decisión sea ostensiblemente arbitraria, en el sentido que haya sido adoptada sin consultar en forma adecuada y coherente las circunstancias particulares del trabajador, e implique una desmejora de sus condiciones de trabajo</w:t>
      </w:r>
      <w:r w:rsidR="00A21662" w:rsidRPr="00E91169">
        <w:rPr>
          <w:rStyle w:val="apple-converted-space"/>
          <w:rFonts w:ascii="Arial" w:hAnsi="Arial" w:cs="Arial"/>
          <w:i/>
          <w:iCs/>
          <w:sz w:val="22"/>
          <w:bdr w:val="none" w:sz="0" w:space="0" w:color="auto" w:frame="1"/>
          <w:shd w:val="clear" w:color="auto" w:fill="FFFFFF"/>
        </w:rPr>
        <w:t> </w:t>
      </w:r>
      <w:r w:rsidR="00A21662" w:rsidRPr="00E91169">
        <w:rPr>
          <w:rFonts w:ascii="Arial" w:hAnsi="Arial" w:cs="Arial"/>
          <w:i/>
          <w:iCs/>
          <w:sz w:val="22"/>
          <w:bdr w:val="none" w:sz="0" w:space="0" w:color="auto" w:frame="1"/>
          <w:shd w:val="clear" w:color="auto" w:fill="FFFFFF"/>
        </w:rPr>
        <w:t>y (ii) que afecte en forma clara, grave y directa los derechos fundamentales del actor o de su núcleo familiar.”</w:t>
      </w:r>
      <w:r w:rsidRPr="00E91169">
        <w:rPr>
          <w:rFonts w:ascii="Arial" w:hAnsi="Arial" w:cs="Arial"/>
          <w:sz w:val="22"/>
          <w:lang w:val="es-CO"/>
        </w:rPr>
        <w:t xml:space="preserve"> </w:t>
      </w:r>
    </w:p>
    <w:p w:rsidR="00A21662" w:rsidRPr="00E91169" w:rsidRDefault="00A21662" w:rsidP="00E06BFF">
      <w:pPr>
        <w:spacing w:line="360" w:lineRule="auto"/>
        <w:ind w:right="51"/>
        <w:jc w:val="both"/>
        <w:rPr>
          <w:rFonts w:ascii="Arial" w:hAnsi="Arial" w:cs="Arial"/>
          <w:lang w:val="es-CO"/>
        </w:rPr>
      </w:pPr>
    </w:p>
    <w:p w:rsidR="00E91169" w:rsidRPr="00E91169" w:rsidRDefault="00A21662" w:rsidP="0003382C">
      <w:pPr>
        <w:shd w:val="clear" w:color="auto" w:fill="FFFFFF"/>
        <w:spacing w:line="360" w:lineRule="auto"/>
        <w:ind w:right="51"/>
        <w:jc w:val="both"/>
        <w:textAlignment w:val="baseline"/>
        <w:rPr>
          <w:rFonts w:ascii="Arial" w:hAnsi="Arial" w:cs="Arial"/>
          <w:lang w:val="es-CO"/>
        </w:rPr>
      </w:pPr>
      <w:r w:rsidRPr="00E91169">
        <w:rPr>
          <w:rFonts w:ascii="Arial" w:hAnsi="Arial" w:cs="Arial"/>
          <w:lang w:val="es-CO"/>
        </w:rPr>
        <w:t>Y respecto de</w:t>
      </w:r>
      <w:r w:rsidR="00E91169" w:rsidRPr="00E91169">
        <w:rPr>
          <w:rFonts w:ascii="Arial" w:hAnsi="Arial" w:cs="Arial"/>
          <w:lang w:val="es-CO"/>
        </w:rPr>
        <w:t xml:space="preserve"> </w:t>
      </w:r>
      <w:r w:rsidRPr="00E91169">
        <w:rPr>
          <w:rFonts w:ascii="Arial" w:hAnsi="Arial" w:cs="Arial"/>
          <w:lang w:val="es-CO"/>
        </w:rPr>
        <w:t>l</w:t>
      </w:r>
      <w:r w:rsidR="00E91169" w:rsidRPr="00E91169">
        <w:rPr>
          <w:rFonts w:ascii="Arial" w:hAnsi="Arial" w:cs="Arial"/>
          <w:lang w:val="es-CO"/>
        </w:rPr>
        <w:t>a</w:t>
      </w:r>
      <w:r w:rsidRPr="00E91169">
        <w:rPr>
          <w:rFonts w:ascii="Arial" w:hAnsi="Arial" w:cs="Arial"/>
          <w:lang w:val="es-CO"/>
        </w:rPr>
        <w:t xml:space="preserve"> última señaló que </w:t>
      </w:r>
      <w:r w:rsidR="00E91169" w:rsidRPr="00E91169">
        <w:rPr>
          <w:rFonts w:ascii="Arial" w:hAnsi="Arial" w:cs="Arial"/>
          <w:lang w:val="es-CO"/>
        </w:rPr>
        <w:t>debe advertirse</w:t>
      </w:r>
      <w:r w:rsidR="0003382C">
        <w:rPr>
          <w:rFonts w:ascii="Arial" w:hAnsi="Arial" w:cs="Arial"/>
          <w:lang w:val="es-CO"/>
        </w:rPr>
        <w:t>,</w:t>
      </w:r>
      <w:r w:rsidR="0014031D">
        <w:rPr>
          <w:rFonts w:ascii="Arial" w:hAnsi="Arial" w:cs="Arial"/>
          <w:lang w:val="es-CO"/>
        </w:rPr>
        <w:t xml:space="preserve"> por lo menos</w:t>
      </w:r>
      <w:r w:rsidR="0003382C">
        <w:rPr>
          <w:rFonts w:ascii="Arial" w:hAnsi="Arial" w:cs="Arial"/>
          <w:lang w:val="es-CO"/>
        </w:rPr>
        <w:t>,</w:t>
      </w:r>
      <w:r w:rsidR="00E91169" w:rsidRPr="00E91169">
        <w:rPr>
          <w:rFonts w:ascii="Arial" w:hAnsi="Arial" w:cs="Arial"/>
          <w:lang w:val="es-CO"/>
        </w:rPr>
        <w:t xml:space="preserve"> cumplida cualquiera de las siguientes </w:t>
      </w:r>
      <w:proofErr w:type="spellStart"/>
      <w:r w:rsidR="00E91169" w:rsidRPr="00E91169">
        <w:rPr>
          <w:rFonts w:ascii="Arial" w:hAnsi="Arial" w:cs="Arial"/>
          <w:lang w:val="es-CO"/>
        </w:rPr>
        <w:t>subreglas</w:t>
      </w:r>
      <w:proofErr w:type="spellEnd"/>
      <w:r w:rsidR="00E91169" w:rsidRPr="00E91169">
        <w:rPr>
          <w:rStyle w:val="Appelnotedebasdep"/>
          <w:rFonts w:ascii="Arial" w:hAnsi="Arial"/>
          <w:lang w:val="es-CO"/>
        </w:rPr>
        <w:footnoteReference w:id="20"/>
      </w:r>
      <w:r w:rsidR="00E91169" w:rsidRPr="00E91169">
        <w:rPr>
          <w:rFonts w:ascii="Arial" w:hAnsi="Arial" w:cs="Arial"/>
          <w:lang w:val="es-CO"/>
        </w:rPr>
        <w:t xml:space="preserve">: </w:t>
      </w:r>
    </w:p>
    <w:p w:rsidR="00E91169" w:rsidRDefault="00E91169" w:rsidP="00E91169">
      <w:pPr>
        <w:shd w:val="clear" w:color="auto" w:fill="FFFFFF"/>
        <w:ind w:right="334"/>
        <w:jc w:val="both"/>
        <w:textAlignment w:val="baseline"/>
        <w:rPr>
          <w:rFonts w:ascii="Arial" w:hAnsi="Arial" w:cs="Arial"/>
          <w:sz w:val="28"/>
          <w:lang w:val="es-CO"/>
        </w:rPr>
      </w:pPr>
    </w:p>
    <w:p w:rsidR="00E91169" w:rsidRPr="0057274D" w:rsidRDefault="00E91169" w:rsidP="00E91169">
      <w:pPr>
        <w:shd w:val="clear" w:color="auto" w:fill="FFFFFF"/>
        <w:ind w:left="567" w:right="618"/>
        <w:jc w:val="both"/>
        <w:textAlignment w:val="baseline"/>
        <w:rPr>
          <w:rFonts w:ascii="Arial" w:hAnsi="Arial" w:cs="Arial"/>
        </w:rPr>
      </w:pPr>
      <w:r w:rsidRPr="0057274D">
        <w:rPr>
          <w:rFonts w:ascii="Arial" w:hAnsi="Arial" w:cs="Arial"/>
          <w:iCs/>
          <w:bdr w:val="none" w:sz="0" w:space="0" w:color="auto" w:frame="1"/>
          <w:lang w:val="es-ES_tradnl"/>
        </w:rPr>
        <w:t>… (1) que el traslado tenga como consecuencia necesaria la afectación de la salud del servidor público o de alguno de los miembros de su núcleo familiar, especialmente porque en la localidad de destino no existan condiciones adecuadas para brindarle el cuidado médico requerido;</w:t>
      </w:r>
    </w:p>
    <w:p w:rsidR="00E91169" w:rsidRPr="00634E2E" w:rsidRDefault="00E91169" w:rsidP="00E91169">
      <w:pPr>
        <w:shd w:val="clear" w:color="auto" w:fill="FFFFFF"/>
        <w:ind w:left="567" w:right="618"/>
        <w:jc w:val="both"/>
        <w:textAlignment w:val="baseline"/>
        <w:rPr>
          <w:rFonts w:ascii="Arial" w:hAnsi="Arial" w:cs="Arial"/>
          <w:sz w:val="10"/>
          <w:szCs w:val="10"/>
        </w:rPr>
      </w:pPr>
      <w:r w:rsidRPr="00634E2E">
        <w:rPr>
          <w:rFonts w:ascii="Arial" w:hAnsi="Arial" w:cs="Arial"/>
          <w:iCs/>
          <w:sz w:val="10"/>
          <w:szCs w:val="10"/>
          <w:bdr w:val="none" w:sz="0" w:space="0" w:color="auto" w:frame="1"/>
          <w:lang w:val="es-ES_tradnl"/>
        </w:rPr>
        <w:t> </w:t>
      </w:r>
    </w:p>
    <w:p w:rsidR="00E91169" w:rsidRPr="0057274D" w:rsidRDefault="00E91169" w:rsidP="00E91169">
      <w:pPr>
        <w:shd w:val="clear" w:color="auto" w:fill="FFFFFF"/>
        <w:ind w:left="567" w:right="618"/>
        <w:jc w:val="both"/>
        <w:textAlignment w:val="baseline"/>
        <w:rPr>
          <w:rFonts w:ascii="Arial" w:hAnsi="Arial" w:cs="Arial"/>
        </w:rPr>
      </w:pPr>
      <w:r w:rsidRPr="0057274D">
        <w:rPr>
          <w:rFonts w:ascii="Arial" w:hAnsi="Arial" w:cs="Arial"/>
          <w:iCs/>
          <w:bdr w:val="none" w:sz="0" w:space="0" w:color="auto" w:frame="1"/>
          <w:lang w:val="es-ES_tradnl"/>
        </w:rPr>
        <w:t>(2) cuando la decisión de trasladar al trabajador es intempestiva y arbitraria y tiene como consecuencia necesaria la ruptura del núcleo familiar, siempre que no suponga simplemente una separación transitoria u originada en factores distintos al traslado o a circunstancias superables;</w:t>
      </w:r>
    </w:p>
    <w:p w:rsidR="00E91169" w:rsidRPr="00634E2E" w:rsidRDefault="00E91169" w:rsidP="00E91169">
      <w:pPr>
        <w:shd w:val="clear" w:color="auto" w:fill="FFFFFF"/>
        <w:ind w:left="567" w:right="618"/>
        <w:jc w:val="both"/>
        <w:textAlignment w:val="baseline"/>
        <w:rPr>
          <w:rFonts w:ascii="Arial" w:hAnsi="Arial" w:cs="Arial"/>
          <w:sz w:val="10"/>
          <w:szCs w:val="10"/>
        </w:rPr>
      </w:pPr>
      <w:r w:rsidRPr="00634E2E">
        <w:rPr>
          <w:rFonts w:ascii="Arial" w:hAnsi="Arial" w:cs="Arial"/>
          <w:iCs/>
          <w:sz w:val="10"/>
          <w:szCs w:val="10"/>
          <w:bdr w:val="none" w:sz="0" w:space="0" w:color="auto" w:frame="1"/>
          <w:lang w:val="es-ES_tradnl"/>
        </w:rPr>
        <w:t> </w:t>
      </w:r>
    </w:p>
    <w:p w:rsidR="00E91169" w:rsidRPr="0057274D" w:rsidRDefault="00E91169" w:rsidP="00E91169">
      <w:pPr>
        <w:shd w:val="clear" w:color="auto" w:fill="FFFFFF"/>
        <w:ind w:left="567" w:right="618"/>
        <w:jc w:val="both"/>
        <w:textAlignment w:val="baseline"/>
        <w:rPr>
          <w:rFonts w:ascii="Arial" w:hAnsi="Arial" w:cs="Arial"/>
        </w:rPr>
      </w:pPr>
      <w:r w:rsidRPr="0057274D">
        <w:rPr>
          <w:rFonts w:ascii="Arial" w:hAnsi="Arial" w:cs="Arial"/>
          <w:iCs/>
          <w:bdr w:val="none" w:sz="0" w:space="0" w:color="auto" w:frame="1"/>
          <w:lang w:val="es-ES_tradnl"/>
        </w:rPr>
        <w:t xml:space="preserve">(3) </w:t>
      </w:r>
      <w:proofErr w:type="gramStart"/>
      <w:r w:rsidRPr="0057274D">
        <w:rPr>
          <w:rFonts w:ascii="Arial" w:hAnsi="Arial" w:cs="Arial"/>
          <w:iCs/>
          <w:bdr w:val="none" w:sz="0" w:space="0" w:color="auto" w:frame="1"/>
          <w:lang w:val="es-ES_tradnl"/>
        </w:rPr>
        <w:t>cuando</w:t>
      </w:r>
      <w:proofErr w:type="gramEnd"/>
      <w:r w:rsidRPr="0057274D">
        <w:rPr>
          <w:rFonts w:ascii="Arial" w:hAnsi="Arial" w:cs="Arial"/>
          <w:iCs/>
          <w:bdr w:val="none" w:sz="0" w:space="0" w:color="auto" w:frame="1"/>
          <w:lang w:val="es-ES_tradnl"/>
        </w:rPr>
        <w:t xml:space="preserve"> quede demostrado que el traslado pone en serio peligro la vida o la integridad personal del servidor público o de su familia.”</w:t>
      </w:r>
      <w:r w:rsidRPr="0057274D">
        <w:rPr>
          <w:rFonts w:ascii="Arial" w:hAnsi="Arial" w:cs="Arial"/>
        </w:rPr>
        <w:t xml:space="preserve"> …</w:t>
      </w:r>
    </w:p>
    <w:p w:rsidR="00E06BFF" w:rsidRPr="00C558EE" w:rsidRDefault="00E06BFF" w:rsidP="00832CC5">
      <w:pPr>
        <w:pStyle w:val="Paragraphedeliste"/>
        <w:numPr>
          <w:ilvl w:val="0"/>
          <w:numId w:val="31"/>
        </w:numPr>
        <w:spacing w:line="360" w:lineRule="auto"/>
        <w:ind w:right="51"/>
        <w:jc w:val="both"/>
        <w:rPr>
          <w:rFonts w:ascii="Arial" w:hAnsi="Arial"/>
          <w:lang w:val="es-ES_tradnl"/>
        </w:rPr>
      </w:pPr>
      <w:r w:rsidRPr="00C558EE">
        <w:rPr>
          <w:rFonts w:ascii="Arial" w:hAnsi="Arial"/>
        </w:rPr>
        <w:lastRenderedPageBreak/>
        <w:t>EL</w:t>
      </w:r>
      <w:r w:rsidRPr="00C558EE">
        <w:rPr>
          <w:rFonts w:ascii="Arial" w:hAnsi="Arial"/>
          <w:lang w:val="es-ES_tradnl"/>
        </w:rPr>
        <w:t xml:space="preserve"> ANÁLISIS DEL CASO EN CONCRETO</w:t>
      </w:r>
    </w:p>
    <w:p w:rsidR="00E06BFF" w:rsidRPr="00E91169" w:rsidRDefault="00E06BFF" w:rsidP="00E06BFF">
      <w:pPr>
        <w:spacing w:line="360" w:lineRule="auto"/>
        <w:ind w:right="51"/>
        <w:jc w:val="both"/>
        <w:rPr>
          <w:rFonts w:ascii="Arial" w:hAnsi="Arial"/>
          <w:lang w:val="es-ES_tradnl"/>
        </w:rPr>
      </w:pPr>
    </w:p>
    <w:p w:rsidR="004C41B4" w:rsidRDefault="007E56EF" w:rsidP="004C41B4">
      <w:pPr>
        <w:spacing w:line="360" w:lineRule="auto"/>
        <w:ind w:right="51"/>
        <w:jc w:val="both"/>
        <w:rPr>
          <w:rFonts w:ascii="Arial" w:hAnsi="Arial"/>
          <w:lang w:val="es-ES_tradnl"/>
        </w:rPr>
      </w:pPr>
      <w:r>
        <w:rPr>
          <w:rFonts w:ascii="Arial" w:hAnsi="Arial" w:cs="Arial"/>
          <w:bCs/>
          <w:color w:val="000000"/>
          <w:lang w:val="es-CO"/>
        </w:rPr>
        <w:t xml:space="preserve">Nuestro </w:t>
      </w:r>
      <w:r w:rsidRPr="003830E4">
        <w:rPr>
          <w:rFonts w:ascii="Arial" w:hAnsi="Arial" w:cs="Arial"/>
          <w:bCs/>
          <w:color w:val="000000"/>
          <w:lang w:val="es-CO"/>
        </w:rPr>
        <w:t>sistema jurídico</w:t>
      </w:r>
      <w:r>
        <w:rPr>
          <w:rFonts w:ascii="Arial" w:hAnsi="Arial"/>
          <w:szCs w:val="22"/>
          <w:lang w:val="es-ES_tradnl"/>
        </w:rPr>
        <w:t xml:space="preserve">, tiene </w:t>
      </w:r>
      <w:r w:rsidRPr="003830E4">
        <w:rPr>
          <w:rFonts w:ascii="Arial" w:hAnsi="Arial" w:cs="Arial"/>
          <w:bCs/>
          <w:color w:val="000000"/>
          <w:lang w:val="es-CO"/>
        </w:rPr>
        <w:t>previsto</w:t>
      </w:r>
      <w:r>
        <w:rPr>
          <w:rFonts w:ascii="Arial" w:hAnsi="Arial" w:cs="Arial"/>
          <w:bCs/>
          <w:color w:val="000000"/>
          <w:lang w:val="es-CO"/>
        </w:rPr>
        <w:t>s</w:t>
      </w:r>
      <w:r w:rsidRPr="003830E4">
        <w:rPr>
          <w:rFonts w:ascii="Arial" w:hAnsi="Arial" w:cs="Arial"/>
          <w:bCs/>
          <w:color w:val="000000"/>
          <w:lang w:val="es-CO"/>
        </w:rPr>
        <w:t xml:space="preserve"> mecanismos de defensa</w:t>
      </w:r>
      <w:r w:rsidR="004C41B4" w:rsidRPr="003830E4">
        <w:rPr>
          <w:rFonts w:ascii="Arial" w:hAnsi="Arial" w:cs="Arial"/>
          <w:bCs/>
          <w:color w:val="000000"/>
          <w:lang w:val="es-CO"/>
        </w:rPr>
        <w:t xml:space="preserve">, como </w:t>
      </w:r>
      <w:r w:rsidR="004C41B4">
        <w:rPr>
          <w:rFonts w:ascii="Arial" w:hAnsi="Arial" w:cs="Arial"/>
          <w:color w:val="000000"/>
          <w:lang w:val="es-CO"/>
        </w:rPr>
        <w:t xml:space="preserve">los medios de control </w:t>
      </w:r>
      <w:r w:rsidR="004C41B4" w:rsidRPr="003830E4">
        <w:rPr>
          <w:rFonts w:ascii="Arial" w:hAnsi="Arial" w:cs="Arial"/>
          <w:color w:val="000000"/>
          <w:lang w:val="es-CO"/>
        </w:rPr>
        <w:t xml:space="preserve">de nulidad y restablecimiento del derecho y de simple nulidad </w:t>
      </w:r>
      <w:r w:rsidR="004C41B4">
        <w:rPr>
          <w:rFonts w:ascii="Arial" w:hAnsi="Arial" w:cs="Arial"/>
          <w:color w:val="000000"/>
          <w:lang w:val="es-CO"/>
        </w:rPr>
        <w:t>(</w:t>
      </w:r>
      <w:r w:rsidR="00E91169">
        <w:rPr>
          <w:rFonts w:ascii="Arial" w:hAnsi="Arial" w:cs="Arial"/>
          <w:color w:val="000000"/>
          <w:lang w:val="es-CO"/>
        </w:rPr>
        <w:t xml:space="preserve">Artículos </w:t>
      </w:r>
      <w:r w:rsidR="004C41B4" w:rsidRPr="003830E4">
        <w:rPr>
          <w:rFonts w:ascii="Arial" w:hAnsi="Arial" w:cs="Arial"/>
        </w:rPr>
        <w:t>137 y 138</w:t>
      </w:r>
      <w:r w:rsidR="008029DB">
        <w:rPr>
          <w:rFonts w:ascii="Arial" w:hAnsi="Arial" w:cs="Arial"/>
        </w:rPr>
        <w:t>-2</w:t>
      </w:r>
      <w:r w:rsidR="004C41B4" w:rsidRPr="003830E4">
        <w:rPr>
          <w:rFonts w:ascii="Arial" w:hAnsi="Arial" w:cs="Arial"/>
        </w:rPr>
        <w:t xml:space="preserve"> del CPACA) </w:t>
      </w:r>
      <w:r w:rsidR="00327E05">
        <w:rPr>
          <w:rFonts w:ascii="Arial" w:hAnsi="Arial" w:cs="Arial"/>
          <w:color w:val="000000"/>
          <w:lang w:val="es-CO"/>
        </w:rPr>
        <w:t xml:space="preserve">a través de </w:t>
      </w:r>
      <w:r w:rsidR="004C41B4">
        <w:rPr>
          <w:rFonts w:ascii="Arial" w:hAnsi="Arial" w:cs="Arial"/>
          <w:color w:val="000000"/>
          <w:lang w:val="es-CO"/>
        </w:rPr>
        <w:t>lo</w:t>
      </w:r>
      <w:r w:rsidR="004C41B4" w:rsidRPr="003830E4">
        <w:rPr>
          <w:rFonts w:ascii="Arial" w:hAnsi="Arial" w:cs="Arial"/>
          <w:color w:val="000000"/>
          <w:lang w:val="es-CO"/>
        </w:rPr>
        <w:t xml:space="preserve">s cuales </w:t>
      </w:r>
      <w:r>
        <w:rPr>
          <w:rFonts w:ascii="Arial" w:hAnsi="Arial" w:cs="Arial"/>
          <w:color w:val="000000"/>
          <w:lang w:val="es-CO"/>
        </w:rPr>
        <w:t xml:space="preserve">el accionante </w:t>
      </w:r>
      <w:r w:rsidR="004C41B4">
        <w:rPr>
          <w:rFonts w:ascii="Arial" w:hAnsi="Arial" w:cs="Arial"/>
          <w:color w:val="000000"/>
          <w:lang w:val="es-CO"/>
        </w:rPr>
        <w:t xml:space="preserve">puede </w:t>
      </w:r>
      <w:r w:rsidR="004C41B4" w:rsidRPr="003830E4">
        <w:rPr>
          <w:rFonts w:ascii="Arial" w:hAnsi="Arial" w:cs="Arial"/>
          <w:color w:val="000000"/>
          <w:lang w:val="es-CO"/>
        </w:rPr>
        <w:t xml:space="preserve">demandar </w:t>
      </w:r>
      <w:r w:rsidR="00E55A5E">
        <w:rPr>
          <w:rFonts w:ascii="Arial" w:hAnsi="Arial" w:cs="Arial"/>
          <w:color w:val="000000"/>
          <w:lang w:val="es-CO"/>
        </w:rPr>
        <w:t xml:space="preserve">y </w:t>
      </w:r>
      <w:r w:rsidR="004C41B4" w:rsidRPr="003830E4">
        <w:rPr>
          <w:rFonts w:ascii="Arial" w:hAnsi="Arial" w:cs="Arial"/>
          <w:color w:val="000000"/>
          <w:lang w:val="es-CO"/>
        </w:rPr>
        <w:t xml:space="preserve">solicitar la </w:t>
      </w:r>
      <w:r w:rsidR="004C41B4">
        <w:rPr>
          <w:rFonts w:ascii="Arial" w:hAnsi="Arial" w:cs="Arial"/>
          <w:color w:val="000000"/>
          <w:lang w:val="es-CO"/>
        </w:rPr>
        <w:t>medida cautelar de suspensión provisional (Artículo 230, CPACA), es decir, cuenta con</w:t>
      </w:r>
      <w:r w:rsidR="004C41B4">
        <w:rPr>
          <w:rFonts w:ascii="Arial" w:hAnsi="Arial"/>
          <w:lang w:val="es-ES_tradnl"/>
        </w:rPr>
        <w:t xml:space="preserve"> lo</w:t>
      </w:r>
      <w:r w:rsidR="005B5611">
        <w:rPr>
          <w:rFonts w:ascii="Arial" w:hAnsi="Arial"/>
          <w:lang w:val="es-ES_tradnl"/>
        </w:rPr>
        <w:t>s medios de control contencioso</w:t>
      </w:r>
      <w:r w:rsidR="004C41B4">
        <w:rPr>
          <w:rFonts w:ascii="Arial" w:hAnsi="Arial"/>
          <w:lang w:val="es-ES_tradnl"/>
        </w:rPr>
        <w:t xml:space="preserve"> administrativos, que aún no ha agotado, o al menos en el expediente falta prueba en ese sentido.</w:t>
      </w:r>
    </w:p>
    <w:p w:rsidR="00E91169" w:rsidRDefault="00E91169" w:rsidP="004C41B4">
      <w:pPr>
        <w:spacing w:line="360" w:lineRule="auto"/>
        <w:ind w:right="51"/>
        <w:jc w:val="both"/>
        <w:rPr>
          <w:rFonts w:ascii="Arial" w:hAnsi="Arial"/>
          <w:lang w:val="es-ES_tradnl"/>
        </w:rPr>
      </w:pPr>
    </w:p>
    <w:p w:rsidR="00582C5F" w:rsidRDefault="00B248B2" w:rsidP="004C41B4">
      <w:pPr>
        <w:spacing w:line="360" w:lineRule="auto"/>
        <w:ind w:right="51"/>
        <w:jc w:val="both"/>
        <w:rPr>
          <w:rFonts w:ascii="Arial" w:hAnsi="Arial"/>
        </w:rPr>
      </w:pPr>
      <w:r>
        <w:rPr>
          <w:rFonts w:ascii="Arial" w:hAnsi="Arial"/>
        </w:rPr>
        <w:t>T</w:t>
      </w:r>
      <w:r w:rsidR="004C41B4">
        <w:rPr>
          <w:rFonts w:ascii="Arial" w:hAnsi="Arial"/>
        </w:rPr>
        <w:t>ambién es viable que</w:t>
      </w:r>
      <w:r w:rsidR="0003382C">
        <w:rPr>
          <w:rFonts w:ascii="Arial" w:hAnsi="Arial"/>
        </w:rPr>
        <w:t>,</w:t>
      </w:r>
      <w:r w:rsidR="004C41B4">
        <w:rPr>
          <w:rFonts w:ascii="Arial" w:hAnsi="Arial"/>
        </w:rPr>
        <w:t xml:space="preserve"> a pesar de la existencia de los medios ordinarios</w:t>
      </w:r>
      <w:r w:rsidR="008F3867">
        <w:rPr>
          <w:rFonts w:ascii="Arial" w:hAnsi="Arial"/>
        </w:rPr>
        <w:t xml:space="preserve">, el actor </w:t>
      </w:r>
      <w:r w:rsidR="004C41B4">
        <w:rPr>
          <w:rFonts w:ascii="Arial" w:hAnsi="Arial"/>
        </w:rPr>
        <w:t xml:space="preserve">pueda acudir a la justicia constitucional, a condición de </w:t>
      </w:r>
      <w:r w:rsidR="0003382C">
        <w:rPr>
          <w:rFonts w:ascii="Arial" w:hAnsi="Arial"/>
        </w:rPr>
        <w:t>acreditar</w:t>
      </w:r>
      <w:r w:rsidR="004C41B4">
        <w:rPr>
          <w:rFonts w:ascii="Arial" w:hAnsi="Arial"/>
        </w:rPr>
        <w:t xml:space="preserve"> un perjuicio irremediable</w:t>
      </w:r>
      <w:r w:rsidR="004C41B4">
        <w:rPr>
          <w:rStyle w:val="Appelnotedebasdep"/>
          <w:rFonts w:ascii="Arial" w:hAnsi="Arial"/>
        </w:rPr>
        <w:footnoteReference w:id="21"/>
      </w:r>
      <w:r w:rsidR="00E91169">
        <w:rPr>
          <w:rFonts w:ascii="Arial" w:hAnsi="Arial"/>
        </w:rPr>
        <w:t>, puntualmente, que la decisión de traslado haya sido arbitraria</w:t>
      </w:r>
      <w:r w:rsidR="00BD52AA">
        <w:rPr>
          <w:rFonts w:ascii="Arial" w:hAnsi="Arial"/>
        </w:rPr>
        <w:t xml:space="preserve"> y comporte </w:t>
      </w:r>
      <w:r w:rsidR="00582C5F">
        <w:rPr>
          <w:rFonts w:ascii="Arial" w:hAnsi="Arial"/>
        </w:rPr>
        <w:t>la vulneración del derecho a la unidad familiar de los accionantes.</w:t>
      </w:r>
    </w:p>
    <w:p w:rsidR="00582C5F" w:rsidRDefault="00582C5F" w:rsidP="004C41B4">
      <w:pPr>
        <w:spacing w:line="360" w:lineRule="auto"/>
        <w:ind w:right="51"/>
        <w:jc w:val="both"/>
        <w:rPr>
          <w:rFonts w:ascii="Arial" w:hAnsi="Arial"/>
        </w:rPr>
      </w:pPr>
    </w:p>
    <w:p w:rsidR="00582C5F" w:rsidRDefault="00582C5F" w:rsidP="004C41B4">
      <w:pPr>
        <w:spacing w:line="360" w:lineRule="auto"/>
        <w:ind w:right="51"/>
        <w:jc w:val="both"/>
        <w:rPr>
          <w:rFonts w:ascii="Arial" w:hAnsi="Arial"/>
        </w:rPr>
      </w:pPr>
      <w:r>
        <w:rPr>
          <w:rFonts w:ascii="Arial" w:hAnsi="Arial"/>
        </w:rPr>
        <w:t>En relación con el primer supuesto, se tiene que el acto administrativo de traslado a la Subdirección Seccional de Policía Judicial – Tumaco</w:t>
      </w:r>
      <w:r w:rsidR="0003382C">
        <w:rPr>
          <w:rFonts w:ascii="Arial" w:hAnsi="Arial"/>
        </w:rPr>
        <w:t>,</w:t>
      </w:r>
      <w:r>
        <w:rPr>
          <w:rFonts w:ascii="Arial" w:hAnsi="Arial"/>
        </w:rPr>
        <w:t xml:space="preserve"> tuvo como motivación la necesidades propias del servicio (Folios 19 y 20, ib.)</w:t>
      </w:r>
      <w:r w:rsidR="008F3867">
        <w:rPr>
          <w:rFonts w:ascii="Arial" w:hAnsi="Arial"/>
        </w:rPr>
        <w:t>;</w:t>
      </w:r>
      <w:r>
        <w:rPr>
          <w:rFonts w:ascii="Arial" w:hAnsi="Arial"/>
        </w:rPr>
        <w:t xml:space="preserve"> determinación que no se antoja caprichosa, toda vez que es un trabajador público que pertenece a una planta de persona</w:t>
      </w:r>
      <w:r w:rsidR="006A6579">
        <w:rPr>
          <w:rFonts w:ascii="Arial" w:hAnsi="Arial"/>
        </w:rPr>
        <w:t>l</w:t>
      </w:r>
      <w:r>
        <w:rPr>
          <w:rFonts w:ascii="Arial" w:hAnsi="Arial"/>
        </w:rPr>
        <w:t xml:space="preserve"> global y flexible</w:t>
      </w:r>
      <w:r w:rsidR="00BE03C6">
        <w:rPr>
          <w:rStyle w:val="Appelnotedebasdep"/>
          <w:rFonts w:ascii="Arial" w:hAnsi="Arial"/>
        </w:rPr>
        <w:footnoteReference w:id="22"/>
      </w:r>
      <w:r w:rsidR="0003382C">
        <w:rPr>
          <w:rFonts w:ascii="Arial" w:hAnsi="Arial"/>
        </w:rPr>
        <w:t>,</w:t>
      </w:r>
      <w:r>
        <w:rPr>
          <w:rFonts w:ascii="Arial" w:hAnsi="Arial"/>
        </w:rPr>
        <w:t xml:space="preserve"> donde el traslado territorial es un presupuesto de la vinculación laboral y es </w:t>
      </w:r>
      <w:r w:rsidR="006A6579">
        <w:rPr>
          <w:rFonts w:ascii="Arial" w:hAnsi="Arial"/>
        </w:rPr>
        <w:t xml:space="preserve">una </w:t>
      </w:r>
      <w:r>
        <w:rPr>
          <w:rFonts w:ascii="Arial" w:hAnsi="Arial"/>
        </w:rPr>
        <w:t xml:space="preserve">circunstancia conocida por el </w:t>
      </w:r>
      <w:r w:rsidR="0003382C">
        <w:rPr>
          <w:rFonts w:ascii="Arial" w:hAnsi="Arial"/>
        </w:rPr>
        <w:t>accionante</w:t>
      </w:r>
      <w:r w:rsidR="00BE03C6">
        <w:rPr>
          <w:rFonts w:ascii="Arial" w:hAnsi="Arial"/>
        </w:rPr>
        <w:t>, por lo tanto, no se considera arbitraria la decisión de traslado</w:t>
      </w:r>
      <w:r>
        <w:rPr>
          <w:rFonts w:ascii="Arial" w:hAnsi="Arial"/>
        </w:rPr>
        <w:t>.</w:t>
      </w:r>
      <w:r w:rsidR="00BE03C6">
        <w:rPr>
          <w:rFonts w:ascii="Arial" w:hAnsi="Arial"/>
        </w:rPr>
        <w:t xml:space="preserve"> Criterio expuesto por la CC</w:t>
      </w:r>
      <w:r w:rsidR="00BE03C6">
        <w:rPr>
          <w:rStyle w:val="Appelnotedebasdep"/>
          <w:rFonts w:ascii="Arial" w:hAnsi="Arial"/>
        </w:rPr>
        <w:footnoteReference w:id="23"/>
      </w:r>
      <w:r w:rsidR="00BE03C6">
        <w:rPr>
          <w:rFonts w:ascii="Arial" w:hAnsi="Arial"/>
        </w:rPr>
        <w:t>.</w:t>
      </w:r>
    </w:p>
    <w:p w:rsidR="00582C5F" w:rsidRDefault="00582C5F" w:rsidP="004C41B4">
      <w:pPr>
        <w:spacing w:line="360" w:lineRule="auto"/>
        <w:ind w:right="51"/>
        <w:jc w:val="both"/>
        <w:rPr>
          <w:rFonts w:ascii="Arial" w:hAnsi="Arial"/>
        </w:rPr>
      </w:pPr>
    </w:p>
    <w:p w:rsidR="00E83D33" w:rsidRPr="00E83D33" w:rsidRDefault="00BE03C6" w:rsidP="004C41B4">
      <w:pPr>
        <w:spacing w:line="360" w:lineRule="auto"/>
        <w:ind w:right="51"/>
        <w:jc w:val="both"/>
        <w:rPr>
          <w:rFonts w:ascii="Arial" w:hAnsi="Arial"/>
          <w:lang w:val="es-CO"/>
        </w:rPr>
      </w:pPr>
      <w:r>
        <w:rPr>
          <w:rFonts w:ascii="Arial" w:hAnsi="Arial"/>
        </w:rPr>
        <w:t>Respecto del segundo supuesto, tampoco halla la Sala acreditada la ruptura del núcleo familiar</w:t>
      </w:r>
      <w:r w:rsidR="006A6579">
        <w:rPr>
          <w:rFonts w:ascii="Arial" w:hAnsi="Arial"/>
        </w:rPr>
        <w:t>. E</w:t>
      </w:r>
      <w:r>
        <w:rPr>
          <w:rFonts w:ascii="Arial" w:hAnsi="Arial"/>
        </w:rPr>
        <w:t>l hijo del accionante</w:t>
      </w:r>
      <w:r w:rsidR="008F3867">
        <w:rPr>
          <w:rFonts w:ascii="Arial" w:hAnsi="Arial"/>
        </w:rPr>
        <w:t xml:space="preserve"> </w:t>
      </w:r>
      <w:r>
        <w:rPr>
          <w:rFonts w:ascii="Arial" w:hAnsi="Arial"/>
        </w:rPr>
        <w:t xml:space="preserve">no está en la obligación de trasladarse al municipio de Tumaco y puede continuar residiendo en </w:t>
      </w:r>
      <w:r w:rsidR="00182573">
        <w:rPr>
          <w:rFonts w:ascii="Arial" w:hAnsi="Arial"/>
        </w:rPr>
        <w:t>la municipalidad de Dosquebradas</w:t>
      </w:r>
      <w:r w:rsidR="00E83D33">
        <w:rPr>
          <w:rFonts w:ascii="Arial" w:hAnsi="Arial"/>
        </w:rPr>
        <w:t xml:space="preserve"> con su madre</w:t>
      </w:r>
      <w:r w:rsidR="006A6579">
        <w:rPr>
          <w:rFonts w:ascii="Arial" w:hAnsi="Arial"/>
        </w:rPr>
        <w:t>; según el acervo probatorio los padres</w:t>
      </w:r>
      <w:r w:rsidR="0003382C">
        <w:rPr>
          <w:rFonts w:ascii="Arial" w:hAnsi="Arial"/>
        </w:rPr>
        <w:t>,</w:t>
      </w:r>
      <w:r w:rsidR="006A6579">
        <w:rPr>
          <w:rFonts w:ascii="Arial" w:hAnsi="Arial"/>
        </w:rPr>
        <w:t xml:space="preserve"> mancomunadamente</w:t>
      </w:r>
      <w:r w:rsidR="0003382C">
        <w:rPr>
          <w:rFonts w:ascii="Arial" w:hAnsi="Arial"/>
        </w:rPr>
        <w:t>,</w:t>
      </w:r>
      <w:r w:rsidR="006A6579">
        <w:rPr>
          <w:rFonts w:ascii="Arial" w:hAnsi="Arial"/>
        </w:rPr>
        <w:t xml:space="preserve"> </w:t>
      </w:r>
      <w:r w:rsidR="00E83D33">
        <w:rPr>
          <w:rFonts w:ascii="Arial" w:hAnsi="Arial"/>
        </w:rPr>
        <w:t xml:space="preserve">han procurado </w:t>
      </w:r>
      <w:r w:rsidR="006A6579">
        <w:rPr>
          <w:rFonts w:ascii="Arial" w:hAnsi="Arial"/>
        </w:rPr>
        <w:t xml:space="preserve">por cubrir las necesidades </w:t>
      </w:r>
      <w:r w:rsidR="000E5996">
        <w:rPr>
          <w:rFonts w:ascii="Arial" w:hAnsi="Arial"/>
        </w:rPr>
        <w:t>del joven Sebastián Vaca Amaya, quien a estas alturas es mayor de edad</w:t>
      </w:r>
      <w:r w:rsidR="00E83D33">
        <w:rPr>
          <w:rFonts w:ascii="Arial" w:hAnsi="Arial"/>
        </w:rPr>
        <w:t>;</w:t>
      </w:r>
      <w:r w:rsidR="000E5996">
        <w:rPr>
          <w:rFonts w:ascii="Arial" w:hAnsi="Arial"/>
        </w:rPr>
        <w:t xml:space="preserve"> además, </w:t>
      </w:r>
      <w:r w:rsidR="00E83D33">
        <w:rPr>
          <w:rFonts w:ascii="Arial" w:hAnsi="Arial"/>
        </w:rPr>
        <w:t xml:space="preserve">ya superó las dificultades </w:t>
      </w:r>
      <w:r w:rsidR="00182573">
        <w:rPr>
          <w:rFonts w:ascii="Arial" w:hAnsi="Arial"/>
        </w:rPr>
        <w:t xml:space="preserve">con </w:t>
      </w:r>
      <w:r w:rsidR="0003382C">
        <w:rPr>
          <w:rFonts w:ascii="Arial" w:hAnsi="Arial"/>
        </w:rPr>
        <w:t>el consumo de sustancias estupefacientes sicoactivas</w:t>
      </w:r>
      <w:r w:rsidR="00E83D33">
        <w:rPr>
          <w:rFonts w:ascii="Arial" w:hAnsi="Arial"/>
        </w:rPr>
        <w:t xml:space="preserve">, según </w:t>
      </w:r>
      <w:r w:rsidR="00E83D33">
        <w:rPr>
          <w:rFonts w:ascii="Arial" w:hAnsi="Arial"/>
          <w:lang w:val="es-CO"/>
        </w:rPr>
        <w:t>se afirmó en el petitorio</w:t>
      </w:r>
      <w:r w:rsidR="00182573">
        <w:rPr>
          <w:rFonts w:ascii="Arial" w:hAnsi="Arial"/>
        </w:rPr>
        <w:t xml:space="preserve">, </w:t>
      </w:r>
      <w:r w:rsidR="000E5996">
        <w:rPr>
          <w:rFonts w:ascii="Arial" w:hAnsi="Arial"/>
        </w:rPr>
        <w:t xml:space="preserve">inclusive, se encuentra </w:t>
      </w:r>
      <w:r w:rsidR="00E83D33">
        <w:rPr>
          <w:rFonts w:ascii="Arial" w:hAnsi="Arial"/>
        </w:rPr>
        <w:t>cursando estudios universitarios y puede continuar</w:t>
      </w:r>
      <w:r w:rsidR="00BD52AA">
        <w:rPr>
          <w:rFonts w:ascii="Arial" w:hAnsi="Arial"/>
        </w:rPr>
        <w:t>los</w:t>
      </w:r>
      <w:r w:rsidR="00E83D33">
        <w:rPr>
          <w:rFonts w:ascii="Arial" w:hAnsi="Arial"/>
        </w:rPr>
        <w:t xml:space="preserve"> bajo el cuidado de su madre, quien nunca se ha desligado de sus obligaciones (Folio 29, ib.). </w:t>
      </w:r>
    </w:p>
    <w:p w:rsidR="00E83D33" w:rsidRDefault="00E83D33" w:rsidP="004C41B4">
      <w:pPr>
        <w:spacing w:line="360" w:lineRule="auto"/>
        <w:ind w:right="51"/>
        <w:jc w:val="both"/>
        <w:rPr>
          <w:rFonts w:ascii="Arial" w:hAnsi="Arial"/>
        </w:rPr>
      </w:pPr>
    </w:p>
    <w:p w:rsidR="00831144" w:rsidRDefault="00831144" w:rsidP="004C41B4">
      <w:pPr>
        <w:spacing w:line="360" w:lineRule="auto"/>
        <w:ind w:right="51"/>
        <w:jc w:val="both"/>
        <w:rPr>
          <w:rFonts w:ascii="Arial" w:hAnsi="Arial"/>
        </w:rPr>
      </w:pPr>
      <w:r>
        <w:rPr>
          <w:rFonts w:ascii="Arial" w:hAnsi="Arial"/>
        </w:rPr>
        <w:lastRenderedPageBreak/>
        <w:t>T</w:t>
      </w:r>
      <w:r w:rsidR="00E83D33">
        <w:rPr>
          <w:rFonts w:ascii="Arial" w:hAnsi="Arial"/>
        </w:rPr>
        <w:t xml:space="preserve">ampoco se haya probado que en el municipio de Tumaco </w:t>
      </w:r>
      <w:r w:rsidR="0003382C">
        <w:rPr>
          <w:rFonts w:ascii="Arial" w:hAnsi="Arial"/>
        </w:rPr>
        <w:t>falten</w:t>
      </w:r>
      <w:r w:rsidR="00E83D33">
        <w:rPr>
          <w:rFonts w:ascii="Arial" w:hAnsi="Arial"/>
        </w:rPr>
        <w:t xml:space="preserve"> condiciones adecuadas para brindarle el servicio de salud, ni siquiera lo alegó en el amparo; si bien es cierto se encuentra incapacitado por una enfermedad de origen común</w:t>
      </w:r>
      <w:r w:rsidR="0003382C">
        <w:rPr>
          <w:rFonts w:ascii="Arial" w:hAnsi="Arial"/>
        </w:rPr>
        <w:t>,</w:t>
      </w:r>
      <w:r w:rsidR="00E83D33">
        <w:rPr>
          <w:rFonts w:ascii="Arial" w:hAnsi="Arial"/>
        </w:rPr>
        <w:t xml:space="preserve"> y que hoy día </w:t>
      </w:r>
      <w:r>
        <w:rPr>
          <w:rFonts w:ascii="Arial" w:hAnsi="Arial"/>
        </w:rPr>
        <w:t xml:space="preserve">está </w:t>
      </w:r>
      <w:r w:rsidR="00E83D33">
        <w:rPr>
          <w:rFonts w:ascii="Arial" w:hAnsi="Arial"/>
        </w:rPr>
        <w:t xml:space="preserve">en trámite la apelación de la calificación de pérdida de capacidad laboral, ello </w:t>
      </w:r>
      <w:r w:rsidR="0003382C">
        <w:rPr>
          <w:rFonts w:ascii="Arial" w:hAnsi="Arial"/>
        </w:rPr>
        <w:t>en manera alguna indica</w:t>
      </w:r>
      <w:r w:rsidR="00E83D33">
        <w:rPr>
          <w:rFonts w:ascii="Arial" w:hAnsi="Arial"/>
        </w:rPr>
        <w:t xml:space="preserve"> que </w:t>
      </w:r>
      <w:r w:rsidR="0003382C">
        <w:rPr>
          <w:rFonts w:ascii="Arial" w:hAnsi="Arial"/>
        </w:rPr>
        <w:t xml:space="preserve">carecerá de tal </w:t>
      </w:r>
      <w:r>
        <w:rPr>
          <w:rFonts w:ascii="Arial" w:hAnsi="Arial"/>
        </w:rPr>
        <w:t>servicio</w:t>
      </w:r>
      <w:r w:rsidR="0003382C">
        <w:rPr>
          <w:rFonts w:ascii="Arial" w:hAnsi="Arial"/>
        </w:rPr>
        <w:t>,</w:t>
      </w:r>
      <w:r>
        <w:rPr>
          <w:rFonts w:ascii="Arial" w:hAnsi="Arial"/>
        </w:rPr>
        <w:t xml:space="preserve"> y menos de que allí los centros médicos no tengan la capacidad para atenderlo. Además, puede seguir </w:t>
      </w:r>
      <w:r w:rsidR="0003382C">
        <w:rPr>
          <w:rFonts w:ascii="Arial" w:hAnsi="Arial"/>
        </w:rPr>
        <w:t xml:space="preserve">incapacitado </w:t>
      </w:r>
      <w:r>
        <w:rPr>
          <w:rFonts w:ascii="Arial" w:hAnsi="Arial"/>
        </w:rPr>
        <w:t>en la municipalidad</w:t>
      </w:r>
      <w:r w:rsidR="0003382C">
        <w:rPr>
          <w:rFonts w:ascii="Arial" w:hAnsi="Arial"/>
        </w:rPr>
        <w:t xml:space="preserve"> a</w:t>
      </w:r>
      <w:r>
        <w:rPr>
          <w:rFonts w:ascii="Arial" w:hAnsi="Arial"/>
        </w:rPr>
        <w:t xml:space="preserve"> donde fue trasladado. </w:t>
      </w:r>
    </w:p>
    <w:p w:rsidR="00831144" w:rsidRDefault="00831144" w:rsidP="004C41B4">
      <w:pPr>
        <w:spacing w:line="360" w:lineRule="auto"/>
        <w:ind w:right="51"/>
        <w:jc w:val="both"/>
        <w:rPr>
          <w:rFonts w:ascii="Arial" w:hAnsi="Arial"/>
        </w:rPr>
      </w:pPr>
    </w:p>
    <w:p w:rsidR="00327E05" w:rsidRDefault="00831144" w:rsidP="004C41B4">
      <w:pPr>
        <w:spacing w:line="360" w:lineRule="auto"/>
        <w:ind w:right="51"/>
        <w:jc w:val="both"/>
        <w:rPr>
          <w:rFonts w:ascii="Arial" w:hAnsi="Arial"/>
        </w:rPr>
      </w:pPr>
      <w:r>
        <w:rPr>
          <w:rFonts w:ascii="Arial" w:hAnsi="Arial"/>
        </w:rPr>
        <w:t xml:space="preserve">Finalmente, no se probó que la vida e integridad personal suya y de su familia estarían en peligro en </w:t>
      </w:r>
      <w:r w:rsidR="00BD52AA">
        <w:rPr>
          <w:rFonts w:ascii="Arial" w:hAnsi="Arial"/>
        </w:rPr>
        <w:t xml:space="preserve">esa </w:t>
      </w:r>
      <w:r>
        <w:rPr>
          <w:rFonts w:ascii="Arial" w:hAnsi="Arial"/>
        </w:rPr>
        <w:t>localidad</w:t>
      </w:r>
      <w:r w:rsidR="0014031D">
        <w:rPr>
          <w:rFonts w:ascii="Arial" w:hAnsi="Arial"/>
        </w:rPr>
        <w:t xml:space="preserve">; en ese orden de ideas, </w:t>
      </w:r>
      <w:r w:rsidR="0003382C">
        <w:rPr>
          <w:rFonts w:ascii="Arial" w:hAnsi="Arial"/>
        </w:rPr>
        <w:t xml:space="preserve">se echan de menos </w:t>
      </w:r>
      <w:r w:rsidR="004C41B4">
        <w:rPr>
          <w:rFonts w:ascii="Arial" w:hAnsi="Arial"/>
        </w:rPr>
        <w:t>las características de inminencia del daño, gravedad</w:t>
      </w:r>
      <w:r w:rsidR="007E56EF">
        <w:rPr>
          <w:rFonts w:ascii="Arial" w:hAnsi="Arial"/>
        </w:rPr>
        <w:t xml:space="preserve">, urgencia e </w:t>
      </w:r>
      <w:proofErr w:type="spellStart"/>
      <w:r w:rsidR="007E56EF">
        <w:rPr>
          <w:rFonts w:ascii="Arial" w:hAnsi="Arial"/>
        </w:rPr>
        <w:t>impostergabilidad</w:t>
      </w:r>
      <w:proofErr w:type="spellEnd"/>
      <w:r w:rsidR="0014031D">
        <w:rPr>
          <w:rFonts w:ascii="Arial" w:hAnsi="Arial"/>
        </w:rPr>
        <w:t>, que den merito a la procedencia de este amparo</w:t>
      </w:r>
      <w:r w:rsidR="007E56EF">
        <w:rPr>
          <w:rFonts w:ascii="Arial" w:hAnsi="Arial"/>
        </w:rPr>
        <w:t xml:space="preserve">. No se trata de una persona de especial protección constitucional ni se encuentra en un estado de debilidad manifiesta que haga necesaria la intervención de juez constitucional, </w:t>
      </w:r>
      <w:r w:rsidR="00BD52AA">
        <w:rPr>
          <w:rFonts w:ascii="Arial" w:hAnsi="Arial"/>
        </w:rPr>
        <w:t xml:space="preserve">la sola incapacidad es insuficiente, </w:t>
      </w:r>
      <w:r w:rsidR="007E56EF">
        <w:rPr>
          <w:rFonts w:ascii="Arial" w:hAnsi="Arial"/>
        </w:rPr>
        <w:t xml:space="preserve">de tal suerte, que </w:t>
      </w:r>
      <w:r w:rsidR="004C41B4">
        <w:rPr>
          <w:rFonts w:ascii="Arial" w:hAnsi="Arial"/>
        </w:rPr>
        <w:t>el medio de control administrativo sí es idóneo y eficaz para resolver la cuestión litigiosa, máxime que el trámite procesal ahora es oral.</w:t>
      </w:r>
      <w:r w:rsidR="008029DB">
        <w:rPr>
          <w:rFonts w:ascii="Arial" w:hAnsi="Arial"/>
        </w:rPr>
        <w:t xml:space="preserve"> </w:t>
      </w:r>
    </w:p>
    <w:p w:rsidR="00327E05" w:rsidRPr="00415E01" w:rsidRDefault="00327E05" w:rsidP="004C41B4">
      <w:pPr>
        <w:spacing w:line="360" w:lineRule="auto"/>
        <w:ind w:right="51"/>
        <w:jc w:val="both"/>
        <w:rPr>
          <w:rFonts w:ascii="Arial" w:hAnsi="Arial"/>
          <w:sz w:val="22"/>
        </w:rPr>
      </w:pPr>
    </w:p>
    <w:p w:rsidR="00E06BFF" w:rsidRDefault="00E06BFF" w:rsidP="008C6364">
      <w:pPr>
        <w:pStyle w:val="Corpsdetex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14031D" w:rsidRPr="00415E01" w:rsidRDefault="0014031D" w:rsidP="0014031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22"/>
          <w:szCs w:val="24"/>
        </w:rPr>
      </w:pPr>
    </w:p>
    <w:p w:rsidR="00E06BFF" w:rsidRDefault="00E06BFF"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F00F95">
        <w:rPr>
          <w:rFonts w:ascii="Arial" w:hAnsi="Arial" w:cs="Arial"/>
          <w:szCs w:val="24"/>
        </w:rPr>
        <w:t xml:space="preserve">En armonía con las premisas expuestas en los acápites anteriores se declarará </w:t>
      </w:r>
      <w:r w:rsidR="008C6364">
        <w:rPr>
          <w:rFonts w:ascii="Arial" w:hAnsi="Arial" w:cs="Arial"/>
          <w:szCs w:val="24"/>
        </w:rPr>
        <w:t>improcedente</w:t>
      </w:r>
      <w:r w:rsidR="00635E64">
        <w:rPr>
          <w:rFonts w:ascii="Arial" w:hAnsi="Arial" w:cs="Arial"/>
          <w:szCs w:val="24"/>
        </w:rPr>
        <w:t xml:space="preserve"> </w:t>
      </w:r>
      <w:r>
        <w:rPr>
          <w:rFonts w:ascii="Arial" w:hAnsi="Arial" w:cs="Arial"/>
          <w:szCs w:val="24"/>
        </w:rPr>
        <w:t xml:space="preserve">la </w:t>
      </w:r>
      <w:r w:rsidR="00635E64">
        <w:rPr>
          <w:rFonts w:ascii="Arial" w:hAnsi="Arial" w:cs="Arial"/>
          <w:szCs w:val="24"/>
        </w:rPr>
        <w:t xml:space="preserve">  </w:t>
      </w:r>
      <w:r>
        <w:rPr>
          <w:rFonts w:ascii="Arial" w:hAnsi="Arial" w:cs="Arial"/>
          <w:szCs w:val="24"/>
        </w:rPr>
        <w:t>acción</w:t>
      </w:r>
      <w:r w:rsidRPr="00F00F95">
        <w:rPr>
          <w:rFonts w:ascii="Arial" w:hAnsi="Arial" w:cs="Arial"/>
          <w:szCs w:val="24"/>
        </w:rPr>
        <w:t xml:space="preserve">, </w:t>
      </w:r>
      <w:r w:rsidR="00635E64">
        <w:rPr>
          <w:rFonts w:ascii="Arial" w:hAnsi="Arial" w:cs="Arial"/>
          <w:szCs w:val="24"/>
        </w:rPr>
        <w:t xml:space="preserve"> </w:t>
      </w:r>
      <w:r w:rsidR="00635E64">
        <w:t xml:space="preserve"> </w:t>
      </w:r>
      <w:r w:rsidRPr="00F00F95">
        <w:rPr>
          <w:rFonts w:ascii="Arial" w:hAnsi="Arial" w:cs="Arial"/>
          <w:szCs w:val="24"/>
        </w:rPr>
        <w:t>pues</w:t>
      </w:r>
      <w:r>
        <w:rPr>
          <w:rFonts w:ascii="Arial" w:hAnsi="Arial" w:cs="Arial"/>
          <w:szCs w:val="24"/>
        </w:rPr>
        <w:t xml:space="preserve"> </w:t>
      </w:r>
      <w:r w:rsidR="00635E64">
        <w:rPr>
          <w:rFonts w:ascii="Arial" w:hAnsi="Arial" w:cs="Arial"/>
          <w:szCs w:val="24"/>
        </w:rPr>
        <w:t xml:space="preserve">  </w:t>
      </w:r>
      <w:r w:rsidR="0014031D">
        <w:rPr>
          <w:rFonts w:ascii="Arial" w:hAnsi="Arial" w:cs="Arial"/>
          <w:szCs w:val="24"/>
        </w:rPr>
        <w:t>los accionantes cuentan</w:t>
      </w:r>
      <w:r w:rsidR="00635E64">
        <w:rPr>
          <w:rFonts w:ascii="Arial" w:hAnsi="Arial" w:cs="Arial"/>
          <w:szCs w:val="24"/>
        </w:rPr>
        <w:t xml:space="preserve"> </w:t>
      </w:r>
      <w:r w:rsidRPr="00F00F95">
        <w:rPr>
          <w:rFonts w:ascii="Arial" w:hAnsi="Arial" w:cs="Arial"/>
          <w:szCs w:val="24"/>
        </w:rPr>
        <w:t xml:space="preserve">con </w:t>
      </w:r>
      <w:r w:rsidR="00635E64">
        <w:rPr>
          <w:rFonts w:ascii="Arial" w:hAnsi="Arial" w:cs="Arial"/>
          <w:szCs w:val="24"/>
        </w:rPr>
        <w:t xml:space="preserve"> </w:t>
      </w:r>
      <w:r w:rsidRPr="00F00F95">
        <w:rPr>
          <w:rFonts w:ascii="Arial" w:hAnsi="Arial" w:cs="Arial"/>
          <w:szCs w:val="24"/>
        </w:rPr>
        <w:t xml:space="preserve">un </w:t>
      </w:r>
      <w:r w:rsidR="00635E64">
        <w:rPr>
          <w:rFonts w:ascii="Arial" w:hAnsi="Arial" w:cs="Arial"/>
          <w:szCs w:val="24"/>
        </w:rPr>
        <w:t xml:space="preserve"> </w:t>
      </w:r>
      <w:r w:rsidRPr="00F00F95">
        <w:rPr>
          <w:rFonts w:ascii="Arial" w:hAnsi="Arial" w:cs="Arial"/>
          <w:szCs w:val="24"/>
        </w:rPr>
        <w:t xml:space="preserve">mecanismo </w:t>
      </w:r>
      <w:r w:rsidR="00635E64">
        <w:rPr>
          <w:rFonts w:ascii="Arial" w:hAnsi="Arial" w:cs="Arial"/>
          <w:szCs w:val="24"/>
        </w:rPr>
        <w:t xml:space="preserve"> </w:t>
      </w:r>
      <w:r w:rsidRPr="00F00F95">
        <w:rPr>
          <w:rFonts w:ascii="Arial" w:hAnsi="Arial" w:cs="Arial"/>
          <w:szCs w:val="24"/>
        </w:rPr>
        <w:t xml:space="preserve">eficaz </w:t>
      </w:r>
      <w:r w:rsidR="00635E64">
        <w:rPr>
          <w:rFonts w:ascii="Arial" w:hAnsi="Arial" w:cs="Arial"/>
          <w:szCs w:val="24"/>
        </w:rPr>
        <w:t xml:space="preserve"> </w:t>
      </w:r>
      <w:r w:rsidRPr="00F00F95">
        <w:rPr>
          <w:rFonts w:ascii="Arial" w:hAnsi="Arial" w:cs="Arial"/>
          <w:szCs w:val="24"/>
        </w:rPr>
        <w:t xml:space="preserve">para salvaguardar </w:t>
      </w:r>
      <w:r>
        <w:rPr>
          <w:rFonts w:ascii="Arial" w:hAnsi="Arial" w:cs="Arial"/>
          <w:szCs w:val="24"/>
        </w:rPr>
        <w:t xml:space="preserve">los </w:t>
      </w:r>
      <w:r w:rsidRPr="00F00F95">
        <w:rPr>
          <w:rFonts w:ascii="Arial" w:hAnsi="Arial" w:cs="Arial"/>
          <w:szCs w:val="24"/>
        </w:rPr>
        <w:t>derecho</w:t>
      </w:r>
      <w:r>
        <w:rPr>
          <w:rFonts w:ascii="Arial" w:hAnsi="Arial" w:cs="Arial"/>
          <w:szCs w:val="24"/>
        </w:rPr>
        <w:t>s</w:t>
      </w:r>
      <w:r w:rsidRPr="00F00F95">
        <w:rPr>
          <w:rFonts w:ascii="Arial" w:hAnsi="Arial" w:cs="Arial"/>
          <w:szCs w:val="24"/>
        </w:rPr>
        <w:t xml:space="preserve"> </w:t>
      </w:r>
      <w:r w:rsidR="0099718B">
        <w:rPr>
          <w:rFonts w:ascii="Arial" w:hAnsi="Arial" w:cs="Arial"/>
          <w:szCs w:val="24"/>
        </w:rPr>
        <w:t>alegados</w:t>
      </w:r>
      <w:r w:rsidR="008C6364">
        <w:rPr>
          <w:rFonts w:ascii="Arial" w:hAnsi="Arial" w:cs="Arial"/>
          <w:szCs w:val="24"/>
        </w:rPr>
        <w:t xml:space="preserve"> y no se demostró un daño irreparable para hacer viable el amparo</w:t>
      </w:r>
      <w:r w:rsidR="0099718B">
        <w:rPr>
          <w:rFonts w:ascii="Arial" w:hAnsi="Arial" w:cs="Arial"/>
          <w:szCs w:val="24"/>
        </w:rPr>
        <w:t>.</w:t>
      </w:r>
    </w:p>
    <w:p w:rsidR="00635E64" w:rsidRPr="00415E01" w:rsidRDefault="00635E64"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E06BFF" w:rsidRDefault="00E06BFF" w:rsidP="00E06BF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E06BFF" w:rsidRDefault="00E06BFF" w:rsidP="00E06BFF">
      <w:pPr>
        <w:pStyle w:val="Corpsdetexte"/>
        <w:spacing w:line="360" w:lineRule="auto"/>
        <w:jc w:val="center"/>
        <w:rPr>
          <w:rFonts w:ascii="Arial" w:hAnsi="Arial" w:cs="Arial"/>
          <w:bCs/>
          <w:smallCaps/>
          <w:sz w:val="28"/>
          <w:szCs w:val="22"/>
        </w:rPr>
      </w:pPr>
      <w:r w:rsidRPr="004C6ED5">
        <w:rPr>
          <w:rFonts w:ascii="Arial" w:hAnsi="Arial" w:cs="Arial"/>
          <w:bCs/>
          <w:smallCaps/>
          <w:sz w:val="28"/>
          <w:szCs w:val="22"/>
        </w:rPr>
        <w:t xml:space="preserve">F </w:t>
      </w:r>
      <w:r w:rsidRPr="004C6ED5">
        <w:rPr>
          <w:rFonts w:ascii="Arial" w:hAnsi="Arial" w:cs="Arial"/>
          <w:bCs/>
          <w:smallCaps/>
          <w:szCs w:val="22"/>
        </w:rPr>
        <w:t xml:space="preserve">A L </w:t>
      </w:r>
      <w:proofErr w:type="spellStart"/>
      <w:r w:rsidRPr="004C6ED5">
        <w:rPr>
          <w:rFonts w:ascii="Arial" w:hAnsi="Arial" w:cs="Arial"/>
          <w:bCs/>
          <w:smallCaps/>
          <w:szCs w:val="22"/>
        </w:rPr>
        <w:t>L</w:t>
      </w:r>
      <w:proofErr w:type="spellEnd"/>
      <w:r w:rsidRPr="004C6ED5">
        <w:rPr>
          <w:rFonts w:ascii="Arial" w:hAnsi="Arial" w:cs="Arial"/>
          <w:bCs/>
          <w:smallCaps/>
          <w:szCs w:val="22"/>
        </w:rPr>
        <w:t xml:space="preserve"> A</w:t>
      </w:r>
      <w:r w:rsidRPr="004C6ED5">
        <w:rPr>
          <w:rFonts w:ascii="Arial" w:hAnsi="Arial" w:cs="Arial"/>
          <w:bCs/>
          <w:smallCaps/>
          <w:sz w:val="28"/>
          <w:szCs w:val="22"/>
        </w:rPr>
        <w:t>,</w:t>
      </w:r>
    </w:p>
    <w:p w:rsidR="001C33DC" w:rsidRPr="00415E01" w:rsidRDefault="001C33DC" w:rsidP="00E06BFF">
      <w:pPr>
        <w:pStyle w:val="Corpsdetexte"/>
        <w:spacing w:line="360" w:lineRule="auto"/>
        <w:jc w:val="center"/>
        <w:rPr>
          <w:rFonts w:ascii="Arial" w:hAnsi="Arial" w:cs="Arial"/>
          <w:bCs/>
          <w:smallCaps/>
          <w:sz w:val="16"/>
          <w:szCs w:val="22"/>
        </w:rPr>
      </w:pPr>
    </w:p>
    <w:p w:rsidR="00E06BFF"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845E28">
        <w:rPr>
          <w:rFonts w:ascii="Arial" w:hAnsi="Arial"/>
          <w:szCs w:val="24"/>
        </w:rPr>
        <w:t xml:space="preserve">DECLARAR improcedente la acción de tutela promovida por </w:t>
      </w:r>
      <w:r w:rsidR="0014031D">
        <w:rPr>
          <w:rFonts w:ascii="Arial" w:hAnsi="Arial"/>
          <w:szCs w:val="24"/>
        </w:rPr>
        <w:t xml:space="preserve">los </w:t>
      </w:r>
      <w:r w:rsidRPr="00845E28">
        <w:rPr>
          <w:rFonts w:ascii="Arial" w:hAnsi="Arial"/>
          <w:szCs w:val="24"/>
        </w:rPr>
        <w:t>señor</w:t>
      </w:r>
      <w:r w:rsidR="0014031D">
        <w:rPr>
          <w:rFonts w:ascii="Arial" w:hAnsi="Arial"/>
          <w:szCs w:val="24"/>
        </w:rPr>
        <w:t>es</w:t>
      </w:r>
      <w:r w:rsidR="00386A76" w:rsidRPr="00845E28">
        <w:rPr>
          <w:rFonts w:ascii="Arial" w:hAnsi="Arial"/>
          <w:szCs w:val="24"/>
        </w:rPr>
        <w:t xml:space="preserve"> </w:t>
      </w:r>
      <w:r w:rsidR="0014031D">
        <w:rPr>
          <w:rFonts w:ascii="Arial" w:hAnsi="Arial"/>
          <w:szCs w:val="24"/>
          <w:lang w:val="es-ES"/>
        </w:rPr>
        <w:t xml:space="preserve">César Albeiro Vaca Orrego y Sebastián Vaca Amaya </w:t>
      </w:r>
      <w:r w:rsidRPr="00845E28">
        <w:rPr>
          <w:rFonts w:ascii="Arial" w:hAnsi="Arial"/>
          <w:szCs w:val="24"/>
        </w:rPr>
        <w:t xml:space="preserve">en contra de </w:t>
      </w:r>
      <w:r w:rsidR="00386A76" w:rsidRPr="00845E28">
        <w:rPr>
          <w:rFonts w:ascii="Arial" w:hAnsi="Arial"/>
          <w:szCs w:val="22"/>
        </w:rPr>
        <w:t xml:space="preserve">la </w:t>
      </w:r>
      <w:proofErr w:type="spellStart"/>
      <w:r w:rsidR="0014031D">
        <w:rPr>
          <w:rFonts w:ascii="Arial" w:hAnsi="Arial"/>
          <w:szCs w:val="22"/>
        </w:rPr>
        <w:t>FGN</w:t>
      </w:r>
      <w:proofErr w:type="spellEnd"/>
      <w:r w:rsidR="0014031D">
        <w:rPr>
          <w:rFonts w:ascii="Arial" w:hAnsi="Arial"/>
          <w:szCs w:val="22"/>
        </w:rPr>
        <w:t xml:space="preserve"> y la </w:t>
      </w:r>
      <w:proofErr w:type="spellStart"/>
      <w:r w:rsidR="0014031D">
        <w:rPr>
          <w:rFonts w:ascii="Arial" w:hAnsi="Arial"/>
          <w:szCs w:val="22"/>
        </w:rPr>
        <w:t>Vicefiscalía</w:t>
      </w:r>
      <w:proofErr w:type="spellEnd"/>
      <w:r w:rsidR="0014031D">
        <w:rPr>
          <w:rFonts w:ascii="Arial" w:hAnsi="Arial"/>
          <w:szCs w:val="22"/>
        </w:rPr>
        <w:t xml:space="preserve"> General de la Nación</w:t>
      </w:r>
      <w:r w:rsidRPr="00845E28">
        <w:rPr>
          <w:rFonts w:ascii="Arial" w:hAnsi="Arial"/>
          <w:szCs w:val="24"/>
        </w:rPr>
        <w:t>.</w:t>
      </w:r>
    </w:p>
    <w:p w:rsidR="001C33DC" w:rsidRPr="00415E01" w:rsidRDefault="001C33DC" w:rsidP="001C33DC">
      <w:pPr>
        <w:pStyle w:val="Corpsdetexte"/>
        <w:tabs>
          <w:tab w:val="clear" w:pos="708"/>
        </w:tabs>
        <w:spacing w:line="360" w:lineRule="auto"/>
        <w:ind w:left="360"/>
        <w:rPr>
          <w:rFonts w:ascii="Arial" w:hAnsi="Arial"/>
          <w:sz w:val="18"/>
          <w:szCs w:val="24"/>
        </w:rPr>
      </w:pPr>
    </w:p>
    <w:p w:rsidR="00E06BFF" w:rsidRPr="00225C6D"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225C6D">
        <w:rPr>
          <w:rFonts w:ascii="Arial" w:hAnsi="Arial"/>
          <w:szCs w:val="24"/>
        </w:rPr>
        <w:t>NOTIFICAR esta decisión a todas las partes, por el medio más expedito y eficaz.</w:t>
      </w:r>
    </w:p>
    <w:p w:rsidR="001C33DC" w:rsidRPr="00415E01" w:rsidRDefault="001C33DC" w:rsidP="001C33DC">
      <w:pPr>
        <w:pStyle w:val="Corpsdetexte"/>
        <w:tabs>
          <w:tab w:val="clear" w:pos="708"/>
        </w:tabs>
        <w:spacing w:line="360" w:lineRule="auto"/>
        <w:ind w:left="360"/>
        <w:rPr>
          <w:rFonts w:ascii="Arial" w:hAnsi="Arial"/>
          <w:sz w:val="18"/>
          <w:szCs w:val="24"/>
        </w:rPr>
      </w:pPr>
    </w:p>
    <w:p w:rsidR="00E06BFF" w:rsidRPr="00225C6D"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225C6D">
        <w:rPr>
          <w:rFonts w:ascii="Arial" w:hAnsi="Arial" w:cs="Arial"/>
          <w:szCs w:val="24"/>
        </w:rPr>
        <w:t xml:space="preserve">REMITIR este expediente, a la </w:t>
      </w:r>
      <w:r w:rsidR="00415E01">
        <w:rPr>
          <w:rFonts w:ascii="Arial" w:hAnsi="Arial" w:cs="Arial"/>
          <w:szCs w:val="24"/>
        </w:rPr>
        <w:t xml:space="preserve">CC </w:t>
      </w:r>
      <w:r w:rsidRPr="00225C6D">
        <w:rPr>
          <w:rFonts w:ascii="Arial" w:hAnsi="Arial" w:cs="Arial"/>
          <w:szCs w:val="24"/>
        </w:rPr>
        <w:t xml:space="preserve">para su eventual revisión, de no ser impugnada. </w:t>
      </w:r>
    </w:p>
    <w:p w:rsidR="001C33DC" w:rsidRPr="00415E01" w:rsidRDefault="001C33DC" w:rsidP="001C33DC">
      <w:pPr>
        <w:pStyle w:val="Paragraphedeliste"/>
        <w:widowControl/>
        <w:autoSpaceDE/>
        <w:autoSpaceDN/>
        <w:adjustRightInd/>
        <w:spacing w:line="360" w:lineRule="auto"/>
        <w:ind w:left="360" w:right="51"/>
        <w:contextualSpacing/>
        <w:jc w:val="both"/>
        <w:rPr>
          <w:rFonts w:ascii="Arial" w:hAnsi="Arial"/>
          <w:sz w:val="18"/>
        </w:rPr>
      </w:pPr>
    </w:p>
    <w:p w:rsidR="00FF5B57" w:rsidRPr="00A30437" w:rsidRDefault="00E06BFF" w:rsidP="00E06BFF">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25C6D">
        <w:rPr>
          <w:rFonts w:ascii="Arial" w:hAnsi="Arial"/>
        </w:rPr>
        <w:t xml:space="preserve">ARCHIVAR el expediente, previas anotaciones en los libros </w:t>
      </w:r>
      <w:proofErr w:type="spellStart"/>
      <w:r w:rsidRPr="00225C6D">
        <w:rPr>
          <w:rFonts w:ascii="Arial" w:hAnsi="Arial"/>
        </w:rPr>
        <w:t>radicadores</w:t>
      </w:r>
      <w:proofErr w:type="spellEnd"/>
      <w:r w:rsidRPr="00225C6D">
        <w:rPr>
          <w:rFonts w:ascii="Arial" w:hAnsi="Arial"/>
        </w:rPr>
        <w:t>, una vez agotado el trámite ante la Corte Constitucional.</w:t>
      </w:r>
    </w:p>
    <w:p w:rsidR="00626C89" w:rsidRPr="00415E01" w:rsidRDefault="00626C89" w:rsidP="00FF5B57">
      <w:pPr>
        <w:pStyle w:val="Paragraphedeliste"/>
        <w:widowControl/>
        <w:autoSpaceDE/>
        <w:autoSpaceDN/>
        <w:adjustRightInd/>
        <w:spacing w:line="360" w:lineRule="auto"/>
        <w:ind w:left="360" w:right="51"/>
        <w:contextualSpacing/>
        <w:jc w:val="both"/>
        <w:rPr>
          <w:rFonts w:ascii="Arial" w:hAnsi="Arial"/>
          <w:sz w:val="6"/>
        </w:rPr>
      </w:pPr>
    </w:p>
    <w:p w:rsidR="00126266" w:rsidRPr="004C6ED5" w:rsidRDefault="00126266" w:rsidP="00126266">
      <w:pPr>
        <w:pStyle w:val="Corpsdetexte"/>
        <w:spacing w:line="360" w:lineRule="auto"/>
        <w:jc w:val="center"/>
        <w:rPr>
          <w:rFonts w:ascii="Arial" w:hAnsi="Arial"/>
          <w:smallCaps/>
          <w:sz w:val="28"/>
          <w:szCs w:val="24"/>
          <w:lang w:val="en-US"/>
        </w:rPr>
      </w:pPr>
      <w:proofErr w:type="spellStart"/>
      <w:r w:rsidRPr="004C6ED5">
        <w:rPr>
          <w:rFonts w:ascii="Arial" w:hAnsi="Arial"/>
          <w:smallCaps/>
          <w:sz w:val="28"/>
          <w:szCs w:val="24"/>
          <w:lang w:val="en-US"/>
        </w:rPr>
        <w:lastRenderedPageBreak/>
        <w:t>Notifíquese</w:t>
      </w:r>
      <w:proofErr w:type="spellEnd"/>
      <w:r w:rsidRPr="004C6ED5">
        <w:rPr>
          <w:rFonts w:ascii="Arial" w:hAnsi="Arial"/>
          <w:smallCaps/>
          <w:sz w:val="28"/>
          <w:szCs w:val="24"/>
          <w:lang w:val="en-US"/>
        </w:rPr>
        <w:t>,</w:t>
      </w:r>
    </w:p>
    <w:p w:rsidR="00415E01" w:rsidRP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415E01" w:rsidRP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415E01" w:rsidRP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Cs w:val="18"/>
          <w:lang w:val="en-US"/>
        </w:rPr>
      </w:pPr>
    </w:p>
    <w:p w:rsidR="00415E01" w:rsidRP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16"/>
          <w:szCs w:val="18"/>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415E01">
      <w:pPr>
        <w:pStyle w:val="Corpsdetex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845E28">
        <w:rPr>
          <w:rFonts w:ascii="Arial" w:hAnsi="Arial"/>
          <w:w w:val="150"/>
          <w:sz w:val="8"/>
          <w:szCs w:val="10"/>
          <w:lang w:val="en-US"/>
        </w:rPr>
        <w:t>ODCD</w:t>
      </w:r>
      <w:r w:rsidR="005C4C0F">
        <w:rPr>
          <w:rFonts w:ascii="Arial" w:hAnsi="Arial"/>
          <w:w w:val="150"/>
          <w:sz w:val="8"/>
          <w:szCs w:val="10"/>
          <w:lang w:val="en-US"/>
        </w:rPr>
        <w:t>/</w:t>
      </w:r>
      <w:r w:rsidR="00845E28">
        <w:rPr>
          <w:rFonts w:ascii="Arial" w:hAnsi="Arial"/>
          <w:w w:val="150"/>
          <w:sz w:val="8"/>
          <w:szCs w:val="10"/>
          <w:lang w:val="en-US"/>
        </w:rPr>
        <w:t>2017</w:t>
      </w:r>
    </w:p>
    <w:sectPr w:rsidR="00C87D22" w:rsidSect="001C33DC">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90" w:rsidRDefault="00147590" w:rsidP="0099045D">
      <w:r>
        <w:separator/>
      </w:r>
    </w:p>
  </w:endnote>
  <w:endnote w:type="continuationSeparator" w:id="0">
    <w:p w:rsidR="00147590" w:rsidRDefault="0014759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73" w:rsidRDefault="00182573"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82573" w:rsidRDefault="00182573" w:rsidP="0013771A">
    <w:pPr>
      <w:pStyle w:val="Pieddepage"/>
      <w:spacing w:line="360" w:lineRule="auto"/>
      <w:jc w:val="right"/>
      <w:rPr>
        <w:rFonts w:ascii="Arial" w:hAnsi="Arial" w:cs="Arial"/>
        <w:spacing w:val="20"/>
        <w:w w:val="200"/>
        <w:sz w:val="14"/>
        <w:szCs w:val="10"/>
        <w:lang w:val="es-CO"/>
      </w:rPr>
    </w:pPr>
  </w:p>
  <w:p w:rsidR="00182573" w:rsidRPr="003E18D8" w:rsidRDefault="00182573"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82573" w:rsidRPr="007F7D49" w:rsidRDefault="00182573"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90" w:rsidRDefault="00147590" w:rsidP="0099045D">
      <w:r>
        <w:separator/>
      </w:r>
    </w:p>
  </w:footnote>
  <w:footnote w:type="continuationSeparator" w:id="0">
    <w:p w:rsidR="00147590" w:rsidRDefault="00147590" w:rsidP="0099045D">
      <w:r>
        <w:continuationSeparator/>
      </w:r>
    </w:p>
  </w:footnote>
  <w:footnote w:id="1">
    <w:p w:rsidR="00634E2E" w:rsidRPr="00BE03C6" w:rsidRDefault="00634E2E" w:rsidP="00634E2E">
      <w:pPr>
        <w:pStyle w:val="Notedebasdepage"/>
        <w:jc w:val="both"/>
        <w:rPr>
          <w:rFonts w:ascii="Calibri" w:hAnsi="Calibri"/>
          <w:sz w:val="24"/>
          <w:lang w:val="es-CO"/>
        </w:rPr>
      </w:pPr>
      <w:r w:rsidRPr="00BE03C6">
        <w:rPr>
          <w:rStyle w:val="Appelnotedebasdep"/>
        </w:rPr>
        <w:footnoteRef/>
      </w:r>
      <w:r w:rsidRPr="00BE03C6">
        <w:t xml:space="preserve"> </w:t>
      </w:r>
      <w:r w:rsidRPr="00BE03C6">
        <w:rPr>
          <w:rFonts w:ascii="Calibri" w:hAnsi="Calibri"/>
          <w:lang w:val="es-CO"/>
        </w:rPr>
        <w:t xml:space="preserve">CC. </w:t>
      </w:r>
      <w:r w:rsidRPr="00BE03C6">
        <w:rPr>
          <w:rFonts w:ascii="Calibri" w:hAnsi="Calibri"/>
          <w:shd w:val="clear" w:color="auto" w:fill="FFFFFF"/>
        </w:rPr>
        <w:t xml:space="preserve">T-1498 de 2000. </w:t>
      </w:r>
      <w:r w:rsidRPr="00BE03C6">
        <w:rPr>
          <w:rFonts w:ascii="Calibri" w:hAnsi="Calibri"/>
          <w:i/>
          <w:iCs/>
          <w:sz w:val="18"/>
          <w:shd w:val="clear" w:color="auto" w:fill="FFFFFF"/>
          <w:lang w:val="es-ES_tradnl"/>
        </w:rPr>
        <w:t xml:space="preserve">“(…) en el sector público existen ciertas entidades que en razón de las funciones que les corresponde cumplir, </w:t>
      </w:r>
      <w:r w:rsidRPr="00BE03C6">
        <w:rPr>
          <w:rFonts w:ascii="Calibri" w:hAnsi="Calibri"/>
          <w:i/>
          <w:iCs/>
          <w:sz w:val="18"/>
          <w:u w:val="single"/>
          <w:shd w:val="clear" w:color="auto" w:fill="FFFFFF"/>
          <w:lang w:val="es-ES_tradnl"/>
        </w:rPr>
        <w:t>necesitan una planta de personal global y flexible</w:t>
      </w:r>
      <w:r w:rsidRPr="00BE03C6">
        <w:rPr>
          <w:rFonts w:ascii="Calibri" w:hAnsi="Calibri"/>
          <w:i/>
          <w:iCs/>
          <w:sz w:val="18"/>
          <w:shd w:val="clear" w:color="auto" w:fill="FFFFFF"/>
          <w:lang w:val="es-ES_tradnl"/>
        </w:rPr>
        <w:t xml:space="preserve"> y, por lo tanto, requieren de un mayor grado de discrecionalidad en materia de traslados.</w:t>
      </w:r>
      <w:r w:rsidRPr="00BE03C6">
        <w:rPr>
          <w:rFonts w:ascii="Calibri" w:hAnsi="Calibri"/>
          <w:i/>
          <w:iCs/>
          <w:sz w:val="18"/>
          <w:shd w:val="clear" w:color="auto" w:fill="FFFFFF"/>
          <w:vertAlign w:val="superscript"/>
          <w:lang w:val="es-ES_tradnl"/>
        </w:rPr>
        <w:t> </w:t>
      </w:r>
      <w:r w:rsidRPr="00BE03C6">
        <w:rPr>
          <w:rFonts w:ascii="Calibri" w:hAnsi="Calibri"/>
          <w:i/>
          <w:iCs/>
          <w:sz w:val="18"/>
          <w:shd w:val="clear" w:color="auto" w:fill="FFFFFF"/>
          <w:lang w:val="es-ES_tradnl"/>
        </w:rPr>
        <w:t xml:space="preserve">Dentro de este grupo de entidades se encuentra </w:t>
      </w:r>
      <w:r w:rsidRPr="00BE03C6">
        <w:rPr>
          <w:rFonts w:ascii="Calibri" w:hAnsi="Calibri"/>
          <w:i/>
          <w:iCs/>
          <w:sz w:val="18"/>
          <w:u w:val="single"/>
          <w:shd w:val="clear" w:color="auto" w:fill="FFFFFF"/>
          <w:lang w:val="es-ES_tradnl"/>
        </w:rPr>
        <w:t>la Fiscalía General de la Nación</w:t>
      </w:r>
      <w:r w:rsidRPr="00BE03C6">
        <w:rPr>
          <w:rFonts w:ascii="Calibri" w:hAnsi="Calibri"/>
          <w:i/>
          <w:iCs/>
          <w:sz w:val="18"/>
          <w:shd w:val="clear" w:color="auto" w:fill="FFFFFF"/>
          <w:lang w:val="es-ES_tradnl"/>
        </w:rPr>
        <w:t>, la cual en ejercicio de la mencionada facultad discrecional, puede determinar la reubicación territorial de sus funcionarios y empleados, con el fin de mejorar la prestación del servicio (…)”.</w:t>
      </w:r>
      <w:r>
        <w:rPr>
          <w:rFonts w:ascii="Calibri" w:hAnsi="Calibri"/>
          <w:i/>
          <w:iCs/>
          <w:shd w:val="clear" w:color="auto" w:fill="FFFFFF"/>
          <w:lang w:val="es-ES_tradnl"/>
        </w:rPr>
        <w:t xml:space="preserve"> </w:t>
      </w:r>
      <w:r w:rsidRPr="00BE03C6">
        <w:rPr>
          <w:rFonts w:ascii="Calibri" w:hAnsi="Calibri"/>
          <w:iCs/>
          <w:shd w:val="clear" w:color="auto" w:fill="FFFFFF"/>
          <w:lang w:val="es-ES_tradnl"/>
        </w:rPr>
        <w:t>(</w:t>
      </w:r>
      <w:proofErr w:type="spellStart"/>
      <w:r w:rsidRPr="00BE03C6">
        <w:rPr>
          <w:rFonts w:ascii="Calibri" w:hAnsi="Calibri"/>
          <w:iCs/>
          <w:shd w:val="clear" w:color="auto" w:fill="FFFFFF"/>
          <w:lang w:val="es-ES_tradnl"/>
        </w:rPr>
        <w:t>Sublìnea</w:t>
      </w:r>
      <w:proofErr w:type="spellEnd"/>
      <w:r w:rsidRPr="00BE03C6">
        <w:rPr>
          <w:rFonts w:ascii="Calibri" w:hAnsi="Calibri"/>
          <w:iCs/>
          <w:shd w:val="clear" w:color="auto" w:fill="FFFFFF"/>
          <w:lang w:val="es-ES_tradnl"/>
        </w:rPr>
        <w:t xml:space="preserve"> de la Sala)</w:t>
      </w:r>
      <w:r>
        <w:rPr>
          <w:rFonts w:ascii="Calibri" w:hAnsi="Calibri"/>
          <w:iCs/>
          <w:shd w:val="clear" w:color="auto" w:fill="FFFFFF"/>
          <w:lang w:val="es-ES_tradnl"/>
        </w:rPr>
        <w:t>.</w:t>
      </w:r>
    </w:p>
  </w:footnote>
  <w:footnote w:id="2">
    <w:p w:rsidR="00182573" w:rsidRPr="00634E2E" w:rsidRDefault="00182573" w:rsidP="00E06BFF">
      <w:pPr>
        <w:pStyle w:val="Notedebasdepage"/>
        <w:jc w:val="both"/>
        <w:rPr>
          <w:rFonts w:ascii="Calibri" w:hAnsi="Calibri"/>
          <w:lang w:val="fr-FR"/>
        </w:rPr>
      </w:pPr>
      <w:r w:rsidRPr="00671FA7">
        <w:rPr>
          <w:rStyle w:val="Appelnotedebasdep"/>
          <w:rFonts w:ascii="Calibri" w:hAnsi="Calibri" w:cs="Calibri"/>
        </w:rPr>
        <w:footnoteRef/>
      </w:r>
      <w:r w:rsidRPr="00634E2E">
        <w:rPr>
          <w:rFonts w:ascii="Calibri" w:hAnsi="Calibri" w:cs="Calibri"/>
          <w:lang w:val="fr-FR"/>
        </w:rPr>
        <w:t xml:space="preserve"> CC. T-324 de 1993.</w:t>
      </w:r>
    </w:p>
  </w:footnote>
  <w:footnote w:id="3">
    <w:p w:rsidR="00182573" w:rsidRPr="00634E2E" w:rsidRDefault="00182573" w:rsidP="00276D37">
      <w:pPr>
        <w:pStyle w:val="Notedebasdepage"/>
        <w:rPr>
          <w:rFonts w:asciiTheme="minorHAnsi" w:hAnsiTheme="minorHAnsi"/>
          <w:lang w:val="fr-FR"/>
        </w:rPr>
      </w:pPr>
      <w:r w:rsidRPr="00482736">
        <w:rPr>
          <w:rStyle w:val="Appelnotedebasdep"/>
          <w:rFonts w:asciiTheme="minorHAnsi" w:hAnsiTheme="minorHAnsi"/>
        </w:rPr>
        <w:footnoteRef/>
      </w:r>
      <w:r w:rsidRPr="00634E2E">
        <w:rPr>
          <w:rFonts w:asciiTheme="minorHAnsi" w:hAnsiTheme="minorHAnsi"/>
          <w:lang w:val="fr-FR"/>
        </w:rPr>
        <w:t xml:space="preserve"> </w:t>
      </w:r>
      <w:r w:rsidRPr="00634E2E">
        <w:rPr>
          <w:rFonts w:asciiTheme="minorHAnsi" w:hAnsiTheme="minorHAnsi" w:cs="Courier New"/>
          <w:lang w:val="fr-FR"/>
        </w:rPr>
        <w:t xml:space="preserve">CC. </w:t>
      </w:r>
      <w:hyperlink r:id="rId1" w:history="1">
        <w:proofErr w:type="spellStart"/>
        <w:r w:rsidRPr="00634E2E">
          <w:rPr>
            <w:rStyle w:val="Lienhypertexte"/>
            <w:rFonts w:asciiTheme="minorHAnsi" w:hAnsiTheme="minorHAnsi" w:cs="Courier New"/>
            <w:color w:val="auto"/>
            <w:u w:val="none"/>
            <w:lang w:val="fr-FR"/>
          </w:rPr>
          <w:t>SU-499</w:t>
        </w:r>
        <w:proofErr w:type="spellEnd"/>
        <w:r w:rsidRPr="00634E2E">
          <w:rPr>
            <w:rStyle w:val="Lienhypertexte"/>
            <w:rFonts w:asciiTheme="minorHAnsi" w:hAnsiTheme="minorHAnsi" w:cs="Courier New"/>
            <w:color w:val="auto"/>
            <w:u w:val="none"/>
            <w:lang w:val="fr-FR"/>
          </w:rPr>
          <w:t xml:space="preserve"> de 2016</w:t>
        </w:r>
      </w:hyperlink>
      <w:r w:rsidRPr="00634E2E">
        <w:rPr>
          <w:rFonts w:asciiTheme="minorHAnsi" w:hAnsiTheme="minorHAnsi" w:cs="Courier New"/>
          <w:lang w:val="fr-FR"/>
        </w:rPr>
        <w:t xml:space="preserve">. </w:t>
      </w:r>
    </w:p>
  </w:footnote>
  <w:footnote w:id="4">
    <w:p w:rsidR="00182573" w:rsidRPr="001619BD" w:rsidRDefault="00182573" w:rsidP="00E06BFF">
      <w:pPr>
        <w:pStyle w:val="Notedebasdepage"/>
        <w:jc w:val="both"/>
      </w:pPr>
      <w:r w:rsidRPr="001619BD">
        <w:rPr>
          <w:rStyle w:val="Appelnotedebasdep"/>
          <w:rFonts w:ascii="Calibri" w:hAnsi="Calibri" w:cs="Calibri"/>
        </w:rPr>
        <w:footnoteRef/>
      </w:r>
      <w:r w:rsidRPr="001619BD">
        <w:rPr>
          <w:rFonts w:ascii="Calibri" w:hAnsi="Calibri" w:cs="Calibri"/>
        </w:rPr>
        <w:t xml:space="preserve"> </w:t>
      </w:r>
      <w:r w:rsidRPr="001619BD">
        <w:rPr>
          <w:rFonts w:ascii="Calibri" w:hAnsi="Calibri" w:cs="Calibri"/>
          <w:lang w:val="es-CO"/>
        </w:rPr>
        <w:t xml:space="preserve">CC. </w:t>
      </w:r>
      <w:r w:rsidRPr="001619BD">
        <w:rPr>
          <w:rFonts w:ascii="Calibri" w:hAnsi="Calibri" w:cs="Calibri"/>
        </w:rPr>
        <w:t>T-482 de 1992.</w:t>
      </w:r>
    </w:p>
  </w:footnote>
  <w:footnote w:id="5">
    <w:p w:rsidR="00182573" w:rsidRDefault="00182573" w:rsidP="00E06BFF">
      <w:pPr>
        <w:pStyle w:val="Notedebasdepage"/>
      </w:pPr>
      <w:r w:rsidRPr="001619BD">
        <w:rPr>
          <w:rStyle w:val="Appelnotedebasdep"/>
          <w:rFonts w:ascii="Calibri" w:hAnsi="Calibri" w:cs="Calibri"/>
        </w:rPr>
        <w:footnoteRef/>
      </w:r>
      <w:r w:rsidRPr="001619BD">
        <w:rPr>
          <w:rFonts w:ascii="Calibri" w:hAnsi="Calibri" w:cs="Calibri"/>
        </w:rPr>
        <w:t xml:space="preserve"> </w:t>
      </w:r>
      <w:r w:rsidRPr="001619BD">
        <w:rPr>
          <w:rFonts w:ascii="Calibri" w:hAnsi="Calibri" w:cs="Calibri"/>
          <w:lang w:val="es-MX"/>
        </w:rPr>
        <w:t>BERNAL P</w:t>
      </w:r>
      <w:r w:rsidR="001C33DC">
        <w:rPr>
          <w:rFonts w:ascii="Calibri" w:hAnsi="Calibri" w:cs="Calibri"/>
          <w:lang w:val="es-MX"/>
        </w:rPr>
        <w:t>.</w:t>
      </w:r>
      <w:r w:rsidRPr="001619BD">
        <w:rPr>
          <w:rFonts w:ascii="Calibri" w:hAnsi="Calibri" w:cs="Calibri"/>
          <w:lang w:val="es-MX"/>
        </w:rPr>
        <w:t xml:space="preserve">, Carlos. El derecho fundamental </w:t>
      </w:r>
      <w:r>
        <w:rPr>
          <w:rFonts w:ascii="Calibri" w:hAnsi="Calibri" w:cs="Calibri"/>
          <w:lang w:val="es-MX"/>
        </w:rPr>
        <w:t xml:space="preserve">al debido proceso, </w:t>
      </w:r>
      <w:r w:rsidRPr="000A6F06">
        <w:rPr>
          <w:rFonts w:ascii="Calibri" w:hAnsi="Calibri" w:cs="Calibri"/>
        </w:rPr>
        <w:t>Señal editora, Bogotá, 2004, p.37.</w:t>
      </w:r>
    </w:p>
  </w:footnote>
  <w:footnote w:id="6">
    <w:p w:rsidR="00182573" w:rsidRPr="001619BD" w:rsidRDefault="00182573">
      <w:pPr>
        <w:pStyle w:val="Notedebasdepage"/>
        <w:rPr>
          <w:rFonts w:asciiTheme="minorHAnsi" w:hAnsiTheme="minorHAnsi"/>
          <w:lang w:val="es-CO"/>
        </w:rPr>
      </w:pPr>
      <w:r w:rsidRPr="001619BD">
        <w:rPr>
          <w:rStyle w:val="Appelnotedebasdep"/>
          <w:rFonts w:asciiTheme="minorHAnsi" w:hAnsiTheme="minorHAnsi"/>
        </w:rPr>
        <w:footnoteRef/>
      </w:r>
      <w:r w:rsidRPr="001619BD">
        <w:rPr>
          <w:rFonts w:asciiTheme="minorHAnsi" w:hAnsiTheme="minorHAnsi"/>
        </w:rPr>
        <w:t xml:space="preserve"> </w:t>
      </w:r>
      <w:r w:rsidRPr="001619BD">
        <w:rPr>
          <w:rFonts w:asciiTheme="minorHAnsi" w:hAnsiTheme="minorHAnsi"/>
          <w:lang w:val="es-CO"/>
        </w:rPr>
        <w:t>CC. T-051 de 2016, C-034 de 2014 y C-980 de 2010, entre otras.</w:t>
      </w:r>
    </w:p>
  </w:footnote>
  <w:footnote w:id="7">
    <w:p w:rsidR="00182573" w:rsidRPr="00634E2E" w:rsidRDefault="00182573" w:rsidP="00E06BFF">
      <w:pPr>
        <w:pStyle w:val="Notedebasdepage"/>
        <w:jc w:val="both"/>
        <w:rPr>
          <w:lang w:val="fr-FR"/>
        </w:rPr>
      </w:pPr>
      <w:r w:rsidRPr="000A6F06">
        <w:rPr>
          <w:rStyle w:val="Appelnotedebasdep"/>
          <w:rFonts w:ascii="Calibri" w:hAnsi="Calibri" w:cs="Calibri"/>
        </w:rPr>
        <w:footnoteRef/>
      </w:r>
      <w:r w:rsidRPr="00634E2E">
        <w:rPr>
          <w:rFonts w:ascii="Calibri" w:hAnsi="Calibri" w:cs="Calibri"/>
          <w:lang w:val="fr-FR"/>
        </w:rPr>
        <w:t xml:space="preserve"> CC. T-203 de 1993.</w:t>
      </w:r>
    </w:p>
  </w:footnote>
  <w:footnote w:id="8">
    <w:p w:rsidR="00182573" w:rsidRPr="00634E2E" w:rsidRDefault="00182573" w:rsidP="008D32DD">
      <w:pPr>
        <w:pStyle w:val="Notedebasdepage"/>
        <w:jc w:val="both"/>
        <w:rPr>
          <w:rFonts w:ascii="Calibri" w:hAnsi="Calibri"/>
          <w:lang w:val="fr-FR"/>
        </w:rPr>
      </w:pPr>
      <w:r w:rsidRPr="00EE0D9D">
        <w:rPr>
          <w:rStyle w:val="Appelnotedebasdep"/>
          <w:rFonts w:ascii="Calibri" w:hAnsi="Calibri"/>
        </w:rPr>
        <w:footnoteRef/>
      </w:r>
      <w:r w:rsidRPr="00634E2E">
        <w:rPr>
          <w:rFonts w:ascii="Calibri" w:hAnsi="Calibri"/>
          <w:lang w:val="fr-FR"/>
        </w:rPr>
        <w:t xml:space="preserve"> CC. </w:t>
      </w:r>
      <w:r w:rsidRPr="00634E2E">
        <w:rPr>
          <w:rFonts w:ascii="Calibri" w:hAnsi="Calibri"/>
          <w:bCs/>
          <w:lang w:val="fr-FR"/>
        </w:rPr>
        <w:t>T-565 de 2014</w:t>
      </w:r>
    </w:p>
  </w:footnote>
  <w:footnote w:id="9">
    <w:p w:rsidR="00182573" w:rsidRPr="00634E2E" w:rsidRDefault="00182573" w:rsidP="00F63BA1">
      <w:pPr>
        <w:pStyle w:val="Notedebasdepage"/>
        <w:rPr>
          <w:rFonts w:ascii="Calibri" w:hAnsi="Calibri"/>
          <w:lang w:val="fr-FR"/>
        </w:rPr>
      </w:pPr>
      <w:r w:rsidRPr="00EE0D9D">
        <w:rPr>
          <w:rStyle w:val="Appelnotedebasdep"/>
          <w:rFonts w:ascii="Calibri" w:hAnsi="Calibri"/>
        </w:rPr>
        <w:footnoteRef/>
      </w:r>
      <w:r w:rsidRPr="00634E2E">
        <w:rPr>
          <w:rFonts w:ascii="Calibri" w:hAnsi="Calibri"/>
          <w:lang w:val="fr-FR"/>
        </w:rPr>
        <w:t xml:space="preserve"> CC. T-471 de 2015.</w:t>
      </w:r>
    </w:p>
  </w:footnote>
  <w:footnote w:id="10">
    <w:p w:rsidR="00182573" w:rsidRPr="00634E2E" w:rsidRDefault="00182573" w:rsidP="00E06BFF">
      <w:pPr>
        <w:pStyle w:val="Notedebasdepage"/>
        <w:jc w:val="both"/>
        <w:rPr>
          <w:rFonts w:ascii="Calibri" w:hAnsi="Calibri"/>
          <w:lang w:val="fr-FR"/>
        </w:rPr>
      </w:pPr>
      <w:r w:rsidRPr="00EE0D9D">
        <w:rPr>
          <w:rFonts w:ascii="Calibri" w:hAnsi="Calibri" w:cs="Calibri"/>
          <w:vertAlign w:val="superscript"/>
        </w:rPr>
        <w:footnoteRef/>
      </w:r>
      <w:r w:rsidRPr="00634E2E">
        <w:rPr>
          <w:rFonts w:ascii="Calibri" w:hAnsi="Calibri" w:cs="Calibri"/>
          <w:lang w:val="fr-FR"/>
        </w:rPr>
        <w:t xml:space="preserve"> CC. T- 572 de 2015. </w:t>
      </w:r>
    </w:p>
  </w:footnote>
  <w:footnote w:id="11">
    <w:p w:rsidR="00182573" w:rsidRPr="00EE0D9D" w:rsidRDefault="00182573" w:rsidP="00E06BFF">
      <w:pPr>
        <w:pStyle w:val="Notedebasdepage"/>
        <w:jc w:val="both"/>
        <w:rPr>
          <w:rFonts w:ascii="Calibri" w:hAnsi="Calibri"/>
        </w:rPr>
      </w:pPr>
      <w:r w:rsidRPr="00EE0D9D">
        <w:rPr>
          <w:rFonts w:ascii="Calibri" w:hAnsi="Calibri" w:cs="Calibri"/>
          <w:vertAlign w:val="superscript"/>
        </w:rPr>
        <w:footnoteRef/>
      </w:r>
      <w:r w:rsidRPr="00EE0D9D">
        <w:rPr>
          <w:rFonts w:ascii="Calibri" w:hAnsi="Calibri" w:cs="Calibri"/>
          <w:lang w:val="es-CO"/>
        </w:rPr>
        <w:t xml:space="preserve"> </w:t>
      </w:r>
      <w:r w:rsidRPr="00EE0D9D">
        <w:rPr>
          <w:rFonts w:ascii="Calibri" w:hAnsi="Calibri" w:cs="Calibri"/>
          <w:lang w:val="es-MX"/>
        </w:rPr>
        <w:t xml:space="preserve">CC. </w:t>
      </w:r>
      <w:r w:rsidRPr="00EE0D9D">
        <w:rPr>
          <w:rFonts w:ascii="Calibri" w:hAnsi="Calibri" w:cs="Calibri"/>
          <w:lang w:val="es-CO"/>
        </w:rPr>
        <w:t xml:space="preserve">T-046 de 1995, reiterada en las </w:t>
      </w:r>
      <w:r w:rsidRPr="00EE0D9D">
        <w:rPr>
          <w:rFonts w:ascii="Calibri" w:hAnsi="Calibri" w:cs="Calibri"/>
          <w:bCs/>
          <w:lang w:val="es-CO"/>
        </w:rPr>
        <w:t>T-722 de 2014 y</w:t>
      </w:r>
      <w:r w:rsidRPr="00EE0D9D">
        <w:rPr>
          <w:rFonts w:ascii="Calibri" w:hAnsi="Calibri" w:cs="Calibri"/>
          <w:b/>
          <w:bCs/>
          <w:lang w:val="es-CO"/>
        </w:rPr>
        <w:t xml:space="preserve"> </w:t>
      </w:r>
      <w:r w:rsidRPr="00EE0D9D">
        <w:rPr>
          <w:rFonts w:ascii="Calibri" w:hAnsi="Calibri" w:cs="Calibri"/>
          <w:bCs/>
          <w:lang w:val="es-CO"/>
        </w:rPr>
        <w:t>T-572 de 2015, entre otras</w:t>
      </w:r>
      <w:r w:rsidRPr="00EE0D9D">
        <w:rPr>
          <w:rFonts w:ascii="Calibri" w:hAnsi="Calibri" w:cs="Calibri"/>
          <w:lang w:val="es-CO"/>
        </w:rPr>
        <w:t xml:space="preserve">. </w:t>
      </w:r>
    </w:p>
  </w:footnote>
  <w:footnote w:id="12">
    <w:p w:rsidR="00182573" w:rsidRPr="00634E2E" w:rsidRDefault="00182573" w:rsidP="00E06BFF">
      <w:pPr>
        <w:pStyle w:val="Notedebasdepage"/>
        <w:jc w:val="both"/>
        <w:rPr>
          <w:lang w:val="fr-FR"/>
        </w:rPr>
      </w:pPr>
      <w:r w:rsidRPr="00EE0D9D">
        <w:rPr>
          <w:rFonts w:ascii="Calibri" w:hAnsi="Calibri" w:cs="Calibri"/>
          <w:vertAlign w:val="superscript"/>
        </w:rPr>
        <w:footnoteRef/>
      </w:r>
      <w:r w:rsidRPr="00634E2E">
        <w:rPr>
          <w:rFonts w:ascii="Calibri" w:hAnsi="Calibri" w:cs="Calibri"/>
          <w:lang w:val="fr-FR"/>
        </w:rPr>
        <w:t xml:space="preserve"> CC. T-100 de 1994, T-256 de 1995, T-325 de 1995, T-455 de 1996, T-459 de 1996, T-083 de 1997, </w:t>
      </w:r>
      <w:proofErr w:type="spellStart"/>
      <w:r w:rsidRPr="00634E2E">
        <w:rPr>
          <w:rFonts w:ascii="Calibri" w:hAnsi="Calibri" w:cs="Calibri"/>
          <w:lang w:val="fr-FR"/>
        </w:rPr>
        <w:t>SU-133</w:t>
      </w:r>
      <w:proofErr w:type="spellEnd"/>
      <w:r w:rsidRPr="00634E2E">
        <w:rPr>
          <w:rFonts w:ascii="Calibri" w:hAnsi="Calibri" w:cs="Calibri"/>
          <w:lang w:val="fr-FR"/>
        </w:rPr>
        <w:t xml:space="preserve"> de 1998 y </w:t>
      </w:r>
      <w:r w:rsidRPr="00634E2E">
        <w:rPr>
          <w:rFonts w:ascii="Calibri" w:hAnsi="Calibri" w:cs="Calibri"/>
          <w:bCs/>
          <w:lang w:val="fr-FR"/>
        </w:rPr>
        <w:t xml:space="preserve">T-247 de 2015, entre </w:t>
      </w:r>
      <w:proofErr w:type="spellStart"/>
      <w:r w:rsidRPr="00634E2E">
        <w:rPr>
          <w:rFonts w:ascii="Calibri" w:hAnsi="Calibri" w:cs="Calibri"/>
          <w:bCs/>
          <w:lang w:val="fr-FR"/>
        </w:rPr>
        <w:t>otras</w:t>
      </w:r>
      <w:proofErr w:type="spellEnd"/>
      <w:r w:rsidRPr="00634E2E">
        <w:rPr>
          <w:rFonts w:ascii="Calibri" w:hAnsi="Calibri" w:cs="Calibri"/>
          <w:lang w:val="fr-FR"/>
        </w:rPr>
        <w:t>.</w:t>
      </w:r>
    </w:p>
  </w:footnote>
  <w:footnote w:id="13">
    <w:p w:rsidR="00182573" w:rsidRDefault="00182573" w:rsidP="00E06BFF">
      <w:pPr>
        <w:pStyle w:val="Notedebasdepage"/>
        <w:jc w:val="both"/>
      </w:pPr>
      <w:r w:rsidRPr="000A6F06">
        <w:rPr>
          <w:rFonts w:ascii="Calibri" w:hAnsi="Calibri" w:cs="Calibri"/>
          <w:vertAlign w:val="superscript"/>
        </w:rPr>
        <w:footnoteRef/>
      </w:r>
      <w:r w:rsidRPr="000A6F06">
        <w:rPr>
          <w:rFonts w:ascii="Calibri" w:hAnsi="Calibri" w:cs="Calibri"/>
          <w:lang w:val="es-CO"/>
        </w:rPr>
        <w:t xml:space="preserve"> </w:t>
      </w:r>
      <w:r>
        <w:rPr>
          <w:rFonts w:ascii="Calibri" w:hAnsi="Calibri" w:cs="Calibri"/>
          <w:lang w:val="es-CO"/>
        </w:rPr>
        <w:t xml:space="preserve">CC. </w:t>
      </w:r>
      <w:r w:rsidRPr="000A6F06">
        <w:rPr>
          <w:rFonts w:ascii="Calibri" w:hAnsi="Calibri" w:cs="Calibri"/>
        </w:rPr>
        <w:t>T-225 de 1993</w:t>
      </w:r>
      <w:r>
        <w:rPr>
          <w:rFonts w:ascii="Calibri" w:hAnsi="Calibri" w:cs="Calibri"/>
        </w:rPr>
        <w:t>, reiterada en la T-082 de 20</w:t>
      </w:r>
      <w:r w:rsidRPr="00B56276">
        <w:rPr>
          <w:rFonts w:ascii="Calibri" w:hAnsi="Calibri" w:cs="Calibri"/>
        </w:rPr>
        <w:t>16</w:t>
      </w:r>
      <w:r>
        <w:rPr>
          <w:rFonts w:ascii="Calibri" w:hAnsi="Calibri" w:cs="Calibri"/>
        </w:rPr>
        <w:t xml:space="preserve"> y </w:t>
      </w:r>
      <w:r w:rsidRPr="00B56276">
        <w:rPr>
          <w:rFonts w:ascii="Calibri" w:hAnsi="Calibri" w:cs="Calibri"/>
          <w:bCs/>
        </w:rPr>
        <w:t>T-095 de 2016</w:t>
      </w:r>
      <w:r>
        <w:rPr>
          <w:rFonts w:ascii="Calibri" w:hAnsi="Calibri" w:cs="Calibri"/>
          <w:bCs/>
        </w:rPr>
        <w:t>, entre otras</w:t>
      </w:r>
      <w:r w:rsidRPr="000A6F06">
        <w:rPr>
          <w:rFonts w:ascii="Calibri" w:hAnsi="Calibri" w:cs="Calibri"/>
        </w:rPr>
        <w:t xml:space="preserve">: según esta sentencia </w:t>
      </w:r>
      <w:r w:rsidRPr="000A6F06">
        <w:rPr>
          <w:rFonts w:ascii="Calibri" w:hAnsi="Calibri" w:cs="Calibri"/>
          <w:bCs/>
        </w:rPr>
        <w:t xml:space="preserve">el perjuicio irremediable se caracteriza </w:t>
      </w:r>
      <w:r w:rsidRPr="001C33DC">
        <w:rPr>
          <w:rFonts w:ascii="Calibri" w:hAnsi="Calibri" w:cs="Calibri"/>
          <w:bCs/>
          <w:i/>
          <w:sz w:val="18"/>
        </w:rPr>
        <w:t>i</w:t>
      </w:r>
      <w:r w:rsidRPr="001C33DC">
        <w:rPr>
          <w:rFonts w:ascii="Calibri" w:hAnsi="Calibri" w:cs="Calibri"/>
          <w:i/>
          <w:sz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4">
    <w:p w:rsidR="00182573" w:rsidRPr="00634E2E" w:rsidRDefault="00182573" w:rsidP="00E06BFF">
      <w:pPr>
        <w:pStyle w:val="Notedebasdepage"/>
        <w:jc w:val="both"/>
        <w:rPr>
          <w:rFonts w:ascii="Calibri" w:hAnsi="Calibri"/>
          <w:lang w:val="fr-FR"/>
        </w:rPr>
      </w:pPr>
      <w:r w:rsidRPr="006A4103">
        <w:rPr>
          <w:rStyle w:val="Appelnotedebasdep"/>
          <w:rFonts w:ascii="Calibri" w:hAnsi="Calibri" w:cs="Calibri"/>
        </w:rPr>
        <w:footnoteRef/>
      </w:r>
      <w:r w:rsidRPr="00634E2E">
        <w:rPr>
          <w:rFonts w:ascii="Calibri" w:hAnsi="Calibri" w:cs="Calibri"/>
          <w:lang w:val="fr-FR"/>
        </w:rPr>
        <w:t xml:space="preserve"> CC. </w:t>
      </w:r>
      <w:r w:rsidRPr="00634E2E">
        <w:rPr>
          <w:rFonts w:ascii="Calibri" w:hAnsi="Calibri" w:cs="Calibri"/>
          <w:bCs/>
          <w:lang w:val="fr-FR"/>
        </w:rPr>
        <w:t>T-082 de 2016.</w:t>
      </w:r>
    </w:p>
  </w:footnote>
  <w:footnote w:id="15">
    <w:p w:rsidR="00182573" w:rsidRPr="00634E2E" w:rsidRDefault="00182573" w:rsidP="00E06BFF">
      <w:pPr>
        <w:pStyle w:val="Notedebasdepage"/>
        <w:jc w:val="both"/>
        <w:rPr>
          <w:rFonts w:ascii="Calibri" w:hAnsi="Calibri" w:cs="Calibri"/>
          <w:lang w:val="fr-FR"/>
        </w:rPr>
      </w:pPr>
      <w:r w:rsidRPr="00B56276">
        <w:rPr>
          <w:rFonts w:ascii="Calibri" w:hAnsi="Calibri" w:cs="Calibri"/>
          <w:vertAlign w:val="superscript"/>
        </w:rPr>
        <w:footnoteRef/>
      </w:r>
      <w:r w:rsidRPr="00634E2E">
        <w:rPr>
          <w:rFonts w:ascii="Calibri" w:hAnsi="Calibri" w:cs="Calibri"/>
          <w:lang w:val="fr-FR"/>
        </w:rPr>
        <w:t xml:space="preserve"> CC. T-225 de 1993, T-436 de 2007, T-016 de 2008, T-1238 de 2008, T-273 de 2009,  </w:t>
      </w:r>
      <w:hyperlink r:id="rId2" w:tooltip="Haga clic para abrir la Sentencia T-660 de 2010" w:history="1">
        <w:r w:rsidRPr="00634E2E">
          <w:rPr>
            <w:rStyle w:val="Lienhypertexte"/>
            <w:rFonts w:ascii="Calibri" w:hAnsi="Calibri" w:cs="Calibri"/>
            <w:color w:val="000000" w:themeColor="text1"/>
            <w:u w:val="none"/>
            <w:lang w:val="fr-FR"/>
          </w:rPr>
          <w:t>T-660 de 2010</w:t>
        </w:r>
      </w:hyperlink>
      <w:r w:rsidRPr="00634E2E">
        <w:rPr>
          <w:rFonts w:ascii="Calibri" w:hAnsi="Calibri"/>
          <w:bCs/>
          <w:color w:val="000000" w:themeColor="text1"/>
          <w:lang w:val="fr-FR"/>
        </w:rPr>
        <w:t xml:space="preserve"> y </w:t>
      </w:r>
      <w:r w:rsidRPr="00634E2E">
        <w:rPr>
          <w:rFonts w:ascii="Calibri" w:hAnsi="Calibri" w:cs="Calibri"/>
          <w:bCs/>
          <w:lang w:val="fr-FR"/>
        </w:rPr>
        <w:t>T-082 de 2016</w:t>
      </w:r>
      <w:r w:rsidRPr="00634E2E">
        <w:rPr>
          <w:rFonts w:ascii="Calibri" w:hAnsi="Calibri" w:cs="Calibri"/>
          <w:lang w:val="fr-FR"/>
        </w:rPr>
        <w:t xml:space="preserve">, entre </w:t>
      </w:r>
      <w:proofErr w:type="spellStart"/>
      <w:r w:rsidRPr="00634E2E">
        <w:rPr>
          <w:rFonts w:ascii="Calibri" w:hAnsi="Calibri" w:cs="Calibri"/>
          <w:lang w:val="fr-FR"/>
        </w:rPr>
        <w:t>otras</w:t>
      </w:r>
      <w:proofErr w:type="spellEnd"/>
      <w:r w:rsidRPr="00634E2E">
        <w:rPr>
          <w:rFonts w:ascii="Calibri" w:hAnsi="Calibri" w:cs="Calibri"/>
          <w:lang w:val="fr-FR"/>
        </w:rPr>
        <w:t>.</w:t>
      </w:r>
    </w:p>
  </w:footnote>
  <w:footnote w:id="16">
    <w:p w:rsidR="00182573" w:rsidRPr="00634E2E" w:rsidRDefault="00182573" w:rsidP="00E06BFF">
      <w:pPr>
        <w:pStyle w:val="Notedebasdepage"/>
        <w:rPr>
          <w:rFonts w:ascii="Calibri" w:hAnsi="Calibri"/>
          <w:lang w:val="fr-FR"/>
        </w:rPr>
      </w:pPr>
      <w:r w:rsidRPr="001D4724">
        <w:rPr>
          <w:rStyle w:val="Appelnotedebasdep"/>
          <w:rFonts w:ascii="Calibri" w:hAnsi="Calibri"/>
        </w:rPr>
        <w:footnoteRef/>
      </w:r>
      <w:r w:rsidRPr="00634E2E">
        <w:rPr>
          <w:rFonts w:ascii="Calibri" w:hAnsi="Calibri"/>
          <w:lang w:val="fr-FR"/>
        </w:rPr>
        <w:t xml:space="preserve"> </w:t>
      </w:r>
      <w:r w:rsidRPr="00634E2E">
        <w:rPr>
          <w:rFonts w:ascii="Calibri" w:hAnsi="Calibri" w:cs="Calibri"/>
          <w:lang w:val="fr-FR"/>
        </w:rPr>
        <w:t xml:space="preserve">CC. T-082 de 2016 y </w:t>
      </w:r>
      <w:r w:rsidRPr="00634E2E">
        <w:rPr>
          <w:rFonts w:ascii="Calibri" w:hAnsi="Calibri" w:cs="Calibri"/>
          <w:bCs/>
          <w:lang w:val="fr-FR"/>
        </w:rPr>
        <w:t>T-095 de 2016</w:t>
      </w:r>
      <w:r w:rsidRPr="00634E2E">
        <w:rPr>
          <w:rFonts w:ascii="Calibri" w:hAnsi="Calibri" w:cs="Calibri"/>
          <w:lang w:val="fr-FR"/>
        </w:rPr>
        <w:t>.</w:t>
      </w:r>
    </w:p>
  </w:footnote>
  <w:footnote w:id="17">
    <w:p w:rsidR="00182573" w:rsidRPr="009D55DB" w:rsidRDefault="00182573" w:rsidP="00E06BFF">
      <w:pPr>
        <w:pStyle w:val="Notedebasdepage"/>
        <w:jc w:val="both"/>
        <w:rPr>
          <w:rFonts w:ascii="Calibri" w:hAnsi="Calibri"/>
          <w:lang w:val="es-CO"/>
        </w:rPr>
      </w:pPr>
      <w:r w:rsidRPr="009D55DB">
        <w:rPr>
          <w:rStyle w:val="Appelnotedebasdep"/>
          <w:rFonts w:ascii="Calibri" w:hAnsi="Calibri"/>
        </w:rPr>
        <w:footnoteRef/>
      </w:r>
      <w:r w:rsidRPr="00634E2E">
        <w:rPr>
          <w:rFonts w:ascii="Calibri" w:hAnsi="Calibri"/>
          <w:lang w:val="fr-FR"/>
        </w:rPr>
        <w:t xml:space="preserve"> </w:t>
      </w:r>
      <w:proofErr w:type="spellStart"/>
      <w:r w:rsidRPr="00634E2E">
        <w:rPr>
          <w:rFonts w:ascii="Calibri" w:hAnsi="Calibri"/>
          <w:lang w:val="fr-FR"/>
        </w:rPr>
        <w:t>TSP</w:t>
      </w:r>
      <w:proofErr w:type="spellEnd"/>
      <w:r w:rsidRPr="00634E2E">
        <w:rPr>
          <w:rFonts w:ascii="Calibri" w:hAnsi="Calibri"/>
          <w:lang w:val="fr-FR"/>
        </w:rPr>
        <w:t xml:space="preserve">, Sala Civil – </w:t>
      </w:r>
      <w:proofErr w:type="spellStart"/>
      <w:r w:rsidRPr="00634E2E">
        <w:rPr>
          <w:rFonts w:ascii="Calibri" w:hAnsi="Calibri"/>
          <w:lang w:val="fr-FR"/>
        </w:rPr>
        <w:t>Familia</w:t>
      </w:r>
      <w:proofErr w:type="spellEnd"/>
      <w:r w:rsidRPr="00634E2E">
        <w:rPr>
          <w:rFonts w:ascii="Calibri" w:hAnsi="Calibri"/>
          <w:lang w:val="fr-FR"/>
        </w:rPr>
        <w:t xml:space="preserve">. </w:t>
      </w:r>
      <w:r w:rsidRPr="009D55DB">
        <w:rPr>
          <w:rFonts w:ascii="Calibri" w:hAnsi="Calibri"/>
        </w:rPr>
        <w:t>Sentencia de</w:t>
      </w:r>
      <w:r>
        <w:rPr>
          <w:rFonts w:ascii="Calibri" w:hAnsi="Calibri"/>
        </w:rPr>
        <w:t xml:space="preserve">l 05-08-2015; </w:t>
      </w:r>
      <w:proofErr w:type="spellStart"/>
      <w:r w:rsidRPr="009D55DB">
        <w:rPr>
          <w:rFonts w:ascii="Calibri" w:hAnsi="Calibri"/>
        </w:rPr>
        <w:t>MP</w:t>
      </w:r>
      <w:proofErr w:type="spellEnd"/>
      <w:r>
        <w:rPr>
          <w:rFonts w:ascii="Calibri" w:hAnsi="Calibri"/>
        </w:rPr>
        <w:t>:</w:t>
      </w:r>
      <w:r w:rsidRPr="009D55DB">
        <w:rPr>
          <w:rFonts w:ascii="Calibri" w:hAnsi="Calibri"/>
        </w:rPr>
        <w:t xml:space="preserve"> </w:t>
      </w:r>
      <w:proofErr w:type="spellStart"/>
      <w:r w:rsidRPr="009D55DB">
        <w:rPr>
          <w:rFonts w:ascii="Calibri" w:hAnsi="Calibri"/>
        </w:rPr>
        <w:t>Duberney</w:t>
      </w:r>
      <w:proofErr w:type="spellEnd"/>
      <w:r w:rsidRPr="009D55DB">
        <w:rPr>
          <w:rFonts w:ascii="Calibri" w:hAnsi="Calibri"/>
        </w:rPr>
        <w:t xml:space="preserve"> Grisales </w:t>
      </w:r>
      <w:r>
        <w:rPr>
          <w:rFonts w:ascii="Calibri" w:hAnsi="Calibri"/>
        </w:rPr>
        <w:t>H.,  exp.No.2015-00284-00</w:t>
      </w:r>
      <w:r w:rsidRPr="009D55DB">
        <w:rPr>
          <w:rFonts w:ascii="Calibri" w:hAnsi="Calibri"/>
        </w:rPr>
        <w:t>.</w:t>
      </w:r>
    </w:p>
  </w:footnote>
  <w:footnote w:id="18">
    <w:p w:rsidR="00182573" w:rsidRPr="00E91169" w:rsidRDefault="00182573" w:rsidP="00E06BFF">
      <w:pPr>
        <w:pStyle w:val="Notedebasdepage"/>
        <w:jc w:val="both"/>
        <w:rPr>
          <w:rFonts w:ascii="Calibri" w:hAnsi="Calibri"/>
          <w:b/>
          <w:lang w:val="es-CO"/>
        </w:rPr>
      </w:pPr>
      <w:r w:rsidRPr="00C558EE">
        <w:rPr>
          <w:rStyle w:val="Appelnotedebasdep"/>
          <w:rFonts w:ascii="Calibri" w:hAnsi="Calibri"/>
        </w:rPr>
        <w:footnoteRef/>
      </w:r>
      <w:r w:rsidRPr="00C558EE">
        <w:rPr>
          <w:rFonts w:ascii="Calibri" w:hAnsi="Calibri"/>
        </w:rPr>
        <w:t xml:space="preserve"> </w:t>
      </w:r>
      <w:r w:rsidRPr="00E91169">
        <w:rPr>
          <w:rFonts w:ascii="Calibri" w:hAnsi="Calibri"/>
          <w:lang w:val="es-CO"/>
        </w:rPr>
        <w:t>CSJ. STC6880-2016,</w:t>
      </w:r>
      <w:r w:rsidRPr="00E91169">
        <w:rPr>
          <w:rFonts w:ascii="Calibri" w:hAnsi="Calibri"/>
          <w:b/>
          <w:lang w:val="es-CO"/>
        </w:rPr>
        <w:t xml:space="preserve"> </w:t>
      </w:r>
      <w:r w:rsidRPr="00E91169">
        <w:rPr>
          <w:rFonts w:ascii="Calibri" w:hAnsi="Calibri"/>
        </w:rPr>
        <w:t>STC7686-2016,</w:t>
      </w:r>
      <w:r w:rsidRPr="00E91169">
        <w:rPr>
          <w:rFonts w:ascii="Calibri" w:hAnsi="Calibri"/>
          <w:b/>
        </w:rPr>
        <w:t xml:space="preserve"> </w:t>
      </w:r>
      <w:r w:rsidRPr="00E91169">
        <w:rPr>
          <w:rFonts w:ascii="Calibri" w:hAnsi="Calibri"/>
        </w:rPr>
        <w:t>STC8200-2016 y</w:t>
      </w:r>
      <w:r w:rsidRPr="00E91169">
        <w:rPr>
          <w:rFonts w:ascii="Calibri" w:hAnsi="Calibri"/>
          <w:lang w:val="es-CO"/>
        </w:rPr>
        <w:t xml:space="preserve"> </w:t>
      </w:r>
      <w:r w:rsidRPr="00E91169">
        <w:rPr>
          <w:rFonts w:ascii="Calibri" w:hAnsi="Calibri"/>
        </w:rPr>
        <w:t>STC8324-2016, entre otras.</w:t>
      </w:r>
    </w:p>
  </w:footnote>
  <w:footnote w:id="19">
    <w:p w:rsidR="00182573" w:rsidRPr="00634E2E" w:rsidRDefault="00182573">
      <w:pPr>
        <w:pStyle w:val="Notedebasdepage"/>
        <w:rPr>
          <w:rFonts w:ascii="Calibri" w:hAnsi="Calibri"/>
          <w:lang w:val="fr-FR"/>
        </w:rPr>
      </w:pPr>
      <w:r w:rsidRPr="00E91169">
        <w:rPr>
          <w:rStyle w:val="Appelnotedebasdep"/>
          <w:rFonts w:ascii="Calibri" w:hAnsi="Calibri"/>
        </w:rPr>
        <w:footnoteRef/>
      </w:r>
      <w:r w:rsidRPr="00634E2E">
        <w:rPr>
          <w:rFonts w:ascii="Calibri" w:hAnsi="Calibri"/>
          <w:lang w:val="fr-FR"/>
        </w:rPr>
        <w:t xml:space="preserve"> CC. </w:t>
      </w:r>
      <w:r w:rsidRPr="00634E2E">
        <w:rPr>
          <w:rFonts w:ascii="Calibri" w:hAnsi="Calibri"/>
          <w:shd w:val="clear" w:color="auto" w:fill="FFFFFF"/>
          <w:lang w:val="fr-FR"/>
        </w:rPr>
        <w:t xml:space="preserve">T-065 de 2007, </w:t>
      </w:r>
      <w:proofErr w:type="spellStart"/>
      <w:r w:rsidRPr="00634E2E">
        <w:rPr>
          <w:rFonts w:ascii="Calibri" w:hAnsi="Calibri"/>
          <w:shd w:val="clear" w:color="auto" w:fill="FFFFFF"/>
          <w:lang w:val="fr-FR"/>
        </w:rPr>
        <w:t>reiterada</w:t>
      </w:r>
      <w:proofErr w:type="spellEnd"/>
      <w:r w:rsidRPr="00634E2E">
        <w:rPr>
          <w:rFonts w:ascii="Calibri" w:hAnsi="Calibri"/>
          <w:shd w:val="clear" w:color="auto" w:fill="FFFFFF"/>
          <w:lang w:val="fr-FR"/>
        </w:rPr>
        <w:t xml:space="preserve"> en la</w:t>
      </w:r>
      <w:r w:rsidRPr="00634E2E">
        <w:rPr>
          <w:rFonts w:ascii="Calibri" w:hAnsi="Calibri"/>
          <w:lang w:val="fr-FR"/>
        </w:rPr>
        <w:t xml:space="preserve"> T-565 de 2014.</w:t>
      </w:r>
    </w:p>
  </w:footnote>
  <w:footnote w:id="20">
    <w:p w:rsidR="00182573" w:rsidRPr="00634E2E" w:rsidRDefault="00182573">
      <w:pPr>
        <w:pStyle w:val="Notedebasdepage"/>
        <w:rPr>
          <w:lang w:val="fr-FR"/>
        </w:rPr>
      </w:pPr>
      <w:r w:rsidRPr="00E91169">
        <w:rPr>
          <w:rStyle w:val="Appelnotedebasdep"/>
        </w:rPr>
        <w:footnoteRef/>
      </w:r>
      <w:r w:rsidRPr="00634E2E">
        <w:rPr>
          <w:lang w:val="fr-FR"/>
        </w:rPr>
        <w:t xml:space="preserve"> </w:t>
      </w:r>
      <w:r w:rsidRPr="00634E2E">
        <w:rPr>
          <w:rFonts w:ascii="Calibri" w:hAnsi="Calibri"/>
          <w:lang w:val="fr-FR"/>
        </w:rPr>
        <w:t xml:space="preserve">CC. </w:t>
      </w:r>
      <w:r w:rsidRPr="00634E2E">
        <w:rPr>
          <w:rFonts w:ascii="Calibri" w:hAnsi="Calibri"/>
          <w:shd w:val="clear" w:color="auto" w:fill="FFFFFF"/>
          <w:lang w:val="fr-FR"/>
        </w:rPr>
        <w:t xml:space="preserve">T-264 de 2005, </w:t>
      </w:r>
      <w:proofErr w:type="spellStart"/>
      <w:r w:rsidRPr="00634E2E">
        <w:rPr>
          <w:rFonts w:ascii="Calibri" w:hAnsi="Calibri"/>
          <w:shd w:val="clear" w:color="auto" w:fill="FFFFFF"/>
          <w:lang w:val="fr-FR"/>
        </w:rPr>
        <w:t>reiterada</w:t>
      </w:r>
      <w:proofErr w:type="spellEnd"/>
      <w:r w:rsidRPr="00634E2E">
        <w:rPr>
          <w:rFonts w:ascii="Calibri" w:hAnsi="Calibri"/>
          <w:shd w:val="clear" w:color="auto" w:fill="FFFFFF"/>
          <w:lang w:val="fr-FR"/>
        </w:rPr>
        <w:t xml:space="preserve"> en la</w:t>
      </w:r>
      <w:r w:rsidRPr="00634E2E">
        <w:rPr>
          <w:rFonts w:ascii="Calibri" w:hAnsi="Calibri"/>
          <w:lang w:val="fr-FR"/>
        </w:rPr>
        <w:t xml:space="preserve"> T-565 de 2014.</w:t>
      </w:r>
    </w:p>
  </w:footnote>
  <w:footnote w:id="21">
    <w:p w:rsidR="00182573" w:rsidRPr="00634E2E" w:rsidRDefault="00182573" w:rsidP="004C41B4">
      <w:pPr>
        <w:pStyle w:val="Notedebasdepage"/>
        <w:rPr>
          <w:lang w:val="fr-FR"/>
        </w:rPr>
      </w:pPr>
      <w:r>
        <w:rPr>
          <w:rStyle w:val="Appelnotedebasdep"/>
        </w:rPr>
        <w:footnoteRef/>
      </w:r>
      <w:r w:rsidRPr="00634E2E">
        <w:rPr>
          <w:lang w:val="fr-FR"/>
        </w:rPr>
        <w:t xml:space="preserve"> </w:t>
      </w:r>
      <w:r w:rsidRPr="00634E2E">
        <w:rPr>
          <w:rFonts w:ascii="Calibri" w:hAnsi="Calibri" w:cs="Calibri"/>
          <w:lang w:val="fr-FR"/>
        </w:rPr>
        <w:t>CC. T-</w:t>
      </w:r>
      <w:proofErr w:type="spellStart"/>
      <w:r w:rsidRPr="00634E2E">
        <w:rPr>
          <w:rFonts w:ascii="Calibri" w:hAnsi="Calibri" w:cs="Calibri"/>
          <w:lang w:val="fr-FR"/>
        </w:rPr>
        <w:t>800A</w:t>
      </w:r>
      <w:proofErr w:type="spellEnd"/>
      <w:r w:rsidRPr="00634E2E">
        <w:rPr>
          <w:rFonts w:ascii="Calibri" w:hAnsi="Calibri" w:cs="Calibri"/>
          <w:lang w:val="fr-FR"/>
        </w:rPr>
        <w:t xml:space="preserve"> de 2011.</w:t>
      </w:r>
    </w:p>
  </w:footnote>
  <w:footnote w:id="22">
    <w:p w:rsidR="00182573" w:rsidRPr="00BE03C6" w:rsidRDefault="00182573" w:rsidP="00BE03C6">
      <w:pPr>
        <w:pStyle w:val="Notedebasdepage"/>
        <w:jc w:val="both"/>
        <w:rPr>
          <w:rFonts w:ascii="Calibri" w:hAnsi="Calibri"/>
          <w:sz w:val="24"/>
          <w:lang w:val="es-CO"/>
        </w:rPr>
      </w:pPr>
      <w:r w:rsidRPr="00BE03C6">
        <w:rPr>
          <w:rStyle w:val="Appelnotedebasdep"/>
        </w:rPr>
        <w:footnoteRef/>
      </w:r>
      <w:r w:rsidRPr="00BE03C6">
        <w:t xml:space="preserve"> </w:t>
      </w:r>
      <w:r w:rsidRPr="00BE03C6">
        <w:rPr>
          <w:rFonts w:ascii="Calibri" w:hAnsi="Calibri"/>
          <w:lang w:val="es-CO"/>
        </w:rPr>
        <w:t xml:space="preserve">CC. </w:t>
      </w:r>
      <w:r w:rsidRPr="00BE03C6">
        <w:rPr>
          <w:rFonts w:ascii="Calibri" w:hAnsi="Calibri"/>
          <w:shd w:val="clear" w:color="auto" w:fill="FFFFFF"/>
        </w:rPr>
        <w:t xml:space="preserve">T-1498 de 2000. </w:t>
      </w:r>
      <w:r w:rsidRPr="00BE03C6">
        <w:rPr>
          <w:rFonts w:ascii="Calibri" w:hAnsi="Calibri"/>
          <w:i/>
          <w:iCs/>
          <w:sz w:val="18"/>
          <w:shd w:val="clear" w:color="auto" w:fill="FFFFFF"/>
          <w:lang w:val="es-ES_tradnl"/>
        </w:rPr>
        <w:t xml:space="preserve">“(…) en el sector público existen ciertas entidades que en razón de las funciones que les corresponde cumplir, </w:t>
      </w:r>
      <w:r w:rsidRPr="00BE03C6">
        <w:rPr>
          <w:rFonts w:ascii="Calibri" w:hAnsi="Calibri"/>
          <w:i/>
          <w:iCs/>
          <w:sz w:val="18"/>
          <w:u w:val="single"/>
          <w:shd w:val="clear" w:color="auto" w:fill="FFFFFF"/>
          <w:lang w:val="es-ES_tradnl"/>
        </w:rPr>
        <w:t>necesitan una planta de personal global y flexible</w:t>
      </w:r>
      <w:r w:rsidRPr="00BE03C6">
        <w:rPr>
          <w:rFonts w:ascii="Calibri" w:hAnsi="Calibri"/>
          <w:i/>
          <w:iCs/>
          <w:sz w:val="18"/>
          <w:shd w:val="clear" w:color="auto" w:fill="FFFFFF"/>
          <w:lang w:val="es-ES_tradnl"/>
        </w:rPr>
        <w:t xml:space="preserve"> y, por lo tanto, requieren de un mayor grado de discrecionalidad en materia de traslados.</w:t>
      </w:r>
      <w:r w:rsidRPr="00BE03C6">
        <w:rPr>
          <w:rFonts w:ascii="Calibri" w:hAnsi="Calibri"/>
          <w:i/>
          <w:iCs/>
          <w:sz w:val="18"/>
          <w:shd w:val="clear" w:color="auto" w:fill="FFFFFF"/>
          <w:vertAlign w:val="superscript"/>
          <w:lang w:val="es-ES_tradnl"/>
        </w:rPr>
        <w:t> </w:t>
      </w:r>
      <w:r w:rsidRPr="00BE03C6">
        <w:rPr>
          <w:rFonts w:ascii="Calibri" w:hAnsi="Calibri"/>
          <w:i/>
          <w:iCs/>
          <w:sz w:val="18"/>
          <w:shd w:val="clear" w:color="auto" w:fill="FFFFFF"/>
          <w:lang w:val="es-ES_tradnl"/>
        </w:rPr>
        <w:t xml:space="preserve">Dentro de este grupo de entidades se encuentra </w:t>
      </w:r>
      <w:r w:rsidRPr="00BE03C6">
        <w:rPr>
          <w:rFonts w:ascii="Calibri" w:hAnsi="Calibri"/>
          <w:i/>
          <w:iCs/>
          <w:sz w:val="18"/>
          <w:u w:val="single"/>
          <w:shd w:val="clear" w:color="auto" w:fill="FFFFFF"/>
          <w:lang w:val="es-ES_tradnl"/>
        </w:rPr>
        <w:t>la Fiscalía General de la Nación</w:t>
      </w:r>
      <w:r w:rsidRPr="00BE03C6">
        <w:rPr>
          <w:rFonts w:ascii="Calibri" w:hAnsi="Calibri"/>
          <w:i/>
          <w:iCs/>
          <w:sz w:val="18"/>
          <w:shd w:val="clear" w:color="auto" w:fill="FFFFFF"/>
          <w:lang w:val="es-ES_tradnl"/>
        </w:rPr>
        <w:t>, la cual en ejercicio de la mencionada facultad discrecional, puede determinar la reubicación territorial de sus funcionarios y empleados, con el fin de mejorar la prestación del servicio (…)”.</w:t>
      </w:r>
      <w:r>
        <w:rPr>
          <w:rFonts w:ascii="Calibri" w:hAnsi="Calibri"/>
          <w:i/>
          <w:iCs/>
          <w:shd w:val="clear" w:color="auto" w:fill="FFFFFF"/>
          <w:lang w:val="es-ES_tradnl"/>
        </w:rPr>
        <w:t xml:space="preserve"> </w:t>
      </w:r>
      <w:r w:rsidRPr="00BE03C6">
        <w:rPr>
          <w:rFonts w:ascii="Calibri" w:hAnsi="Calibri"/>
          <w:iCs/>
          <w:shd w:val="clear" w:color="auto" w:fill="FFFFFF"/>
          <w:lang w:val="es-ES_tradnl"/>
        </w:rPr>
        <w:t>(</w:t>
      </w:r>
      <w:proofErr w:type="spellStart"/>
      <w:r w:rsidRPr="00BE03C6">
        <w:rPr>
          <w:rFonts w:ascii="Calibri" w:hAnsi="Calibri"/>
          <w:iCs/>
          <w:shd w:val="clear" w:color="auto" w:fill="FFFFFF"/>
          <w:lang w:val="es-ES_tradnl"/>
        </w:rPr>
        <w:t>Sublìnea</w:t>
      </w:r>
      <w:proofErr w:type="spellEnd"/>
      <w:r w:rsidRPr="00BE03C6">
        <w:rPr>
          <w:rFonts w:ascii="Calibri" w:hAnsi="Calibri"/>
          <w:iCs/>
          <w:shd w:val="clear" w:color="auto" w:fill="FFFFFF"/>
          <w:lang w:val="es-ES_tradnl"/>
        </w:rPr>
        <w:t xml:space="preserve"> de la Sala)</w:t>
      </w:r>
      <w:r>
        <w:rPr>
          <w:rFonts w:ascii="Calibri" w:hAnsi="Calibri"/>
          <w:iCs/>
          <w:shd w:val="clear" w:color="auto" w:fill="FFFFFF"/>
          <w:lang w:val="es-ES_tradnl"/>
        </w:rPr>
        <w:t>.</w:t>
      </w:r>
    </w:p>
  </w:footnote>
  <w:footnote w:id="23">
    <w:p w:rsidR="00182573" w:rsidRPr="00BE03C6" w:rsidRDefault="00182573" w:rsidP="00BE03C6">
      <w:pPr>
        <w:pStyle w:val="Notedebasdepage"/>
        <w:jc w:val="both"/>
        <w:rPr>
          <w:lang w:val="es-CO"/>
        </w:rPr>
      </w:pPr>
      <w:r w:rsidRPr="00BE03C6">
        <w:rPr>
          <w:rStyle w:val="Appelnotedebasdep"/>
          <w:rFonts w:ascii="Calibri" w:hAnsi="Calibri"/>
        </w:rPr>
        <w:footnoteRef/>
      </w:r>
      <w:r w:rsidRPr="00BE03C6">
        <w:rPr>
          <w:rFonts w:ascii="Calibri" w:hAnsi="Calibri"/>
        </w:rPr>
        <w:t xml:space="preserve"> CC. T-565 de 2014. </w:t>
      </w:r>
      <w:r w:rsidRPr="00BE03C6">
        <w:rPr>
          <w:rFonts w:ascii="Calibri" w:hAnsi="Calibri"/>
          <w:i/>
          <w:sz w:val="18"/>
        </w:rPr>
        <w:t xml:space="preserve">“(…) </w:t>
      </w:r>
      <w:r w:rsidRPr="00BE03C6">
        <w:rPr>
          <w:rFonts w:ascii="Calibri" w:hAnsi="Calibri"/>
          <w:i/>
          <w:sz w:val="18"/>
          <w:lang w:val="es-ES_tradnl"/>
        </w:rPr>
        <w:t>como lo ha establecido la jurisprudencia de esta Corporación, en entidades como la Fiscalía General de la Nación, en las que existe una planta de personal global y flexible, </w:t>
      </w:r>
      <w:r w:rsidRPr="00BE03C6">
        <w:rPr>
          <w:rFonts w:ascii="Calibri" w:hAnsi="Calibri"/>
          <w:i/>
          <w:sz w:val="18"/>
          <w:lang w:val="es-CO"/>
        </w:rPr>
        <w:t>al ser mayor el grado de discrecionalidad para traslados, es más restringida la posibilidad de control que tiene el juez de tutela sobre los actos que dispongan la reubicación de los empleados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73" w:rsidRPr="006414F7" w:rsidRDefault="00182573">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34E2E">
      <w:rPr>
        <w:rFonts w:ascii="Calibri" w:hAnsi="Calibri" w:cs="Calibri"/>
        <w:i/>
        <w:noProof/>
        <w:sz w:val="20"/>
      </w:rPr>
      <w:t>1</w:t>
    </w:r>
    <w:r w:rsidRPr="006414F7">
      <w:rPr>
        <w:rFonts w:ascii="Calibri" w:hAnsi="Calibri" w:cs="Calibri"/>
        <w:i/>
        <w:sz w:val="20"/>
      </w:rPr>
      <w:fldChar w:fldCharType="end"/>
    </w:r>
  </w:p>
  <w:p w:rsidR="00182573" w:rsidRPr="006414F7" w:rsidRDefault="00182573"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2017-00477-00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53"/>
    <w:multiLevelType w:val="multilevel"/>
    <w:tmpl w:val="71A8BD9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5"/>
  </w:num>
  <w:num w:numId="3">
    <w:abstractNumId w:val="13"/>
  </w:num>
  <w:num w:numId="4">
    <w:abstractNumId w:val="3"/>
  </w:num>
  <w:num w:numId="5">
    <w:abstractNumId w:val="25"/>
  </w:num>
  <w:num w:numId="6">
    <w:abstractNumId w:val="1"/>
  </w:num>
  <w:num w:numId="7">
    <w:abstractNumId w:val="20"/>
  </w:num>
  <w:num w:numId="8">
    <w:abstractNumId w:val="2"/>
  </w:num>
  <w:num w:numId="9">
    <w:abstractNumId w:val="26"/>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82C"/>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3A5B"/>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5996"/>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031D"/>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590"/>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50B"/>
    <w:rsid w:val="001778CF"/>
    <w:rsid w:val="00180B3C"/>
    <w:rsid w:val="00181213"/>
    <w:rsid w:val="00181C9F"/>
    <w:rsid w:val="00181ECC"/>
    <w:rsid w:val="00182573"/>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3DC"/>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C2D"/>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A9A"/>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0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4D"/>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2C5F"/>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376"/>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E2E"/>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6579"/>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5DBD"/>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5A64"/>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1144"/>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2A4C"/>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7E4"/>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662"/>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FF2"/>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A7E"/>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2AA"/>
    <w:rsid w:val="00BD5613"/>
    <w:rsid w:val="00BD6A54"/>
    <w:rsid w:val="00BD6C81"/>
    <w:rsid w:val="00BE03C6"/>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1D3A"/>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00A"/>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D33"/>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169"/>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D2A"/>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1B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869250030">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1D70-8C9F-4863-B4AA-95D0C442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2784</Words>
  <Characters>15313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12</cp:revision>
  <cp:lastPrinted>2017-05-23T12:17:00Z</cp:lastPrinted>
  <dcterms:created xsi:type="dcterms:W3CDTF">2017-05-22T12:09:00Z</dcterms:created>
  <dcterms:modified xsi:type="dcterms:W3CDTF">2017-06-26T15:41:00Z</dcterms:modified>
</cp:coreProperties>
</file>