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1C" w:rsidRPr="006E4540" w:rsidRDefault="0015781C" w:rsidP="0015781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bookmarkEnd w:id="0"/>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15781C" w:rsidRDefault="0015781C" w:rsidP="00F839CE">
      <w:pPr>
        <w:pStyle w:val="Sansinterligne"/>
        <w:spacing w:line="360" w:lineRule="auto"/>
        <w:rPr>
          <w:rFonts w:ascii="Arial" w:hAnsi="Arial" w:cs="Arial"/>
          <w:w w:val="140"/>
          <w:lang w:val="es-CO"/>
        </w:rPr>
      </w:pP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E23846" w:rsidRPr="007860C0" w:rsidRDefault="00E23846" w:rsidP="00E23846">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E23846" w:rsidRPr="007860C0" w:rsidRDefault="00E23846" w:rsidP="00E23846">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E23846" w:rsidRPr="00E55393" w:rsidRDefault="00E23846" w:rsidP="00E23846">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E23846" w:rsidRPr="003D195F" w:rsidRDefault="00E23846" w:rsidP="00E23846">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E23846" w:rsidRPr="007860C0" w:rsidRDefault="00E23846" w:rsidP="00E23846">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15781C" w:rsidRDefault="003913E3" w:rsidP="005050E8">
      <w:pPr>
        <w:spacing w:line="360" w:lineRule="auto"/>
        <w:ind w:left="708" w:hanging="708"/>
        <w:jc w:val="center"/>
        <w:rPr>
          <w:rFonts w:ascii="Arial" w:hAnsi="Arial" w:cs="Arial"/>
          <w:b/>
          <w:bCs/>
          <w:sz w:val="10"/>
          <w:szCs w:val="10"/>
        </w:rPr>
      </w:pPr>
    </w:p>
    <w:p w:rsidR="003913E3" w:rsidRDefault="0015781C" w:rsidP="00C55802">
      <w:pPr>
        <w:pStyle w:val="Corpsdetexte"/>
        <w:spacing w:line="360" w:lineRule="auto"/>
        <w:ind w:left="1416"/>
        <w:rPr>
          <w:rFonts w:ascii="Arial" w:hAnsi="Arial"/>
          <w:sz w:val="22"/>
          <w:szCs w:val="22"/>
        </w:rPr>
      </w:pPr>
      <w:r>
        <w:rPr>
          <w:rFonts w:ascii="Arial" w:hAnsi="Arial"/>
          <w:sz w:val="22"/>
          <w:szCs w:val="22"/>
        </w:rPr>
        <w:t>Providencia</w:t>
      </w:r>
      <w:r w:rsidR="003913E3" w:rsidRPr="009B6DC4">
        <w:rPr>
          <w:rFonts w:ascii="Arial" w:hAnsi="Arial"/>
          <w:sz w:val="22"/>
          <w:szCs w:val="22"/>
        </w:rPr>
        <w:tab/>
      </w:r>
      <w:r w:rsidR="003913E3" w:rsidRPr="009B6DC4">
        <w:rPr>
          <w:rFonts w:ascii="Arial" w:hAnsi="Arial"/>
          <w:sz w:val="22"/>
          <w:szCs w:val="22"/>
        </w:rPr>
        <w:tab/>
        <w:t xml:space="preserve">: Sentencia </w:t>
      </w:r>
      <w:r>
        <w:rPr>
          <w:rFonts w:ascii="Arial" w:hAnsi="Arial"/>
          <w:sz w:val="22"/>
          <w:szCs w:val="22"/>
        </w:rPr>
        <w:t>– 2ª instancia – 23 de mayo de 2017</w:t>
      </w:r>
    </w:p>
    <w:p w:rsidR="0015781C" w:rsidRPr="00F86DCE" w:rsidRDefault="0015781C" w:rsidP="0015781C">
      <w:pPr>
        <w:pStyle w:val="Corpsdetexte"/>
        <w:spacing w:line="360" w:lineRule="auto"/>
        <w:ind w:left="3546" w:hanging="2130"/>
        <w:rPr>
          <w:rFonts w:ascii="Arial" w:hAnsi="Arial"/>
          <w:sz w:val="22"/>
          <w:szCs w:val="22"/>
        </w:rPr>
      </w:pPr>
      <w:r>
        <w:rPr>
          <w:rFonts w:ascii="Arial" w:hAnsi="Arial"/>
          <w:sz w:val="22"/>
          <w:szCs w:val="22"/>
        </w:rPr>
        <w:t>Proceso</w:t>
      </w:r>
      <w:r>
        <w:rPr>
          <w:rFonts w:ascii="Arial" w:hAnsi="Arial"/>
          <w:sz w:val="22"/>
          <w:szCs w:val="22"/>
        </w:rPr>
        <w:tab/>
      </w:r>
      <w:r>
        <w:rPr>
          <w:rFonts w:ascii="Arial" w:hAnsi="Arial"/>
          <w:sz w:val="22"/>
          <w:szCs w:val="22"/>
        </w:rPr>
        <w:tab/>
        <w:t xml:space="preserve">: </w:t>
      </w:r>
      <w:r w:rsidRPr="0015781C">
        <w:rPr>
          <w:rFonts w:ascii="Arial" w:hAnsi="Arial"/>
          <w:spacing w:val="-8"/>
          <w:sz w:val="22"/>
          <w:szCs w:val="22"/>
        </w:rPr>
        <w:t>Acción de Tutela – Confirma y declara improcedente la acción</w:t>
      </w:r>
    </w:p>
    <w:p w:rsidR="00586A21" w:rsidRDefault="00586A21" w:rsidP="00586A21">
      <w:pPr>
        <w:pStyle w:val="Corpsdetexte"/>
        <w:spacing w:line="360" w:lineRule="auto"/>
        <w:ind w:left="1416"/>
        <w:rPr>
          <w:rFonts w:ascii="Arial" w:hAnsi="Arial" w:cs="Arial"/>
          <w:sz w:val="22"/>
          <w:szCs w:val="22"/>
        </w:rPr>
      </w:pPr>
      <w:r w:rsidRPr="00594392">
        <w:rPr>
          <w:rFonts w:ascii="Arial" w:hAnsi="Arial" w:cs="Arial"/>
          <w:sz w:val="22"/>
          <w:szCs w:val="22"/>
        </w:rPr>
        <w:t>Accionante</w:t>
      </w:r>
      <w:r w:rsidR="00846E49">
        <w:rPr>
          <w:rFonts w:ascii="Arial" w:hAnsi="Arial" w:cs="Arial"/>
          <w:sz w:val="22"/>
          <w:szCs w:val="22"/>
        </w:rPr>
        <w:t xml:space="preserve"> </w:t>
      </w:r>
      <w:r w:rsidRPr="00594392">
        <w:rPr>
          <w:rFonts w:ascii="Arial" w:hAnsi="Arial" w:cs="Arial"/>
          <w:sz w:val="22"/>
          <w:szCs w:val="22"/>
        </w:rPr>
        <w:tab/>
      </w:r>
      <w:r w:rsidRPr="00594392">
        <w:rPr>
          <w:rFonts w:ascii="Arial" w:hAnsi="Arial" w:cs="Arial"/>
          <w:sz w:val="22"/>
          <w:szCs w:val="22"/>
        </w:rPr>
        <w:tab/>
        <w:t xml:space="preserve">: </w:t>
      </w:r>
      <w:r w:rsidR="00922DC2">
        <w:rPr>
          <w:rFonts w:ascii="Arial" w:hAnsi="Arial" w:cs="Arial"/>
          <w:sz w:val="22"/>
          <w:szCs w:val="22"/>
        </w:rPr>
        <w:t xml:space="preserve">José Héctor Colorado </w:t>
      </w:r>
      <w:proofErr w:type="spellStart"/>
      <w:r w:rsidR="00922DC2">
        <w:rPr>
          <w:rFonts w:ascii="Arial" w:hAnsi="Arial" w:cs="Arial"/>
          <w:sz w:val="22"/>
          <w:szCs w:val="22"/>
        </w:rPr>
        <w:t>Colorado</w:t>
      </w:r>
      <w:proofErr w:type="spellEnd"/>
    </w:p>
    <w:p w:rsidR="00586A21" w:rsidRDefault="00586A21" w:rsidP="000B4F20">
      <w:pPr>
        <w:pStyle w:val="Corpsdetexte"/>
        <w:spacing w:line="360" w:lineRule="auto"/>
        <w:ind w:left="1416"/>
        <w:rPr>
          <w:rFonts w:ascii="Arial" w:hAnsi="Arial" w:cs="Arial"/>
          <w:sz w:val="22"/>
          <w:szCs w:val="22"/>
        </w:rPr>
      </w:pPr>
      <w:r w:rsidRPr="00594392">
        <w:rPr>
          <w:rFonts w:ascii="Arial" w:hAnsi="Arial" w:cs="Arial"/>
          <w:sz w:val="22"/>
          <w:szCs w:val="22"/>
        </w:rPr>
        <w:t>Accionad</w:t>
      </w:r>
      <w:r>
        <w:rPr>
          <w:rFonts w:ascii="Arial" w:hAnsi="Arial" w:cs="Arial"/>
          <w:sz w:val="22"/>
          <w:szCs w:val="22"/>
        </w:rPr>
        <w:t>o</w:t>
      </w:r>
      <w:r w:rsidR="000B4F20">
        <w:rPr>
          <w:rFonts w:ascii="Arial" w:hAnsi="Arial" w:cs="Arial"/>
          <w:sz w:val="22"/>
          <w:szCs w:val="22"/>
        </w:rPr>
        <w:t xml:space="preserve"> </w:t>
      </w:r>
      <w:r w:rsidR="000B4F20">
        <w:rPr>
          <w:rFonts w:ascii="Arial" w:hAnsi="Arial" w:cs="Arial"/>
          <w:sz w:val="22"/>
          <w:szCs w:val="22"/>
        </w:rPr>
        <w:tab/>
      </w:r>
      <w:r w:rsidRPr="00594392">
        <w:rPr>
          <w:rFonts w:ascii="Arial" w:hAnsi="Arial" w:cs="Arial"/>
          <w:sz w:val="22"/>
          <w:szCs w:val="22"/>
        </w:rPr>
        <w:tab/>
        <w:t xml:space="preserve">: </w:t>
      </w:r>
      <w:r w:rsidR="00846E49">
        <w:rPr>
          <w:rFonts w:ascii="Arial" w:hAnsi="Arial" w:cs="Arial"/>
          <w:sz w:val="22"/>
          <w:szCs w:val="22"/>
        </w:rPr>
        <w:t xml:space="preserve">Juzgado </w:t>
      </w:r>
      <w:r w:rsidR="00922DC2">
        <w:rPr>
          <w:rFonts w:ascii="Arial" w:hAnsi="Arial" w:cs="Arial"/>
          <w:sz w:val="22"/>
          <w:szCs w:val="22"/>
        </w:rPr>
        <w:t xml:space="preserve">Tercero </w:t>
      </w:r>
      <w:r w:rsidR="00846E49">
        <w:rPr>
          <w:rFonts w:ascii="Arial" w:hAnsi="Arial" w:cs="Arial"/>
          <w:sz w:val="22"/>
          <w:szCs w:val="22"/>
        </w:rPr>
        <w:t>Civil Municipal de Pereira</w:t>
      </w:r>
    </w:p>
    <w:p w:rsidR="000B4F20" w:rsidRDefault="00922DC2" w:rsidP="000B4F20">
      <w:pPr>
        <w:pStyle w:val="Corpsdetexte"/>
        <w:spacing w:line="360" w:lineRule="auto"/>
        <w:ind w:left="1416"/>
        <w:rPr>
          <w:rFonts w:ascii="Arial" w:hAnsi="Arial" w:cs="Arial"/>
          <w:sz w:val="22"/>
          <w:szCs w:val="22"/>
        </w:rPr>
      </w:pPr>
      <w:r>
        <w:rPr>
          <w:rFonts w:ascii="Arial" w:hAnsi="Arial" w:cs="Arial"/>
          <w:sz w:val="22"/>
          <w:szCs w:val="22"/>
        </w:rPr>
        <w:t xml:space="preserve">Vinculado  </w:t>
      </w:r>
      <w:r>
        <w:rPr>
          <w:rFonts w:ascii="Arial" w:hAnsi="Arial" w:cs="Arial"/>
          <w:sz w:val="22"/>
          <w:szCs w:val="22"/>
        </w:rPr>
        <w:tab/>
      </w:r>
      <w:r w:rsidR="000B4F20">
        <w:rPr>
          <w:rFonts w:ascii="Arial" w:hAnsi="Arial" w:cs="Arial"/>
          <w:sz w:val="22"/>
          <w:szCs w:val="22"/>
        </w:rPr>
        <w:tab/>
        <w:t xml:space="preserve">: </w:t>
      </w:r>
      <w:r>
        <w:rPr>
          <w:rFonts w:ascii="Arial" w:hAnsi="Arial" w:cs="Arial"/>
          <w:sz w:val="22"/>
          <w:szCs w:val="22"/>
        </w:rPr>
        <w:t xml:space="preserve">Carlos Albeiro Bedoya Rincón </w:t>
      </w:r>
    </w:p>
    <w:p w:rsidR="00586A21" w:rsidRPr="00594392" w:rsidRDefault="00586A21" w:rsidP="009F023C">
      <w:pPr>
        <w:pStyle w:val="Corpsdetexte"/>
        <w:spacing w:line="360" w:lineRule="auto"/>
        <w:ind w:left="1416"/>
        <w:rPr>
          <w:rFonts w:ascii="Arial" w:hAnsi="Arial" w:cs="Arial"/>
          <w:sz w:val="22"/>
          <w:szCs w:val="22"/>
        </w:rPr>
      </w:pPr>
      <w:r w:rsidRPr="00594392">
        <w:rPr>
          <w:rFonts w:ascii="Arial" w:hAnsi="Arial" w:cs="Arial"/>
          <w:sz w:val="22"/>
          <w:szCs w:val="22"/>
        </w:rPr>
        <w:t>Procedencia</w:t>
      </w:r>
      <w:r w:rsidRPr="00594392">
        <w:rPr>
          <w:rFonts w:ascii="Arial" w:hAnsi="Arial" w:cs="Arial"/>
          <w:sz w:val="22"/>
          <w:szCs w:val="22"/>
        </w:rPr>
        <w:tab/>
      </w:r>
      <w:r w:rsidRPr="00594392">
        <w:rPr>
          <w:rFonts w:ascii="Arial" w:hAnsi="Arial" w:cs="Arial"/>
          <w:sz w:val="22"/>
          <w:szCs w:val="22"/>
        </w:rPr>
        <w:tab/>
        <w:t xml:space="preserve">: Juzgado </w:t>
      </w:r>
      <w:r w:rsidR="00922DC2">
        <w:rPr>
          <w:rFonts w:ascii="Arial" w:hAnsi="Arial" w:cs="Arial"/>
          <w:sz w:val="22"/>
          <w:szCs w:val="22"/>
        </w:rPr>
        <w:t xml:space="preserve">Segundo </w:t>
      </w:r>
      <w:r w:rsidR="000B4F20">
        <w:rPr>
          <w:rFonts w:ascii="Arial" w:hAnsi="Arial" w:cs="Arial"/>
          <w:sz w:val="22"/>
          <w:szCs w:val="22"/>
        </w:rPr>
        <w:t>Civil del Circuito de Pereira</w:t>
      </w:r>
    </w:p>
    <w:p w:rsidR="00586A21" w:rsidRPr="00594392" w:rsidRDefault="00586A21" w:rsidP="00586A21">
      <w:pPr>
        <w:pStyle w:val="Corpsdetexte"/>
        <w:spacing w:line="360" w:lineRule="auto"/>
        <w:ind w:left="1416"/>
        <w:rPr>
          <w:rFonts w:ascii="Arial" w:hAnsi="Arial" w:cs="Arial"/>
          <w:sz w:val="22"/>
          <w:szCs w:val="22"/>
        </w:rPr>
      </w:pPr>
      <w:r w:rsidRPr="00594392">
        <w:rPr>
          <w:rFonts w:ascii="Arial" w:hAnsi="Arial" w:cs="Arial"/>
          <w:sz w:val="22"/>
          <w:szCs w:val="22"/>
        </w:rPr>
        <w:t>Radicación</w:t>
      </w:r>
      <w:r w:rsidRPr="00594392">
        <w:rPr>
          <w:rFonts w:ascii="Arial" w:hAnsi="Arial" w:cs="Arial"/>
          <w:sz w:val="22"/>
          <w:szCs w:val="22"/>
        </w:rPr>
        <w:tab/>
      </w:r>
      <w:r w:rsidRPr="00594392">
        <w:rPr>
          <w:rFonts w:ascii="Arial" w:hAnsi="Arial" w:cs="Arial"/>
          <w:sz w:val="22"/>
          <w:szCs w:val="22"/>
        </w:rPr>
        <w:tab/>
        <w:t xml:space="preserve">: </w:t>
      </w:r>
      <w:r w:rsidR="00846E49">
        <w:rPr>
          <w:rFonts w:ascii="Arial" w:hAnsi="Arial" w:cs="Arial"/>
          <w:sz w:val="22"/>
          <w:szCs w:val="22"/>
        </w:rPr>
        <w:t>2017-</w:t>
      </w:r>
      <w:r w:rsidR="00922DC2">
        <w:rPr>
          <w:rFonts w:ascii="Arial" w:hAnsi="Arial" w:cs="Arial"/>
          <w:sz w:val="22"/>
          <w:szCs w:val="22"/>
        </w:rPr>
        <w:t>00105-01</w:t>
      </w:r>
    </w:p>
    <w:p w:rsidR="003913E3" w:rsidRPr="00B772B6" w:rsidRDefault="004A12F7" w:rsidP="004A12F7">
      <w:pPr>
        <w:pStyle w:val="Corpsdetexte"/>
        <w:spacing w:line="360" w:lineRule="auto"/>
        <w:ind w:left="708" w:hanging="708"/>
        <w:rPr>
          <w:rFonts w:ascii="Arial" w:hAnsi="Arial" w:cs="Arial"/>
          <w:smallCaps/>
          <w:sz w:val="22"/>
          <w:szCs w:val="22"/>
          <w:lang w:val="es-CO"/>
        </w:rPr>
      </w:pPr>
      <w:r w:rsidRPr="00F86DCE">
        <w:rPr>
          <w:rFonts w:ascii="Arial" w:hAnsi="Arial"/>
          <w:sz w:val="22"/>
          <w:szCs w:val="22"/>
        </w:rPr>
        <w:tab/>
      </w:r>
      <w:r>
        <w:rPr>
          <w:rFonts w:ascii="Arial" w:hAnsi="Arial"/>
          <w:sz w:val="22"/>
          <w:szCs w:val="22"/>
        </w:rPr>
        <w:tab/>
      </w:r>
      <w:r w:rsidR="003913E3" w:rsidRPr="00F86DCE">
        <w:rPr>
          <w:rFonts w:ascii="Arial" w:hAnsi="Arial"/>
          <w:sz w:val="22"/>
          <w:szCs w:val="22"/>
        </w:rPr>
        <w:t>Magistrado Ponente</w:t>
      </w:r>
      <w:r w:rsidR="003913E3" w:rsidRPr="00F86DCE">
        <w:rPr>
          <w:rFonts w:ascii="Arial" w:hAnsi="Arial"/>
          <w:sz w:val="22"/>
          <w:szCs w:val="22"/>
        </w:rPr>
        <w:tab/>
        <w:t xml:space="preserve">: </w:t>
      </w:r>
      <w:r w:rsidR="003913E3" w:rsidRPr="00F86DCE">
        <w:rPr>
          <w:rFonts w:ascii="Arial" w:hAnsi="Arial" w:cs="Arial"/>
          <w:smallCaps/>
          <w:sz w:val="22"/>
          <w:szCs w:val="22"/>
          <w:lang w:val="es-CO"/>
        </w:rPr>
        <w:t>Duberney Grisales Herrera</w:t>
      </w:r>
    </w:p>
    <w:p w:rsidR="003D0EEA" w:rsidRDefault="003D0EEA" w:rsidP="003D0EEA">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w:t>
      </w:r>
      <w:r>
        <w:rPr>
          <w:rFonts w:ascii="Arial" w:hAnsi="Arial"/>
          <w:sz w:val="22"/>
          <w:szCs w:val="22"/>
        </w:rPr>
        <w:t xml:space="preserve"> 265 de 23-05-2017</w:t>
      </w:r>
    </w:p>
    <w:p w:rsidR="0015781C" w:rsidRPr="0015781C" w:rsidRDefault="0015781C" w:rsidP="0015781C">
      <w:pPr>
        <w:pStyle w:val="Corpsdetexte"/>
        <w:spacing w:line="360" w:lineRule="auto"/>
        <w:rPr>
          <w:rFonts w:ascii="Arial" w:hAnsi="Arial"/>
          <w:sz w:val="10"/>
          <w:szCs w:val="10"/>
          <w:lang w:val="es-ES"/>
        </w:rPr>
      </w:pPr>
      <w:r w:rsidRPr="00F86DCE">
        <w:rPr>
          <w:rFonts w:ascii="Arial" w:hAnsi="Arial"/>
          <w:sz w:val="22"/>
          <w:szCs w:val="22"/>
        </w:rPr>
        <w:tab/>
      </w:r>
      <w:r>
        <w:rPr>
          <w:rFonts w:ascii="Arial" w:hAnsi="Arial"/>
          <w:sz w:val="22"/>
          <w:szCs w:val="22"/>
        </w:rPr>
        <w:tab/>
      </w:r>
    </w:p>
    <w:p w:rsidR="0015781C" w:rsidRPr="002060F5" w:rsidRDefault="0015781C" w:rsidP="0015781C">
      <w:pPr>
        <w:pStyle w:val="Corpsdetexte"/>
        <w:spacing w:line="240" w:lineRule="auto"/>
        <w:ind w:left="1416" w:hanging="1416"/>
        <w:rPr>
          <w:rFonts w:ascii="Arial" w:hAnsi="Arial" w:cs="Arial"/>
          <w:b/>
          <w:bCs/>
          <w:sz w:val="22"/>
          <w:szCs w:val="22"/>
        </w:rPr>
      </w:pPr>
      <w:r>
        <w:rPr>
          <w:rFonts w:ascii="Arial" w:hAnsi="Arial"/>
          <w:sz w:val="22"/>
          <w:szCs w:val="22"/>
        </w:rPr>
        <w:tab/>
      </w:r>
      <w:r>
        <w:rPr>
          <w:rFonts w:ascii="Arial" w:hAnsi="Arial"/>
          <w:sz w:val="22"/>
          <w:szCs w:val="22"/>
        </w:rPr>
        <w:tab/>
      </w:r>
      <w:r w:rsidRPr="0015781C">
        <w:rPr>
          <w:rFonts w:ascii="Arial" w:hAnsi="Arial"/>
          <w:b/>
          <w:sz w:val="22"/>
          <w:szCs w:val="22"/>
        </w:rPr>
        <w:t>Temas</w:t>
      </w:r>
      <w:r w:rsidRPr="0015781C">
        <w:rPr>
          <w:rFonts w:ascii="Arial" w:hAnsi="Arial"/>
          <w:b/>
          <w:sz w:val="22"/>
          <w:szCs w:val="22"/>
        </w:rPr>
        <w:tab/>
      </w:r>
      <w:r w:rsidRPr="0015781C">
        <w:rPr>
          <w:rFonts w:ascii="Arial" w:hAnsi="Arial"/>
          <w:b/>
          <w:sz w:val="22"/>
          <w:szCs w:val="22"/>
        </w:rPr>
        <w:tab/>
      </w:r>
      <w:r w:rsidRPr="0015781C">
        <w:rPr>
          <w:rFonts w:ascii="Arial" w:hAnsi="Arial"/>
          <w:b/>
          <w:sz w:val="22"/>
          <w:szCs w:val="22"/>
        </w:rPr>
        <w:tab/>
        <w:t xml:space="preserve">: </w:t>
      </w:r>
      <w:r w:rsidRPr="0015781C">
        <w:rPr>
          <w:rFonts w:ascii="Arial" w:hAnsi="Arial" w:cs="Arial"/>
          <w:b/>
          <w:sz w:val="22"/>
          <w:szCs w:val="24"/>
        </w:rPr>
        <w:t>INMEDIATEZ – SUBSIDIARIEDAD</w:t>
      </w:r>
      <w:r>
        <w:rPr>
          <w:rFonts w:ascii="Arial" w:hAnsi="Arial" w:cs="Arial"/>
          <w:b/>
          <w:sz w:val="22"/>
          <w:szCs w:val="24"/>
        </w:rPr>
        <w:t>.</w:t>
      </w:r>
      <w:r w:rsidRPr="0015781C">
        <w:rPr>
          <w:rFonts w:ascii="Arial" w:hAnsi="Arial" w:cs="Arial"/>
          <w:sz w:val="22"/>
          <w:szCs w:val="24"/>
        </w:rPr>
        <w:t xml:space="preserve"> </w:t>
      </w:r>
      <w:r w:rsidRPr="0015781C">
        <w:rPr>
          <w:rFonts w:ascii="Arial" w:hAnsi="Arial" w:cs="Arial"/>
          <w:sz w:val="22"/>
          <w:lang w:val="es-ES"/>
        </w:rPr>
        <w:t xml:space="preserve">[E]l actor fue notificado el 04-05-2015 del mandamiento de pago dictado en el proceso ejecutivo </w:t>
      </w:r>
      <w:proofErr w:type="spellStart"/>
      <w:r w:rsidRPr="0015781C">
        <w:rPr>
          <w:rFonts w:ascii="Arial" w:hAnsi="Arial" w:cs="Arial"/>
          <w:sz w:val="22"/>
          <w:lang w:val="es-ES"/>
        </w:rPr>
        <w:t>No.2014</w:t>
      </w:r>
      <w:proofErr w:type="spellEnd"/>
      <w:r w:rsidRPr="0015781C">
        <w:rPr>
          <w:rFonts w:ascii="Arial" w:hAnsi="Arial" w:cs="Arial"/>
          <w:sz w:val="22"/>
          <w:lang w:val="es-ES"/>
        </w:rPr>
        <w:t>-00555-00 (Folios 1 y 2, ib.) lo que implica sin lugar a dudas, que el amparo carece de inmediatez; en efecto, su presentación desbordó el plazo de los seis (6) meses fijado por la jurisprudencia, como razonable para hacerlo, pues han transcurrido aproximadamente un (1) año y diez (10)</w:t>
      </w:r>
      <w:r w:rsidRPr="0015781C">
        <w:rPr>
          <w:rFonts w:ascii="Arial" w:hAnsi="Arial" w:cs="Arial"/>
          <w:sz w:val="22"/>
          <w:lang w:val="es-CO"/>
        </w:rPr>
        <w:t xml:space="preserve"> meses </w:t>
      </w:r>
      <w:r w:rsidRPr="0015781C">
        <w:rPr>
          <w:rFonts w:ascii="Arial" w:hAnsi="Arial" w:cs="Arial"/>
          <w:sz w:val="22"/>
          <w:lang w:val="es-ES"/>
        </w:rPr>
        <w:t xml:space="preserve">al día de su radicación (24-03-2017). Inclusive, si se contabilizara aquel plazo desde la decisión que puso fin al proceso (21-10-2015) (Folios 8 a 11, ib.), pues la queja de la indebida notificación tiende a que se declare su nulidad, también se incumple con el requisito (Ha pasado un (1) año y cinco (5) meses). (…) Se arguye que la vulneración de los derechos permanece en el tiempo, que el trámite está en curso y aún es posible remediar el error judicial, para justificar la presentación tardía del amparo, sin embargo, para la Sala se precisa escasa e insignificante, si en cuenta se tiene que el accionante conoció de la existencia del asunto desde el 04-05-2015 y obviamente se enteró del auto que declaró no probada su excepción y ordenó continuar con la ejecución, supo entonces de la decisión adversa a sus intereses, no obstante, esperó más de un año para promover el amparo, lo que conlleva a relucir la ausencia de urgencia en la protección pedida. (…) </w:t>
      </w:r>
      <w:r w:rsidRPr="0015781C">
        <w:rPr>
          <w:rFonts w:ascii="Arial" w:hAnsi="Arial" w:cs="Arial"/>
          <w:sz w:val="22"/>
        </w:rPr>
        <w:t>[A]</w:t>
      </w:r>
      <w:proofErr w:type="spellStart"/>
      <w:r w:rsidRPr="0015781C">
        <w:rPr>
          <w:rFonts w:ascii="Arial" w:hAnsi="Arial" w:cs="Arial"/>
          <w:sz w:val="22"/>
        </w:rPr>
        <w:t>dvierte</w:t>
      </w:r>
      <w:proofErr w:type="spellEnd"/>
      <w:r w:rsidRPr="0015781C">
        <w:rPr>
          <w:rFonts w:ascii="Arial" w:hAnsi="Arial" w:cs="Arial"/>
          <w:sz w:val="22"/>
        </w:rPr>
        <w:t xml:space="preserve"> la Sala que también carece del presupuesto de la subsidiariedad, puesto que para el actor existe otro medio legal para procurar el resguardo de sus derechos. Como la queja se basa en una indebida notificación, pudo entonces alegar esta nulidad procesal cuando se enteró de la ejecución iniciada en su contra (Artículo 142, </w:t>
      </w:r>
      <w:proofErr w:type="spellStart"/>
      <w:r w:rsidRPr="0015781C">
        <w:rPr>
          <w:rFonts w:ascii="Arial" w:hAnsi="Arial" w:cs="Arial"/>
          <w:sz w:val="22"/>
        </w:rPr>
        <w:t>CPC</w:t>
      </w:r>
      <w:proofErr w:type="spellEnd"/>
      <w:r w:rsidRPr="0015781C">
        <w:rPr>
          <w:rFonts w:ascii="Arial" w:hAnsi="Arial" w:cs="Arial"/>
          <w:sz w:val="22"/>
        </w:rPr>
        <w:t>), pero no hizo uso de ese remedio judicial.</w:t>
      </w:r>
    </w:p>
    <w:p w:rsidR="003D0EEA" w:rsidRDefault="003D0EEA" w:rsidP="003D0EEA">
      <w:pPr>
        <w:pBdr>
          <w:bottom w:val="double" w:sz="6" w:space="1" w:color="auto"/>
        </w:pBdr>
        <w:spacing w:line="360" w:lineRule="auto"/>
        <w:jc w:val="center"/>
        <w:rPr>
          <w:rFonts w:ascii="Arial" w:hAnsi="Arial" w:cs="Arial"/>
          <w:b/>
          <w:bCs/>
          <w:sz w:val="22"/>
          <w:szCs w:val="22"/>
        </w:rPr>
      </w:pPr>
    </w:p>
    <w:p w:rsidR="003D0EEA" w:rsidRPr="0015781C" w:rsidRDefault="003D0EEA" w:rsidP="003D0EEA">
      <w:pPr>
        <w:spacing w:line="360" w:lineRule="auto"/>
        <w:jc w:val="center"/>
        <w:rPr>
          <w:rFonts w:ascii="Arial" w:hAnsi="Arial" w:cs="Arial"/>
          <w:b/>
          <w:bCs/>
          <w:sz w:val="10"/>
          <w:szCs w:val="10"/>
        </w:rPr>
      </w:pPr>
    </w:p>
    <w:p w:rsidR="003D0EEA" w:rsidRPr="00D06248" w:rsidRDefault="003D0EEA" w:rsidP="003D0EEA">
      <w:pPr>
        <w:spacing w:line="360" w:lineRule="auto"/>
        <w:jc w:val="center"/>
        <w:rPr>
          <w:rFonts w:ascii="Arial" w:hAnsi="Arial" w:cs="Arial"/>
          <w:iCs/>
          <w:sz w:val="28"/>
          <w:szCs w:val="28"/>
          <w:lang w:val="es-CO"/>
        </w:rPr>
      </w:pPr>
      <w:r w:rsidRPr="00D06248">
        <w:rPr>
          <w:rFonts w:ascii="Arial" w:hAnsi="Arial" w:cs="Arial"/>
          <w:iCs/>
          <w:smallCaps/>
          <w:sz w:val="28"/>
          <w:szCs w:val="28"/>
          <w:lang w:val="es-CO"/>
        </w:rPr>
        <w:t xml:space="preserve">Pereira, R., </w:t>
      </w:r>
      <w:r>
        <w:rPr>
          <w:rFonts w:ascii="Arial" w:hAnsi="Arial" w:cs="Arial"/>
          <w:iCs/>
          <w:smallCaps/>
          <w:sz w:val="28"/>
          <w:szCs w:val="28"/>
          <w:lang w:val="es-CO"/>
        </w:rPr>
        <w:t xml:space="preserve">veintitrés </w:t>
      </w:r>
      <w:r w:rsidRPr="00D06248">
        <w:rPr>
          <w:rFonts w:ascii="Arial" w:hAnsi="Arial" w:cs="Arial"/>
          <w:iCs/>
          <w:smallCaps/>
          <w:sz w:val="28"/>
          <w:szCs w:val="28"/>
          <w:lang w:val="es-CO"/>
        </w:rPr>
        <w:t>(</w:t>
      </w:r>
      <w:r>
        <w:rPr>
          <w:rFonts w:ascii="Arial" w:hAnsi="Arial" w:cs="Arial"/>
          <w:iCs/>
          <w:smallCaps/>
          <w:sz w:val="28"/>
          <w:szCs w:val="28"/>
          <w:lang w:val="es-CO"/>
        </w:rPr>
        <w:t>23</w:t>
      </w:r>
      <w:r w:rsidRPr="00D06248">
        <w:rPr>
          <w:rFonts w:ascii="Arial" w:hAnsi="Arial" w:cs="Arial"/>
          <w:iCs/>
          <w:smallCaps/>
          <w:sz w:val="28"/>
          <w:szCs w:val="28"/>
          <w:lang w:val="es-CO"/>
        </w:rPr>
        <w:t xml:space="preserve">) de </w:t>
      </w:r>
      <w:r>
        <w:rPr>
          <w:rFonts w:ascii="Arial" w:hAnsi="Arial" w:cs="Arial"/>
          <w:iCs/>
          <w:smallCaps/>
          <w:sz w:val="28"/>
          <w:szCs w:val="28"/>
          <w:lang w:val="es-CO"/>
        </w:rPr>
        <w:t xml:space="preserve">mayo </w:t>
      </w:r>
      <w:r w:rsidRPr="00D06248">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D06248">
        <w:rPr>
          <w:rFonts w:ascii="Arial" w:hAnsi="Arial" w:cs="Arial"/>
          <w:iCs/>
          <w:smallCaps/>
          <w:sz w:val="28"/>
          <w:szCs w:val="28"/>
          <w:lang w:val="es-CO"/>
        </w:rPr>
        <w:t>(</w:t>
      </w:r>
      <w:r>
        <w:rPr>
          <w:rFonts w:ascii="Arial" w:hAnsi="Arial" w:cs="Arial"/>
          <w:iCs/>
          <w:smallCaps/>
          <w:sz w:val="28"/>
          <w:szCs w:val="28"/>
          <w:lang w:val="es-CO"/>
        </w:rPr>
        <w:t>2017</w:t>
      </w:r>
      <w:r w:rsidRPr="00D06248">
        <w:rPr>
          <w:rFonts w:ascii="Arial" w:hAnsi="Arial" w:cs="Arial"/>
          <w:iCs/>
          <w:smallCaps/>
          <w:sz w:val="28"/>
          <w:szCs w:val="28"/>
          <w:lang w:val="es-CO"/>
        </w:rPr>
        <w:t>)</w:t>
      </w:r>
      <w:r w:rsidRPr="00D06248">
        <w:rPr>
          <w:rFonts w:ascii="Arial" w:hAnsi="Arial" w:cs="Arial"/>
          <w:iCs/>
          <w:sz w:val="28"/>
          <w:szCs w:val="28"/>
          <w:lang w:val="es-CO"/>
        </w:rPr>
        <w:t>.</w:t>
      </w:r>
    </w:p>
    <w:p w:rsidR="001C5E99" w:rsidRDefault="001C5E99" w:rsidP="001C5E99">
      <w:pPr>
        <w:spacing w:line="360" w:lineRule="auto"/>
        <w:jc w:val="center"/>
        <w:rPr>
          <w:rFonts w:ascii="Arial" w:hAnsi="Arial" w:cs="Arial"/>
          <w:iCs/>
          <w:sz w:val="28"/>
          <w:lang w:val="es-CO"/>
        </w:rPr>
      </w:pP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t xml:space="preserve">EL ASUNTO </w:t>
      </w:r>
      <w:r w:rsidR="00FA29FF">
        <w:rPr>
          <w:rFonts w:ascii="Arial" w:hAnsi="Arial" w:cs="Arial"/>
          <w:sz w:val="24"/>
          <w:szCs w:val="24"/>
        </w:rPr>
        <w:t xml:space="preserve">POR </w:t>
      </w:r>
      <w:r w:rsidRPr="00311FCA">
        <w:rPr>
          <w:rFonts w:ascii="Arial" w:hAnsi="Arial" w:cs="Arial"/>
          <w:sz w:val="24"/>
          <w:szCs w:val="24"/>
        </w:rPr>
        <w:t>DECIDIR</w:t>
      </w:r>
    </w:p>
    <w:p w:rsidR="003913E3" w:rsidRPr="00311FCA" w:rsidRDefault="003913E3" w:rsidP="0015781C">
      <w:pPr>
        <w:pStyle w:val="Corpsdetexte"/>
        <w:spacing w:line="240" w:lineRule="auto"/>
        <w:rPr>
          <w:rFonts w:ascii="Arial" w:hAnsi="Arial" w:cs="Arial"/>
          <w:sz w:val="24"/>
          <w:szCs w:val="24"/>
        </w:rPr>
      </w:pPr>
    </w:p>
    <w:p w:rsidR="003913E3" w:rsidRPr="00311FCA" w:rsidRDefault="003913E3" w:rsidP="00F839CE">
      <w:pPr>
        <w:pStyle w:val="Corpsdetexte"/>
        <w:spacing w:line="360" w:lineRule="auto"/>
        <w:rPr>
          <w:rFonts w:ascii="Arial" w:hAnsi="Arial" w:cs="Arial"/>
          <w:sz w:val="24"/>
          <w:szCs w:val="24"/>
        </w:rPr>
      </w:pPr>
      <w:r w:rsidRPr="00311FCA">
        <w:rPr>
          <w:rFonts w:ascii="Arial" w:hAnsi="Arial" w:cs="Arial"/>
          <w:sz w:val="24"/>
          <w:szCs w:val="24"/>
        </w:rPr>
        <w:t>La impugnación formulada dentro de la acción constitucional referida, luego de surtida la actuación de primera instancia, sin avistar nulidades que la invaliden.</w:t>
      </w: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lastRenderedPageBreak/>
        <w:t xml:space="preserve">LA SÍNTESIS </w:t>
      </w:r>
      <w:r w:rsidR="00846E49">
        <w:rPr>
          <w:rFonts w:ascii="Arial" w:hAnsi="Arial" w:cs="Arial"/>
          <w:sz w:val="24"/>
          <w:szCs w:val="24"/>
        </w:rPr>
        <w:t>FÁCTICA</w:t>
      </w:r>
    </w:p>
    <w:p w:rsidR="003913E3" w:rsidRPr="00311FCA" w:rsidRDefault="003913E3" w:rsidP="00F839CE">
      <w:pPr>
        <w:pStyle w:val="Corpsdetexte"/>
        <w:spacing w:line="360" w:lineRule="auto"/>
        <w:rPr>
          <w:rFonts w:ascii="Arial" w:hAnsi="Arial" w:cs="Arial"/>
          <w:sz w:val="24"/>
          <w:szCs w:val="24"/>
        </w:rPr>
      </w:pPr>
    </w:p>
    <w:p w:rsidR="00295AE4" w:rsidRDefault="00922DC2" w:rsidP="00F839CE">
      <w:pPr>
        <w:pStyle w:val="Corpsdetexte"/>
        <w:spacing w:line="360" w:lineRule="auto"/>
        <w:rPr>
          <w:rFonts w:ascii="Arial" w:hAnsi="Arial" w:cs="Arial"/>
          <w:sz w:val="24"/>
          <w:szCs w:val="24"/>
          <w:lang w:val="es-CO"/>
        </w:rPr>
      </w:pPr>
      <w:r>
        <w:rPr>
          <w:rFonts w:ascii="Arial" w:hAnsi="Arial" w:cs="Arial"/>
          <w:sz w:val="24"/>
          <w:szCs w:val="24"/>
        </w:rPr>
        <w:t>I</w:t>
      </w:r>
      <w:r w:rsidR="009B6DC4">
        <w:rPr>
          <w:rFonts w:ascii="Arial" w:hAnsi="Arial" w:cs="Arial"/>
          <w:sz w:val="24"/>
          <w:szCs w:val="24"/>
        </w:rPr>
        <w:t xml:space="preserve">nformó </w:t>
      </w:r>
      <w:r>
        <w:rPr>
          <w:rFonts w:ascii="Arial" w:hAnsi="Arial" w:cs="Arial"/>
          <w:sz w:val="24"/>
          <w:szCs w:val="24"/>
        </w:rPr>
        <w:t xml:space="preserve">el actor </w:t>
      </w:r>
      <w:r w:rsidR="000B4F20">
        <w:rPr>
          <w:rFonts w:ascii="Arial" w:hAnsi="Arial" w:cs="Arial"/>
          <w:sz w:val="24"/>
          <w:szCs w:val="24"/>
        </w:rPr>
        <w:t xml:space="preserve">que </w:t>
      </w:r>
      <w:r>
        <w:rPr>
          <w:rFonts w:ascii="Arial" w:hAnsi="Arial" w:cs="Arial"/>
          <w:sz w:val="24"/>
          <w:szCs w:val="24"/>
        </w:rPr>
        <w:t>el 29-04-2014 se libró mandamiento de pago en su contra en el proceso radicado al No.2014-00555-00, notificado en el estado del 02-</w:t>
      </w:r>
      <w:r w:rsidR="00295AE4">
        <w:rPr>
          <w:rFonts w:ascii="Arial" w:hAnsi="Arial" w:cs="Arial"/>
          <w:sz w:val="24"/>
          <w:szCs w:val="24"/>
        </w:rPr>
        <w:t>05</w:t>
      </w:r>
      <w:r>
        <w:rPr>
          <w:rFonts w:ascii="Arial" w:hAnsi="Arial" w:cs="Arial"/>
          <w:sz w:val="24"/>
          <w:szCs w:val="24"/>
        </w:rPr>
        <w:t xml:space="preserve">-2014; </w:t>
      </w:r>
      <w:r w:rsidR="00295AE4">
        <w:rPr>
          <w:rFonts w:ascii="Arial" w:hAnsi="Arial" w:cs="Arial"/>
          <w:sz w:val="24"/>
          <w:szCs w:val="24"/>
        </w:rPr>
        <w:t xml:space="preserve">adujo que dicho proveído se le notificó el 03-05-2015 </w:t>
      </w:r>
      <w:r w:rsidR="001853D4">
        <w:rPr>
          <w:rFonts w:ascii="Arial" w:hAnsi="Arial" w:cs="Arial"/>
          <w:sz w:val="24"/>
          <w:szCs w:val="24"/>
        </w:rPr>
        <w:t>mediante aviso</w:t>
      </w:r>
      <w:r>
        <w:rPr>
          <w:rFonts w:ascii="Arial" w:hAnsi="Arial" w:cs="Arial"/>
          <w:sz w:val="24"/>
          <w:szCs w:val="24"/>
        </w:rPr>
        <w:t xml:space="preserve"> que se entregó al portero del edificio ubicado en </w:t>
      </w:r>
      <w:r w:rsidR="00295AE4">
        <w:rPr>
          <w:rFonts w:ascii="Arial" w:hAnsi="Arial" w:cs="Arial"/>
          <w:sz w:val="24"/>
          <w:szCs w:val="24"/>
          <w:lang w:val="es-CO"/>
        </w:rPr>
        <w:t xml:space="preserve">la </w:t>
      </w:r>
      <w:r w:rsidR="001853D4">
        <w:rPr>
          <w:rFonts w:ascii="Arial" w:hAnsi="Arial" w:cs="Arial"/>
          <w:sz w:val="24"/>
          <w:szCs w:val="24"/>
          <w:lang w:val="es-CO"/>
        </w:rPr>
        <w:t xml:space="preserve">carrera </w:t>
      </w:r>
      <w:r>
        <w:rPr>
          <w:rFonts w:ascii="Arial" w:hAnsi="Arial" w:cs="Arial"/>
          <w:sz w:val="24"/>
          <w:szCs w:val="24"/>
          <w:lang w:val="es-CO"/>
        </w:rPr>
        <w:t>10 No.21-15</w:t>
      </w:r>
      <w:r w:rsidR="00295AE4">
        <w:rPr>
          <w:rFonts w:ascii="Arial" w:hAnsi="Arial" w:cs="Arial"/>
          <w:sz w:val="24"/>
          <w:szCs w:val="24"/>
          <w:lang w:val="es-CO"/>
        </w:rPr>
        <w:t>, pese a que estaba dirigido</w:t>
      </w:r>
      <w:r>
        <w:rPr>
          <w:rFonts w:ascii="Arial" w:hAnsi="Arial" w:cs="Arial"/>
          <w:sz w:val="24"/>
          <w:szCs w:val="24"/>
          <w:lang w:val="es-CO"/>
        </w:rPr>
        <w:t xml:space="preserve"> a la oficina No.406 del inmueble. </w:t>
      </w:r>
    </w:p>
    <w:p w:rsidR="00295AE4" w:rsidRDefault="00295AE4" w:rsidP="00F839CE">
      <w:pPr>
        <w:pStyle w:val="Corpsdetexte"/>
        <w:spacing w:line="360" w:lineRule="auto"/>
        <w:rPr>
          <w:rFonts w:ascii="Arial" w:hAnsi="Arial" w:cs="Arial"/>
          <w:sz w:val="24"/>
          <w:szCs w:val="24"/>
          <w:lang w:val="es-CO"/>
        </w:rPr>
      </w:pPr>
    </w:p>
    <w:p w:rsidR="0017357D" w:rsidRPr="00295AE4" w:rsidRDefault="00295AE4" w:rsidP="00F839CE">
      <w:pPr>
        <w:pStyle w:val="Corpsdetexte"/>
        <w:spacing w:line="360" w:lineRule="auto"/>
        <w:rPr>
          <w:rFonts w:ascii="Arial" w:hAnsi="Arial" w:cs="Arial"/>
          <w:sz w:val="24"/>
          <w:szCs w:val="24"/>
          <w:lang w:val="es-CO"/>
        </w:rPr>
      </w:pPr>
      <w:r>
        <w:rPr>
          <w:rFonts w:ascii="Arial" w:hAnsi="Arial" w:cs="Arial"/>
          <w:sz w:val="24"/>
          <w:szCs w:val="24"/>
          <w:lang w:val="es-CO"/>
        </w:rPr>
        <w:t>También expuso que la notificación se surtió al día siguiente (04-05-2015), por fuera del término del año de interrupción de la prescripción, pero el juzgado consideró que se cumplió el mismo día de entrega del aviso</w:t>
      </w:r>
      <w:r w:rsidR="001853D4">
        <w:rPr>
          <w:rFonts w:ascii="Arial" w:hAnsi="Arial" w:cs="Arial"/>
          <w:sz w:val="24"/>
          <w:szCs w:val="24"/>
          <w:lang w:val="es-CO"/>
        </w:rPr>
        <w:t>,</w:t>
      </w:r>
      <w:r>
        <w:rPr>
          <w:rFonts w:ascii="Arial" w:hAnsi="Arial" w:cs="Arial"/>
          <w:sz w:val="24"/>
          <w:szCs w:val="24"/>
          <w:lang w:val="es-CO"/>
        </w:rPr>
        <w:t xml:space="preserve"> en contravía </w:t>
      </w:r>
      <w:r w:rsidR="001853D4">
        <w:rPr>
          <w:rFonts w:ascii="Arial" w:hAnsi="Arial" w:cs="Arial"/>
          <w:sz w:val="24"/>
          <w:szCs w:val="24"/>
          <w:lang w:val="es-CO"/>
        </w:rPr>
        <w:t xml:space="preserve">del </w:t>
      </w:r>
      <w:r>
        <w:rPr>
          <w:rFonts w:ascii="Arial" w:hAnsi="Arial" w:cs="Arial"/>
          <w:sz w:val="24"/>
          <w:szCs w:val="24"/>
          <w:lang w:val="es-CO"/>
        </w:rPr>
        <w:t>artículo 94 del CGP</w:t>
      </w:r>
      <w:r w:rsidR="00E572FA">
        <w:rPr>
          <w:rFonts w:ascii="Arial" w:hAnsi="Arial" w:cs="Arial"/>
          <w:sz w:val="24"/>
          <w:szCs w:val="24"/>
        </w:rPr>
        <w:t xml:space="preserve"> </w:t>
      </w:r>
      <w:r w:rsidR="009F023C">
        <w:rPr>
          <w:rFonts w:ascii="Arial" w:hAnsi="Arial" w:cs="Arial"/>
          <w:sz w:val="24"/>
          <w:szCs w:val="24"/>
        </w:rPr>
        <w:t>(Folio</w:t>
      </w:r>
      <w:r w:rsidR="00172826">
        <w:rPr>
          <w:rFonts w:ascii="Arial" w:hAnsi="Arial" w:cs="Arial"/>
          <w:sz w:val="24"/>
          <w:szCs w:val="24"/>
        </w:rPr>
        <w:t xml:space="preserve">s </w:t>
      </w:r>
      <w:r>
        <w:rPr>
          <w:rFonts w:ascii="Arial" w:hAnsi="Arial" w:cs="Arial"/>
          <w:sz w:val="24"/>
          <w:szCs w:val="24"/>
        </w:rPr>
        <w:t>1 a 3</w:t>
      </w:r>
      <w:r w:rsidR="00220CE5" w:rsidRPr="00170C5C">
        <w:rPr>
          <w:rFonts w:ascii="Arial" w:hAnsi="Arial" w:cs="Arial"/>
          <w:sz w:val="24"/>
          <w:szCs w:val="24"/>
        </w:rPr>
        <w:t xml:space="preserve">, </w:t>
      </w:r>
      <w:r w:rsidR="00220CE5" w:rsidRPr="00170C5C">
        <w:rPr>
          <w:rFonts w:ascii="Arial" w:hAnsi="Arial" w:cs="Arial"/>
          <w:sz w:val="24"/>
          <w:szCs w:val="24"/>
          <w:lang w:val="es-CO"/>
        </w:rPr>
        <w:t>del cuaderno de primera instancia</w:t>
      </w:r>
      <w:r w:rsidR="00220CE5" w:rsidRPr="00170C5C">
        <w:rPr>
          <w:rFonts w:ascii="Arial" w:hAnsi="Arial" w:cs="Arial"/>
          <w:sz w:val="24"/>
          <w:szCs w:val="24"/>
        </w:rPr>
        <w:t>).</w:t>
      </w:r>
    </w:p>
    <w:p w:rsidR="004B5109" w:rsidRDefault="004B5109" w:rsidP="00F839CE">
      <w:pPr>
        <w:pStyle w:val="Corpsdetexte"/>
        <w:spacing w:line="360" w:lineRule="auto"/>
        <w:rPr>
          <w:rFonts w:ascii="Arial" w:hAnsi="Arial" w:cs="Arial"/>
          <w:color w:val="000000"/>
          <w:sz w:val="24"/>
          <w:szCs w:val="24"/>
          <w:lang w:val="es-CO"/>
        </w:rPr>
      </w:pPr>
    </w:p>
    <w:p w:rsidR="003913E3"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t>LOS DERECHOS INVOCADOS</w:t>
      </w:r>
    </w:p>
    <w:p w:rsidR="0015781C" w:rsidRDefault="0015781C" w:rsidP="00F839CE">
      <w:pPr>
        <w:pStyle w:val="Corpsdetexte"/>
        <w:widowControl w:val="0"/>
        <w:spacing w:line="360" w:lineRule="auto"/>
        <w:rPr>
          <w:rFonts w:ascii="Arial" w:hAnsi="Arial" w:cs="Arial"/>
          <w:sz w:val="24"/>
          <w:szCs w:val="24"/>
        </w:rPr>
      </w:pPr>
    </w:p>
    <w:p w:rsidR="003913E3" w:rsidRDefault="00A84032" w:rsidP="00F839CE">
      <w:pPr>
        <w:pStyle w:val="Corpsdetexte"/>
        <w:widowControl w:val="0"/>
        <w:spacing w:line="360" w:lineRule="auto"/>
        <w:rPr>
          <w:rFonts w:ascii="Arial" w:hAnsi="Arial" w:cs="Arial"/>
          <w:sz w:val="24"/>
          <w:szCs w:val="24"/>
        </w:rPr>
      </w:pPr>
      <w:r>
        <w:rPr>
          <w:rFonts w:ascii="Arial" w:hAnsi="Arial" w:cs="Arial"/>
          <w:sz w:val="24"/>
          <w:szCs w:val="24"/>
        </w:rPr>
        <w:t xml:space="preserve">Los </w:t>
      </w:r>
      <w:r w:rsidR="003913E3" w:rsidRPr="00311FCA">
        <w:rPr>
          <w:rFonts w:ascii="Arial" w:hAnsi="Arial" w:cs="Arial"/>
          <w:sz w:val="24"/>
          <w:szCs w:val="24"/>
        </w:rPr>
        <w:t>derecho</w:t>
      </w:r>
      <w:r>
        <w:rPr>
          <w:rFonts w:ascii="Arial" w:hAnsi="Arial" w:cs="Arial"/>
          <w:sz w:val="24"/>
          <w:szCs w:val="24"/>
        </w:rPr>
        <w:t>s</w:t>
      </w:r>
      <w:r w:rsidR="003913E3" w:rsidRPr="00311FCA">
        <w:rPr>
          <w:rFonts w:ascii="Arial" w:hAnsi="Arial" w:cs="Arial"/>
          <w:sz w:val="24"/>
          <w:szCs w:val="24"/>
        </w:rPr>
        <w:t xml:space="preserve"> fundamental</w:t>
      </w:r>
      <w:r>
        <w:rPr>
          <w:rFonts w:ascii="Arial" w:hAnsi="Arial" w:cs="Arial"/>
          <w:sz w:val="24"/>
          <w:szCs w:val="24"/>
        </w:rPr>
        <w:t>es</w:t>
      </w:r>
      <w:r w:rsidR="003913E3" w:rsidRPr="00311FCA">
        <w:rPr>
          <w:rFonts w:ascii="Arial" w:hAnsi="Arial" w:cs="Arial"/>
          <w:sz w:val="24"/>
          <w:szCs w:val="24"/>
        </w:rPr>
        <w:t xml:space="preserve"> </w:t>
      </w:r>
      <w:r w:rsidR="00172826">
        <w:rPr>
          <w:rFonts w:ascii="Arial" w:hAnsi="Arial" w:cs="Arial"/>
          <w:sz w:val="24"/>
          <w:szCs w:val="24"/>
        </w:rPr>
        <w:t>al debido proceso</w:t>
      </w:r>
      <w:r w:rsidR="00295AE4">
        <w:rPr>
          <w:rFonts w:ascii="Arial" w:hAnsi="Arial" w:cs="Arial"/>
          <w:sz w:val="24"/>
          <w:szCs w:val="24"/>
        </w:rPr>
        <w:t xml:space="preserve"> e</w:t>
      </w:r>
      <w:r w:rsidR="00172826">
        <w:rPr>
          <w:rFonts w:ascii="Arial" w:hAnsi="Arial" w:cs="Arial"/>
          <w:sz w:val="24"/>
          <w:szCs w:val="24"/>
        </w:rPr>
        <w:t xml:space="preserve"> </w:t>
      </w:r>
      <w:r w:rsidR="00295AE4">
        <w:rPr>
          <w:rFonts w:ascii="Arial" w:hAnsi="Arial" w:cs="Arial"/>
          <w:sz w:val="24"/>
          <w:szCs w:val="24"/>
        </w:rPr>
        <w:t xml:space="preserve">igualdad </w:t>
      </w:r>
      <w:r w:rsidR="003913E3" w:rsidRPr="00311FCA">
        <w:rPr>
          <w:rFonts w:ascii="Arial" w:hAnsi="Arial" w:cs="Arial"/>
          <w:sz w:val="24"/>
          <w:szCs w:val="24"/>
        </w:rPr>
        <w:t>(Folio</w:t>
      </w:r>
      <w:r w:rsidR="00B978A7">
        <w:rPr>
          <w:rFonts w:ascii="Arial" w:hAnsi="Arial" w:cs="Arial"/>
          <w:sz w:val="24"/>
          <w:szCs w:val="24"/>
        </w:rPr>
        <w:t xml:space="preserve"> </w:t>
      </w:r>
      <w:r w:rsidR="00295AE4">
        <w:rPr>
          <w:rFonts w:ascii="Arial" w:hAnsi="Arial" w:cs="Arial"/>
          <w:sz w:val="24"/>
          <w:szCs w:val="24"/>
        </w:rPr>
        <w:t>1</w:t>
      </w:r>
      <w:r w:rsidR="005C26B3">
        <w:rPr>
          <w:rFonts w:ascii="Arial" w:hAnsi="Arial" w:cs="Arial"/>
          <w:sz w:val="24"/>
          <w:szCs w:val="24"/>
        </w:rPr>
        <w:t>,</w:t>
      </w:r>
      <w:r w:rsidR="003913E3">
        <w:rPr>
          <w:rFonts w:ascii="Arial" w:hAnsi="Arial" w:cs="Arial"/>
          <w:sz w:val="24"/>
          <w:szCs w:val="24"/>
        </w:rPr>
        <w:t xml:space="preserve"> </w:t>
      </w:r>
      <w:r w:rsidR="003913E3" w:rsidRPr="00311FCA">
        <w:rPr>
          <w:rFonts w:ascii="Arial" w:hAnsi="Arial" w:cs="Arial"/>
          <w:color w:val="000000"/>
          <w:sz w:val="24"/>
          <w:szCs w:val="24"/>
          <w:lang w:val="es-CO"/>
        </w:rPr>
        <w:t xml:space="preserve">del cuaderno </w:t>
      </w:r>
      <w:r w:rsidR="003B677E">
        <w:rPr>
          <w:rFonts w:ascii="Arial" w:hAnsi="Arial" w:cs="Arial"/>
          <w:color w:val="000000"/>
          <w:sz w:val="24"/>
          <w:szCs w:val="24"/>
          <w:lang w:val="es-CO"/>
        </w:rPr>
        <w:t>de primera instancia</w:t>
      </w:r>
      <w:r w:rsidR="003913E3" w:rsidRPr="00311FCA">
        <w:rPr>
          <w:rFonts w:ascii="Arial" w:hAnsi="Arial" w:cs="Arial"/>
          <w:sz w:val="24"/>
          <w:szCs w:val="24"/>
        </w:rPr>
        <w:t>).</w:t>
      </w:r>
      <w:r w:rsidR="002C2796">
        <w:rPr>
          <w:rFonts w:ascii="Arial" w:hAnsi="Arial" w:cs="Arial"/>
          <w:sz w:val="24"/>
          <w:szCs w:val="24"/>
        </w:rPr>
        <w:t xml:space="preserve"> </w:t>
      </w:r>
    </w:p>
    <w:p w:rsidR="00A84032" w:rsidRDefault="00A84032" w:rsidP="00F839CE">
      <w:pPr>
        <w:pStyle w:val="Corpsdetexte"/>
        <w:widowControl w:val="0"/>
        <w:spacing w:line="360" w:lineRule="auto"/>
        <w:rPr>
          <w:rFonts w:ascii="Arial" w:hAnsi="Arial" w:cs="Arial"/>
          <w:sz w:val="24"/>
          <w:szCs w:val="24"/>
        </w:rPr>
      </w:pPr>
    </w:p>
    <w:p w:rsidR="00172826" w:rsidRPr="00172826" w:rsidRDefault="00172826" w:rsidP="00172826">
      <w:pPr>
        <w:pStyle w:val="Corpsdetexte"/>
        <w:numPr>
          <w:ilvl w:val="0"/>
          <w:numId w:val="1"/>
        </w:numPr>
        <w:spacing w:line="360" w:lineRule="auto"/>
        <w:rPr>
          <w:rFonts w:ascii="Arial" w:hAnsi="Arial"/>
          <w:sz w:val="24"/>
          <w:szCs w:val="24"/>
        </w:rPr>
      </w:pPr>
      <w:r w:rsidRPr="00172826">
        <w:rPr>
          <w:rFonts w:ascii="Arial" w:hAnsi="Arial"/>
          <w:sz w:val="24"/>
          <w:szCs w:val="24"/>
        </w:rPr>
        <w:t>LA PETICIÓN DE PROTECCIÓN</w:t>
      </w:r>
    </w:p>
    <w:p w:rsidR="00172826" w:rsidRPr="00172826" w:rsidRDefault="00172826" w:rsidP="00172826">
      <w:pPr>
        <w:pStyle w:val="Sansinterligne"/>
        <w:spacing w:line="360" w:lineRule="auto"/>
        <w:jc w:val="both"/>
        <w:rPr>
          <w:rFonts w:ascii="Arial" w:hAnsi="Arial" w:cs="Arial"/>
          <w:sz w:val="24"/>
          <w:szCs w:val="24"/>
        </w:rPr>
      </w:pPr>
    </w:p>
    <w:p w:rsidR="00172826" w:rsidRPr="00172826" w:rsidRDefault="00295AE4" w:rsidP="00172826">
      <w:pPr>
        <w:pStyle w:val="Sansinterligne"/>
        <w:spacing w:line="360" w:lineRule="auto"/>
        <w:jc w:val="both"/>
        <w:rPr>
          <w:rFonts w:ascii="Arial" w:hAnsi="Arial" w:cs="Arial"/>
          <w:sz w:val="24"/>
          <w:szCs w:val="24"/>
        </w:rPr>
      </w:pPr>
      <w:r>
        <w:rPr>
          <w:rFonts w:ascii="Arial" w:hAnsi="Arial" w:cs="Arial"/>
          <w:sz w:val="24"/>
          <w:szCs w:val="24"/>
        </w:rPr>
        <w:t>Se p</w:t>
      </w:r>
      <w:r w:rsidR="00E572FA">
        <w:rPr>
          <w:rFonts w:ascii="Arial" w:hAnsi="Arial" w:cs="Arial"/>
          <w:sz w:val="24"/>
          <w:szCs w:val="24"/>
        </w:rPr>
        <w:t xml:space="preserve">retende que se </w:t>
      </w:r>
      <w:r w:rsidR="0033615A">
        <w:rPr>
          <w:rFonts w:ascii="Arial" w:hAnsi="Arial" w:cs="Arial"/>
          <w:sz w:val="24"/>
          <w:szCs w:val="24"/>
        </w:rPr>
        <w:t xml:space="preserve">tutelen los derechos invocados y se </w:t>
      </w:r>
      <w:r w:rsidR="00E572FA">
        <w:rPr>
          <w:rFonts w:ascii="Arial" w:hAnsi="Arial" w:cs="Arial"/>
          <w:sz w:val="24"/>
          <w:szCs w:val="24"/>
        </w:rPr>
        <w:t xml:space="preserve">declare la nulidad </w:t>
      </w:r>
      <w:r w:rsidR="0033615A">
        <w:rPr>
          <w:rFonts w:ascii="Arial" w:hAnsi="Arial" w:cs="Arial"/>
          <w:sz w:val="24"/>
          <w:szCs w:val="24"/>
        </w:rPr>
        <w:t xml:space="preserve">del auto dictado el 21-10-2015, o en su defecto, se declare la nulidad de actuado desde la notificación del mandamiento de pago </w:t>
      </w:r>
      <w:r w:rsidR="00172826" w:rsidRPr="00172826">
        <w:rPr>
          <w:rFonts w:ascii="Arial" w:hAnsi="Arial"/>
          <w:sz w:val="24"/>
          <w:szCs w:val="24"/>
        </w:rPr>
        <w:t xml:space="preserve">(Folio </w:t>
      </w:r>
      <w:r w:rsidR="0033615A">
        <w:rPr>
          <w:rFonts w:ascii="Arial" w:hAnsi="Arial"/>
          <w:sz w:val="24"/>
          <w:szCs w:val="24"/>
        </w:rPr>
        <w:t>1</w:t>
      </w:r>
      <w:r w:rsidR="00172826" w:rsidRPr="00172826">
        <w:rPr>
          <w:rFonts w:ascii="Arial" w:hAnsi="Arial"/>
          <w:sz w:val="24"/>
          <w:szCs w:val="24"/>
        </w:rPr>
        <w:t xml:space="preserve">, </w:t>
      </w:r>
      <w:r w:rsidR="00172826" w:rsidRPr="00311FCA">
        <w:rPr>
          <w:rFonts w:ascii="Arial" w:hAnsi="Arial" w:cs="Arial"/>
          <w:color w:val="000000"/>
          <w:sz w:val="24"/>
          <w:szCs w:val="24"/>
          <w:lang w:val="es-CO"/>
        </w:rPr>
        <w:t xml:space="preserve">del cuaderno </w:t>
      </w:r>
      <w:r w:rsidR="00172826">
        <w:rPr>
          <w:rFonts w:ascii="Arial" w:hAnsi="Arial" w:cs="Arial"/>
          <w:color w:val="000000"/>
          <w:sz w:val="24"/>
          <w:szCs w:val="24"/>
          <w:lang w:val="es-CO"/>
        </w:rPr>
        <w:t>de primera instancia</w:t>
      </w:r>
      <w:r w:rsidR="00172826" w:rsidRPr="00311FCA">
        <w:rPr>
          <w:rFonts w:ascii="Arial" w:hAnsi="Arial" w:cs="Arial"/>
          <w:sz w:val="24"/>
          <w:szCs w:val="24"/>
        </w:rPr>
        <w:t>).</w:t>
      </w:r>
    </w:p>
    <w:p w:rsidR="00172826" w:rsidRDefault="00172826" w:rsidP="00F839CE">
      <w:pPr>
        <w:pStyle w:val="Corpsdetexte"/>
        <w:widowControl w:val="0"/>
        <w:spacing w:line="360" w:lineRule="auto"/>
        <w:rPr>
          <w:rFonts w:ascii="Arial" w:hAnsi="Arial" w:cs="Arial"/>
          <w:sz w:val="24"/>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3913E3" w:rsidRPr="003B4B9C" w:rsidRDefault="003913E3" w:rsidP="00B942B6">
      <w:pPr>
        <w:pStyle w:val="Corpsdetexte"/>
        <w:spacing w:line="360" w:lineRule="auto"/>
        <w:rPr>
          <w:rFonts w:ascii="Arial" w:hAnsi="Arial" w:cs="Arial"/>
          <w:sz w:val="24"/>
          <w:szCs w:val="24"/>
        </w:rPr>
      </w:pPr>
    </w:p>
    <w:p w:rsidR="004B3407" w:rsidRDefault="003A55CA" w:rsidP="004B3407">
      <w:pPr>
        <w:pStyle w:val="Corpsdetexte"/>
        <w:widowControl w:val="0"/>
        <w:spacing w:line="360" w:lineRule="auto"/>
        <w:rPr>
          <w:rFonts w:ascii="Arial" w:hAnsi="Arial"/>
          <w:sz w:val="24"/>
        </w:rPr>
      </w:pPr>
      <w:r>
        <w:rPr>
          <w:rFonts w:ascii="Arial" w:hAnsi="Arial"/>
          <w:sz w:val="24"/>
        </w:rPr>
        <w:t>C</w:t>
      </w:r>
      <w:r w:rsidR="004B3407" w:rsidRPr="00E23D2E">
        <w:rPr>
          <w:rFonts w:ascii="Arial" w:hAnsi="Arial"/>
          <w:sz w:val="24"/>
        </w:rPr>
        <w:t xml:space="preserve">on providencia del </w:t>
      </w:r>
      <w:r w:rsidR="0033615A">
        <w:rPr>
          <w:rFonts w:ascii="Arial" w:hAnsi="Arial"/>
          <w:sz w:val="24"/>
        </w:rPr>
        <w:t xml:space="preserve">27-03-2017 </w:t>
      </w:r>
      <w:r>
        <w:rPr>
          <w:rFonts w:ascii="Arial" w:hAnsi="Arial"/>
          <w:sz w:val="24"/>
        </w:rPr>
        <w:t xml:space="preserve">se </w:t>
      </w:r>
      <w:r w:rsidR="004B3407" w:rsidRPr="00E23D2E">
        <w:rPr>
          <w:rFonts w:ascii="Arial" w:hAnsi="Arial"/>
          <w:sz w:val="24"/>
        </w:rPr>
        <w:t>admitió</w:t>
      </w:r>
      <w:r w:rsidR="00B23F5C">
        <w:rPr>
          <w:rFonts w:ascii="Arial" w:hAnsi="Arial"/>
          <w:sz w:val="24"/>
        </w:rPr>
        <w:t xml:space="preserve">, </w:t>
      </w:r>
      <w:r w:rsidR="0033615A">
        <w:rPr>
          <w:rFonts w:ascii="Arial" w:hAnsi="Arial"/>
          <w:sz w:val="24"/>
        </w:rPr>
        <w:t xml:space="preserve">se vinculó a quienes se estimó conveniente, </w:t>
      </w:r>
      <w:r w:rsidR="00B23F5C">
        <w:rPr>
          <w:rFonts w:ascii="Arial" w:hAnsi="Arial"/>
          <w:sz w:val="24"/>
        </w:rPr>
        <w:t xml:space="preserve">y </w:t>
      </w:r>
      <w:r>
        <w:rPr>
          <w:rFonts w:ascii="Arial" w:hAnsi="Arial"/>
          <w:sz w:val="24"/>
        </w:rPr>
        <w:t xml:space="preserve">se </w:t>
      </w:r>
      <w:r w:rsidR="004B3407" w:rsidRPr="00E23D2E">
        <w:rPr>
          <w:rFonts w:ascii="Arial" w:hAnsi="Arial"/>
          <w:sz w:val="24"/>
        </w:rPr>
        <w:t>ordenó notificar a las partes</w:t>
      </w:r>
      <w:r w:rsidR="00A84032">
        <w:rPr>
          <w:rFonts w:ascii="Arial" w:hAnsi="Arial"/>
          <w:sz w:val="24"/>
        </w:rPr>
        <w:t xml:space="preserve">, entre </w:t>
      </w:r>
      <w:r>
        <w:rPr>
          <w:rFonts w:ascii="Arial" w:hAnsi="Arial"/>
          <w:sz w:val="24"/>
        </w:rPr>
        <w:t xml:space="preserve">otras disposiciones </w:t>
      </w:r>
      <w:r w:rsidR="004B3407" w:rsidRPr="00E23D2E">
        <w:rPr>
          <w:rFonts w:ascii="Arial" w:hAnsi="Arial"/>
          <w:sz w:val="24"/>
        </w:rPr>
        <w:t>(Folio</w:t>
      </w:r>
      <w:r w:rsidR="004B3407">
        <w:rPr>
          <w:rFonts w:ascii="Arial" w:hAnsi="Arial"/>
          <w:sz w:val="24"/>
        </w:rPr>
        <w:t xml:space="preserve"> </w:t>
      </w:r>
      <w:r w:rsidR="0033615A">
        <w:rPr>
          <w:rFonts w:ascii="Arial" w:hAnsi="Arial"/>
          <w:sz w:val="24"/>
        </w:rPr>
        <w:t>12</w:t>
      </w:r>
      <w:r w:rsidR="004B3407" w:rsidRPr="00E23D2E">
        <w:rPr>
          <w:rFonts w:ascii="Arial" w:hAnsi="Arial"/>
          <w:sz w:val="24"/>
        </w:rPr>
        <w:t xml:space="preserve">, </w:t>
      </w:r>
      <w:r>
        <w:rPr>
          <w:rFonts w:ascii="Arial" w:hAnsi="Arial" w:cs="Arial"/>
          <w:color w:val="000000"/>
          <w:sz w:val="24"/>
          <w:szCs w:val="24"/>
          <w:lang w:val="es-CO"/>
        </w:rPr>
        <w:t>ibídem</w:t>
      </w:r>
      <w:r w:rsidR="004B3407" w:rsidRPr="00E23D2E">
        <w:rPr>
          <w:rFonts w:ascii="Arial" w:hAnsi="Arial"/>
          <w:sz w:val="24"/>
        </w:rPr>
        <w:t>)</w:t>
      </w:r>
      <w:r w:rsidR="004B3407">
        <w:rPr>
          <w:rFonts w:ascii="Arial" w:hAnsi="Arial"/>
          <w:sz w:val="24"/>
        </w:rPr>
        <w:t>.</w:t>
      </w:r>
      <w:r w:rsidR="004B3407" w:rsidRPr="00E23D2E">
        <w:rPr>
          <w:rFonts w:ascii="Arial" w:hAnsi="Arial"/>
          <w:sz w:val="24"/>
        </w:rPr>
        <w:t xml:space="preserve"> </w:t>
      </w:r>
      <w:r w:rsidR="00B23F5C">
        <w:rPr>
          <w:rFonts w:ascii="Arial" w:hAnsi="Arial"/>
          <w:sz w:val="24"/>
        </w:rPr>
        <w:t xml:space="preserve">El </w:t>
      </w:r>
      <w:r w:rsidR="0033615A">
        <w:rPr>
          <w:rFonts w:ascii="Arial" w:hAnsi="Arial"/>
          <w:sz w:val="24"/>
        </w:rPr>
        <w:t xml:space="preserve">31-03-2017 </w:t>
      </w:r>
      <w:r w:rsidR="000008E7">
        <w:rPr>
          <w:rFonts w:ascii="Arial" w:hAnsi="Arial"/>
          <w:sz w:val="24"/>
        </w:rPr>
        <w:t xml:space="preserve">se </w:t>
      </w:r>
      <w:r w:rsidR="00B23F5C">
        <w:rPr>
          <w:rFonts w:ascii="Arial" w:hAnsi="Arial"/>
          <w:sz w:val="24"/>
        </w:rPr>
        <w:t xml:space="preserve">realizó la inspección judicial </w:t>
      </w:r>
      <w:r w:rsidR="0033615A">
        <w:rPr>
          <w:rFonts w:ascii="Arial" w:hAnsi="Arial"/>
          <w:sz w:val="24"/>
        </w:rPr>
        <w:t xml:space="preserve">expediente </w:t>
      </w:r>
      <w:r w:rsidR="00B23F5C">
        <w:rPr>
          <w:rFonts w:ascii="Arial" w:hAnsi="Arial"/>
          <w:sz w:val="24"/>
        </w:rPr>
        <w:t xml:space="preserve">(Folio </w:t>
      </w:r>
      <w:r w:rsidR="0033615A">
        <w:rPr>
          <w:rFonts w:ascii="Arial" w:hAnsi="Arial"/>
          <w:sz w:val="24"/>
        </w:rPr>
        <w:t>18</w:t>
      </w:r>
      <w:r w:rsidR="00B23F5C">
        <w:rPr>
          <w:rFonts w:ascii="Arial" w:hAnsi="Arial"/>
          <w:sz w:val="24"/>
        </w:rPr>
        <w:t>, ibídem)</w:t>
      </w:r>
      <w:r w:rsidR="000008E7">
        <w:rPr>
          <w:rFonts w:ascii="Arial" w:hAnsi="Arial"/>
          <w:sz w:val="24"/>
        </w:rPr>
        <w:t xml:space="preserve">. </w:t>
      </w:r>
      <w:r w:rsidR="00B23F5C">
        <w:rPr>
          <w:rFonts w:ascii="Arial" w:hAnsi="Arial"/>
          <w:sz w:val="24"/>
        </w:rPr>
        <w:t xml:space="preserve">El </w:t>
      </w:r>
      <w:r w:rsidR="0033615A">
        <w:rPr>
          <w:rFonts w:ascii="Arial" w:hAnsi="Arial"/>
          <w:sz w:val="24"/>
          <w:lang w:val="es-CO"/>
        </w:rPr>
        <w:t xml:space="preserve">06-04-2017 </w:t>
      </w:r>
      <w:r w:rsidR="000008E7">
        <w:rPr>
          <w:rFonts w:ascii="Arial" w:hAnsi="Arial"/>
          <w:sz w:val="24"/>
          <w:lang w:val="es-CO"/>
        </w:rPr>
        <w:t xml:space="preserve">se </w:t>
      </w:r>
      <w:r w:rsidR="004B3407">
        <w:rPr>
          <w:rFonts w:ascii="Arial" w:hAnsi="Arial"/>
          <w:sz w:val="24"/>
        </w:rPr>
        <w:t xml:space="preserve">emitió el fallo </w:t>
      </w:r>
      <w:r w:rsidR="004B3407" w:rsidRPr="00E23D2E">
        <w:rPr>
          <w:rFonts w:ascii="Arial" w:hAnsi="Arial"/>
          <w:sz w:val="24"/>
        </w:rPr>
        <w:t xml:space="preserve">(Folios </w:t>
      </w:r>
      <w:r w:rsidR="0033615A">
        <w:rPr>
          <w:rFonts w:ascii="Arial" w:hAnsi="Arial"/>
          <w:sz w:val="24"/>
        </w:rPr>
        <w:t>25 a 27</w:t>
      </w:r>
      <w:r w:rsidR="004B3407" w:rsidRPr="00E23D2E">
        <w:rPr>
          <w:rFonts w:ascii="Arial" w:hAnsi="Arial"/>
          <w:sz w:val="24"/>
        </w:rPr>
        <w:t xml:space="preserve">, ibídem); </w:t>
      </w:r>
      <w:r w:rsidR="00B23F5C">
        <w:rPr>
          <w:rFonts w:ascii="Arial" w:hAnsi="Arial"/>
          <w:sz w:val="24"/>
        </w:rPr>
        <w:t xml:space="preserve">y, </w:t>
      </w:r>
      <w:r w:rsidR="004B3407" w:rsidRPr="00E23D2E">
        <w:rPr>
          <w:rFonts w:ascii="Arial" w:hAnsi="Arial"/>
          <w:sz w:val="24"/>
        </w:rPr>
        <w:t xml:space="preserve">posteriormente, con proveído del </w:t>
      </w:r>
      <w:r w:rsidR="0033615A">
        <w:rPr>
          <w:rFonts w:ascii="Arial" w:hAnsi="Arial"/>
          <w:sz w:val="24"/>
        </w:rPr>
        <w:t xml:space="preserve">20-04-2017 </w:t>
      </w:r>
      <w:r w:rsidR="004B3407" w:rsidRPr="00E23D2E">
        <w:rPr>
          <w:rFonts w:ascii="Arial" w:hAnsi="Arial"/>
          <w:sz w:val="24"/>
        </w:rPr>
        <w:t xml:space="preserve">se concedió la impugnación </w:t>
      </w:r>
      <w:r w:rsidR="004B3407">
        <w:rPr>
          <w:rFonts w:ascii="Arial" w:hAnsi="Arial"/>
          <w:sz w:val="24"/>
        </w:rPr>
        <w:t xml:space="preserve">formulada por la parte </w:t>
      </w:r>
      <w:r w:rsidR="000008E7">
        <w:rPr>
          <w:rFonts w:ascii="Arial" w:hAnsi="Arial"/>
          <w:sz w:val="24"/>
        </w:rPr>
        <w:t>actora</w:t>
      </w:r>
      <w:r w:rsidR="004B3407" w:rsidRPr="00E23D2E">
        <w:rPr>
          <w:rFonts w:ascii="Arial" w:hAnsi="Arial"/>
          <w:sz w:val="24"/>
        </w:rPr>
        <w:t xml:space="preserve">, ante este Tribunal (Folio </w:t>
      </w:r>
      <w:r w:rsidR="0033615A">
        <w:rPr>
          <w:rFonts w:ascii="Arial" w:hAnsi="Arial"/>
          <w:sz w:val="24"/>
        </w:rPr>
        <w:t>34 vuelto</w:t>
      </w:r>
      <w:r w:rsidR="004B3407">
        <w:rPr>
          <w:rFonts w:ascii="Arial" w:hAnsi="Arial"/>
          <w:sz w:val="24"/>
        </w:rPr>
        <w:t>,</w:t>
      </w:r>
      <w:r w:rsidR="004B3407" w:rsidRPr="00E23D2E">
        <w:rPr>
          <w:rFonts w:ascii="Arial" w:hAnsi="Arial"/>
          <w:sz w:val="24"/>
        </w:rPr>
        <w:t xml:space="preserve"> </w:t>
      </w:r>
      <w:r>
        <w:rPr>
          <w:rFonts w:ascii="Arial" w:hAnsi="Arial"/>
          <w:sz w:val="24"/>
        </w:rPr>
        <w:t>ib.</w:t>
      </w:r>
      <w:r w:rsidR="004B3407" w:rsidRPr="00E23D2E">
        <w:rPr>
          <w:rFonts w:ascii="Arial" w:hAnsi="Arial"/>
          <w:sz w:val="24"/>
        </w:rPr>
        <w:t xml:space="preserve">). </w:t>
      </w:r>
    </w:p>
    <w:p w:rsidR="004448DD" w:rsidRDefault="004448DD" w:rsidP="004B3407">
      <w:pPr>
        <w:pStyle w:val="Corpsdetexte"/>
        <w:widowControl w:val="0"/>
        <w:spacing w:line="360" w:lineRule="auto"/>
        <w:rPr>
          <w:rFonts w:ascii="Arial" w:hAnsi="Arial"/>
          <w:sz w:val="24"/>
        </w:rPr>
      </w:pPr>
    </w:p>
    <w:p w:rsidR="003913E3" w:rsidRPr="00311FCA" w:rsidRDefault="004448DD" w:rsidP="00F839CE">
      <w:pPr>
        <w:pStyle w:val="Corpsdetexte"/>
        <w:widowControl w:val="0"/>
        <w:spacing w:line="360" w:lineRule="auto"/>
        <w:rPr>
          <w:rFonts w:ascii="Arial" w:hAnsi="Arial" w:cs="Arial"/>
          <w:sz w:val="24"/>
          <w:szCs w:val="24"/>
        </w:rPr>
      </w:pPr>
      <w:r>
        <w:rPr>
          <w:rFonts w:ascii="Arial" w:hAnsi="Arial" w:cs="Arial"/>
          <w:sz w:val="24"/>
          <w:szCs w:val="24"/>
        </w:rPr>
        <w:t xml:space="preserve">La sentencia opugnada </w:t>
      </w:r>
      <w:r w:rsidR="0033615A">
        <w:rPr>
          <w:rFonts w:ascii="Arial" w:hAnsi="Arial" w:cs="Arial"/>
          <w:sz w:val="24"/>
          <w:szCs w:val="24"/>
        </w:rPr>
        <w:t>de</w:t>
      </w:r>
      <w:r w:rsidR="00B23F5C">
        <w:rPr>
          <w:rFonts w:ascii="Arial" w:hAnsi="Arial" w:cs="Arial"/>
          <w:sz w:val="24"/>
          <w:szCs w:val="24"/>
        </w:rPr>
        <w:t xml:space="preserve">negó </w:t>
      </w:r>
      <w:r w:rsidR="0033615A">
        <w:rPr>
          <w:rFonts w:ascii="Arial" w:hAnsi="Arial" w:cs="Arial"/>
          <w:sz w:val="24"/>
          <w:szCs w:val="24"/>
        </w:rPr>
        <w:t xml:space="preserve">por improcedente (Sic) </w:t>
      </w:r>
      <w:r w:rsidR="00B23F5C">
        <w:rPr>
          <w:rFonts w:ascii="Arial" w:hAnsi="Arial" w:cs="Arial"/>
          <w:sz w:val="24"/>
          <w:szCs w:val="24"/>
        </w:rPr>
        <w:t>la tutela de los derechos fundamentales invocados</w:t>
      </w:r>
      <w:r w:rsidR="0033615A">
        <w:rPr>
          <w:rFonts w:ascii="Arial" w:hAnsi="Arial" w:cs="Arial"/>
          <w:sz w:val="24"/>
          <w:szCs w:val="24"/>
        </w:rPr>
        <w:t xml:space="preserve">, puesto que advirtió incumplido el requisito de la inmediatez </w:t>
      </w:r>
      <w:r w:rsidR="00B23F5C">
        <w:rPr>
          <w:rFonts w:ascii="Arial" w:hAnsi="Arial" w:cs="Arial"/>
          <w:sz w:val="24"/>
          <w:szCs w:val="24"/>
        </w:rPr>
        <w:t xml:space="preserve"> </w:t>
      </w:r>
      <w:r w:rsidR="003913E3" w:rsidRPr="007460BC">
        <w:rPr>
          <w:rFonts w:ascii="Arial" w:hAnsi="Arial" w:cs="Arial"/>
          <w:sz w:val="24"/>
          <w:szCs w:val="24"/>
        </w:rPr>
        <w:t xml:space="preserve">(Folios </w:t>
      </w:r>
      <w:r w:rsidR="0033615A">
        <w:rPr>
          <w:rFonts w:ascii="Arial" w:hAnsi="Arial" w:cs="Arial"/>
          <w:sz w:val="24"/>
        </w:rPr>
        <w:t>25 a 27</w:t>
      </w:r>
      <w:r w:rsidR="00BE4A3A">
        <w:rPr>
          <w:rFonts w:ascii="Arial" w:hAnsi="Arial" w:cs="Arial"/>
          <w:sz w:val="24"/>
          <w:szCs w:val="24"/>
        </w:rPr>
        <w:t xml:space="preserve">, </w:t>
      </w:r>
      <w:r>
        <w:rPr>
          <w:rFonts w:ascii="Arial" w:hAnsi="Arial" w:cs="Arial"/>
          <w:sz w:val="24"/>
          <w:szCs w:val="24"/>
        </w:rPr>
        <w:t>ib.</w:t>
      </w:r>
      <w:r w:rsidR="003913E3" w:rsidRPr="007460BC">
        <w:rPr>
          <w:rFonts w:ascii="Arial" w:hAnsi="Arial" w:cs="Arial"/>
          <w:sz w:val="24"/>
          <w:szCs w:val="24"/>
        </w:rPr>
        <w:t>).</w:t>
      </w:r>
    </w:p>
    <w:p w:rsidR="003913E3" w:rsidRPr="006A309C" w:rsidRDefault="003913E3" w:rsidP="00B942B6">
      <w:pPr>
        <w:pStyle w:val="Corpsdetexte"/>
        <w:spacing w:line="360" w:lineRule="auto"/>
        <w:rPr>
          <w:rFonts w:ascii="Arial" w:hAnsi="Arial" w:cs="Arial"/>
          <w:sz w:val="24"/>
          <w:szCs w:val="24"/>
          <w:lang w:val="es-CO"/>
        </w:rPr>
      </w:pPr>
    </w:p>
    <w:p w:rsidR="0033615A" w:rsidRDefault="004448DD" w:rsidP="00F839CE">
      <w:pPr>
        <w:pStyle w:val="Corpsdetexte"/>
        <w:widowControl w:val="0"/>
        <w:spacing w:line="360" w:lineRule="auto"/>
        <w:rPr>
          <w:rFonts w:ascii="Arial" w:hAnsi="Arial" w:cs="Arial"/>
          <w:sz w:val="24"/>
          <w:szCs w:val="24"/>
        </w:rPr>
      </w:pPr>
      <w:r>
        <w:rPr>
          <w:rFonts w:ascii="Arial" w:hAnsi="Arial" w:cs="Arial"/>
          <w:sz w:val="24"/>
          <w:szCs w:val="24"/>
        </w:rPr>
        <w:t xml:space="preserve">El recurrente expuso </w:t>
      </w:r>
      <w:r w:rsidR="0033615A">
        <w:rPr>
          <w:rFonts w:ascii="Arial" w:hAnsi="Arial" w:cs="Arial"/>
          <w:sz w:val="24"/>
          <w:szCs w:val="24"/>
        </w:rPr>
        <w:t xml:space="preserve">que aún se está a tiempo de corregir el error que conllevó a violentar su derecho fundamental, </w:t>
      </w:r>
      <w:r w:rsidR="0033615A" w:rsidRPr="00FF6885">
        <w:rPr>
          <w:rFonts w:ascii="Arial" w:hAnsi="Arial" w:cs="Arial"/>
          <w:i/>
          <w:sz w:val="22"/>
          <w:szCs w:val="24"/>
        </w:rPr>
        <w:t xml:space="preserve">“(…) </w:t>
      </w:r>
      <w:r w:rsidR="00FF6885" w:rsidRPr="00FF6885">
        <w:rPr>
          <w:rFonts w:ascii="Arial" w:hAnsi="Arial" w:cs="Arial"/>
          <w:i/>
          <w:sz w:val="22"/>
          <w:szCs w:val="24"/>
        </w:rPr>
        <w:t xml:space="preserve">por aun no se </w:t>
      </w:r>
      <w:proofErr w:type="spellStart"/>
      <w:r w:rsidR="00FF6885" w:rsidRPr="00FF6885">
        <w:rPr>
          <w:rFonts w:ascii="Arial" w:hAnsi="Arial" w:cs="Arial"/>
          <w:i/>
          <w:sz w:val="22"/>
          <w:szCs w:val="24"/>
        </w:rPr>
        <w:t>a</w:t>
      </w:r>
      <w:proofErr w:type="spellEnd"/>
      <w:r w:rsidR="00FF6885" w:rsidRPr="00FF6885">
        <w:rPr>
          <w:rFonts w:ascii="Arial" w:hAnsi="Arial" w:cs="Arial"/>
          <w:i/>
          <w:sz w:val="22"/>
          <w:szCs w:val="24"/>
        </w:rPr>
        <w:t xml:space="preserve"> ejecutado las decisiones judiciales, pues no se </w:t>
      </w:r>
      <w:r w:rsidR="00FF6885" w:rsidRPr="00FF6885">
        <w:rPr>
          <w:rFonts w:ascii="Arial" w:hAnsi="Arial" w:cs="Arial"/>
          <w:i/>
          <w:sz w:val="22"/>
          <w:szCs w:val="24"/>
        </w:rPr>
        <w:lastRenderedPageBreak/>
        <w:t>han practicado medidas previas, ni se ha remato bien alguno, entregado pagado como resultado de las providencias judiciales (…)”</w:t>
      </w:r>
      <w:r w:rsidR="00FF6885" w:rsidRPr="00FF6885">
        <w:rPr>
          <w:rFonts w:ascii="Arial" w:hAnsi="Arial" w:cs="Arial"/>
          <w:sz w:val="22"/>
          <w:szCs w:val="24"/>
        </w:rPr>
        <w:t xml:space="preserve"> </w:t>
      </w:r>
      <w:r w:rsidR="00FF6885">
        <w:rPr>
          <w:rFonts w:ascii="Arial" w:hAnsi="Arial" w:cs="Arial"/>
          <w:sz w:val="24"/>
          <w:szCs w:val="24"/>
        </w:rPr>
        <w:t>(Sic) (Folio 33, ib.).</w:t>
      </w:r>
    </w:p>
    <w:p w:rsidR="0033615A" w:rsidRDefault="0033615A" w:rsidP="00F839CE">
      <w:pPr>
        <w:pStyle w:val="Corpsdetexte"/>
        <w:widowControl w:val="0"/>
        <w:spacing w:line="360" w:lineRule="auto"/>
        <w:rPr>
          <w:rFonts w:ascii="Arial" w:hAnsi="Arial" w:cs="Arial"/>
          <w:sz w:val="24"/>
          <w:szCs w:val="24"/>
        </w:rPr>
      </w:pPr>
    </w:p>
    <w:p w:rsidR="003913E3" w:rsidRPr="00D64C08" w:rsidRDefault="003913E3"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D64C08">
        <w:rPr>
          <w:rFonts w:ascii="Arial" w:hAnsi="Arial" w:cs="Arial"/>
          <w:sz w:val="24"/>
          <w:szCs w:val="24"/>
        </w:rPr>
        <w:t>LA FUNDAMENTACIÓN JURÍDICA PARA RESOLVER</w:t>
      </w:r>
    </w:p>
    <w:p w:rsidR="000026CC" w:rsidRPr="000026CC" w:rsidRDefault="000026CC" w:rsidP="000026CC">
      <w:pPr>
        <w:pStyle w:val="Corpsdetexte"/>
        <w:spacing w:line="360" w:lineRule="auto"/>
        <w:ind w:left="720"/>
        <w:rPr>
          <w:rFonts w:ascii="Arial" w:hAnsi="Arial" w:cs="Arial"/>
          <w:lang w:val="es-CO"/>
        </w:rPr>
      </w:pPr>
    </w:p>
    <w:p w:rsidR="000026CC" w:rsidRPr="000026CC" w:rsidRDefault="003913E3" w:rsidP="004448DD">
      <w:pPr>
        <w:pStyle w:val="Corpsdetexte"/>
        <w:numPr>
          <w:ilvl w:val="1"/>
          <w:numId w:val="45"/>
        </w:numPr>
        <w:spacing w:line="360" w:lineRule="auto"/>
        <w:rPr>
          <w:rFonts w:ascii="Arial" w:hAnsi="Arial" w:cs="Arial"/>
          <w:lang w:val="es-CO"/>
        </w:rPr>
      </w:pPr>
      <w:r w:rsidRPr="004448DD">
        <w:rPr>
          <w:rFonts w:ascii="Arial" w:hAnsi="Arial" w:cs="Arial"/>
          <w:smallCaps/>
          <w:sz w:val="24"/>
          <w:szCs w:val="24"/>
        </w:rPr>
        <w:t>La competencia funcional</w:t>
      </w:r>
      <w:r w:rsidR="004448DD">
        <w:rPr>
          <w:rFonts w:ascii="Arial" w:hAnsi="Arial" w:cs="Arial"/>
          <w:smallCaps/>
          <w:sz w:val="24"/>
          <w:szCs w:val="24"/>
        </w:rPr>
        <w:t xml:space="preserve">. </w:t>
      </w:r>
      <w:r w:rsidR="00E37FED" w:rsidRPr="004448DD">
        <w:rPr>
          <w:rFonts w:ascii="Arial" w:hAnsi="Arial" w:cs="Arial"/>
          <w:sz w:val="24"/>
          <w:lang w:val="es-CO"/>
        </w:rPr>
        <w:t xml:space="preserve">Esta Sala especializada está facultada en forma legal para </w:t>
      </w:r>
      <w:r w:rsidR="000026CC">
        <w:rPr>
          <w:rFonts w:ascii="Arial" w:hAnsi="Arial" w:cs="Arial"/>
          <w:sz w:val="24"/>
          <w:lang w:val="es-CO"/>
        </w:rPr>
        <w:t xml:space="preserve">  </w:t>
      </w:r>
      <w:r w:rsidR="00E37FED" w:rsidRPr="004448DD">
        <w:rPr>
          <w:rFonts w:ascii="Arial" w:hAnsi="Arial" w:cs="Arial"/>
          <w:sz w:val="24"/>
          <w:lang w:val="es-CO"/>
        </w:rPr>
        <w:t xml:space="preserve">desatar </w:t>
      </w:r>
      <w:r w:rsidR="000026CC">
        <w:rPr>
          <w:rFonts w:ascii="Arial" w:hAnsi="Arial" w:cs="Arial"/>
          <w:sz w:val="24"/>
          <w:lang w:val="es-CO"/>
        </w:rPr>
        <w:t xml:space="preserve">  </w:t>
      </w:r>
      <w:r w:rsidR="00E37FED" w:rsidRPr="004448DD">
        <w:rPr>
          <w:rFonts w:ascii="Arial" w:hAnsi="Arial" w:cs="Arial"/>
          <w:sz w:val="24"/>
          <w:lang w:val="es-CO"/>
        </w:rPr>
        <w:t xml:space="preserve">la </w:t>
      </w:r>
      <w:r w:rsidR="000026CC">
        <w:rPr>
          <w:rFonts w:ascii="Arial" w:hAnsi="Arial" w:cs="Arial"/>
          <w:sz w:val="24"/>
          <w:lang w:val="es-CO"/>
        </w:rPr>
        <w:t xml:space="preserve">  </w:t>
      </w:r>
      <w:r w:rsidR="00E37FED" w:rsidRPr="004448DD">
        <w:rPr>
          <w:rFonts w:ascii="Arial" w:hAnsi="Arial" w:cs="Arial"/>
          <w:sz w:val="24"/>
          <w:lang w:val="es-CO"/>
        </w:rPr>
        <w:t xml:space="preserve">controversia </w:t>
      </w:r>
      <w:r w:rsidR="000026CC">
        <w:rPr>
          <w:rFonts w:ascii="Arial" w:hAnsi="Arial" w:cs="Arial"/>
          <w:sz w:val="24"/>
          <w:lang w:val="es-CO"/>
        </w:rPr>
        <w:t xml:space="preserve">  </w:t>
      </w:r>
      <w:r w:rsidR="00E37FED" w:rsidRPr="004448DD">
        <w:rPr>
          <w:rFonts w:ascii="Arial" w:hAnsi="Arial" w:cs="Arial"/>
          <w:sz w:val="24"/>
          <w:lang w:val="es-CO"/>
        </w:rPr>
        <w:t xml:space="preserve">puesta </w:t>
      </w:r>
      <w:r w:rsidR="000026CC">
        <w:rPr>
          <w:rFonts w:ascii="Arial" w:hAnsi="Arial" w:cs="Arial"/>
          <w:sz w:val="24"/>
          <w:lang w:val="es-CO"/>
        </w:rPr>
        <w:t xml:space="preserve">  </w:t>
      </w:r>
      <w:r w:rsidR="00E37FED" w:rsidRPr="004448DD">
        <w:rPr>
          <w:rFonts w:ascii="Arial" w:hAnsi="Arial" w:cs="Arial"/>
          <w:sz w:val="24"/>
          <w:lang w:val="es-CO"/>
        </w:rPr>
        <w:t xml:space="preserve">a </w:t>
      </w:r>
      <w:r w:rsidR="000026CC">
        <w:rPr>
          <w:rFonts w:ascii="Arial" w:hAnsi="Arial" w:cs="Arial"/>
          <w:sz w:val="24"/>
          <w:lang w:val="es-CO"/>
        </w:rPr>
        <w:t xml:space="preserve">  </w:t>
      </w:r>
      <w:r w:rsidR="00E37FED" w:rsidRPr="004448DD">
        <w:rPr>
          <w:rFonts w:ascii="Arial" w:hAnsi="Arial" w:cs="Arial"/>
          <w:sz w:val="24"/>
          <w:lang w:val="es-CO"/>
        </w:rPr>
        <w:t xml:space="preserve">su </w:t>
      </w:r>
      <w:r w:rsidR="000026CC">
        <w:rPr>
          <w:rFonts w:ascii="Arial" w:hAnsi="Arial" w:cs="Arial"/>
          <w:sz w:val="24"/>
          <w:lang w:val="es-CO"/>
        </w:rPr>
        <w:t xml:space="preserve">  </w:t>
      </w:r>
      <w:r w:rsidR="00E37FED" w:rsidRPr="004448DD">
        <w:rPr>
          <w:rFonts w:ascii="Arial" w:hAnsi="Arial" w:cs="Arial"/>
          <w:sz w:val="24"/>
          <w:lang w:val="es-CO"/>
        </w:rPr>
        <w:t xml:space="preserve">consideración, </w:t>
      </w:r>
      <w:r w:rsidR="000026CC">
        <w:rPr>
          <w:rFonts w:ascii="Arial" w:hAnsi="Arial" w:cs="Arial"/>
          <w:sz w:val="24"/>
          <w:lang w:val="es-CO"/>
        </w:rPr>
        <w:t xml:space="preserve">  </w:t>
      </w:r>
      <w:r w:rsidR="00E37FED" w:rsidRPr="004448DD">
        <w:rPr>
          <w:rFonts w:ascii="Arial" w:hAnsi="Arial" w:cs="Arial"/>
          <w:sz w:val="24"/>
          <w:lang w:val="es-CO"/>
        </w:rPr>
        <w:t xml:space="preserve">por </w:t>
      </w:r>
      <w:r w:rsidR="000026CC">
        <w:rPr>
          <w:rFonts w:ascii="Arial" w:hAnsi="Arial" w:cs="Arial"/>
          <w:sz w:val="24"/>
          <w:lang w:val="es-CO"/>
        </w:rPr>
        <w:t xml:space="preserve"> </w:t>
      </w:r>
      <w:r w:rsidR="00E37FED" w:rsidRPr="004448DD">
        <w:rPr>
          <w:rFonts w:ascii="Arial" w:hAnsi="Arial" w:cs="Arial"/>
          <w:sz w:val="24"/>
          <w:lang w:val="es-CO"/>
        </w:rPr>
        <w:t xml:space="preserve">ser </w:t>
      </w:r>
      <w:r w:rsidR="000026CC">
        <w:rPr>
          <w:rFonts w:ascii="Arial" w:hAnsi="Arial" w:cs="Arial"/>
          <w:sz w:val="24"/>
          <w:lang w:val="es-CO"/>
        </w:rPr>
        <w:t xml:space="preserve"> </w:t>
      </w:r>
      <w:r w:rsidR="00E37FED" w:rsidRPr="004448DD">
        <w:rPr>
          <w:rFonts w:ascii="Arial" w:hAnsi="Arial" w:cs="Arial"/>
          <w:sz w:val="24"/>
          <w:lang w:val="es-CO"/>
        </w:rPr>
        <w:t xml:space="preserve">la </w:t>
      </w:r>
      <w:r w:rsidR="000026CC">
        <w:rPr>
          <w:rFonts w:ascii="Arial" w:hAnsi="Arial" w:cs="Arial"/>
          <w:sz w:val="24"/>
          <w:lang w:val="es-CO"/>
        </w:rPr>
        <w:t xml:space="preserve"> </w:t>
      </w:r>
      <w:r w:rsidR="00E37FED" w:rsidRPr="004448DD">
        <w:rPr>
          <w:rFonts w:ascii="Arial" w:hAnsi="Arial" w:cs="Arial"/>
          <w:sz w:val="24"/>
          <w:lang w:val="es-CO"/>
        </w:rPr>
        <w:t xml:space="preserve">superiora </w:t>
      </w:r>
    </w:p>
    <w:p w:rsidR="00E37FED" w:rsidRPr="003D195F" w:rsidRDefault="00E37FED" w:rsidP="000026CC">
      <w:pPr>
        <w:pStyle w:val="Corpsdetexte"/>
        <w:spacing w:line="360" w:lineRule="auto"/>
        <w:ind w:left="720"/>
        <w:rPr>
          <w:rFonts w:ascii="Arial" w:hAnsi="Arial" w:cs="Arial"/>
          <w:lang w:val="es-CO"/>
        </w:rPr>
      </w:pPr>
      <w:proofErr w:type="gramStart"/>
      <w:r w:rsidRPr="004448DD">
        <w:rPr>
          <w:rFonts w:ascii="Arial" w:hAnsi="Arial" w:cs="Arial"/>
          <w:sz w:val="24"/>
          <w:lang w:val="es-CO"/>
        </w:rPr>
        <w:t>jerárquica</w:t>
      </w:r>
      <w:proofErr w:type="gramEnd"/>
      <w:r w:rsidRPr="004448DD">
        <w:rPr>
          <w:rFonts w:ascii="Arial" w:hAnsi="Arial" w:cs="Arial"/>
          <w:sz w:val="24"/>
          <w:lang w:val="es-CO"/>
        </w:rPr>
        <w:t xml:space="preserve"> del Despacho que conoció en primera instancia.</w:t>
      </w:r>
    </w:p>
    <w:p w:rsidR="004B2CC3" w:rsidRPr="0039469E" w:rsidRDefault="004B2CC3" w:rsidP="00307530">
      <w:pPr>
        <w:tabs>
          <w:tab w:val="left" w:pos="1416"/>
        </w:tabs>
        <w:spacing w:line="360" w:lineRule="auto"/>
        <w:jc w:val="both"/>
        <w:rPr>
          <w:rFonts w:ascii="Arial" w:hAnsi="Arial" w:cs="Arial"/>
          <w:lang w:val="es-MX"/>
        </w:rPr>
      </w:pPr>
    </w:p>
    <w:p w:rsidR="003913E3" w:rsidRPr="004448DD" w:rsidRDefault="003913E3" w:rsidP="004448DD">
      <w:pPr>
        <w:pStyle w:val="Corpsdetexte"/>
        <w:numPr>
          <w:ilvl w:val="1"/>
          <w:numId w:val="45"/>
        </w:numPr>
        <w:tabs>
          <w:tab w:val="clear" w:pos="708"/>
        </w:tabs>
        <w:spacing w:line="360" w:lineRule="auto"/>
        <w:rPr>
          <w:rFonts w:ascii="Arial" w:hAnsi="Arial" w:cs="Arial"/>
          <w:sz w:val="24"/>
          <w:szCs w:val="24"/>
        </w:rPr>
      </w:pPr>
      <w:r w:rsidRPr="004448DD">
        <w:rPr>
          <w:rFonts w:ascii="Arial" w:hAnsi="Arial" w:cs="Arial"/>
          <w:smallCaps/>
          <w:sz w:val="24"/>
          <w:szCs w:val="24"/>
        </w:rPr>
        <w:t>El problema jurídico a resolver</w:t>
      </w:r>
      <w:r w:rsidR="004448DD" w:rsidRPr="004448DD">
        <w:rPr>
          <w:rFonts w:ascii="Arial" w:hAnsi="Arial" w:cs="Arial"/>
          <w:sz w:val="24"/>
          <w:szCs w:val="24"/>
        </w:rPr>
        <w:t xml:space="preserve">. </w:t>
      </w:r>
      <w:r w:rsidRPr="004448DD">
        <w:rPr>
          <w:rFonts w:ascii="Arial" w:hAnsi="Arial" w:cs="Arial"/>
          <w:sz w:val="24"/>
          <w:szCs w:val="24"/>
        </w:rPr>
        <w:t xml:space="preserve">¿Es procedente confirmar, modificar o revocar la sentencia del </w:t>
      </w:r>
      <w:r w:rsidR="00106142" w:rsidRPr="004448DD">
        <w:rPr>
          <w:rFonts w:ascii="Arial" w:hAnsi="Arial"/>
          <w:sz w:val="24"/>
        </w:rPr>
        <w:t xml:space="preserve">Juzgado </w:t>
      </w:r>
      <w:r w:rsidR="00FF6885">
        <w:rPr>
          <w:rFonts w:ascii="Arial" w:hAnsi="Arial"/>
          <w:sz w:val="24"/>
        </w:rPr>
        <w:t xml:space="preserve">Segundo </w:t>
      </w:r>
      <w:r w:rsidR="00733900" w:rsidRPr="004448DD">
        <w:rPr>
          <w:rFonts w:ascii="Arial" w:hAnsi="Arial"/>
          <w:sz w:val="24"/>
        </w:rPr>
        <w:t>Civil del Circuito de Pereira</w:t>
      </w:r>
      <w:r w:rsidRPr="004448DD">
        <w:rPr>
          <w:rFonts w:ascii="Arial" w:hAnsi="Arial" w:cs="Arial"/>
          <w:sz w:val="24"/>
          <w:szCs w:val="24"/>
        </w:rPr>
        <w:t>, según la impugnación</w:t>
      </w:r>
      <w:r w:rsidR="005069CE" w:rsidRPr="004448DD">
        <w:rPr>
          <w:rFonts w:ascii="Arial" w:hAnsi="Arial" w:cs="Arial"/>
          <w:sz w:val="24"/>
          <w:szCs w:val="24"/>
        </w:rPr>
        <w:t xml:space="preserve"> </w:t>
      </w:r>
      <w:r w:rsidR="00106142" w:rsidRPr="004448DD">
        <w:rPr>
          <w:rFonts w:ascii="Arial" w:hAnsi="Arial" w:cs="Arial"/>
          <w:sz w:val="24"/>
          <w:szCs w:val="24"/>
        </w:rPr>
        <w:t xml:space="preserve">presentada </w:t>
      </w:r>
      <w:r w:rsidR="00D847C2" w:rsidRPr="004448DD">
        <w:rPr>
          <w:rFonts w:ascii="Arial" w:hAnsi="Arial" w:cs="Arial"/>
          <w:sz w:val="24"/>
          <w:szCs w:val="24"/>
        </w:rPr>
        <w:t>por la</w:t>
      </w:r>
      <w:r w:rsidR="007B4AD7" w:rsidRPr="004448DD">
        <w:rPr>
          <w:rFonts w:ascii="Arial" w:hAnsi="Arial" w:cs="Arial"/>
          <w:sz w:val="24"/>
          <w:szCs w:val="24"/>
        </w:rPr>
        <w:t xml:space="preserve"> parte</w:t>
      </w:r>
      <w:r w:rsidR="00D847C2" w:rsidRPr="004448DD">
        <w:rPr>
          <w:rFonts w:ascii="Arial" w:hAnsi="Arial" w:cs="Arial"/>
          <w:sz w:val="24"/>
          <w:szCs w:val="24"/>
        </w:rPr>
        <w:t xml:space="preserve"> actora</w:t>
      </w:r>
      <w:r w:rsidRPr="004448DD">
        <w:rPr>
          <w:rFonts w:ascii="Arial" w:hAnsi="Arial" w:cs="Arial"/>
          <w:sz w:val="24"/>
          <w:szCs w:val="24"/>
        </w:rPr>
        <w:t xml:space="preserve">? </w:t>
      </w:r>
    </w:p>
    <w:p w:rsidR="003913E3" w:rsidRDefault="003913E3" w:rsidP="00F839CE">
      <w:pPr>
        <w:pStyle w:val="Corpsdetexte"/>
        <w:spacing w:line="360" w:lineRule="auto"/>
        <w:rPr>
          <w:rFonts w:ascii="Arial" w:hAnsi="Arial" w:cs="Arial"/>
          <w:sz w:val="24"/>
          <w:szCs w:val="24"/>
        </w:rPr>
      </w:pPr>
    </w:p>
    <w:p w:rsidR="00543803" w:rsidRPr="00543803" w:rsidRDefault="00543803" w:rsidP="00543803">
      <w:pPr>
        <w:pStyle w:val="Corpsdetexte"/>
        <w:numPr>
          <w:ilvl w:val="1"/>
          <w:numId w:val="45"/>
        </w:numPr>
        <w:spacing w:line="360" w:lineRule="auto"/>
        <w:rPr>
          <w:rFonts w:ascii="Arial" w:hAnsi="Arial" w:cs="Arial"/>
          <w:sz w:val="24"/>
          <w:szCs w:val="24"/>
        </w:rPr>
      </w:pPr>
      <w:r w:rsidRPr="00543803">
        <w:rPr>
          <w:rFonts w:ascii="Arial" w:hAnsi="Arial"/>
          <w:smallCaps/>
          <w:sz w:val="24"/>
          <w:szCs w:val="24"/>
        </w:rPr>
        <w:t>Los presupuestos generales de procedencia</w:t>
      </w:r>
    </w:p>
    <w:p w:rsidR="00543803" w:rsidRPr="003B4B9C" w:rsidRDefault="00543803" w:rsidP="00F839CE">
      <w:pPr>
        <w:pStyle w:val="Corpsdetexte"/>
        <w:spacing w:line="360" w:lineRule="auto"/>
        <w:rPr>
          <w:rFonts w:ascii="Arial" w:hAnsi="Arial" w:cs="Arial"/>
          <w:sz w:val="24"/>
          <w:szCs w:val="24"/>
        </w:rPr>
      </w:pPr>
    </w:p>
    <w:p w:rsidR="00543803" w:rsidRDefault="004448DD" w:rsidP="00543803">
      <w:pPr>
        <w:pStyle w:val="Corpsdetexte"/>
        <w:numPr>
          <w:ilvl w:val="2"/>
          <w:numId w:val="45"/>
        </w:numPr>
        <w:spacing w:line="360" w:lineRule="auto"/>
        <w:rPr>
          <w:rFonts w:ascii="Arial" w:hAnsi="Arial" w:cs="Arial"/>
          <w:sz w:val="24"/>
          <w:szCs w:val="24"/>
        </w:rPr>
      </w:pPr>
      <w:r w:rsidRPr="00543803">
        <w:rPr>
          <w:rFonts w:ascii="Arial" w:hAnsi="Arial" w:cs="Arial"/>
          <w:smallCaps/>
          <w:sz w:val="22"/>
          <w:szCs w:val="24"/>
        </w:rPr>
        <w:t>La legitimación en la causa</w:t>
      </w:r>
      <w:r w:rsidRPr="004448DD">
        <w:rPr>
          <w:rFonts w:ascii="Arial" w:hAnsi="Arial" w:cs="Arial"/>
          <w:smallCaps/>
          <w:sz w:val="24"/>
          <w:szCs w:val="24"/>
        </w:rPr>
        <w:t xml:space="preserve">. </w:t>
      </w:r>
      <w:r w:rsidR="002D298F">
        <w:rPr>
          <w:rFonts w:ascii="Arial" w:hAnsi="Arial" w:cs="Arial"/>
          <w:sz w:val="24"/>
          <w:szCs w:val="24"/>
        </w:rPr>
        <w:t xml:space="preserve">Se cumple </w:t>
      </w:r>
      <w:r w:rsidRPr="00EC12E0">
        <w:rPr>
          <w:rFonts w:ascii="Arial" w:hAnsi="Arial" w:cs="Arial"/>
          <w:sz w:val="24"/>
          <w:szCs w:val="24"/>
        </w:rPr>
        <w:t>por activa</w:t>
      </w:r>
      <w:r>
        <w:rPr>
          <w:rFonts w:ascii="Arial" w:hAnsi="Arial" w:cs="Arial"/>
          <w:sz w:val="24"/>
          <w:szCs w:val="24"/>
        </w:rPr>
        <w:t>,</w:t>
      </w:r>
      <w:r w:rsidRPr="00EC12E0">
        <w:rPr>
          <w:rFonts w:ascii="Arial" w:hAnsi="Arial" w:cs="Arial"/>
          <w:sz w:val="24"/>
          <w:szCs w:val="24"/>
        </w:rPr>
        <w:t xml:space="preserve"> porque </w:t>
      </w:r>
      <w:r w:rsidR="002D298F">
        <w:rPr>
          <w:rFonts w:ascii="Arial" w:hAnsi="Arial" w:cs="Arial"/>
          <w:sz w:val="24"/>
          <w:szCs w:val="24"/>
        </w:rPr>
        <w:t xml:space="preserve">el </w:t>
      </w:r>
      <w:r w:rsidR="000026CC">
        <w:rPr>
          <w:rFonts w:ascii="Arial" w:hAnsi="Arial" w:cs="Arial"/>
          <w:sz w:val="24"/>
          <w:szCs w:val="24"/>
        </w:rPr>
        <w:t xml:space="preserve">accionante </w:t>
      </w:r>
      <w:r w:rsidR="00FF6885">
        <w:rPr>
          <w:rFonts w:ascii="Arial" w:hAnsi="Arial" w:cs="Arial"/>
          <w:sz w:val="24"/>
          <w:szCs w:val="24"/>
        </w:rPr>
        <w:t xml:space="preserve">es el ejecutado en el proceso ejecutivo </w:t>
      </w:r>
      <w:r w:rsidR="000026CC" w:rsidRPr="000026CC">
        <w:rPr>
          <w:rFonts w:ascii="Arial" w:hAnsi="Arial" w:cs="Arial"/>
          <w:sz w:val="24"/>
          <w:szCs w:val="24"/>
          <w:lang w:val="es-ES"/>
        </w:rPr>
        <w:t xml:space="preserve">en </w:t>
      </w:r>
      <w:r w:rsidR="000026CC">
        <w:rPr>
          <w:rFonts w:ascii="Arial" w:hAnsi="Arial" w:cs="Arial"/>
          <w:sz w:val="24"/>
          <w:szCs w:val="24"/>
          <w:lang w:val="es-ES"/>
        </w:rPr>
        <w:t xml:space="preserve">el </w:t>
      </w:r>
      <w:r w:rsidR="000026CC" w:rsidRPr="000026CC">
        <w:rPr>
          <w:rFonts w:ascii="Arial" w:hAnsi="Arial" w:cs="Arial"/>
          <w:sz w:val="24"/>
          <w:szCs w:val="24"/>
          <w:lang w:val="es-ES"/>
        </w:rPr>
        <w:t>que se reprocha la falta al debido proceso</w:t>
      </w:r>
      <w:r w:rsidRPr="00EC12E0">
        <w:rPr>
          <w:rFonts w:ascii="Arial" w:hAnsi="Arial" w:cs="Arial"/>
          <w:sz w:val="24"/>
          <w:szCs w:val="24"/>
        </w:rPr>
        <w:t xml:space="preserve">. En el extremo pasivo, </w:t>
      </w:r>
      <w:r w:rsidR="000026CC">
        <w:rPr>
          <w:rFonts w:ascii="Arial" w:hAnsi="Arial" w:cs="Arial"/>
          <w:sz w:val="24"/>
          <w:szCs w:val="24"/>
        </w:rPr>
        <w:t xml:space="preserve">lo es el Juzgado </w:t>
      </w:r>
      <w:r w:rsidR="00FF6885">
        <w:rPr>
          <w:rFonts w:ascii="Arial" w:hAnsi="Arial" w:cs="Arial"/>
          <w:sz w:val="24"/>
          <w:szCs w:val="24"/>
        </w:rPr>
        <w:t xml:space="preserve">Tercero </w:t>
      </w:r>
      <w:r w:rsidR="000026CC">
        <w:rPr>
          <w:rFonts w:ascii="Arial" w:hAnsi="Arial" w:cs="Arial"/>
          <w:sz w:val="24"/>
          <w:szCs w:val="24"/>
        </w:rPr>
        <w:t>Civil Municipal local</w:t>
      </w:r>
      <w:r>
        <w:rPr>
          <w:rFonts w:ascii="Arial" w:hAnsi="Arial" w:cs="Arial"/>
          <w:sz w:val="24"/>
          <w:szCs w:val="24"/>
        </w:rPr>
        <w:t xml:space="preserve">, </w:t>
      </w:r>
      <w:r w:rsidR="000026CC" w:rsidRPr="000026CC">
        <w:rPr>
          <w:rFonts w:ascii="Arial" w:hAnsi="Arial" w:cs="Arial"/>
          <w:sz w:val="24"/>
          <w:szCs w:val="24"/>
          <w:lang w:val="es-ES"/>
        </w:rPr>
        <w:t>al ser la autoridad judicial que conoce la actuación</w:t>
      </w:r>
      <w:r w:rsidRPr="00EC12E0">
        <w:rPr>
          <w:rFonts w:ascii="Arial" w:hAnsi="Arial" w:cs="Arial"/>
          <w:sz w:val="24"/>
          <w:szCs w:val="24"/>
        </w:rPr>
        <w:t>.</w:t>
      </w:r>
    </w:p>
    <w:p w:rsidR="00543803" w:rsidRDefault="00543803" w:rsidP="00543803">
      <w:pPr>
        <w:spacing w:line="360" w:lineRule="auto"/>
        <w:rPr>
          <w:rFonts w:ascii="Arial" w:hAnsi="Arial"/>
          <w:smallCaps/>
        </w:rPr>
      </w:pPr>
    </w:p>
    <w:p w:rsidR="00543803" w:rsidRPr="00543803" w:rsidRDefault="00543803" w:rsidP="00543803">
      <w:pPr>
        <w:pStyle w:val="Corpsdetexte"/>
        <w:numPr>
          <w:ilvl w:val="2"/>
          <w:numId w:val="45"/>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543803">
        <w:rPr>
          <w:rFonts w:ascii="Arial" w:hAnsi="Arial" w:cs="Verdana"/>
          <w:smallCaps/>
          <w:spacing w:val="0"/>
          <w:sz w:val="22"/>
          <w:szCs w:val="24"/>
          <w:lang w:val="es-ES"/>
        </w:rPr>
        <w:t>Las sub-reglas de análisis en la procedibilidad frente a decisiones judiciales</w:t>
      </w:r>
    </w:p>
    <w:p w:rsidR="00543803" w:rsidRPr="00543803" w:rsidRDefault="00543803" w:rsidP="00543803">
      <w:pPr>
        <w:pStyle w:val="Corpsdetexte"/>
        <w:spacing w:line="360" w:lineRule="auto"/>
        <w:rPr>
          <w:rFonts w:ascii="Arial" w:hAnsi="Arial"/>
          <w:smallCaps/>
          <w:sz w:val="24"/>
          <w:szCs w:val="24"/>
        </w:rPr>
      </w:pPr>
    </w:p>
    <w:p w:rsidR="00FF6885" w:rsidRPr="00FF6885" w:rsidRDefault="00FF6885" w:rsidP="00FF688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FF6885">
        <w:rPr>
          <w:rFonts w:ascii="Arial" w:hAnsi="Arial" w:cs="Arial"/>
          <w:spacing w:val="-3"/>
          <w:lang w:val="es-ES_tradnl"/>
        </w:rPr>
        <w:t xml:space="preserve">Desde la sentencia C-543 </w:t>
      </w:r>
      <w:r w:rsidRPr="00FF6885">
        <w:rPr>
          <w:rFonts w:ascii="Verdana" w:hAnsi="Verdana" w:cs="Times New Roman"/>
          <w:spacing w:val="-3"/>
          <w:szCs w:val="20"/>
          <w:lang w:val="es-ES_tradnl"/>
        </w:rPr>
        <w:t xml:space="preserve"> </w:t>
      </w:r>
      <w:r w:rsidRPr="00FF6885">
        <w:rPr>
          <w:rFonts w:ascii="Arial" w:hAnsi="Arial" w:cs="Arial"/>
          <w:spacing w:val="-3"/>
          <w:lang w:val="es-ES_tradnl"/>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FF6885">
        <w:rPr>
          <w:rFonts w:ascii="Arial" w:hAnsi="Arial" w:cs="Arial"/>
          <w:spacing w:val="-3"/>
          <w:vertAlign w:val="superscript"/>
          <w:lang w:val="es-ES_tradnl"/>
        </w:rPr>
        <w:footnoteReference w:id="1"/>
      </w:r>
      <w:r w:rsidRPr="00FF6885">
        <w:rPr>
          <w:rFonts w:ascii="Arial" w:hAnsi="Arial" w:cs="Arial"/>
          <w:spacing w:val="-3"/>
          <w:lang w:val="es-ES_tradnl"/>
        </w:rPr>
        <w:t xml:space="preserve">, básicamente sustituyó la expresión “vías de hecho” por la de “causales genéricas de procedibilidad” y ensanchó las causales especiales, pasando de cuatro (4) a ocho (8).  En el mismo sentido Quiroga </w:t>
      </w:r>
      <w:proofErr w:type="spellStart"/>
      <w:r w:rsidRPr="00FF6885">
        <w:rPr>
          <w:rFonts w:ascii="Arial" w:hAnsi="Arial" w:cs="Arial"/>
          <w:spacing w:val="-3"/>
          <w:lang w:val="es-ES_tradnl"/>
        </w:rPr>
        <w:t>Natale</w:t>
      </w:r>
      <w:proofErr w:type="spellEnd"/>
      <w:r w:rsidRPr="00FF6885">
        <w:rPr>
          <w:rFonts w:ascii="Arial" w:hAnsi="Arial" w:cs="Times New Roman"/>
          <w:spacing w:val="-3"/>
          <w:vertAlign w:val="superscript"/>
          <w:lang w:val="es-ES_tradnl"/>
        </w:rPr>
        <w:footnoteReference w:id="2"/>
      </w:r>
      <w:r w:rsidRPr="00FF6885">
        <w:rPr>
          <w:rFonts w:ascii="Arial" w:hAnsi="Arial" w:cs="Arial"/>
          <w:spacing w:val="-3"/>
          <w:lang w:val="es-ES_tradnl"/>
        </w:rPr>
        <w:t>.</w:t>
      </w:r>
    </w:p>
    <w:p w:rsidR="00FF6885" w:rsidRPr="00FF6885" w:rsidRDefault="00FF6885" w:rsidP="00FF688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FF6885" w:rsidRPr="00FF6885" w:rsidRDefault="00FF6885" w:rsidP="00FF688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FF6885">
        <w:rPr>
          <w:rFonts w:ascii="Arial" w:hAnsi="Arial" w:cs="Arial"/>
          <w:spacing w:val="-3"/>
          <w:lang w:val="es-ES_tradnl"/>
        </w:rPr>
        <w:t xml:space="preserve">Ahora, en frente del examen que se reclama en sede constitucional, resulta de mayúscula </w:t>
      </w:r>
    </w:p>
    <w:p w:rsidR="00FF6885" w:rsidRPr="00FF6885" w:rsidRDefault="00FF6885" w:rsidP="00FF688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FF6885">
        <w:rPr>
          <w:rFonts w:ascii="Arial" w:hAnsi="Arial" w:cs="Arial"/>
          <w:spacing w:val="-3"/>
          <w:lang w:val="es-ES_tradnl"/>
        </w:rPr>
        <w:t xml:space="preserve">trascendencia, precisar que </w:t>
      </w:r>
      <w:r w:rsidRPr="00FF6885">
        <w:rPr>
          <w:rFonts w:ascii="Arial" w:hAnsi="Arial" w:cs="Arial"/>
          <w:spacing w:val="-3"/>
          <w:u w:val="single"/>
          <w:lang w:val="es-ES_tradnl"/>
        </w:rPr>
        <w:t>se trata de un juicio de validez y no de corrección</w:t>
      </w:r>
      <w:r w:rsidRPr="00FF6885">
        <w:rPr>
          <w:rFonts w:ascii="Arial" w:hAnsi="Arial" w:cs="Arial"/>
          <w:spacing w:val="-3"/>
          <w:lang w:val="es-ES_tradnl"/>
        </w:rPr>
        <w:t xml:space="preserve">, lo que evidencia que son dos planos de estudio diversos, entonces, mal puede mutarse en constitucional lo que compete al ámbito legal, ello se traduce en evitar el riesgo de </w:t>
      </w:r>
      <w:r w:rsidRPr="00FF6885">
        <w:rPr>
          <w:rFonts w:ascii="Arial" w:hAnsi="Arial" w:cs="Arial"/>
          <w:spacing w:val="-3"/>
          <w:lang w:val="es-ES_tradnl"/>
        </w:rPr>
        <w:lastRenderedPageBreak/>
        <w:t>convertirse en una instancia más, que iría en desmedro de la naturaleza excepcional del instrumento protector.  Así lo explicó la Colegiatura constitucional</w:t>
      </w:r>
      <w:r w:rsidRPr="00FF6885">
        <w:rPr>
          <w:rFonts w:ascii="Arial" w:hAnsi="Arial" w:cs="Arial"/>
          <w:spacing w:val="-3"/>
          <w:vertAlign w:val="superscript"/>
          <w:lang w:val="es-ES_tradnl"/>
        </w:rPr>
        <w:footnoteReference w:id="3"/>
      </w:r>
      <w:r w:rsidRPr="00FF6885">
        <w:rPr>
          <w:rFonts w:ascii="Arial" w:hAnsi="Arial" w:cs="Arial"/>
          <w:spacing w:val="-3"/>
          <w:lang w:val="es-ES_tradnl"/>
        </w:rPr>
        <w:t>.</w:t>
      </w:r>
    </w:p>
    <w:p w:rsidR="00FF6885" w:rsidRPr="00FF6885" w:rsidRDefault="00FF6885" w:rsidP="00FF688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FF6885" w:rsidRPr="00FF6885" w:rsidRDefault="00FF6885" w:rsidP="00FF688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FF6885">
        <w:rPr>
          <w:rFonts w:ascii="Arial" w:hAnsi="Arial" w:cs="Arial"/>
          <w:spacing w:val="-3"/>
          <w:lang w:val="es-ES_tradnl"/>
        </w:rPr>
        <w:t>Los requisitos generales de procedibilidad, explicados en amplitud en la sentencia C-590 de 2005</w:t>
      </w:r>
      <w:r w:rsidRPr="00FF6885">
        <w:rPr>
          <w:rFonts w:ascii="Arial" w:hAnsi="Arial" w:cs="Arial"/>
          <w:spacing w:val="-3"/>
          <w:vertAlign w:val="superscript"/>
          <w:lang w:val="es-ES_tradnl"/>
        </w:rPr>
        <w:footnoteReference w:id="4"/>
      </w:r>
      <w:r w:rsidRPr="00FF6885">
        <w:rPr>
          <w:rFonts w:ascii="Arial" w:hAnsi="Arial" w:cs="Arial"/>
          <w:spacing w:val="-3"/>
          <w:lang w:val="es-ES_tradnl"/>
        </w:rPr>
        <w:t xml:space="preserve"> y reiterados en la consolidada línea jurisprudencial de la CC</w:t>
      </w:r>
      <w:r w:rsidRPr="00FF6885">
        <w:rPr>
          <w:rFonts w:ascii="Arial" w:hAnsi="Arial" w:cs="Arial"/>
          <w:spacing w:val="-3"/>
          <w:vertAlign w:val="superscript"/>
          <w:lang w:val="es-ES_tradnl"/>
        </w:rPr>
        <w:footnoteReference w:id="5"/>
      </w:r>
      <w:r w:rsidRPr="00FF6885">
        <w:rPr>
          <w:rFonts w:ascii="Arial" w:hAnsi="Arial" w:cs="Arial"/>
          <w:spacing w:val="-3"/>
          <w:vertAlign w:val="superscript"/>
          <w:lang w:val="es-ES_tradnl"/>
        </w:rPr>
        <w:t>-</w:t>
      </w:r>
      <w:r w:rsidRPr="00FF6885">
        <w:rPr>
          <w:rFonts w:ascii="Arial" w:hAnsi="Arial" w:cs="Times New Roman"/>
          <w:spacing w:val="-3"/>
          <w:vertAlign w:val="superscript"/>
          <w:lang w:val="es-ES_tradnl"/>
        </w:rPr>
        <w:footnoteReference w:id="6"/>
      </w:r>
      <w:r w:rsidRPr="00FF6885">
        <w:rPr>
          <w:rFonts w:ascii="Arial" w:hAnsi="Arial" w:cs="Arial"/>
          <w:spacing w:val="-3"/>
          <w:lang w:val="es-ES_tradnl"/>
        </w:rPr>
        <w:t xml:space="preserve"> (2017)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FF6885">
        <w:rPr>
          <w:rFonts w:ascii="Arial" w:hAnsi="Arial" w:cs="Times New Roman"/>
          <w:spacing w:val="-3"/>
          <w:vertAlign w:val="superscript"/>
          <w:lang w:val="es-ES_tradnl"/>
        </w:rPr>
        <w:footnoteReference w:id="7"/>
      </w:r>
      <w:r w:rsidRPr="00FF6885">
        <w:rPr>
          <w:rFonts w:ascii="Arial" w:hAnsi="Arial" w:cs="Arial"/>
          <w:spacing w:val="-3"/>
          <w:lang w:val="es-ES_tradnl"/>
        </w:rPr>
        <w:t>.</w:t>
      </w:r>
    </w:p>
    <w:p w:rsidR="00FF6885" w:rsidRPr="00FF6885" w:rsidRDefault="00FF6885" w:rsidP="00FF688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FF6885" w:rsidRPr="00FF6885" w:rsidRDefault="00FF6885" w:rsidP="00FF688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FF6885">
        <w:rPr>
          <w:rFonts w:ascii="Arial" w:hAnsi="Arial" w:cs="Arial"/>
          <w:spacing w:val="-3"/>
          <w:lang w:val="es-ES_tradnl"/>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FF6885">
        <w:rPr>
          <w:rFonts w:ascii="Arial" w:hAnsi="Arial" w:cs="Arial"/>
          <w:spacing w:val="-3"/>
          <w:vertAlign w:val="superscript"/>
          <w:lang w:val="es-ES_tradnl"/>
        </w:rPr>
        <w:footnoteReference w:id="8"/>
      </w:r>
      <w:r w:rsidRPr="00FF6885">
        <w:rPr>
          <w:rFonts w:ascii="Arial" w:hAnsi="Arial" w:cs="Arial"/>
          <w:spacing w:val="-3"/>
          <w:lang w:val="es-ES_tradnl"/>
        </w:rPr>
        <w:t xml:space="preserve"> y Quinche Ramírez</w:t>
      </w:r>
      <w:r w:rsidRPr="00FF6885">
        <w:rPr>
          <w:rFonts w:ascii="Arial" w:hAnsi="Arial" w:cs="Arial"/>
          <w:spacing w:val="-3"/>
          <w:vertAlign w:val="superscript"/>
          <w:lang w:val="es-ES_tradnl"/>
        </w:rPr>
        <w:footnoteReference w:id="9"/>
      </w:r>
      <w:r w:rsidRPr="00FF6885">
        <w:rPr>
          <w:rFonts w:ascii="Arial" w:hAnsi="Arial" w:cs="Arial"/>
          <w:spacing w:val="-3"/>
          <w:lang w:val="es-ES_tradnl"/>
        </w:rPr>
        <w:t>.</w:t>
      </w:r>
    </w:p>
    <w:p w:rsidR="00543803" w:rsidRPr="00543803" w:rsidRDefault="00543803" w:rsidP="00543803">
      <w:pPr>
        <w:spacing w:line="360" w:lineRule="auto"/>
        <w:rPr>
          <w:rFonts w:ascii="Arial" w:hAnsi="Arial"/>
          <w:smallCaps/>
        </w:rPr>
      </w:pPr>
    </w:p>
    <w:p w:rsidR="00543803" w:rsidRPr="00543803" w:rsidRDefault="00543803" w:rsidP="00543803">
      <w:pPr>
        <w:pStyle w:val="Corpsdetexte"/>
        <w:numPr>
          <w:ilvl w:val="2"/>
          <w:numId w:val="45"/>
        </w:numPr>
        <w:spacing w:line="360" w:lineRule="auto"/>
        <w:rPr>
          <w:rFonts w:ascii="Arial" w:hAnsi="Arial"/>
          <w:smallCaps/>
          <w:sz w:val="22"/>
          <w:szCs w:val="22"/>
        </w:rPr>
      </w:pPr>
      <w:r w:rsidRPr="00543803">
        <w:rPr>
          <w:rFonts w:ascii="Arial" w:hAnsi="Arial"/>
          <w:smallCaps/>
          <w:sz w:val="22"/>
          <w:szCs w:val="22"/>
        </w:rPr>
        <w:t xml:space="preserve">La inmediatez  de la acción de tutela </w:t>
      </w:r>
    </w:p>
    <w:p w:rsidR="00543803" w:rsidRPr="0012509F" w:rsidRDefault="00543803" w:rsidP="00543803">
      <w:pPr>
        <w:pStyle w:val="Corpsdetexte"/>
        <w:spacing w:line="360" w:lineRule="auto"/>
        <w:ind w:left="720"/>
        <w:rPr>
          <w:rFonts w:ascii="Arial" w:hAnsi="Arial"/>
          <w:smallCaps/>
          <w:szCs w:val="24"/>
        </w:rPr>
      </w:pPr>
    </w:p>
    <w:p w:rsidR="00543803" w:rsidRDefault="00543803" w:rsidP="00543803">
      <w:pPr>
        <w:spacing w:line="360" w:lineRule="auto"/>
        <w:jc w:val="both"/>
        <w:rPr>
          <w:rFonts w:ascii="Arial" w:hAnsi="Arial" w:cs="Arial"/>
          <w:u w:val="single"/>
        </w:rPr>
      </w:pPr>
      <w:r w:rsidRPr="00FF6885">
        <w:rPr>
          <w:rFonts w:ascii="Arial" w:hAnsi="Arial" w:cs="Arial"/>
        </w:rPr>
        <w:t>Según constante jurisprudencia de nuestro máximo Tribunal Constitucional</w:t>
      </w:r>
      <w:r w:rsidRPr="00FF6885">
        <w:rPr>
          <w:rStyle w:val="Appelnotedebasdep"/>
          <w:rFonts w:ascii="Arial" w:hAnsi="Arial" w:cs="Arial"/>
        </w:rPr>
        <w:footnoteReference w:id="10"/>
      </w:r>
      <w:r w:rsidRPr="00FF6885">
        <w:rPr>
          <w:rFonts w:ascii="Arial" w:hAnsi="Arial" w:cs="Arial"/>
        </w:rPr>
        <w:t>, y también de la CSJ</w:t>
      </w:r>
      <w:r w:rsidRPr="00FF6885">
        <w:rPr>
          <w:rStyle w:val="Appelnotedebasdep"/>
          <w:rFonts w:ascii="Arial" w:hAnsi="Arial" w:cs="Arial"/>
        </w:rPr>
        <w:footnoteReference w:id="11"/>
      </w:r>
      <w:r w:rsidRPr="00FF6885">
        <w:rPr>
          <w:rFonts w:ascii="Arial" w:hAnsi="Arial" w:cs="Arial"/>
        </w:rPr>
        <w:t xml:space="preserve"> (Sala de Casación Civil), la inmediatez en la protección, que implica la tutela, conlleva entender que el remedio</w:t>
      </w:r>
      <w:r>
        <w:rPr>
          <w:rFonts w:ascii="Arial" w:hAnsi="Arial" w:cs="Arial"/>
        </w:rPr>
        <w:t xml:space="preserve"> judicial requiere </w:t>
      </w:r>
      <w:r w:rsidRPr="003A3E22">
        <w:rPr>
          <w:rFonts w:ascii="Arial" w:hAnsi="Arial" w:cs="Arial"/>
          <w:bCs/>
          <w:u w:val="single"/>
        </w:rPr>
        <w:t>aplicación urgente</w:t>
      </w:r>
      <w:r>
        <w:rPr>
          <w:rFonts w:ascii="Arial" w:hAnsi="Arial" w:cs="Arial"/>
          <w:b/>
          <w:bCs/>
        </w:rPr>
        <w:t>,</w:t>
      </w:r>
      <w:r>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Pr>
          <w:rFonts w:ascii="Arial" w:hAnsi="Arial" w:cs="Arial"/>
          <w:u w:val="single"/>
        </w:rPr>
        <w:t>la inmediatez es consustancial a la protección que brinda la mencionada acción como defensa efectiva de los derechos fundamentales.</w:t>
      </w:r>
    </w:p>
    <w:p w:rsidR="00543803" w:rsidRDefault="00543803" w:rsidP="00543803">
      <w:pPr>
        <w:spacing w:line="360" w:lineRule="auto"/>
        <w:jc w:val="both"/>
        <w:rPr>
          <w:rFonts w:ascii="Arial" w:hAnsi="Arial" w:cs="Arial"/>
          <w:u w:val="single"/>
        </w:rPr>
      </w:pPr>
    </w:p>
    <w:p w:rsidR="00543803" w:rsidRDefault="00543803" w:rsidP="00543803">
      <w:pPr>
        <w:spacing w:line="360" w:lineRule="auto"/>
        <w:ind w:right="22"/>
        <w:jc w:val="both"/>
        <w:rPr>
          <w:rFonts w:ascii="Arial" w:hAnsi="Arial" w:cs="Arial"/>
        </w:rPr>
      </w:pPr>
      <w:r>
        <w:rPr>
          <w:rFonts w:ascii="Arial" w:hAnsi="Arial" w:cs="Arial"/>
        </w:rPr>
        <w:t xml:space="preserve">Oportuno resulta, evocar </w:t>
      </w:r>
      <w:r>
        <w:rPr>
          <w:rFonts w:ascii="Arial" w:hAnsi="Arial" w:cs="Arial"/>
          <w:kern w:val="44"/>
        </w:rPr>
        <w:t xml:space="preserve">con relación a la prontitud que debe acompañar el reclamo para la protección de los derechos, que la jurisprudencia de la Corte Interamericana de </w:t>
      </w:r>
      <w:r>
        <w:rPr>
          <w:rFonts w:ascii="Arial" w:hAnsi="Arial" w:cs="Arial"/>
          <w:kern w:val="44"/>
        </w:rPr>
        <w:lastRenderedPageBreak/>
        <w:t xml:space="preserve">Derechos Humanos ha señalado que el transcurso de un lapso mayor a </w:t>
      </w:r>
      <w:r w:rsidRPr="003A3E22">
        <w:rPr>
          <w:rFonts w:ascii="Arial" w:hAnsi="Arial" w:cs="Arial"/>
          <w:kern w:val="44"/>
          <w:u w:val="single"/>
        </w:rPr>
        <w:t>seis meses</w:t>
      </w:r>
      <w:r>
        <w:rPr>
          <w:rFonts w:ascii="Arial" w:hAnsi="Arial" w:cs="Arial"/>
          <w:kern w:val="44"/>
        </w:rPr>
        <w:t xml:space="preserve"> para resolver amparos excede el principio de plazo razonable. </w:t>
      </w:r>
      <w:r>
        <w:rPr>
          <w:rFonts w:ascii="Arial" w:hAnsi="Arial" w:cs="Arial"/>
        </w:rPr>
        <w:t xml:space="preserve">Habida consideración de la significación del principio de inmediatez, ha concluido nuestro Alto Tribunal, que la </w:t>
      </w:r>
      <w:r w:rsidRPr="003A3E22">
        <w:rPr>
          <w:rFonts w:ascii="Arial" w:hAnsi="Arial" w:cs="Arial"/>
          <w:i/>
          <w:sz w:val="22"/>
        </w:rPr>
        <w:t>“OPORTUNIDAD”</w:t>
      </w:r>
      <w:r>
        <w:rPr>
          <w:rFonts w:ascii="Arial" w:hAnsi="Arial" w:cs="Arial"/>
        </w:rPr>
        <w:t xml:space="preserve">, </w:t>
      </w:r>
      <w:r>
        <w:rPr>
          <w:rFonts w:ascii="Arial" w:hAnsi="Arial" w:cs="Arial"/>
          <w:u w:val="single"/>
        </w:rPr>
        <w:t>es un requisito de procedibilidad esencial para el ejercicio del amparo constitucional</w:t>
      </w:r>
      <w:r>
        <w:rPr>
          <w:rStyle w:val="Appelnotedebasdep"/>
          <w:rFonts w:ascii="Calibri" w:hAnsi="Calibri" w:cs="Calibri"/>
        </w:rPr>
        <w:footnoteReference w:id="12"/>
      </w:r>
      <w:r>
        <w:rPr>
          <w:rFonts w:ascii="Arial" w:hAnsi="Arial" w:cs="Arial"/>
        </w:rPr>
        <w:t>. Así mismo lo ha señalado la CSJ</w:t>
      </w:r>
      <w:r>
        <w:rPr>
          <w:rStyle w:val="Appelnotedebasdep"/>
          <w:rFonts w:ascii="Arial" w:hAnsi="Arial" w:cs="Arial"/>
        </w:rPr>
        <w:footnoteReference w:id="13"/>
      </w:r>
      <w:r>
        <w:rPr>
          <w:rFonts w:ascii="Arial" w:hAnsi="Arial" w:cs="Arial"/>
        </w:rPr>
        <w:t xml:space="preserve">, que en recientes providencias reiteró: </w:t>
      </w:r>
    </w:p>
    <w:p w:rsidR="00543803" w:rsidRPr="00FF6885" w:rsidRDefault="00543803" w:rsidP="00543803">
      <w:pPr>
        <w:ind w:left="400" w:right="618"/>
        <w:jc w:val="both"/>
        <w:rPr>
          <w:rFonts w:ascii="Arial" w:hAnsi="Arial" w:cs="Arial"/>
          <w:iCs/>
          <w:sz w:val="32"/>
        </w:rPr>
      </w:pPr>
    </w:p>
    <w:p w:rsidR="00543803" w:rsidRDefault="00543803" w:rsidP="00543803">
      <w:pPr>
        <w:ind w:left="400" w:right="618"/>
        <w:jc w:val="both"/>
        <w:rPr>
          <w:rFonts w:ascii="Bookman Old Style" w:hAnsi="Bookman Old Style" w:cs="Arial"/>
          <w:iCs/>
        </w:rPr>
      </w:pPr>
      <w:r w:rsidRPr="00AE2674">
        <w:rPr>
          <w:rFonts w:ascii="Arial" w:hAnsi="Arial" w:cs="Arial"/>
          <w:iCs/>
        </w:rPr>
        <w:t xml:space="preserve">… </w:t>
      </w:r>
      <w:r w:rsidRPr="00AE2674">
        <w:rPr>
          <w:rFonts w:ascii="Arial" w:hAnsi="Arial" w:cs="Arial"/>
          <w:spacing w:val="-10"/>
          <w:szCs w:val="28"/>
        </w:rPr>
        <w:t>[D]</w:t>
      </w:r>
      <w:proofErr w:type="spellStart"/>
      <w:r w:rsidRPr="00AE2674">
        <w:rPr>
          <w:rFonts w:ascii="Arial" w:hAnsi="Arial" w:cs="Arial"/>
          <w:spacing w:val="-10"/>
          <w:szCs w:val="28"/>
        </w:rPr>
        <w:t>escendiendo</w:t>
      </w:r>
      <w:proofErr w:type="spellEnd"/>
      <w:r w:rsidRPr="00AE2674">
        <w:rPr>
          <w:rFonts w:ascii="Arial" w:hAnsi="Arial" w:cs="Arial"/>
          <w:spacing w:val="-10"/>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BE7936">
        <w:rPr>
          <w:rFonts w:ascii="Arial" w:hAnsi="Arial" w:cs="Arial"/>
          <w:spacing w:val="-10"/>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AE2674">
        <w:rPr>
          <w:rFonts w:ascii="Arial" w:hAnsi="Arial" w:cs="Arial"/>
          <w:spacing w:val="-10"/>
          <w:szCs w:val="28"/>
        </w:rPr>
        <w:t>; sin que la parte accionante hubiera alegado ni menos demostrado motivo alguno que justifique tan notoria tardanza</w:t>
      </w:r>
      <w:r>
        <w:rPr>
          <w:rFonts w:ascii="Arial" w:hAnsi="Arial" w:cs="Arial"/>
          <w:iCs/>
        </w:rPr>
        <w:t>.</w:t>
      </w:r>
      <w:r>
        <w:rPr>
          <w:rFonts w:ascii="Arial" w:hAnsi="Arial" w:cs="Arial"/>
        </w:rPr>
        <w:t xml:space="preserve"> (</w:t>
      </w:r>
      <w:proofErr w:type="spellStart"/>
      <w:r>
        <w:rPr>
          <w:rFonts w:ascii="Arial" w:hAnsi="Arial" w:cs="Arial"/>
        </w:rPr>
        <w:t>Sublínea</w:t>
      </w:r>
      <w:proofErr w:type="spellEnd"/>
      <w:r>
        <w:rPr>
          <w:rFonts w:ascii="Arial" w:hAnsi="Arial" w:cs="Arial"/>
        </w:rPr>
        <w:t xml:space="preserve"> de esta Sala).</w:t>
      </w:r>
    </w:p>
    <w:p w:rsidR="00543803" w:rsidRPr="00FF6885" w:rsidRDefault="00543803" w:rsidP="00543803">
      <w:pPr>
        <w:spacing w:line="360" w:lineRule="auto"/>
        <w:ind w:left="400" w:right="22"/>
        <w:jc w:val="both"/>
        <w:rPr>
          <w:rFonts w:ascii="Arial" w:hAnsi="Arial" w:cs="Arial"/>
          <w:sz w:val="32"/>
        </w:rPr>
      </w:pPr>
    </w:p>
    <w:p w:rsidR="00543803" w:rsidRPr="0098589D" w:rsidRDefault="00543803" w:rsidP="00543803">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543803" w:rsidRPr="0098589D" w:rsidRDefault="00543803" w:rsidP="00543803">
      <w:pPr>
        <w:spacing w:line="360" w:lineRule="auto"/>
        <w:ind w:left="400" w:right="22"/>
        <w:jc w:val="both"/>
        <w:rPr>
          <w:rFonts w:ascii="Arial" w:hAnsi="Arial" w:cs="Arial"/>
        </w:rPr>
      </w:pPr>
    </w:p>
    <w:p w:rsidR="00543803" w:rsidRDefault="00543803" w:rsidP="00543803">
      <w:pPr>
        <w:spacing w:line="360" w:lineRule="auto"/>
        <w:ind w:right="22"/>
        <w:jc w:val="both"/>
        <w:rPr>
          <w:rFonts w:ascii="Arial" w:hAnsi="Arial" w:cs="Arial"/>
        </w:rPr>
      </w:pPr>
      <w:r w:rsidRPr="0098589D">
        <w:rPr>
          <w:rFonts w:ascii="Arial" w:hAnsi="Arial" w:cs="Arial"/>
        </w:rPr>
        <w:t xml:space="preserve">Los aspectos acabados de reseñar, fueron precisados en una decisión del 2006 de la </w:t>
      </w:r>
      <w:r>
        <w:rPr>
          <w:rFonts w:ascii="Arial" w:hAnsi="Arial" w:cs="Arial"/>
        </w:rPr>
        <w:t>CC</w:t>
      </w:r>
      <w:r w:rsidRPr="0098589D">
        <w:rPr>
          <w:rStyle w:val="Appelnotedebasdep"/>
          <w:rFonts w:ascii="Arial" w:hAnsi="Arial" w:cs="Arial"/>
        </w:rPr>
        <w:footnoteReference w:id="14"/>
      </w:r>
      <w:r w:rsidRPr="0098589D">
        <w:rPr>
          <w:rFonts w:ascii="Arial" w:hAnsi="Arial" w:cs="Arial"/>
        </w:rPr>
        <w:t>, con apoyo en un precedente anterior de 2003</w:t>
      </w:r>
      <w:r w:rsidRPr="0098589D">
        <w:rPr>
          <w:rStyle w:val="Appelnotedebasdep"/>
          <w:rFonts w:ascii="Arial" w:hAnsi="Arial" w:cs="Arial"/>
        </w:rPr>
        <w:footnoteReference w:id="15"/>
      </w:r>
      <w:r w:rsidRPr="0098589D">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Pr>
          <w:rFonts w:ascii="Arial" w:hAnsi="Arial" w:cs="Arial"/>
        </w:rPr>
        <w:t>.</w:t>
      </w:r>
      <w:r w:rsidRPr="0098589D">
        <w:rPr>
          <w:rStyle w:val="Appelnotedebasdep"/>
          <w:rFonts w:ascii="Arial" w:hAnsi="Arial" w:cs="Arial"/>
        </w:rPr>
        <w:footnoteReference w:id="16"/>
      </w:r>
      <w:r w:rsidRPr="0098589D">
        <w:rPr>
          <w:rFonts w:ascii="Arial" w:hAnsi="Arial" w:cs="Arial"/>
        </w:rPr>
        <w:t>.</w:t>
      </w:r>
    </w:p>
    <w:p w:rsidR="00543803" w:rsidRPr="00EC12E0" w:rsidRDefault="00543803" w:rsidP="00543803">
      <w:pPr>
        <w:spacing w:line="360" w:lineRule="auto"/>
        <w:ind w:left="400" w:right="22"/>
        <w:jc w:val="both"/>
        <w:rPr>
          <w:rFonts w:ascii="Arial" w:hAnsi="Arial" w:cs="Arial"/>
          <w:lang w:val="es-CO"/>
        </w:rPr>
      </w:pPr>
    </w:p>
    <w:p w:rsidR="00543803" w:rsidRPr="00825F31" w:rsidRDefault="00543803" w:rsidP="00543803">
      <w:pPr>
        <w:spacing w:line="360" w:lineRule="auto"/>
        <w:jc w:val="both"/>
        <w:rPr>
          <w:rFonts w:ascii="Arial" w:hAnsi="Arial" w:cs="Arial"/>
          <w:lang w:val="es-ES_tradnl"/>
        </w:rPr>
      </w:pPr>
      <w:r>
        <w:rPr>
          <w:rFonts w:ascii="Arial" w:hAnsi="Arial" w:cs="Arial"/>
          <w:lang w:val="es-ES_tradnl"/>
        </w:rPr>
        <w:t>Nuestro órgano de cierre en la especialidad constitucional</w:t>
      </w:r>
      <w:r>
        <w:rPr>
          <w:rStyle w:val="Appelnotedebasdep"/>
          <w:rFonts w:ascii="Arial" w:hAnsi="Arial" w:cs="Arial"/>
        </w:rPr>
        <w:footnoteReference w:id="17"/>
      </w:r>
      <w:r>
        <w:rPr>
          <w:rFonts w:ascii="Arial" w:hAnsi="Arial" w:cs="Arial"/>
          <w:lang w:val="es-ES_tradnl"/>
        </w:rPr>
        <w:t>, ratificó el pensamiento traído en su larga línea jurisprudencial, y resaltó las razones que fundamentan el factor “inmediatez</w:t>
      </w:r>
      <w:r w:rsidRPr="00825F31">
        <w:rPr>
          <w:rFonts w:ascii="Arial" w:hAnsi="Arial" w:cs="Arial"/>
          <w:lang w:val="es-ES_tradnl"/>
        </w:rPr>
        <w:t xml:space="preserve">” como presupuesto de procedibilidad, así </w:t>
      </w:r>
      <w:r>
        <w:rPr>
          <w:rFonts w:ascii="Arial" w:hAnsi="Arial" w:cs="Arial"/>
          <w:lang w:val="es-ES_tradnl"/>
        </w:rPr>
        <w:t>explicó</w:t>
      </w:r>
      <w:r w:rsidRPr="00825F31">
        <w:rPr>
          <w:rFonts w:ascii="Arial" w:hAnsi="Arial" w:cs="Arial"/>
          <w:lang w:val="es-ES_tradnl"/>
        </w:rPr>
        <w:t>:</w:t>
      </w:r>
    </w:p>
    <w:p w:rsidR="00543803" w:rsidRPr="00002C46" w:rsidRDefault="00543803" w:rsidP="00543803">
      <w:pPr>
        <w:ind w:left="400"/>
        <w:jc w:val="both"/>
        <w:rPr>
          <w:rFonts w:ascii="Arial" w:hAnsi="Arial" w:cs="Arial"/>
          <w:sz w:val="28"/>
          <w:lang w:val="es-ES_tradnl"/>
        </w:rPr>
      </w:pPr>
    </w:p>
    <w:p w:rsidR="00543803" w:rsidRPr="00825F31" w:rsidRDefault="00543803" w:rsidP="00543803">
      <w:pPr>
        <w:ind w:left="400" w:right="567"/>
        <w:jc w:val="both"/>
        <w:rPr>
          <w:rFonts w:ascii="Arial" w:hAnsi="Arial" w:cs="Arial"/>
          <w:i/>
          <w:lang w:val="es-CO"/>
        </w:rPr>
      </w:pPr>
      <w:r w:rsidRPr="00825F31">
        <w:rPr>
          <w:rFonts w:ascii="Arial" w:hAnsi="Arial" w:cs="Arial"/>
          <w:shd w:val="clear" w:color="auto" w:fill="FFFFFF"/>
        </w:rPr>
        <w:t xml:space="preserve">4.6. </w:t>
      </w:r>
      <w:r w:rsidRPr="00825F31">
        <w:rPr>
          <w:rFonts w:ascii="Arial" w:hAnsi="Arial" w:cs="Arial"/>
          <w:u w:val="single"/>
          <w:shd w:val="clear" w:color="auto" w:fill="FFFFFF"/>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825F31">
        <w:rPr>
          <w:rFonts w:ascii="Arial" w:hAnsi="Arial" w:cs="Arial"/>
          <w:shd w:val="clear" w:color="auto" w:fill="FFFFFF"/>
        </w:rPr>
        <w:t xml:space="preserve">.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permanece en la actualidad. </w:t>
      </w:r>
      <w:r>
        <w:rPr>
          <w:rFonts w:ascii="Arial" w:hAnsi="Arial" w:cs="Arial"/>
          <w:shd w:val="clear" w:color="auto" w:fill="FFFFFF"/>
        </w:rPr>
        <w:t>(</w:t>
      </w:r>
      <w:r w:rsidRPr="00825F31">
        <w:rPr>
          <w:rFonts w:ascii="Arial" w:hAnsi="Arial" w:cs="Arial"/>
          <w:lang w:val="es-CO"/>
        </w:rPr>
        <w:t xml:space="preserve">La </w:t>
      </w:r>
      <w:proofErr w:type="spellStart"/>
      <w:r w:rsidRPr="00825F31">
        <w:rPr>
          <w:rFonts w:ascii="Arial" w:hAnsi="Arial" w:cs="Arial"/>
          <w:lang w:val="es-CO"/>
        </w:rPr>
        <w:t>sublínea</w:t>
      </w:r>
      <w:proofErr w:type="spellEnd"/>
      <w:r w:rsidRPr="00825F31">
        <w:rPr>
          <w:rFonts w:ascii="Arial" w:hAnsi="Arial" w:cs="Arial"/>
          <w:lang w:val="es-CO"/>
        </w:rPr>
        <w:t xml:space="preserve"> </w:t>
      </w:r>
      <w:r>
        <w:rPr>
          <w:rFonts w:ascii="Arial" w:hAnsi="Arial" w:cs="Arial"/>
          <w:lang w:val="es-CO"/>
        </w:rPr>
        <w:t xml:space="preserve">es </w:t>
      </w:r>
      <w:r w:rsidRPr="00825F31">
        <w:rPr>
          <w:rFonts w:ascii="Arial" w:hAnsi="Arial" w:cs="Arial"/>
          <w:lang w:val="es-CO"/>
        </w:rPr>
        <w:t>de este Tribunal</w:t>
      </w:r>
      <w:r>
        <w:rPr>
          <w:rFonts w:ascii="Arial" w:hAnsi="Arial" w:cs="Arial"/>
          <w:lang w:val="es-CO"/>
        </w:rPr>
        <w:t>)</w:t>
      </w:r>
      <w:r w:rsidRPr="00825F31">
        <w:rPr>
          <w:rFonts w:ascii="Arial" w:hAnsi="Arial" w:cs="Arial"/>
          <w:lang w:val="es-CO"/>
        </w:rPr>
        <w:t>.</w:t>
      </w:r>
    </w:p>
    <w:p w:rsidR="00543803" w:rsidRDefault="00543803" w:rsidP="00E571D4">
      <w:pPr>
        <w:widowControl/>
        <w:spacing w:line="360" w:lineRule="auto"/>
        <w:jc w:val="both"/>
        <w:rPr>
          <w:rFonts w:ascii="Arial" w:hAnsi="Arial"/>
          <w:sz w:val="28"/>
          <w:lang w:val="es-CO"/>
        </w:rPr>
      </w:pPr>
    </w:p>
    <w:p w:rsidR="003403A0" w:rsidRPr="00543803" w:rsidRDefault="003403A0" w:rsidP="003403A0">
      <w:pPr>
        <w:pStyle w:val="Corpsdetexte"/>
        <w:numPr>
          <w:ilvl w:val="2"/>
          <w:numId w:val="45"/>
        </w:numPr>
        <w:tabs>
          <w:tab w:val="clear" w:pos="0"/>
        </w:tabs>
        <w:spacing w:line="360" w:lineRule="auto"/>
        <w:rPr>
          <w:rFonts w:ascii="Arial" w:hAnsi="Arial"/>
          <w:smallCaps/>
          <w:sz w:val="22"/>
          <w:szCs w:val="22"/>
        </w:rPr>
      </w:pPr>
      <w:r w:rsidRPr="00543803">
        <w:rPr>
          <w:rFonts w:ascii="Arial" w:hAnsi="Arial"/>
          <w:smallCaps/>
          <w:sz w:val="22"/>
          <w:szCs w:val="22"/>
        </w:rPr>
        <w:t>El carácter subsidiario de la acción de tutela</w:t>
      </w:r>
    </w:p>
    <w:p w:rsidR="003403A0" w:rsidRDefault="003403A0" w:rsidP="003403A0">
      <w:pPr>
        <w:pStyle w:val="Corpsdetexte"/>
        <w:tabs>
          <w:tab w:val="clear" w:pos="0"/>
        </w:tabs>
        <w:spacing w:line="360" w:lineRule="auto"/>
        <w:rPr>
          <w:rFonts w:ascii="Arial" w:hAnsi="Arial" w:cs="Arial"/>
          <w:sz w:val="24"/>
          <w:szCs w:val="24"/>
        </w:rPr>
      </w:pPr>
    </w:p>
    <w:p w:rsidR="003403A0" w:rsidRDefault="003403A0" w:rsidP="003403A0">
      <w:pPr>
        <w:pStyle w:val="Corpsdetexte"/>
        <w:tabs>
          <w:tab w:val="clear" w:pos="0"/>
        </w:tabs>
        <w:spacing w:line="360" w:lineRule="auto"/>
        <w:rPr>
          <w:rFonts w:ascii="Arial" w:hAnsi="Arial" w:cs="Arial"/>
          <w:sz w:val="24"/>
          <w:szCs w:val="24"/>
        </w:rPr>
      </w:pPr>
      <w:r w:rsidRPr="00543803">
        <w:rPr>
          <w:rFonts w:ascii="Arial" w:hAnsi="Arial" w:cs="Arial"/>
          <w:sz w:val="24"/>
          <w:szCs w:val="24"/>
        </w:rPr>
        <w:t xml:space="preserve">La acción de tutela, se halla prescrita en el artículo 86 de la CP, definiendo la regla general </w:t>
      </w:r>
    </w:p>
    <w:p w:rsidR="003403A0" w:rsidRDefault="003403A0" w:rsidP="003403A0">
      <w:pPr>
        <w:pStyle w:val="Corpsdetexte"/>
        <w:tabs>
          <w:tab w:val="clear" w:pos="0"/>
        </w:tabs>
        <w:spacing w:line="360" w:lineRule="auto"/>
        <w:rPr>
          <w:rFonts w:ascii="Arial" w:hAnsi="Arial" w:cs="Arial"/>
          <w:sz w:val="22"/>
          <w:szCs w:val="22"/>
          <w:u w:val="single"/>
        </w:rPr>
      </w:pPr>
      <w:proofErr w:type="gramStart"/>
      <w:r w:rsidRPr="00543803">
        <w:rPr>
          <w:rFonts w:ascii="Arial" w:hAnsi="Arial" w:cs="Arial"/>
          <w:sz w:val="24"/>
          <w:szCs w:val="24"/>
        </w:rPr>
        <w:t>sobre</w:t>
      </w:r>
      <w:proofErr w:type="gramEnd"/>
      <w:r w:rsidRPr="00543803">
        <w:rPr>
          <w:rFonts w:ascii="Arial" w:hAnsi="Arial" w:cs="Arial"/>
          <w:sz w:val="24"/>
          <w:szCs w:val="24"/>
        </w:rPr>
        <w:t xml:space="preserve"> la procedencia de la acción, al consagrar en el inciso 3° que  </w:t>
      </w:r>
      <w:r w:rsidRPr="00543803">
        <w:rPr>
          <w:rFonts w:ascii="Arial" w:hAnsi="Arial" w:cs="Arial"/>
          <w:i/>
          <w:sz w:val="22"/>
          <w:szCs w:val="22"/>
        </w:rPr>
        <w:t xml:space="preserve">“(…) </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sidRPr="00543803">
        <w:rPr>
          <w:rFonts w:ascii="Arial" w:hAnsi="Arial" w:cs="Arial"/>
          <w:i/>
          <w:sz w:val="22"/>
          <w:szCs w:val="22"/>
        </w:rPr>
        <w:t xml:space="preserve"> (…)”</w:t>
      </w:r>
      <w:r>
        <w:rPr>
          <w:rFonts w:ascii="Arial" w:hAnsi="Arial" w:cs="Arial"/>
          <w:sz w:val="22"/>
          <w:szCs w:val="22"/>
          <w:u w:val="single"/>
        </w:rPr>
        <w:t xml:space="preserve"> </w:t>
      </w:r>
    </w:p>
    <w:p w:rsidR="003403A0" w:rsidRPr="00A8313B" w:rsidRDefault="003403A0" w:rsidP="003403A0">
      <w:pPr>
        <w:pStyle w:val="Corpsdetexte"/>
        <w:tabs>
          <w:tab w:val="clear" w:pos="0"/>
        </w:tabs>
        <w:spacing w:line="360" w:lineRule="auto"/>
        <w:rPr>
          <w:rFonts w:ascii="Arial" w:hAnsi="Arial" w:cs="Arial"/>
          <w:szCs w:val="22"/>
          <w:u w:val="single"/>
        </w:rPr>
      </w:pPr>
    </w:p>
    <w:p w:rsidR="003403A0" w:rsidRDefault="003403A0" w:rsidP="003403A0">
      <w:pPr>
        <w:pStyle w:val="Corpsdetexte"/>
        <w:tabs>
          <w:tab w:val="clear" w:pos="0"/>
        </w:tabs>
        <w:spacing w:line="360" w:lineRule="auto"/>
        <w:rPr>
          <w:rFonts w:ascii="Arial" w:hAnsi="Arial" w:cs="Arial"/>
          <w:i/>
          <w:sz w:val="22"/>
          <w:szCs w:val="22"/>
        </w:rPr>
      </w:pPr>
      <w:r w:rsidRPr="00E571D4">
        <w:rPr>
          <w:rFonts w:ascii="Arial" w:hAnsi="Arial" w:cs="Arial"/>
          <w:sz w:val="24"/>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E571D4">
        <w:rPr>
          <w:rFonts w:ascii="Arial" w:hAnsi="Arial" w:cs="Arial"/>
          <w:i/>
          <w:sz w:val="24"/>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18"/>
      </w:r>
      <w:r>
        <w:rPr>
          <w:rFonts w:ascii="Arial" w:hAnsi="Arial" w:cs="Arial"/>
          <w:i/>
          <w:sz w:val="22"/>
          <w:szCs w:val="22"/>
        </w:rPr>
        <w:t>.</w:t>
      </w:r>
    </w:p>
    <w:p w:rsidR="003403A0" w:rsidRPr="00A8313B" w:rsidRDefault="003403A0" w:rsidP="003403A0">
      <w:pPr>
        <w:widowControl/>
        <w:spacing w:line="360" w:lineRule="auto"/>
        <w:jc w:val="both"/>
        <w:rPr>
          <w:rFonts w:ascii="Arial" w:hAnsi="Arial" w:cs="Arial"/>
          <w:szCs w:val="22"/>
          <w:lang w:val="es-ES_tradnl"/>
        </w:rPr>
      </w:pPr>
    </w:p>
    <w:p w:rsidR="003403A0" w:rsidRDefault="003403A0" w:rsidP="003403A0">
      <w:pPr>
        <w:pStyle w:val="Corpsdetexte"/>
        <w:tabs>
          <w:tab w:val="clear" w:pos="0"/>
        </w:tabs>
        <w:spacing w:line="360" w:lineRule="auto"/>
        <w:rPr>
          <w:rFonts w:ascii="Arial" w:hAnsi="Arial" w:cs="Arial"/>
        </w:rPr>
      </w:pPr>
      <w:r w:rsidRPr="00E571D4">
        <w:rPr>
          <w:rFonts w:ascii="Arial" w:hAnsi="Arial" w:cs="Arial"/>
          <w:sz w:val="24"/>
          <w:szCs w:val="24"/>
        </w:rPr>
        <w:t>Conforme a lo sostenido por la CC</w:t>
      </w:r>
      <w:r w:rsidRPr="00E571D4">
        <w:rPr>
          <w:rStyle w:val="Appelnotedebasdep"/>
          <w:rFonts w:ascii="Arial" w:hAnsi="Arial"/>
          <w:color w:val="000000"/>
          <w:sz w:val="24"/>
          <w:shd w:val="clear" w:color="auto" w:fill="FFFFFF"/>
        </w:rPr>
        <w:footnoteReference w:id="19"/>
      </w:r>
      <w:r w:rsidRPr="00E571D4">
        <w:rPr>
          <w:rFonts w:ascii="Arial" w:hAnsi="Arial" w:cs="Arial"/>
          <w:sz w:val="24"/>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E571D4">
        <w:rPr>
          <w:rFonts w:ascii="Arial" w:hAnsi="Arial" w:cs="Arial"/>
          <w:sz w:val="24"/>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 (…)”</w:t>
      </w:r>
      <w:r>
        <w:rPr>
          <w:rStyle w:val="Appelnotedebasdep"/>
          <w:rFonts w:ascii="Arial" w:hAnsi="Arial" w:cs="Arial"/>
          <w:sz w:val="22"/>
          <w:szCs w:val="22"/>
        </w:rPr>
        <w:footnoteReference w:id="20"/>
      </w:r>
      <w:r>
        <w:rPr>
          <w:rFonts w:ascii="Arial" w:hAnsi="Arial" w:cs="Arial"/>
          <w:sz w:val="22"/>
          <w:szCs w:val="22"/>
        </w:rPr>
        <w:t>.</w:t>
      </w:r>
      <w:r>
        <w:rPr>
          <w:rFonts w:ascii="Arial" w:hAnsi="Arial" w:cs="Arial"/>
          <w:szCs w:val="24"/>
        </w:rPr>
        <w:t xml:space="preserve"> </w:t>
      </w:r>
      <w:r w:rsidRPr="00E571D4">
        <w:rPr>
          <w:rFonts w:ascii="Arial" w:hAnsi="Arial" w:cs="Arial"/>
          <w:sz w:val="24"/>
          <w:szCs w:val="24"/>
        </w:rPr>
        <w:t>Además, ha sido reiterativa en su criterio</w:t>
      </w:r>
      <w:r w:rsidRPr="00E571D4">
        <w:rPr>
          <w:rStyle w:val="Appelnotedebasdep"/>
          <w:rFonts w:ascii="Arial" w:hAnsi="Arial"/>
          <w:sz w:val="24"/>
          <w:szCs w:val="24"/>
        </w:rPr>
        <w:footnoteReference w:id="21"/>
      </w:r>
      <w:r w:rsidRPr="00E571D4">
        <w:rPr>
          <w:rFonts w:ascii="Arial" w:hAnsi="Arial" w:cs="Arial"/>
          <w:sz w:val="24"/>
          <w:szCs w:val="24"/>
        </w:rPr>
        <w:t>.</w:t>
      </w:r>
      <w:r w:rsidRPr="00E571D4">
        <w:rPr>
          <w:rFonts w:ascii="Arial" w:hAnsi="Arial" w:cs="Arial"/>
          <w:sz w:val="24"/>
        </w:rPr>
        <w:t>También la CSJ se ha referido al tema</w:t>
      </w:r>
      <w:r w:rsidRPr="00E571D4">
        <w:rPr>
          <w:rStyle w:val="Appelnotedebasdep"/>
          <w:rFonts w:ascii="Arial" w:hAnsi="Arial" w:cs="Arial"/>
          <w:sz w:val="24"/>
        </w:rPr>
        <w:footnoteReference w:id="22"/>
      </w:r>
      <w:r w:rsidRPr="00E571D4">
        <w:rPr>
          <w:rFonts w:ascii="Arial" w:hAnsi="Arial" w:cs="Arial"/>
          <w:sz w:val="24"/>
        </w:rPr>
        <w:t xml:space="preserve">, </w:t>
      </w:r>
      <w:proofErr w:type="spellStart"/>
      <w:r w:rsidRPr="00E571D4">
        <w:rPr>
          <w:rFonts w:ascii="Arial" w:hAnsi="Arial" w:cs="Arial"/>
          <w:sz w:val="24"/>
        </w:rPr>
        <w:t>prohija</w:t>
      </w:r>
      <w:proofErr w:type="spellEnd"/>
      <w:r w:rsidRPr="00E571D4">
        <w:rPr>
          <w:rFonts w:ascii="Arial" w:hAnsi="Arial" w:cs="Arial"/>
          <w:sz w:val="24"/>
        </w:rPr>
        <w:t xml:space="preserve"> la improcedencia de la tutela por aplicación del principio de subsidiariedad.</w:t>
      </w:r>
    </w:p>
    <w:p w:rsidR="003403A0" w:rsidRPr="004C6ED5" w:rsidRDefault="003403A0" w:rsidP="003403A0">
      <w:pPr>
        <w:spacing w:line="360" w:lineRule="auto"/>
        <w:ind w:right="51"/>
        <w:jc w:val="both"/>
        <w:rPr>
          <w:rFonts w:ascii="Arial" w:hAnsi="Arial" w:cs="Arial"/>
          <w:sz w:val="28"/>
          <w:lang w:val="es-CO"/>
        </w:rPr>
      </w:pPr>
    </w:p>
    <w:p w:rsidR="00283803" w:rsidRDefault="00283803" w:rsidP="008B10CC">
      <w:pPr>
        <w:pStyle w:val="Corpsdetexte"/>
        <w:widowControl w:val="0"/>
        <w:numPr>
          <w:ilvl w:val="0"/>
          <w:numId w:val="4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szCs w:val="24"/>
        </w:rPr>
      </w:pPr>
      <w:r w:rsidRPr="00283803">
        <w:rPr>
          <w:rFonts w:ascii="Arial" w:hAnsi="Arial" w:cs="Arial"/>
          <w:sz w:val="24"/>
          <w:szCs w:val="24"/>
        </w:rPr>
        <w:lastRenderedPageBreak/>
        <w:t>EL CASO CONCRETO QUE SE ANALIZA</w:t>
      </w:r>
    </w:p>
    <w:p w:rsidR="008B10CC" w:rsidRPr="00283803" w:rsidRDefault="008B10CC" w:rsidP="008B10CC">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90"/>
        <w:rPr>
          <w:rFonts w:ascii="Arial" w:hAnsi="Arial" w:cs="Arial"/>
          <w:sz w:val="24"/>
          <w:szCs w:val="24"/>
        </w:rPr>
      </w:pPr>
    </w:p>
    <w:p w:rsidR="003403A0" w:rsidRDefault="003403A0" w:rsidP="003403A0">
      <w:pPr>
        <w:spacing w:line="360" w:lineRule="auto"/>
        <w:jc w:val="both"/>
        <w:rPr>
          <w:rFonts w:ascii="Arial" w:hAnsi="Arial" w:cs="Arial"/>
          <w:lang w:val="es-ES_tradnl"/>
        </w:rPr>
      </w:pPr>
      <w:r w:rsidRPr="00570352">
        <w:rPr>
          <w:rFonts w:ascii="Arial" w:hAnsi="Arial"/>
          <w:lang w:val="es-ES_tradnl"/>
        </w:rPr>
        <w:t xml:space="preserve">Partiendo </w:t>
      </w:r>
      <w:r>
        <w:rPr>
          <w:rFonts w:ascii="Arial" w:hAnsi="Arial"/>
          <w:lang w:val="es-ES_tradnl"/>
        </w:rPr>
        <w:t xml:space="preserve">entonces </w:t>
      </w:r>
      <w:r w:rsidRPr="00570352">
        <w:rPr>
          <w:rFonts w:ascii="Arial" w:hAnsi="Arial"/>
          <w:lang w:val="es-ES_tradnl"/>
        </w:rPr>
        <w:t xml:space="preserve">de las premisas jurídicas anotadas, </w:t>
      </w:r>
      <w:r>
        <w:rPr>
          <w:rFonts w:ascii="Arial" w:hAnsi="Arial"/>
          <w:lang w:val="es-ES_tradnl"/>
        </w:rPr>
        <w:t xml:space="preserve">se confirmará la </w:t>
      </w:r>
      <w:r w:rsidRPr="00570352">
        <w:rPr>
          <w:rFonts w:ascii="Arial" w:hAnsi="Arial"/>
          <w:lang w:val="es-ES_tradnl"/>
        </w:rPr>
        <w:t xml:space="preserve">sentencia </w:t>
      </w:r>
      <w:r>
        <w:rPr>
          <w:rFonts w:ascii="Arial" w:hAnsi="Arial"/>
          <w:lang w:val="es-ES_tradnl"/>
        </w:rPr>
        <w:t xml:space="preserve">opugnada por el manifiesto fracaso de las pretensiones, pero con la modificación en su resolutiva para declarar improcedente la tutela, en lugar de negarla por improcedente, pues se advierten incumplidos los requisitos generales de procedibilidad de inmediatez y subsidiariedad. De tal manera que es innecesario analizar los </w:t>
      </w:r>
      <w:r w:rsidRPr="003E0E8A">
        <w:rPr>
          <w:rFonts w:ascii="Arial" w:hAnsi="Arial" w:cs="Arial"/>
          <w:lang w:val="es-ES_tradnl"/>
        </w:rPr>
        <w:t>especiales</w:t>
      </w:r>
      <w:r>
        <w:rPr>
          <w:rFonts w:ascii="Arial" w:hAnsi="Arial" w:cs="Arial"/>
          <w:lang w:val="es-ES_tradnl"/>
        </w:rPr>
        <w:t>.</w:t>
      </w:r>
    </w:p>
    <w:p w:rsidR="003403A0" w:rsidRPr="00602EB1" w:rsidRDefault="003403A0" w:rsidP="003403A0">
      <w:pPr>
        <w:spacing w:line="360" w:lineRule="auto"/>
        <w:jc w:val="both"/>
        <w:rPr>
          <w:rFonts w:ascii="Arial" w:hAnsi="Arial"/>
          <w:sz w:val="22"/>
          <w:lang w:val="es-ES_tradnl"/>
        </w:rPr>
      </w:pPr>
    </w:p>
    <w:p w:rsidR="003403A0" w:rsidRPr="00E571D4" w:rsidRDefault="003403A0" w:rsidP="003403A0">
      <w:pPr>
        <w:pStyle w:val="Paragraphedeliste"/>
        <w:numPr>
          <w:ilvl w:val="1"/>
          <w:numId w:val="45"/>
        </w:numPr>
        <w:spacing w:after="0" w:line="360" w:lineRule="auto"/>
        <w:jc w:val="both"/>
        <w:rPr>
          <w:rFonts w:ascii="Arial" w:hAnsi="Arial" w:cs="Arial"/>
          <w:sz w:val="24"/>
          <w:lang w:val="es-ES_tradnl"/>
        </w:rPr>
      </w:pPr>
      <w:r w:rsidRPr="00E571D4">
        <w:rPr>
          <w:rFonts w:ascii="Arial" w:hAnsi="Arial" w:cs="Arial"/>
          <w:smallCaps/>
          <w:sz w:val="24"/>
          <w:lang w:val="es-ES_tradnl"/>
        </w:rPr>
        <w:t>La inmediatez</w:t>
      </w:r>
      <w:r w:rsidRPr="00E571D4">
        <w:rPr>
          <w:rFonts w:ascii="Arial" w:hAnsi="Arial" w:cs="Arial"/>
          <w:sz w:val="24"/>
          <w:lang w:val="es-ES_tradnl"/>
        </w:rPr>
        <w:t xml:space="preserve"> </w:t>
      </w:r>
    </w:p>
    <w:p w:rsidR="0027495F" w:rsidRPr="00602EB1" w:rsidRDefault="0027495F" w:rsidP="008B10CC">
      <w:pPr>
        <w:spacing w:line="360" w:lineRule="auto"/>
        <w:jc w:val="both"/>
        <w:rPr>
          <w:rFonts w:ascii="Arial" w:hAnsi="Arial" w:cs="Arial"/>
          <w:sz w:val="22"/>
        </w:rPr>
      </w:pPr>
    </w:p>
    <w:p w:rsidR="00B81415" w:rsidRDefault="00882EA4" w:rsidP="008B10CC">
      <w:pPr>
        <w:spacing w:line="360" w:lineRule="auto"/>
        <w:jc w:val="both"/>
        <w:rPr>
          <w:rFonts w:ascii="Arial" w:hAnsi="Arial" w:cs="Arial"/>
        </w:rPr>
      </w:pPr>
      <w:r>
        <w:rPr>
          <w:rFonts w:ascii="Arial" w:hAnsi="Arial" w:cs="Arial"/>
        </w:rPr>
        <w:t xml:space="preserve">De acuerdo con el petitorio de tutela el actor fue notificado </w:t>
      </w:r>
      <w:r w:rsidR="00FF6885">
        <w:rPr>
          <w:rFonts w:ascii="Arial" w:hAnsi="Arial" w:cs="Arial"/>
        </w:rPr>
        <w:t>el 04-05-</w:t>
      </w:r>
      <w:r w:rsidR="001853D4">
        <w:rPr>
          <w:rFonts w:ascii="Arial" w:hAnsi="Arial" w:cs="Arial"/>
        </w:rPr>
        <w:t>2015</w:t>
      </w:r>
      <w:r w:rsidR="00FF6885">
        <w:rPr>
          <w:rFonts w:ascii="Arial" w:hAnsi="Arial" w:cs="Arial"/>
        </w:rPr>
        <w:t xml:space="preserve"> del mandamiento de pago dictado en el proceso ejecutivo No.2014-00555-00</w:t>
      </w:r>
      <w:r w:rsidR="00C53DF6">
        <w:rPr>
          <w:rFonts w:ascii="Arial" w:hAnsi="Arial" w:cs="Arial"/>
        </w:rPr>
        <w:t xml:space="preserve"> (Folios 1 y 2</w:t>
      </w:r>
      <w:r w:rsidR="0020712D">
        <w:rPr>
          <w:rFonts w:ascii="Arial" w:hAnsi="Arial" w:cs="Arial"/>
        </w:rPr>
        <w:t>,</w:t>
      </w:r>
      <w:r w:rsidR="00C53DF6">
        <w:rPr>
          <w:rFonts w:ascii="Arial" w:hAnsi="Arial" w:cs="Arial"/>
        </w:rPr>
        <w:t xml:space="preserve"> ib.)</w:t>
      </w:r>
      <w:r w:rsidR="0020712D">
        <w:rPr>
          <w:rFonts w:ascii="Arial" w:hAnsi="Arial" w:cs="Arial"/>
        </w:rPr>
        <w:t xml:space="preserve"> </w:t>
      </w:r>
      <w:r w:rsidR="00F036BE">
        <w:rPr>
          <w:rFonts w:ascii="Arial" w:hAnsi="Arial" w:cs="Arial"/>
        </w:rPr>
        <w:t xml:space="preserve">lo que implica </w:t>
      </w:r>
      <w:r>
        <w:rPr>
          <w:rFonts w:ascii="Arial" w:hAnsi="Arial" w:cs="Arial"/>
        </w:rPr>
        <w:t xml:space="preserve">sin lugar a dudas, </w:t>
      </w:r>
      <w:r w:rsidR="00F036BE">
        <w:rPr>
          <w:rFonts w:ascii="Arial" w:hAnsi="Arial" w:cs="Arial"/>
        </w:rPr>
        <w:t xml:space="preserve">que </w:t>
      </w:r>
      <w:r>
        <w:rPr>
          <w:rFonts w:ascii="Arial" w:hAnsi="Arial" w:cs="Arial"/>
        </w:rPr>
        <w:t xml:space="preserve">el amparo </w:t>
      </w:r>
      <w:r w:rsidR="00F036BE">
        <w:rPr>
          <w:rFonts w:ascii="Arial" w:hAnsi="Arial" w:cs="Arial"/>
        </w:rPr>
        <w:t>carece de inmediatez</w:t>
      </w:r>
      <w:r>
        <w:rPr>
          <w:rFonts w:ascii="Arial" w:hAnsi="Arial" w:cs="Arial"/>
        </w:rPr>
        <w:t xml:space="preserve">; en efecto, </w:t>
      </w:r>
      <w:r w:rsidR="00F036BE">
        <w:rPr>
          <w:rFonts w:ascii="Arial" w:hAnsi="Arial" w:cs="Arial"/>
        </w:rPr>
        <w:t xml:space="preserve">su </w:t>
      </w:r>
      <w:r w:rsidR="00E1389E">
        <w:rPr>
          <w:rFonts w:ascii="Arial" w:hAnsi="Arial" w:cs="Arial"/>
        </w:rPr>
        <w:t xml:space="preserve">presentación </w:t>
      </w:r>
      <w:r w:rsidR="00B81415">
        <w:rPr>
          <w:rFonts w:ascii="Arial" w:hAnsi="Arial" w:cs="Arial"/>
        </w:rPr>
        <w:t>desbord</w:t>
      </w:r>
      <w:r>
        <w:rPr>
          <w:rFonts w:ascii="Arial" w:hAnsi="Arial" w:cs="Arial"/>
        </w:rPr>
        <w:t>ó</w:t>
      </w:r>
      <w:r w:rsidR="00B81415">
        <w:rPr>
          <w:rFonts w:ascii="Arial" w:hAnsi="Arial" w:cs="Arial"/>
        </w:rPr>
        <w:t xml:space="preserve"> el plazo de los </w:t>
      </w:r>
      <w:r>
        <w:rPr>
          <w:rFonts w:ascii="Arial" w:hAnsi="Arial" w:cs="Arial"/>
        </w:rPr>
        <w:t>seis (</w:t>
      </w:r>
      <w:r w:rsidR="00B81415">
        <w:rPr>
          <w:rFonts w:ascii="Arial" w:hAnsi="Arial" w:cs="Arial"/>
        </w:rPr>
        <w:t>6</w:t>
      </w:r>
      <w:r>
        <w:rPr>
          <w:rFonts w:ascii="Arial" w:hAnsi="Arial" w:cs="Arial"/>
        </w:rPr>
        <w:t>)</w:t>
      </w:r>
      <w:r w:rsidR="00B81415">
        <w:rPr>
          <w:rFonts w:ascii="Arial" w:hAnsi="Arial" w:cs="Arial"/>
        </w:rPr>
        <w:t xml:space="preserve"> meses fijado por la jurisprudencia</w:t>
      </w:r>
      <w:r w:rsidR="004916BD">
        <w:rPr>
          <w:rStyle w:val="Appelnotedebasdep"/>
          <w:rFonts w:ascii="Arial" w:hAnsi="Arial"/>
        </w:rPr>
        <w:footnoteReference w:id="23"/>
      </w:r>
      <w:r w:rsidR="004916BD">
        <w:rPr>
          <w:rFonts w:ascii="Arial" w:hAnsi="Arial" w:cs="Arial"/>
        </w:rPr>
        <w:t>,</w:t>
      </w:r>
      <w:r w:rsidR="00B81415">
        <w:rPr>
          <w:rFonts w:ascii="Arial" w:hAnsi="Arial" w:cs="Arial"/>
        </w:rPr>
        <w:t xml:space="preserve"> </w:t>
      </w:r>
      <w:r w:rsidR="00E1389E">
        <w:rPr>
          <w:rFonts w:ascii="Arial" w:hAnsi="Arial" w:cs="Arial"/>
        </w:rPr>
        <w:t xml:space="preserve">como </w:t>
      </w:r>
      <w:r w:rsidR="00B81415">
        <w:rPr>
          <w:rFonts w:ascii="Arial" w:hAnsi="Arial" w:cs="Arial"/>
        </w:rPr>
        <w:t xml:space="preserve">razonable para </w:t>
      </w:r>
      <w:r w:rsidR="00E1389E">
        <w:rPr>
          <w:rFonts w:ascii="Arial" w:hAnsi="Arial" w:cs="Arial"/>
        </w:rPr>
        <w:t>hacerlo, pues</w:t>
      </w:r>
      <w:r>
        <w:rPr>
          <w:rFonts w:ascii="Arial" w:hAnsi="Arial" w:cs="Arial"/>
        </w:rPr>
        <w:t xml:space="preserve"> </w:t>
      </w:r>
      <w:r w:rsidR="004916BD">
        <w:rPr>
          <w:rFonts w:ascii="Arial" w:hAnsi="Arial" w:cs="Arial"/>
        </w:rPr>
        <w:t xml:space="preserve">han transcurrido aproximadamente </w:t>
      </w:r>
      <w:r w:rsidR="00C53DF6">
        <w:rPr>
          <w:rFonts w:ascii="Arial" w:hAnsi="Arial" w:cs="Arial"/>
        </w:rPr>
        <w:t>un (1) año y diez (10)</w:t>
      </w:r>
      <w:r w:rsidR="00C53DF6">
        <w:rPr>
          <w:rFonts w:ascii="Arial" w:hAnsi="Arial" w:cs="Arial"/>
          <w:lang w:val="es-CO"/>
        </w:rPr>
        <w:t xml:space="preserve"> meses </w:t>
      </w:r>
      <w:r w:rsidR="0023058C">
        <w:rPr>
          <w:rFonts w:ascii="Arial" w:hAnsi="Arial" w:cs="Arial"/>
        </w:rPr>
        <w:t xml:space="preserve">al día de su </w:t>
      </w:r>
      <w:r w:rsidR="00E1389E">
        <w:rPr>
          <w:rFonts w:ascii="Arial" w:hAnsi="Arial" w:cs="Arial"/>
        </w:rPr>
        <w:t xml:space="preserve">radicación </w:t>
      </w:r>
      <w:r w:rsidR="0023058C">
        <w:rPr>
          <w:rFonts w:ascii="Arial" w:hAnsi="Arial" w:cs="Arial"/>
        </w:rPr>
        <w:t>(</w:t>
      </w:r>
      <w:r w:rsidR="00C53DF6">
        <w:rPr>
          <w:rFonts w:ascii="Arial" w:hAnsi="Arial" w:cs="Arial"/>
        </w:rPr>
        <w:t>24-03-2017</w:t>
      </w:r>
      <w:r w:rsidR="0023058C">
        <w:rPr>
          <w:rFonts w:ascii="Arial" w:hAnsi="Arial" w:cs="Arial"/>
        </w:rPr>
        <w:t>)</w:t>
      </w:r>
      <w:r w:rsidR="004916BD">
        <w:rPr>
          <w:rFonts w:ascii="Arial" w:hAnsi="Arial" w:cs="Arial"/>
        </w:rPr>
        <w:t>.</w:t>
      </w:r>
      <w:r w:rsidR="00B81415">
        <w:rPr>
          <w:rFonts w:ascii="Arial" w:hAnsi="Arial" w:cs="Arial"/>
        </w:rPr>
        <w:t xml:space="preserve"> </w:t>
      </w:r>
    </w:p>
    <w:p w:rsidR="00882EA4" w:rsidRDefault="00882EA4" w:rsidP="008B10CC">
      <w:pPr>
        <w:spacing w:line="360" w:lineRule="auto"/>
        <w:jc w:val="both"/>
        <w:rPr>
          <w:rFonts w:ascii="Arial" w:hAnsi="Arial" w:cs="Arial"/>
        </w:rPr>
      </w:pPr>
    </w:p>
    <w:p w:rsidR="00882EA4" w:rsidRDefault="00882EA4" w:rsidP="008B10CC">
      <w:pPr>
        <w:spacing w:line="360" w:lineRule="auto"/>
        <w:jc w:val="both"/>
        <w:rPr>
          <w:rFonts w:ascii="Arial" w:hAnsi="Arial" w:cs="Arial"/>
        </w:rPr>
      </w:pPr>
      <w:r>
        <w:rPr>
          <w:rFonts w:ascii="Arial" w:hAnsi="Arial" w:cs="Arial"/>
        </w:rPr>
        <w:t>Inclusive, si se contabilizara aquel plazo desde la decisión que puso fin al proceso</w:t>
      </w:r>
      <w:r w:rsidR="00E1389E">
        <w:rPr>
          <w:rFonts w:ascii="Arial" w:hAnsi="Arial" w:cs="Arial"/>
        </w:rPr>
        <w:t xml:space="preserve"> (</w:t>
      </w:r>
      <w:r w:rsidR="00C53DF6">
        <w:rPr>
          <w:rFonts w:ascii="Arial" w:hAnsi="Arial" w:cs="Arial"/>
        </w:rPr>
        <w:t>21-10-2015</w:t>
      </w:r>
      <w:r w:rsidR="00E1389E">
        <w:rPr>
          <w:rFonts w:ascii="Arial" w:hAnsi="Arial" w:cs="Arial"/>
        </w:rPr>
        <w:t xml:space="preserve">) (Folios </w:t>
      </w:r>
      <w:r w:rsidR="00C53DF6">
        <w:rPr>
          <w:rFonts w:ascii="Arial" w:hAnsi="Arial" w:cs="Arial"/>
        </w:rPr>
        <w:t>8 a 11</w:t>
      </w:r>
      <w:r w:rsidR="00E1389E">
        <w:rPr>
          <w:rFonts w:ascii="Arial" w:hAnsi="Arial" w:cs="Arial"/>
        </w:rPr>
        <w:t xml:space="preserve">, </w:t>
      </w:r>
      <w:r w:rsidR="00C53DF6">
        <w:rPr>
          <w:rFonts w:ascii="Arial" w:hAnsi="Arial" w:cs="Arial"/>
        </w:rPr>
        <w:t>ib.</w:t>
      </w:r>
      <w:r w:rsidR="00E1389E">
        <w:rPr>
          <w:rFonts w:ascii="Arial" w:hAnsi="Arial" w:cs="Arial"/>
        </w:rPr>
        <w:t>)</w:t>
      </w:r>
      <w:r>
        <w:rPr>
          <w:rFonts w:ascii="Arial" w:hAnsi="Arial" w:cs="Arial"/>
        </w:rPr>
        <w:t>, pues la queja de la indebida noti</w:t>
      </w:r>
      <w:r w:rsidR="00C23B4E">
        <w:rPr>
          <w:rFonts w:ascii="Arial" w:hAnsi="Arial" w:cs="Arial"/>
        </w:rPr>
        <w:t>ficación tiende a que se declare</w:t>
      </w:r>
      <w:r>
        <w:rPr>
          <w:rFonts w:ascii="Arial" w:hAnsi="Arial" w:cs="Arial"/>
        </w:rPr>
        <w:t xml:space="preserve"> su nulidad, también se incumple con el requisito</w:t>
      </w:r>
      <w:r w:rsidR="00E1389E">
        <w:rPr>
          <w:rFonts w:ascii="Arial" w:hAnsi="Arial" w:cs="Arial"/>
        </w:rPr>
        <w:t xml:space="preserve"> (Ha pasado un (1) año</w:t>
      </w:r>
      <w:r w:rsidR="00C53DF6">
        <w:rPr>
          <w:rFonts w:ascii="Arial" w:hAnsi="Arial" w:cs="Arial"/>
        </w:rPr>
        <w:t xml:space="preserve"> y cinco (5) meses</w:t>
      </w:r>
      <w:r w:rsidR="00E1389E">
        <w:rPr>
          <w:rFonts w:ascii="Arial" w:hAnsi="Arial" w:cs="Arial"/>
        </w:rPr>
        <w:t xml:space="preserve">). </w:t>
      </w:r>
    </w:p>
    <w:p w:rsidR="006A141C" w:rsidRPr="00602EB1" w:rsidRDefault="006A141C" w:rsidP="00B81415">
      <w:pPr>
        <w:spacing w:line="360" w:lineRule="auto"/>
        <w:jc w:val="both"/>
        <w:rPr>
          <w:rFonts w:ascii="Arial" w:hAnsi="Arial" w:cs="Arial"/>
          <w:sz w:val="22"/>
        </w:rPr>
      </w:pPr>
    </w:p>
    <w:p w:rsidR="00826F86" w:rsidRDefault="0023058C" w:rsidP="00B81415">
      <w:pPr>
        <w:spacing w:line="360" w:lineRule="auto"/>
        <w:jc w:val="both"/>
        <w:rPr>
          <w:rFonts w:ascii="Arial" w:hAnsi="Arial" w:cs="Arial"/>
        </w:rPr>
      </w:pPr>
      <w:r>
        <w:rPr>
          <w:rFonts w:ascii="Arial" w:hAnsi="Arial" w:cs="Arial"/>
        </w:rPr>
        <w:t>E</w:t>
      </w:r>
      <w:r w:rsidR="00B81415">
        <w:rPr>
          <w:rFonts w:ascii="Arial" w:hAnsi="Arial" w:cs="Arial"/>
        </w:rPr>
        <w:t xml:space="preserve">s cierto que conforme a la doctrina, el juez de la causa debe tener flexibilidad en la aplicación de este principio, pero a ese </w:t>
      </w:r>
      <w:r w:rsidR="00B81415">
        <w:rPr>
          <w:rFonts w:ascii="Arial" w:hAnsi="Arial" w:cs="Arial"/>
          <w:lang w:val="es-ES_tradnl"/>
        </w:rPr>
        <w:t xml:space="preserve">tenor, se debe </w:t>
      </w:r>
      <w:r w:rsidR="00B81415" w:rsidRPr="008B0539">
        <w:rPr>
          <w:rFonts w:ascii="Arial" w:hAnsi="Arial" w:cs="Arial"/>
        </w:rPr>
        <w:t>proba</w:t>
      </w:r>
      <w:r w:rsidR="00B81415">
        <w:rPr>
          <w:rFonts w:ascii="Arial" w:hAnsi="Arial" w:cs="Arial"/>
        </w:rPr>
        <w:t>r</w:t>
      </w:r>
      <w:r w:rsidR="00B81415" w:rsidRPr="008B0539">
        <w:rPr>
          <w:rFonts w:ascii="Arial" w:hAnsi="Arial" w:cs="Arial"/>
        </w:rPr>
        <w:t xml:space="preserve"> que medi</w:t>
      </w:r>
      <w:r w:rsidR="00B81415">
        <w:rPr>
          <w:rFonts w:ascii="Arial" w:hAnsi="Arial" w:cs="Arial"/>
        </w:rPr>
        <w:t>ó</w:t>
      </w:r>
      <w:r w:rsidR="00B81415" w:rsidRPr="008B0539">
        <w:rPr>
          <w:rFonts w:ascii="Arial" w:hAnsi="Arial" w:cs="Arial"/>
        </w:rPr>
        <w:t xml:space="preserve"> causa alguna de fuerza mayor o caso fortuito que </w:t>
      </w:r>
      <w:r w:rsidR="00C53DF6">
        <w:rPr>
          <w:rFonts w:ascii="Arial" w:hAnsi="Arial" w:cs="Arial"/>
        </w:rPr>
        <w:t xml:space="preserve">le </w:t>
      </w:r>
      <w:r w:rsidR="00B81415" w:rsidRPr="008B0539">
        <w:rPr>
          <w:rFonts w:ascii="Arial" w:hAnsi="Arial" w:cs="Arial"/>
        </w:rPr>
        <w:t>impidiera gestionar su defensa</w:t>
      </w:r>
      <w:r w:rsidR="00B81415">
        <w:rPr>
          <w:rFonts w:ascii="Arial" w:hAnsi="Arial" w:cs="Arial"/>
        </w:rPr>
        <w:t xml:space="preserve"> a través de esta acción</w:t>
      </w:r>
      <w:r w:rsidR="00B81415" w:rsidRPr="008B0539">
        <w:rPr>
          <w:rFonts w:ascii="Arial" w:hAnsi="Arial" w:cs="Arial"/>
        </w:rPr>
        <w:t xml:space="preserve"> con mayor celeridad</w:t>
      </w:r>
      <w:r w:rsidR="008B10CC">
        <w:rPr>
          <w:rFonts w:ascii="Arial" w:hAnsi="Arial" w:cs="Arial"/>
        </w:rPr>
        <w:t>,</w:t>
      </w:r>
      <w:r w:rsidR="00B81415" w:rsidRPr="008B0539">
        <w:rPr>
          <w:rFonts w:ascii="Arial" w:hAnsi="Arial" w:cs="Arial"/>
        </w:rPr>
        <w:t xml:space="preserve"> sin desconocer</w:t>
      </w:r>
      <w:r w:rsidR="00B81415">
        <w:rPr>
          <w:rFonts w:ascii="Arial" w:hAnsi="Arial" w:cs="Arial"/>
        </w:rPr>
        <w:t xml:space="preserve"> la inmediatez</w:t>
      </w:r>
      <w:r>
        <w:rPr>
          <w:rFonts w:ascii="Arial" w:hAnsi="Arial" w:cs="Arial"/>
        </w:rPr>
        <w:t xml:space="preserve">. </w:t>
      </w:r>
    </w:p>
    <w:p w:rsidR="00826F86" w:rsidRPr="00602EB1" w:rsidRDefault="00826F86" w:rsidP="00B81415">
      <w:pPr>
        <w:spacing w:line="360" w:lineRule="auto"/>
        <w:jc w:val="both"/>
        <w:rPr>
          <w:rFonts w:ascii="Arial" w:hAnsi="Arial" w:cs="Arial"/>
          <w:sz w:val="22"/>
        </w:rPr>
      </w:pPr>
    </w:p>
    <w:p w:rsidR="0017214E" w:rsidRDefault="0023058C" w:rsidP="00B81415">
      <w:pPr>
        <w:spacing w:line="360" w:lineRule="auto"/>
        <w:jc w:val="both"/>
        <w:rPr>
          <w:rFonts w:ascii="Arial" w:hAnsi="Arial" w:cs="Arial"/>
        </w:rPr>
      </w:pPr>
      <w:r>
        <w:rPr>
          <w:rFonts w:ascii="Arial" w:hAnsi="Arial" w:cs="Arial"/>
        </w:rPr>
        <w:t xml:space="preserve">Se arguye </w:t>
      </w:r>
      <w:r w:rsidR="00E1389E">
        <w:rPr>
          <w:rFonts w:ascii="Arial" w:hAnsi="Arial" w:cs="Arial"/>
        </w:rPr>
        <w:t xml:space="preserve">que </w:t>
      </w:r>
      <w:r w:rsidR="00C53DF6">
        <w:rPr>
          <w:rFonts w:ascii="Arial" w:hAnsi="Arial" w:cs="Arial"/>
        </w:rPr>
        <w:t xml:space="preserve">la vulneración de los derechos permanece en el tiempo, que el trámite está en curso y aún es posible remediar el error judicial, </w:t>
      </w:r>
      <w:r>
        <w:rPr>
          <w:rFonts w:ascii="Arial" w:hAnsi="Arial" w:cs="Arial"/>
        </w:rPr>
        <w:t xml:space="preserve">para justificar la presentación tardía del amparo, </w:t>
      </w:r>
      <w:r w:rsidR="008B10CC">
        <w:rPr>
          <w:rFonts w:ascii="Arial" w:hAnsi="Arial" w:cs="Arial"/>
        </w:rPr>
        <w:t>sin embargo</w:t>
      </w:r>
      <w:r w:rsidR="00365171">
        <w:rPr>
          <w:rFonts w:ascii="Arial" w:hAnsi="Arial" w:cs="Arial"/>
        </w:rPr>
        <w:t>, para la Sala</w:t>
      </w:r>
      <w:r w:rsidR="00E1389E">
        <w:rPr>
          <w:rFonts w:ascii="Arial" w:hAnsi="Arial" w:cs="Arial"/>
        </w:rPr>
        <w:t xml:space="preserve"> se precisa escasa</w:t>
      </w:r>
      <w:r w:rsidR="00365171">
        <w:rPr>
          <w:rFonts w:ascii="Arial" w:hAnsi="Arial" w:cs="Arial"/>
        </w:rPr>
        <w:t xml:space="preserve"> e insignificante, si </w:t>
      </w:r>
      <w:r w:rsidR="0017214E">
        <w:rPr>
          <w:rFonts w:ascii="Arial" w:hAnsi="Arial" w:cs="Arial"/>
        </w:rPr>
        <w:t xml:space="preserve">en cuenta </w:t>
      </w:r>
      <w:r w:rsidR="00365171">
        <w:rPr>
          <w:rFonts w:ascii="Arial" w:hAnsi="Arial" w:cs="Arial"/>
        </w:rPr>
        <w:t xml:space="preserve">se tiene </w:t>
      </w:r>
      <w:r w:rsidR="00C53DF6">
        <w:rPr>
          <w:rFonts w:ascii="Arial" w:hAnsi="Arial" w:cs="Arial"/>
        </w:rPr>
        <w:t>que el accionante conoció de la existencia del asunto desde el 04-05-2015 y obviamente se enteró del auto que declaró no probada su excepción y ordenó continuar con la ejecución, supo entonces de la decisión adversa a sus intereses, no obstante, esperó más de un año para promover el amparo</w:t>
      </w:r>
      <w:r w:rsidR="0017214E">
        <w:rPr>
          <w:rFonts w:ascii="Arial" w:hAnsi="Arial" w:cs="Arial"/>
        </w:rPr>
        <w:t xml:space="preserve">, lo que </w:t>
      </w:r>
      <w:r w:rsidR="00873A2B">
        <w:rPr>
          <w:rFonts w:ascii="Arial" w:hAnsi="Arial" w:cs="Arial"/>
        </w:rPr>
        <w:t xml:space="preserve">conlleva a relucir la ausencia de urgencia en la protección pedida. </w:t>
      </w:r>
    </w:p>
    <w:p w:rsidR="00C028E8" w:rsidRDefault="00C028E8" w:rsidP="00C028E8">
      <w:pPr>
        <w:widowControl/>
        <w:autoSpaceDE/>
        <w:autoSpaceDN/>
        <w:adjustRightInd/>
        <w:spacing w:line="360" w:lineRule="auto"/>
        <w:jc w:val="both"/>
        <w:rPr>
          <w:rFonts w:ascii="Arial" w:hAnsi="Arial" w:cs="Arial"/>
        </w:rPr>
      </w:pPr>
    </w:p>
    <w:p w:rsidR="0015781C" w:rsidRDefault="0015781C" w:rsidP="00C028E8">
      <w:pPr>
        <w:widowControl/>
        <w:autoSpaceDE/>
        <w:autoSpaceDN/>
        <w:adjustRightInd/>
        <w:spacing w:line="360" w:lineRule="auto"/>
        <w:jc w:val="both"/>
        <w:rPr>
          <w:rFonts w:ascii="Arial" w:hAnsi="Arial" w:cs="Arial"/>
        </w:rPr>
      </w:pPr>
    </w:p>
    <w:p w:rsidR="003403A0" w:rsidRPr="00C028E8" w:rsidRDefault="003403A0" w:rsidP="003403A0">
      <w:pPr>
        <w:pStyle w:val="Paragraphedeliste"/>
        <w:numPr>
          <w:ilvl w:val="1"/>
          <w:numId w:val="45"/>
        </w:numPr>
        <w:spacing w:after="0" w:line="360" w:lineRule="auto"/>
        <w:jc w:val="both"/>
        <w:rPr>
          <w:rFonts w:ascii="Arial" w:hAnsi="Arial" w:cs="Arial"/>
          <w:smallCaps/>
          <w:sz w:val="24"/>
          <w:szCs w:val="24"/>
        </w:rPr>
      </w:pPr>
      <w:r w:rsidRPr="00C028E8">
        <w:rPr>
          <w:rFonts w:ascii="Arial" w:hAnsi="Arial" w:cs="Arial"/>
          <w:smallCaps/>
          <w:sz w:val="24"/>
          <w:szCs w:val="24"/>
        </w:rPr>
        <w:lastRenderedPageBreak/>
        <w:t>La subsidiariedad</w:t>
      </w:r>
    </w:p>
    <w:p w:rsidR="003403A0" w:rsidRDefault="003403A0" w:rsidP="00C028E8">
      <w:pPr>
        <w:widowControl/>
        <w:autoSpaceDE/>
        <w:autoSpaceDN/>
        <w:adjustRightInd/>
        <w:spacing w:line="360" w:lineRule="auto"/>
        <w:jc w:val="both"/>
        <w:rPr>
          <w:rFonts w:ascii="Arial" w:hAnsi="Arial" w:cs="Arial"/>
        </w:rPr>
      </w:pPr>
    </w:p>
    <w:p w:rsidR="00C028E8" w:rsidRPr="003403A0" w:rsidRDefault="006056CF" w:rsidP="001853D4">
      <w:pPr>
        <w:widowControl/>
        <w:autoSpaceDE/>
        <w:autoSpaceDN/>
        <w:adjustRightInd/>
        <w:spacing w:line="360" w:lineRule="auto"/>
        <w:jc w:val="both"/>
        <w:rPr>
          <w:rFonts w:ascii="Arial" w:hAnsi="Arial" w:cs="Arial"/>
        </w:rPr>
      </w:pPr>
      <w:r>
        <w:rPr>
          <w:rFonts w:ascii="Arial" w:hAnsi="Arial" w:cs="Arial"/>
        </w:rPr>
        <w:t xml:space="preserve">Suficiente lo anterior para el fracaso del amparo, </w:t>
      </w:r>
      <w:r w:rsidR="001853D4">
        <w:rPr>
          <w:rFonts w:ascii="Arial" w:hAnsi="Arial" w:cs="Arial"/>
        </w:rPr>
        <w:t xml:space="preserve">pero </w:t>
      </w:r>
      <w:r>
        <w:rPr>
          <w:rFonts w:ascii="Arial" w:hAnsi="Arial" w:cs="Arial"/>
        </w:rPr>
        <w:t>advierte la Sala que también carece del presupuesto de la subsidiariedad</w:t>
      </w:r>
      <w:r w:rsidR="0017214E">
        <w:rPr>
          <w:rFonts w:ascii="Arial" w:hAnsi="Arial" w:cs="Arial"/>
        </w:rPr>
        <w:t xml:space="preserve">, puesto que </w:t>
      </w:r>
      <w:r w:rsidR="003403A0">
        <w:rPr>
          <w:rFonts w:ascii="Arial" w:hAnsi="Arial" w:cs="Arial"/>
        </w:rPr>
        <w:t xml:space="preserve">para el </w:t>
      </w:r>
      <w:r w:rsidR="0017214E">
        <w:rPr>
          <w:rFonts w:ascii="Arial" w:hAnsi="Arial" w:cs="Arial"/>
        </w:rPr>
        <w:t xml:space="preserve">actor </w:t>
      </w:r>
      <w:r w:rsidR="003403A0">
        <w:rPr>
          <w:rFonts w:ascii="Arial" w:hAnsi="Arial" w:cs="Arial"/>
        </w:rPr>
        <w:t>existe otro medio legal</w:t>
      </w:r>
      <w:r w:rsidR="0017214E">
        <w:rPr>
          <w:rFonts w:ascii="Arial" w:hAnsi="Arial" w:cs="Arial"/>
        </w:rPr>
        <w:t xml:space="preserve"> para procurar</w:t>
      </w:r>
      <w:r w:rsidR="00022363">
        <w:rPr>
          <w:rFonts w:ascii="Arial" w:hAnsi="Arial" w:cs="Arial"/>
        </w:rPr>
        <w:t xml:space="preserve"> el resguardo de</w:t>
      </w:r>
      <w:r w:rsidR="0017214E">
        <w:rPr>
          <w:rFonts w:ascii="Arial" w:hAnsi="Arial" w:cs="Arial"/>
        </w:rPr>
        <w:t xml:space="preserve"> sus derechos</w:t>
      </w:r>
      <w:r>
        <w:rPr>
          <w:rFonts w:ascii="Arial" w:hAnsi="Arial" w:cs="Arial"/>
        </w:rPr>
        <w:t xml:space="preserve">. </w:t>
      </w:r>
      <w:r w:rsidR="003403A0">
        <w:rPr>
          <w:rFonts w:ascii="Arial" w:hAnsi="Arial" w:cs="Arial"/>
        </w:rPr>
        <w:t>C</w:t>
      </w:r>
      <w:r w:rsidR="00C5166D">
        <w:rPr>
          <w:rFonts w:ascii="Arial" w:hAnsi="Arial" w:cs="Arial"/>
        </w:rPr>
        <w:t xml:space="preserve">omo la queja se </w:t>
      </w:r>
      <w:r w:rsidR="00022363">
        <w:rPr>
          <w:rFonts w:ascii="Arial" w:hAnsi="Arial" w:cs="Arial"/>
        </w:rPr>
        <w:t xml:space="preserve">basa en </w:t>
      </w:r>
      <w:r w:rsidR="00C5166D">
        <w:rPr>
          <w:rFonts w:ascii="Arial" w:hAnsi="Arial" w:cs="Arial"/>
        </w:rPr>
        <w:t>una indebida notificación</w:t>
      </w:r>
      <w:r w:rsidR="00022363">
        <w:rPr>
          <w:rFonts w:ascii="Arial" w:hAnsi="Arial" w:cs="Arial"/>
        </w:rPr>
        <w:t>,</w:t>
      </w:r>
      <w:r w:rsidR="00C5166D">
        <w:rPr>
          <w:rFonts w:ascii="Arial" w:hAnsi="Arial" w:cs="Arial"/>
        </w:rPr>
        <w:t xml:space="preserve"> </w:t>
      </w:r>
      <w:r w:rsidR="002A5EDA">
        <w:rPr>
          <w:rFonts w:ascii="Arial" w:hAnsi="Arial" w:cs="Arial"/>
        </w:rPr>
        <w:t xml:space="preserve">pudo entonces </w:t>
      </w:r>
      <w:r w:rsidR="003403A0">
        <w:rPr>
          <w:rFonts w:ascii="Arial" w:hAnsi="Arial" w:cs="Arial"/>
        </w:rPr>
        <w:t xml:space="preserve">alegar </w:t>
      </w:r>
      <w:r w:rsidR="002A5EDA">
        <w:rPr>
          <w:rFonts w:ascii="Arial" w:hAnsi="Arial" w:cs="Arial"/>
        </w:rPr>
        <w:t xml:space="preserve">esta nulidad procesal </w:t>
      </w:r>
      <w:r w:rsidR="001C2DCE">
        <w:rPr>
          <w:rFonts w:ascii="Arial" w:hAnsi="Arial" w:cs="Arial"/>
        </w:rPr>
        <w:t xml:space="preserve">cuando se enteró de la ejecución iniciada en su contra </w:t>
      </w:r>
      <w:r w:rsidR="00C5166D">
        <w:rPr>
          <w:rFonts w:ascii="Arial" w:hAnsi="Arial" w:cs="Arial"/>
        </w:rPr>
        <w:t xml:space="preserve">(Artículo </w:t>
      </w:r>
      <w:r w:rsidR="000C67EE">
        <w:rPr>
          <w:rFonts w:ascii="Arial" w:hAnsi="Arial" w:cs="Arial"/>
        </w:rPr>
        <w:t>142</w:t>
      </w:r>
      <w:r w:rsidR="00C5166D">
        <w:rPr>
          <w:rFonts w:ascii="Arial" w:hAnsi="Arial" w:cs="Arial"/>
        </w:rPr>
        <w:t xml:space="preserve">, </w:t>
      </w:r>
      <w:r w:rsidR="000C67EE">
        <w:rPr>
          <w:rFonts w:ascii="Arial" w:hAnsi="Arial" w:cs="Arial"/>
        </w:rPr>
        <w:t>CPC</w:t>
      </w:r>
      <w:r w:rsidR="00C5166D">
        <w:rPr>
          <w:rFonts w:ascii="Arial" w:hAnsi="Arial" w:cs="Arial"/>
        </w:rPr>
        <w:t>)</w:t>
      </w:r>
      <w:r w:rsidR="001C2DCE">
        <w:rPr>
          <w:rFonts w:ascii="Arial" w:hAnsi="Arial" w:cs="Arial"/>
        </w:rPr>
        <w:t>, pero no hizo uso de ese remedio judicial</w:t>
      </w:r>
      <w:r w:rsidR="008B10CC">
        <w:rPr>
          <w:rFonts w:ascii="Arial" w:hAnsi="Arial" w:cs="Arial"/>
        </w:rPr>
        <w:t>.</w:t>
      </w:r>
    </w:p>
    <w:p w:rsidR="005D45CE" w:rsidRDefault="005D45CE" w:rsidP="006E100D">
      <w:pPr>
        <w:widowControl/>
        <w:autoSpaceDE/>
        <w:autoSpaceDN/>
        <w:adjustRightInd/>
        <w:spacing w:line="360" w:lineRule="auto"/>
        <w:jc w:val="both"/>
        <w:rPr>
          <w:rFonts w:ascii="Arial" w:hAnsi="Arial" w:cs="Arial"/>
        </w:rPr>
      </w:pPr>
    </w:p>
    <w:p w:rsidR="00C2130D" w:rsidRDefault="00AD5900" w:rsidP="00C2130D">
      <w:pPr>
        <w:spacing w:line="360" w:lineRule="auto"/>
        <w:jc w:val="both"/>
        <w:rPr>
          <w:rFonts w:ascii="Arial" w:hAnsi="Arial" w:cs="Arial"/>
          <w:sz w:val="22"/>
          <w:szCs w:val="22"/>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w:t>
      </w:r>
      <w:r>
        <w:rPr>
          <w:rFonts w:ascii="Arial" w:hAnsi="Arial" w:cs="Arial"/>
        </w:rPr>
        <w:t>CC</w:t>
      </w:r>
      <w:r w:rsidRPr="00A80FCC">
        <w:rPr>
          <w:rFonts w:ascii="Arial" w:hAnsi="Arial" w:cs="Arial"/>
        </w:rPr>
        <w:t xml:space="preserve">, </w:t>
      </w:r>
      <w:r w:rsidR="00C2130D">
        <w:rPr>
          <w:rFonts w:ascii="Arial" w:hAnsi="Arial"/>
        </w:rPr>
        <w:t xml:space="preserve">que reiteradamente ha referido que la acción de tutela mal puede implementarse como medio para </w:t>
      </w:r>
      <w:r w:rsidR="00C2130D" w:rsidRPr="002E57F2">
        <w:rPr>
          <w:rFonts w:ascii="Arial" w:hAnsi="Arial"/>
        </w:rPr>
        <w:t>sustituir los mecanismos ordinarios de defensa</w:t>
      </w:r>
      <w:r w:rsidR="00C2130D">
        <w:rPr>
          <w:rFonts w:ascii="Arial" w:hAnsi="Arial"/>
        </w:rPr>
        <w:t>, cuando por negligencia, descuido o incuria no fueron utilizados</w:t>
      </w:r>
      <w:r w:rsidR="00C2130D" w:rsidRPr="00FF4929">
        <w:rPr>
          <w:rStyle w:val="Appelnotedebasdep"/>
          <w:rFonts w:ascii="Arial" w:hAnsi="Arial" w:cs="Arial"/>
          <w:sz w:val="22"/>
          <w:szCs w:val="22"/>
        </w:rPr>
        <w:footnoteReference w:id="24"/>
      </w:r>
      <w:r w:rsidR="00C2130D" w:rsidRPr="00FF4929">
        <w:rPr>
          <w:rFonts w:ascii="Arial" w:hAnsi="Arial" w:cs="Arial"/>
          <w:sz w:val="22"/>
          <w:szCs w:val="22"/>
        </w:rPr>
        <w:t>.</w:t>
      </w:r>
    </w:p>
    <w:p w:rsidR="003403A0" w:rsidRDefault="003403A0" w:rsidP="00AD5900">
      <w:pPr>
        <w:spacing w:line="360" w:lineRule="auto"/>
        <w:ind w:right="51"/>
        <w:jc w:val="both"/>
        <w:rPr>
          <w:rFonts w:ascii="Arial" w:hAnsi="Arial" w:cs="Arial"/>
        </w:rPr>
      </w:pPr>
    </w:p>
    <w:p w:rsidR="00C2130D" w:rsidRDefault="00C2130D" w:rsidP="00C2130D">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w:t>
      </w:r>
      <w:r>
        <w:rPr>
          <w:rFonts w:ascii="Arial" w:hAnsi="Arial"/>
        </w:rPr>
        <w:t xml:space="preserve">respecto de que </w:t>
      </w:r>
      <w:r w:rsidRPr="008B43C6">
        <w:rPr>
          <w:rFonts w:ascii="Arial" w:hAnsi="Arial" w:cs="Arial"/>
          <w:bCs/>
          <w:szCs w:val="22"/>
          <w:lang w:val="es-CO"/>
        </w:rPr>
        <w:t>es una persona que requiere de protección reforzada</w:t>
      </w:r>
      <w:r w:rsidRPr="008B43C6">
        <w:rPr>
          <w:rStyle w:val="Appelnotedebasdep"/>
          <w:rFonts w:ascii="Arial" w:hAnsi="Arial"/>
          <w:bCs/>
          <w:szCs w:val="22"/>
          <w:lang w:val="es-CO"/>
        </w:rPr>
        <w:footnoteReference w:id="25"/>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AD5900" w:rsidRDefault="00AD5900" w:rsidP="00AD5900">
      <w:pPr>
        <w:spacing w:line="360" w:lineRule="auto"/>
        <w:ind w:right="51"/>
        <w:jc w:val="both"/>
        <w:rPr>
          <w:rFonts w:ascii="Arial" w:hAnsi="Arial"/>
          <w:sz w:val="20"/>
        </w:rPr>
      </w:pPr>
    </w:p>
    <w:p w:rsidR="000322AC" w:rsidRDefault="00AD5900" w:rsidP="000322AC">
      <w:pPr>
        <w:spacing w:line="360" w:lineRule="auto"/>
        <w:ind w:right="51"/>
        <w:jc w:val="both"/>
        <w:rPr>
          <w:rFonts w:ascii="Arial" w:hAnsi="Arial" w:cs="Arial"/>
          <w:lang w:val="es-ES_tradnl"/>
        </w:rPr>
      </w:pPr>
      <w:r w:rsidRPr="0004784E">
        <w:rPr>
          <w:rFonts w:ascii="Arial" w:hAnsi="Arial" w:cs="Arial"/>
          <w:lang w:val="es-ES_tradnl"/>
        </w:rPr>
        <w:t xml:space="preserve">En ese contexto, </w:t>
      </w:r>
      <w:r>
        <w:rPr>
          <w:rFonts w:ascii="Arial" w:hAnsi="Arial" w:cs="Arial"/>
          <w:lang w:val="es-ES_tradnl"/>
        </w:rPr>
        <w:t xml:space="preserve">el presente amparo es improcedente </w:t>
      </w:r>
      <w:r w:rsidRPr="0004784E">
        <w:rPr>
          <w:rFonts w:ascii="Arial" w:hAnsi="Arial" w:cs="Arial"/>
          <w:lang w:val="es-ES_tradnl"/>
        </w:rPr>
        <w:t>toda vez que se incumple</w:t>
      </w:r>
      <w:r>
        <w:rPr>
          <w:rFonts w:ascii="Arial" w:hAnsi="Arial" w:cs="Arial"/>
          <w:lang w:val="es-ES_tradnl"/>
        </w:rPr>
        <w:t>n</w:t>
      </w:r>
      <w:r w:rsidRPr="0004784E">
        <w:rPr>
          <w:rFonts w:ascii="Arial" w:hAnsi="Arial" w:cs="Arial"/>
          <w:lang w:val="es-ES_tradnl"/>
        </w:rPr>
        <w:t xml:space="preserve"> </w:t>
      </w:r>
      <w:r>
        <w:rPr>
          <w:rFonts w:ascii="Arial" w:hAnsi="Arial" w:cs="Arial"/>
          <w:lang w:val="es-ES_tradnl"/>
        </w:rPr>
        <w:t xml:space="preserve">dos (2) </w:t>
      </w:r>
      <w:r w:rsidRPr="0004784E">
        <w:rPr>
          <w:rFonts w:ascii="Arial" w:hAnsi="Arial" w:cs="Arial"/>
          <w:lang w:val="es-ES_tradnl"/>
        </w:rPr>
        <w:t xml:space="preserve">de los siete (7) requisitos generales de </w:t>
      </w:r>
      <w:r w:rsidRPr="00813269">
        <w:rPr>
          <w:rFonts w:ascii="Arial" w:hAnsi="Arial" w:cs="Arial"/>
          <w:lang w:val="es-ES_tradnl"/>
        </w:rPr>
        <w:t xml:space="preserve">procedibilidad, como lo </w:t>
      </w:r>
      <w:r>
        <w:rPr>
          <w:rFonts w:ascii="Arial" w:hAnsi="Arial" w:cs="Arial"/>
          <w:lang w:val="es-ES_tradnl"/>
        </w:rPr>
        <w:t xml:space="preserve">son </w:t>
      </w:r>
      <w:r w:rsidRPr="00813269">
        <w:rPr>
          <w:rFonts w:ascii="Arial" w:hAnsi="Arial" w:cs="Arial"/>
          <w:lang w:val="es-ES_tradnl"/>
        </w:rPr>
        <w:t xml:space="preserve">la </w:t>
      </w:r>
      <w:r>
        <w:rPr>
          <w:rFonts w:ascii="Arial" w:hAnsi="Arial" w:cs="Arial"/>
          <w:lang w:val="es-ES_tradnl"/>
        </w:rPr>
        <w:t xml:space="preserve">inmediatez y la </w:t>
      </w:r>
      <w:r w:rsidRPr="00813269">
        <w:rPr>
          <w:rFonts w:ascii="Arial" w:hAnsi="Arial" w:cs="Arial"/>
          <w:lang w:val="es-ES_tradnl"/>
        </w:rPr>
        <w:t>subsidiariedad</w:t>
      </w:r>
      <w:r>
        <w:rPr>
          <w:rFonts w:ascii="Arial" w:hAnsi="Arial" w:cs="Arial"/>
          <w:lang w:val="es-ES_tradnl"/>
        </w:rPr>
        <w:t>.</w:t>
      </w:r>
    </w:p>
    <w:p w:rsidR="000322AC" w:rsidRDefault="000322AC" w:rsidP="000322AC">
      <w:pPr>
        <w:spacing w:line="360" w:lineRule="auto"/>
        <w:ind w:right="51"/>
        <w:jc w:val="both"/>
        <w:rPr>
          <w:rFonts w:ascii="Arial" w:hAnsi="Arial" w:cs="Arial"/>
          <w:lang w:val="es-ES_tradnl"/>
        </w:rPr>
      </w:pPr>
    </w:p>
    <w:p w:rsidR="003403A0" w:rsidRDefault="000322AC" w:rsidP="000322AC">
      <w:pPr>
        <w:spacing w:line="360" w:lineRule="auto"/>
        <w:ind w:right="51"/>
        <w:jc w:val="both"/>
        <w:rPr>
          <w:rFonts w:ascii="Arial" w:hAnsi="Arial" w:cs="Arial"/>
          <w:lang w:val="es-CO"/>
        </w:rPr>
      </w:pPr>
      <w:r>
        <w:rPr>
          <w:rFonts w:ascii="Arial" w:hAnsi="Arial" w:cs="Arial"/>
          <w:spacing w:val="-3"/>
          <w:lang w:val="es-ES_tradnl"/>
        </w:rPr>
        <w:t xml:space="preserve">No obstante, </w:t>
      </w:r>
      <w:r w:rsidR="003403A0" w:rsidRPr="008315C2">
        <w:rPr>
          <w:rFonts w:ascii="Arial" w:hAnsi="Arial"/>
        </w:rPr>
        <w:t>estima esta judicatura</w:t>
      </w:r>
      <w:r w:rsidR="003403A0">
        <w:rPr>
          <w:rFonts w:ascii="Arial" w:hAnsi="Arial"/>
        </w:rPr>
        <w:t xml:space="preserve"> </w:t>
      </w:r>
      <w:r w:rsidR="003403A0">
        <w:rPr>
          <w:rFonts w:ascii="Arial" w:hAnsi="Arial" w:cs="Arial"/>
          <w:lang w:val="es-CO"/>
        </w:rPr>
        <w:t xml:space="preserve">necesario hacer </w:t>
      </w:r>
      <w:r w:rsidR="003403A0" w:rsidRPr="00322B43">
        <w:rPr>
          <w:rFonts w:ascii="Arial" w:hAnsi="Arial" w:cs="Arial"/>
          <w:lang w:val="es-CO"/>
        </w:rPr>
        <w:t xml:space="preserve">una aclaración metodológica sobre la </w:t>
      </w:r>
      <w:r w:rsidR="003403A0">
        <w:rPr>
          <w:rFonts w:ascii="Arial" w:hAnsi="Arial" w:cs="Arial"/>
          <w:lang w:val="es-CO"/>
        </w:rPr>
        <w:t>parte resolutiva</w:t>
      </w:r>
      <w:r w:rsidR="003403A0" w:rsidRPr="00322B43">
        <w:rPr>
          <w:rFonts w:ascii="Arial" w:hAnsi="Arial" w:cs="Arial"/>
          <w:lang w:val="es-CO"/>
        </w:rPr>
        <w:t xml:space="preserve"> </w:t>
      </w:r>
      <w:r w:rsidR="003403A0">
        <w:rPr>
          <w:rFonts w:ascii="Arial" w:hAnsi="Arial" w:cs="Arial"/>
          <w:lang w:val="es-CO"/>
        </w:rPr>
        <w:t xml:space="preserve">en cuanto </w:t>
      </w:r>
      <w:r w:rsidR="003403A0" w:rsidRPr="00322B43">
        <w:rPr>
          <w:rFonts w:ascii="Arial" w:hAnsi="Arial" w:cs="Arial"/>
          <w:lang w:val="es-CO"/>
        </w:rPr>
        <w:t>si el asunto e</w:t>
      </w:r>
      <w:r w:rsidR="003403A0">
        <w:rPr>
          <w:rFonts w:ascii="Arial" w:hAnsi="Arial" w:cs="Arial"/>
          <w:lang w:val="es-CO"/>
        </w:rPr>
        <w:t>ra</w:t>
      </w:r>
      <w:r w:rsidR="003403A0" w:rsidRPr="00322B43">
        <w:rPr>
          <w:rFonts w:ascii="Arial" w:hAnsi="Arial" w:cs="Arial"/>
          <w:lang w:val="es-CO"/>
        </w:rPr>
        <w:t xml:space="preserve"> improcedente </w:t>
      </w:r>
      <w:r w:rsidR="003403A0" w:rsidRPr="00322B43">
        <w:rPr>
          <w:rFonts w:ascii="Arial" w:hAnsi="Arial"/>
          <w:lang w:val="es-CO"/>
        </w:rPr>
        <w:t xml:space="preserve">por </w:t>
      </w:r>
      <w:r w:rsidR="003403A0">
        <w:rPr>
          <w:rFonts w:ascii="Arial" w:hAnsi="Arial"/>
          <w:lang w:val="es-CO"/>
        </w:rPr>
        <w:t xml:space="preserve">incumplirse el supuesto de inmediatez (Como se argumentó con juicio en la motivación), es decir, </w:t>
      </w:r>
      <w:r w:rsidR="003403A0" w:rsidRPr="00322B43">
        <w:rPr>
          <w:rFonts w:ascii="Arial" w:hAnsi="Arial" w:cs="Arial"/>
          <w:lang w:val="es-CO"/>
        </w:rPr>
        <w:t>que los supuestos de procedibilidad no se superaron</w:t>
      </w:r>
      <w:r w:rsidR="003403A0">
        <w:rPr>
          <w:rFonts w:ascii="Arial" w:hAnsi="Arial" w:cs="Arial"/>
          <w:lang w:val="es-CO"/>
        </w:rPr>
        <w:t>, se imponía declararla improcedente y no negarla</w:t>
      </w:r>
      <w:r>
        <w:rPr>
          <w:rFonts w:ascii="Arial" w:hAnsi="Arial" w:cs="Arial"/>
          <w:lang w:val="es-CO"/>
        </w:rPr>
        <w:t xml:space="preserve"> por improcedente</w:t>
      </w:r>
      <w:r w:rsidR="003403A0" w:rsidRPr="00322B43">
        <w:rPr>
          <w:rFonts w:ascii="Arial" w:hAnsi="Arial" w:cs="Arial"/>
          <w:lang w:val="es-CO"/>
        </w:rPr>
        <w:t xml:space="preserve">. </w:t>
      </w:r>
      <w:r w:rsidR="003403A0">
        <w:rPr>
          <w:rFonts w:ascii="Arial" w:hAnsi="Arial" w:cs="Arial"/>
          <w:lang w:val="es-CO"/>
        </w:rPr>
        <w:t>Así lo ha dicho la doctrina nacional</w:t>
      </w:r>
      <w:r w:rsidR="003403A0">
        <w:rPr>
          <w:rStyle w:val="Appelnotedebasdep"/>
          <w:rFonts w:ascii="Arial" w:hAnsi="Arial"/>
          <w:lang w:val="es-CO"/>
        </w:rPr>
        <w:footnoteReference w:id="26"/>
      </w:r>
      <w:r w:rsidR="003403A0">
        <w:rPr>
          <w:rFonts w:ascii="Arial" w:hAnsi="Arial" w:cs="Arial"/>
          <w:lang w:val="es-CO"/>
        </w:rPr>
        <w:t xml:space="preserve"> y  jurisprudencia del Alto Tribunal Constitucional</w:t>
      </w:r>
      <w:r w:rsidR="003403A0">
        <w:rPr>
          <w:rStyle w:val="Appelnotedebasdep"/>
          <w:rFonts w:ascii="Arial" w:hAnsi="Arial"/>
          <w:lang w:val="es-CO"/>
        </w:rPr>
        <w:footnoteReference w:id="27"/>
      </w:r>
      <w:r w:rsidR="003403A0">
        <w:rPr>
          <w:rFonts w:ascii="Arial" w:hAnsi="Arial" w:cs="Arial"/>
          <w:lang w:val="es-CO"/>
        </w:rPr>
        <w:t>:</w:t>
      </w:r>
    </w:p>
    <w:p w:rsidR="003403A0" w:rsidRPr="00CB1012" w:rsidRDefault="003403A0" w:rsidP="003403A0">
      <w:pPr>
        <w:pStyle w:val="Corpsdetexte"/>
        <w:tabs>
          <w:tab w:val="clear" w:pos="708"/>
          <w:tab w:val="clear" w:pos="1416"/>
          <w:tab w:val="left" w:pos="709"/>
          <w:tab w:val="left" w:pos="1418"/>
        </w:tabs>
        <w:spacing w:line="360" w:lineRule="auto"/>
        <w:rPr>
          <w:rFonts w:ascii="Arial" w:hAnsi="Arial" w:cs="Arial"/>
          <w:sz w:val="18"/>
          <w:szCs w:val="24"/>
          <w:lang w:val="es-CO"/>
        </w:rPr>
      </w:pPr>
    </w:p>
    <w:p w:rsidR="003403A0" w:rsidRPr="001E1104" w:rsidRDefault="003403A0" w:rsidP="003403A0">
      <w:pPr>
        <w:pStyle w:val="Corpsdetexte"/>
        <w:tabs>
          <w:tab w:val="clear" w:pos="708"/>
          <w:tab w:val="clear" w:pos="1416"/>
          <w:tab w:val="left" w:pos="709"/>
          <w:tab w:val="left" w:pos="1418"/>
        </w:tabs>
        <w:spacing w:line="240" w:lineRule="auto"/>
        <w:ind w:left="567" w:right="567"/>
        <w:rPr>
          <w:rFonts w:ascii="Arial" w:hAnsi="Arial" w:cs="Arial"/>
          <w:sz w:val="24"/>
          <w:szCs w:val="24"/>
          <w:lang w:val="es-CO"/>
        </w:rPr>
      </w:pPr>
      <w:r>
        <w:rPr>
          <w:rFonts w:ascii="Arial" w:hAnsi="Arial" w:cs="Arial"/>
          <w:color w:val="000000"/>
          <w:sz w:val="24"/>
          <w:szCs w:val="24"/>
          <w:shd w:val="clear" w:color="auto" w:fill="FFFFFF"/>
        </w:rPr>
        <w:t>…</w:t>
      </w:r>
      <w:r w:rsidRPr="001E1104">
        <w:rPr>
          <w:rFonts w:ascii="Arial" w:hAnsi="Arial" w:cs="Arial"/>
          <w:color w:val="000000"/>
          <w:sz w:val="24"/>
          <w:szCs w:val="24"/>
          <w:shd w:val="clear" w:color="auto" w:fill="FFFFFF"/>
        </w:rPr>
        <w:t>en cuanto la decisión es declarar la improcedencia de la acción impetrada, más no negar</w:t>
      </w:r>
      <w:r w:rsidRPr="001E1104">
        <w:rPr>
          <w:rStyle w:val="apple-converted-space"/>
          <w:rFonts w:ascii="Arial" w:hAnsi="Arial" w:cs="Arial"/>
          <w:i/>
          <w:iCs/>
          <w:color w:val="000000"/>
          <w:sz w:val="24"/>
          <w:szCs w:val="24"/>
          <w:shd w:val="clear" w:color="auto" w:fill="FFFFFF"/>
        </w:rPr>
        <w:t> </w:t>
      </w:r>
      <w:r w:rsidRPr="001E1104">
        <w:rPr>
          <w:rFonts w:ascii="Arial" w:hAnsi="Arial" w:cs="Arial"/>
          <w:color w:val="000000"/>
          <w:sz w:val="24"/>
          <w:szCs w:val="24"/>
          <w:shd w:val="clear" w:color="auto" w:fill="FFFFFF"/>
        </w:rPr>
        <w:t>la protección pedida. Nótese cómo establecer la procedencia de la acción antecede al análisis de la vulneración o no de un derecho fundamental, estudio que en este caso no se puede acometer, precisamente al determinarse que no procede.</w:t>
      </w:r>
    </w:p>
    <w:p w:rsidR="003403A0" w:rsidRDefault="003403A0" w:rsidP="003403A0">
      <w:pPr>
        <w:pStyle w:val="Corpsdetexte"/>
        <w:tabs>
          <w:tab w:val="clear" w:pos="708"/>
          <w:tab w:val="clear" w:pos="1416"/>
          <w:tab w:val="left" w:pos="709"/>
          <w:tab w:val="left" w:pos="1418"/>
        </w:tabs>
        <w:spacing w:line="360" w:lineRule="auto"/>
        <w:ind w:right="56"/>
        <w:rPr>
          <w:rFonts w:ascii="Arial" w:hAnsi="Arial" w:cs="Arial"/>
          <w:sz w:val="24"/>
          <w:szCs w:val="24"/>
          <w:lang w:val="es-CO"/>
        </w:rPr>
      </w:pPr>
    </w:p>
    <w:p w:rsidR="003403A0" w:rsidRPr="00322B43" w:rsidRDefault="003403A0" w:rsidP="003403A0">
      <w:pPr>
        <w:pStyle w:val="Corpsdetexte"/>
        <w:tabs>
          <w:tab w:val="clear" w:pos="708"/>
          <w:tab w:val="clear" w:pos="1416"/>
          <w:tab w:val="left" w:pos="709"/>
          <w:tab w:val="left" w:pos="1418"/>
        </w:tabs>
        <w:spacing w:line="360" w:lineRule="auto"/>
        <w:ind w:right="56"/>
        <w:rPr>
          <w:rFonts w:ascii="Arial" w:hAnsi="Arial" w:cs="Arial"/>
          <w:sz w:val="24"/>
          <w:szCs w:val="24"/>
          <w:lang w:val="es-CO"/>
        </w:rPr>
      </w:pPr>
      <w:r>
        <w:rPr>
          <w:rFonts w:ascii="Arial" w:hAnsi="Arial" w:cs="Arial"/>
          <w:sz w:val="24"/>
          <w:szCs w:val="24"/>
          <w:lang w:val="es-CO"/>
        </w:rPr>
        <w:lastRenderedPageBreak/>
        <w:t xml:space="preserve">Conforme a lo expuesto, </w:t>
      </w:r>
      <w:r w:rsidRPr="00322B43">
        <w:rPr>
          <w:rFonts w:ascii="Arial" w:hAnsi="Arial" w:cs="Arial"/>
          <w:sz w:val="24"/>
          <w:szCs w:val="24"/>
          <w:lang w:val="es-CO"/>
        </w:rPr>
        <w:t>diferencia hay entre negar la acción y declararla improcedente</w:t>
      </w:r>
      <w:r>
        <w:rPr>
          <w:rFonts w:ascii="Arial" w:hAnsi="Arial" w:cs="Arial"/>
          <w:sz w:val="24"/>
          <w:szCs w:val="24"/>
          <w:lang w:val="es-CO"/>
        </w:rPr>
        <w:t>, porque la primera hipótesis, impone analizar el fondo de la cuestión, mientras que la segunda es un estadio previo que impide tal estudio.</w:t>
      </w:r>
    </w:p>
    <w:p w:rsidR="003403A0" w:rsidRDefault="003403A0" w:rsidP="006E100D">
      <w:pPr>
        <w:widowControl/>
        <w:autoSpaceDE/>
        <w:autoSpaceDN/>
        <w:adjustRightInd/>
        <w:spacing w:line="360" w:lineRule="auto"/>
        <w:jc w:val="both"/>
        <w:rPr>
          <w:rFonts w:ascii="Arial" w:hAnsi="Arial" w:cs="Arial"/>
        </w:rPr>
      </w:pPr>
    </w:p>
    <w:p w:rsidR="003158A3" w:rsidRDefault="003158A3" w:rsidP="007024DF">
      <w:pPr>
        <w:pStyle w:val="Corpsdetexte"/>
        <w:numPr>
          <w:ilvl w:val="0"/>
          <w:numId w:val="45"/>
        </w:numPr>
        <w:spacing w:line="360" w:lineRule="auto"/>
        <w:ind w:right="567"/>
        <w:textAlignment w:val="auto"/>
        <w:rPr>
          <w:rFonts w:ascii="Arial" w:hAnsi="Arial" w:cs="Arial"/>
          <w:sz w:val="24"/>
          <w:szCs w:val="24"/>
          <w:lang w:val="es-CO"/>
        </w:rPr>
      </w:pPr>
      <w:r>
        <w:rPr>
          <w:rFonts w:ascii="Arial" w:hAnsi="Arial" w:cs="Arial"/>
          <w:sz w:val="24"/>
          <w:szCs w:val="24"/>
          <w:lang w:val="es-CO"/>
        </w:rPr>
        <w:t xml:space="preserve">LAS CONCLUSIONES </w:t>
      </w:r>
    </w:p>
    <w:p w:rsidR="003158A3" w:rsidRDefault="003158A3" w:rsidP="003158A3">
      <w:pPr>
        <w:spacing w:line="360" w:lineRule="auto"/>
        <w:jc w:val="both"/>
        <w:rPr>
          <w:rFonts w:ascii="Arial" w:hAnsi="Arial" w:cs="Arial"/>
          <w:lang w:val="es-CO"/>
        </w:rPr>
      </w:pPr>
    </w:p>
    <w:p w:rsidR="00C90241" w:rsidRPr="008A1328" w:rsidRDefault="006E100D" w:rsidP="00C90241">
      <w:pPr>
        <w:widowControl/>
        <w:autoSpaceDE/>
        <w:autoSpaceDN/>
        <w:adjustRightInd/>
        <w:spacing w:line="360" w:lineRule="auto"/>
        <w:jc w:val="both"/>
        <w:rPr>
          <w:rFonts w:ascii="Arial" w:hAnsi="Arial" w:cs="Arial"/>
          <w:lang w:val="es-CO"/>
        </w:rPr>
      </w:pPr>
      <w:r>
        <w:rPr>
          <w:rFonts w:ascii="Arial" w:hAnsi="Arial"/>
          <w:lang w:val="es-CO"/>
        </w:rPr>
        <w:t>En armonía con lo discurrido</w:t>
      </w:r>
      <w:r w:rsidR="00C028E8">
        <w:rPr>
          <w:rFonts w:ascii="Arial" w:hAnsi="Arial"/>
          <w:lang w:val="es-CO"/>
        </w:rPr>
        <w:t xml:space="preserve"> s</w:t>
      </w:r>
      <w:r w:rsidR="00C90241" w:rsidRPr="003158A3">
        <w:rPr>
          <w:rFonts w:ascii="Arial" w:hAnsi="Arial" w:cs="Arial"/>
          <w:lang w:val="es-CO"/>
        </w:rPr>
        <w:t xml:space="preserve">e </w:t>
      </w:r>
      <w:r w:rsidR="00C028E8">
        <w:rPr>
          <w:rFonts w:ascii="Arial" w:hAnsi="Arial" w:cs="Arial"/>
          <w:lang w:val="es-CO"/>
        </w:rPr>
        <w:t xml:space="preserve">confirmará </w:t>
      </w:r>
      <w:r w:rsidR="00C90241" w:rsidRPr="003158A3">
        <w:rPr>
          <w:rFonts w:ascii="Arial" w:hAnsi="Arial" w:cs="Arial"/>
          <w:lang w:val="es-CO"/>
        </w:rPr>
        <w:t>el fallo opugnado</w:t>
      </w:r>
      <w:r w:rsidR="000A58D3">
        <w:rPr>
          <w:rFonts w:ascii="Arial" w:hAnsi="Arial" w:cs="Arial"/>
          <w:lang w:val="es-CO"/>
        </w:rPr>
        <w:t xml:space="preserve">, pero </w:t>
      </w:r>
      <w:r w:rsidR="00414B2D">
        <w:rPr>
          <w:rFonts w:ascii="Arial" w:hAnsi="Arial" w:cs="Arial"/>
          <w:lang w:val="es-CO"/>
        </w:rPr>
        <w:t>se modificará su numeral primero</w:t>
      </w:r>
      <w:r w:rsidR="000A58D3">
        <w:rPr>
          <w:rFonts w:ascii="Arial" w:hAnsi="Arial" w:cs="Arial"/>
          <w:lang w:val="es-CO"/>
        </w:rPr>
        <w:t xml:space="preserve"> para declarar improcedente el amparo constitucional</w:t>
      </w:r>
      <w:r w:rsidR="00C90241">
        <w:rPr>
          <w:rFonts w:ascii="Arial" w:hAnsi="Arial" w:cs="Arial"/>
          <w:lang w:val="es-CO"/>
        </w:rPr>
        <w:t>.</w:t>
      </w:r>
    </w:p>
    <w:p w:rsidR="003158A3" w:rsidRPr="007B7624" w:rsidRDefault="003158A3" w:rsidP="003158A3">
      <w:pPr>
        <w:spacing w:line="360" w:lineRule="auto"/>
        <w:jc w:val="both"/>
        <w:rPr>
          <w:rFonts w:ascii="Arial" w:hAnsi="Arial" w:cs="Arial"/>
          <w:sz w:val="18"/>
          <w:lang w:val="es-CO"/>
        </w:rPr>
      </w:pPr>
    </w:p>
    <w:p w:rsidR="00E23846" w:rsidRDefault="00E23846" w:rsidP="00E23846">
      <w:pPr>
        <w:tabs>
          <w:tab w:val="left" w:pos="-720"/>
        </w:tabs>
        <w:suppressAutoHyphens/>
        <w:spacing w:line="360" w:lineRule="auto"/>
        <w:jc w:val="both"/>
        <w:rPr>
          <w:rFonts w:ascii="Arial" w:hAnsi="Arial" w:cs="Arial"/>
          <w:bCs/>
          <w:smallCaps/>
        </w:rPr>
      </w:pPr>
      <w:r w:rsidRPr="00D108C2">
        <w:rPr>
          <w:rFonts w:ascii="Arial" w:hAnsi="Arial" w:cs="Arial"/>
        </w:rPr>
        <w:t xml:space="preserve">En mérito de lo </w:t>
      </w:r>
      <w:r>
        <w:rPr>
          <w:rFonts w:ascii="Arial" w:hAnsi="Arial" w:cs="Arial"/>
        </w:rPr>
        <w:t>razonado</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xml:space="preserve">, Sala </w:t>
      </w:r>
      <w:r>
        <w:rPr>
          <w:rFonts w:ascii="Arial" w:hAnsi="Arial" w:cs="Arial"/>
          <w:bCs/>
          <w:smallCaps/>
        </w:rPr>
        <w:t>de Decisión Civil - Familia</w:t>
      </w:r>
      <w:r w:rsidRPr="00D108C2">
        <w:rPr>
          <w:rFonts w:ascii="Arial" w:hAnsi="Arial" w:cs="Arial"/>
        </w:rPr>
        <w:t>, administrando Justicia, en nombre de la República y por autoridad de la Ley,</w:t>
      </w:r>
      <w:r>
        <w:rPr>
          <w:rFonts w:ascii="Arial" w:hAnsi="Arial" w:cs="Arial"/>
          <w:bCs/>
          <w:smallCaps/>
        </w:rPr>
        <w:tab/>
      </w:r>
      <w:r>
        <w:rPr>
          <w:rFonts w:ascii="Arial" w:hAnsi="Arial" w:cs="Arial"/>
          <w:bCs/>
          <w:smallCaps/>
        </w:rPr>
        <w:tab/>
      </w:r>
      <w:r>
        <w:rPr>
          <w:rFonts w:ascii="Arial" w:hAnsi="Arial" w:cs="Arial"/>
          <w:bCs/>
          <w:smallCaps/>
        </w:rPr>
        <w:tab/>
      </w:r>
      <w:r>
        <w:rPr>
          <w:rFonts w:ascii="Arial" w:hAnsi="Arial" w:cs="Arial"/>
          <w:bCs/>
          <w:smallCaps/>
        </w:rPr>
        <w:tab/>
      </w:r>
      <w:r>
        <w:rPr>
          <w:rFonts w:ascii="Arial" w:hAnsi="Arial" w:cs="Arial"/>
          <w:bCs/>
          <w:smallCaps/>
        </w:rPr>
        <w:tab/>
      </w:r>
      <w:r>
        <w:rPr>
          <w:rFonts w:ascii="Arial" w:hAnsi="Arial" w:cs="Arial"/>
          <w:bCs/>
          <w:smallCaps/>
        </w:rPr>
        <w:tab/>
      </w:r>
    </w:p>
    <w:p w:rsidR="0015781C" w:rsidRDefault="0015781C" w:rsidP="00E23846">
      <w:pPr>
        <w:tabs>
          <w:tab w:val="left" w:pos="-720"/>
        </w:tabs>
        <w:suppressAutoHyphens/>
        <w:spacing w:line="360" w:lineRule="auto"/>
        <w:jc w:val="both"/>
        <w:rPr>
          <w:rFonts w:ascii="Arial" w:hAnsi="Arial" w:cs="Arial"/>
          <w:bCs/>
          <w:smallCaps/>
        </w:rPr>
      </w:pPr>
    </w:p>
    <w:p w:rsidR="003158A3"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Pr>
          <w:rFonts w:ascii="Arial" w:hAnsi="Arial" w:cs="Arial"/>
          <w:bCs/>
          <w:smallCaps/>
          <w:spacing w:val="-3"/>
          <w:lang w:val="es-ES_tradnl"/>
        </w:rPr>
        <w:t xml:space="preserve">F A L </w:t>
      </w:r>
      <w:proofErr w:type="spellStart"/>
      <w:r>
        <w:rPr>
          <w:rFonts w:ascii="Arial" w:hAnsi="Arial" w:cs="Arial"/>
          <w:bCs/>
          <w:smallCaps/>
          <w:spacing w:val="-3"/>
          <w:lang w:val="es-ES_tradnl"/>
        </w:rPr>
        <w:t>L</w:t>
      </w:r>
      <w:proofErr w:type="spellEnd"/>
      <w:r>
        <w:rPr>
          <w:rFonts w:ascii="Arial" w:hAnsi="Arial" w:cs="Arial"/>
          <w:bCs/>
          <w:smallCaps/>
          <w:spacing w:val="-3"/>
          <w:lang w:val="es-ES_tradnl"/>
        </w:rPr>
        <w:t xml:space="preserve"> A,</w:t>
      </w:r>
    </w:p>
    <w:p w:rsidR="003158A3" w:rsidRPr="00902B91"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8"/>
          <w:lang w:val="es-ES_tradnl"/>
        </w:rPr>
      </w:pPr>
    </w:p>
    <w:p w:rsidR="003158A3" w:rsidRDefault="00C028E8" w:rsidP="003158A3">
      <w:pPr>
        <w:widowControl/>
        <w:numPr>
          <w:ilvl w:val="0"/>
          <w:numId w:val="40"/>
        </w:numPr>
        <w:tabs>
          <w:tab w:val="clear" w:pos="360"/>
          <w:tab w:val="num" w:pos="720"/>
        </w:tabs>
        <w:autoSpaceDE/>
        <w:adjustRightInd/>
        <w:spacing w:line="360" w:lineRule="auto"/>
        <w:jc w:val="both"/>
        <w:rPr>
          <w:rFonts w:ascii="Arial" w:hAnsi="Arial" w:cs="Arial"/>
          <w:lang w:val="es-CO"/>
        </w:rPr>
      </w:pPr>
      <w:r>
        <w:rPr>
          <w:rFonts w:ascii="Arial" w:hAnsi="Arial" w:cs="Arial"/>
          <w:lang w:val="es-CO"/>
        </w:rPr>
        <w:t>CONFIRMAR</w:t>
      </w:r>
      <w:r w:rsidR="003158A3" w:rsidRPr="00902B91">
        <w:rPr>
          <w:rFonts w:ascii="Arial" w:hAnsi="Arial" w:cs="Arial"/>
          <w:lang w:val="es-CO"/>
        </w:rPr>
        <w:t xml:space="preserve"> </w:t>
      </w:r>
      <w:r w:rsidR="003158A3" w:rsidRPr="00902B91">
        <w:rPr>
          <w:rFonts w:ascii="Arial" w:hAnsi="Arial"/>
          <w:spacing w:val="-3"/>
          <w:lang w:val="es-ES_tradnl"/>
        </w:rPr>
        <w:t xml:space="preserve">la sentencia </w:t>
      </w:r>
      <w:r w:rsidR="00E23846" w:rsidRPr="00902B91">
        <w:rPr>
          <w:rFonts w:ascii="Arial" w:hAnsi="Arial"/>
          <w:spacing w:val="-3"/>
          <w:lang w:val="es-ES_tradnl"/>
        </w:rPr>
        <w:t xml:space="preserve">proferida el </w:t>
      </w:r>
      <w:r w:rsidR="000322AC">
        <w:rPr>
          <w:rFonts w:ascii="Arial" w:hAnsi="Arial" w:cs="Arial"/>
        </w:rPr>
        <w:t>06-04-2017</w:t>
      </w:r>
      <w:r w:rsidR="00E23846" w:rsidRPr="00902B91">
        <w:rPr>
          <w:rFonts w:ascii="Arial" w:hAnsi="Arial" w:cs="Arial"/>
        </w:rPr>
        <w:t>,</w:t>
      </w:r>
      <w:r w:rsidR="003158A3" w:rsidRPr="00902B91">
        <w:rPr>
          <w:rFonts w:ascii="Arial" w:hAnsi="Arial" w:cs="Arial"/>
        </w:rPr>
        <w:t xml:space="preserve"> </w:t>
      </w:r>
      <w:r w:rsidR="00E23846" w:rsidRPr="00902B91">
        <w:rPr>
          <w:rFonts w:ascii="Arial" w:hAnsi="Arial" w:cs="Arial"/>
        </w:rPr>
        <w:t xml:space="preserve">por </w:t>
      </w:r>
      <w:r w:rsidR="003158A3" w:rsidRPr="00902B91">
        <w:rPr>
          <w:rFonts w:ascii="Arial" w:hAnsi="Arial" w:cs="Arial"/>
          <w:lang w:val="es-CO"/>
        </w:rPr>
        <w:t xml:space="preserve">del Juzgado </w:t>
      </w:r>
      <w:r w:rsidR="000322AC">
        <w:rPr>
          <w:rFonts w:ascii="Arial" w:hAnsi="Arial" w:cs="Arial"/>
          <w:lang w:val="es-CO"/>
        </w:rPr>
        <w:t xml:space="preserve">Segundo </w:t>
      </w:r>
      <w:r w:rsidR="00A51E0E">
        <w:rPr>
          <w:rFonts w:ascii="Arial" w:hAnsi="Arial" w:cs="Arial"/>
          <w:lang w:val="es-CO"/>
        </w:rPr>
        <w:t xml:space="preserve">Civil del Circuito de </w:t>
      </w:r>
      <w:r w:rsidR="003158A3" w:rsidRPr="00902B91">
        <w:rPr>
          <w:rFonts w:ascii="Arial" w:hAnsi="Arial" w:cs="Arial"/>
          <w:lang w:val="es-CO"/>
        </w:rPr>
        <w:t xml:space="preserve">Pereira. </w:t>
      </w:r>
    </w:p>
    <w:p w:rsidR="000322AC" w:rsidRPr="00CB1012" w:rsidRDefault="000322AC" w:rsidP="000322AC">
      <w:pPr>
        <w:widowControl/>
        <w:autoSpaceDE/>
        <w:autoSpaceDN/>
        <w:adjustRightInd/>
        <w:spacing w:line="360" w:lineRule="auto"/>
        <w:ind w:left="360"/>
        <w:jc w:val="both"/>
        <w:rPr>
          <w:rFonts w:ascii="Arial" w:hAnsi="Arial" w:cs="Arial"/>
          <w:sz w:val="18"/>
          <w:lang w:val="es-CO"/>
        </w:rPr>
      </w:pPr>
    </w:p>
    <w:p w:rsidR="000322AC" w:rsidRPr="008A1328" w:rsidRDefault="000322AC" w:rsidP="000322AC">
      <w:pPr>
        <w:widowControl/>
        <w:numPr>
          <w:ilvl w:val="0"/>
          <w:numId w:val="40"/>
        </w:numPr>
        <w:autoSpaceDE/>
        <w:autoSpaceDN/>
        <w:adjustRightInd/>
        <w:spacing w:line="360" w:lineRule="auto"/>
        <w:jc w:val="both"/>
        <w:rPr>
          <w:rFonts w:ascii="Arial" w:hAnsi="Arial" w:cs="Arial"/>
          <w:lang w:val="es-CO"/>
        </w:rPr>
      </w:pPr>
      <w:r>
        <w:rPr>
          <w:rFonts w:ascii="Arial" w:hAnsi="Arial" w:cs="Arial"/>
          <w:lang w:val="es-CO"/>
        </w:rPr>
        <w:t xml:space="preserve">MODIFICAR </w:t>
      </w:r>
      <w:r w:rsidRPr="00D67F8E">
        <w:rPr>
          <w:rFonts w:ascii="Arial" w:hAnsi="Arial" w:cs="Arial"/>
          <w:spacing w:val="-3"/>
          <w:lang w:val="es-ES_tradnl"/>
        </w:rPr>
        <w:t>el numeral 1° del</w:t>
      </w:r>
      <w:r>
        <w:rPr>
          <w:rFonts w:ascii="Arial" w:hAnsi="Arial" w:cs="Arial"/>
          <w:spacing w:val="-3"/>
          <w:lang w:val="es-ES_tradnl"/>
        </w:rPr>
        <w:t xml:space="preserve"> precitado fallo, para DECLARAR improcedente la acción</w:t>
      </w:r>
      <w:r>
        <w:rPr>
          <w:rFonts w:ascii="Arial" w:hAnsi="Arial" w:cs="Arial"/>
          <w:lang w:val="es-CO"/>
        </w:rPr>
        <w:t>.</w:t>
      </w:r>
    </w:p>
    <w:p w:rsidR="008B10CC" w:rsidRPr="00902B91" w:rsidRDefault="008B10CC" w:rsidP="008B10CC">
      <w:pPr>
        <w:widowControl/>
        <w:autoSpaceDE/>
        <w:adjustRightInd/>
        <w:spacing w:line="360" w:lineRule="auto"/>
        <w:ind w:left="360"/>
        <w:jc w:val="both"/>
        <w:rPr>
          <w:rFonts w:ascii="Arial" w:hAnsi="Arial" w:cs="Arial"/>
          <w:lang w:val="es-CO"/>
        </w:rPr>
      </w:pPr>
    </w:p>
    <w:p w:rsidR="003158A3" w:rsidRPr="00902B91" w:rsidRDefault="003158A3" w:rsidP="003158A3">
      <w:pPr>
        <w:pStyle w:val="Corpsdetexte"/>
        <w:numPr>
          <w:ilvl w:val="0"/>
          <w:numId w:val="40"/>
        </w:numPr>
        <w:tabs>
          <w:tab w:val="clear" w:pos="360"/>
          <w:tab w:val="clear" w:pos="708"/>
          <w:tab w:val="clear" w:pos="1416"/>
          <w:tab w:val="left" w:pos="426"/>
          <w:tab w:val="num" w:pos="720"/>
        </w:tabs>
        <w:spacing w:line="360" w:lineRule="auto"/>
        <w:textAlignment w:val="auto"/>
        <w:rPr>
          <w:rFonts w:ascii="Arial" w:hAnsi="Arial" w:cs="Arial"/>
          <w:sz w:val="24"/>
          <w:szCs w:val="24"/>
        </w:rPr>
      </w:pPr>
      <w:r w:rsidRPr="00902B91">
        <w:rPr>
          <w:rFonts w:ascii="Arial" w:hAnsi="Arial" w:cs="Arial"/>
          <w:sz w:val="24"/>
          <w:szCs w:val="24"/>
        </w:rPr>
        <w:t>NOTIFICAR esta decisión a todas las partes, por el medio más expedito y eficaz.</w:t>
      </w:r>
    </w:p>
    <w:p w:rsidR="008B10CC" w:rsidRDefault="008B10CC" w:rsidP="008B10CC">
      <w:pPr>
        <w:pStyle w:val="Corpsdetexte"/>
        <w:tabs>
          <w:tab w:val="clear" w:pos="708"/>
          <w:tab w:val="clear" w:pos="1416"/>
          <w:tab w:val="left" w:pos="426"/>
        </w:tabs>
        <w:spacing w:line="360" w:lineRule="auto"/>
        <w:ind w:left="360"/>
        <w:textAlignment w:val="auto"/>
        <w:rPr>
          <w:rFonts w:ascii="Arial" w:hAnsi="Arial" w:cs="Arial"/>
          <w:sz w:val="24"/>
          <w:szCs w:val="24"/>
        </w:rPr>
      </w:pPr>
    </w:p>
    <w:p w:rsidR="003158A3" w:rsidRPr="00902B91" w:rsidRDefault="003158A3" w:rsidP="003158A3">
      <w:pPr>
        <w:pStyle w:val="Corpsdetexte"/>
        <w:numPr>
          <w:ilvl w:val="0"/>
          <w:numId w:val="40"/>
        </w:numPr>
        <w:tabs>
          <w:tab w:val="clear" w:pos="360"/>
          <w:tab w:val="clear" w:pos="708"/>
          <w:tab w:val="clear" w:pos="1416"/>
          <w:tab w:val="left" w:pos="426"/>
          <w:tab w:val="num" w:pos="720"/>
        </w:tabs>
        <w:spacing w:line="360" w:lineRule="auto"/>
        <w:textAlignment w:val="auto"/>
        <w:rPr>
          <w:rFonts w:ascii="Arial" w:hAnsi="Arial" w:cs="Arial"/>
          <w:sz w:val="24"/>
          <w:szCs w:val="24"/>
        </w:rPr>
      </w:pPr>
      <w:r w:rsidRPr="00902B91">
        <w:rPr>
          <w:rFonts w:ascii="Arial" w:hAnsi="Arial" w:cs="Arial"/>
          <w:sz w:val="24"/>
          <w:szCs w:val="24"/>
        </w:rPr>
        <w:t xml:space="preserve">REMITIR el expediente a la </w:t>
      </w:r>
      <w:r w:rsidR="00267902">
        <w:rPr>
          <w:rFonts w:ascii="Arial" w:hAnsi="Arial" w:cs="Arial"/>
          <w:sz w:val="24"/>
          <w:szCs w:val="24"/>
        </w:rPr>
        <w:t>CC</w:t>
      </w:r>
      <w:r w:rsidRPr="00902B91">
        <w:rPr>
          <w:rFonts w:ascii="Arial" w:hAnsi="Arial" w:cs="Arial"/>
          <w:sz w:val="24"/>
          <w:szCs w:val="24"/>
        </w:rPr>
        <w:t xml:space="preserve"> para su eventual revisión. </w:t>
      </w:r>
    </w:p>
    <w:p w:rsidR="008B10CC" w:rsidRPr="0015781C" w:rsidRDefault="008B10CC" w:rsidP="00F839CE">
      <w:pPr>
        <w:pStyle w:val="Corpsdetexte"/>
        <w:spacing w:line="360" w:lineRule="auto"/>
        <w:jc w:val="center"/>
        <w:rPr>
          <w:rFonts w:ascii="Arial" w:hAnsi="Arial"/>
          <w:smallCaps/>
          <w:szCs w:val="24"/>
          <w:lang w:val="es-CO"/>
        </w:rPr>
      </w:pPr>
    </w:p>
    <w:p w:rsidR="003913E3" w:rsidRPr="008B10CC" w:rsidRDefault="003913E3" w:rsidP="00F839CE">
      <w:pPr>
        <w:pStyle w:val="Corpsdetexte"/>
        <w:spacing w:line="360" w:lineRule="auto"/>
        <w:jc w:val="center"/>
        <w:rPr>
          <w:rFonts w:ascii="Arial" w:hAnsi="Arial"/>
          <w:smallCaps/>
          <w:sz w:val="24"/>
          <w:szCs w:val="24"/>
          <w:lang w:val="en-US"/>
        </w:rPr>
      </w:pPr>
      <w:proofErr w:type="spellStart"/>
      <w:r w:rsidRPr="008B10CC">
        <w:rPr>
          <w:rFonts w:ascii="Arial" w:hAnsi="Arial"/>
          <w:smallCaps/>
          <w:sz w:val="28"/>
          <w:szCs w:val="24"/>
          <w:lang w:val="en-US"/>
        </w:rPr>
        <w:t>Notifíquese</w:t>
      </w:r>
      <w:proofErr w:type="spellEnd"/>
      <w:r w:rsidRPr="008B10CC">
        <w:rPr>
          <w:rFonts w:ascii="Arial" w:hAnsi="Arial"/>
          <w:smallCaps/>
          <w:sz w:val="28"/>
          <w:szCs w:val="24"/>
          <w:lang w:val="en-US"/>
        </w:rPr>
        <w:t>,</w:t>
      </w:r>
    </w:p>
    <w:p w:rsidR="006663F5" w:rsidRPr="00C2274B"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6663F5" w:rsidRPr="000C67EE"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40"/>
          <w:lang w:val="en-GB"/>
        </w:rPr>
      </w:pPr>
    </w:p>
    <w:p w:rsidR="006663F5" w:rsidRPr="0015781C"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proofErr w:type="spellStart"/>
      <w:r w:rsidRPr="0015781C">
        <w:rPr>
          <w:rFonts w:ascii="Arial" w:hAnsi="Arial" w:cs="Arial"/>
          <w:i/>
          <w:spacing w:val="-3"/>
          <w:w w:val="150"/>
          <w:sz w:val="32"/>
          <w:szCs w:val="18"/>
          <w:lang w:val="en-GB"/>
        </w:rPr>
        <w:t>D</w:t>
      </w:r>
      <w:r w:rsidRPr="0015781C">
        <w:rPr>
          <w:rFonts w:ascii="Arial" w:hAnsi="Arial" w:cs="Arial"/>
          <w:i/>
          <w:spacing w:val="-3"/>
          <w:w w:val="150"/>
          <w:sz w:val="18"/>
          <w:szCs w:val="18"/>
          <w:lang w:val="en-GB"/>
        </w:rPr>
        <w:t>UBERNEY</w:t>
      </w:r>
      <w:proofErr w:type="spellEnd"/>
      <w:r w:rsidRPr="0015781C">
        <w:rPr>
          <w:rFonts w:ascii="Arial" w:hAnsi="Arial" w:cs="Arial"/>
          <w:i/>
          <w:spacing w:val="-3"/>
          <w:w w:val="150"/>
          <w:sz w:val="18"/>
          <w:szCs w:val="18"/>
          <w:lang w:val="en-GB"/>
        </w:rPr>
        <w:t xml:space="preserve"> </w:t>
      </w:r>
      <w:proofErr w:type="spellStart"/>
      <w:r w:rsidRPr="0015781C">
        <w:rPr>
          <w:rFonts w:ascii="Arial" w:hAnsi="Arial" w:cs="Arial"/>
          <w:i/>
          <w:spacing w:val="-3"/>
          <w:w w:val="150"/>
          <w:sz w:val="28"/>
          <w:szCs w:val="18"/>
          <w:lang w:val="en-GB"/>
        </w:rPr>
        <w:t>G</w:t>
      </w:r>
      <w:r w:rsidRPr="0015781C">
        <w:rPr>
          <w:rFonts w:ascii="Arial" w:hAnsi="Arial" w:cs="Arial"/>
          <w:i/>
          <w:spacing w:val="-3"/>
          <w:w w:val="150"/>
          <w:sz w:val="18"/>
          <w:szCs w:val="18"/>
          <w:lang w:val="en-GB"/>
        </w:rPr>
        <w:t>RISALES</w:t>
      </w:r>
      <w:proofErr w:type="spellEnd"/>
      <w:r w:rsidRPr="0015781C">
        <w:rPr>
          <w:rFonts w:ascii="Arial" w:hAnsi="Arial" w:cs="Arial"/>
          <w:i/>
          <w:spacing w:val="-3"/>
          <w:w w:val="150"/>
          <w:sz w:val="18"/>
          <w:szCs w:val="18"/>
          <w:lang w:val="en-GB"/>
        </w:rPr>
        <w:t xml:space="preserve"> </w:t>
      </w:r>
      <w:r w:rsidRPr="0015781C">
        <w:rPr>
          <w:rFonts w:ascii="Arial" w:hAnsi="Arial" w:cs="Arial"/>
          <w:i/>
          <w:spacing w:val="-3"/>
          <w:w w:val="150"/>
          <w:sz w:val="28"/>
          <w:szCs w:val="18"/>
          <w:lang w:val="en-GB"/>
        </w:rPr>
        <w:t>H</w:t>
      </w:r>
      <w:r w:rsidRPr="0015781C">
        <w:rPr>
          <w:rFonts w:ascii="Arial" w:hAnsi="Arial" w:cs="Arial"/>
          <w:i/>
          <w:spacing w:val="-3"/>
          <w:w w:val="150"/>
          <w:sz w:val="18"/>
          <w:szCs w:val="18"/>
          <w:lang w:val="en-GB"/>
        </w:rPr>
        <w:t>ERRERA</w:t>
      </w:r>
    </w:p>
    <w:p w:rsidR="006663F5" w:rsidRPr="0015781C"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n-GB"/>
        </w:rPr>
      </w:pPr>
      <w:r w:rsidRPr="0015781C">
        <w:rPr>
          <w:rFonts w:ascii="Arial" w:hAnsi="Arial" w:cs="Arial"/>
          <w:i/>
          <w:spacing w:val="-3"/>
          <w:w w:val="150"/>
          <w:sz w:val="32"/>
          <w:lang w:val="en-GB"/>
        </w:rPr>
        <w:t>M</w:t>
      </w:r>
      <w:r w:rsidRPr="0015781C">
        <w:rPr>
          <w:rFonts w:ascii="Arial" w:hAnsi="Arial" w:cs="Arial"/>
          <w:i/>
          <w:spacing w:val="-3"/>
          <w:w w:val="150"/>
          <w:sz w:val="16"/>
          <w:lang w:val="en-GB"/>
        </w:rPr>
        <w:t xml:space="preserve"> </w:t>
      </w:r>
      <w:r w:rsidRPr="0015781C">
        <w:rPr>
          <w:rFonts w:ascii="Arial" w:hAnsi="Arial" w:cs="Arial"/>
          <w:i/>
          <w:spacing w:val="-3"/>
          <w:w w:val="150"/>
          <w:sz w:val="18"/>
          <w:szCs w:val="20"/>
          <w:lang w:val="en-GB"/>
        </w:rPr>
        <w:t>A G I S T R A D O</w:t>
      </w:r>
    </w:p>
    <w:p w:rsidR="00C90241" w:rsidRPr="0015781C" w:rsidRDefault="00C90241"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44"/>
          <w:lang w:val="en-GB"/>
        </w:rPr>
      </w:pPr>
    </w:p>
    <w:p w:rsidR="006663F5" w:rsidRPr="0015781C"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lang w:val="en-GB"/>
        </w:rPr>
      </w:pPr>
    </w:p>
    <w:p w:rsidR="00E23846" w:rsidRPr="00E23846" w:rsidRDefault="00E23846" w:rsidP="00E238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proofErr w:type="gramStart"/>
      <w:r w:rsidRPr="00E23846">
        <w:rPr>
          <w:rFonts w:ascii="Arial" w:hAnsi="Arial"/>
          <w:i/>
          <w:w w:val="150"/>
          <w:sz w:val="28"/>
          <w:szCs w:val="18"/>
          <w:lang w:val="en-US"/>
        </w:rPr>
        <w:t>E</w:t>
      </w:r>
      <w:r w:rsidRPr="00E23846">
        <w:rPr>
          <w:rFonts w:ascii="Arial" w:hAnsi="Arial"/>
          <w:i/>
          <w:w w:val="150"/>
          <w:sz w:val="18"/>
          <w:szCs w:val="18"/>
          <w:lang w:val="en-US"/>
        </w:rPr>
        <w:t>DDER</w:t>
      </w:r>
      <w:proofErr w:type="spellEnd"/>
      <w:r w:rsidRPr="00E23846">
        <w:rPr>
          <w:rFonts w:ascii="Arial" w:hAnsi="Arial"/>
          <w:i/>
          <w:w w:val="150"/>
          <w:sz w:val="18"/>
          <w:lang w:val="en-US"/>
        </w:rPr>
        <w:t xml:space="preserve"> </w:t>
      </w:r>
      <w:r w:rsidRPr="00E23846">
        <w:rPr>
          <w:rFonts w:ascii="Arial" w:hAnsi="Arial"/>
          <w:i/>
          <w:w w:val="150"/>
          <w:sz w:val="28"/>
          <w:lang w:val="en-US"/>
        </w:rPr>
        <w:t>J</w:t>
      </w:r>
      <w:r w:rsidRPr="00E23846">
        <w:rPr>
          <w:rFonts w:ascii="Arial" w:hAnsi="Arial"/>
          <w:i/>
          <w:w w:val="150"/>
          <w:sz w:val="18"/>
          <w:szCs w:val="18"/>
          <w:lang w:val="en-US"/>
        </w:rPr>
        <w:t xml:space="preserve">IMMY </w:t>
      </w:r>
      <w:r w:rsidRPr="00E23846">
        <w:rPr>
          <w:rFonts w:ascii="Arial" w:hAnsi="Arial"/>
          <w:i/>
          <w:w w:val="150"/>
          <w:sz w:val="28"/>
          <w:lang w:val="en-US"/>
        </w:rPr>
        <w:t>S</w:t>
      </w:r>
      <w:r w:rsidRPr="00E23846">
        <w:rPr>
          <w:rFonts w:ascii="Arial" w:hAnsi="Arial"/>
          <w:i/>
          <w:w w:val="150"/>
          <w:sz w:val="18"/>
          <w:szCs w:val="18"/>
          <w:lang w:val="en-US"/>
        </w:rPr>
        <w:t xml:space="preserve">ÁNCHEZ </w:t>
      </w:r>
      <w:r w:rsidRPr="00E23846">
        <w:rPr>
          <w:rFonts w:ascii="Arial" w:hAnsi="Arial"/>
          <w:i/>
          <w:w w:val="150"/>
          <w:sz w:val="28"/>
          <w:szCs w:val="18"/>
          <w:lang w:val="en-US"/>
        </w:rPr>
        <w:t>C.</w:t>
      </w:r>
      <w:proofErr w:type="gramEnd"/>
      <w:r w:rsidRPr="00E23846">
        <w:rPr>
          <w:rFonts w:ascii="Arial" w:hAnsi="Arial"/>
          <w:i/>
          <w:w w:val="150"/>
          <w:sz w:val="28"/>
          <w:szCs w:val="18"/>
          <w:lang w:val="en-US"/>
        </w:rPr>
        <w:tab/>
      </w:r>
      <w:r w:rsidRPr="00E23846">
        <w:rPr>
          <w:rFonts w:ascii="Arial" w:hAnsi="Arial"/>
          <w:i/>
          <w:w w:val="150"/>
          <w:sz w:val="28"/>
          <w:szCs w:val="18"/>
          <w:lang w:val="en-US"/>
        </w:rPr>
        <w:tab/>
      </w:r>
      <w:r w:rsidRPr="00E23846">
        <w:rPr>
          <w:rFonts w:ascii="Arial" w:hAnsi="Arial" w:cs="Arial"/>
          <w:i/>
          <w:spacing w:val="-3"/>
          <w:w w:val="150"/>
          <w:sz w:val="28"/>
          <w:szCs w:val="18"/>
          <w:lang w:val="en-US"/>
        </w:rPr>
        <w:t>J</w:t>
      </w:r>
      <w:r w:rsidRPr="00E23846">
        <w:rPr>
          <w:rFonts w:ascii="Arial" w:hAnsi="Arial" w:cs="Arial"/>
          <w:i/>
          <w:spacing w:val="-3"/>
          <w:w w:val="150"/>
          <w:sz w:val="18"/>
          <w:szCs w:val="18"/>
          <w:lang w:val="en-US"/>
        </w:rPr>
        <w:t xml:space="preserve">AIME </w:t>
      </w:r>
      <w:r w:rsidRPr="00E23846">
        <w:rPr>
          <w:rFonts w:ascii="Arial" w:hAnsi="Arial" w:cs="Arial"/>
          <w:i/>
          <w:spacing w:val="-3"/>
          <w:w w:val="150"/>
          <w:sz w:val="28"/>
          <w:szCs w:val="18"/>
          <w:lang w:val="en-US"/>
        </w:rPr>
        <w:t>A</w:t>
      </w:r>
      <w:r w:rsidRPr="00E23846">
        <w:rPr>
          <w:rFonts w:ascii="Arial" w:hAnsi="Arial"/>
          <w:i/>
          <w:w w:val="150"/>
          <w:sz w:val="18"/>
          <w:szCs w:val="18"/>
          <w:lang w:val="en-US"/>
        </w:rPr>
        <w:t xml:space="preserve">LBERTO </w:t>
      </w:r>
      <w:r w:rsidRPr="00E23846">
        <w:rPr>
          <w:rFonts w:ascii="Arial" w:hAnsi="Arial" w:cs="Arial"/>
          <w:i/>
          <w:spacing w:val="-3"/>
          <w:w w:val="150"/>
          <w:sz w:val="28"/>
          <w:szCs w:val="18"/>
          <w:lang w:val="en-US"/>
        </w:rPr>
        <w:t>S</w:t>
      </w:r>
      <w:r w:rsidRPr="00E23846">
        <w:rPr>
          <w:rFonts w:ascii="Arial" w:hAnsi="Arial" w:cs="Arial"/>
          <w:i/>
          <w:spacing w:val="-3"/>
          <w:w w:val="150"/>
          <w:sz w:val="18"/>
          <w:szCs w:val="16"/>
          <w:lang w:val="en-US"/>
        </w:rPr>
        <w:t xml:space="preserve">ARAZA </w:t>
      </w:r>
      <w:r w:rsidRPr="00E23846">
        <w:rPr>
          <w:rFonts w:ascii="Arial" w:hAnsi="Arial" w:cs="Arial"/>
          <w:i/>
          <w:spacing w:val="-3"/>
          <w:w w:val="150"/>
          <w:sz w:val="28"/>
          <w:szCs w:val="18"/>
          <w:lang w:val="en-US"/>
        </w:rPr>
        <w:t>N.</w:t>
      </w:r>
    </w:p>
    <w:p w:rsidR="00170C5C" w:rsidRDefault="00E23846" w:rsidP="007024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E23846">
        <w:rPr>
          <w:rFonts w:ascii="Arial" w:hAnsi="Arial" w:cs="Arial"/>
          <w:i/>
          <w:w w:val="150"/>
          <w:sz w:val="28"/>
          <w:lang w:val="en-US"/>
        </w:rPr>
        <w:tab/>
      </w:r>
      <w:r w:rsidRPr="00E23846">
        <w:rPr>
          <w:rFonts w:ascii="Arial" w:hAnsi="Arial" w:cs="Arial"/>
          <w:i/>
          <w:w w:val="150"/>
          <w:sz w:val="28"/>
          <w:lang w:val="en-GB"/>
        </w:rPr>
        <w:t>M</w:t>
      </w:r>
      <w:r w:rsidRPr="00E23846">
        <w:rPr>
          <w:rFonts w:ascii="Arial" w:hAnsi="Arial" w:cs="Arial"/>
          <w:i/>
          <w:w w:val="150"/>
          <w:sz w:val="18"/>
          <w:lang w:val="en-GB"/>
        </w:rPr>
        <w:t xml:space="preserve"> A G I S T R A D O </w:t>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28"/>
          <w:lang w:val="en-GB"/>
        </w:rPr>
        <w:t>M</w:t>
      </w:r>
      <w:r w:rsidRPr="00E23846">
        <w:rPr>
          <w:rFonts w:ascii="Arial" w:hAnsi="Arial" w:cs="Arial"/>
          <w:i/>
          <w:w w:val="150"/>
          <w:sz w:val="18"/>
          <w:lang w:val="en-GB"/>
        </w:rPr>
        <w:t xml:space="preserve"> A G I S T R A D O</w:t>
      </w:r>
    </w:p>
    <w:p w:rsidR="001C5E99" w:rsidRPr="001C5E99" w:rsidRDefault="001C5E99" w:rsidP="001C5E9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0"/>
          <w:szCs w:val="16"/>
          <w:lang w:val="en-GB"/>
        </w:rPr>
      </w:pPr>
      <w:r>
        <w:rPr>
          <w:rFonts w:ascii="Arial" w:hAnsi="Arial" w:cs="Arial"/>
          <w:i/>
          <w:w w:val="150"/>
          <w:sz w:val="10"/>
          <w:lang w:val="en-GB"/>
        </w:rPr>
        <w:t>DGH/ODCD/2017</w:t>
      </w:r>
    </w:p>
    <w:sectPr w:rsidR="001C5E99" w:rsidRPr="001C5E99" w:rsidSect="00836464">
      <w:headerReference w:type="even" r:id="rId10"/>
      <w:headerReference w:type="default" r:id="rId11"/>
      <w:footerReference w:type="even" r:id="rId12"/>
      <w:footerReference w:type="default" r:id="rId13"/>
      <w:headerReference w:type="first" r:id="rId14"/>
      <w:footerReference w:type="first" r:id="rId15"/>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96" w:rsidRDefault="00B31296" w:rsidP="002F20AB">
      <w:r>
        <w:separator/>
      </w:r>
    </w:p>
  </w:endnote>
  <w:endnote w:type="continuationSeparator" w:id="0">
    <w:p w:rsidR="00B31296" w:rsidRDefault="00B31296"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ttawa">
    <w:altName w:val="Ottawa"/>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00" w:rsidRDefault="00AD5900">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AD5900" w:rsidRDefault="00AD590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00" w:rsidRPr="00F839CE" w:rsidRDefault="00AD5900" w:rsidP="00A67268">
    <w:pPr>
      <w:pStyle w:val="Pieddepage"/>
      <w:pBdr>
        <w:bottom w:val="double" w:sz="6" w:space="1" w:color="auto"/>
      </w:pBdr>
      <w:spacing w:line="360" w:lineRule="auto"/>
      <w:rPr>
        <w:rFonts w:ascii="Arial" w:hAnsi="Arial" w:cs="Arial"/>
        <w:spacing w:val="20"/>
        <w:w w:val="200"/>
        <w:sz w:val="14"/>
        <w:szCs w:val="10"/>
        <w:lang w:val="es-ES"/>
      </w:rPr>
    </w:pPr>
  </w:p>
  <w:p w:rsidR="00AD5900" w:rsidRDefault="00AD5900" w:rsidP="00751EE2">
    <w:pPr>
      <w:pStyle w:val="Pieddepage"/>
      <w:spacing w:line="360" w:lineRule="auto"/>
      <w:jc w:val="right"/>
      <w:rPr>
        <w:rFonts w:ascii="Arial" w:hAnsi="Arial" w:cs="Arial"/>
        <w:spacing w:val="20"/>
        <w:w w:val="200"/>
        <w:sz w:val="14"/>
        <w:szCs w:val="10"/>
      </w:rPr>
    </w:pPr>
  </w:p>
  <w:p w:rsidR="00AD5900" w:rsidRPr="00C53999" w:rsidRDefault="00AD5900"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AD5900" w:rsidRPr="00C53999" w:rsidRDefault="00AD5900"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00" w:rsidRPr="00C53999" w:rsidRDefault="00AD5900"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AD5900" w:rsidRPr="00213147" w:rsidRDefault="00AD5900"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96" w:rsidRDefault="00B31296" w:rsidP="002F20AB">
      <w:r>
        <w:separator/>
      </w:r>
    </w:p>
  </w:footnote>
  <w:footnote w:type="continuationSeparator" w:id="0">
    <w:p w:rsidR="00B31296" w:rsidRDefault="00B31296" w:rsidP="002F20AB">
      <w:r>
        <w:continuationSeparator/>
      </w:r>
    </w:p>
  </w:footnote>
  <w:footnote w:id="1">
    <w:p w:rsidR="00FF6885" w:rsidRPr="0015781C" w:rsidRDefault="00FF6885" w:rsidP="00FF6885">
      <w:pPr>
        <w:pStyle w:val="Notedebasdepage"/>
        <w:jc w:val="both"/>
        <w:rPr>
          <w:rFonts w:ascii="Calibri" w:hAnsi="Calibri"/>
          <w:lang w:val="es-CO"/>
        </w:rPr>
      </w:pPr>
      <w:r w:rsidRPr="00FF6885">
        <w:rPr>
          <w:rStyle w:val="Appelnotedebasdep"/>
          <w:rFonts w:ascii="Calibri" w:hAnsi="Calibri" w:cs="Calibri"/>
        </w:rPr>
        <w:footnoteRef/>
      </w:r>
      <w:r w:rsidRPr="0015781C">
        <w:rPr>
          <w:rFonts w:ascii="Calibri" w:hAnsi="Calibri" w:cs="Calibri"/>
          <w:lang w:val="es-CO"/>
        </w:rPr>
        <w:t xml:space="preserve"> QUINCHE R., Manuel F. Vías de hecho, acción de tutela contra providencias, Editorial Temis </w:t>
      </w:r>
      <w:proofErr w:type="spellStart"/>
      <w:r w:rsidRPr="0015781C">
        <w:rPr>
          <w:rFonts w:ascii="Calibri" w:hAnsi="Calibri" w:cs="Calibri"/>
          <w:lang w:val="es-CO"/>
        </w:rPr>
        <w:t>SA</w:t>
      </w:r>
      <w:proofErr w:type="spellEnd"/>
      <w:r w:rsidRPr="0015781C">
        <w:rPr>
          <w:rFonts w:ascii="Calibri" w:hAnsi="Calibri" w:cs="Calibri"/>
          <w:lang w:val="es-CO"/>
        </w:rPr>
        <w:t xml:space="preserve">, Bogotá, 2013, </w:t>
      </w:r>
      <w:proofErr w:type="spellStart"/>
      <w:r w:rsidRPr="0015781C">
        <w:rPr>
          <w:rFonts w:ascii="Calibri" w:hAnsi="Calibri" w:cs="Calibri"/>
          <w:lang w:val="es-CO"/>
        </w:rPr>
        <w:t>p.103</w:t>
      </w:r>
      <w:proofErr w:type="spellEnd"/>
      <w:r w:rsidRPr="0015781C">
        <w:rPr>
          <w:rFonts w:ascii="Calibri" w:hAnsi="Calibri" w:cs="Calibri"/>
          <w:lang w:val="es-CO"/>
        </w:rPr>
        <w:t>.</w:t>
      </w:r>
    </w:p>
  </w:footnote>
  <w:footnote w:id="2">
    <w:p w:rsidR="00FF6885" w:rsidRPr="0015781C" w:rsidRDefault="00FF6885" w:rsidP="00FF6885">
      <w:pPr>
        <w:pStyle w:val="Notedebasdepage"/>
        <w:jc w:val="both"/>
        <w:rPr>
          <w:rFonts w:ascii="Calibri" w:hAnsi="Calibri"/>
          <w:lang w:val="es-CO"/>
        </w:rPr>
      </w:pPr>
      <w:r w:rsidRPr="00FF6885">
        <w:rPr>
          <w:rStyle w:val="Appelnotedebasdep"/>
          <w:rFonts w:ascii="Calibri" w:hAnsi="Calibri"/>
        </w:rPr>
        <w:footnoteRef/>
      </w:r>
      <w:r w:rsidRPr="0015781C">
        <w:rPr>
          <w:rFonts w:ascii="Calibri" w:hAnsi="Calibri"/>
          <w:lang w:val="es-CO"/>
        </w:rPr>
        <w:t xml:space="preserve"> </w:t>
      </w:r>
      <w:r w:rsidRPr="0015781C">
        <w:rPr>
          <w:rFonts w:ascii="Calibri" w:hAnsi="Calibri" w:cs="Calibri"/>
          <w:lang w:val="es-CO"/>
        </w:rPr>
        <w:t xml:space="preserve">QUIROGA N., Édgar A. Tutela contra decisiones judiciales, Universidad Santo Tomás y editorial Ibáñez, Bogotá DC, 2014, </w:t>
      </w:r>
      <w:proofErr w:type="spellStart"/>
      <w:r w:rsidRPr="0015781C">
        <w:rPr>
          <w:rFonts w:ascii="Calibri" w:hAnsi="Calibri" w:cs="Calibri"/>
          <w:lang w:val="es-CO"/>
        </w:rPr>
        <w:t>p.83</w:t>
      </w:r>
      <w:proofErr w:type="spellEnd"/>
      <w:r w:rsidRPr="0015781C">
        <w:rPr>
          <w:rFonts w:ascii="Calibri" w:hAnsi="Calibri" w:cs="Calibri"/>
          <w:lang w:val="es-CO"/>
        </w:rPr>
        <w:t>.</w:t>
      </w:r>
    </w:p>
  </w:footnote>
  <w:footnote w:id="3">
    <w:p w:rsidR="00FF6885" w:rsidRPr="0015781C" w:rsidRDefault="00FF6885" w:rsidP="00FF6885">
      <w:pPr>
        <w:pStyle w:val="Notedebasdepage"/>
        <w:jc w:val="both"/>
        <w:rPr>
          <w:rFonts w:ascii="Calibri" w:hAnsi="Calibri"/>
          <w:lang w:val="fr-FR"/>
        </w:rPr>
      </w:pPr>
      <w:r w:rsidRPr="00FF6885">
        <w:rPr>
          <w:rStyle w:val="Appelnotedebasdep"/>
          <w:rFonts w:ascii="Calibri" w:hAnsi="Calibri" w:cs="Calibri"/>
        </w:rPr>
        <w:footnoteRef/>
      </w:r>
      <w:r w:rsidRPr="0015781C">
        <w:rPr>
          <w:rFonts w:ascii="Calibri" w:hAnsi="Calibri" w:cs="Calibri"/>
          <w:lang w:val="fr-FR"/>
        </w:rPr>
        <w:t xml:space="preserve"> CC. T-917 de 2011.</w:t>
      </w:r>
    </w:p>
  </w:footnote>
  <w:footnote w:id="4">
    <w:p w:rsidR="00FF6885" w:rsidRPr="0015781C" w:rsidRDefault="00FF6885" w:rsidP="00FF6885">
      <w:pPr>
        <w:pStyle w:val="Notedebasdepage"/>
        <w:jc w:val="both"/>
        <w:rPr>
          <w:rFonts w:ascii="Calibri" w:hAnsi="Calibri"/>
          <w:lang w:val="fr-FR"/>
        </w:rPr>
      </w:pPr>
      <w:r w:rsidRPr="00FF6885">
        <w:rPr>
          <w:rStyle w:val="Appelnotedebasdep"/>
          <w:rFonts w:ascii="Calibri" w:hAnsi="Calibri" w:cs="Calibri"/>
        </w:rPr>
        <w:footnoteRef/>
      </w:r>
      <w:r w:rsidRPr="0015781C">
        <w:rPr>
          <w:rFonts w:ascii="Calibri" w:hAnsi="Calibri" w:cs="Calibri"/>
          <w:lang w:val="fr-FR"/>
        </w:rPr>
        <w:t xml:space="preserve"> CC. C-590 de 2005.</w:t>
      </w:r>
    </w:p>
  </w:footnote>
  <w:footnote w:id="5">
    <w:p w:rsidR="00FF6885" w:rsidRPr="0015781C" w:rsidRDefault="00FF6885" w:rsidP="00FF6885">
      <w:pPr>
        <w:pStyle w:val="Notedebasdepage"/>
        <w:jc w:val="both"/>
        <w:rPr>
          <w:rFonts w:ascii="Calibri" w:hAnsi="Calibri" w:cs="Calibri"/>
          <w:lang w:val="fr-FR"/>
        </w:rPr>
      </w:pPr>
      <w:r w:rsidRPr="00FF6885">
        <w:rPr>
          <w:rStyle w:val="Appelnotedebasdep"/>
          <w:rFonts w:ascii="Calibri" w:hAnsi="Calibri" w:cs="Calibri"/>
        </w:rPr>
        <w:footnoteRef/>
      </w:r>
      <w:r w:rsidRPr="0015781C">
        <w:rPr>
          <w:rFonts w:ascii="Calibri" w:hAnsi="Calibri" w:cs="Calibri"/>
          <w:lang w:val="fr-FR"/>
        </w:rPr>
        <w:t xml:space="preserve"> CC. </w:t>
      </w:r>
      <w:proofErr w:type="spellStart"/>
      <w:r w:rsidRPr="0015781C">
        <w:rPr>
          <w:rFonts w:ascii="Calibri" w:hAnsi="Calibri" w:cs="Calibri"/>
          <w:bCs/>
          <w:lang w:val="fr-FR"/>
        </w:rPr>
        <w:t>SU-222</w:t>
      </w:r>
      <w:proofErr w:type="spellEnd"/>
      <w:r w:rsidRPr="0015781C">
        <w:rPr>
          <w:rFonts w:ascii="Calibri" w:hAnsi="Calibri" w:cs="Calibri"/>
          <w:bCs/>
          <w:lang w:val="fr-FR"/>
        </w:rPr>
        <w:t xml:space="preserve"> de 2016</w:t>
      </w:r>
      <w:r w:rsidRPr="0015781C">
        <w:rPr>
          <w:rFonts w:ascii="Calibri" w:hAnsi="Calibri" w:cs="Calibri"/>
          <w:lang w:val="fr-FR"/>
        </w:rPr>
        <w:t>.</w:t>
      </w:r>
    </w:p>
  </w:footnote>
  <w:footnote w:id="6">
    <w:p w:rsidR="00FF6885" w:rsidRPr="0015781C" w:rsidRDefault="00FF6885" w:rsidP="00FF6885">
      <w:pPr>
        <w:pStyle w:val="Notedebasdepage"/>
        <w:rPr>
          <w:rFonts w:ascii="Calibri" w:hAnsi="Calibri"/>
          <w:b/>
          <w:bCs/>
          <w:lang w:val="fr-FR"/>
        </w:rPr>
      </w:pPr>
      <w:r w:rsidRPr="00D65FBA">
        <w:rPr>
          <w:rStyle w:val="Appelnotedebasdep"/>
          <w:rFonts w:ascii="Calibri" w:hAnsi="Calibri"/>
        </w:rPr>
        <w:footnoteRef/>
      </w:r>
      <w:r w:rsidRPr="0015781C">
        <w:rPr>
          <w:rFonts w:ascii="Calibri" w:hAnsi="Calibri"/>
          <w:lang w:val="fr-FR"/>
        </w:rPr>
        <w:t xml:space="preserve"> </w:t>
      </w:r>
      <w:r w:rsidRPr="0015781C">
        <w:rPr>
          <w:rFonts w:ascii="Calibri" w:hAnsi="Calibri"/>
          <w:bCs/>
          <w:lang w:val="fr-FR"/>
        </w:rPr>
        <w:t>CC. T-137 de 2017.</w:t>
      </w:r>
    </w:p>
  </w:footnote>
  <w:footnote w:id="7">
    <w:p w:rsidR="00FF6885" w:rsidRPr="00FF6885" w:rsidRDefault="00FF6885" w:rsidP="00FF6885">
      <w:pPr>
        <w:pStyle w:val="Notedebasdepage"/>
        <w:rPr>
          <w:rFonts w:ascii="Calibri" w:hAnsi="Calibri"/>
          <w:lang w:val="es-CO"/>
        </w:rPr>
      </w:pPr>
      <w:r w:rsidRPr="00FF6885">
        <w:rPr>
          <w:rStyle w:val="Appelnotedebasdep"/>
          <w:rFonts w:ascii="Calibri" w:hAnsi="Calibri"/>
        </w:rPr>
        <w:footnoteRef/>
      </w:r>
      <w:r w:rsidRPr="0015781C">
        <w:rPr>
          <w:rFonts w:ascii="Calibri" w:hAnsi="Calibri"/>
          <w:lang w:val="es-CO"/>
        </w:rPr>
        <w:t xml:space="preserve"> </w:t>
      </w:r>
      <w:r w:rsidRPr="00FF6885">
        <w:rPr>
          <w:rFonts w:ascii="Calibri" w:hAnsi="Calibri" w:cs="Calibri"/>
          <w:lang w:val="es-MX"/>
        </w:rPr>
        <w:t>CC. T-307 de 2015.</w:t>
      </w:r>
    </w:p>
  </w:footnote>
  <w:footnote w:id="8">
    <w:p w:rsidR="00FF6885" w:rsidRPr="0015781C" w:rsidRDefault="00FF6885" w:rsidP="00FF6885">
      <w:pPr>
        <w:pStyle w:val="Notedebasdepage"/>
        <w:jc w:val="both"/>
        <w:rPr>
          <w:rFonts w:ascii="Calibri" w:hAnsi="Calibri"/>
          <w:lang w:val="es-CO"/>
        </w:rPr>
      </w:pPr>
      <w:r w:rsidRPr="00FF6885">
        <w:rPr>
          <w:rFonts w:ascii="Calibri" w:hAnsi="Calibri" w:cs="Calibri"/>
          <w:vertAlign w:val="superscript"/>
        </w:rPr>
        <w:footnoteRef/>
      </w:r>
      <w:r w:rsidRPr="0015781C">
        <w:rPr>
          <w:rFonts w:ascii="Calibri" w:hAnsi="Calibri" w:cs="Calibri"/>
          <w:lang w:val="es-CO"/>
        </w:rPr>
        <w:t xml:space="preserve"> ESCUELA JUDICIAL RODRIGO LARA BONILLA. </w:t>
      </w:r>
      <w:r w:rsidRPr="00FF6885">
        <w:rPr>
          <w:rFonts w:ascii="Calibri" w:hAnsi="Calibri" w:cs="Calibri"/>
          <w:lang w:val="es-CO"/>
        </w:rPr>
        <w:t xml:space="preserve">La acción de tutela en el ordenamiento constitucional colombiano, Universidad Nacional de Colombia, Catalina Botero Marino, </w:t>
      </w:r>
      <w:proofErr w:type="spellStart"/>
      <w:r w:rsidRPr="00FF6885">
        <w:rPr>
          <w:rFonts w:ascii="Calibri" w:hAnsi="Calibri" w:cs="Calibri"/>
          <w:lang w:val="es-CO"/>
        </w:rPr>
        <w:t>Ediprime</w:t>
      </w:r>
      <w:proofErr w:type="spellEnd"/>
      <w:r w:rsidRPr="00FF6885">
        <w:rPr>
          <w:rFonts w:ascii="Calibri" w:hAnsi="Calibri" w:cs="Calibri"/>
          <w:lang w:val="es-CO"/>
        </w:rPr>
        <w:t xml:space="preserve"> Ltda., 2006, </w:t>
      </w:r>
      <w:proofErr w:type="spellStart"/>
      <w:r w:rsidRPr="00FF6885">
        <w:rPr>
          <w:rFonts w:ascii="Calibri" w:hAnsi="Calibri" w:cs="Calibri"/>
          <w:lang w:val="es-CO"/>
        </w:rPr>
        <w:t>p.61</w:t>
      </w:r>
      <w:proofErr w:type="spellEnd"/>
      <w:r w:rsidRPr="00FF6885">
        <w:rPr>
          <w:rFonts w:ascii="Calibri" w:hAnsi="Calibri" w:cs="Calibri"/>
          <w:lang w:val="es-CO"/>
        </w:rPr>
        <w:t>-75.</w:t>
      </w:r>
    </w:p>
  </w:footnote>
  <w:footnote w:id="9">
    <w:p w:rsidR="00FF6885" w:rsidRPr="0015781C" w:rsidRDefault="00FF6885" w:rsidP="00FF6885">
      <w:pPr>
        <w:pStyle w:val="Notedebasdepage"/>
        <w:jc w:val="both"/>
        <w:rPr>
          <w:rFonts w:ascii="Calibri" w:hAnsi="Calibri"/>
          <w:lang w:val="es-CO"/>
        </w:rPr>
      </w:pPr>
      <w:r w:rsidRPr="00FF6885">
        <w:rPr>
          <w:rStyle w:val="Appelnotedebasdep"/>
          <w:rFonts w:ascii="Calibri" w:hAnsi="Calibri" w:cs="Calibri"/>
        </w:rPr>
        <w:footnoteRef/>
      </w:r>
      <w:r w:rsidRPr="0015781C">
        <w:rPr>
          <w:rFonts w:ascii="Calibri" w:hAnsi="Calibri" w:cs="Calibri"/>
          <w:lang w:val="es-CO"/>
        </w:rPr>
        <w:t xml:space="preserve"> QUINCHE R., Manuel F. La acción de tutela, el amparo en Colombia, Bogotá DC, 2011, </w:t>
      </w:r>
      <w:proofErr w:type="spellStart"/>
      <w:r w:rsidRPr="0015781C">
        <w:rPr>
          <w:rFonts w:ascii="Calibri" w:hAnsi="Calibri" w:cs="Calibri"/>
          <w:lang w:val="es-CO"/>
        </w:rPr>
        <w:t>p.233</w:t>
      </w:r>
      <w:proofErr w:type="spellEnd"/>
      <w:r w:rsidRPr="0015781C">
        <w:rPr>
          <w:rFonts w:ascii="Calibri" w:hAnsi="Calibri" w:cs="Calibri"/>
          <w:lang w:val="es-CO"/>
        </w:rPr>
        <w:t>-285.</w:t>
      </w:r>
    </w:p>
  </w:footnote>
  <w:footnote w:id="10">
    <w:p w:rsidR="00AD5900" w:rsidRPr="0015781C" w:rsidRDefault="00AD5900" w:rsidP="00543803">
      <w:pPr>
        <w:pStyle w:val="Notedebasdepage"/>
        <w:jc w:val="both"/>
        <w:rPr>
          <w:rFonts w:ascii="Calibri" w:hAnsi="Calibri"/>
          <w:lang w:val="fr-FR"/>
        </w:rPr>
      </w:pPr>
      <w:r w:rsidRPr="00E86200">
        <w:rPr>
          <w:rStyle w:val="Appelnotedebasdep"/>
          <w:rFonts w:ascii="Calibri" w:hAnsi="Calibri" w:cs="Calibri"/>
        </w:rPr>
        <w:footnoteRef/>
      </w:r>
      <w:r w:rsidRPr="0015781C">
        <w:rPr>
          <w:rFonts w:ascii="Calibri" w:hAnsi="Calibri" w:cs="Calibri"/>
          <w:lang w:val="fr-FR"/>
        </w:rPr>
        <w:t xml:space="preserve"> CC. </w:t>
      </w:r>
      <w:proofErr w:type="spellStart"/>
      <w:r w:rsidRPr="0015781C">
        <w:rPr>
          <w:rFonts w:ascii="Calibri" w:hAnsi="Calibri" w:cs="Calibri"/>
          <w:lang w:val="fr-FR"/>
        </w:rPr>
        <w:t>SU-961</w:t>
      </w:r>
      <w:proofErr w:type="spellEnd"/>
      <w:r w:rsidRPr="0015781C">
        <w:rPr>
          <w:rFonts w:ascii="Calibri" w:hAnsi="Calibri" w:cs="Calibri"/>
          <w:lang w:val="fr-FR"/>
        </w:rPr>
        <w:t xml:space="preserve"> de 1999, T-890 de 2006, T-548 de 2011 y T-172 de 2013.</w:t>
      </w:r>
    </w:p>
  </w:footnote>
  <w:footnote w:id="11">
    <w:p w:rsidR="00AD5900" w:rsidRPr="0015781C" w:rsidRDefault="00AD5900" w:rsidP="00543803">
      <w:pPr>
        <w:pStyle w:val="Notedebasdepage"/>
        <w:jc w:val="both"/>
        <w:rPr>
          <w:rFonts w:ascii="Calibri" w:hAnsi="Calibri"/>
          <w:lang w:val="es-CO"/>
        </w:rPr>
      </w:pPr>
      <w:r w:rsidRPr="00825F31">
        <w:rPr>
          <w:rStyle w:val="Appelnotedebasdep"/>
          <w:rFonts w:ascii="Calibri" w:hAnsi="Calibri" w:cs="Calibri"/>
        </w:rPr>
        <w:footnoteRef/>
      </w:r>
      <w:r w:rsidRPr="00825F31">
        <w:rPr>
          <w:rFonts w:ascii="Calibri" w:hAnsi="Calibri" w:cs="Calibri"/>
          <w:lang w:val="es-CO"/>
        </w:rPr>
        <w:t xml:space="preserve"> CSJ, Civil. Sentencia del 09-03-2011, MP: Jaime A. </w:t>
      </w:r>
      <w:proofErr w:type="spellStart"/>
      <w:r w:rsidRPr="00825F31">
        <w:rPr>
          <w:rFonts w:ascii="Calibri" w:hAnsi="Calibri" w:cs="Calibri"/>
          <w:lang w:val="es-CO"/>
        </w:rPr>
        <w:t>Arrubla</w:t>
      </w:r>
      <w:proofErr w:type="spellEnd"/>
      <w:r w:rsidRPr="00825F31">
        <w:rPr>
          <w:rFonts w:ascii="Calibri" w:hAnsi="Calibri" w:cs="Calibri"/>
          <w:lang w:val="es-CO"/>
        </w:rPr>
        <w:t xml:space="preserve"> P., </w:t>
      </w:r>
      <w:proofErr w:type="spellStart"/>
      <w:r w:rsidRPr="00825F31">
        <w:rPr>
          <w:rFonts w:ascii="Calibri" w:hAnsi="Calibri" w:cs="Calibri"/>
          <w:lang w:val="es-CO"/>
        </w:rPr>
        <w:t>No.</w:t>
      </w:r>
      <w:r w:rsidRPr="0015781C">
        <w:rPr>
          <w:rFonts w:ascii="Calibri" w:hAnsi="Calibri"/>
          <w:w w:val="110"/>
          <w:lang w:val="es-CO"/>
        </w:rPr>
        <w:t>11001</w:t>
      </w:r>
      <w:proofErr w:type="spellEnd"/>
      <w:r w:rsidRPr="0015781C">
        <w:rPr>
          <w:rFonts w:ascii="Calibri" w:hAnsi="Calibri"/>
          <w:w w:val="110"/>
          <w:lang w:val="es-CO"/>
        </w:rPr>
        <w:t>-02-03-000-2011-00373-00</w:t>
      </w:r>
      <w:r w:rsidRPr="00825F31">
        <w:rPr>
          <w:rFonts w:ascii="Calibri" w:hAnsi="Calibri" w:cs="Calibri"/>
          <w:lang w:val="es-CO"/>
        </w:rPr>
        <w:t>.</w:t>
      </w:r>
    </w:p>
  </w:footnote>
  <w:footnote w:id="12">
    <w:p w:rsidR="00AD5900" w:rsidRPr="0015781C" w:rsidRDefault="00AD5900" w:rsidP="00543803">
      <w:pPr>
        <w:pStyle w:val="Notedebasdepage"/>
        <w:jc w:val="both"/>
        <w:rPr>
          <w:rFonts w:ascii="Calibri" w:hAnsi="Calibri"/>
          <w:lang w:val="fr-FR"/>
        </w:rPr>
      </w:pPr>
      <w:r w:rsidRPr="00422741">
        <w:rPr>
          <w:rStyle w:val="Appelnotedebasdep"/>
          <w:rFonts w:ascii="Calibri" w:hAnsi="Calibri" w:cs="Calibri"/>
          <w:lang w:val="es-CO"/>
        </w:rPr>
        <w:footnoteRef/>
      </w:r>
      <w:r w:rsidRPr="0015781C">
        <w:rPr>
          <w:rFonts w:ascii="Calibri" w:hAnsi="Calibri" w:cs="Calibri"/>
          <w:lang w:val="fr-FR"/>
        </w:rPr>
        <w:t xml:space="preserve"> CC. T-1079 de 2008.</w:t>
      </w:r>
    </w:p>
  </w:footnote>
  <w:footnote w:id="13">
    <w:p w:rsidR="00AD5900" w:rsidRPr="0015781C" w:rsidRDefault="00AD5900" w:rsidP="00543803">
      <w:pPr>
        <w:pStyle w:val="Notedebasdepage"/>
        <w:jc w:val="both"/>
        <w:rPr>
          <w:rFonts w:ascii="Calibri" w:hAnsi="Calibri"/>
          <w:b/>
          <w:iCs/>
          <w:lang w:val="fr-FR"/>
        </w:rPr>
      </w:pPr>
      <w:r w:rsidRPr="00422741">
        <w:rPr>
          <w:rStyle w:val="Appelnotedebasdep"/>
          <w:rFonts w:ascii="Calibri" w:hAnsi="Calibri"/>
          <w:lang w:val="es-CO"/>
        </w:rPr>
        <w:footnoteRef/>
      </w:r>
      <w:r w:rsidRPr="0015781C">
        <w:rPr>
          <w:rFonts w:ascii="Calibri" w:hAnsi="Calibri"/>
          <w:lang w:val="fr-FR"/>
        </w:rPr>
        <w:t xml:space="preserve"> </w:t>
      </w:r>
      <w:proofErr w:type="spellStart"/>
      <w:r w:rsidRPr="0015781C">
        <w:rPr>
          <w:rFonts w:ascii="Calibri" w:hAnsi="Calibri"/>
          <w:lang w:val="fr-FR"/>
        </w:rPr>
        <w:t>CSJ</w:t>
      </w:r>
      <w:proofErr w:type="spellEnd"/>
      <w:r w:rsidRPr="0015781C">
        <w:rPr>
          <w:rFonts w:ascii="Calibri" w:hAnsi="Calibri"/>
          <w:lang w:val="fr-FR"/>
        </w:rPr>
        <w:t xml:space="preserve">, Civil. </w:t>
      </w:r>
      <w:proofErr w:type="spellStart"/>
      <w:r w:rsidRPr="0015781C">
        <w:rPr>
          <w:rFonts w:ascii="Calibri" w:hAnsi="Calibri"/>
          <w:iCs/>
          <w:lang w:val="fr-FR"/>
        </w:rPr>
        <w:t>STC2154</w:t>
      </w:r>
      <w:proofErr w:type="spellEnd"/>
      <w:r w:rsidRPr="0015781C">
        <w:rPr>
          <w:rFonts w:ascii="Calibri" w:hAnsi="Calibri"/>
          <w:iCs/>
          <w:lang w:val="fr-FR"/>
        </w:rPr>
        <w:t xml:space="preserve">-2016 y </w:t>
      </w:r>
      <w:proofErr w:type="spellStart"/>
      <w:r w:rsidRPr="0015781C">
        <w:rPr>
          <w:rFonts w:ascii="Calibri" w:hAnsi="Calibri"/>
          <w:iCs/>
          <w:lang w:val="fr-FR"/>
        </w:rPr>
        <w:t>STC10383</w:t>
      </w:r>
      <w:proofErr w:type="spellEnd"/>
      <w:r w:rsidRPr="0015781C">
        <w:rPr>
          <w:rFonts w:ascii="Calibri" w:hAnsi="Calibri"/>
          <w:iCs/>
          <w:lang w:val="fr-FR"/>
        </w:rPr>
        <w:t>-2016.</w:t>
      </w:r>
    </w:p>
  </w:footnote>
  <w:footnote w:id="14">
    <w:p w:rsidR="00AD5900" w:rsidRPr="0015781C" w:rsidRDefault="00AD5900" w:rsidP="00543803">
      <w:pPr>
        <w:pStyle w:val="Notedebasdepage"/>
        <w:jc w:val="both"/>
        <w:rPr>
          <w:rFonts w:ascii="Calibri" w:hAnsi="Calibri"/>
          <w:lang w:val="fr-FR"/>
        </w:rPr>
      </w:pPr>
      <w:r w:rsidRPr="00E86200">
        <w:rPr>
          <w:rStyle w:val="Appelnotedebasdep"/>
          <w:rFonts w:ascii="Calibri" w:hAnsi="Calibri" w:cs="Calibri"/>
          <w:lang w:val="es-CO"/>
        </w:rPr>
        <w:footnoteRef/>
      </w:r>
      <w:r w:rsidRPr="0015781C">
        <w:rPr>
          <w:rFonts w:ascii="Calibri" w:hAnsi="Calibri" w:cs="Calibri"/>
          <w:lang w:val="fr-FR"/>
        </w:rPr>
        <w:t xml:space="preserve"> CC. T-016 de 2006.</w:t>
      </w:r>
    </w:p>
  </w:footnote>
  <w:footnote w:id="15">
    <w:p w:rsidR="00AD5900" w:rsidRPr="00E86200" w:rsidRDefault="00AD5900" w:rsidP="00543803">
      <w:pPr>
        <w:pStyle w:val="Notedebasdepage"/>
        <w:jc w:val="both"/>
        <w:rPr>
          <w:rFonts w:ascii="Calibri" w:hAnsi="Calibri"/>
          <w:lang w:val="es-CO"/>
        </w:rPr>
      </w:pPr>
      <w:r w:rsidRPr="00E86200">
        <w:rPr>
          <w:rStyle w:val="Appelnotedebasdep"/>
          <w:rFonts w:ascii="Calibri" w:hAnsi="Calibri" w:cs="Calibri"/>
          <w:lang w:val="es-CO"/>
        </w:rPr>
        <w:footnoteRef/>
      </w:r>
      <w:r w:rsidRPr="00E86200">
        <w:rPr>
          <w:rFonts w:ascii="Calibri" w:hAnsi="Calibri" w:cs="Calibri"/>
          <w:lang w:val="es-CO"/>
        </w:rPr>
        <w:t xml:space="preserve"> </w:t>
      </w:r>
      <w:r w:rsidRPr="0015781C">
        <w:rPr>
          <w:rFonts w:ascii="Calibri" w:hAnsi="Calibri" w:cs="Calibri"/>
          <w:lang w:val="es-CO"/>
        </w:rPr>
        <w:t>CC</w:t>
      </w:r>
      <w:r w:rsidRPr="00E86200">
        <w:rPr>
          <w:rFonts w:ascii="Calibri" w:hAnsi="Calibri" w:cs="Calibri"/>
          <w:lang w:val="es-CO"/>
        </w:rPr>
        <w:t>. T-684 de 2003.</w:t>
      </w:r>
    </w:p>
  </w:footnote>
  <w:footnote w:id="16">
    <w:p w:rsidR="00AD5900" w:rsidRPr="00E86200" w:rsidRDefault="00AD5900" w:rsidP="00543803">
      <w:pPr>
        <w:pStyle w:val="Notedebasdepage"/>
        <w:jc w:val="both"/>
        <w:rPr>
          <w:rFonts w:ascii="Calibri" w:hAnsi="Calibri"/>
          <w:lang w:val="es-CO"/>
        </w:rPr>
      </w:pPr>
      <w:r w:rsidRPr="00E86200">
        <w:rPr>
          <w:rStyle w:val="Appelnotedebasdep"/>
          <w:rFonts w:ascii="Calibri" w:hAnsi="Calibri" w:cs="Calibri"/>
          <w:lang w:val="es-CO"/>
        </w:rPr>
        <w:footnoteRef/>
      </w:r>
      <w:r w:rsidRPr="00E86200">
        <w:rPr>
          <w:rFonts w:ascii="Calibri" w:hAnsi="Calibri" w:cs="Calibri"/>
          <w:lang w:val="es-CO"/>
        </w:rPr>
        <w:t xml:space="preserve"> QUINCHE R., Manuel F. La acción de tutela, el amparo en Colombia, Temis, Bogotá DC, 2011, p.105-106.</w:t>
      </w:r>
    </w:p>
  </w:footnote>
  <w:footnote w:id="17">
    <w:p w:rsidR="00AD5900" w:rsidRPr="0015781C" w:rsidRDefault="00AD5900" w:rsidP="00543803">
      <w:pPr>
        <w:pStyle w:val="Notedebasdepage"/>
        <w:rPr>
          <w:rFonts w:ascii="Calibri" w:hAnsi="Calibri"/>
          <w:lang w:val="fr-FR"/>
        </w:rPr>
      </w:pPr>
      <w:r w:rsidRPr="006504DF">
        <w:rPr>
          <w:rStyle w:val="Appelnotedebasdep"/>
          <w:rFonts w:ascii="Calibri" w:hAnsi="Calibri" w:cs="Calibri"/>
        </w:rPr>
        <w:footnoteRef/>
      </w:r>
      <w:r w:rsidRPr="0015781C">
        <w:rPr>
          <w:rFonts w:ascii="Calibri" w:hAnsi="Calibri" w:cs="Calibri"/>
          <w:lang w:val="fr-FR"/>
        </w:rPr>
        <w:t xml:space="preserve"> CC. T-323 y SU 499 de 2016.</w:t>
      </w:r>
    </w:p>
  </w:footnote>
  <w:footnote w:id="18">
    <w:p w:rsidR="003403A0" w:rsidRPr="0015781C" w:rsidRDefault="003403A0" w:rsidP="003403A0">
      <w:pPr>
        <w:pStyle w:val="Notedebasdepage"/>
        <w:jc w:val="both"/>
        <w:rPr>
          <w:lang w:val="fr-FR"/>
        </w:rPr>
      </w:pPr>
      <w:r>
        <w:rPr>
          <w:rStyle w:val="Appelnotedebasdep"/>
          <w:rFonts w:asciiTheme="minorHAnsi" w:hAnsiTheme="minorHAnsi"/>
        </w:rPr>
        <w:footnoteRef/>
      </w:r>
      <w:r w:rsidRPr="0015781C">
        <w:rPr>
          <w:rFonts w:asciiTheme="minorHAnsi" w:hAnsiTheme="minorHAnsi"/>
          <w:lang w:val="fr-FR"/>
        </w:rPr>
        <w:t xml:space="preserve"> </w:t>
      </w:r>
      <w:r w:rsidRPr="0015781C">
        <w:rPr>
          <w:rFonts w:asciiTheme="minorHAnsi" w:hAnsiTheme="minorHAnsi" w:cs="Calibri"/>
          <w:lang w:val="fr-FR"/>
        </w:rPr>
        <w:t xml:space="preserve">CC. T-134 de 1994. </w:t>
      </w:r>
    </w:p>
  </w:footnote>
  <w:footnote w:id="19">
    <w:p w:rsidR="003403A0" w:rsidRPr="0015781C" w:rsidRDefault="003403A0" w:rsidP="003403A0">
      <w:pPr>
        <w:pStyle w:val="Notedebasdepage"/>
        <w:rPr>
          <w:lang w:val="fr-FR"/>
        </w:rPr>
      </w:pPr>
      <w:r>
        <w:rPr>
          <w:rStyle w:val="Appelnotedebasdep"/>
        </w:rPr>
        <w:footnoteRef/>
      </w:r>
      <w:r w:rsidRPr="0015781C">
        <w:rPr>
          <w:lang w:val="fr-FR"/>
        </w:rPr>
        <w:t xml:space="preserve"> </w:t>
      </w:r>
      <w:r w:rsidRPr="0015781C">
        <w:rPr>
          <w:rFonts w:asciiTheme="minorHAnsi" w:hAnsiTheme="minorHAnsi" w:cs="Calibri"/>
          <w:lang w:val="fr-FR"/>
        </w:rPr>
        <w:t>CC. T-103 de 2014.</w:t>
      </w:r>
    </w:p>
  </w:footnote>
  <w:footnote w:id="20">
    <w:p w:rsidR="003403A0" w:rsidRPr="0015781C" w:rsidRDefault="003403A0" w:rsidP="003403A0">
      <w:pPr>
        <w:pStyle w:val="Notedebasdepage"/>
        <w:jc w:val="both"/>
        <w:rPr>
          <w:lang w:val="fr-FR"/>
        </w:rPr>
      </w:pPr>
      <w:r>
        <w:rPr>
          <w:rStyle w:val="Appelnotedebasdep"/>
          <w:rFonts w:asciiTheme="minorHAnsi" w:hAnsiTheme="minorHAnsi" w:cs="Calibri"/>
        </w:rPr>
        <w:footnoteRef/>
      </w:r>
      <w:r w:rsidRPr="0015781C">
        <w:rPr>
          <w:rFonts w:asciiTheme="minorHAnsi" w:hAnsiTheme="minorHAnsi" w:cs="Calibri"/>
          <w:lang w:val="fr-FR"/>
        </w:rPr>
        <w:t xml:space="preserve"> CC. T-567 de 1998.</w:t>
      </w:r>
    </w:p>
  </w:footnote>
  <w:footnote w:id="21">
    <w:p w:rsidR="003403A0" w:rsidRPr="0015781C" w:rsidRDefault="003403A0" w:rsidP="003403A0">
      <w:pPr>
        <w:pStyle w:val="Notedebasdepage"/>
        <w:jc w:val="both"/>
        <w:rPr>
          <w:lang w:val="fr-FR"/>
        </w:rPr>
      </w:pPr>
      <w:r>
        <w:rPr>
          <w:rStyle w:val="Appelnotedebasdep"/>
          <w:rFonts w:asciiTheme="minorHAnsi" w:hAnsiTheme="minorHAnsi"/>
        </w:rPr>
        <w:footnoteRef/>
      </w:r>
      <w:r w:rsidRPr="0015781C">
        <w:rPr>
          <w:rFonts w:asciiTheme="minorHAnsi" w:hAnsiTheme="minorHAnsi"/>
          <w:lang w:val="fr-FR"/>
        </w:rPr>
        <w:t xml:space="preserve"> </w:t>
      </w:r>
      <w:r w:rsidRPr="0015781C">
        <w:rPr>
          <w:rFonts w:asciiTheme="minorHAnsi" w:hAnsiTheme="minorHAnsi" w:cs="Calibri"/>
          <w:lang w:val="fr-FR"/>
        </w:rPr>
        <w:t xml:space="preserve">CC. T-662 de 2013, </w:t>
      </w:r>
      <w:r w:rsidRPr="0015781C">
        <w:rPr>
          <w:rFonts w:ascii="Calibri" w:hAnsi="Calibri"/>
          <w:bCs/>
          <w:bdr w:val="none" w:sz="0" w:space="0" w:color="auto" w:frame="1"/>
          <w:shd w:val="clear" w:color="auto" w:fill="FFFFFF"/>
          <w:lang w:val="fr-FR"/>
        </w:rPr>
        <w:t xml:space="preserve">T-037 de 2016, T-120 de 2016, </w:t>
      </w:r>
      <w:r w:rsidRPr="0015781C">
        <w:rPr>
          <w:rFonts w:ascii="Calibri" w:hAnsi="Calibri"/>
          <w:lang w:val="fr-FR"/>
        </w:rPr>
        <w:t>T-001 de 2017 y T-038 de 2017</w:t>
      </w:r>
      <w:r w:rsidRPr="0015781C">
        <w:rPr>
          <w:rFonts w:asciiTheme="minorHAnsi" w:hAnsiTheme="minorHAnsi" w:cs="Calibri"/>
          <w:lang w:val="fr-FR"/>
        </w:rPr>
        <w:t>.</w:t>
      </w:r>
      <w:r w:rsidRPr="0015781C">
        <w:rPr>
          <w:b/>
          <w:bCs/>
          <w:color w:val="2D2D2D"/>
          <w:sz w:val="28"/>
          <w:szCs w:val="28"/>
          <w:bdr w:val="none" w:sz="0" w:space="0" w:color="auto" w:frame="1"/>
          <w:shd w:val="clear" w:color="auto" w:fill="FFFFFF"/>
          <w:lang w:val="fr-FR"/>
        </w:rPr>
        <w:t xml:space="preserve"> </w:t>
      </w:r>
    </w:p>
  </w:footnote>
  <w:footnote w:id="22">
    <w:p w:rsidR="003403A0" w:rsidRPr="0015781C" w:rsidRDefault="003403A0" w:rsidP="003403A0">
      <w:pPr>
        <w:pStyle w:val="Notedebasdepage"/>
        <w:jc w:val="both"/>
        <w:rPr>
          <w:lang w:val="es-CO"/>
        </w:rPr>
      </w:pPr>
      <w:r>
        <w:rPr>
          <w:rStyle w:val="Appelnotedebasdep"/>
          <w:rFonts w:asciiTheme="minorHAnsi" w:hAnsiTheme="minorHAnsi" w:cs="Calibri"/>
        </w:rPr>
        <w:footnoteRef/>
      </w:r>
      <w:r w:rsidRPr="0015781C">
        <w:rPr>
          <w:rFonts w:asciiTheme="minorHAnsi" w:hAnsiTheme="minorHAnsi" w:cs="Calibri"/>
          <w:lang w:val="es-CO"/>
        </w:rPr>
        <w:t xml:space="preserve"> </w:t>
      </w:r>
      <w:r>
        <w:rPr>
          <w:rFonts w:asciiTheme="minorHAnsi" w:hAnsiTheme="minorHAnsi" w:cs="Calibri"/>
          <w:lang w:val="es-CO"/>
        </w:rPr>
        <w:t xml:space="preserve">CSJ, Civil. Sentencias del 02-09-2014, MP: Margarita Cabello B., </w:t>
      </w:r>
      <w:proofErr w:type="spellStart"/>
      <w:r>
        <w:rPr>
          <w:rFonts w:asciiTheme="minorHAnsi" w:hAnsiTheme="minorHAnsi" w:cs="Calibri"/>
          <w:lang w:val="es-CO"/>
        </w:rPr>
        <w:t>No.23001</w:t>
      </w:r>
      <w:proofErr w:type="spellEnd"/>
      <w:r>
        <w:rPr>
          <w:rFonts w:asciiTheme="minorHAnsi" w:hAnsiTheme="minorHAnsi" w:cs="Calibri"/>
          <w:lang w:val="es-CO"/>
        </w:rPr>
        <w:t xml:space="preserve">-22-14-000-2014-00097-01; </w:t>
      </w:r>
      <w:proofErr w:type="spellStart"/>
      <w:r w:rsidRPr="0015781C">
        <w:rPr>
          <w:rFonts w:ascii="Calibri" w:hAnsi="Calibri" w:cs="Calibri"/>
          <w:lang w:val="es-CO"/>
        </w:rPr>
        <w:t>STC6121</w:t>
      </w:r>
      <w:proofErr w:type="spellEnd"/>
      <w:r w:rsidRPr="0015781C">
        <w:rPr>
          <w:rFonts w:ascii="Calibri" w:hAnsi="Calibri" w:cs="Calibri"/>
          <w:lang w:val="es-CO"/>
        </w:rPr>
        <w:t xml:space="preserve">-2015, </w:t>
      </w:r>
      <w:proofErr w:type="spellStart"/>
      <w:r>
        <w:rPr>
          <w:rFonts w:ascii="Calibri" w:hAnsi="Calibri"/>
          <w:lang w:val="es-CO"/>
        </w:rPr>
        <w:t>STC3931</w:t>
      </w:r>
      <w:proofErr w:type="spellEnd"/>
      <w:r>
        <w:rPr>
          <w:rFonts w:ascii="Calibri" w:hAnsi="Calibri"/>
          <w:lang w:val="es-CO"/>
        </w:rPr>
        <w:t xml:space="preserve">-2016 y </w:t>
      </w:r>
      <w:proofErr w:type="spellStart"/>
      <w:r w:rsidRPr="0015781C">
        <w:rPr>
          <w:rFonts w:ascii="Calibri" w:hAnsi="Calibri"/>
          <w:lang w:val="es-CO"/>
        </w:rPr>
        <w:t>STC2349</w:t>
      </w:r>
      <w:proofErr w:type="spellEnd"/>
      <w:r w:rsidRPr="0015781C">
        <w:rPr>
          <w:rFonts w:ascii="Calibri" w:hAnsi="Calibri"/>
          <w:lang w:val="es-CO"/>
        </w:rPr>
        <w:t>-2017</w:t>
      </w:r>
      <w:r>
        <w:rPr>
          <w:rFonts w:asciiTheme="minorHAnsi" w:hAnsiTheme="minorHAnsi" w:cs="Calibri"/>
          <w:w w:val="110"/>
          <w:lang w:val="es-CO"/>
        </w:rPr>
        <w:t>.</w:t>
      </w:r>
    </w:p>
  </w:footnote>
  <w:footnote w:id="23">
    <w:p w:rsidR="00AD5900" w:rsidRPr="0015781C" w:rsidRDefault="00AD5900" w:rsidP="004916BD">
      <w:pPr>
        <w:pStyle w:val="Notedebasdepage"/>
        <w:jc w:val="both"/>
        <w:rPr>
          <w:rFonts w:asciiTheme="minorHAnsi" w:hAnsiTheme="minorHAnsi"/>
          <w:lang w:val="fr-FR"/>
        </w:rPr>
      </w:pPr>
      <w:r w:rsidRPr="009C4841">
        <w:rPr>
          <w:rStyle w:val="Appelnotedebasdep"/>
          <w:rFonts w:asciiTheme="minorHAnsi" w:hAnsiTheme="minorHAnsi"/>
          <w:lang w:val="es-CO"/>
        </w:rPr>
        <w:footnoteRef/>
      </w:r>
      <w:r w:rsidRPr="0015781C">
        <w:rPr>
          <w:rFonts w:asciiTheme="minorHAnsi" w:hAnsiTheme="minorHAnsi"/>
          <w:lang w:val="fr-FR"/>
        </w:rPr>
        <w:t xml:space="preserve"> CC. </w:t>
      </w:r>
      <w:hyperlink r:id="rId1" w:history="1">
        <w:proofErr w:type="spellStart"/>
        <w:r w:rsidRPr="0015781C">
          <w:rPr>
            <w:rStyle w:val="Lienhypertexte"/>
            <w:rFonts w:ascii="Calibri" w:hAnsi="Calibri" w:cs="Courier New"/>
            <w:color w:val="auto"/>
            <w:u w:val="none"/>
            <w:lang w:val="fr-FR"/>
          </w:rPr>
          <w:t>SU-499</w:t>
        </w:r>
        <w:proofErr w:type="spellEnd"/>
        <w:r w:rsidRPr="0015781C">
          <w:rPr>
            <w:rStyle w:val="Lienhypertexte"/>
            <w:rFonts w:ascii="Calibri" w:hAnsi="Calibri" w:cs="Courier New"/>
            <w:color w:val="auto"/>
            <w:u w:val="none"/>
            <w:lang w:val="fr-FR"/>
          </w:rPr>
          <w:t xml:space="preserve"> de 2016</w:t>
        </w:r>
      </w:hyperlink>
      <w:r w:rsidRPr="0015781C">
        <w:rPr>
          <w:rFonts w:asciiTheme="minorHAnsi" w:hAnsiTheme="minorHAnsi"/>
          <w:lang w:val="fr-FR"/>
        </w:rPr>
        <w:t>.</w:t>
      </w:r>
    </w:p>
  </w:footnote>
  <w:footnote w:id="24">
    <w:p w:rsidR="00C2130D" w:rsidRPr="0015781C" w:rsidRDefault="00C2130D" w:rsidP="00C2130D">
      <w:pPr>
        <w:pStyle w:val="Notedebasdepage"/>
        <w:jc w:val="both"/>
        <w:rPr>
          <w:rFonts w:asciiTheme="minorHAnsi" w:hAnsiTheme="minorHAnsi" w:cstheme="minorHAnsi"/>
          <w:lang w:val="fr-FR"/>
        </w:rPr>
      </w:pPr>
      <w:r w:rsidRPr="00F72E96">
        <w:rPr>
          <w:rStyle w:val="Appelnotedebasdep"/>
          <w:rFonts w:asciiTheme="minorHAnsi" w:hAnsiTheme="minorHAnsi" w:cstheme="minorHAnsi"/>
        </w:rPr>
        <w:footnoteRef/>
      </w:r>
      <w:r w:rsidRPr="0015781C">
        <w:rPr>
          <w:rFonts w:asciiTheme="minorHAnsi" w:hAnsiTheme="minorHAnsi" w:cstheme="minorHAnsi"/>
          <w:lang w:val="fr-FR"/>
        </w:rPr>
        <w:t xml:space="preserve"> CC.  T-567 de 1998.</w:t>
      </w:r>
    </w:p>
  </w:footnote>
  <w:footnote w:id="25">
    <w:p w:rsidR="00C2130D" w:rsidRPr="00F72E96" w:rsidRDefault="00C2130D" w:rsidP="00C2130D">
      <w:pPr>
        <w:pStyle w:val="Notedebasdepage"/>
        <w:jc w:val="both"/>
        <w:rPr>
          <w:rFonts w:asciiTheme="minorHAnsi" w:hAnsiTheme="minorHAnsi" w:cstheme="minorHAnsi"/>
          <w:lang w:val="es-CO"/>
        </w:rPr>
      </w:pPr>
      <w:r w:rsidRPr="00F72E96">
        <w:rPr>
          <w:rStyle w:val="Appelnotedebasdep"/>
          <w:rFonts w:asciiTheme="minorHAnsi" w:hAnsiTheme="minorHAnsi" w:cstheme="minorHAnsi"/>
        </w:rPr>
        <w:footnoteRef/>
      </w:r>
      <w:r w:rsidRPr="0015781C">
        <w:rPr>
          <w:rFonts w:asciiTheme="minorHAnsi" w:hAnsiTheme="minorHAnsi" w:cstheme="minorHAnsi"/>
          <w:lang w:val="es-CO"/>
        </w:rPr>
        <w:t xml:space="preserve"> CC.  T-717 de 2011.</w:t>
      </w:r>
    </w:p>
  </w:footnote>
  <w:footnote w:id="26">
    <w:p w:rsidR="003403A0" w:rsidRPr="00CB1012" w:rsidRDefault="003403A0" w:rsidP="003403A0">
      <w:pPr>
        <w:pStyle w:val="Notedebasdepage"/>
        <w:jc w:val="both"/>
        <w:rPr>
          <w:rFonts w:asciiTheme="minorHAnsi" w:hAnsiTheme="minorHAnsi"/>
          <w:lang w:val="es-CO"/>
        </w:rPr>
      </w:pPr>
      <w:r w:rsidRPr="00CB1012">
        <w:rPr>
          <w:rStyle w:val="Appelnotedebasdep"/>
          <w:rFonts w:asciiTheme="minorHAnsi" w:hAnsiTheme="minorHAnsi"/>
        </w:rPr>
        <w:footnoteRef/>
      </w:r>
      <w:r w:rsidRPr="0015781C">
        <w:rPr>
          <w:rFonts w:asciiTheme="minorHAnsi" w:hAnsiTheme="minorHAnsi"/>
          <w:lang w:val="es-CO"/>
        </w:rPr>
        <w:t xml:space="preserve"> </w:t>
      </w:r>
      <w:r w:rsidRPr="00CB1012">
        <w:rPr>
          <w:rFonts w:asciiTheme="minorHAnsi" w:hAnsiTheme="minorHAnsi"/>
          <w:lang w:val="es-CO"/>
        </w:rPr>
        <w:t>CORREA HENAO, Néstor Raúl. Derecho procesal de la acción de tutela</w:t>
      </w:r>
      <w:r>
        <w:rPr>
          <w:rFonts w:asciiTheme="minorHAnsi" w:hAnsiTheme="minorHAnsi"/>
          <w:lang w:val="es-CO"/>
        </w:rPr>
        <w:t>, editorial Grupo editorial Ibáñez, Bogotá DC, 2010, P.192.</w:t>
      </w:r>
    </w:p>
  </w:footnote>
  <w:footnote w:id="27">
    <w:p w:rsidR="003403A0" w:rsidRPr="00377F8E" w:rsidRDefault="003403A0" w:rsidP="003403A0">
      <w:pPr>
        <w:pStyle w:val="Notedebasdepage"/>
        <w:jc w:val="both"/>
        <w:rPr>
          <w:rFonts w:asciiTheme="minorHAnsi" w:hAnsiTheme="minorHAnsi"/>
          <w:lang w:val="es-CO"/>
        </w:rPr>
      </w:pPr>
      <w:r w:rsidRPr="00377F8E">
        <w:rPr>
          <w:rStyle w:val="Appelnotedebasdep"/>
          <w:rFonts w:asciiTheme="minorHAnsi" w:hAnsiTheme="minorHAnsi"/>
        </w:rPr>
        <w:footnoteRef/>
      </w:r>
      <w:r w:rsidRPr="00377F8E">
        <w:rPr>
          <w:rFonts w:asciiTheme="minorHAnsi" w:hAnsiTheme="minorHAnsi"/>
        </w:rPr>
        <w:t xml:space="preserve"> </w:t>
      </w:r>
      <w:r w:rsidR="00267902">
        <w:rPr>
          <w:rFonts w:asciiTheme="minorHAnsi" w:hAnsiTheme="minorHAnsi" w:cs="Calibri"/>
          <w:lang w:val="es-CO"/>
        </w:rPr>
        <w:t>CC</w:t>
      </w:r>
      <w:r w:rsidRPr="00377F8E">
        <w:rPr>
          <w:rFonts w:asciiTheme="minorHAnsi" w:hAnsiTheme="minorHAnsi" w:cs="Calibri"/>
          <w:lang w:val="es-CO"/>
        </w:rPr>
        <w:t xml:space="preserve">.  </w:t>
      </w:r>
      <w:r w:rsidRPr="00377F8E">
        <w:rPr>
          <w:rFonts w:asciiTheme="minorHAnsi" w:hAnsiTheme="minorHAnsi" w:cs="Calibri"/>
        </w:rPr>
        <w:t xml:space="preserve">T-002 </w:t>
      </w:r>
      <w:r w:rsidR="00267902">
        <w:rPr>
          <w:rFonts w:asciiTheme="minorHAnsi" w:hAnsiTheme="minorHAnsi" w:cs="Calibri"/>
        </w:rPr>
        <w:t>de 2009</w:t>
      </w:r>
      <w:r w:rsidRPr="00377F8E">
        <w:rPr>
          <w:rFonts w:asciiTheme="minorHAnsi" w:hAnsiTheme="minorHAnsi" w:cs="Calibri"/>
          <w:bCs/>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00" w:rsidRDefault="00AD5900"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AD5900" w:rsidRDefault="00AD590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00" w:rsidRPr="00C55802" w:rsidRDefault="00AD5900">
    <w:pPr>
      <w:pStyle w:val="En-tte"/>
      <w:pBdr>
        <w:bottom w:val="single" w:sz="4" w:space="1" w:color="D9D9D9"/>
      </w:pBdr>
      <w:jc w:val="right"/>
      <w:rPr>
        <w:rFonts w:ascii="Calibri" w:hAnsi="Calibri"/>
        <w:b/>
        <w:lang w:val="es-CO"/>
      </w:rPr>
    </w:pPr>
    <w:r w:rsidRPr="00C55802">
      <w:rPr>
        <w:rFonts w:ascii="Calibri" w:hAnsi="Calibri"/>
        <w:color w:val="7F7F7F"/>
        <w:spacing w:val="60"/>
        <w:sz w:val="22"/>
        <w:lang w:val="es-CO"/>
      </w:rPr>
      <w:t>Página</w:t>
    </w:r>
    <w:r w:rsidRPr="00C55802">
      <w:rPr>
        <w:rFonts w:ascii="Calibri" w:hAnsi="Calibri"/>
        <w:sz w:val="22"/>
        <w:lang w:val="es-CO"/>
      </w:rPr>
      <w:t xml:space="preserve"> | </w:t>
    </w:r>
    <w:r w:rsidRPr="00C55802">
      <w:rPr>
        <w:rFonts w:ascii="Calibri" w:hAnsi="Calibri"/>
        <w:sz w:val="22"/>
        <w:lang w:val="es-CO"/>
      </w:rPr>
      <w:fldChar w:fldCharType="begin"/>
    </w:r>
    <w:r w:rsidRPr="00C55802">
      <w:rPr>
        <w:rFonts w:ascii="Calibri" w:hAnsi="Calibri"/>
        <w:sz w:val="22"/>
        <w:lang w:val="es-CO"/>
      </w:rPr>
      <w:instrText xml:space="preserve"> PAGE   \* MERGEFORMAT </w:instrText>
    </w:r>
    <w:r w:rsidRPr="00C55802">
      <w:rPr>
        <w:rFonts w:ascii="Calibri" w:hAnsi="Calibri"/>
        <w:sz w:val="22"/>
        <w:lang w:val="es-CO"/>
      </w:rPr>
      <w:fldChar w:fldCharType="separate"/>
    </w:r>
    <w:r w:rsidR="0015781C">
      <w:rPr>
        <w:rFonts w:ascii="Calibri" w:hAnsi="Calibri"/>
        <w:noProof/>
        <w:sz w:val="22"/>
        <w:lang w:val="es-CO"/>
      </w:rPr>
      <w:t>1</w:t>
    </w:r>
    <w:r w:rsidRPr="00C55802">
      <w:rPr>
        <w:rFonts w:ascii="Calibri" w:hAnsi="Calibri"/>
        <w:sz w:val="22"/>
        <w:lang w:val="es-CO"/>
      </w:rPr>
      <w:fldChar w:fldCharType="end"/>
    </w:r>
  </w:p>
  <w:p w:rsidR="00AD5900" w:rsidRPr="00CA23A1" w:rsidRDefault="00AD5900" w:rsidP="006F562A">
    <w:pPr>
      <w:pStyle w:val="En-tte"/>
      <w:ind w:right="360"/>
      <w:jc w:val="both"/>
      <w:rPr>
        <w:rFonts w:ascii="Calibri" w:hAnsi="Calibri" w:cs="Calibri"/>
        <w:i/>
        <w:sz w:val="20"/>
        <w:szCs w:val="20"/>
      </w:rPr>
    </w:pPr>
    <w:r w:rsidRPr="00F839CE">
      <w:rPr>
        <w:rFonts w:ascii="Calibri" w:hAnsi="Calibri" w:cs="Calibri"/>
        <w:i/>
        <w:sz w:val="20"/>
        <w:szCs w:val="20"/>
      </w:rPr>
      <w:t>EXPEDIENTE No.</w:t>
    </w:r>
    <w:r>
      <w:rPr>
        <w:rFonts w:ascii="Calibri" w:hAnsi="Calibri" w:cs="Calibri"/>
        <w:i/>
        <w:sz w:val="20"/>
        <w:szCs w:val="20"/>
      </w:rPr>
      <w:t>2017-</w:t>
    </w:r>
    <w:r w:rsidR="00922DC2">
      <w:rPr>
        <w:rFonts w:ascii="Calibri" w:hAnsi="Calibri" w:cs="Calibri"/>
        <w:i/>
        <w:sz w:val="20"/>
        <w:szCs w:val="20"/>
      </w:rPr>
      <w:t>00105</w:t>
    </w:r>
    <w:r>
      <w:rPr>
        <w:rFonts w:ascii="Calibri" w:hAnsi="Calibri" w:cs="Calibri"/>
        <w:i/>
        <w:sz w:val="20"/>
        <w:szCs w:val="20"/>
      </w:rPr>
      <w:t xml:space="preserve">-01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00" w:rsidRPr="0092089F" w:rsidRDefault="00AD5900">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AD5900" w:rsidRDefault="00AD5900"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C015D5"/>
    <w:multiLevelType w:val="multilevel"/>
    <w:tmpl w:val="722C7CB0"/>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04B35D8"/>
    <w:multiLevelType w:val="multilevel"/>
    <w:tmpl w:val="7AD838D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6C39EC"/>
    <w:multiLevelType w:val="multilevel"/>
    <w:tmpl w:val="A38E31FE"/>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854791D"/>
    <w:multiLevelType w:val="multilevel"/>
    <w:tmpl w:val="0DF02052"/>
    <w:lvl w:ilvl="0">
      <w:start w:val="7"/>
      <w:numFmt w:val="decimal"/>
      <w:lvlText w:val="%1."/>
      <w:lvlJc w:val="left"/>
      <w:pPr>
        <w:ind w:left="390" w:hanging="390"/>
      </w:pPr>
      <w:rPr>
        <w:rFonts w:cs="Times New Roman" w:hint="default"/>
        <w:sz w:val="24"/>
      </w:rPr>
    </w:lvl>
    <w:lvl w:ilvl="1">
      <w:start w:val="1"/>
      <w:numFmt w:val="decimal"/>
      <w:lvlText w:val="%1.%2."/>
      <w:lvlJc w:val="left"/>
      <w:pPr>
        <w:ind w:left="390" w:hanging="390"/>
      </w:pPr>
      <w:rPr>
        <w:rFonts w:cs="Times New Roman" w:hint="default"/>
        <w:sz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23">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4">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08023FF"/>
    <w:multiLevelType w:val="multilevel"/>
    <w:tmpl w:val="56F2055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89D70DE"/>
    <w:multiLevelType w:val="multilevel"/>
    <w:tmpl w:val="7720903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0">
    <w:nsid w:val="7B193CF6"/>
    <w:multiLevelType w:val="multilevel"/>
    <w:tmpl w:val="D4229886"/>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2">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3">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30"/>
  </w:num>
  <w:num w:numId="3">
    <w:abstractNumId w:val="23"/>
  </w:num>
  <w:num w:numId="4">
    <w:abstractNumId w:val="18"/>
  </w:num>
  <w:num w:numId="5">
    <w:abstractNumId w:val="34"/>
  </w:num>
  <w:num w:numId="6">
    <w:abstractNumId w:val="20"/>
  </w:num>
  <w:num w:numId="7">
    <w:abstractNumId w:val="3"/>
  </w:num>
  <w:num w:numId="8">
    <w:abstractNumId w:val="13"/>
  </w:num>
  <w:num w:numId="9">
    <w:abstractNumId w:val="14"/>
  </w:num>
  <w:num w:numId="10">
    <w:abstractNumId w:val="2"/>
  </w:num>
  <w:num w:numId="11">
    <w:abstractNumId w:val="29"/>
  </w:num>
  <w:num w:numId="12">
    <w:abstractNumId w:val="10"/>
  </w:num>
  <w:num w:numId="13">
    <w:abstractNumId w:val="16"/>
  </w:num>
  <w:num w:numId="14">
    <w:abstractNumId w:val="39"/>
  </w:num>
  <w:num w:numId="15">
    <w:abstractNumId w:val="26"/>
  </w:num>
  <w:num w:numId="16">
    <w:abstractNumId w:val="1"/>
  </w:num>
  <w:num w:numId="17">
    <w:abstractNumId w:val="42"/>
  </w:num>
  <w:num w:numId="18">
    <w:abstractNumId w:val="27"/>
  </w:num>
  <w:num w:numId="19">
    <w:abstractNumId w:val="37"/>
  </w:num>
  <w:num w:numId="20">
    <w:abstractNumId w:val="35"/>
  </w:num>
  <w:num w:numId="21">
    <w:abstractNumId w:val="6"/>
  </w:num>
  <w:num w:numId="22">
    <w:abstractNumId w:val="0"/>
  </w:num>
  <w:num w:numId="23">
    <w:abstractNumId w:val="44"/>
  </w:num>
  <w:num w:numId="24">
    <w:abstractNumId w:val="24"/>
  </w:num>
  <w:num w:numId="25">
    <w:abstractNumId w:val="12"/>
  </w:num>
  <w:num w:numId="26">
    <w:abstractNumId w:val="15"/>
  </w:num>
  <w:num w:numId="27">
    <w:abstractNumId w:val="4"/>
  </w:num>
  <w:num w:numId="28">
    <w:abstractNumId w:val="33"/>
  </w:num>
  <w:num w:numId="29">
    <w:abstractNumId w:val="21"/>
  </w:num>
  <w:num w:numId="30">
    <w:abstractNumId w:val="11"/>
  </w:num>
  <w:num w:numId="31">
    <w:abstractNumId w:val="43"/>
  </w:num>
  <w:num w:numId="32">
    <w:abstractNumId w:val="28"/>
  </w:num>
  <w:num w:numId="33">
    <w:abstractNumId w:val="7"/>
  </w:num>
  <w:num w:numId="34">
    <w:abstractNumId w:val="32"/>
  </w:num>
  <w:num w:numId="35">
    <w:abstractNumId w:val="9"/>
  </w:num>
  <w:num w:numId="36">
    <w:abstractNumId w:val="31"/>
  </w:num>
  <w:num w:numId="37">
    <w:abstractNumId w:val="25"/>
  </w:num>
  <w:num w:numId="38">
    <w:abstractNumId w:val="2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9"/>
  </w:num>
  <w:num w:numId="43">
    <w:abstractNumId w:val="5"/>
  </w:num>
  <w:num w:numId="44">
    <w:abstractNumId w:val="36"/>
  </w:num>
  <w:num w:numId="45">
    <w:abstractNumId w:val="38"/>
  </w:num>
  <w:num w:numId="46">
    <w:abstractNumId w:val="17"/>
  </w:num>
  <w:num w:numId="47">
    <w:abstractNumId w:val="40"/>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08E7"/>
    <w:rsid w:val="000013C3"/>
    <w:rsid w:val="0000191C"/>
    <w:rsid w:val="000026CC"/>
    <w:rsid w:val="0000299D"/>
    <w:rsid w:val="00002C84"/>
    <w:rsid w:val="00003111"/>
    <w:rsid w:val="00005281"/>
    <w:rsid w:val="00007912"/>
    <w:rsid w:val="000100E5"/>
    <w:rsid w:val="00011758"/>
    <w:rsid w:val="00011CF2"/>
    <w:rsid w:val="00011D52"/>
    <w:rsid w:val="00013530"/>
    <w:rsid w:val="00013BE8"/>
    <w:rsid w:val="0002042C"/>
    <w:rsid w:val="000215F0"/>
    <w:rsid w:val="00022363"/>
    <w:rsid w:val="00022DD0"/>
    <w:rsid w:val="00022F38"/>
    <w:rsid w:val="00023886"/>
    <w:rsid w:val="00023FAD"/>
    <w:rsid w:val="00024DCC"/>
    <w:rsid w:val="00024E51"/>
    <w:rsid w:val="0002535C"/>
    <w:rsid w:val="00025764"/>
    <w:rsid w:val="00025DB8"/>
    <w:rsid w:val="00025F5F"/>
    <w:rsid w:val="00026F32"/>
    <w:rsid w:val="00027251"/>
    <w:rsid w:val="00031D5D"/>
    <w:rsid w:val="000322AC"/>
    <w:rsid w:val="000332E9"/>
    <w:rsid w:val="000337E5"/>
    <w:rsid w:val="00033F1E"/>
    <w:rsid w:val="000353F5"/>
    <w:rsid w:val="00041B57"/>
    <w:rsid w:val="0004382E"/>
    <w:rsid w:val="00043EC5"/>
    <w:rsid w:val="000460A6"/>
    <w:rsid w:val="00047896"/>
    <w:rsid w:val="00051F5B"/>
    <w:rsid w:val="00052FE3"/>
    <w:rsid w:val="00055B9D"/>
    <w:rsid w:val="00056027"/>
    <w:rsid w:val="000601B1"/>
    <w:rsid w:val="00060299"/>
    <w:rsid w:val="00060954"/>
    <w:rsid w:val="00060F7F"/>
    <w:rsid w:val="0006117C"/>
    <w:rsid w:val="0006167A"/>
    <w:rsid w:val="000634BA"/>
    <w:rsid w:val="00064271"/>
    <w:rsid w:val="00065500"/>
    <w:rsid w:val="00065A2F"/>
    <w:rsid w:val="000664A8"/>
    <w:rsid w:val="00066726"/>
    <w:rsid w:val="000679CA"/>
    <w:rsid w:val="00067A12"/>
    <w:rsid w:val="00067E4F"/>
    <w:rsid w:val="0007063B"/>
    <w:rsid w:val="00072310"/>
    <w:rsid w:val="00072763"/>
    <w:rsid w:val="00072B7F"/>
    <w:rsid w:val="00073265"/>
    <w:rsid w:val="0007503D"/>
    <w:rsid w:val="0007524F"/>
    <w:rsid w:val="00075C73"/>
    <w:rsid w:val="00076139"/>
    <w:rsid w:val="00076634"/>
    <w:rsid w:val="00076D55"/>
    <w:rsid w:val="00076F62"/>
    <w:rsid w:val="0007768D"/>
    <w:rsid w:val="0008009F"/>
    <w:rsid w:val="000818FB"/>
    <w:rsid w:val="000820F0"/>
    <w:rsid w:val="0008427C"/>
    <w:rsid w:val="00085FB4"/>
    <w:rsid w:val="00086D8F"/>
    <w:rsid w:val="00086DEB"/>
    <w:rsid w:val="0008767C"/>
    <w:rsid w:val="000917C3"/>
    <w:rsid w:val="00092CB6"/>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8D3"/>
    <w:rsid w:val="000A5B92"/>
    <w:rsid w:val="000A6C04"/>
    <w:rsid w:val="000B1B05"/>
    <w:rsid w:val="000B2CF6"/>
    <w:rsid w:val="000B4F20"/>
    <w:rsid w:val="000B5D80"/>
    <w:rsid w:val="000B6A4A"/>
    <w:rsid w:val="000C0A5D"/>
    <w:rsid w:val="000C4C03"/>
    <w:rsid w:val="000C67EE"/>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ECA"/>
    <w:rsid w:val="000E08F2"/>
    <w:rsid w:val="000E1A18"/>
    <w:rsid w:val="000E2262"/>
    <w:rsid w:val="000E324D"/>
    <w:rsid w:val="000E37D4"/>
    <w:rsid w:val="000E4B1F"/>
    <w:rsid w:val="000E52D7"/>
    <w:rsid w:val="000E65B0"/>
    <w:rsid w:val="000E7042"/>
    <w:rsid w:val="000E742B"/>
    <w:rsid w:val="000E7ABD"/>
    <w:rsid w:val="000F038D"/>
    <w:rsid w:val="000F1AC1"/>
    <w:rsid w:val="000F2CA2"/>
    <w:rsid w:val="000F2E54"/>
    <w:rsid w:val="000F3F07"/>
    <w:rsid w:val="000F3FF5"/>
    <w:rsid w:val="000F43C0"/>
    <w:rsid w:val="000F45EF"/>
    <w:rsid w:val="000F5F85"/>
    <w:rsid w:val="000F6C11"/>
    <w:rsid w:val="001012AD"/>
    <w:rsid w:val="001013B3"/>
    <w:rsid w:val="001017E7"/>
    <w:rsid w:val="001039FB"/>
    <w:rsid w:val="00103CD9"/>
    <w:rsid w:val="0010401B"/>
    <w:rsid w:val="001055E9"/>
    <w:rsid w:val="00105F37"/>
    <w:rsid w:val="00106142"/>
    <w:rsid w:val="001064AC"/>
    <w:rsid w:val="00107025"/>
    <w:rsid w:val="001127AE"/>
    <w:rsid w:val="00115C96"/>
    <w:rsid w:val="00117015"/>
    <w:rsid w:val="00117C99"/>
    <w:rsid w:val="00120933"/>
    <w:rsid w:val="00122E6D"/>
    <w:rsid w:val="001240AF"/>
    <w:rsid w:val="00124DDA"/>
    <w:rsid w:val="00124F49"/>
    <w:rsid w:val="00125979"/>
    <w:rsid w:val="001261B8"/>
    <w:rsid w:val="001266B4"/>
    <w:rsid w:val="00126EC6"/>
    <w:rsid w:val="001322A1"/>
    <w:rsid w:val="00132704"/>
    <w:rsid w:val="0013310E"/>
    <w:rsid w:val="00133D97"/>
    <w:rsid w:val="00135B04"/>
    <w:rsid w:val="00137753"/>
    <w:rsid w:val="0014148D"/>
    <w:rsid w:val="00141BDD"/>
    <w:rsid w:val="001424D3"/>
    <w:rsid w:val="00143701"/>
    <w:rsid w:val="00143D8D"/>
    <w:rsid w:val="0014426A"/>
    <w:rsid w:val="00144E2B"/>
    <w:rsid w:val="0014678E"/>
    <w:rsid w:val="00147EF8"/>
    <w:rsid w:val="00150AF5"/>
    <w:rsid w:val="00152DAF"/>
    <w:rsid w:val="00152F46"/>
    <w:rsid w:val="00153B76"/>
    <w:rsid w:val="001545B7"/>
    <w:rsid w:val="00156283"/>
    <w:rsid w:val="0015781C"/>
    <w:rsid w:val="00160A8B"/>
    <w:rsid w:val="00162BFC"/>
    <w:rsid w:val="00162DEF"/>
    <w:rsid w:val="00162EC9"/>
    <w:rsid w:val="00164342"/>
    <w:rsid w:val="00165382"/>
    <w:rsid w:val="00165935"/>
    <w:rsid w:val="00166158"/>
    <w:rsid w:val="00167BBA"/>
    <w:rsid w:val="00170C5C"/>
    <w:rsid w:val="0017129C"/>
    <w:rsid w:val="00171C83"/>
    <w:rsid w:val="0017206C"/>
    <w:rsid w:val="0017214E"/>
    <w:rsid w:val="00172487"/>
    <w:rsid w:val="00172643"/>
    <w:rsid w:val="00172826"/>
    <w:rsid w:val="00172F27"/>
    <w:rsid w:val="00173244"/>
    <w:rsid w:val="0017357D"/>
    <w:rsid w:val="00173EBC"/>
    <w:rsid w:val="0017543D"/>
    <w:rsid w:val="00175F77"/>
    <w:rsid w:val="0017606A"/>
    <w:rsid w:val="00180F71"/>
    <w:rsid w:val="0018124A"/>
    <w:rsid w:val="00181871"/>
    <w:rsid w:val="00182E93"/>
    <w:rsid w:val="00184D93"/>
    <w:rsid w:val="001853D4"/>
    <w:rsid w:val="00187410"/>
    <w:rsid w:val="00187605"/>
    <w:rsid w:val="001900A1"/>
    <w:rsid w:val="001900B9"/>
    <w:rsid w:val="001917D1"/>
    <w:rsid w:val="001929A7"/>
    <w:rsid w:val="00192CFD"/>
    <w:rsid w:val="0019307C"/>
    <w:rsid w:val="00193789"/>
    <w:rsid w:val="00193798"/>
    <w:rsid w:val="001952B7"/>
    <w:rsid w:val="00195627"/>
    <w:rsid w:val="001972AF"/>
    <w:rsid w:val="00197752"/>
    <w:rsid w:val="001A0871"/>
    <w:rsid w:val="001A150E"/>
    <w:rsid w:val="001A1A41"/>
    <w:rsid w:val="001A2112"/>
    <w:rsid w:val="001A239F"/>
    <w:rsid w:val="001A261B"/>
    <w:rsid w:val="001A2BC5"/>
    <w:rsid w:val="001A3EF7"/>
    <w:rsid w:val="001A4B98"/>
    <w:rsid w:val="001A4F41"/>
    <w:rsid w:val="001A5577"/>
    <w:rsid w:val="001A7CD5"/>
    <w:rsid w:val="001B03A5"/>
    <w:rsid w:val="001B22A1"/>
    <w:rsid w:val="001B2BF9"/>
    <w:rsid w:val="001B47F2"/>
    <w:rsid w:val="001B4E5A"/>
    <w:rsid w:val="001B5C6F"/>
    <w:rsid w:val="001B6B9C"/>
    <w:rsid w:val="001B78D2"/>
    <w:rsid w:val="001C1259"/>
    <w:rsid w:val="001C1611"/>
    <w:rsid w:val="001C2101"/>
    <w:rsid w:val="001C2DCE"/>
    <w:rsid w:val="001C3246"/>
    <w:rsid w:val="001C5D56"/>
    <w:rsid w:val="001C5E99"/>
    <w:rsid w:val="001C687C"/>
    <w:rsid w:val="001C7BEE"/>
    <w:rsid w:val="001D0A6A"/>
    <w:rsid w:val="001D14A5"/>
    <w:rsid w:val="001D2702"/>
    <w:rsid w:val="001D3D53"/>
    <w:rsid w:val="001D4CB4"/>
    <w:rsid w:val="001D5B0F"/>
    <w:rsid w:val="001D6658"/>
    <w:rsid w:val="001D6840"/>
    <w:rsid w:val="001D76C4"/>
    <w:rsid w:val="001E1104"/>
    <w:rsid w:val="001E1592"/>
    <w:rsid w:val="001E2DE4"/>
    <w:rsid w:val="001E2EA8"/>
    <w:rsid w:val="001E311C"/>
    <w:rsid w:val="001E6AB8"/>
    <w:rsid w:val="001E7EDB"/>
    <w:rsid w:val="001F08CF"/>
    <w:rsid w:val="001F0AC0"/>
    <w:rsid w:val="001F0F9B"/>
    <w:rsid w:val="001F1B56"/>
    <w:rsid w:val="001F1DC2"/>
    <w:rsid w:val="001F2983"/>
    <w:rsid w:val="001F29E2"/>
    <w:rsid w:val="001F3204"/>
    <w:rsid w:val="001F55DF"/>
    <w:rsid w:val="001F5AC4"/>
    <w:rsid w:val="001F6067"/>
    <w:rsid w:val="001F6B77"/>
    <w:rsid w:val="0020003C"/>
    <w:rsid w:val="00200E30"/>
    <w:rsid w:val="00202EB9"/>
    <w:rsid w:val="0020383C"/>
    <w:rsid w:val="00204694"/>
    <w:rsid w:val="00205091"/>
    <w:rsid w:val="00205B98"/>
    <w:rsid w:val="0020712D"/>
    <w:rsid w:val="00207906"/>
    <w:rsid w:val="00210A59"/>
    <w:rsid w:val="00213147"/>
    <w:rsid w:val="00214468"/>
    <w:rsid w:val="00214A4A"/>
    <w:rsid w:val="00217035"/>
    <w:rsid w:val="00220CE5"/>
    <w:rsid w:val="00221B21"/>
    <w:rsid w:val="00221B6D"/>
    <w:rsid w:val="00222AC9"/>
    <w:rsid w:val="00227BA7"/>
    <w:rsid w:val="00227D2E"/>
    <w:rsid w:val="0023058C"/>
    <w:rsid w:val="00230A7F"/>
    <w:rsid w:val="00230D6E"/>
    <w:rsid w:val="00230F0D"/>
    <w:rsid w:val="00231A7F"/>
    <w:rsid w:val="00231EE7"/>
    <w:rsid w:val="00231EFB"/>
    <w:rsid w:val="002338DF"/>
    <w:rsid w:val="00235DC0"/>
    <w:rsid w:val="00242E93"/>
    <w:rsid w:val="002431E8"/>
    <w:rsid w:val="00243973"/>
    <w:rsid w:val="00243BF8"/>
    <w:rsid w:val="002457CB"/>
    <w:rsid w:val="00245D96"/>
    <w:rsid w:val="00250401"/>
    <w:rsid w:val="00250FAB"/>
    <w:rsid w:val="00251903"/>
    <w:rsid w:val="002524D7"/>
    <w:rsid w:val="00252B94"/>
    <w:rsid w:val="00253BE8"/>
    <w:rsid w:val="00253DB2"/>
    <w:rsid w:val="00254C43"/>
    <w:rsid w:val="00254D05"/>
    <w:rsid w:val="00255A76"/>
    <w:rsid w:val="00255E29"/>
    <w:rsid w:val="00257A0E"/>
    <w:rsid w:val="00257C43"/>
    <w:rsid w:val="002617B1"/>
    <w:rsid w:val="00265452"/>
    <w:rsid w:val="002677AF"/>
    <w:rsid w:val="00267902"/>
    <w:rsid w:val="0027273C"/>
    <w:rsid w:val="0027495F"/>
    <w:rsid w:val="00275F4A"/>
    <w:rsid w:val="0028166B"/>
    <w:rsid w:val="00283803"/>
    <w:rsid w:val="00283D22"/>
    <w:rsid w:val="00283E88"/>
    <w:rsid w:val="00285DBA"/>
    <w:rsid w:val="002865F6"/>
    <w:rsid w:val="00286A56"/>
    <w:rsid w:val="00286A95"/>
    <w:rsid w:val="00287CF2"/>
    <w:rsid w:val="002901E0"/>
    <w:rsid w:val="002904DB"/>
    <w:rsid w:val="002923B3"/>
    <w:rsid w:val="0029313D"/>
    <w:rsid w:val="0029422B"/>
    <w:rsid w:val="002946FF"/>
    <w:rsid w:val="0029571A"/>
    <w:rsid w:val="0029574A"/>
    <w:rsid w:val="00295AE4"/>
    <w:rsid w:val="00296EA8"/>
    <w:rsid w:val="002978A1"/>
    <w:rsid w:val="002A0F18"/>
    <w:rsid w:val="002A259F"/>
    <w:rsid w:val="002A2B8A"/>
    <w:rsid w:val="002A2C4A"/>
    <w:rsid w:val="002A5547"/>
    <w:rsid w:val="002A5EDA"/>
    <w:rsid w:val="002B0529"/>
    <w:rsid w:val="002B2E94"/>
    <w:rsid w:val="002B33C0"/>
    <w:rsid w:val="002B503F"/>
    <w:rsid w:val="002B6043"/>
    <w:rsid w:val="002B7A49"/>
    <w:rsid w:val="002C2796"/>
    <w:rsid w:val="002C3307"/>
    <w:rsid w:val="002C4CF9"/>
    <w:rsid w:val="002C5F7D"/>
    <w:rsid w:val="002C763E"/>
    <w:rsid w:val="002D1038"/>
    <w:rsid w:val="002D298F"/>
    <w:rsid w:val="002D468B"/>
    <w:rsid w:val="002D5131"/>
    <w:rsid w:val="002D55BA"/>
    <w:rsid w:val="002D5DFB"/>
    <w:rsid w:val="002D619F"/>
    <w:rsid w:val="002D6785"/>
    <w:rsid w:val="002D688F"/>
    <w:rsid w:val="002E1A27"/>
    <w:rsid w:val="002E33DD"/>
    <w:rsid w:val="002E393C"/>
    <w:rsid w:val="002E64BE"/>
    <w:rsid w:val="002E71F1"/>
    <w:rsid w:val="002E7DC6"/>
    <w:rsid w:val="002F1F4A"/>
    <w:rsid w:val="002F20AB"/>
    <w:rsid w:val="002F2176"/>
    <w:rsid w:val="002F2BAB"/>
    <w:rsid w:val="002F330A"/>
    <w:rsid w:val="002F61D7"/>
    <w:rsid w:val="002F7BE7"/>
    <w:rsid w:val="0030058B"/>
    <w:rsid w:val="00300CF9"/>
    <w:rsid w:val="00300E36"/>
    <w:rsid w:val="00300FD9"/>
    <w:rsid w:val="00301D9F"/>
    <w:rsid w:val="00303127"/>
    <w:rsid w:val="00304138"/>
    <w:rsid w:val="0030690A"/>
    <w:rsid w:val="00306DE6"/>
    <w:rsid w:val="003071A1"/>
    <w:rsid w:val="00307530"/>
    <w:rsid w:val="003106C4"/>
    <w:rsid w:val="00311FCA"/>
    <w:rsid w:val="00312032"/>
    <w:rsid w:val="00312D1F"/>
    <w:rsid w:val="00314A7B"/>
    <w:rsid w:val="003158A3"/>
    <w:rsid w:val="00315CCD"/>
    <w:rsid w:val="0031633C"/>
    <w:rsid w:val="003169D9"/>
    <w:rsid w:val="00320A40"/>
    <w:rsid w:val="00322B43"/>
    <w:rsid w:val="0032385F"/>
    <w:rsid w:val="003278B1"/>
    <w:rsid w:val="00327B2D"/>
    <w:rsid w:val="0033236B"/>
    <w:rsid w:val="00332FAA"/>
    <w:rsid w:val="00333F8D"/>
    <w:rsid w:val="0033413E"/>
    <w:rsid w:val="003357EB"/>
    <w:rsid w:val="0033615A"/>
    <w:rsid w:val="003377CA"/>
    <w:rsid w:val="00340212"/>
    <w:rsid w:val="003403A0"/>
    <w:rsid w:val="0034319E"/>
    <w:rsid w:val="00344FDF"/>
    <w:rsid w:val="00345261"/>
    <w:rsid w:val="003479C3"/>
    <w:rsid w:val="00350325"/>
    <w:rsid w:val="0035091C"/>
    <w:rsid w:val="003509ED"/>
    <w:rsid w:val="00351BE4"/>
    <w:rsid w:val="003530CC"/>
    <w:rsid w:val="00356574"/>
    <w:rsid w:val="00357346"/>
    <w:rsid w:val="003575CA"/>
    <w:rsid w:val="00364A1E"/>
    <w:rsid w:val="00365171"/>
    <w:rsid w:val="003708EF"/>
    <w:rsid w:val="00371F65"/>
    <w:rsid w:val="0037385E"/>
    <w:rsid w:val="00374FC2"/>
    <w:rsid w:val="003767EA"/>
    <w:rsid w:val="00377C39"/>
    <w:rsid w:val="003801D6"/>
    <w:rsid w:val="00381EEC"/>
    <w:rsid w:val="003832EC"/>
    <w:rsid w:val="00383C88"/>
    <w:rsid w:val="003847D9"/>
    <w:rsid w:val="003855C9"/>
    <w:rsid w:val="00386714"/>
    <w:rsid w:val="00386E98"/>
    <w:rsid w:val="003908F6"/>
    <w:rsid w:val="0039105A"/>
    <w:rsid w:val="003913E3"/>
    <w:rsid w:val="003929B3"/>
    <w:rsid w:val="00393460"/>
    <w:rsid w:val="00393A40"/>
    <w:rsid w:val="00393B3E"/>
    <w:rsid w:val="0039564A"/>
    <w:rsid w:val="00396F25"/>
    <w:rsid w:val="00397CA0"/>
    <w:rsid w:val="003A241C"/>
    <w:rsid w:val="003A29EA"/>
    <w:rsid w:val="003A2E8D"/>
    <w:rsid w:val="003A3829"/>
    <w:rsid w:val="003A46C9"/>
    <w:rsid w:val="003A55CA"/>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E38"/>
    <w:rsid w:val="003C137A"/>
    <w:rsid w:val="003C2934"/>
    <w:rsid w:val="003C2C88"/>
    <w:rsid w:val="003C2CFD"/>
    <w:rsid w:val="003C2E51"/>
    <w:rsid w:val="003C396C"/>
    <w:rsid w:val="003C3E04"/>
    <w:rsid w:val="003C4A4A"/>
    <w:rsid w:val="003C620C"/>
    <w:rsid w:val="003C6992"/>
    <w:rsid w:val="003C710D"/>
    <w:rsid w:val="003C7446"/>
    <w:rsid w:val="003D0448"/>
    <w:rsid w:val="003D0BE1"/>
    <w:rsid w:val="003D0EEA"/>
    <w:rsid w:val="003D0FBA"/>
    <w:rsid w:val="003D1702"/>
    <w:rsid w:val="003D3B31"/>
    <w:rsid w:val="003E18D8"/>
    <w:rsid w:val="003E6D15"/>
    <w:rsid w:val="003F01EC"/>
    <w:rsid w:val="003F0C87"/>
    <w:rsid w:val="003F10B4"/>
    <w:rsid w:val="003F162E"/>
    <w:rsid w:val="003F298D"/>
    <w:rsid w:val="0040074A"/>
    <w:rsid w:val="004017E5"/>
    <w:rsid w:val="004046B5"/>
    <w:rsid w:val="00404829"/>
    <w:rsid w:val="00406F7C"/>
    <w:rsid w:val="0041105C"/>
    <w:rsid w:val="004134D8"/>
    <w:rsid w:val="0041414C"/>
    <w:rsid w:val="00414B2D"/>
    <w:rsid w:val="004163D7"/>
    <w:rsid w:val="0041757E"/>
    <w:rsid w:val="00417661"/>
    <w:rsid w:val="00417DA3"/>
    <w:rsid w:val="00421D69"/>
    <w:rsid w:val="00422105"/>
    <w:rsid w:val="0042362D"/>
    <w:rsid w:val="004259A6"/>
    <w:rsid w:val="00427D6B"/>
    <w:rsid w:val="00430378"/>
    <w:rsid w:val="00431AEE"/>
    <w:rsid w:val="004338D9"/>
    <w:rsid w:val="00433E65"/>
    <w:rsid w:val="004343C1"/>
    <w:rsid w:val="00434E57"/>
    <w:rsid w:val="00435CE5"/>
    <w:rsid w:val="00435E0C"/>
    <w:rsid w:val="00436117"/>
    <w:rsid w:val="00436ECB"/>
    <w:rsid w:val="00437C75"/>
    <w:rsid w:val="00437F21"/>
    <w:rsid w:val="00441CA9"/>
    <w:rsid w:val="004421F1"/>
    <w:rsid w:val="00443720"/>
    <w:rsid w:val="00444414"/>
    <w:rsid w:val="004448DD"/>
    <w:rsid w:val="00444980"/>
    <w:rsid w:val="00444E8C"/>
    <w:rsid w:val="004466BF"/>
    <w:rsid w:val="004518F7"/>
    <w:rsid w:val="0045202E"/>
    <w:rsid w:val="00452844"/>
    <w:rsid w:val="004543D9"/>
    <w:rsid w:val="00455284"/>
    <w:rsid w:val="00457D03"/>
    <w:rsid w:val="004604D3"/>
    <w:rsid w:val="00461F7E"/>
    <w:rsid w:val="0046206E"/>
    <w:rsid w:val="00462195"/>
    <w:rsid w:val="00463482"/>
    <w:rsid w:val="00463583"/>
    <w:rsid w:val="00463D16"/>
    <w:rsid w:val="00464A72"/>
    <w:rsid w:val="00465B40"/>
    <w:rsid w:val="00467235"/>
    <w:rsid w:val="0046775F"/>
    <w:rsid w:val="00472CC5"/>
    <w:rsid w:val="00472E2D"/>
    <w:rsid w:val="00473CBD"/>
    <w:rsid w:val="00474092"/>
    <w:rsid w:val="00475C03"/>
    <w:rsid w:val="00476D6C"/>
    <w:rsid w:val="004775F3"/>
    <w:rsid w:val="00480688"/>
    <w:rsid w:val="00480FA5"/>
    <w:rsid w:val="004820C7"/>
    <w:rsid w:val="004824D1"/>
    <w:rsid w:val="00483D25"/>
    <w:rsid w:val="00485811"/>
    <w:rsid w:val="00485833"/>
    <w:rsid w:val="004858D6"/>
    <w:rsid w:val="00486576"/>
    <w:rsid w:val="0049109E"/>
    <w:rsid w:val="004916BD"/>
    <w:rsid w:val="0049174B"/>
    <w:rsid w:val="004930CF"/>
    <w:rsid w:val="00494780"/>
    <w:rsid w:val="004975AA"/>
    <w:rsid w:val="004A05CD"/>
    <w:rsid w:val="004A0F23"/>
    <w:rsid w:val="004A0FE6"/>
    <w:rsid w:val="004A12F7"/>
    <w:rsid w:val="004A1E39"/>
    <w:rsid w:val="004A2227"/>
    <w:rsid w:val="004A2DDC"/>
    <w:rsid w:val="004A38E3"/>
    <w:rsid w:val="004A3ADA"/>
    <w:rsid w:val="004A43C7"/>
    <w:rsid w:val="004A6E0A"/>
    <w:rsid w:val="004A7D32"/>
    <w:rsid w:val="004B0539"/>
    <w:rsid w:val="004B270A"/>
    <w:rsid w:val="004B2CC3"/>
    <w:rsid w:val="004B3407"/>
    <w:rsid w:val="004B3751"/>
    <w:rsid w:val="004B47A3"/>
    <w:rsid w:val="004B5109"/>
    <w:rsid w:val="004B53D6"/>
    <w:rsid w:val="004B5E6C"/>
    <w:rsid w:val="004B638F"/>
    <w:rsid w:val="004C06C3"/>
    <w:rsid w:val="004C0806"/>
    <w:rsid w:val="004C249A"/>
    <w:rsid w:val="004C4256"/>
    <w:rsid w:val="004C5BDE"/>
    <w:rsid w:val="004C5D2C"/>
    <w:rsid w:val="004C6746"/>
    <w:rsid w:val="004C6E92"/>
    <w:rsid w:val="004C7D84"/>
    <w:rsid w:val="004D1CFD"/>
    <w:rsid w:val="004D4476"/>
    <w:rsid w:val="004D4912"/>
    <w:rsid w:val="004D49AC"/>
    <w:rsid w:val="004D564D"/>
    <w:rsid w:val="004D678C"/>
    <w:rsid w:val="004D7EC1"/>
    <w:rsid w:val="004E02D5"/>
    <w:rsid w:val="004E0F61"/>
    <w:rsid w:val="004E2B78"/>
    <w:rsid w:val="004E6287"/>
    <w:rsid w:val="004E6DC4"/>
    <w:rsid w:val="004F1BDB"/>
    <w:rsid w:val="004F31F1"/>
    <w:rsid w:val="004F448C"/>
    <w:rsid w:val="004F5D30"/>
    <w:rsid w:val="004F6583"/>
    <w:rsid w:val="004F6D6A"/>
    <w:rsid w:val="00502776"/>
    <w:rsid w:val="00503BF5"/>
    <w:rsid w:val="005050E8"/>
    <w:rsid w:val="00505776"/>
    <w:rsid w:val="005069CE"/>
    <w:rsid w:val="0050752F"/>
    <w:rsid w:val="0051036C"/>
    <w:rsid w:val="0051162B"/>
    <w:rsid w:val="00512B8A"/>
    <w:rsid w:val="00513AD7"/>
    <w:rsid w:val="00514EA8"/>
    <w:rsid w:val="00515C3F"/>
    <w:rsid w:val="00517B20"/>
    <w:rsid w:val="005206FB"/>
    <w:rsid w:val="00520BF9"/>
    <w:rsid w:val="0052222D"/>
    <w:rsid w:val="00522421"/>
    <w:rsid w:val="005227AC"/>
    <w:rsid w:val="00524424"/>
    <w:rsid w:val="00524A0F"/>
    <w:rsid w:val="005254BF"/>
    <w:rsid w:val="005254D4"/>
    <w:rsid w:val="00525EDC"/>
    <w:rsid w:val="005265D9"/>
    <w:rsid w:val="005266C2"/>
    <w:rsid w:val="00527AF8"/>
    <w:rsid w:val="00530623"/>
    <w:rsid w:val="00531544"/>
    <w:rsid w:val="00531C40"/>
    <w:rsid w:val="00532272"/>
    <w:rsid w:val="005322A7"/>
    <w:rsid w:val="00534323"/>
    <w:rsid w:val="00534B95"/>
    <w:rsid w:val="00534EE4"/>
    <w:rsid w:val="005353F5"/>
    <w:rsid w:val="00535F02"/>
    <w:rsid w:val="0053721C"/>
    <w:rsid w:val="005378BD"/>
    <w:rsid w:val="0053790F"/>
    <w:rsid w:val="00541088"/>
    <w:rsid w:val="00541D99"/>
    <w:rsid w:val="005424E8"/>
    <w:rsid w:val="00543803"/>
    <w:rsid w:val="0054435F"/>
    <w:rsid w:val="0054570A"/>
    <w:rsid w:val="00546CA1"/>
    <w:rsid w:val="00546F0C"/>
    <w:rsid w:val="00547163"/>
    <w:rsid w:val="0054723D"/>
    <w:rsid w:val="00547436"/>
    <w:rsid w:val="00550989"/>
    <w:rsid w:val="00550D96"/>
    <w:rsid w:val="00551CB9"/>
    <w:rsid w:val="005548B0"/>
    <w:rsid w:val="005551E2"/>
    <w:rsid w:val="005565BB"/>
    <w:rsid w:val="005567E3"/>
    <w:rsid w:val="00557BCF"/>
    <w:rsid w:val="00562995"/>
    <w:rsid w:val="00563DAB"/>
    <w:rsid w:val="00565175"/>
    <w:rsid w:val="00565450"/>
    <w:rsid w:val="005660B9"/>
    <w:rsid w:val="00567F1D"/>
    <w:rsid w:val="00570C27"/>
    <w:rsid w:val="00571181"/>
    <w:rsid w:val="005719BA"/>
    <w:rsid w:val="00571A04"/>
    <w:rsid w:val="00571FE4"/>
    <w:rsid w:val="00574FAA"/>
    <w:rsid w:val="005752D2"/>
    <w:rsid w:val="0057530B"/>
    <w:rsid w:val="00577E6C"/>
    <w:rsid w:val="00580039"/>
    <w:rsid w:val="00581321"/>
    <w:rsid w:val="00582361"/>
    <w:rsid w:val="00584B9D"/>
    <w:rsid w:val="00586A21"/>
    <w:rsid w:val="00587194"/>
    <w:rsid w:val="005872BC"/>
    <w:rsid w:val="00587698"/>
    <w:rsid w:val="00590CB5"/>
    <w:rsid w:val="0059311A"/>
    <w:rsid w:val="00593F33"/>
    <w:rsid w:val="005967FC"/>
    <w:rsid w:val="00597CED"/>
    <w:rsid w:val="005A2467"/>
    <w:rsid w:val="005A2595"/>
    <w:rsid w:val="005A3B1D"/>
    <w:rsid w:val="005A3C01"/>
    <w:rsid w:val="005A4153"/>
    <w:rsid w:val="005A461E"/>
    <w:rsid w:val="005A4F53"/>
    <w:rsid w:val="005A62A6"/>
    <w:rsid w:val="005A66FC"/>
    <w:rsid w:val="005A703D"/>
    <w:rsid w:val="005A7334"/>
    <w:rsid w:val="005A7BED"/>
    <w:rsid w:val="005B025A"/>
    <w:rsid w:val="005B248B"/>
    <w:rsid w:val="005B2BDE"/>
    <w:rsid w:val="005B2F92"/>
    <w:rsid w:val="005B387F"/>
    <w:rsid w:val="005B3BD2"/>
    <w:rsid w:val="005B606C"/>
    <w:rsid w:val="005B66D3"/>
    <w:rsid w:val="005C085F"/>
    <w:rsid w:val="005C19D8"/>
    <w:rsid w:val="005C1C5A"/>
    <w:rsid w:val="005C2225"/>
    <w:rsid w:val="005C2467"/>
    <w:rsid w:val="005C26B3"/>
    <w:rsid w:val="005C31C9"/>
    <w:rsid w:val="005C336C"/>
    <w:rsid w:val="005C3B96"/>
    <w:rsid w:val="005C458F"/>
    <w:rsid w:val="005C6722"/>
    <w:rsid w:val="005C7391"/>
    <w:rsid w:val="005C7936"/>
    <w:rsid w:val="005D1620"/>
    <w:rsid w:val="005D1B2D"/>
    <w:rsid w:val="005D269F"/>
    <w:rsid w:val="005D29AD"/>
    <w:rsid w:val="005D3CD3"/>
    <w:rsid w:val="005D45CE"/>
    <w:rsid w:val="005D5B8A"/>
    <w:rsid w:val="005E0152"/>
    <w:rsid w:val="005E0DC3"/>
    <w:rsid w:val="005E14BE"/>
    <w:rsid w:val="005E25A0"/>
    <w:rsid w:val="005E3018"/>
    <w:rsid w:val="005E45DD"/>
    <w:rsid w:val="005E799C"/>
    <w:rsid w:val="005F1392"/>
    <w:rsid w:val="005F1D7B"/>
    <w:rsid w:val="005F288E"/>
    <w:rsid w:val="005F2B51"/>
    <w:rsid w:val="005F4CEA"/>
    <w:rsid w:val="005F6B42"/>
    <w:rsid w:val="005F70BE"/>
    <w:rsid w:val="005F7975"/>
    <w:rsid w:val="005F7E0A"/>
    <w:rsid w:val="00600602"/>
    <w:rsid w:val="00600676"/>
    <w:rsid w:val="00600AC6"/>
    <w:rsid w:val="006018EB"/>
    <w:rsid w:val="006027B0"/>
    <w:rsid w:val="00602EB1"/>
    <w:rsid w:val="00604455"/>
    <w:rsid w:val="006056CF"/>
    <w:rsid w:val="00607FBD"/>
    <w:rsid w:val="00607FC8"/>
    <w:rsid w:val="006112D7"/>
    <w:rsid w:val="00612508"/>
    <w:rsid w:val="00614195"/>
    <w:rsid w:val="00614452"/>
    <w:rsid w:val="006145D8"/>
    <w:rsid w:val="00615133"/>
    <w:rsid w:val="00615E1E"/>
    <w:rsid w:val="00616259"/>
    <w:rsid w:val="00616841"/>
    <w:rsid w:val="00617636"/>
    <w:rsid w:val="00620C95"/>
    <w:rsid w:val="00622526"/>
    <w:rsid w:val="0062319B"/>
    <w:rsid w:val="0062698A"/>
    <w:rsid w:val="00630A34"/>
    <w:rsid w:val="00631D04"/>
    <w:rsid w:val="00634D8C"/>
    <w:rsid w:val="00634E55"/>
    <w:rsid w:val="006352B7"/>
    <w:rsid w:val="00635ED8"/>
    <w:rsid w:val="0063767B"/>
    <w:rsid w:val="00637AB3"/>
    <w:rsid w:val="00640CA5"/>
    <w:rsid w:val="00641308"/>
    <w:rsid w:val="0064234D"/>
    <w:rsid w:val="00644360"/>
    <w:rsid w:val="00644F63"/>
    <w:rsid w:val="00645798"/>
    <w:rsid w:val="006472F2"/>
    <w:rsid w:val="00650262"/>
    <w:rsid w:val="006507EA"/>
    <w:rsid w:val="0065133D"/>
    <w:rsid w:val="00652D2F"/>
    <w:rsid w:val="006535FE"/>
    <w:rsid w:val="00654759"/>
    <w:rsid w:val="006550DE"/>
    <w:rsid w:val="00655913"/>
    <w:rsid w:val="006562FD"/>
    <w:rsid w:val="006568AE"/>
    <w:rsid w:val="00656C54"/>
    <w:rsid w:val="00661297"/>
    <w:rsid w:val="006615CB"/>
    <w:rsid w:val="006618F4"/>
    <w:rsid w:val="006627C2"/>
    <w:rsid w:val="00662B8C"/>
    <w:rsid w:val="006641CB"/>
    <w:rsid w:val="006642B1"/>
    <w:rsid w:val="0066436E"/>
    <w:rsid w:val="006663F5"/>
    <w:rsid w:val="006668E1"/>
    <w:rsid w:val="006678FC"/>
    <w:rsid w:val="00667F0F"/>
    <w:rsid w:val="006748FC"/>
    <w:rsid w:val="00676868"/>
    <w:rsid w:val="00676C54"/>
    <w:rsid w:val="0067757F"/>
    <w:rsid w:val="00680035"/>
    <w:rsid w:val="00684673"/>
    <w:rsid w:val="0068471D"/>
    <w:rsid w:val="0068549C"/>
    <w:rsid w:val="0068783B"/>
    <w:rsid w:val="00690E0F"/>
    <w:rsid w:val="00692159"/>
    <w:rsid w:val="00692569"/>
    <w:rsid w:val="00693136"/>
    <w:rsid w:val="006938F5"/>
    <w:rsid w:val="00694281"/>
    <w:rsid w:val="006950A1"/>
    <w:rsid w:val="00695732"/>
    <w:rsid w:val="00695FDF"/>
    <w:rsid w:val="0069656E"/>
    <w:rsid w:val="006975BD"/>
    <w:rsid w:val="006A04FE"/>
    <w:rsid w:val="006A141C"/>
    <w:rsid w:val="006A309C"/>
    <w:rsid w:val="006A3A7B"/>
    <w:rsid w:val="006A5F1E"/>
    <w:rsid w:val="006A66EB"/>
    <w:rsid w:val="006A6C0A"/>
    <w:rsid w:val="006A6FA0"/>
    <w:rsid w:val="006A7035"/>
    <w:rsid w:val="006A78E4"/>
    <w:rsid w:val="006B0F10"/>
    <w:rsid w:val="006B28B3"/>
    <w:rsid w:val="006B5F12"/>
    <w:rsid w:val="006B61AE"/>
    <w:rsid w:val="006B6B2E"/>
    <w:rsid w:val="006B6D9B"/>
    <w:rsid w:val="006B77CB"/>
    <w:rsid w:val="006C0A90"/>
    <w:rsid w:val="006C11A5"/>
    <w:rsid w:val="006C1FB5"/>
    <w:rsid w:val="006C2AFC"/>
    <w:rsid w:val="006C2E4D"/>
    <w:rsid w:val="006D12DA"/>
    <w:rsid w:val="006D1B00"/>
    <w:rsid w:val="006D3B8F"/>
    <w:rsid w:val="006D5236"/>
    <w:rsid w:val="006D5F62"/>
    <w:rsid w:val="006D6BA1"/>
    <w:rsid w:val="006D7214"/>
    <w:rsid w:val="006E100D"/>
    <w:rsid w:val="006E1334"/>
    <w:rsid w:val="006E1629"/>
    <w:rsid w:val="006E1832"/>
    <w:rsid w:val="006E5690"/>
    <w:rsid w:val="006E6874"/>
    <w:rsid w:val="006E6B60"/>
    <w:rsid w:val="006E6F53"/>
    <w:rsid w:val="006E71AC"/>
    <w:rsid w:val="006E766C"/>
    <w:rsid w:val="006E7776"/>
    <w:rsid w:val="006F01CE"/>
    <w:rsid w:val="006F03E2"/>
    <w:rsid w:val="006F07F5"/>
    <w:rsid w:val="006F1D71"/>
    <w:rsid w:val="006F1FC6"/>
    <w:rsid w:val="006F24DB"/>
    <w:rsid w:val="006F27A3"/>
    <w:rsid w:val="006F2808"/>
    <w:rsid w:val="006F4219"/>
    <w:rsid w:val="006F44E5"/>
    <w:rsid w:val="006F4A4C"/>
    <w:rsid w:val="006F52B4"/>
    <w:rsid w:val="006F562A"/>
    <w:rsid w:val="006F6160"/>
    <w:rsid w:val="006F695B"/>
    <w:rsid w:val="006F7014"/>
    <w:rsid w:val="00701835"/>
    <w:rsid w:val="00701A66"/>
    <w:rsid w:val="007024DF"/>
    <w:rsid w:val="00707B4A"/>
    <w:rsid w:val="007117A0"/>
    <w:rsid w:val="00716B70"/>
    <w:rsid w:val="007201D5"/>
    <w:rsid w:val="0072020C"/>
    <w:rsid w:val="00720D87"/>
    <w:rsid w:val="0072250C"/>
    <w:rsid w:val="007239AD"/>
    <w:rsid w:val="00723F96"/>
    <w:rsid w:val="00725A38"/>
    <w:rsid w:val="00726989"/>
    <w:rsid w:val="0073192F"/>
    <w:rsid w:val="00731B65"/>
    <w:rsid w:val="00731CB2"/>
    <w:rsid w:val="00732403"/>
    <w:rsid w:val="007328DA"/>
    <w:rsid w:val="00733900"/>
    <w:rsid w:val="0073555B"/>
    <w:rsid w:val="00735CD2"/>
    <w:rsid w:val="00740778"/>
    <w:rsid w:val="00742137"/>
    <w:rsid w:val="00743286"/>
    <w:rsid w:val="007460BC"/>
    <w:rsid w:val="007469AE"/>
    <w:rsid w:val="007470B5"/>
    <w:rsid w:val="00747531"/>
    <w:rsid w:val="00747ED4"/>
    <w:rsid w:val="00751924"/>
    <w:rsid w:val="00751EE2"/>
    <w:rsid w:val="007535D5"/>
    <w:rsid w:val="00753EFD"/>
    <w:rsid w:val="007552B7"/>
    <w:rsid w:val="00755DA9"/>
    <w:rsid w:val="00757715"/>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0F06"/>
    <w:rsid w:val="00781457"/>
    <w:rsid w:val="00781B9C"/>
    <w:rsid w:val="007857F3"/>
    <w:rsid w:val="00785B30"/>
    <w:rsid w:val="007860C0"/>
    <w:rsid w:val="00786CF7"/>
    <w:rsid w:val="00790B5F"/>
    <w:rsid w:val="00791A42"/>
    <w:rsid w:val="00791E1D"/>
    <w:rsid w:val="00792E71"/>
    <w:rsid w:val="007937B6"/>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3420"/>
    <w:rsid w:val="007A421A"/>
    <w:rsid w:val="007A53D4"/>
    <w:rsid w:val="007A56E2"/>
    <w:rsid w:val="007A6355"/>
    <w:rsid w:val="007A6DAB"/>
    <w:rsid w:val="007A6EFF"/>
    <w:rsid w:val="007A7120"/>
    <w:rsid w:val="007A73BB"/>
    <w:rsid w:val="007B07CC"/>
    <w:rsid w:val="007B1C17"/>
    <w:rsid w:val="007B4249"/>
    <w:rsid w:val="007B4AD7"/>
    <w:rsid w:val="007B4FAE"/>
    <w:rsid w:val="007B6ACA"/>
    <w:rsid w:val="007B7624"/>
    <w:rsid w:val="007B7A36"/>
    <w:rsid w:val="007B7CB1"/>
    <w:rsid w:val="007C1154"/>
    <w:rsid w:val="007C1F0B"/>
    <w:rsid w:val="007C212B"/>
    <w:rsid w:val="007C3091"/>
    <w:rsid w:val="007C32C7"/>
    <w:rsid w:val="007C647C"/>
    <w:rsid w:val="007C68C1"/>
    <w:rsid w:val="007C6965"/>
    <w:rsid w:val="007D130E"/>
    <w:rsid w:val="007D1E22"/>
    <w:rsid w:val="007D3639"/>
    <w:rsid w:val="007D4737"/>
    <w:rsid w:val="007D6F7F"/>
    <w:rsid w:val="007E269D"/>
    <w:rsid w:val="007E2FA0"/>
    <w:rsid w:val="007E3CDF"/>
    <w:rsid w:val="007E486B"/>
    <w:rsid w:val="007E4E84"/>
    <w:rsid w:val="007E53B0"/>
    <w:rsid w:val="007E5A5B"/>
    <w:rsid w:val="007E62ED"/>
    <w:rsid w:val="007E7710"/>
    <w:rsid w:val="007F02B5"/>
    <w:rsid w:val="007F2158"/>
    <w:rsid w:val="007F3A65"/>
    <w:rsid w:val="007F443B"/>
    <w:rsid w:val="007F6579"/>
    <w:rsid w:val="007F7D49"/>
    <w:rsid w:val="00800654"/>
    <w:rsid w:val="00800C57"/>
    <w:rsid w:val="008025E6"/>
    <w:rsid w:val="0080432D"/>
    <w:rsid w:val="008046AF"/>
    <w:rsid w:val="008070A2"/>
    <w:rsid w:val="008114E1"/>
    <w:rsid w:val="00812318"/>
    <w:rsid w:val="0081509A"/>
    <w:rsid w:val="0081536B"/>
    <w:rsid w:val="0081561D"/>
    <w:rsid w:val="00815BC3"/>
    <w:rsid w:val="00816246"/>
    <w:rsid w:val="0081669C"/>
    <w:rsid w:val="00821AC0"/>
    <w:rsid w:val="00821FFD"/>
    <w:rsid w:val="00823227"/>
    <w:rsid w:val="008241DE"/>
    <w:rsid w:val="008243BF"/>
    <w:rsid w:val="008260C7"/>
    <w:rsid w:val="00826F86"/>
    <w:rsid w:val="00831A22"/>
    <w:rsid w:val="008344D5"/>
    <w:rsid w:val="00836464"/>
    <w:rsid w:val="00836EE1"/>
    <w:rsid w:val="008404FB"/>
    <w:rsid w:val="00841CCA"/>
    <w:rsid w:val="00843062"/>
    <w:rsid w:val="00843342"/>
    <w:rsid w:val="00843668"/>
    <w:rsid w:val="00844928"/>
    <w:rsid w:val="00845D57"/>
    <w:rsid w:val="00846885"/>
    <w:rsid w:val="00846900"/>
    <w:rsid w:val="00846E0C"/>
    <w:rsid w:val="00846E49"/>
    <w:rsid w:val="0084769F"/>
    <w:rsid w:val="00847A96"/>
    <w:rsid w:val="00847D64"/>
    <w:rsid w:val="00847F3F"/>
    <w:rsid w:val="0085152A"/>
    <w:rsid w:val="00851A70"/>
    <w:rsid w:val="008520B9"/>
    <w:rsid w:val="0085260A"/>
    <w:rsid w:val="008526A4"/>
    <w:rsid w:val="00852D40"/>
    <w:rsid w:val="00853C31"/>
    <w:rsid w:val="00854008"/>
    <w:rsid w:val="00856A64"/>
    <w:rsid w:val="008572D9"/>
    <w:rsid w:val="00857554"/>
    <w:rsid w:val="008577D9"/>
    <w:rsid w:val="00860841"/>
    <w:rsid w:val="00860DAD"/>
    <w:rsid w:val="00860E07"/>
    <w:rsid w:val="008630A2"/>
    <w:rsid w:val="0086477E"/>
    <w:rsid w:val="0086565A"/>
    <w:rsid w:val="0086594C"/>
    <w:rsid w:val="0086606D"/>
    <w:rsid w:val="00866292"/>
    <w:rsid w:val="00866D83"/>
    <w:rsid w:val="00870B91"/>
    <w:rsid w:val="00872680"/>
    <w:rsid w:val="00873A2B"/>
    <w:rsid w:val="00875D4E"/>
    <w:rsid w:val="00877A45"/>
    <w:rsid w:val="008826F6"/>
    <w:rsid w:val="00882EA4"/>
    <w:rsid w:val="00882F38"/>
    <w:rsid w:val="008847CB"/>
    <w:rsid w:val="0088572D"/>
    <w:rsid w:val="00885C5B"/>
    <w:rsid w:val="0088683E"/>
    <w:rsid w:val="00890320"/>
    <w:rsid w:val="008924A4"/>
    <w:rsid w:val="00893FCA"/>
    <w:rsid w:val="008948DA"/>
    <w:rsid w:val="00896588"/>
    <w:rsid w:val="00896FA9"/>
    <w:rsid w:val="00897130"/>
    <w:rsid w:val="008A2B57"/>
    <w:rsid w:val="008A49D7"/>
    <w:rsid w:val="008A4A7A"/>
    <w:rsid w:val="008B0BC9"/>
    <w:rsid w:val="008B0D88"/>
    <w:rsid w:val="008B10CC"/>
    <w:rsid w:val="008B2D04"/>
    <w:rsid w:val="008B3C3E"/>
    <w:rsid w:val="008B615C"/>
    <w:rsid w:val="008B7331"/>
    <w:rsid w:val="008C043B"/>
    <w:rsid w:val="008C0916"/>
    <w:rsid w:val="008C0F06"/>
    <w:rsid w:val="008C3D59"/>
    <w:rsid w:val="008C42CD"/>
    <w:rsid w:val="008C4916"/>
    <w:rsid w:val="008C4B4E"/>
    <w:rsid w:val="008C50CD"/>
    <w:rsid w:val="008C7AF3"/>
    <w:rsid w:val="008D112B"/>
    <w:rsid w:val="008D2F69"/>
    <w:rsid w:val="008D391B"/>
    <w:rsid w:val="008D4EE1"/>
    <w:rsid w:val="008D5CC7"/>
    <w:rsid w:val="008D698B"/>
    <w:rsid w:val="008D767F"/>
    <w:rsid w:val="008D77CB"/>
    <w:rsid w:val="008E00BC"/>
    <w:rsid w:val="008E1D0B"/>
    <w:rsid w:val="008E33BF"/>
    <w:rsid w:val="008E43B9"/>
    <w:rsid w:val="008E4993"/>
    <w:rsid w:val="008E4DA9"/>
    <w:rsid w:val="008E50EF"/>
    <w:rsid w:val="008E6C62"/>
    <w:rsid w:val="008E6FC1"/>
    <w:rsid w:val="008F04FE"/>
    <w:rsid w:val="008F05E9"/>
    <w:rsid w:val="008F1990"/>
    <w:rsid w:val="008F2A37"/>
    <w:rsid w:val="008F2DE9"/>
    <w:rsid w:val="008F2E47"/>
    <w:rsid w:val="008F3514"/>
    <w:rsid w:val="008F449D"/>
    <w:rsid w:val="008F533C"/>
    <w:rsid w:val="008F5B98"/>
    <w:rsid w:val="008F60D0"/>
    <w:rsid w:val="008F6566"/>
    <w:rsid w:val="008F6FC2"/>
    <w:rsid w:val="008F71EF"/>
    <w:rsid w:val="008F729E"/>
    <w:rsid w:val="008F7FE9"/>
    <w:rsid w:val="00901E1E"/>
    <w:rsid w:val="009026FC"/>
    <w:rsid w:val="00902B91"/>
    <w:rsid w:val="00903CD9"/>
    <w:rsid w:val="00904E56"/>
    <w:rsid w:val="00905425"/>
    <w:rsid w:val="00905921"/>
    <w:rsid w:val="00905E36"/>
    <w:rsid w:val="00906C56"/>
    <w:rsid w:val="009076CC"/>
    <w:rsid w:val="009079F3"/>
    <w:rsid w:val="00907B47"/>
    <w:rsid w:val="00912FBA"/>
    <w:rsid w:val="00913716"/>
    <w:rsid w:val="0091375C"/>
    <w:rsid w:val="00913B35"/>
    <w:rsid w:val="00916708"/>
    <w:rsid w:val="00916BD5"/>
    <w:rsid w:val="0091769E"/>
    <w:rsid w:val="00917999"/>
    <w:rsid w:val="00917BF8"/>
    <w:rsid w:val="0092089F"/>
    <w:rsid w:val="00922DC2"/>
    <w:rsid w:val="00922E55"/>
    <w:rsid w:val="0092352E"/>
    <w:rsid w:val="00926197"/>
    <w:rsid w:val="009262D5"/>
    <w:rsid w:val="00927162"/>
    <w:rsid w:val="0092748E"/>
    <w:rsid w:val="009303B1"/>
    <w:rsid w:val="00931691"/>
    <w:rsid w:val="0093403F"/>
    <w:rsid w:val="0094060D"/>
    <w:rsid w:val="00940B61"/>
    <w:rsid w:val="00940C53"/>
    <w:rsid w:val="00940FE3"/>
    <w:rsid w:val="009414D2"/>
    <w:rsid w:val="009422DF"/>
    <w:rsid w:val="009429E1"/>
    <w:rsid w:val="00942D80"/>
    <w:rsid w:val="00943BD1"/>
    <w:rsid w:val="0094583E"/>
    <w:rsid w:val="0095183F"/>
    <w:rsid w:val="009520FD"/>
    <w:rsid w:val="00952290"/>
    <w:rsid w:val="0095291D"/>
    <w:rsid w:val="009551E8"/>
    <w:rsid w:val="00955F33"/>
    <w:rsid w:val="00956A70"/>
    <w:rsid w:val="00956CA2"/>
    <w:rsid w:val="00957870"/>
    <w:rsid w:val="00961436"/>
    <w:rsid w:val="00963416"/>
    <w:rsid w:val="0096734B"/>
    <w:rsid w:val="0096755F"/>
    <w:rsid w:val="00970BE6"/>
    <w:rsid w:val="00971C3A"/>
    <w:rsid w:val="00972E5F"/>
    <w:rsid w:val="00974030"/>
    <w:rsid w:val="00975546"/>
    <w:rsid w:val="009758F3"/>
    <w:rsid w:val="00977C42"/>
    <w:rsid w:val="00980038"/>
    <w:rsid w:val="00980916"/>
    <w:rsid w:val="00980C29"/>
    <w:rsid w:val="00983599"/>
    <w:rsid w:val="009840B2"/>
    <w:rsid w:val="009843A2"/>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4B2D"/>
    <w:rsid w:val="009A4B9C"/>
    <w:rsid w:val="009A7604"/>
    <w:rsid w:val="009A7C3E"/>
    <w:rsid w:val="009B2801"/>
    <w:rsid w:val="009B4F92"/>
    <w:rsid w:val="009B5ADC"/>
    <w:rsid w:val="009B6DC4"/>
    <w:rsid w:val="009C00B3"/>
    <w:rsid w:val="009C1824"/>
    <w:rsid w:val="009C2DA9"/>
    <w:rsid w:val="009C2DAD"/>
    <w:rsid w:val="009C553D"/>
    <w:rsid w:val="009C56F5"/>
    <w:rsid w:val="009C635F"/>
    <w:rsid w:val="009C6E1A"/>
    <w:rsid w:val="009D0422"/>
    <w:rsid w:val="009D0D8E"/>
    <w:rsid w:val="009D1F76"/>
    <w:rsid w:val="009D2AA8"/>
    <w:rsid w:val="009D2AAF"/>
    <w:rsid w:val="009D2BC9"/>
    <w:rsid w:val="009D4D2B"/>
    <w:rsid w:val="009E17E9"/>
    <w:rsid w:val="009E3387"/>
    <w:rsid w:val="009E4769"/>
    <w:rsid w:val="009E524E"/>
    <w:rsid w:val="009E579C"/>
    <w:rsid w:val="009E65C8"/>
    <w:rsid w:val="009E7210"/>
    <w:rsid w:val="009E7674"/>
    <w:rsid w:val="009F023C"/>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1019D"/>
    <w:rsid w:val="00A1098C"/>
    <w:rsid w:val="00A12315"/>
    <w:rsid w:val="00A13B23"/>
    <w:rsid w:val="00A14E56"/>
    <w:rsid w:val="00A16E76"/>
    <w:rsid w:val="00A21281"/>
    <w:rsid w:val="00A231EF"/>
    <w:rsid w:val="00A23B0E"/>
    <w:rsid w:val="00A23C49"/>
    <w:rsid w:val="00A24DF3"/>
    <w:rsid w:val="00A25327"/>
    <w:rsid w:val="00A25584"/>
    <w:rsid w:val="00A25EF0"/>
    <w:rsid w:val="00A26337"/>
    <w:rsid w:val="00A30C3F"/>
    <w:rsid w:val="00A31490"/>
    <w:rsid w:val="00A36DEC"/>
    <w:rsid w:val="00A37190"/>
    <w:rsid w:val="00A3754E"/>
    <w:rsid w:val="00A37571"/>
    <w:rsid w:val="00A376DA"/>
    <w:rsid w:val="00A40AF5"/>
    <w:rsid w:val="00A40FDE"/>
    <w:rsid w:val="00A42755"/>
    <w:rsid w:val="00A4288C"/>
    <w:rsid w:val="00A4376B"/>
    <w:rsid w:val="00A4395D"/>
    <w:rsid w:val="00A43D42"/>
    <w:rsid w:val="00A45F3A"/>
    <w:rsid w:val="00A46722"/>
    <w:rsid w:val="00A51118"/>
    <w:rsid w:val="00A519A2"/>
    <w:rsid w:val="00A51E0E"/>
    <w:rsid w:val="00A531E0"/>
    <w:rsid w:val="00A53CD6"/>
    <w:rsid w:val="00A554B2"/>
    <w:rsid w:val="00A55ED7"/>
    <w:rsid w:val="00A55F71"/>
    <w:rsid w:val="00A60A74"/>
    <w:rsid w:val="00A63601"/>
    <w:rsid w:val="00A63B87"/>
    <w:rsid w:val="00A643AF"/>
    <w:rsid w:val="00A66348"/>
    <w:rsid w:val="00A67268"/>
    <w:rsid w:val="00A67644"/>
    <w:rsid w:val="00A6794E"/>
    <w:rsid w:val="00A701ED"/>
    <w:rsid w:val="00A71300"/>
    <w:rsid w:val="00A717E8"/>
    <w:rsid w:val="00A726C4"/>
    <w:rsid w:val="00A72FCA"/>
    <w:rsid w:val="00A73DA4"/>
    <w:rsid w:val="00A74577"/>
    <w:rsid w:val="00A747D0"/>
    <w:rsid w:val="00A747DA"/>
    <w:rsid w:val="00A748C7"/>
    <w:rsid w:val="00A74958"/>
    <w:rsid w:val="00A74F01"/>
    <w:rsid w:val="00A755B7"/>
    <w:rsid w:val="00A75B1D"/>
    <w:rsid w:val="00A75DA8"/>
    <w:rsid w:val="00A763B0"/>
    <w:rsid w:val="00A77179"/>
    <w:rsid w:val="00A80F0C"/>
    <w:rsid w:val="00A8100F"/>
    <w:rsid w:val="00A8129C"/>
    <w:rsid w:val="00A82587"/>
    <w:rsid w:val="00A82ED3"/>
    <w:rsid w:val="00A84032"/>
    <w:rsid w:val="00A84CAF"/>
    <w:rsid w:val="00A853DA"/>
    <w:rsid w:val="00A867A7"/>
    <w:rsid w:val="00A9048D"/>
    <w:rsid w:val="00A92DD7"/>
    <w:rsid w:val="00A92EB1"/>
    <w:rsid w:val="00A93460"/>
    <w:rsid w:val="00A93B4F"/>
    <w:rsid w:val="00A94126"/>
    <w:rsid w:val="00A94AAE"/>
    <w:rsid w:val="00A9535D"/>
    <w:rsid w:val="00AA1902"/>
    <w:rsid w:val="00AA1C1A"/>
    <w:rsid w:val="00AA25B6"/>
    <w:rsid w:val="00AA2AD9"/>
    <w:rsid w:val="00AA69EB"/>
    <w:rsid w:val="00AB0D7B"/>
    <w:rsid w:val="00AB190E"/>
    <w:rsid w:val="00AB2986"/>
    <w:rsid w:val="00AB2B91"/>
    <w:rsid w:val="00AB3059"/>
    <w:rsid w:val="00AB45FB"/>
    <w:rsid w:val="00AB498B"/>
    <w:rsid w:val="00AB54C2"/>
    <w:rsid w:val="00AB5D6F"/>
    <w:rsid w:val="00AB6246"/>
    <w:rsid w:val="00AB7BF3"/>
    <w:rsid w:val="00AC01AE"/>
    <w:rsid w:val="00AC411C"/>
    <w:rsid w:val="00AC5998"/>
    <w:rsid w:val="00AC66DA"/>
    <w:rsid w:val="00AC7679"/>
    <w:rsid w:val="00AC7C38"/>
    <w:rsid w:val="00AD0BF1"/>
    <w:rsid w:val="00AD0C3E"/>
    <w:rsid w:val="00AD24E2"/>
    <w:rsid w:val="00AD2E57"/>
    <w:rsid w:val="00AD2F16"/>
    <w:rsid w:val="00AD3CE7"/>
    <w:rsid w:val="00AD5832"/>
    <w:rsid w:val="00AD5900"/>
    <w:rsid w:val="00AD5990"/>
    <w:rsid w:val="00AD7086"/>
    <w:rsid w:val="00AE08D1"/>
    <w:rsid w:val="00AE0F4B"/>
    <w:rsid w:val="00AE3D47"/>
    <w:rsid w:val="00AE45C6"/>
    <w:rsid w:val="00AE4964"/>
    <w:rsid w:val="00AE4CFE"/>
    <w:rsid w:val="00AE656C"/>
    <w:rsid w:val="00AE6C6B"/>
    <w:rsid w:val="00AE7D08"/>
    <w:rsid w:val="00AF0BF5"/>
    <w:rsid w:val="00AF0C41"/>
    <w:rsid w:val="00AF2401"/>
    <w:rsid w:val="00AF3435"/>
    <w:rsid w:val="00AF48A5"/>
    <w:rsid w:val="00AF577F"/>
    <w:rsid w:val="00AF6FE8"/>
    <w:rsid w:val="00B0031E"/>
    <w:rsid w:val="00B00453"/>
    <w:rsid w:val="00B00489"/>
    <w:rsid w:val="00B011DC"/>
    <w:rsid w:val="00B023D5"/>
    <w:rsid w:val="00B02529"/>
    <w:rsid w:val="00B033DB"/>
    <w:rsid w:val="00B047F5"/>
    <w:rsid w:val="00B05CFA"/>
    <w:rsid w:val="00B06D42"/>
    <w:rsid w:val="00B072A5"/>
    <w:rsid w:val="00B07CB8"/>
    <w:rsid w:val="00B07FB9"/>
    <w:rsid w:val="00B11EA9"/>
    <w:rsid w:val="00B122EF"/>
    <w:rsid w:val="00B123B3"/>
    <w:rsid w:val="00B134EF"/>
    <w:rsid w:val="00B13D0F"/>
    <w:rsid w:val="00B14227"/>
    <w:rsid w:val="00B14311"/>
    <w:rsid w:val="00B15A63"/>
    <w:rsid w:val="00B16DD3"/>
    <w:rsid w:val="00B17799"/>
    <w:rsid w:val="00B202C3"/>
    <w:rsid w:val="00B2085E"/>
    <w:rsid w:val="00B21BCD"/>
    <w:rsid w:val="00B23F5C"/>
    <w:rsid w:val="00B244E6"/>
    <w:rsid w:val="00B247D4"/>
    <w:rsid w:val="00B24E19"/>
    <w:rsid w:val="00B26BE9"/>
    <w:rsid w:val="00B30644"/>
    <w:rsid w:val="00B30689"/>
    <w:rsid w:val="00B31296"/>
    <w:rsid w:val="00B317C5"/>
    <w:rsid w:val="00B32328"/>
    <w:rsid w:val="00B33B68"/>
    <w:rsid w:val="00B34E93"/>
    <w:rsid w:val="00B357FD"/>
    <w:rsid w:val="00B36DCA"/>
    <w:rsid w:val="00B406AE"/>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8DB"/>
    <w:rsid w:val="00B55D36"/>
    <w:rsid w:val="00B5697D"/>
    <w:rsid w:val="00B56EC0"/>
    <w:rsid w:val="00B620F5"/>
    <w:rsid w:val="00B62341"/>
    <w:rsid w:val="00B62F4B"/>
    <w:rsid w:val="00B64C11"/>
    <w:rsid w:val="00B64CE8"/>
    <w:rsid w:val="00B64EF9"/>
    <w:rsid w:val="00B6731F"/>
    <w:rsid w:val="00B676CC"/>
    <w:rsid w:val="00B677AB"/>
    <w:rsid w:val="00B67935"/>
    <w:rsid w:val="00B67AF7"/>
    <w:rsid w:val="00B70072"/>
    <w:rsid w:val="00B70687"/>
    <w:rsid w:val="00B72130"/>
    <w:rsid w:val="00B73E96"/>
    <w:rsid w:val="00B74916"/>
    <w:rsid w:val="00B755A0"/>
    <w:rsid w:val="00B7667E"/>
    <w:rsid w:val="00B772B6"/>
    <w:rsid w:val="00B77DFA"/>
    <w:rsid w:val="00B807AB"/>
    <w:rsid w:val="00B80BD9"/>
    <w:rsid w:val="00B80F95"/>
    <w:rsid w:val="00B81415"/>
    <w:rsid w:val="00B81D1E"/>
    <w:rsid w:val="00B82C68"/>
    <w:rsid w:val="00B8424E"/>
    <w:rsid w:val="00B87F44"/>
    <w:rsid w:val="00B902FF"/>
    <w:rsid w:val="00B90B52"/>
    <w:rsid w:val="00B93142"/>
    <w:rsid w:val="00B931CB"/>
    <w:rsid w:val="00B942B6"/>
    <w:rsid w:val="00B9636E"/>
    <w:rsid w:val="00B964F2"/>
    <w:rsid w:val="00B978A7"/>
    <w:rsid w:val="00B978D1"/>
    <w:rsid w:val="00BA1780"/>
    <w:rsid w:val="00BA2498"/>
    <w:rsid w:val="00BA2ED5"/>
    <w:rsid w:val="00BA454B"/>
    <w:rsid w:val="00BA5744"/>
    <w:rsid w:val="00BA594C"/>
    <w:rsid w:val="00BA620B"/>
    <w:rsid w:val="00BA66CE"/>
    <w:rsid w:val="00BA67CE"/>
    <w:rsid w:val="00BA72A8"/>
    <w:rsid w:val="00BA7368"/>
    <w:rsid w:val="00BA7601"/>
    <w:rsid w:val="00BA7D97"/>
    <w:rsid w:val="00BB08B2"/>
    <w:rsid w:val="00BB0B08"/>
    <w:rsid w:val="00BB1D1D"/>
    <w:rsid w:val="00BB1DEC"/>
    <w:rsid w:val="00BB4D18"/>
    <w:rsid w:val="00BB51DC"/>
    <w:rsid w:val="00BB56D4"/>
    <w:rsid w:val="00BB74FF"/>
    <w:rsid w:val="00BC017D"/>
    <w:rsid w:val="00BC1C36"/>
    <w:rsid w:val="00BC1E92"/>
    <w:rsid w:val="00BD491A"/>
    <w:rsid w:val="00BD7D7B"/>
    <w:rsid w:val="00BE0BEF"/>
    <w:rsid w:val="00BE210F"/>
    <w:rsid w:val="00BE2865"/>
    <w:rsid w:val="00BE36BE"/>
    <w:rsid w:val="00BE4A3A"/>
    <w:rsid w:val="00BF0265"/>
    <w:rsid w:val="00BF0BA5"/>
    <w:rsid w:val="00BF1B5B"/>
    <w:rsid w:val="00BF257E"/>
    <w:rsid w:val="00BF2953"/>
    <w:rsid w:val="00BF2AAB"/>
    <w:rsid w:val="00BF2D53"/>
    <w:rsid w:val="00BF3CE6"/>
    <w:rsid w:val="00BF40AF"/>
    <w:rsid w:val="00BF4B32"/>
    <w:rsid w:val="00C028E8"/>
    <w:rsid w:val="00C032BF"/>
    <w:rsid w:val="00C045A0"/>
    <w:rsid w:val="00C054CD"/>
    <w:rsid w:val="00C07092"/>
    <w:rsid w:val="00C0768E"/>
    <w:rsid w:val="00C1156E"/>
    <w:rsid w:val="00C12602"/>
    <w:rsid w:val="00C1385E"/>
    <w:rsid w:val="00C144F5"/>
    <w:rsid w:val="00C15706"/>
    <w:rsid w:val="00C17199"/>
    <w:rsid w:val="00C20670"/>
    <w:rsid w:val="00C2096E"/>
    <w:rsid w:val="00C2130D"/>
    <w:rsid w:val="00C21AB2"/>
    <w:rsid w:val="00C22AFB"/>
    <w:rsid w:val="00C23802"/>
    <w:rsid w:val="00C23B4E"/>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6670"/>
    <w:rsid w:val="00C406A9"/>
    <w:rsid w:val="00C40CBF"/>
    <w:rsid w:val="00C43FC8"/>
    <w:rsid w:val="00C449C4"/>
    <w:rsid w:val="00C46338"/>
    <w:rsid w:val="00C46708"/>
    <w:rsid w:val="00C50767"/>
    <w:rsid w:val="00C51054"/>
    <w:rsid w:val="00C5166D"/>
    <w:rsid w:val="00C51AB9"/>
    <w:rsid w:val="00C52889"/>
    <w:rsid w:val="00C52D6B"/>
    <w:rsid w:val="00C52FD5"/>
    <w:rsid w:val="00C530B0"/>
    <w:rsid w:val="00C53548"/>
    <w:rsid w:val="00C53999"/>
    <w:rsid w:val="00C53DAB"/>
    <w:rsid w:val="00C53DF6"/>
    <w:rsid w:val="00C54E6D"/>
    <w:rsid w:val="00C55802"/>
    <w:rsid w:val="00C568DD"/>
    <w:rsid w:val="00C576F9"/>
    <w:rsid w:val="00C60802"/>
    <w:rsid w:val="00C61834"/>
    <w:rsid w:val="00C64F29"/>
    <w:rsid w:val="00C65A0F"/>
    <w:rsid w:val="00C662C1"/>
    <w:rsid w:val="00C67CA2"/>
    <w:rsid w:val="00C70F24"/>
    <w:rsid w:val="00C7546E"/>
    <w:rsid w:val="00C76997"/>
    <w:rsid w:val="00C8203C"/>
    <w:rsid w:val="00C8302F"/>
    <w:rsid w:val="00C85FFF"/>
    <w:rsid w:val="00C862D7"/>
    <w:rsid w:val="00C873CC"/>
    <w:rsid w:val="00C90241"/>
    <w:rsid w:val="00C91BBB"/>
    <w:rsid w:val="00C93B2A"/>
    <w:rsid w:val="00C95350"/>
    <w:rsid w:val="00C959B4"/>
    <w:rsid w:val="00C961BD"/>
    <w:rsid w:val="00C96B2D"/>
    <w:rsid w:val="00C97BED"/>
    <w:rsid w:val="00C97DFA"/>
    <w:rsid w:val="00CA0962"/>
    <w:rsid w:val="00CA23A1"/>
    <w:rsid w:val="00CA3EAD"/>
    <w:rsid w:val="00CA5580"/>
    <w:rsid w:val="00CA5F8D"/>
    <w:rsid w:val="00CA6647"/>
    <w:rsid w:val="00CA67C7"/>
    <w:rsid w:val="00CA7384"/>
    <w:rsid w:val="00CB150D"/>
    <w:rsid w:val="00CB1751"/>
    <w:rsid w:val="00CB3A58"/>
    <w:rsid w:val="00CB5041"/>
    <w:rsid w:val="00CB6E2C"/>
    <w:rsid w:val="00CB7701"/>
    <w:rsid w:val="00CC39CD"/>
    <w:rsid w:val="00CC3BCB"/>
    <w:rsid w:val="00CC42E9"/>
    <w:rsid w:val="00CC507B"/>
    <w:rsid w:val="00CC600D"/>
    <w:rsid w:val="00CC7DFC"/>
    <w:rsid w:val="00CD09F7"/>
    <w:rsid w:val="00CD0DCC"/>
    <w:rsid w:val="00CD1570"/>
    <w:rsid w:val="00CD2CB0"/>
    <w:rsid w:val="00CD354D"/>
    <w:rsid w:val="00CD3E8C"/>
    <w:rsid w:val="00CD43FC"/>
    <w:rsid w:val="00CD461C"/>
    <w:rsid w:val="00CD4C65"/>
    <w:rsid w:val="00CD50D6"/>
    <w:rsid w:val="00CD57FB"/>
    <w:rsid w:val="00CE2B49"/>
    <w:rsid w:val="00CE2F87"/>
    <w:rsid w:val="00CE3C23"/>
    <w:rsid w:val="00CE3DD8"/>
    <w:rsid w:val="00CF03D1"/>
    <w:rsid w:val="00CF0562"/>
    <w:rsid w:val="00CF0884"/>
    <w:rsid w:val="00CF3971"/>
    <w:rsid w:val="00CF4D81"/>
    <w:rsid w:val="00CF5E40"/>
    <w:rsid w:val="00CF667A"/>
    <w:rsid w:val="00D0039D"/>
    <w:rsid w:val="00D04012"/>
    <w:rsid w:val="00D04380"/>
    <w:rsid w:val="00D067E0"/>
    <w:rsid w:val="00D0757E"/>
    <w:rsid w:val="00D108C2"/>
    <w:rsid w:val="00D11813"/>
    <w:rsid w:val="00D1298B"/>
    <w:rsid w:val="00D12F43"/>
    <w:rsid w:val="00D13B9F"/>
    <w:rsid w:val="00D1751E"/>
    <w:rsid w:val="00D2051D"/>
    <w:rsid w:val="00D2069B"/>
    <w:rsid w:val="00D210AD"/>
    <w:rsid w:val="00D21EEA"/>
    <w:rsid w:val="00D22184"/>
    <w:rsid w:val="00D22801"/>
    <w:rsid w:val="00D2288E"/>
    <w:rsid w:val="00D22B4D"/>
    <w:rsid w:val="00D23191"/>
    <w:rsid w:val="00D2373A"/>
    <w:rsid w:val="00D254F9"/>
    <w:rsid w:val="00D2683E"/>
    <w:rsid w:val="00D31364"/>
    <w:rsid w:val="00D32E88"/>
    <w:rsid w:val="00D33D3F"/>
    <w:rsid w:val="00D33D52"/>
    <w:rsid w:val="00D35921"/>
    <w:rsid w:val="00D37757"/>
    <w:rsid w:val="00D42F40"/>
    <w:rsid w:val="00D43C0E"/>
    <w:rsid w:val="00D44CED"/>
    <w:rsid w:val="00D460F2"/>
    <w:rsid w:val="00D47861"/>
    <w:rsid w:val="00D50671"/>
    <w:rsid w:val="00D5296C"/>
    <w:rsid w:val="00D52AFE"/>
    <w:rsid w:val="00D54BF8"/>
    <w:rsid w:val="00D55245"/>
    <w:rsid w:val="00D55820"/>
    <w:rsid w:val="00D573F9"/>
    <w:rsid w:val="00D6104D"/>
    <w:rsid w:val="00D64217"/>
    <w:rsid w:val="00D648BB"/>
    <w:rsid w:val="00D64C08"/>
    <w:rsid w:val="00D66124"/>
    <w:rsid w:val="00D66C88"/>
    <w:rsid w:val="00D72BF0"/>
    <w:rsid w:val="00D73163"/>
    <w:rsid w:val="00D7492E"/>
    <w:rsid w:val="00D760F7"/>
    <w:rsid w:val="00D76EA3"/>
    <w:rsid w:val="00D7703E"/>
    <w:rsid w:val="00D80C4E"/>
    <w:rsid w:val="00D82363"/>
    <w:rsid w:val="00D82429"/>
    <w:rsid w:val="00D82505"/>
    <w:rsid w:val="00D8463B"/>
    <w:rsid w:val="00D847C2"/>
    <w:rsid w:val="00D864EE"/>
    <w:rsid w:val="00D87B7C"/>
    <w:rsid w:val="00D90022"/>
    <w:rsid w:val="00D90292"/>
    <w:rsid w:val="00D906C9"/>
    <w:rsid w:val="00D92150"/>
    <w:rsid w:val="00D92BE6"/>
    <w:rsid w:val="00D92E73"/>
    <w:rsid w:val="00D934B0"/>
    <w:rsid w:val="00D94E00"/>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6E5"/>
    <w:rsid w:val="00DB5D8F"/>
    <w:rsid w:val="00DB6C55"/>
    <w:rsid w:val="00DB79F2"/>
    <w:rsid w:val="00DB7F28"/>
    <w:rsid w:val="00DC153D"/>
    <w:rsid w:val="00DC1800"/>
    <w:rsid w:val="00DC22B3"/>
    <w:rsid w:val="00DC3AD6"/>
    <w:rsid w:val="00DC5255"/>
    <w:rsid w:val="00DC5F9B"/>
    <w:rsid w:val="00DC624E"/>
    <w:rsid w:val="00DD196C"/>
    <w:rsid w:val="00DD20F9"/>
    <w:rsid w:val="00DD304F"/>
    <w:rsid w:val="00DD3AF5"/>
    <w:rsid w:val="00DD3F4A"/>
    <w:rsid w:val="00DD47B6"/>
    <w:rsid w:val="00DE19F8"/>
    <w:rsid w:val="00DE1F32"/>
    <w:rsid w:val="00DE25BB"/>
    <w:rsid w:val="00DE43BE"/>
    <w:rsid w:val="00DE7DCD"/>
    <w:rsid w:val="00DF180B"/>
    <w:rsid w:val="00DF1FCC"/>
    <w:rsid w:val="00DF6FAD"/>
    <w:rsid w:val="00E02766"/>
    <w:rsid w:val="00E02D9A"/>
    <w:rsid w:val="00E032CE"/>
    <w:rsid w:val="00E051DC"/>
    <w:rsid w:val="00E05640"/>
    <w:rsid w:val="00E0600F"/>
    <w:rsid w:val="00E1053F"/>
    <w:rsid w:val="00E1204F"/>
    <w:rsid w:val="00E130DB"/>
    <w:rsid w:val="00E1389E"/>
    <w:rsid w:val="00E14018"/>
    <w:rsid w:val="00E1458E"/>
    <w:rsid w:val="00E1494D"/>
    <w:rsid w:val="00E16357"/>
    <w:rsid w:val="00E17DF3"/>
    <w:rsid w:val="00E21530"/>
    <w:rsid w:val="00E21F2B"/>
    <w:rsid w:val="00E22306"/>
    <w:rsid w:val="00E22A58"/>
    <w:rsid w:val="00E23846"/>
    <w:rsid w:val="00E24161"/>
    <w:rsid w:val="00E24C10"/>
    <w:rsid w:val="00E26A5B"/>
    <w:rsid w:val="00E27F84"/>
    <w:rsid w:val="00E32841"/>
    <w:rsid w:val="00E333BA"/>
    <w:rsid w:val="00E333D8"/>
    <w:rsid w:val="00E339DE"/>
    <w:rsid w:val="00E34A00"/>
    <w:rsid w:val="00E357E0"/>
    <w:rsid w:val="00E35CE2"/>
    <w:rsid w:val="00E367EB"/>
    <w:rsid w:val="00E36DB7"/>
    <w:rsid w:val="00E37FED"/>
    <w:rsid w:val="00E40D31"/>
    <w:rsid w:val="00E41443"/>
    <w:rsid w:val="00E4314D"/>
    <w:rsid w:val="00E4399D"/>
    <w:rsid w:val="00E46BAA"/>
    <w:rsid w:val="00E5080E"/>
    <w:rsid w:val="00E53A71"/>
    <w:rsid w:val="00E54491"/>
    <w:rsid w:val="00E55393"/>
    <w:rsid w:val="00E55471"/>
    <w:rsid w:val="00E55F7F"/>
    <w:rsid w:val="00E56AE7"/>
    <w:rsid w:val="00E56BC0"/>
    <w:rsid w:val="00E5717C"/>
    <w:rsid w:val="00E571D4"/>
    <w:rsid w:val="00E572FA"/>
    <w:rsid w:val="00E5762C"/>
    <w:rsid w:val="00E57C7E"/>
    <w:rsid w:val="00E6111C"/>
    <w:rsid w:val="00E62EE0"/>
    <w:rsid w:val="00E631F7"/>
    <w:rsid w:val="00E654A0"/>
    <w:rsid w:val="00E66AB4"/>
    <w:rsid w:val="00E66BFB"/>
    <w:rsid w:val="00E67FC4"/>
    <w:rsid w:val="00E70A23"/>
    <w:rsid w:val="00E7157C"/>
    <w:rsid w:val="00E72A3A"/>
    <w:rsid w:val="00E74E63"/>
    <w:rsid w:val="00E75008"/>
    <w:rsid w:val="00E7584C"/>
    <w:rsid w:val="00E76350"/>
    <w:rsid w:val="00E76D99"/>
    <w:rsid w:val="00E77549"/>
    <w:rsid w:val="00E77D52"/>
    <w:rsid w:val="00E815F5"/>
    <w:rsid w:val="00E82C3B"/>
    <w:rsid w:val="00E82CE1"/>
    <w:rsid w:val="00E838E0"/>
    <w:rsid w:val="00E85616"/>
    <w:rsid w:val="00E86D69"/>
    <w:rsid w:val="00E91010"/>
    <w:rsid w:val="00E91403"/>
    <w:rsid w:val="00E91D64"/>
    <w:rsid w:val="00E9207C"/>
    <w:rsid w:val="00E9348C"/>
    <w:rsid w:val="00E942CB"/>
    <w:rsid w:val="00E957A3"/>
    <w:rsid w:val="00E96EBF"/>
    <w:rsid w:val="00E975A9"/>
    <w:rsid w:val="00E97DCA"/>
    <w:rsid w:val="00EA1B5E"/>
    <w:rsid w:val="00EA1FB8"/>
    <w:rsid w:val="00EA3469"/>
    <w:rsid w:val="00EA4EC2"/>
    <w:rsid w:val="00EA4F49"/>
    <w:rsid w:val="00EA4FBC"/>
    <w:rsid w:val="00EA5A4B"/>
    <w:rsid w:val="00EA64B7"/>
    <w:rsid w:val="00EA7C10"/>
    <w:rsid w:val="00EB007E"/>
    <w:rsid w:val="00EB078F"/>
    <w:rsid w:val="00EB0C2A"/>
    <w:rsid w:val="00EB0C80"/>
    <w:rsid w:val="00EB44BF"/>
    <w:rsid w:val="00EB4D38"/>
    <w:rsid w:val="00EB7193"/>
    <w:rsid w:val="00EB7638"/>
    <w:rsid w:val="00EB7B5D"/>
    <w:rsid w:val="00EC0BBF"/>
    <w:rsid w:val="00EC12E0"/>
    <w:rsid w:val="00EC3E6B"/>
    <w:rsid w:val="00EC3EC0"/>
    <w:rsid w:val="00EC5C2E"/>
    <w:rsid w:val="00EC6711"/>
    <w:rsid w:val="00EC7665"/>
    <w:rsid w:val="00ED132D"/>
    <w:rsid w:val="00ED1A3B"/>
    <w:rsid w:val="00ED1C84"/>
    <w:rsid w:val="00ED1D80"/>
    <w:rsid w:val="00ED2012"/>
    <w:rsid w:val="00ED2D80"/>
    <w:rsid w:val="00ED3C9F"/>
    <w:rsid w:val="00ED435E"/>
    <w:rsid w:val="00EE0CB5"/>
    <w:rsid w:val="00EE1730"/>
    <w:rsid w:val="00EE1E28"/>
    <w:rsid w:val="00EE4205"/>
    <w:rsid w:val="00EE562E"/>
    <w:rsid w:val="00EE58DB"/>
    <w:rsid w:val="00EE64B0"/>
    <w:rsid w:val="00EF0A28"/>
    <w:rsid w:val="00EF2151"/>
    <w:rsid w:val="00EF3C0E"/>
    <w:rsid w:val="00EF3FE1"/>
    <w:rsid w:val="00EF5408"/>
    <w:rsid w:val="00EF5765"/>
    <w:rsid w:val="00F01E2F"/>
    <w:rsid w:val="00F02D6F"/>
    <w:rsid w:val="00F02F49"/>
    <w:rsid w:val="00F036BE"/>
    <w:rsid w:val="00F051FB"/>
    <w:rsid w:val="00F05B49"/>
    <w:rsid w:val="00F07649"/>
    <w:rsid w:val="00F1453B"/>
    <w:rsid w:val="00F14A50"/>
    <w:rsid w:val="00F15030"/>
    <w:rsid w:val="00F17B33"/>
    <w:rsid w:val="00F20799"/>
    <w:rsid w:val="00F21D34"/>
    <w:rsid w:val="00F2520B"/>
    <w:rsid w:val="00F25E55"/>
    <w:rsid w:val="00F26165"/>
    <w:rsid w:val="00F26514"/>
    <w:rsid w:val="00F26B05"/>
    <w:rsid w:val="00F307EC"/>
    <w:rsid w:val="00F30DDD"/>
    <w:rsid w:val="00F32EE7"/>
    <w:rsid w:val="00F34554"/>
    <w:rsid w:val="00F35167"/>
    <w:rsid w:val="00F35CF3"/>
    <w:rsid w:val="00F35D52"/>
    <w:rsid w:val="00F407F0"/>
    <w:rsid w:val="00F40905"/>
    <w:rsid w:val="00F42D77"/>
    <w:rsid w:val="00F44EDE"/>
    <w:rsid w:val="00F45C90"/>
    <w:rsid w:val="00F46B1C"/>
    <w:rsid w:val="00F46B42"/>
    <w:rsid w:val="00F50BAF"/>
    <w:rsid w:val="00F51A57"/>
    <w:rsid w:val="00F53813"/>
    <w:rsid w:val="00F54AD5"/>
    <w:rsid w:val="00F54BCF"/>
    <w:rsid w:val="00F54EF6"/>
    <w:rsid w:val="00F57362"/>
    <w:rsid w:val="00F60161"/>
    <w:rsid w:val="00F60957"/>
    <w:rsid w:val="00F6252D"/>
    <w:rsid w:val="00F62F83"/>
    <w:rsid w:val="00F62FC8"/>
    <w:rsid w:val="00F631F2"/>
    <w:rsid w:val="00F66918"/>
    <w:rsid w:val="00F70534"/>
    <w:rsid w:val="00F70C08"/>
    <w:rsid w:val="00F71B57"/>
    <w:rsid w:val="00F72A57"/>
    <w:rsid w:val="00F72D3F"/>
    <w:rsid w:val="00F74200"/>
    <w:rsid w:val="00F74611"/>
    <w:rsid w:val="00F748E0"/>
    <w:rsid w:val="00F755CB"/>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5AC6"/>
    <w:rsid w:val="00F96CF6"/>
    <w:rsid w:val="00F97CEA"/>
    <w:rsid w:val="00FA0874"/>
    <w:rsid w:val="00FA14A6"/>
    <w:rsid w:val="00FA1597"/>
    <w:rsid w:val="00FA23BA"/>
    <w:rsid w:val="00FA29FF"/>
    <w:rsid w:val="00FA36E1"/>
    <w:rsid w:val="00FA399C"/>
    <w:rsid w:val="00FA73CF"/>
    <w:rsid w:val="00FA74F1"/>
    <w:rsid w:val="00FB27AA"/>
    <w:rsid w:val="00FB4761"/>
    <w:rsid w:val="00FB5476"/>
    <w:rsid w:val="00FB559A"/>
    <w:rsid w:val="00FB6D67"/>
    <w:rsid w:val="00FB7AC6"/>
    <w:rsid w:val="00FC02EA"/>
    <w:rsid w:val="00FC0306"/>
    <w:rsid w:val="00FC071A"/>
    <w:rsid w:val="00FC31D9"/>
    <w:rsid w:val="00FC3E8F"/>
    <w:rsid w:val="00FC457A"/>
    <w:rsid w:val="00FC48F9"/>
    <w:rsid w:val="00FC5218"/>
    <w:rsid w:val="00FC623A"/>
    <w:rsid w:val="00FC632B"/>
    <w:rsid w:val="00FD0DFF"/>
    <w:rsid w:val="00FD0FB6"/>
    <w:rsid w:val="00FD197F"/>
    <w:rsid w:val="00FD5558"/>
    <w:rsid w:val="00FD58EF"/>
    <w:rsid w:val="00FD6068"/>
    <w:rsid w:val="00FD768F"/>
    <w:rsid w:val="00FD7D6B"/>
    <w:rsid w:val="00FE2934"/>
    <w:rsid w:val="00FE5669"/>
    <w:rsid w:val="00FE6928"/>
    <w:rsid w:val="00FF28A9"/>
    <w:rsid w:val="00FF3B7F"/>
    <w:rsid w:val="00FF4146"/>
    <w:rsid w:val="00FF680A"/>
    <w:rsid w:val="00FF6867"/>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Retraitcorpsdetexte">
    <w:name w:val="Body Text Indent"/>
    <w:basedOn w:val="Normal"/>
    <w:link w:val="RetraitcorpsdetexteCar"/>
    <w:uiPriority w:val="99"/>
    <w:unhideWhenUsed/>
    <w:locked/>
    <w:rsid w:val="00AF0C41"/>
    <w:pPr>
      <w:spacing w:after="120"/>
      <w:ind w:left="283"/>
    </w:pPr>
  </w:style>
  <w:style w:type="character" w:customStyle="1" w:styleId="RetraitcorpsdetexteCar">
    <w:name w:val="Retrait corps de texte Car"/>
    <w:basedOn w:val="Policepardfaut"/>
    <w:link w:val="Retraitcorpsdetexte"/>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 w:type="paragraph" w:styleId="Citationintense">
    <w:name w:val="Intense Quote"/>
    <w:basedOn w:val="Normal"/>
    <w:next w:val="Normal"/>
    <w:link w:val="CitationintenseCar"/>
    <w:uiPriority w:val="99"/>
    <w:qFormat/>
    <w:rsid w:val="006663F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basedOn w:val="Policepardfaut"/>
    <w:link w:val="Citationintense"/>
    <w:uiPriority w:val="99"/>
    <w:rsid w:val="006663F5"/>
    <w:rPr>
      <w:rFonts w:cs="Times New Roman"/>
      <w:b/>
      <w:bCs/>
      <w:i/>
      <w:iCs/>
      <w:color w:val="4F81BD"/>
      <w:lang w:val="es-ES" w:eastAsia="es-ES"/>
    </w:rPr>
  </w:style>
  <w:style w:type="paragraph" w:customStyle="1" w:styleId="Sinespaciado3">
    <w:name w:val="Sin espaciado3"/>
    <w:rsid w:val="00144E2B"/>
    <w:rPr>
      <w:rFonts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Retraitcorpsdetexte">
    <w:name w:val="Body Text Indent"/>
    <w:basedOn w:val="Normal"/>
    <w:link w:val="RetraitcorpsdetexteCar"/>
    <w:uiPriority w:val="99"/>
    <w:unhideWhenUsed/>
    <w:locked/>
    <w:rsid w:val="00AF0C41"/>
    <w:pPr>
      <w:spacing w:after="120"/>
      <w:ind w:left="283"/>
    </w:pPr>
  </w:style>
  <w:style w:type="character" w:customStyle="1" w:styleId="RetraitcorpsdetexteCar">
    <w:name w:val="Retrait corps de texte Car"/>
    <w:basedOn w:val="Policepardfaut"/>
    <w:link w:val="Retraitcorpsdetexte"/>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 w:type="paragraph" w:styleId="Citationintense">
    <w:name w:val="Intense Quote"/>
    <w:basedOn w:val="Normal"/>
    <w:next w:val="Normal"/>
    <w:link w:val="CitationintenseCar"/>
    <w:uiPriority w:val="99"/>
    <w:qFormat/>
    <w:rsid w:val="006663F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basedOn w:val="Policepardfaut"/>
    <w:link w:val="Citationintense"/>
    <w:uiPriority w:val="99"/>
    <w:rsid w:val="006663F5"/>
    <w:rPr>
      <w:rFonts w:cs="Times New Roman"/>
      <w:b/>
      <w:bCs/>
      <w:i/>
      <w:iCs/>
      <w:color w:val="4F81BD"/>
      <w:lang w:val="es-ES" w:eastAsia="es-ES"/>
    </w:rPr>
  </w:style>
  <w:style w:type="paragraph" w:customStyle="1" w:styleId="Sinespaciado3">
    <w:name w:val="Sin espaciado3"/>
    <w:rsid w:val="00144E2B"/>
    <w:rPr>
      <w:rFonts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3735">
      <w:bodyDiv w:val="1"/>
      <w:marLeft w:val="0"/>
      <w:marRight w:val="0"/>
      <w:marTop w:val="0"/>
      <w:marBottom w:val="0"/>
      <w:divBdr>
        <w:top w:val="none" w:sz="0" w:space="0" w:color="auto"/>
        <w:left w:val="none" w:sz="0" w:space="0" w:color="auto"/>
        <w:bottom w:val="none" w:sz="0" w:space="0" w:color="auto"/>
        <w:right w:val="none" w:sz="0" w:space="0" w:color="auto"/>
      </w:divBdr>
    </w:div>
    <w:div w:id="1279919559">
      <w:bodyDiv w:val="1"/>
      <w:marLeft w:val="0"/>
      <w:marRight w:val="0"/>
      <w:marTop w:val="0"/>
      <w:marBottom w:val="0"/>
      <w:divBdr>
        <w:top w:val="none" w:sz="0" w:space="0" w:color="auto"/>
        <w:left w:val="none" w:sz="0" w:space="0" w:color="auto"/>
        <w:bottom w:val="none" w:sz="0" w:space="0" w:color="auto"/>
        <w:right w:val="none" w:sz="0" w:space="0" w:color="auto"/>
      </w:divBdr>
    </w:div>
    <w:div w:id="1315600408">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398820852">
      <w:bodyDiv w:val="1"/>
      <w:marLeft w:val="0"/>
      <w:marRight w:val="0"/>
      <w:marTop w:val="0"/>
      <w:marBottom w:val="0"/>
      <w:divBdr>
        <w:top w:val="none" w:sz="0" w:space="0" w:color="auto"/>
        <w:left w:val="none" w:sz="0" w:space="0" w:color="auto"/>
        <w:bottom w:val="none" w:sz="0" w:space="0" w:color="auto"/>
        <w:right w:val="none" w:sz="0" w:space="0" w:color="auto"/>
      </w:divBdr>
    </w:div>
    <w:div w:id="1457142369">
      <w:bodyDiv w:val="1"/>
      <w:marLeft w:val="0"/>
      <w:marRight w:val="0"/>
      <w:marTop w:val="0"/>
      <w:marBottom w:val="0"/>
      <w:divBdr>
        <w:top w:val="none" w:sz="0" w:space="0" w:color="auto"/>
        <w:left w:val="none" w:sz="0" w:space="0" w:color="auto"/>
        <w:bottom w:val="none" w:sz="0" w:space="0" w:color="auto"/>
        <w:right w:val="none" w:sz="0" w:space="0" w:color="auto"/>
      </w:divBdr>
    </w:div>
    <w:div w:id="21377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50385-196D-416D-B6FD-3FFBD2DE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2988</Words>
  <Characters>16439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7</cp:revision>
  <cp:lastPrinted>2017-05-10T20:10:00Z</cp:lastPrinted>
  <dcterms:created xsi:type="dcterms:W3CDTF">2017-05-22T17:52:00Z</dcterms:created>
  <dcterms:modified xsi:type="dcterms:W3CDTF">2017-06-26T16:31:00Z</dcterms:modified>
</cp:coreProperties>
</file>