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B6340" w:rsidRDefault="00BB6340" w:rsidP="00BB634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BB6340" w:rsidRDefault="00BB6340" w:rsidP="00BB6340">
      <w:pPr>
        <w:pStyle w:val="Sinespaciado"/>
        <w:jc w:val="both"/>
        <w:rPr>
          <w:rFonts w:asciiTheme="minorHAnsi" w:hAnsiTheme="minorHAnsi"/>
          <w:sz w:val="18"/>
          <w:szCs w:val="18"/>
        </w:rPr>
      </w:pPr>
    </w:p>
    <w:p w:rsidR="00BB6340" w:rsidRPr="00BB6340" w:rsidRDefault="00BB6340" w:rsidP="00BB6340">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NO RECURRIÓ COSTAS – SUBSIDIARIEDAD – </w:t>
      </w:r>
      <w:r w:rsidR="00E47737">
        <w:rPr>
          <w:rFonts w:asciiTheme="minorHAnsi" w:hAnsiTheme="minorHAnsi"/>
          <w:b/>
          <w:sz w:val="18"/>
          <w:szCs w:val="18"/>
        </w:rPr>
        <w:t xml:space="preserve"> IMPROCEDENTE / </w:t>
      </w:r>
      <w:r>
        <w:rPr>
          <w:rFonts w:asciiTheme="minorHAnsi" w:hAnsiTheme="minorHAnsi"/>
          <w:b/>
          <w:sz w:val="18"/>
          <w:szCs w:val="18"/>
        </w:rPr>
        <w:t>PROVIDENCIA SIN MOTIVACIÓN CONCEDE Y ORDENA PRONUNCIARSE – TEMERIDAD – CONDENA EN COSTAS - “</w:t>
      </w:r>
      <w:r w:rsidRPr="00BB6340">
        <w:rPr>
          <w:rFonts w:asciiTheme="minorHAnsi" w:hAnsiTheme="minorHAnsi"/>
          <w:sz w:val="18"/>
          <w:szCs w:val="18"/>
        </w:rPr>
        <w:t>Ahora, es cierto que el actor recurrió el proveído que aprobó la liquidación de costas, sin embargo, precisa la Sala que dicha actividad es insuficiente como para considerar cumplido el requisito de la subsidiari</w:t>
      </w:r>
      <w:bookmarkStart w:id="0" w:name="_GoBack"/>
      <w:bookmarkEnd w:id="0"/>
      <w:r w:rsidRPr="00BB6340">
        <w:rPr>
          <w:rFonts w:asciiTheme="minorHAnsi" w:hAnsiTheme="minorHAnsi"/>
          <w:sz w:val="18"/>
          <w:szCs w:val="18"/>
        </w:rPr>
        <w:t>edad, si se tiene que con el recurso únicamente puede controvertirse el monto de la liquidación (Expensas y agencias en derecho) (Artículo 366-5º, CGP) y nunca la condena en costas como es lo pretendido por el tutelante.</w:t>
      </w:r>
    </w:p>
    <w:p w:rsidR="00BB6340" w:rsidRPr="00BB6340" w:rsidRDefault="00BB6340" w:rsidP="00BB6340">
      <w:pPr>
        <w:pStyle w:val="Sinespaciado"/>
        <w:jc w:val="both"/>
        <w:rPr>
          <w:rFonts w:asciiTheme="minorHAnsi" w:hAnsiTheme="minorHAnsi"/>
          <w:sz w:val="18"/>
          <w:szCs w:val="18"/>
        </w:rPr>
      </w:pPr>
    </w:p>
    <w:p w:rsidR="00BB6340" w:rsidRP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 xml:space="preserve">Igual situación ocurre frente a las solicitudes de nulidad, pues no recurrió ninguno de los proveídos dictados el 26-01-2017 y 06-03-2017, mediante los cuales se rechazaron (Folios 137 a 138 y 143 a 144 del disco compacto visible a folio 8, ib.), incumplió entonces el precitado requisito. </w:t>
      </w:r>
    </w:p>
    <w:p w:rsidR="00BB6340" w:rsidRPr="00BB6340" w:rsidRDefault="00BB6340" w:rsidP="00BB6340">
      <w:pPr>
        <w:pStyle w:val="Sinespaciado"/>
        <w:jc w:val="both"/>
        <w:rPr>
          <w:rFonts w:asciiTheme="minorHAnsi" w:hAnsiTheme="minorHAnsi"/>
          <w:sz w:val="18"/>
          <w:szCs w:val="18"/>
        </w:rPr>
      </w:pPr>
    </w:p>
    <w:p w:rsid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 xml:space="preserve">Bajo esta óptica, se tiene que el accionante pretermitió agotar los recursos de reposición y apelación (Artículos 36 y 37, Ley 472), cuando esos eran los mecanismos ordinarios y expeditos que tenía para controvertir las decisiones del estrado judicial, si es que disentía de ellas. </w:t>
      </w:r>
    </w:p>
    <w:p w:rsidR="00BB6340" w:rsidRDefault="00BB6340" w:rsidP="00BB6340">
      <w:pPr>
        <w:pStyle w:val="Sinespaciado"/>
        <w:jc w:val="both"/>
        <w:rPr>
          <w:rFonts w:asciiTheme="minorHAnsi" w:hAnsiTheme="minorHAnsi"/>
          <w:sz w:val="18"/>
          <w:szCs w:val="18"/>
        </w:rPr>
      </w:pPr>
      <w:r>
        <w:rPr>
          <w:rFonts w:asciiTheme="minorHAnsi" w:hAnsiTheme="minorHAnsi"/>
          <w:sz w:val="18"/>
          <w:szCs w:val="18"/>
        </w:rPr>
        <w:t>(…)</w:t>
      </w:r>
    </w:p>
    <w:p w:rsidR="00BB6340" w:rsidRDefault="00BB6340" w:rsidP="00BB6340">
      <w:pPr>
        <w:pStyle w:val="Sinespaciado"/>
        <w:jc w:val="both"/>
        <w:rPr>
          <w:rFonts w:asciiTheme="minorHAnsi" w:hAnsiTheme="minorHAnsi"/>
          <w:sz w:val="18"/>
          <w:szCs w:val="18"/>
        </w:rPr>
      </w:pPr>
    </w:p>
    <w:p w:rsidR="00BB6340" w:rsidRP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Para la Sala resulta evidente que el accionado incurrió en vía de hecho al proferir una decisión con motivación abstracta, dio cuenta de algunas de las razones que contempla la norma para su tasación (Acuerdo PSAA16-105554 expedido por el CSJ y artículo 336 del CGP), pero nunca preciso para el caso particular cuáles fueron realmente las actuaciones y gestiones realizadas por el apoderado o la parte beneficiada, que dieron lugar a la suma fijada; hay que precisar esas circunstancias especiales y no simplemente enunciar genéricamente las situaciones que contempla la norma para ese ejercicio. En ninguno de los dos proveídos tuvo a bien hacerlo. En síntesis nunca indicó por qué fijó ese valor de agencias en derecho.</w:t>
      </w:r>
    </w:p>
    <w:p w:rsidR="00BB6340" w:rsidRPr="00BB6340" w:rsidRDefault="00BB6340" w:rsidP="00BB6340">
      <w:pPr>
        <w:pStyle w:val="Sinespaciado"/>
        <w:jc w:val="both"/>
        <w:rPr>
          <w:rFonts w:asciiTheme="minorHAnsi" w:hAnsiTheme="minorHAnsi"/>
          <w:sz w:val="18"/>
          <w:szCs w:val="18"/>
        </w:rPr>
      </w:pPr>
    </w:p>
    <w:p w:rsid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Corolario, esta Magistratura considera existente la vulneración de los derechos fundamentales al debido proceso y a la administración de justicia del accionante, por advertirse la falta de justificación suficiente en su decisión, por lo tanto, se concederá el amparo constitucional.</w:t>
      </w:r>
    </w:p>
    <w:p w:rsidR="00BB6340" w:rsidRDefault="00BB6340" w:rsidP="00BB6340">
      <w:pPr>
        <w:pStyle w:val="Sinespaciado"/>
        <w:jc w:val="both"/>
        <w:rPr>
          <w:rFonts w:asciiTheme="minorHAnsi" w:hAnsiTheme="minorHAnsi"/>
          <w:sz w:val="18"/>
          <w:szCs w:val="18"/>
        </w:rPr>
      </w:pPr>
      <w:r>
        <w:rPr>
          <w:rFonts w:asciiTheme="minorHAnsi" w:hAnsiTheme="minorHAnsi"/>
          <w:sz w:val="18"/>
          <w:szCs w:val="18"/>
        </w:rPr>
        <w:t>(…)</w:t>
      </w:r>
    </w:p>
    <w:p w:rsidR="00BB6340" w:rsidRDefault="00BB6340" w:rsidP="00BB6340">
      <w:pPr>
        <w:pStyle w:val="Sinespaciado"/>
        <w:jc w:val="both"/>
        <w:rPr>
          <w:rFonts w:asciiTheme="minorHAnsi" w:hAnsiTheme="minorHAnsi"/>
          <w:sz w:val="18"/>
          <w:szCs w:val="18"/>
        </w:rPr>
      </w:pPr>
    </w:p>
    <w:p w:rsidR="00BB6340" w:rsidRP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En consecuencia, es claro que el presente amparo es improcedente por el acaecimiento del fenómeno de la cosa juzgada constitucional, y así se declarará.</w:t>
      </w:r>
    </w:p>
    <w:p w:rsidR="00BB6340" w:rsidRPr="00BB6340" w:rsidRDefault="00BB6340" w:rsidP="00BB6340">
      <w:pPr>
        <w:pStyle w:val="Sinespaciado"/>
        <w:jc w:val="both"/>
        <w:rPr>
          <w:rFonts w:asciiTheme="minorHAnsi" w:hAnsiTheme="minorHAnsi"/>
          <w:sz w:val="18"/>
          <w:szCs w:val="18"/>
        </w:rPr>
      </w:pPr>
    </w:p>
    <w:p w:rsidR="00BB6340" w:rsidRP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 xml:space="preserve">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BB6340" w:rsidRPr="00BB6340" w:rsidRDefault="00BB6340" w:rsidP="00BB6340">
      <w:pPr>
        <w:pStyle w:val="Sinespaciado"/>
        <w:jc w:val="both"/>
        <w:rPr>
          <w:rFonts w:asciiTheme="minorHAnsi" w:hAnsiTheme="minorHAnsi"/>
          <w:sz w:val="18"/>
          <w:szCs w:val="18"/>
        </w:rPr>
      </w:pPr>
    </w:p>
    <w:p w:rsidR="00BB6340" w:rsidRDefault="00BB6340" w:rsidP="00BB6340">
      <w:pPr>
        <w:pStyle w:val="Sinespaciado"/>
        <w:jc w:val="both"/>
        <w:rPr>
          <w:rFonts w:asciiTheme="minorHAnsi" w:hAnsiTheme="minorHAnsi"/>
          <w:sz w:val="18"/>
          <w:szCs w:val="18"/>
        </w:rPr>
      </w:pPr>
      <w:r w:rsidRPr="00BB6340">
        <w:rPr>
          <w:rFonts w:asciiTheme="minorHAnsi" w:hAnsiTheme="minorHAnsi"/>
          <w:sz w:val="18"/>
          <w:szCs w:val="18"/>
        </w:rPr>
        <w:t>Cabe acotar que la actividad del accionante no se encuadra en ninguna de las circunstancias exonerativas contempladas por la CC . En efecto, es un asiduo usuario de la administración de justicia, por lo que es impreciso 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w:t>
      </w:r>
    </w:p>
    <w:p w:rsidR="00BB6340" w:rsidRDefault="00BB6340" w:rsidP="00BB6340">
      <w:pPr>
        <w:pStyle w:val="Sinespaciado"/>
        <w:jc w:val="both"/>
        <w:rPr>
          <w:rFonts w:asciiTheme="minorHAnsi" w:hAnsiTheme="minorHAnsi"/>
          <w:sz w:val="18"/>
          <w:szCs w:val="18"/>
        </w:rPr>
      </w:pPr>
    </w:p>
    <w:p w:rsidR="00BB6340" w:rsidRDefault="00BB6340"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B5656B">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Juzgado</w:t>
      </w:r>
      <w:r w:rsidR="005B53B6">
        <w:rPr>
          <w:rFonts w:ascii="Arial" w:hAnsi="Arial" w:cs="Arial"/>
          <w:sz w:val="22"/>
        </w:rPr>
        <w:t xml:space="preserve"> Promiscuo del Circuito de La Virginia, R.</w:t>
      </w:r>
      <w:r w:rsidR="003D7DC8">
        <w:rPr>
          <w:rFonts w:ascii="Arial" w:hAnsi="Arial" w:cs="Arial"/>
          <w:sz w:val="22"/>
        </w:rPr>
        <w:t xml:space="preserve"> y otra</w:t>
      </w:r>
    </w:p>
    <w:p w:rsidR="00A00766" w:rsidRPr="00A00766" w:rsidRDefault="00A00766" w:rsidP="00283DCB">
      <w:pPr>
        <w:pStyle w:val="Textoindependien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766A9E">
        <w:rPr>
          <w:rFonts w:ascii="Arial" w:hAnsi="Arial" w:cs="Arial"/>
          <w:sz w:val="22"/>
          <w:szCs w:val="22"/>
        </w:rPr>
        <w:t>Banco</w:t>
      </w:r>
      <w:r w:rsidR="005B53B6">
        <w:rPr>
          <w:rFonts w:ascii="Arial" w:hAnsi="Arial" w:cs="Arial"/>
          <w:sz w:val="22"/>
          <w:szCs w:val="22"/>
        </w:rPr>
        <w:t xml:space="preserve"> Davivienda </w:t>
      </w:r>
      <w:r w:rsidR="00766A9E">
        <w:rPr>
          <w:rFonts w:ascii="Arial" w:hAnsi="Arial" w:cs="Arial"/>
          <w:sz w:val="22"/>
          <w:szCs w:val="22"/>
        </w:rPr>
        <w:t xml:space="preserve">–sucursal </w:t>
      </w:r>
      <w:r w:rsidR="005B53B6">
        <w:rPr>
          <w:rFonts w:ascii="Arial" w:hAnsi="Arial" w:cs="Arial"/>
          <w:sz w:val="22"/>
          <w:szCs w:val="22"/>
        </w:rPr>
        <w:t>de Versalles</w:t>
      </w:r>
      <w:r w:rsidR="0041111B">
        <w:rPr>
          <w:rFonts w:ascii="Arial" w:hAnsi="Arial" w:cs="Arial"/>
          <w:sz w:val="22"/>
          <w:szCs w:val="22"/>
        </w:rPr>
        <w:t xml:space="preserve"> </w:t>
      </w:r>
      <w:r w:rsidR="00C86BDC">
        <w:rPr>
          <w:rFonts w:ascii="Arial" w:hAnsi="Arial" w:cs="Arial"/>
          <w:sz w:val="22"/>
          <w:szCs w:val="22"/>
        </w:rPr>
        <w:t>y otros</w:t>
      </w:r>
      <w:r w:rsidRPr="00A00766">
        <w:rPr>
          <w:rFonts w:ascii="Arial" w:hAnsi="Arial" w:cs="Arial"/>
          <w:sz w:val="22"/>
          <w:szCs w:val="22"/>
        </w:rPr>
        <w:t xml:space="preserve"> </w:t>
      </w:r>
      <w:r w:rsidR="00283DCB">
        <w:rPr>
          <w:rFonts w:ascii="Arial" w:hAnsi="Arial" w:cs="Arial"/>
          <w:sz w:val="22"/>
          <w:szCs w:val="22"/>
        </w:rPr>
        <w:t xml:space="preserve">    </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D7DC8">
        <w:rPr>
          <w:rFonts w:ascii="Arial" w:hAnsi="Arial" w:cs="Arial"/>
          <w:sz w:val="22"/>
        </w:rPr>
        <w:t>2017-00</w:t>
      </w:r>
      <w:r w:rsidR="00766A9E">
        <w:rPr>
          <w:rFonts w:ascii="Arial" w:hAnsi="Arial" w:cs="Arial"/>
          <w:sz w:val="22"/>
        </w:rPr>
        <w:t>4</w:t>
      </w:r>
      <w:r w:rsidR="00A14A4E">
        <w:rPr>
          <w:rFonts w:ascii="Arial" w:hAnsi="Arial" w:cs="Arial"/>
          <w:sz w:val="22"/>
        </w:rPr>
        <w:t>91</w:t>
      </w:r>
      <w:r w:rsidR="003D7DC8">
        <w:rPr>
          <w:rFonts w:ascii="Arial" w:hAnsi="Arial" w:cs="Arial"/>
          <w:sz w:val="22"/>
        </w:rPr>
        <w:t>-00 (Interna No.</w:t>
      </w:r>
      <w:r w:rsidR="00766A9E">
        <w:rPr>
          <w:rFonts w:ascii="Arial" w:hAnsi="Arial" w:cs="Arial"/>
          <w:sz w:val="22"/>
        </w:rPr>
        <w:t>4</w:t>
      </w:r>
      <w:r w:rsidR="00A14A4E">
        <w:rPr>
          <w:rFonts w:ascii="Arial" w:hAnsi="Arial" w:cs="Arial"/>
          <w:sz w:val="22"/>
        </w:rPr>
        <w:t>91</w:t>
      </w:r>
      <w:r w:rsidR="003D7DC8">
        <w:rPr>
          <w:rFonts w:ascii="Arial" w:hAnsi="Arial" w:cs="Arial"/>
          <w:sz w:val="22"/>
        </w:rPr>
        <w:t>)</w:t>
      </w:r>
    </w:p>
    <w:p w:rsidR="008F34B8" w:rsidRDefault="00970930" w:rsidP="003303E3">
      <w:pPr>
        <w:pStyle w:val="Textoindependiente"/>
        <w:tabs>
          <w:tab w:val="clear" w:pos="2124"/>
          <w:tab w:val="clear" w:pos="3540"/>
          <w:tab w:val="clear" w:pos="4248"/>
          <w:tab w:val="left" w:pos="3544"/>
        </w:tabs>
        <w:spacing w:line="360" w:lineRule="auto"/>
        <w:ind w:left="3686" w:hanging="2978"/>
        <w:rPr>
          <w:rFonts w:ascii="Arial" w:hAnsi="Arial" w:cs="Arial"/>
          <w:sz w:val="22"/>
          <w:szCs w:val="22"/>
        </w:rPr>
      </w:pPr>
      <w:r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825BDF">
        <w:rPr>
          <w:rFonts w:ascii="Arial" w:hAnsi="Arial" w:cs="Arial"/>
          <w:sz w:val="22"/>
          <w:szCs w:val="22"/>
        </w:rPr>
        <w:t>:</w:t>
      </w:r>
      <w:r w:rsidR="007E689B">
        <w:rPr>
          <w:rFonts w:ascii="Arial" w:hAnsi="Arial" w:cs="Arial"/>
          <w:sz w:val="22"/>
          <w:szCs w:val="22"/>
        </w:rPr>
        <w:t xml:space="preserve"> </w:t>
      </w:r>
      <w:r w:rsidR="00BD5D5C">
        <w:rPr>
          <w:rFonts w:ascii="Arial" w:hAnsi="Arial" w:cs="Arial"/>
          <w:sz w:val="22"/>
          <w:szCs w:val="22"/>
        </w:rPr>
        <w:t>S</w:t>
      </w:r>
      <w:r w:rsidR="00350FC4" w:rsidRPr="00825BDF">
        <w:rPr>
          <w:rFonts w:ascii="Arial" w:hAnsi="Arial" w:cs="Arial"/>
          <w:sz w:val="22"/>
          <w:szCs w:val="21"/>
        </w:rPr>
        <w:t>ubsidiariedad</w:t>
      </w:r>
      <w:r w:rsidR="00BD5D5C">
        <w:rPr>
          <w:rFonts w:ascii="Arial" w:hAnsi="Arial" w:cs="Arial"/>
          <w:sz w:val="22"/>
          <w:szCs w:val="21"/>
        </w:rPr>
        <w:t xml:space="preserve"> </w:t>
      </w:r>
      <w:r w:rsidR="00D402B4">
        <w:rPr>
          <w:rFonts w:ascii="Arial" w:hAnsi="Arial" w:cs="Arial"/>
          <w:sz w:val="22"/>
          <w:szCs w:val="21"/>
        </w:rPr>
        <w:t>-</w:t>
      </w:r>
      <w:r w:rsidR="00143293" w:rsidRPr="00825BDF">
        <w:rPr>
          <w:rFonts w:ascii="Arial" w:hAnsi="Arial" w:cs="Arial"/>
          <w:sz w:val="22"/>
          <w:szCs w:val="21"/>
        </w:rPr>
        <w:t xml:space="preserve"> </w:t>
      </w:r>
      <w:r w:rsidR="00BD5D5C">
        <w:rPr>
          <w:rFonts w:ascii="Arial" w:hAnsi="Arial" w:cs="Arial"/>
          <w:sz w:val="22"/>
          <w:szCs w:val="21"/>
        </w:rPr>
        <w:t>F</w:t>
      </w:r>
      <w:r w:rsidR="00143293" w:rsidRPr="00825BDF">
        <w:rPr>
          <w:rFonts w:ascii="Arial" w:hAnsi="Arial" w:cs="Arial"/>
          <w:sz w:val="22"/>
          <w:szCs w:val="21"/>
        </w:rPr>
        <w:t>alta de motivaci</w:t>
      </w:r>
      <w:r w:rsidR="003303E3" w:rsidRPr="00825BDF">
        <w:rPr>
          <w:rFonts w:ascii="Arial" w:hAnsi="Arial" w:cs="Arial"/>
          <w:sz w:val="22"/>
          <w:szCs w:val="21"/>
        </w:rPr>
        <w:t>ón</w:t>
      </w:r>
      <w:r w:rsidR="00D402B4">
        <w:rPr>
          <w:rFonts w:ascii="Arial" w:hAnsi="Arial" w:cs="Arial"/>
          <w:sz w:val="22"/>
          <w:szCs w:val="21"/>
        </w:rPr>
        <w:t xml:space="preserve"> - Cosa juzgada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FC0E43">
        <w:rPr>
          <w:rFonts w:ascii="Arial" w:hAnsi="Arial"/>
          <w:sz w:val="22"/>
          <w:szCs w:val="22"/>
        </w:rPr>
        <w:t>287</w:t>
      </w:r>
      <w:r w:rsidR="0073683E">
        <w:rPr>
          <w:rFonts w:ascii="Arial" w:hAnsi="Arial"/>
          <w:sz w:val="22"/>
          <w:szCs w:val="22"/>
        </w:rPr>
        <w:t xml:space="preserve"> de</w:t>
      </w:r>
      <w:r w:rsidR="00766A9E">
        <w:rPr>
          <w:rFonts w:ascii="Arial" w:hAnsi="Arial"/>
          <w:sz w:val="22"/>
          <w:szCs w:val="22"/>
        </w:rPr>
        <w:t xml:space="preserve"> </w:t>
      </w:r>
      <w:r w:rsidR="00FC0E43">
        <w:rPr>
          <w:rFonts w:ascii="Arial" w:hAnsi="Arial"/>
          <w:sz w:val="22"/>
          <w:szCs w:val="22"/>
        </w:rPr>
        <w:t>01</w:t>
      </w:r>
      <w:r w:rsidR="0073683E">
        <w:rPr>
          <w:rFonts w:ascii="Arial" w:hAnsi="Arial"/>
          <w:sz w:val="22"/>
          <w:szCs w:val="22"/>
        </w:rPr>
        <w:t>-</w:t>
      </w:r>
      <w:r w:rsidR="00FC0E43">
        <w:rPr>
          <w:rFonts w:ascii="Arial" w:hAnsi="Arial"/>
          <w:sz w:val="22"/>
          <w:szCs w:val="22"/>
        </w:rPr>
        <w:t>06</w:t>
      </w:r>
      <w:r w:rsidR="0073683E">
        <w:rPr>
          <w:rFonts w:ascii="Arial" w:hAnsi="Arial"/>
          <w:sz w:val="22"/>
          <w:szCs w:val="22"/>
        </w:rPr>
        <w:t>-2017</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167C8F">
        <w:rPr>
          <w:rFonts w:ascii="Arial" w:hAnsi="Arial" w:cs="Arial"/>
          <w:iCs/>
          <w:smallCaps/>
          <w:sz w:val="28"/>
          <w:szCs w:val="28"/>
          <w:lang w:val="es-CO"/>
        </w:rPr>
        <w:t xml:space="preserve"> </w:t>
      </w:r>
      <w:r w:rsidR="007F0B8D">
        <w:rPr>
          <w:rFonts w:ascii="Arial" w:hAnsi="Arial" w:cs="Arial"/>
          <w:iCs/>
          <w:smallCaps/>
          <w:sz w:val="28"/>
          <w:szCs w:val="28"/>
          <w:lang w:val="es-CO"/>
        </w:rPr>
        <w:t>primero</w:t>
      </w:r>
      <w:r w:rsidR="0073683E">
        <w:rPr>
          <w:rFonts w:ascii="Arial" w:hAnsi="Arial" w:cs="Arial"/>
          <w:iCs/>
          <w:smallCaps/>
          <w:sz w:val="28"/>
          <w:szCs w:val="28"/>
          <w:lang w:val="es-CO"/>
        </w:rPr>
        <w:t xml:space="preserve"> </w:t>
      </w:r>
      <w:r w:rsidR="00437198" w:rsidRPr="00303E85">
        <w:rPr>
          <w:rFonts w:ascii="Arial" w:hAnsi="Arial" w:cs="Arial"/>
          <w:iCs/>
          <w:smallCaps/>
          <w:sz w:val="28"/>
          <w:szCs w:val="28"/>
          <w:lang w:val="es-CO"/>
        </w:rPr>
        <w:t>(</w:t>
      </w:r>
      <w:r w:rsidR="00FC0E43">
        <w:rPr>
          <w:rFonts w:ascii="Arial" w:hAnsi="Arial" w:cs="Arial"/>
          <w:iCs/>
          <w:smallCaps/>
          <w:sz w:val="28"/>
          <w:szCs w:val="28"/>
          <w:lang w:val="es-CO"/>
        </w:rPr>
        <w:t>1º</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FC0E43">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BD5D5C"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32FFA" w:rsidRDefault="00134F0A" w:rsidP="0099045D">
      <w:pPr>
        <w:pStyle w:val="Textoindependiente"/>
        <w:spacing w:line="360" w:lineRule="auto"/>
        <w:rPr>
          <w:rFonts w:ascii="Arial" w:hAnsi="Arial"/>
          <w:szCs w:val="24"/>
          <w:lang w:val="es-CO"/>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 xml:space="preserve"> invaliden</w:t>
      </w:r>
      <w:r w:rsidR="00104367" w:rsidRPr="00F9418E">
        <w:rPr>
          <w:rFonts w:ascii="Arial" w:hAnsi="Arial"/>
          <w:szCs w:val="24"/>
        </w:rPr>
        <w:t>.</w:t>
      </w:r>
    </w:p>
    <w:p w:rsidR="000147A2" w:rsidRPr="00BD5D5C"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BD5D5C">
        <w:rPr>
          <w:rFonts w:ascii="Arial" w:hAnsi="Arial"/>
          <w:szCs w:val="24"/>
        </w:rPr>
        <w:t>FÁCTICA</w:t>
      </w:r>
    </w:p>
    <w:p w:rsidR="0099045D" w:rsidRPr="008907D4" w:rsidRDefault="0099045D" w:rsidP="0099045D">
      <w:pPr>
        <w:pStyle w:val="Textoindependiente"/>
        <w:spacing w:line="360" w:lineRule="auto"/>
        <w:rPr>
          <w:rFonts w:ascii="Arial" w:hAnsi="Arial"/>
          <w:sz w:val="20"/>
          <w:szCs w:val="24"/>
        </w:rPr>
      </w:pPr>
    </w:p>
    <w:p w:rsidR="00E7235C" w:rsidRDefault="00BD5D5C" w:rsidP="00E7235C">
      <w:pPr>
        <w:spacing w:line="360" w:lineRule="auto"/>
        <w:jc w:val="both"/>
        <w:rPr>
          <w:rFonts w:ascii="Arial" w:hAnsi="Arial" w:cs="Arial"/>
        </w:rPr>
      </w:pPr>
      <w:r>
        <w:rPr>
          <w:rFonts w:ascii="Arial" w:hAnsi="Arial" w:cs="Arial"/>
        </w:rPr>
        <w:t>Dijo</w:t>
      </w:r>
      <w:r w:rsidR="00766A9E" w:rsidRPr="00CC7D54">
        <w:rPr>
          <w:rFonts w:ascii="Arial" w:hAnsi="Arial" w:cs="Arial"/>
        </w:rPr>
        <w:t xml:space="preserve"> </w:t>
      </w:r>
      <w:r w:rsidR="00104367" w:rsidRPr="00CC7D54">
        <w:rPr>
          <w:rFonts w:ascii="Arial" w:hAnsi="Arial" w:cs="Arial"/>
        </w:rPr>
        <w:t xml:space="preserve">el actor </w:t>
      </w:r>
      <w:r w:rsidR="0041111B" w:rsidRPr="00CC7D54">
        <w:rPr>
          <w:rFonts w:ascii="Arial" w:hAnsi="Arial" w:cs="Arial"/>
        </w:rPr>
        <w:t xml:space="preserve">que </w:t>
      </w:r>
      <w:r w:rsidR="003D7DC8" w:rsidRPr="00CC7D54">
        <w:rPr>
          <w:rFonts w:ascii="Arial" w:hAnsi="Arial" w:cs="Arial"/>
        </w:rPr>
        <w:t xml:space="preserve">el Despacho Judicial </w:t>
      </w:r>
      <w:r w:rsidR="00A14A4E">
        <w:rPr>
          <w:rFonts w:ascii="Arial" w:hAnsi="Arial" w:cs="Arial"/>
        </w:rPr>
        <w:t>negó la acción popular radicada al No.2015-00301-01</w:t>
      </w:r>
      <w:r w:rsidR="00E7235C">
        <w:rPr>
          <w:rFonts w:ascii="Arial" w:hAnsi="Arial" w:cs="Arial"/>
        </w:rPr>
        <w:t xml:space="preserve"> y </w:t>
      </w:r>
      <w:r>
        <w:rPr>
          <w:rFonts w:ascii="Arial" w:hAnsi="Arial" w:cs="Arial"/>
        </w:rPr>
        <w:t xml:space="preserve">lo condenó </w:t>
      </w:r>
      <w:r w:rsidR="00E7235C">
        <w:rPr>
          <w:rFonts w:ascii="Arial" w:hAnsi="Arial" w:cs="Arial"/>
        </w:rPr>
        <w:t xml:space="preserve">en costas sin </w:t>
      </w:r>
      <w:r>
        <w:rPr>
          <w:rFonts w:ascii="Arial" w:hAnsi="Arial" w:cs="Arial"/>
        </w:rPr>
        <w:t xml:space="preserve">acreditar </w:t>
      </w:r>
      <w:r w:rsidR="00E7235C">
        <w:rPr>
          <w:rFonts w:ascii="Arial" w:hAnsi="Arial" w:cs="Arial"/>
        </w:rPr>
        <w:t xml:space="preserve">su temeridad y mala fe. </w:t>
      </w:r>
      <w:r>
        <w:rPr>
          <w:rFonts w:ascii="Arial" w:hAnsi="Arial" w:cs="Arial"/>
        </w:rPr>
        <w:t>T</w:t>
      </w:r>
      <w:r w:rsidR="003303E3">
        <w:rPr>
          <w:rFonts w:ascii="Arial" w:hAnsi="Arial" w:cs="Arial"/>
        </w:rPr>
        <w:t xml:space="preserve">ambién </w:t>
      </w:r>
      <w:r>
        <w:rPr>
          <w:rFonts w:ascii="Arial" w:hAnsi="Arial" w:cs="Arial"/>
        </w:rPr>
        <w:t xml:space="preserve">que es incongruente en sus decisiones </w:t>
      </w:r>
      <w:r w:rsidR="00C14F2B">
        <w:rPr>
          <w:rFonts w:ascii="Arial" w:hAnsi="Arial" w:cs="Arial"/>
        </w:rPr>
        <w:t xml:space="preserve">porque cuando </w:t>
      </w:r>
      <w:r w:rsidR="00ED5B63">
        <w:rPr>
          <w:rFonts w:ascii="Arial" w:hAnsi="Arial" w:cs="Arial"/>
        </w:rPr>
        <w:t>prospera</w:t>
      </w:r>
      <w:r w:rsidR="001011BC">
        <w:rPr>
          <w:rFonts w:ascii="Arial" w:hAnsi="Arial" w:cs="Arial"/>
        </w:rPr>
        <w:t>n</w:t>
      </w:r>
      <w:r w:rsidR="00ED5B63">
        <w:rPr>
          <w:rFonts w:ascii="Arial" w:hAnsi="Arial" w:cs="Arial"/>
        </w:rPr>
        <w:t xml:space="preserve"> su</w:t>
      </w:r>
      <w:r w:rsidR="001011BC">
        <w:rPr>
          <w:rFonts w:ascii="Arial" w:hAnsi="Arial" w:cs="Arial"/>
        </w:rPr>
        <w:t>s</w:t>
      </w:r>
      <w:r w:rsidR="00ED5B63">
        <w:rPr>
          <w:rFonts w:ascii="Arial" w:hAnsi="Arial" w:cs="Arial"/>
        </w:rPr>
        <w:t xml:space="preserve"> acci</w:t>
      </w:r>
      <w:r w:rsidR="001011BC">
        <w:rPr>
          <w:rFonts w:ascii="Arial" w:hAnsi="Arial" w:cs="Arial"/>
        </w:rPr>
        <w:t>ones</w:t>
      </w:r>
      <w:r w:rsidR="00ED5B63">
        <w:rPr>
          <w:rFonts w:ascii="Arial" w:hAnsi="Arial" w:cs="Arial"/>
        </w:rPr>
        <w:t xml:space="preserve"> </w:t>
      </w:r>
      <w:r>
        <w:rPr>
          <w:rFonts w:ascii="Arial" w:hAnsi="Arial" w:cs="Arial"/>
        </w:rPr>
        <w:t xml:space="preserve">le fija </w:t>
      </w:r>
      <w:r w:rsidR="00ED5B63">
        <w:rPr>
          <w:rFonts w:ascii="Arial" w:hAnsi="Arial" w:cs="Arial"/>
        </w:rPr>
        <w:t xml:space="preserve">como </w:t>
      </w:r>
      <w:r w:rsidR="00545F77">
        <w:rPr>
          <w:rFonts w:ascii="Arial" w:hAnsi="Arial" w:cs="Arial"/>
        </w:rPr>
        <w:t>agencias en derecho</w:t>
      </w:r>
      <w:r w:rsidR="00C14F2B">
        <w:rPr>
          <w:rFonts w:ascii="Arial" w:hAnsi="Arial" w:cs="Arial"/>
        </w:rPr>
        <w:t xml:space="preserve"> </w:t>
      </w:r>
      <w:r w:rsidR="00545F77">
        <w:rPr>
          <w:rFonts w:ascii="Arial" w:hAnsi="Arial" w:cs="Arial"/>
        </w:rPr>
        <w:t>$50.000</w:t>
      </w:r>
      <w:r w:rsidR="000B59DB">
        <w:rPr>
          <w:rFonts w:ascii="Arial" w:hAnsi="Arial" w:cs="Arial"/>
        </w:rPr>
        <w:t xml:space="preserve">, y </w:t>
      </w:r>
      <w:r w:rsidR="00ED5B63">
        <w:rPr>
          <w:rFonts w:ascii="Arial" w:hAnsi="Arial" w:cs="Arial"/>
        </w:rPr>
        <w:t>en caso contrario</w:t>
      </w:r>
      <w:r w:rsidR="000B59DB">
        <w:rPr>
          <w:rFonts w:ascii="Arial" w:hAnsi="Arial" w:cs="Arial"/>
        </w:rPr>
        <w:t>,</w:t>
      </w:r>
      <w:r w:rsidR="00ED5B63">
        <w:rPr>
          <w:rFonts w:ascii="Arial" w:hAnsi="Arial" w:cs="Arial"/>
        </w:rPr>
        <w:t xml:space="preserve"> lo condena al pago de </w:t>
      </w:r>
      <w:r w:rsidR="00BC670E">
        <w:rPr>
          <w:rFonts w:ascii="Arial" w:hAnsi="Arial" w:cs="Arial"/>
        </w:rPr>
        <w:t xml:space="preserve">un (1) </w:t>
      </w:r>
      <w:r w:rsidR="00C86BDC">
        <w:rPr>
          <w:rFonts w:ascii="Arial" w:hAnsi="Arial"/>
        </w:rPr>
        <w:t>smlmv</w:t>
      </w:r>
      <w:r w:rsidR="00BC670E">
        <w:rPr>
          <w:rFonts w:ascii="Arial" w:hAnsi="Arial"/>
        </w:rPr>
        <w:t>,</w:t>
      </w:r>
      <w:r w:rsidR="00BC670E">
        <w:rPr>
          <w:rFonts w:ascii="Arial" w:hAnsi="Arial" w:cs="Arial"/>
        </w:rPr>
        <w:t xml:space="preserve"> </w:t>
      </w:r>
      <w:r w:rsidR="00E7235C">
        <w:rPr>
          <w:rFonts w:ascii="Arial" w:hAnsi="Arial" w:cs="Arial"/>
        </w:rPr>
        <w:t xml:space="preserve">(Folio 1, este cuaderno). </w:t>
      </w:r>
    </w:p>
    <w:p w:rsidR="00A14A4E" w:rsidRPr="00BD5D5C" w:rsidRDefault="00A14A4E" w:rsidP="00271459">
      <w:pPr>
        <w:spacing w:line="360" w:lineRule="auto"/>
        <w:jc w:val="both"/>
        <w:rPr>
          <w:rFonts w:ascii="Arial" w:hAnsi="Arial" w:cs="Arial"/>
        </w:rPr>
      </w:pPr>
    </w:p>
    <w:p w:rsidR="0099045D" w:rsidRPr="00CC7D54" w:rsidRDefault="00265F36" w:rsidP="0099045D">
      <w:pPr>
        <w:pStyle w:val="Textoindependiente"/>
        <w:numPr>
          <w:ilvl w:val="0"/>
          <w:numId w:val="1"/>
        </w:numPr>
        <w:spacing w:line="360" w:lineRule="auto"/>
        <w:rPr>
          <w:rFonts w:ascii="Arial" w:hAnsi="Arial"/>
          <w:szCs w:val="24"/>
        </w:rPr>
      </w:pPr>
      <w:r w:rsidRPr="00CC7D54">
        <w:rPr>
          <w:rFonts w:ascii="Arial" w:hAnsi="Arial"/>
          <w:szCs w:val="24"/>
        </w:rPr>
        <w:t xml:space="preserve">LOS </w:t>
      </w:r>
      <w:r w:rsidR="0099045D" w:rsidRPr="00CC7D54">
        <w:rPr>
          <w:rFonts w:ascii="Arial" w:hAnsi="Arial"/>
          <w:szCs w:val="24"/>
        </w:rPr>
        <w:t>DERECHO</w:t>
      </w:r>
      <w:r w:rsidRPr="00CC7D54">
        <w:rPr>
          <w:rFonts w:ascii="Arial" w:hAnsi="Arial"/>
          <w:szCs w:val="24"/>
        </w:rPr>
        <w:t>S</w:t>
      </w:r>
      <w:r w:rsidR="0099045D" w:rsidRPr="00CC7D54">
        <w:rPr>
          <w:rFonts w:ascii="Arial" w:hAnsi="Arial"/>
          <w:szCs w:val="24"/>
        </w:rPr>
        <w:t xml:space="preserve"> </w:t>
      </w:r>
      <w:r w:rsidR="004B7439" w:rsidRPr="00CC7D54">
        <w:rPr>
          <w:rFonts w:ascii="Arial" w:hAnsi="Arial"/>
          <w:szCs w:val="24"/>
        </w:rPr>
        <w:t>INVOCADOS</w:t>
      </w:r>
    </w:p>
    <w:p w:rsidR="00800EF6" w:rsidRPr="00BD5D5C" w:rsidRDefault="00800EF6" w:rsidP="00730CA7">
      <w:pPr>
        <w:pStyle w:val="Textoindependiente"/>
        <w:spacing w:line="360" w:lineRule="auto"/>
        <w:rPr>
          <w:rFonts w:ascii="Arial" w:hAnsi="Arial"/>
          <w:szCs w:val="24"/>
        </w:rPr>
      </w:pPr>
    </w:p>
    <w:p w:rsidR="007D0ECC" w:rsidRDefault="00CC3236"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w:t>
      </w:r>
      <w:r w:rsidR="00BD5D5C" w:rsidRPr="00595344">
        <w:rPr>
          <w:rFonts w:ascii="Arial" w:hAnsi="Arial" w:cs="Arial"/>
          <w:spacing w:val="-3"/>
          <w:lang w:val="es-ES_tradnl"/>
        </w:rPr>
        <w:t xml:space="preserve">onsidera que se le vulneran los derechos </w:t>
      </w:r>
      <w:r w:rsidR="00BD5D5C">
        <w:rPr>
          <w:rFonts w:ascii="Arial" w:hAnsi="Arial" w:cs="Arial"/>
          <w:spacing w:val="-3"/>
          <w:lang w:val="es-ES_tradnl"/>
        </w:rPr>
        <w:t xml:space="preserve">al </w:t>
      </w:r>
      <w:r w:rsidR="000B59DB" w:rsidRPr="00BD5D5C">
        <w:rPr>
          <w:rFonts w:ascii="Arial" w:hAnsi="Arial" w:cs="Arial"/>
          <w:spacing w:val="-3"/>
          <w:lang w:val="es-ES_tradnl"/>
        </w:rPr>
        <w:t xml:space="preserve">debido proceso, </w:t>
      </w:r>
      <w:r w:rsidR="00BD5D5C" w:rsidRPr="00BD5D5C">
        <w:rPr>
          <w:rFonts w:ascii="Arial" w:hAnsi="Arial" w:cs="Arial"/>
          <w:spacing w:val="-3"/>
          <w:lang w:val="es-ES_tradnl"/>
        </w:rPr>
        <w:t xml:space="preserve">a </w:t>
      </w:r>
      <w:r w:rsidR="000B59DB" w:rsidRPr="00BD5D5C">
        <w:rPr>
          <w:rFonts w:ascii="Arial" w:hAnsi="Arial" w:cs="Arial"/>
          <w:spacing w:val="-3"/>
          <w:lang w:val="es-ES_tradnl"/>
        </w:rPr>
        <w:t xml:space="preserve">la igualdad y </w:t>
      </w:r>
      <w:r w:rsidR="00BD5D5C" w:rsidRPr="00BD5D5C">
        <w:rPr>
          <w:rFonts w:ascii="Arial" w:hAnsi="Arial" w:cs="Arial"/>
          <w:spacing w:val="-3"/>
          <w:lang w:val="es-ES_tradnl"/>
        </w:rPr>
        <w:t xml:space="preserve">a </w:t>
      </w:r>
      <w:r w:rsidR="000B59DB" w:rsidRPr="00BD5D5C">
        <w:rPr>
          <w:rFonts w:ascii="Arial" w:hAnsi="Arial" w:cs="Arial"/>
          <w:spacing w:val="-3"/>
          <w:lang w:val="es-ES_tradnl"/>
        </w:rPr>
        <w:t>la debida administración de justicia</w:t>
      </w:r>
      <w:r w:rsidR="007D0ECC" w:rsidRPr="00BD5D5C">
        <w:rPr>
          <w:rFonts w:ascii="Arial" w:hAnsi="Arial" w:cs="Arial"/>
          <w:i/>
          <w:spacing w:val="-3"/>
          <w:lang w:val="es-ES_tradnl"/>
        </w:rPr>
        <w:t xml:space="preserve"> </w:t>
      </w:r>
      <w:r w:rsidR="007475F9">
        <w:rPr>
          <w:rFonts w:ascii="Arial" w:hAnsi="Arial" w:cs="Arial"/>
          <w:spacing w:val="-3"/>
          <w:lang w:val="es-ES_tradnl"/>
        </w:rPr>
        <w:t>(Folio</w:t>
      </w:r>
      <w:r w:rsidR="007D0ECC">
        <w:rPr>
          <w:rFonts w:ascii="Arial" w:hAnsi="Arial" w:cs="Arial"/>
          <w:spacing w:val="-3"/>
          <w:lang w:val="es-ES_tradnl"/>
        </w:rPr>
        <w:t xml:space="preserve"> </w:t>
      </w:r>
      <w:r w:rsidR="000B59DB">
        <w:rPr>
          <w:rFonts w:ascii="Arial" w:hAnsi="Arial" w:cs="Arial"/>
          <w:spacing w:val="-3"/>
          <w:lang w:val="es-ES_tradnl"/>
        </w:rPr>
        <w:t>1</w:t>
      </w:r>
      <w:r w:rsidR="007D0ECC">
        <w:rPr>
          <w:rFonts w:ascii="Arial" w:hAnsi="Arial" w:cs="Arial"/>
          <w:spacing w:val="-3"/>
          <w:lang w:val="es-ES_tradnl"/>
        </w:rPr>
        <w:t>, este cuaderno).</w:t>
      </w:r>
    </w:p>
    <w:p w:rsidR="003F6C16" w:rsidRPr="00BD5D5C"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BD5D5C" w:rsidRDefault="00303E85" w:rsidP="004B1EB8">
      <w:pPr>
        <w:pStyle w:val="Sinespaciado"/>
        <w:spacing w:line="360" w:lineRule="auto"/>
        <w:jc w:val="both"/>
        <w:rPr>
          <w:rFonts w:ascii="Arial" w:hAnsi="Arial" w:cs="Arial"/>
          <w:szCs w:val="24"/>
        </w:rPr>
      </w:pPr>
    </w:p>
    <w:p w:rsidR="000B59DB" w:rsidRDefault="000B59DB" w:rsidP="000B59DB">
      <w:pPr>
        <w:spacing w:line="360" w:lineRule="auto"/>
        <w:jc w:val="both"/>
        <w:rPr>
          <w:rFonts w:ascii="Arial" w:hAnsi="Arial" w:cs="Arial"/>
        </w:rPr>
      </w:pPr>
      <w:r>
        <w:rPr>
          <w:rFonts w:ascii="Arial" w:hAnsi="Arial" w:cs="Arial"/>
        </w:rPr>
        <w:t>Se pretende que</w:t>
      </w:r>
      <w:r w:rsidR="00CC3236">
        <w:rPr>
          <w:rFonts w:ascii="Arial" w:hAnsi="Arial" w:cs="Arial"/>
        </w:rPr>
        <w:t xml:space="preserve"> se ordene al accionado</w:t>
      </w:r>
      <w:r>
        <w:rPr>
          <w:rFonts w:ascii="Arial" w:hAnsi="Arial" w:cs="Arial"/>
        </w:rPr>
        <w:t xml:space="preserve">: </w:t>
      </w:r>
      <w:r w:rsidR="001B77E2">
        <w:rPr>
          <w:rFonts w:ascii="Arial" w:hAnsi="Arial" w:cs="Arial"/>
        </w:rPr>
        <w:t xml:space="preserve">(i) </w:t>
      </w:r>
      <w:r w:rsidR="00CC3236">
        <w:rPr>
          <w:rFonts w:ascii="Arial" w:hAnsi="Arial" w:cs="Arial"/>
        </w:rPr>
        <w:t>P</w:t>
      </w:r>
      <w:r w:rsidR="00BD5D5C">
        <w:rPr>
          <w:rFonts w:ascii="Arial" w:hAnsi="Arial" w:cs="Arial"/>
          <w:lang w:val="es-CO"/>
        </w:rPr>
        <w:t xml:space="preserve">robar </w:t>
      </w:r>
      <w:r w:rsidR="00BD5D5C">
        <w:rPr>
          <w:rFonts w:ascii="Arial" w:hAnsi="Arial" w:cs="Arial"/>
        </w:rPr>
        <w:t xml:space="preserve">la </w:t>
      </w:r>
      <w:r w:rsidR="001B77E2">
        <w:rPr>
          <w:rFonts w:ascii="Arial" w:hAnsi="Arial" w:cs="Arial"/>
        </w:rPr>
        <w:t xml:space="preserve">temeridad y mala fe en que incurrió </w:t>
      </w:r>
      <w:r w:rsidR="00CC3236">
        <w:rPr>
          <w:rFonts w:ascii="Arial" w:hAnsi="Arial" w:cs="Arial"/>
        </w:rPr>
        <w:t>el accionante</w:t>
      </w:r>
      <w:r w:rsidR="001B77E2">
        <w:rPr>
          <w:rFonts w:ascii="Arial" w:hAnsi="Arial" w:cs="Arial"/>
        </w:rPr>
        <w:t xml:space="preserve">; </w:t>
      </w:r>
      <w:r>
        <w:rPr>
          <w:rFonts w:ascii="Arial" w:hAnsi="Arial" w:cs="Arial"/>
        </w:rPr>
        <w:t>(i</w:t>
      </w:r>
      <w:r w:rsidR="001B77E2">
        <w:rPr>
          <w:rFonts w:ascii="Arial" w:hAnsi="Arial" w:cs="Arial"/>
        </w:rPr>
        <w:t>i</w:t>
      </w:r>
      <w:r>
        <w:rPr>
          <w:rFonts w:ascii="Arial" w:hAnsi="Arial" w:cs="Arial"/>
        </w:rPr>
        <w:t>)</w:t>
      </w:r>
      <w:r w:rsidR="002A3C40" w:rsidRPr="002A3C40">
        <w:rPr>
          <w:rFonts w:ascii="Arial" w:hAnsi="Arial" w:cs="Arial"/>
        </w:rPr>
        <w:t xml:space="preserve"> </w:t>
      </w:r>
      <w:r w:rsidR="00CC3236">
        <w:rPr>
          <w:rFonts w:ascii="Arial" w:hAnsi="Arial" w:cs="Arial"/>
        </w:rPr>
        <w:t xml:space="preserve">Informar </w:t>
      </w:r>
      <w:r w:rsidR="006C5C45">
        <w:rPr>
          <w:rFonts w:ascii="Arial" w:hAnsi="Arial" w:cs="Arial"/>
        </w:rPr>
        <w:t xml:space="preserve">los </w:t>
      </w:r>
      <w:r w:rsidR="002A3C40">
        <w:rPr>
          <w:rFonts w:ascii="Arial" w:hAnsi="Arial" w:cs="Arial"/>
        </w:rPr>
        <w:t>criterios</w:t>
      </w:r>
      <w:r w:rsidR="006C5C45">
        <w:rPr>
          <w:rFonts w:ascii="Arial" w:hAnsi="Arial" w:cs="Arial"/>
        </w:rPr>
        <w:t xml:space="preserve"> </w:t>
      </w:r>
      <w:r w:rsidR="003303E3">
        <w:rPr>
          <w:rFonts w:ascii="Arial" w:hAnsi="Arial" w:cs="Arial"/>
        </w:rPr>
        <w:t>tenidos en cuenta</w:t>
      </w:r>
      <w:r w:rsidR="006C5C45">
        <w:rPr>
          <w:rFonts w:ascii="Arial" w:hAnsi="Arial" w:cs="Arial"/>
        </w:rPr>
        <w:t xml:space="preserve"> </w:t>
      </w:r>
      <w:r w:rsidR="002A3C40">
        <w:rPr>
          <w:rFonts w:ascii="Arial" w:hAnsi="Arial" w:cs="Arial"/>
        </w:rPr>
        <w:t>para la fijación de agencias</w:t>
      </w:r>
      <w:r w:rsidR="006C5C45">
        <w:rPr>
          <w:rFonts w:ascii="Arial" w:hAnsi="Arial" w:cs="Arial"/>
        </w:rPr>
        <w:t xml:space="preserve"> en derecho</w:t>
      </w:r>
      <w:r w:rsidR="002A3C40">
        <w:rPr>
          <w:rFonts w:ascii="Arial" w:hAnsi="Arial" w:cs="Arial"/>
        </w:rPr>
        <w:t xml:space="preserve"> cuando prosperan o no sus pretensiones</w:t>
      </w:r>
      <w:r w:rsidR="00E061B3">
        <w:rPr>
          <w:rFonts w:ascii="Arial" w:hAnsi="Arial" w:cs="Arial"/>
        </w:rPr>
        <w:t>;</w:t>
      </w:r>
      <w:r w:rsidR="00730C2B">
        <w:rPr>
          <w:rFonts w:ascii="Arial" w:hAnsi="Arial" w:cs="Arial"/>
        </w:rPr>
        <w:t xml:space="preserve"> </w:t>
      </w:r>
      <w:r>
        <w:rPr>
          <w:rFonts w:ascii="Arial" w:hAnsi="Arial" w:cs="Arial"/>
        </w:rPr>
        <w:t>(i</w:t>
      </w:r>
      <w:r w:rsidR="001B77E2">
        <w:rPr>
          <w:rFonts w:ascii="Arial" w:hAnsi="Arial" w:cs="Arial"/>
        </w:rPr>
        <w:t>i</w:t>
      </w:r>
      <w:r>
        <w:rPr>
          <w:rFonts w:ascii="Arial" w:hAnsi="Arial" w:cs="Arial"/>
        </w:rPr>
        <w:t xml:space="preserve">i) </w:t>
      </w:r>
      <w:r w:rsidR="00CC3236">
        <w:rPr>
          <w:rFonts w:ascii="Arial" w:hAnsi="Arial" w:cs="Arial"/>
        </w:rPr>
        <w:t>R</w:t>
      </w:r>
      <w:r w:rsidR="001011BC">
        <w:rPr>
          <w:rFonts w:ascii="Arial" w:hAnsi="Arial" w:cs="Arial"/>
        </w:rPr>
        <w:t>evocar</w:t>
      </w:r>
      <w:r w:rsidR="00730C2B">
        <w:rPr>
          <w:rFonts w:ascii="Arial" w:hAnsi="Arial" w:cs="Arial"/>
        </w:rPr>
        <w:t xml:space="preserve"> </w:t>
      </w:r>
      <w:r w:rsidR="004319E1">
        <w:rPr>
          <w:rFonts w:ascii="Arial" w:hAnsi="Arial" w:cs="Arial"/>
        </w:rPr>
        <w:t>las agencias en derecho</w:t>
      </w:r>
      <w:r w:rsidR="00E061B3">
        <w:rPr>
          <w:rFonts w:ascii="Arial" w:hAnsi="Arial" w:cs="Arial"/>
        </w:rPr>
        <w:t xml:space="preserve">, y (iii) </w:t>
      </w:r>
      <w:r w:rsidR="00CC3236">
        <w:rPr>
          <w:rFonts w:ascii="Arial" w:hAnsi="Arial" w:cs="Arial"/>
        </w:rPr>
        <w:t>decretar</w:t>
      </w:r>
      <w:r w:rsidR="00E061B3">
        <w:rPr>
          <w:rFonts w:ascii="Arial" w:hAnsi="Arial" w:cs="Arial"/>
        </w:rPr>
        <w:t xml:space="preserve">, de oficio, </w:t>
      </w:r>
      <w:r w:rsidR="00CC3236">
        <w:rPr>
          <w:rFonts w:ascii="Arial" w:hAnsi="Arial" w:cs="Arial"/>
        </w:rPr>
        <w:t xml:space="preserve">la </w:t>
      </w:r>
      <w:r w:rsidR="00730C2B">
        <w:rPr>
          <w:rFonts w:ascii="Arial" w:hAnsi="Arial" w:cs="Arial"/>
        </w:rPr>
        <w:t>nulidad de la sentencia proferida en el asunto</w:t>
      </w:r>
      <w:r>
        <w:rPr>
          <w:rFonts w:ascii="Arial" w:hAnsi="Arial" w:cs="Arial"/>
        </w:rPr>
        <w:t xml:space="preserve"> </w:t>
      </w:r>
      <w:r w:rsidR="00A34FEB">
        <w:rPr>
          <w:rFonts w:ascii="Arial" w:hAnsi="Arial" w:cs="Arial"/>
        </w:rPr>
        <w:t xml:space="preserve">popular </w:t>
      </w:r>
      <w:r w:rsidRPr="00AF753A">
        <w:rPr>
          <w:rFonts w:ascii="Arial" w:hAnsi="Arial" w:cs="Arial"/>
        </w:rPr>
        <w:t>(Folio</w:t>
      </w:r>
      <w:r>
        <w:rPr>
          <w:rFonts w:ascii="Arial" w:hAnsi="Arial" w:cs="Arial"/>
        </w:rPr>
        <w:t xml:space="preserve"> 1, este cuaderno)</w:t>
      </w:r>
      <w:r w:rsidRPr="00AF753A">
        <w:rPr>
          <w:rFonts w:ascii="Arial" w:hAnsi="Arial" w:cs="Arial"/>
        </w:rPr>
        <w:t xml:space="preserve">. </w:t>
      </w:r>
    </w:p>
    <w:p w:rsidR="000B59DB" w:rsidRPr="00C40F50" w:rsidRDefault="000B59DB" w:rsidP="000B59DB">
      <w:pPr>
        <w:pStyle w:val="Sinespaciado"/>
        <w:spacing w:line="360" w:lineRule="auto"/>
        <w:jc w:val="both"/>
        <w:rPr>
          <w:rFonts w:ascii="Arial" w:hAnsi="Arial" w:cs="Arial"/>
          <w:szCs w:val="24"/>
        </w:rPr>
      </w:pPr>
    </w:p>
    <w:p w:rsidR="000B59DB" w:rsidRPr="00704D44" w:rsidRDefault="000B59DB" w:rsidP="000B59DB">
      <w:pPr>
        <w:pStyle w:val="Sinespaciado"/>
        <w:numPr>
          <w:ilvl w:val="0"/>
          <w:numId w:val="1"/>
        </w:numPr>
        <w:spacing w:line="360" w:lineRule="auto"/>
        <w:jc w:val="both"/>
        <w:rPr>
          <w:rFonts w:ascii="Arial" w:hAnsi="Arial"/>
          <w:szCs w:val="24"/>
        </w:rPr>
      </w:pPr>
      <w:r>
        <w:rPr>
          <w:rFonts w:ascii="Arial" w:hAnsi="Arial"/>
          <w:szCs w:val="24"/>
        </w:rPr>
        <w:t xml:space="preserve">EL RESUMEN </w:t>
      </w:r>
      <w:r w:rsidRPr="00704D44">
        <w:rPr>
          <w:rFonts w:ascii="Arial" w:hAnsi="Arial"/>
          <w:szCs w:val="24"/>
        </w:rPr>
        <w:t>DE LA CRÓNICA PROCESAL</w:t>
      </w:r>
    </w:p>
    <w:p w:rsidR="000B59DB" w:rsidRPr="00C40F50" w:rsidRDefault="000B59DB" w:rsidP="000B59DB">
      <w:pPr>
        <w:pStyle w:val="Textoindependiente"/>
        <w:spacing w:line="360" w:lineRule="auto"/>
        <w:rPr>
          <w:rFonts w:ascii="Arial" w:hAnsi="Arial"/>
          <w:szCs w:val="24"/>
          <w:lang w:val="es-CO"/>
        </w:rPr>
      </w:pPr>
    </w:p>
    <w:p w:rsidR="000B59DB" w:rsidRPr="004B019A" w:rsidRDefault="000B59DB" w:rsidP="000B59DB">
      <w:pPr>
        <w:spacing w:line="360" w:lineRule="auto"/>
        <w:jc w:val="both"/>
        <w:rPr>
          <w:rFonts w:ascii="Arial" w:hAnsi="Arial" w:cs="Arial"/>
        </w:rPr>
      </w:pPr>
      <w:r w:rsidRPr="00B74361">
        <w:rPr>
          <w:rFonts w:ascii="Arial" w:hAnsi="Arial"/>
        </w:rPr>
        <w:t xml:space="preserve">En reparto ordinario del </w:t>
      </w:r>
      <w:r w:rsidR="0073697F">
        <w:rPr>
          <w:rFonts w:ascii="Arial" w:hAnsi="Arial"/>
        </w:rPr>
        <w:t>17</w:t>
      </w:r>
      <w:r>
        <w:rPr>
          <w:rFonts w:ascii="Arial" w:hAnsi="Arial"/>
        </w:rPr>
        <w:t>-0</w:t>
      </w:r>
      <w:r w:rsidR="0073697F">
        <w:rPr>
          <w:rFonts w:ascii="Arial" w:hAnsi="Arial"/>
        </w:rPr>
        <w:t>5</w:t>
      </w:r>
      <w:r>
        <w:rPr>
          <w:rFonts w:ascii="Arial" w:hAnsi="Arial"/>
        </w:rPr>
        <w:t xml:space="preserve">-2017 se asignó </w:t>
      </w:r>
      <w:r w:rsidRPr="00D55E5A">
        <w:rPr>
          <w:rFonts w:ascii="Arial" w:hAnsi="Arial"/>
        </w:rPr>
        <w:t>a este Despacho</w:t>
      </w:r>
      <w:r w:rsidRPr="004B019A">
        <w:rPr>
          <w:rFonts w:ascii="Arial" w:hAnsi="Arial" w:cs="Arial"/>
          <w:color w:val="000000"/>
        </w:rPr>
        <w:t xml:space="preserve">, con </w:t>
      </w:r>
      <w:r w:rsidR="0073697F">
        <w:rPr>
          <w:rFonts w:ascii="Arial" w:hAnsi="Arial" w:cs="Arial"/>
          <w:color w:val="000000"/>
        </w:rPr>
        <w:t xml:space="preserve">proveído del </w:t>
      </w:r>
      <w:r w:rsidR="00F3099A">
        <w:rPr>
          <w:rFonts w:ascii="Arial" w:hAnsi="Arial" w:cs="Arial"/>
          <w:color w:val="000000"/>
        </w:rPr>
        <w:t>día siguiente</w:t>
      </w:r>
      <w:r>
        <w:rPr>
          <w:rFonts w:ascii="Arial" w:hAnsi="Arial" w:cs="Arial"/>
          <w:color w:val="000000"/>
        </w:rPr>
        <w:t xml:space="preserve">, se admitió,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 xml:space="preserve">quienes se estimó conveniente, </w:t>
      </w:r>
      <w:r w:rsidRPr="008E5A62">
        <w:rPr>
          <w:rFonts w:ascii="Arial" w:hAnsi="Arial"/>
        </w:rPr>
        <w:t>se dispuso notificar a la partes</w:t>
      </w:r>
      <w:r>
        <w:rPr>
          <w:rFonts w:ascii="Arial" w:hAnsi="Arial" w:cs="Arial"/>
          <w:color w:val="000000"/>
        </w:rPr>
        <w:t xml:space="preserve">, </w:t>
      </w:r>
      <w:r w:rsidRPr="008E5A62">
        <w:rPr>
          <w:rFonts w:ascii="Arial" w:hAnsi="Arial"/>
        </w:rPr>
        <w:t>entre otros ordenamientos</w:t>
      </w:r>
      <w:r>
        <w:rPr>
          <w:rFonts w:ascii="Arial" w:hAnsi="Arial"/>
        </w:rPr>
        <w:t xml:space="preserve"> (Folio </w:t>
      </w:r>
      <w:r w:rsidR="0073697F">
        <w:rPr>
          <w:rFonts w:ascii="Arial" w:hAnsi="Arial"/>
        </w:rPr>
        <w:t>4</w:t>
      </w:r>
      <w:r>
        <w:rPr>
          <w:rFonts w:ascii="Arial" w:hAnsi="Arial"/>
        </w:rPr>
        <w:t>, ibídem)</w:t>
      </w:r>
      <w:r>
        <w:rPr>
          <w:rFonts w:ascii="Arial" w:hAnsi="Arial" w:cs="Arial"/>
          <w:color w:val="000000"/>
        </w:rPr>
        <w:t xml:space="preserve">. </w:t>
      </w:r>
      <w:r w:rsidRPr="004B019A">
        <w:rPr>
          <w:rFonts w:ascii="Arial" w:hAnsi="Arial" w:cs="Arial"/>
          <w:color w:val="000000"/>
        </w:rPr>
        <w:t xml:space="preserve">Fueron debidamente enterados los extremos de la acción (Folios </w:t>
      </w:r>
      <w:r w:rsidR="0073697F">
        <w:rPr>
          <w:rFonts w:ascii="Arial" w:hAnsi="Arial" w:cs="Arial"/>
          <w:color w:val="000000"/>
        </w:rPr>
        <w:t>5</w:t>
      </w:r>
      <w:r>
        <w:rPr>
          <w:rFonts w:ascii="Arial" w:hAnsi="Arial" w:cs="Arial"/>
          <w:color w:val="000000"/>
        </w:rPr>
        <w:t xml:space="preserve"> a </w:t>
      </w:r>
      <w:r w:rsidR="0073697F">
        <w:rPr>
          <w:rFonts w:ascii="Arial" w:hAnsi="Arial" w:cs="Arial"/>
          <w:color w:val="000000"/>
        </w:rPr>
        <w:t>6</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Contest</w:t>
      </w:r>
      <w:r>
        <w:rPr>
          <w:rFonts w:ascii="Arial" w:hAnsi="Arial" w:cs="Arial"/>
          <w:color w:val="000000"/>
        </w:rPr>
        <w:t>aron el accionado (Folio</w:t>
      </w:r>
      <w:r w:rsidR="0073697F">
        <w:rPr>
          <w:rFonts w:ascii="Arial" w:hAnsi="Arial" w:cs="Arial"/>
          <w:color w:val="000000"/>
        </w:rPr>
        <w:t>s</w:t>
      </w:r>
      <w:r>
        <w:rPr>
          <w:rFonts w:ascii="Arial" w:hAnsi="Arial" w:cs="Arial"/>
          <w:color w:val="000000"/>
        </w:rPr>
        <w:t xml:space="preserve"> </w:t>
      </w:r>
      <w:r w:rsidR="0073697F">
        <w:rPr>
          <w:rFonts w:ascii="Arial" w:hAnsi="Arial" w:cs="Arial"/>
          <w:color w:val="000000"/>
        </w:rPr>
        <w:t>7 a 8</w:t>
      </w:r>
      <w:r>
        <w:rPr>
          <w:rFonts w:ascii="Arial" w:hAnsi="Arial" w:cs="Arial"/>
          <w:color w:val="000000"/>
        </w:rPr>
        <w:t>, ib</w:t>
      </w:r>
      <w:r w:rsidR="0073697F">
        <w:rPr>
          <w:rFonts w:ascii="Arial" w:hAnsi="Arial" w:cs="Arial"/>
          <w:color w:val="000000"/>
        </w:rPr>
        <w:t>ídem</w:t>
      </w:r>
      <w:r>
        <w:rPr>
          <w:rFonts w:ascii="Arial" w:hAnsi="Arial" w:cs="Arial"/>
          <w:color w:val="000000"/>
        </w:rPr>
        <w:t xml:space="preserve">.), y  la Defensoría del Pueblo, Regional </w:t>
      </w:r>
      <w:r w:rsidR="00F3099A">
        <w:rPr>
          <w:rFonts w:ascii="Arial" w:hAnsi="Arial" w:cs="Arial"/>
          <w:color w:val="000000"/>
        </w:rPr>
        <w:t xml:space="preserve">Caldas </w:t>
      </w:r>
      <w:r>
        <w:rPr>
          <w:rFonts w:ascii="Arial" w:hAnsi="Arial" w:cs="Arial"/>
          <w:color w:val="000000"/>
        </w:rPr>
        <w:t xml:space="preserve">(Folios </w:t>
      </w:r>
      <w:r w:rsidR="00B75B06">
        <w:rPr>
          <w:rFonts w:ascii="Arial" w:hAnsi="Arial" w:cs="Arial"/>
          <w:color w:val="000000"/>
        </w:rPr>
        <w:t>10</w:t>
      </w:r>
      <w:r>
        <w:rPr>
          <w:rFonts w:ascii="Arial" w:hAnsi="Arial" w:cs="Arial"/>
          <w:color w:val="000000"/>
        </w:rPr>
        <w:t xml:space="preserve"> a </w:t>
      </w:r>
      <w:r w:rsidR="00B75B06">
        <w:rPr>
          <w:rFonts w:ascii="Arial" w:hAnsi="Arial" w:cs="Arial"/>
          <w:color w:val="000000"/>
        </w:rPr>
        <w:t>17</w:t>
      </w:r>
      <w:r>
        <w:rPr>
          <w:rFonts w:ascii="Arial" w:hAnsi="Arial" w:cs="Arial"/>
          <w:color w:val="000000"/>
        </w:rPr>
        <w:t>, ib.).</w:t>
      </w:r>
    </w:p>
    <w:p w:rsidR="000B59DB" w:rsidRPr="00C40F50" w:rsidRDefault="000B59DB" w:rsidP="000B59DB">
      <w:pPr>
        <w:spacing w:line="360" w:lineRule="auto"/>
        <w:jc w:val="both"/>
        <w:rPr>
          <w:rFonts w:ascii="Arial" w:hAnsi="Arial"/>
          <w:lang w:val="es-CO"/>
        </w:rPr>
      </w:pPr>
    </w:p>
    <w:p w:rsidR="000B59DB" w:rsidRDefault="000B59DB" w:rsidP="000B59DB">
      <w:pPr>
        <w:numPr>
          <w:ilvl w:val="0"/>
          <w:numId w:val="18"/>
        </w:numPr>
        <w:spacing w:line="360" w:lineRule="auto"/>
        <w:jc w:val="both"/>
        <w:rPr>
          <w:rFonts w:ascii="Arial" w:hAnsi="Arial"/>
        </w:rPr>
      </w:pPr>
      <w:r>
        <w:rPr>
          <w:rFonts w:ascii="Arial" w:hAnsi="Arial"/>
        </w:rPr>
        <w:t>LA SINOPSIS DE LAS RESPUESTAS</w:t>
      </w:r>
    </w:p>
    <w:p w:rsidR="000B59DB" w:rsidRPr="00930478" w:rsidRDefault="003C5100" w:rsidP="003C5100">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3843"/>
        </w:tabs>
        <w:spacing w:line="360" w:lineRule="auto"/>
        <w:rPr>
          <w:rFonts w:ascii="Arial" w:hAnsi="Arial"/>
          <w:szCs w:val="24"/>
        </w:rPr>
      </w:pPr>
      <w:r>
        <w:rPr>
          <w:rFonts w:ascii="Arial" w:hAnsi="Arial"/>
          <w:szCs w:val="24"/>
        </w:rPr>
        <w:lastRenderedPageBreak/>
        <w:tab/>
      </w:r>
    </w:p>
    <w:p w:rsidR="00A34FEB" w:rsidRDefault="000B59DB" w:rsidP="00A34FEB">
      <w:pPr>
        <w:spacing w:line="360" w:lineRule="auto"/>
        <w:jc w:val="both"/>
        <w:rPr>
          <w:rFonts w:ascii="Arial" w:hAnsi="Arial" w:cs="Arial"/>
        </w:rPr>
      </w:pPr>
      <w:r>
        <w:rPr>
          <w:rFonts w:ascii="Arial" w:hAnsi="Arial" w:cs="Arial"/>
        </w:rPr>
        <w:t xml:space="preserve">El </w:t>
      </w:r>
      <w:r w:rsidR="00F3099A">
        <w:rPr>
          <w:rFonts w:ascii="Arial" w:hAnsi="Arial" w:cs="Arial"/>
        </w:rPr>
        <w:t xml:space="preserve">Despacho Judicial </w:t>
      </w:r>
      <w:r>
        <w:rPr>
          <w:rFonts w:ascii="Arial" w:hAnsi="Arial" w:cs="Arial"/>
        </w:rPr>
        <w:t xml:space="preserve">se opuso a las pretensiones del amparo porque el accionante </w:t>
      </w:r>
      <w:r w:rsidR="002F1A12">
        <w:rPr>
          <w:rFonts w:ascii="Arial" w:hAnsi="Arial" w:cs="Arial"/>
        </w:rPr>
        <w:t>nunca aporta prueba ni</w:t>
      </w:r>
      <w:r>
        <w:rPr>
          <w:rFonts w:ascii="Arial" w:hAnsi="Arial" w:cs="Arial"/>
        </w:rPr>
        <w:t xml:space="preserve"> at</w:t>
      </w:r>
      <w:r w:rsidR="002F1A12">
        <w:rPr>
          <w:rFonts w:ascii="Arial" w:hAnsi="Arial" w:cs="Arial"/>
        </w:rPr>
        <w:t xml:space="preserve">iende </w:t>
      </w:r>
      <w:r>
        <w:rPr>
          <w:rFonts w:ascii="Arial" w:hAnsi="Arial" w:cs="Arial"/>
        </w:rPr>
        <w:t xml:space="preserve">las cargas mínimas que le competen (Folio </w:t>
      </w:r>
      <w:r w:rsidR="002F1A12">
        <w:rPr>
          <w:rFonts w:ascii="Arial" w:hAnsi="Arial" w:cs="Arial"/>
        </w:rPr>
        <w:t>7, ib.)</w:t>
      </w:r>
      <w:r w:rsidR="007E689B">
        <w:rPr>
          <w:rFonts w:ascii="Arial" w:hAnsi="Arial" w:cs="Arial"/>
        </w:rPr>
        <w:t>;</w:t>
      </w:r>
      <w:r w:rsidR="002F1A12">
        <w:rPr>
          <w:rFonts w:ascii="Arial" w:hAnsi="Arial" w:cs="Arial"/>
        </w:rPr>
        <w:t xml:space="preserve"> y</w:t>
      </w:r>
      <w:r w:rsidR="00DB7B88">
        <w:rPr>
          <w:rFonts w:ascii="Arial" w:hAnsi="Arial" w:cs="Arial"/>
        </w:rPr>
        <w:t>,</w:t>
      </w:r>
      <w:r w:rsidR="002F1A12">
        <w:rPr>
          <w:rFonts w:ascii="Arial" w:hAnsi="Arial" w:cs="Arial"/>
        </w:rPr>
        <w:t xml:space="preserve"> l</w:t>
      </w:r>
      <w:r w:rsidRPr="00FC5CFA">
        <w:rPr>
          <w:rFonts w:ascii="Arial" w:hAnsi="Arial" w:cs="Arial"/>
          <w:color w:val="000000"/>
        </w:rPr>
        <w:t xml:space="preserve">a </w:t>
      </w:r>
      <w:r>
        <w:rPr>
          <w:rFonts w:ascii="Arial" w:hAnsi="Arial" w:cs="Arial"/>
          <w:color w:val="000000"/>
        </w:rPr>
        <w:t>Defensoría del Pueblo</w:t>
      </w:r>
      <w:r w:rsidRPr="00FC5CFA">
        <w:rPr>
          <w:rFonts w:ascii="Arial" w:hAnsi="Arial" w:cs="Arial"/>
          <w:color w:val="000000"/>
        </w:rPr>
        <w:t xml:space="preserve">, Regional </w:t>
      </w:r>
      <w:r w:rsidR="00F3099A">
        <w:rPr>
          <w:rFonts w:ascii="Arial" w:hAnsi="Arial" w:cs="Arial"/>
          <w:color w:val="000000"/>
        </w:rPr>
        <w:t xml:space="preserve">Caldas </w:t>
      </w:r>
      <w:r w:rsidRPr="007B37A4">
        <w:rPr>
          <w:rFonts w:ascii="Arial" w:hAnsi="Arial"/>
        </w:rPr>
        <w:t xml:space="preserve">adujo </w:t>
      </w:r>
      <w:r w:rsidR="00EF6C70" w:rsidRPr="007B37A4">
        <w:rPr>
          <w:rFonts w:ascii="Arial" w:hAnsi="Arial"/>
        </w:rPr>
        <w:t>que desde el año 2014 designó un defensor público para que brindara asesoría al actor, hizo un recuento de las actuaciones adelantadas y de las distintas solicitudes presentadas, para concluir el abuso que hace de la</w:t>
      </w:r>
      <w:r w:rsidR="006C5C45">
        <w:rPr>
          <w:rFonts w:ascii="Arial" w:hAnsi="Arial"/>
        </w:rPr>
        <w:t xml:space="preserve">s acciones constitucionales. Así </w:t>
      </w:r>
      <w:r w:rsidR="00EF6C70" w:rsidRPr="007B37A4">
        <w:rPr>
          <w:rFonts w:ascii="Arial" w:hAnsi="Arial"/>
        </w:rPr>
        <w:t>mismo,</w:t>
      </w:r>
      <w:r w:rsidR="00A34FEB" w:rsidRPr="007B37A4">
        <w:rPr>
          <w:rFonts w:ascii="Arial" w:hAnsi="Arial"/>
        </w:rPr>
        <w:t xml:space="preserve"> consideró</w:t>
      </w:r>
      <w:r w:rsidR="00EF6C70" w:rsidRPr="007B37A4">
        <w:rPr>
          <w:rFonts w:ascii="Arial" w:hAnsi="Arial"/>
        </w:rPr>
        <w:t xml:space="preserve"> que actúa con temeridad y mala fe</w:t>
      </w:r>
      <w:r w:rsidR="007B37A4" w:rsidRPr="007B37A4">
        <w:rPr>
          <w:rFonts w:ascii="Arial" w:hAnsi="Arial"/>
        </w:rPr>
        <w:t xml:space="preserve"> porque </w:t>
      </w:r>
      <w:r w:rsidR="007E689B">
        <w:rPr>
          <w:rFonts w:ascii="Arial" w:hAnsi="Arial"/>
        </w:rPr>
        <w:t>utiliza este mecanismo para que se le reconozcan intereses económicos, además, de que ya ha promovido acciones similares en su contra</w:t>
      </w:r>
      <w:r w:rsidR="00EF6C70" w:rsidRPr="007B37A4">
        <w:rPr>
          <w:rFonts w:ascii="Arial" w:hAnsi="Arial"/>
        </w:rPr>
        <w:t>, solicitó declarar su improcedencia, sancionar al actor y compulsar copias a la Fiscalía General de la Nación</w:t>
      </w:r>
      <w:r w:rsidR="00A34FEB" w:rsidRPr="007B37A4">
        <w:rPr>
          <w:rFonts w:ascii="Arial" w:hAnsi="Arial"/>
        </w:rPr>
        <w:t xml:space="preserve">. </w:t>
      </w:r>
      <w:r w:rsidR="00A34FEB" w:rsidRPr="007B37A4">
        <w:rPr>
          <w:rFonts w:ascii="Arial" w:hAnsi="Arial" w:cs="Arial"/>
          <w:color w:val="000000"/>
        </w:rPr>
        <w:t>(Folios 10 a 17, ib.).</w:t>
      </w:r>
      <w:r w:rsidR="00A34FEB" w:rsidRPr="000C3E41">
        <w:rPr>
          <w:rFonts w:ascii="Arial" w:hAnsi="Arial" w:cs="Arial"/>
        </w:rPr>
        <w:t xml:space="preserve"> </w:t>
      </w:r>
    </w:p>
    <w:p w:rsidR="000B59DB" w:rsidRDefault="000B59DB" w:rsidP="000B59DB">
      <w:pPr>
        <w:spacing w:line="360" w:lineRule="auto"/>
        <w:jc w:val="both"/>
        <w:rPr>
          <w:rFonts w:ascii="Arial" w:hAnsi="Arial" w:cs="Arial"/>
        </w:rPr>
      </w:pPr>
    </w:p>
    <w:p w:rsidR="000B59DB" w:rsidRDefault="000B59DB" w:rsidP="000B59DB">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0B59DB" w:rsidRDefault="000B59DB" w:rsidP="000B59DB">
      <w:pPr>
        <w:pStyle w:val="Textoindependiente"/>
        <w:spacing w:line="360" w:lineRule="auto"/>
        <w:ind w:left="400"/>
        <w:rPr>
          <w:rFonts w:ascii="Arial" w:hAnsi="Arial"/>
          <w:szCs w:val="24"/>
        </w:rPr>
      </w:pPr>
    </w:p>
    <w:p w:rsidR="000B59DB" w:rsidRPr="001842E5" w:rsidRDefault="000B59DB" w:rsidP="000B59DB">
      <w:pPr>
        <w:pStyle w:val="Textoindependiente"/>
        <w:numPr>
          <w:ilvl w:val="1"/>
          <w:numId w:val="18"/>
        </w:numPr>
        <w:spacing w:line="360" w:lineRule="auto"/>
        <w:rPr>
          <w:rFonts w:ascii="Arial" w:hAnsi="Arial" w:cs="Arial"/>
          <w:szCs w:val="24"/>
        </w:rPr>
      </w:pPr>
      <w:r w:rsidRPr="001842E5">
        <w:rPr>
          <w:rFonts w:ascii="Arial" w:hAnsi="Arial"/>
          <w:smallCaps/>
          <w:szCs w:val="24"/>
        </w:rPr>
        <w:t>La competencia.</w:t>
      </w:r>
      <w:r>
        <w:rPr>
          <w:rFonts w:ascii="Arial" w:hAnsi="Arial"/>
          <w:smallCaps/>
          <w:szCs w:val="24"/>
        </w:rPr>
        <w:t xml:space="preserve"> </w:t>
      </w:r>
      <w:r w:rsidRPr="001842E5">
        <w:rPr>
          <w:rFonts w:ascii="Arial" w:hAnsi="Arial" w:cs="Arial"/>
          <w:szCs w:val="24"/>
        </w:rPr>
        <w:t>Este Tribunal es competente para conocer la acci</w:t>
      </w:r>
      <w:r>
        <w:rPr>
          <w:rFonts w:ascii="Arial" w:hAnsi="Arial" w:cs="Arial"/>
          <w:szCs w:val="24"/>
        </w:rPr>
        <w:t>ón</w:t>
      </w:r>
      <w:r w:rsidRPr="001842E5">
        <w:rPr>
          <w:rFonts w:ascii="Arial" w:hAnsi="Arial" w:cs="Arial"/>
          <w:szCs w:val="24"/>
        </w:rPr>
        <w:t xml:space="preserve"> en razón a que es el superior jerárquico del </w:t>
      </w:r>
      <w:r>
        <w:rPr>
          <w:rFonts w:ascii="Arial" w:hAnsi="Arial" w:cs="Arial"/>
          <w:szCs w:val="24"/>
        </w:rPr>
        <w:t xml:space="preserve">Juzgado </w:t>
      </w:r>
      <w:r w:rsidRPr="001842E5">
        <w:rPr>
          <w:rFonts w:ascii="Arial" w:hAnsi="Arial" w:cs="Arial"/>
          <w:szCs w:val="24"/>
        </w:rPr>
        <w:t>accionado.</w:t>
      </w:r>
    </w:p>
    <w:p w:rsidR="000B59DB" w:rsidRPr="00C40F50" w:rsidRDefault="000B59DB" w:rsidP="000B59DB">
      <w:pPr>
        <w:pStyle w:val="Sangra2detindependiente"/>
        <w:spacing w:after="0" w:line="360" w:lineRule="auto"/>
        <w:ind w:left="0"/>
        <w:jc w:val="both"/>
        <w:rPr>
          <w:rFonts w:ascii="Arial" w:hAnsi="Arial" w:cs="Arial"/>
          <w:sz w:val="24"/>
          <w:szCs w:val="24"/>
        </w:rPr>
      </w:pPr>
    </w:p>
    <w:p w:rsidR="000B59DB" w:rsidRDefault="000B59DB" w:rsidP="000B59DB">
      <w:pPr>
        <w:pStyle w:val="Textoindependiente"/>
        <w:numPr>
          <w:ilvl w:val="1"/>
          <w:numId w:val="18"/>
        </w:numPr>
        <w:spacing w:line="360" w:lineRule="auto"/>
        <w:rPr>
          <w:rFonts w:ascii="Arial" w:hAnsi="Arial" w:cs="Arial"/>
        </w:rPr>
      </w:pPr>
      <w:r w:rsidRPr="001842E5">
        <w:rPr>
          <w:rFonts w:ascii="Arial" w:hAnsi="Arial"/>
          <w:smallCaps/>
          <w:szCs w:val="24"/>
        </w:rPr>
        <w:t xml:space="preserve">El problema jurídico a resolver. </w:t>
      </w:r>
      <w:r w:rsidRPr="001842E5">
        <w:rPr>
          <w:rFonts w:ascii="Arial" w:hAnsi="Arial" w:cs="Arial"/>
        </w:rPr>
        <w:t xml:space="preserve">¿El Juzgado </w:t>
      </w:r>
      <w:r>
        <w:rPr>
          <w:rFonts w:ascii="Arial" w:hAnsi="Arial" w:cs="Arial"/>
        </w:rPr>
        <w:t xml:space="preserve">Promiscuo del Circuito de La Virginia, R., y la </w:t>
      </w:r>
      <w:r w:rsidR="00671EF6">
        <w:rPr>
          <w:rFonts w:ascii="Arial" w:hAnsi="Arial" w:cs="Arial"/>
        </w:rPr>
        <w:t>Defensoría del Pueblo, Regional Caldas,</w:t>
      </w:r>
      <w:r>
        <w:rPr>
          <w:rFonts w:ascii="Arial" w:hAnsi="Arial" w:cs="Arial"/>
        </w:rPr>
        <w:t xml:space="preserve"> </w:t>
      </w:r>
      <w:r w:rsidRPr="001842E5">
        <w:rPr>
          <w:rFonts w:ascii="Arial" w:hAnsi="Arial" w:cs="Arial"/>
        </w:rPr>
        <w:t>ha</w:t>
      </w:r>
      <w:r>
        <w:rPr>
          <w:rFonts w:ascii="Arial" w:hAnsi="Arial" w:cs="Arial"/>
        </w:rPr>
        <w:t>n</w:t>
      </w:r>
      <w:r w:rsidRPr="001842E5">
        <w:rPr>
          <w:rFonts w:ascii="Arial" w:hAnsi="Arial" w:cs="Arial"/>
        </w:rPr>
        <w:t xml:space="preserve"> vulnerado o amenazado los derechos fundamentales del accionante, según lo expuesto en el escrito de tutela?</w:t>
      </w:r>
    </w:p>
    <w:p w:rsidR="000B59DB" w:rsidRPr="001842E5" w:rsidRDefault="000B59DB" w:rsidP="000B59DB">
      <w:pPr>
        <w:pStyle w:val="Textoindependiente"/>
        <w:spacing w:line="360" w:lineRule="auto"/>
        <w:rPr>
          <w:rFonts w:ascii="Arial" w:hAnsi="Arial" w:cs="Arial"/>
        </w:rPr>
      </w:pPr>
    </w:p>
    <w:p w:rsidR="000B59DB" w:rsidRPr="002E5AEF" w:rsidRDefault="000B59DB" w:rsidP="000B59DB">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0B59DB" w:rsidRPr="00C40F50" w:rsidRDefault="000B59DB" w:rsidP="000B59DB">
      <w:pPr>
        <w:pStyle w:val="Textoindependiente"/>
        <w:tabs>
          <w:tab w:val="clear" w:pos="0"/>
          <w:tab w:val="clear" w:pos="708"/>
          <w:tab w:val="clear" w:pos="1416"/>
          <w:tab w:val="left" w:pos="709"/>
        </w:tabs>
        <w:spacing w:line="360" w:lineRule="auto"/>
        <w:ind w:left="720"/>
        <w:rPr>
          <w:rFonts w:ascii="Arial" w:hAnsi="Arial"/>
          <w:szCs w:val="24"/>
        </w:rPr>
      </w:pPr>
    </w:p>
    <w:p w:rsidR="000B59DB" w:rsidRPr="00C40F50" w:rsidRDefault="000B59DB" w:rsidP="000B59DB">
      <w:pPr>
        <w:pStyle w:val="Textoindependien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0B59DB" w:rsidRPr="00FC2001" w:rsidRDefault="000B59DB" w:rsidP="002163B5">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es el accionante </w:t>
      </w:r>
      <w:r w:rsidRPr="00490518">
        <w:rPr>
          <w:rFonts w:ascii="Arial" w:hAnsi="Arial" w:cs="Arial"/>
          <w:szCs w:val="24"/>
        </w:rPr>
        <w:t xml:space="preserve">promovió la acción popular en la que se reprocha la falta al debido proceso. Y por pasiva, lo es el Juzgado </w:t>
      </w:r>
      <w:r>
        <w:rPr>
          <w:rFonts w:ascii="Arial" w:hAnsi="Arial" w:cs="Arial"/>
          <w:szCs w:val="24"/>
        </w:rPr>
        <w:t>Promiscuo del Circuito de La Virginia, R.</w:t>
      </w:r>
      <w:r w:rsidRPr="00490518">
        <w:rPr>
          <w:rFonts w:ascii="Arial" w:hAnsi="Arial" w:cs="Arial"/>
          <w:szCs w:val="24"/>
        </w:rPr>
        <w:t>, al ser la autoridad judicial que conoce</w:t>
      </w:r>
      <w:r>
        <w:rPr>
          <w:rFonts w:ascii="Arial" w:hAnsi="Arial" w:cs="Arial"/>
          <w:szCs w:val="24"/>
        </w:rPr>
        <w:t xml:space="preserve"> el juicio</w:t>
      </w:r>
      <w:r w:rsidR="002163B5">
        <w:rPr>
          <w:rFonts w:ascii="Arial" w:hAnsi="Arial" w:cs="Arial"/>
          <w:szCs w:val="24"/>
        </w:rPr>
        <w:t xml:space="preserve">; </w:t>
      </w:r>
      <w:r w:rsidR="002163B5" w:rsidRPr="002163B5">
        <w:rPr>
          <w:rFonts w:ascii="Arial" w:hAnsi="Arial" w:cs="Arial"/>
          <w:szCs w:val="24"/>
        </w:rPr>
        <w:t xml:space="preserve">y la Defensoría del Pueblo, Regional Caldas, </w:t>
      </w:r>
      <w:r w:rsidR="00345D6F">
        <w:rPr>
          <w:rFonts w:ascii="Arial" w:hAnsi="Arial" w:cs="Arial"/>
          <w:szCs w:val="24"/>
        </w:rPr>
        <w:t>porque</w:t>
      </w:r>
      <w:r w:rsidR="002163B5" w:rsidRPr="002163B5">
        <w:rPr>
          <w:rFonts w:ascii="Arial" w:hAnsi="Arial" w:cs="Arial"/>
          <w:szCs w:val="24"/>
        </w:rPr>
        <w:t xml:space="preserve"> puede promover amparos constitucionales en interés de cualquier persona</w:t>
      </w:r>
      <w:r w:rsidR="002163B5">
        <w:rPr>
          <w:rFonts w:ascii="Arial" w:hAnsi="Arial" w:cs="Arial"/>
          <w:szCs w:val="24"/>
        </w:rPr>
        <w:t xml:space="preserve">l </w:t>
      </w:r>
      <w:r w:rsidR="002163B5" w:rsidRPr="002163B5">
        <w:rPr>
          <w:rFonts w:ascii="Arial" w:hAnsi="Arial" w:cs="Arial"/>
          <w:szCs w:val="24"/>
        </w:rPr>
        <w:t>que así se lo solicite (Artículo 46 del Decreto No. 2591 de 1991).</w:t>
      </w:r>
      <w:r w:rsidR="00671EF6">
        <w:rPr>
          <w:rFonts w:ascii="Arial" w:hAnsi="Arial" w:cs="Arial"/>
          <w:szCs w:val="24"/>
        </w:rPr>
        <w:t>.</w:t>
      </w:r>
    </w:p>
    <w:p w:rsidR="0039301E" w:rsidRDefault="0039301E" w:rsidP="00671EF6">
      <w:pPr>
        <w:pStyle w:val="Textoindependiente"/>
        <w:spacing w:line="360" w:lineRule="auto"/>
        <w:rPr>
          <w:rFonts w:ascii="Arial" w:hAnsi="Arial" w:cs="Arial"/>
          <w:szCs w:val="24"/>
          <w:highlight w:val="yellow"/>
        </w:rPr>
      </w:pPr>
    </w:p>
    <w:p w:rsidR="000B59DB" w:rsidRPr="002A0C2A" w:rsidRDefault="000B59DB" w:rsidP="000B59D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0B59DB" w:rsidRPr="00773B57" w:rsidRDefault="000B59DB" w:rsidP="000B59DB">
      <w:pPr>
        <w:pStyle w:val="Textoindependiente"/>
        <w:spacing w:line="360" w:lineRule="auto"/>
        <w:rPr>
          <w:rFonts w:ascii="Arial" w:hAnsi="Arial"/>
          <w:smallCaps/>
          <w:szCs w:val="24"/>
        </w:rPr>
      </w:pPr>
    </w:p>
    <w:p w:rsidR="000B59DB" w:rsidRPr="00907C22" w:rsidRDefault="000B59DB" w:rsidP="000B59DB">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w:t>
      </w:r>
      <w:r w:rsidRPr="00DC6BEA">
        <w:rPr>
          <w:rFonts w:ascii="Arial" w:hAnsi="Arial" w:cs="Arial"/>
          <w:szCs w:val="24"/>
        </w:rPr>
        <w:lastRenderedPageBreak/>
        <w:t>de hecho” por la de “causales genéricas de procedibilidad” y ensanchó las causales especiales, pasando de cuatro (4) a ocho (8).  En el mismo sentido Quiroga Natale</w:t>
      </w:r>
      <w:r w:rsidRPr="00DC6BEA">
        <w:rPr>
          <w:rStyle w:val="Refdenotaalpie"/>
          <w:rFonts w:ascii="Arial" w:hAnsi="Arial"/>
          <w:szCs w:val="24"/>
        </w:rPr>
        <w:footnoteReference w:id="2"/>
      </w:r>
      <w:r w:rsidRPr="00DC6BEA">
        <w:rPr>
          <w:rFonts w:ascii="Arial" w:hAnsi="Arial" w:cs="Arial"/>
          <w:szCs w:val="24"/>
        </w:rPr>
        <w:t>.</w:t>
      </w:r>
    </w:p>
    <w:p w:rsidR="000B59DB" w:rsidRPr="00773B57" w:rsidRDefault="000B59DB" w:rsidP="000B59DB">
      <w:pPr>
        <w:pStyle w:val="Textoindependiente"/>
        <w:spacing w:line="360" w:lineRule="auto"/>
        <w:rPr>
          <w:rFonts w:ascii="Arial" w:hAnsi="Arial" w:cs="Arial"/>
          <w:szCs w:val="24"/>
        </w:rPr>
      </w:pPr>
    </w:p>
    <w:p w:rsidR="000B59DB" w:rsidRPr="00907C22" w:rsidRDefault="000B59DB" w:rsidP="000B59DB">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0B59DB" w:rsidRPr="00907C22" w:rsidRDefault="000B59DB" w:rsidP="000B59DB">
      <w:pPr>
        <w:pStyle w:val="Textoindependien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0B59DB" w:rsidRPr="00773B57" w:rsidRDefault="000B59DB" w:rsidP="000B59DB">
      <w:pPr>
        <w:pStyle w:val="Textoindependiente"/>
        <w:spacing w:line="360" w:lineRule="auto"/>
        <w:rPr>
          <w:rFonts w:ascii="Arial" w:hAnsi="Arial" w:cs="Arial"/>
          <w:szCs w:val="24"/>
        </w:rPr>
      </w:pPr>
    </w:p>
    <w:p w:rsidR="000B59DB" w:rsidRPr="00907C22" w:rsidRDefault="000B59DB" w:rsidP="000B59DB">
      <w:pPr>
        <w:pStyle w:val="Textoindependien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0B59DB" w:rsidRDefault="000B59DB" w:rsidP="000B59DB">
      <w:pPr>
        <w:pStyle w:val="Textoindependiente"/>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0B59DB" w:rsidRPr="00773B57" w:rsidRDefault="000B59DB" w:rsidP="000B59DB">
      <w:pPr>
        <w:pStyle w:val="Textoindependiente"/>
        <w:spacing w:line="360" w:lineRule="auto"/>
        <w:rPr>
          <w:rFonts w:ascii="Arial" w:hAnsi="Arial" w:cs="Arial"/>
          <w:szCs w:val="24"/>
        </w:rPr>
      </w:pPr>
    </w:p>
    <w:p w:rsidR="000B59DB" w:rsidRDefault="000B59DB" w:rsidP="000B59DB">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0B59DB" w:rsidRPr="00907C22" w:rsidRDefault="000B59DB" w:rsidP="000B59DB">
      <w:pPr>
        <w:pStyle w:val="Textoindependien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0B59DB" w:rsidRDefault="000B59DB" w:rsidP="000B59DB">
      <w:pPr>
        <w:pStyle w:val="Textoindependiente"/>
        <w:spacing w:line="360" w:lineRule="auto"/>
        <w:rPr>
          <w:rFonts w:ascii="Arial" w:hAnsi="Arial" w:cs="Arial"/>
          <w:sz w:val="20"/>
          <w:szCs w:val="24"/>
        </w:rPr>
      </w:pPr>
    </w:p>
    <w:p w:rsidR="000B59DB" w:rsidRPr="0073683E" w:rsidRDefault="000B59DB" w:rsidP="000B59DB">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0B59DB" w:rsidRPr="004B7598" w:rsidRDefault="000B59DB" w:rsidP="000B59DB">
      <w:pPr>
        <w:pStyle w:val="Textoindependiente"/>
        <w:tabs>
          <w:tab w:val="clear" w:pos="0"/>
        </w:tabs>
        <w:spacing w:line="360" w:lineRule="auto"/>
        <w:rPr>
          <w:rFonts w:ascii="Arial" w:hAnsi="Arial" w:cs="Arial"/>
          <w:sz w:val="20"/>
          <w:szCs w:val="24"/>
        </w:rPr>
      </w:pPr>
    </w:p>
    <w:p w:rsidR="000B59DB" w:rsidRDefault="000B59DB" w:rsidP="000B59DB">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0B59DB" w:rsidRPr="00A8313B" w:rsidRDefault="000B59DB" w:rsidP="000B59DB">
      <w:pPr>
        <w:pStyle w:val="Textoindependiente"/>
        <w:tabs>
          <w:tab w:val="clear" w:pos="0"/>
        </w:tabs>
        <w:spacing w:line="360" w:lineRule="auto"/>
        <w:rPr>
          <w:rFonts w:ascii="Arial" w:hAnsi="Arial" w:cs="Arial"/>
          <w:szCs w:val="22"/>
          <w:u w:val="single"/>
        </w:rPr>
      </w:pPr>
    </w:p>
    <w:p w:rsidR="000B59DB" w:rsidRDefault="000B59DB" w:rsidP="000B59DB">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0B59DB" w:rsidRPr="00A8313B" w:rsidRDefault="000B59DB" w:rsidP="000B59DB">
      <w:pPr>
        <w:widowControl/>
        <w:spacing w:line="360" w:lineRule="auto"/>
        <w:jc w:val="both"/>
        <w:rPr>
          <w:rFonts w:ascii="Arial" w:hAnsi="Arial" w:cs="Arial"/>
          <w:szCs w:val="22"/>
          <w:lang w:val="es-ES_tradnl"/>
        </w:rPr>
      </w:pPr>
    </w:p>
    <w:p w:rsidR="000B59DB" w:rsidRDefault="000B59DB" w:rsidP="000B59DB">
      <w:pPr>
        <w:pStyle w:val="Textoindependiente"/>
        <w:tabs>
          <w:tab w:val="clear" w:pos="0"/>
        </w:tabs>
        <w:spacing w:line="360" w:lineRule="auto"/>
        <w:rPr>
          <w:rFonts w:ascii="Arial" w:hAnsi="Arial" w:cs="Arial"/>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prohija la improcedencia de la tutela por aplicación del principio de subsidiariedad.</w:t>
      </w:r>
    </w:p>
    <w:p w:rsidR="00143293" w:rsidRPr="00E649FA" w:rsidRDefault="00143293" w:rsidP="00143293">
      <w:pPr>
        <w:pStyle w:val="Textoindependiente"/>
        <w:spacing w:line="360" w:lineRule="auto"/>
        <w:rPr>
          <w:rFonts w:ascii="Arial" w:hAnsi="Arial"/>
          <w:szCs w:val="22"/>
        </w:rPr>
      </w:pPr>
    </w:p>
    <w:p w:rsidR="00143293" w:rsidRPr="009F7D1E" w:rsidRDefault="003303E3" w:rsidP="00143293">
      <w:pPr>
        <w:pStyle w:val="Prrafodelista"/>
        <w:numPr>
          <w:ilvl w:val="2"/>
          <w:numId w:val="18"/>
        </w:numPr>
        <w:spacing w:line="360" w:lineRule="auto"/>
        <w:ind w:right="51"/>
        <w:jc w:val="both"/>
        <w:rPr>
          <w:rFonts w:ascii="Arial" w:hAnsi="Arial"/>
          <w:lang w:val="es-ES_tradnl"/>
        </w:rPr>
      </w:pPr>
      <w:r>
        <w:rPr>
          <w:rFonts w:ascii="Arial" w:hAnsi="Arial"/>
          <w:smallCaps/>
          <w:sz w:val="22"/>
        </w:rPr>
        <w:t>La decisión sin motivación</w:t>
      </w:r>
    </w:p>
    <w:p w:rsidR="00143293" w:rsidRDefault="00143293" w:rsidP="00143293">
      <w:pPr>
        <w:pStyle w:val="Textoindependiente"/>
        <w:spacing w:line="360" w:lineRule="auto"/>
        <w:rPr>
          <w:rFonts w:ascii="Arial" w:hAnsi="Arial" w:cs="Arial"/>
          <w:szCs w:val="24"/>
        </w:rPr>
      </w:pPr>
    </w:p>
    <w:p w:rsidR="00143293" w:rsidRDefault="00143293" w:rsidP="00143293">
      <w:pPr>
        <w:pStyle w:val="Textoindependiente"/>
        <w:spacing w:line="360" w:lineRule="auto"/>
        <w:rPr>
          <w:rFonts w:ascii="Arial" w:hAnsi="Arial" w:cs="Arial"/>
          <w:szCs w:val="24"/>
        </w:rPr>
      </w:pPr>
      <w:r>
        <w:rPr>
          <w:rFonts w:ascii="Arial" w:hAnsi="Arial" w:cs="Arial"/>
          <w:szCs w:val="24"/>
        </w:rPr>
        <w:t xml:space="preserve">Se presenta este defecto cuando </w:t>
      </w:r>
      <w:r w:rsidRPr="007E016E">
        <w:rPr>
          <w:rFonts w:ascii="Arial" w:hAnsi="Arial" w:cs="Arial"/>
          <w:szCs w:val="24"/>
        </w:rPr>
        <w:t xml:space="preserve">el juez </w:t>
      </w:r>
      <w:r>
        <w:rPr>
          <w:rFonts w:ascii="Arial" w:hAnsi="Arial" w:cs="Arial"/>
          <w:szCs w:val="24"/>
        </w:rPr>
        <w:t>falta al deber de dar consistencia argumental, con ideas que presenten una secuencia lógica y articulen deducciones legítimas del caso puesto a su consideración, en un texto que de forma alguna permita evidenciar que se trata de la reproducción de un modelo preestablecido. La CC</w:t>
      </w:r>
      <w:r>
        <w:rPr>
          <w:rStyle w:val="Refdenotaalpie"/>
          <w:rFonts w:ascii="Arial" w:hAnsi="Arial"/>
          <w:szCs w:val="24"/>
        </w:rPr>
        <w:footnoteReference w:id="15"/>
      </w:r>
      <w:r>
        <w:rPr>
          <w:rFonts w:ascii="Arial" w:hAnsi="Arial" w:cs="Arial"/>
          <w:szCs w:val="24"/>
        </w:rPr>
        <w:t xml:space="preserve"> sobre esta causal ha señalado: </w:t>
      </w:r>
    </w:p>
    <w:p w:rsidR="00143293" w:rsidRDefault="00143293" w:rsidP="00143293">
      <w:pPr>
        <w:pStyle w:val="Textoindependiente"/>
        <w:spacing w:line="240" w:lineRule="auto"/>
        <w:ind w:left="567" w:right="567"/>
        <w:rPr>
          <w:rFonts w:ascii="Arial" w:hAnsi="Arial" w:cs="Arial"/>
          <w:i/>
          <w:iCs/>
          <w:color w:val="000000"/>
          <w:spacing w:val="0"/>
          <w:szCs w:val="24"/>
          <w:bdr w:val="none" w:sz="0" w:space="0" w:color="auto" w:frame="1"/>
          <w:lang w:val="es-ES"/>
        </w:rPr>
      </w:pPr>
    </w:p>
    <w:p w:rsidR="00143293" w:rsidRPr="008D1A39" w:rsidRDefault="007E689B" w:rsidP="007E689B">
      <w:pPr>
        <w:ind w:left="567" w:right="567"/>
        <w:jc w:val="both"/>
        <w:rPr>
          <w:rFonts w:ascii="Arial" w:hAnsi="Arial" w:cs="Arial"/>
          <w:lang w:val="es-ES_tradnl"/>
        </w:rPr>
      </w:pPr>
      <w:r>
        <w:rPr>
          <w:rFonts w:ascii="Arial" w:hAnsi="Arial" w:cs="Arial"/>
          <w:lang w:val="es-ES_tradnl"/>
        </w:rPr>
        <w:t xml:space="preserve">… </w:t>
      </w:r>
      <w:r w:rsidR="00143293" w:rsidRPr="008D1A39">
        <w:rPr>
          <w:rFonts w:ascii="Arial" w:hAnsi="Arial" w:cs="Arial"/>
          <w:lang w:val="es-ES_tradnl"/>
        </w:rPr>
        <w:t xml:space="preserve">La motivación de los fallos judiciales es un deber de los jueces y un derecho fundamental de los ciudadanos, como posición jurídica concreta derivada del debido proceso. </w:t>
      </w:r>
      <w:r>
        <w:rPr>
          <w:rFonts w:ascii="Arial" w:hAnsi="Arial" w:cs="Arial"/>
          <w:lang w:val="es-ES_tradnl"/>
        </w:rPr>
        <w:t xml:space="preserve">(…) </w:t>
      </w:r>
      <w:r w:rsidR="00143293" w:rsidRPr="008D1A39">
        <w:rPr>
          <w:rFonts w:ascii="Arial" w:hAnsi="Arial" w:cs="Arial"/>
          <w:lang w:val="es-ES_tradnl"/>
        </w:rPr>
        <w:t xml:space="preserve">la motivación consiste en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w:t>
      </w:r>
      <w:r w:rsidR="00143293" w:rsidRPr="008D1A39">
        <w:rPr>
          <w:rFonts w:ascii="Arial" w:hAnsi="Arial" w:cs="Arial"/>
          <w:i/>
          <w:iCs/>
          <w:lang w:val="es-ES_tradnl"/>
        </w:rPr>
        <w:t xml:space="preserve">subsumir </w:t>
      </w:r>
      <w:r w:rsidR="00143293" w:rsidRPr="008D1A39">
        <w:rPr>
          <w:rFonts w:ascii="Arial" w:hAnsi="Arial" w:cs="Arial"/>
          <w:lang w:val="es-ES_tradnl"/>
        </w:rPr>
        <w:t>el caso concreto en el supuesto de hecho de una regla jurídica aplicable al caso. (T-247/06, T-302/08, T-868/09)</w:t>
      </w:r>
      <w:r>
        <w:rPr>
          <w:rFonts w:ascii="Arial" w:hAnsi="Arial" w:cs="Arial"/>
          <w:lang w:val="es-ES_tradnl"/>
        </w:rPr>
        <w:t>…</w:t>
      </w:r>
      <w:r w:rsidR="00143293" w:rsidRPr="008D1A39">
        <w:rPr>
          <w:rFonts w:ascii="Arial" w:hAnsi="Arial" w:cs="Arial"/>
          <w:lang w:val="es-ES_tradnl"/>
        </w:rPr>
        <w:t xml:space="preserve"> </w:t>
      </w:r>
    </w:p>
    <w:p w:rsidR="00143293" w:rsidRDefault="00143293" w:rsidP="00143293">
      <w:pPr>
        <w:pStyle w:val="Textoindependiente"/>
        <w:spacing w:line="360" w:lineRule="auto"/>
        <w:rPr>
          <w:rFonts w:ascii="Arial" w:hAnsi="Arial" w:cs="Arial"/>
          <w:szCs w:val="24"/>
        </w:rPr>
      </w:pPr>
    </w:p>
    <w:p w:rsidR="00143293" w:rsidRPr="007E016E" w:rsidRDefault="00143293" w:rsidP="00143293">
      <w:pPr>
        <w:pStyle w:val="Textoindependiente"/>
        <w:spacing w:line="360" w:lineRule="auto"/>
        <w:rPr>
          <w:rFonts w:ascii="Arial" w:hAnsi="Arial" w:cs="Arial"/>
          <w:szCs w:val="24"/>
        </w:rPr>
      </w:pPr>
      <w:r>
        <w:rPr>
          <w:rFonts w:ascii="Arial" w:hAnsi="Arial" w:cs="Arial"/>
          <w:szCs w:val="24"/>
        </w:rPr>
        <w:lastRenderedPageBreak/>
        <w:t>También dijo ese Alto Tribunal</w:t>
      </w:r>
      <w:r>
        <w:rPr>
          <w:rStyle w:val="Refdenotaalpie"/>
          <w:rFonts w:ascii="Arial" w:hAnsi="Arial"/>
          <w:szCs w:val="24"/>
        </w:rPr>
        <w:footnoteReference w:id="16"/>
      </w:r>
      <w:r>
        <w:rPr>
          <w:rFonts w:ascii="Arial" w:hAnsi="Arial" w:cs="Arial"/>
          <w:szCs w:val="24"/>
        </w:rPr>
        <w:t>, en otra de sus decisiones por vía de tutela:</w:t>
      </w:r>
    </w:p>
    <w:p w:rsidR="00143293" w:rsidRPr="00D10506" w:rsidRDefault="00143293" w:rsidP="00143293">
      <w:pPr>
        <w:pStyle w:val="Textoindependiente"/>
        <w:spacing w:line="360" w:lineRule="auto"/>
        <w:rPr>
          <w:rFonts w:ascii="Arial" w:hAnsi="Arial" w:cs="Arial"/>
          <w:sz w:val="14"/>
          <w:szCs w:val="24"/>
        </w:rPr>
      </w:pPr>
    </w:p>
    <w:p w:rsidR="00143293" w:rsidRPr="00963765" w:rsidRDefault="00143293" w:rsidP="00143293">
      <w:pPr>
        <w:pStyle w:val="Textoindependiente"/>
        <w:spacing w:line="240" w:lineRule="auto"/>
        <w:ind w:left="567" w:right="567"/>
        <w:rPr>
          <w:rFonts w:ascii="Arial" w:hAnsi="Arial" w:cs="Arial"/>
          <w:szCs w:val="24"/>
        </w:rPr>
      </w:pPr>
      <w:r>
        <w:rPr>
          <w:rFonts w:ascii="Arial" w:hAnsi="Arial" w:cs="Arial"/>
          <w:iCs/>
          <w:color w:val="000000"/>
          <w:spacing w:val="0"/>
          <w:szCs w:val="24"/>
          <w:bdr w:val="none" w:sz="0" w:space="0" w:color="auto" w:frame="1"/>
          <w:lang w:val="es-ES"/>
        </w:rPr>
        <w:t xml:space="preserve">… </w:t>
      </w:r>
      <w:r w:rsidRPr="00963765">
        <w:rPr>
          <w:rFonts w:ascii="Arial" w:hAnsi="Arial" w:cs="Arial"/>
          <w:iCs/>
          <w:color w:val="000000"/>
          <w:spacing w:val="0"/>
          <w:szCs w:val="24"/>
          <w:bdr w:val="none" w:sz="0" w:space="0" w:color="auto" w:frame="1"/>
          <w:lang w:val="es-ES"/>
        </w:rPr>
        <w:t>implica el incumplimiento de los servidores judiciales del deber de dar cuenta de los fundamentos fácticos y jurídicos de sus decisiones, pues precisamente en esa motivación reposa la legitimidad de su órbita funcional.  Este tipo de falencia se distingue del defecto fáctico, en cuanto no se estructura a partir de la disconformidad entre la motivación de la sentencia y su parte resolutiva, sino en la ausencia de razonamientos que sustenten lo decidido. Es evidente que una exigencia de racionalidad mínima de toda actuación judicial es que exprese los argumentos que hacen inferir la decisión correspondiente. Cuando este ineludible presupuesto no puede verificarse, la sentencia contradice aspectos que hacen parte del núcleo esencial del derecho fundamental al debido proceso</w:t>
      </w:r>
      <w:bookmarkStart w:id="1" w:name="_ftnref10"/>
      <w:r w:rsidRPr="00963765">
        <w:rPr>
          <w:rStyle w:val="Refdenotaalpie"/>
          <w:rFonts w:ascii="Arial" w:hAnsi="Arial"/>
          <w:iCs/>
          <w:color w:val="000000"/>
          <w:spacing w:val="0"/>
          <w:szCs w:val="24"/>
          <w:bdr w:val="none" w:sz="0" w:space="0" w:color="auto" w:frame="1"/>
          <w:lang w:val="es-ES"/>
        </w:rPr>
        <w:footnoteReference w:id="17"/>
      </w:r>
      <w:bookmarkEnd w:id="1"/>
      <w:r w:rsidRPr="00963765">
        <w:rPr>
          <w:rFonts w:ascii="Arial" w:hAnsi="Arial" w:cs="Arial"/>
          <w:iCs/>
          <w:color w:val="000000"/>
          <w:spacing w:val="0"/>
          <w:szCs w:val="24"/>
          <w:bdr w:val="none" w:sz="0" w:space="0" w:color="auto" w:frame="1"/>
          <w:lang w:val="es-ES"/>
        </w:rPr>
        <w:t>.</w:t>
      </w:r>
    </w:p>
    <w:p w:rsidR="00A659E8" w:rsidRDefault="00A659E8" w:rsidP="00A659E8">
      <w:pPr>
        <w:spacing w:line="360" w:lineRule="auto"/>
        <w:jc w:val="both"/>
        <w:rPr>
          <w:rFonts w:ascii="Arial" w:hAnsi="Arial" w:cs="Arial"/>
          <w:lang w:val="es-ES_tradnl"/>
        </w:rPr>
      </w:pPr>
    </w:p>
    <w:p w:rsidR="00A659E8" w:rsidRPr="00FB1B94" w:rsidRDefault="00A659E8" w:rsidP="00972462">
      <w:pPr>
        <w:pStyle w:val="Textoindependiente"/>
        <w:numPr>
          <w:ilvl w:val="2"/>
          <w:numId w:val="18"/>
        </w:numPr>
        <w:tabs>
          <w:tab w:val="clear" w:pos="708"/>
          <w:tab w:val="left" w:pos="709"/>
        </w:tabs>
        <w:spacing w:line="360" w:lineRule="auto"/>
        <w:rPr>
          <w:rFonts w:ascii="Arial" w:hAnsi="Arial" w:cs="Arial"/>
          <w:smallCaps/>
          <w:sz w:val="22"/>
          <w:szCs w:val="24"/>
        </w:rPr>
      </w:pPr>
      <w:r w:rsidRPr="00FB1B94">
        <w:rPr>
          <w:rFonts w:ascii="Arial" w:hAnsi="Arial"/>
          <w:smallCaps/>
          <w:sz w:val="22"/>
          <w:szCs w:val="24"/>
        </w:rPr>
        <w:t>Los supuestos de la acción de tutela temeraria y la cosa juzgada constitucional</w:t>
      </w:r>
    </w:p>
    <w:p w:rsidR="00A659E8" w:rsidRDefault="00A659E8" w:rsidP="00A659E8">
      <w:pPr>
        <w:pStyle w:val="Textoindependiente"/>
        <w:tabs>
          <w:tab w:val="clear" w:pos="708"/>
          <w:tab w:val="left" w:pos="709"/>
        </w:tabs>
        <w:spacing w:line="360" w:lineRule="auto"/>
        <w:rPr>
          <w:rFonts w:ascii="Arial" w:hAnsi="Arial" w:cs="Arial"/>
          <w:szCs w:val="22"/>
          <w:lang w:val="es-CO"/>
        </w:rPr>
      </w:pPr>
    </w:p>
    <w:p w:rsidR="00A659E8" w:rsidRDefault="00A659E8" w:rsidP="00A659E8">
      <w:pPr>
        <w:pStyle w:val="Textoindependiente"/>
        <w:tabs>
          <w:tab w:val="clear" w:pos="708"/>
          <w:tab w:val="left" w:pos="709"/>
        </w:tabs>
        <w:spacing w:line="360" w:lineRule="auto"/>
        <w:rPr>
          <w:rFonts w:ascii="Arial" w:hAnsi="Arial" w:cs="Arial"/>
          <w:i/>
          <w:iCs/>
          <w:sz w:val="22"/>
          <w:szCs w:val="22"/>
          <w:lang w:val="es-CO"/>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 xml:space="preserve">sin </w:t>
      </w:r>
    </w:p>
    <w:p w:rsidR="00A659E8" w:rsidRDefault="00A659E8" w:rsidP="00A659E8">
      <w:pPr>
        <w:pStyle w:val="Textoindependiente"/>
        <w:tabs>
          <w:tab w:val="clear" w:pos="708"/>
          <w:tab w:val="left" w:pos="709"/>
        </w:tabs>
        <w:spacing w:line="360" w:lineRule="auto"/>
        <w:rPr>
          <w:rFonts w:ascii="Arial" w:hAnsi="Arial"/>
        </w:rPr>
      </w:pPr>
      <w:r w:rsidRPr="00556F7F">
        <w:rPr>
          <w:rFonts w:ascii="Arial" w:hAnsi="Arial" w:cs="Arial"/>
          <w:i/>
          <w:iCs/>
          <w:sz w:val="22"/>
          <w:szCs w:val="22"/>
          <w:lang w:val="es-CO"/>
        </w:rPr>
        <w:t>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A659E8" w:rsidRPr="00FE5FF3" w:rsidRDefault="00A659E8" w:rsidP="00A659E8">
      <w:pPr>
        <w:pStyle w:val="Textoindependiente"/>
        <w:tabs>
          <w:tab w:val="clear" w:pos="0"/>
          <w:tab w:val="clear" w:pos="708"/>
          <w:tab w:val="left" w:pos="709"/>
        </w:tabs>
        <w:spacing w:line="360" w:lineRule="auto"/>
        <w:rPr>
          <w:rFonts w:ascii="Arial" w:hAnsi="Arial" w:cs="Arial"/>
          <w:sz w:val="20"/>
          <w:szCs w:val="22"/>
        </w:rPr>
      </w:pPr>
    </w:p>
    <w:p w:rsidR="00A659E8" w:rsidRDefault="00A659E8" w:rsidP="00A659E8">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 xml:space="preserve">configurado la temeridad en la presentación de una </w:t>
      </w:r>
    </w:p>
    <w:p w:rsidR="00A659E8" w:rsidRPr="00556F7F" w:rsidRDefault="00A659E8" w:rsidP="00A659E8">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Refdenotaalpie"/>
          <w:rFonts w:ascii="Arial" w:hAnsi="Arial"/>
          <w:szCs w:val="22"/>
        </w:rPr>
        <w:footnoteReference w:id="18"/>
      </w:r>
      <w:r w:rsidRPr="00556F7F">
        <w:rPr>
          <w:rFonts w:ascii="Arial" w:hAnsi="Arial" w:cs="Arial"/>
          <w:sz w:val="22"/>
          <w:szCs w:val="22"/>
        </w:rPr>
        <w:t>.</w:t>
      </w:r>
    </w:p>
    <w:p w:rsidR="00A659E8" w:rsidRPr="001971C0" w:rsidRDefault="00A659E8" w:rsidP="00A659E8">
      <w:pPr>
        <w:pStyle w:val="Textoindependiente"/>
        <w:tabs>
          <w:tab w:val="clear" w:pos="708"/>
          <w:tab w:val="left" w:pos="709"/>
        </w:tabs>
        <w:spacing w:line="360" w:lineRule="auto"/>
        <w:rPr>
          <w:rFonts w:ascii="Arial" w:hAnsi="Arial"/>
          <w:sz w:val="20"/>
          <w:szCs w:val="24"/>
        </w:rPr>
      </w:pPr>
    </w:p>
    <w:p w:rsidR="00A659E8" w:rsidRDefault="00A659E8" w:rsidP="00A659E8">
      <w:pPr>
        <w:pStyle w:val="Textoindependien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Refdenotaalpie"/>
          <w:rFonts w:ascii="Arial" w:hAnsi="Arial"/>
          <w:szCs w:val="22"/>
        </w:rPr>
        <w:footnoteReference w:id="19"/>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Refdenotaalpie"/>
          <w:rFonts w:ascii="Arial" w:hAnsi="Arial"/>
          <w:szCs w:val="22"/>
        </w:rPr>
        <w:footnoteReference w:id="20"/>
      </w:r>
      <w:r w:rsidRPr="00556F7F">
        <w:rPr>
          <w:rFonts w:ascii="Arial" w:hAnsi="Arial" w:cs="Arial"/>
          <w:szCs w:val="22"/>
        </w:rPr>
        <w:t>, sostiene:</w:t>
      </w:r>
    </w:p>
    <w:p w:rsidR="00A659E8" w:rsidRPr="00FE5FF3" w:rsidRDefault="00A659E8" w:rsidP="00A659E8">
      <w:pPr>
        <w:pStyle w:val="Textoindependiente"/>
        <w:tabs>
          <w:tab w:val="clear" w:pos="0"/>
          <w:tab w:val="clear" w:pos="708"/>
          <w:tab w:val="left" w:pos="709"/>
        </w:tabs>
        <w:spacing w:line="360" w:lineRule="auto"/>
        <w:rPr>
          <w:rFonts w:ascii="Arial" w:hAnsi="Arial" w:cs="Arial"/>
          <w:sz w:val="16"/>
          <w:szCs w:val="22"/>
          <w:lang w:val="es-CO"/>
        </w:rPr>
      </w:pPr>
    </w:p>
    <w:p w:rsidR="00A659E8" w:rsidRPr="00556F7F" w:rsidRDefault="00A659E8" w:rsidP="00A659E8">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w:t>
      </w:r>
      <w:r w:rsidRPr="00556F7F">
        <w:rPr>
          <w:rFonts w:ascii="Arial" w:hAnsi="Arial" w:cs="Arial"/>
          <w:i/>
          <w:iCs/>
          <w:color w:val="000000"/>
        </w:rPr>
        <w:lastRenderedPageBreak/>
        <w:t>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659E8" w:rsidRPr="00FE5FF3" w:rsidRDefault="00A659E8" w:rsidP="00A659E8">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659E8" w:rsidRDefault="00A659E8" w:rsidP="00A659E8">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Refdenotaalpie"/>
          <w:rFonts w:ascii="Arial" w:hAnsi="Arial"/>
          <w:spacing w:val="-3"/>
          <w:szCs w:val="20"/>
          <w:lang w:val="es-ES_tradnl"/>
        </w:rPr>
        <w:footnoteReference w:id="21"/>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2"/>
      </w:r>
      <w:r>
        <w:rPr>
          <w:rFonts w:ascii="Arial" w:hAnsi="Arial" w:cs="Times New Roman"/>
          <w:spacing w:val="-3"/>
          <w:szCs w:val="20"/>
          <w:lang w:val="es-ES_tradnl"/>
        </w:rPr>
        <w:t>.</w:t>
      </w:r>
    </w:p>
    <w:p w:rsidR="00A659E8" w:rsidRPr="001971C0" w:rsidRDefault="00A659E8" w:rsidP="00A659E8">
      <w:pPr>
        <w:pStyle w:val="Textoindependiente"/>
        <w:spacing w:line="360" w:lineRule="auto"/>
        <w:rPr>
          <w:rFonts w:ascii="Arial" w:hAnsi="Arial"/>
          <w:sz w:val="20"/>
          <w:szCs w:val="24"/>
        </w:rPr>
      </w:pPr>
    </w:p>
    <w:p w:rsidR="00A659E8" w:rsidRDefault="00A659E8" w:rsidP="00A659E8">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659E8" w:rsidRDefault="00A659E8" w:rsidP="00A659E8">
      <w:pPr>
        <w:spacing w:line="360" w:lineRule="auto"/>
        <w:ind w:right="51"/>
        <w:jc w:val="both"/>
        <w:rPr>
          <w:rFonts w:ascii="Arial" w:hAnsi="Arial" w:cs="Arial"/>
          <w:sz w:val="22"/>
          <w:lang w:val="es-ES_tradnl"/>
        </w:rPr>
      </w:pPr>
    </w:p>
    <w:p w:rsidR="00A659E8" w:rsidRDefault="00A659E8" w:rsidP="00A659E8">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659E8" w:rsidRPr="001971C0" w:rsidRDefault="00A659E8" w:rsidP="00A659E8">
      <w:pPr>
        <w:pStyle w:val="Textoindependiente"/>
        <w:spacing w:line="360" w:lineRule="auto"/>
        <w:rPr>
          <w:rFonts w:ascii="Arial" w:hAnsi="Arial"/>
          <w:sz w:val="20"/>
          <w:szCs w:val="24"/>
        </w:rPr>
      </w:pPr>
    </w:p>
    <w:p w:rsidR="00A659E8" w:rsidRPr="00A4402B" w:rsidRDefault="00A659E8" w:rsidP="00A659E8">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E322F2" w:rsidRPr="00A659E8" w:rsidRDefault="00E322F2" w:rsidP="00C748BB">
      <w:pPr>
        <w:pStyle w:val="Textoindependiente"/>
        <w:spacing w:line="360" w:lineRule="auto"/>
        <w:rPr>
          <w:rFonts w:ascii="Arial" w:hAnsi="Arial" w:cs="Arial"/>
          <w:i/>
          <w:szCs w:val="24"/>
          <w:lang w:val="es-ES"/>
        </w:rPr>
      </w:pPr>
    </w:p>
    <w:p w:rsidR="000B59DB" w:rsidRDefault="000B59DB" w:rsidP="000B59DB">
      <w:pPr>
        <w:pStyle w:val="Textoindependien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D97EEC" w:rsidRDefault="00D97EEC" w:rsidP="00D97EEC">
      <w:pPr>
        <w:pStyle w:val="Textoindependiente"/>
        <w:spacing w:line="360" w:lineRule="auto"/>
        <w:rPr>
          <w:rFonts w:ascii="Arial" w:hAnsi="Arial"/>
          <w:szCs w:val="24"/>
        </w:rPr>
      </w:pPr>
    </w:p>
    <w:p w:rsidR="000B59DB" w:rsidRDefault="000B59DB" w:rsidP="000B59DB">
      <w:pPr>
        <w:pStyle w:val="Prrafodelista"/>
        <w:numPr>
          <w:ilvl w:val="1"/>
          <w:numId w:val="18"/>
        </w:numPr>
        <w:spacing w:line="360" w:lineRule="auto"/>
        <w:jc w:val="both"/>
        <w:rPr>
          <w:rFonts w:ascii="Arial" w:hAnsi="Arial" w:cs="Arial"/>
          <w:smallCaps/>
          <w:lang w:val="es-ES_tradnl"/>
        </w:rPr>
      </w:pPr>
      <w:r w:rsidRPr="00141EB0">
        <w:rPr>
          <w:rFonts w:ascii="Arial" w:hAnsi="Arial" w:cs="Arial"/>
          <w:smallCaps/>
          <w:lang w:val="es-ES_tradnl"/>
        </w:rPr>
        <w:lastRenderedPageBreak/>
        <w:t xml:space="preserve">La subsidiariedad </w:t>
      </w:r>
    </w:p>
    <w:p w:rsidR="00EF6C70" w:rsidRDefault="00EF6C70" w:rsidP="00EF6C70">
      <w:pPr>
        <w:spacing w:line="360" w:lineRule="auto"/>
        <w:jc w:val="both"/>
        <w:rPr>
          <w:rFonts w:ascii="Arial" w:hAnsi="Arial" w:cs="Arial"/>
          <w:lang w:val="es-ES_tradnl"/>
        </w:rPr>
      </w:pPr>
    </w:p>
    <w:p w:rsidR="00FB1B94" w:rsidRPr="00141EB0" w:rsidRDefault="00B06382" w:rsidP="00FB1B94">
      <w:pPr>
        <w:spacing w:line="360" w:lineRule="auto"/>
        <w:jc w:val="both"/>
        <w:rPr>
          <w:rFonts w:ascii="Arial" w:hAnsi="Arial" w:cs="Arial"/>
          <w:lang w:val="es-ES_tradnl"/>
        </w:rPr>
      </w:pPr>
      <w:r w:rsidRPr="00141EB0">
        <w:rPr>
          <w:rFonts w:ascii="Arial" w:hAnsi="Arial" w:cs="Arial"/>
          <w:lang w:val="es-ES_tradnl"/>
        </w:rPr>
        <w:t>Dado que los requisitos generales de procedibilidad son concurrentes, esto es, incumplido uno, se torna inane el examen de los demá</w:t>
      </w:r>
      <w:r w:rsidRPr="001649B4">
        <w:rPr>
          <w:rFonts w:ascii="Arial" w:hAnsi="Arial" w:cs="Arial"/>
          <w:lang w:val="es-ES_tradnl"/>
        </w:rPr>
        <w:t>s, menos podrían revisarse los supuestos especiales, el análisis que sigue se concentrará en la subsidiariedad</w:t>
      </w:r>
      <w:r w:rsidR="000B64E9" w:rsidRPr="001649B4">
        <w:rPr>
          <w:rFonts w:ascii="Arial" w:hAnsi="Arial" w:cs="Arial"/>
          <w:lang w:val="es-ES_tradnl"/>
        </w:rPr>
        <w:t xml:space="preserve">, </w:t>
      </w:r>
      <w:r w:rsidR="004C06DD">
        <w:rPr>
          <w:rFonts w:ascii="Arial" w:hAnsi="Arial" w:cs="Arial"/>
          <w:lang w:val="es-ES_tradnl"/>
        </w:rPr>
        <w:t xml:space="preserve">respecto de las quejas sobre la condena en costas y la nulidad de la sentencia, </w:t>
      </w:r>
      <w:r w:rsidR="00FB1B94" w:rsidRPr="00141EB0">
        <w:rPr>
          <w:rFonts w:ascii="Arial" w:hAnsi="Arial" w:cs="Arial"/>
          <w:lang w:val="es-ES_tradnl"/>
        </w:rPr>
        <w:t xml:space="preserve">porque </w:t>
      </w:r>
      <w:r w:rsidR="00FB1B94">
        <w:rPr>
          <w:rFonts w:ascii="Arial" w:hAnsi="Arial" w:cs="Arial"/>
          <w:lang w:val="es-ES_tradnl"/>
        </w:rPr>
        <w:t xml:space="preserve">es el elemento que se echa de menos, pues </w:t>
      </w:r>
      <w:r w:rsidR="00FB1B94" w:rsidRPr="00A80FCC">
        <w:rPr>
          <w:rFonts w:ascii="Arial" w:hAnsi="Arial" w:cs="Arial"/>
        </w:rPr>
        <w:t xml:space="preserve">la acción de tutela no puede implementarse como </w:t>
      </w:r>
      <w:r w:rsidR="00FB1B94" w:rsidRPr="00A80FCC">
        <w:rPr>
          <w:rFonts w:ascii="Arial" w:hAnsi="Arial" w:cs="Arial"/>
          <w:shd w:val="clear" w:color="auto" w:fill="FFFFFF"/>
        </w:rPr>
        <w:t>mecanismo alternativo o paralelo para resolver</w:t>
      </w:r>
      <w:r w:rsidR="00FB1B94">
        <w:rPr>
          <w:rFonts w:ascii="Arial" w:hAnsi="Arial" w:cs="Arial"/>
          <w:shd w:val="clear" w:color="auto" w:fill="FFFFFF"/>
        </w:rPr>
        <w:t xml:space="preserve"> </w:t>
      </w:r>
      <w:r w:rsidR="00FB1B94" w:rsidRPr="00A80FCC">
        <w:rPr>
          <w:rFonts w:ascii="Arial" w:hAnsi="Arial" w:cs="Arial"/>
          <w:shd w:val="clear" w:color="auto" w:fill="FFFFFF"/>
        </w:rPr>
        <w:t>problemas jurídicos que deben ser resueltos al interior del trámite ordinario</w:t>
      </w:r>
      <w:r w:rsidR="00FB1B94" w:rsidRPr="00A80FCC">
        <w:rPr>
          <w:rStyle w:val="Refdenotaalpie"/>
          <w:rFonts w:ascii="Arial" w:hAnsi="Arial" w:cs="Arial"/>
        </w:rPr>
        <w:footnoteReference w:id="26"/>
      </w:r>
      <w:r w:rsidR="00FB1B94" w:rsidRPr="00141EB0">
        <w:rPr>
          <w:rFonts w:ascii="Arial" w:hAnsi="Arial" w:cs="Arial"/>
          <w:lang w:val="es-ES_tradnl"/>
        </w:rPr>
        <w:t>.</w:t>
      </w:r>
    </w:p>
    <w:p w:rsidR="00D97EEC" w:rsidRPr="00D97EEC" w:rsidRDefault="00D97EEC" w:rsidP="00D97EEC">
      <w:pPr>
        <w:spacing w:line="360" w:lineRule="auto"/>
        <w:jc w:val="both"/>
        <w:rPr>
          <w:rFonts w:ascii="Arial" w:hAnsi="Arial" w:cs="Arial"/>
          <w:lang w:val="es-CO"/>
        </w:rPr>
      </w:pPr>
    </w:p>
    <w:p w:rsidR="00D97EEC" w:rsidRDefault="00D97EEC" w:rsidP="00D97EEC">
      <w:pPr>
        <w:spacing w:line="360" w:lineRule="auto"/>
        <w:jc w:val="both"/>
        <w:rPr>
          <w:rFonts w:ascii="Arial" w:hAnsi="Arial" w:cs="Arial"/>
          <w:lang w:val="es-ES_tradnl"/>
        </w:rPr>
      </w:pPr>
      <w:r w:rsidRPr="00EF6C70">
        <w:rPr>
          <w:rFonts w:ascii="Arial" w:hAnsi="Arial" w:cs="Arial"/>
          <w:lang w:val="es-ES_tradnl"/>
        </w:rPr>
        <w:t xml:space="preserve">De acuerdo con el acervo probatorio el despacho judicial accionado mediante sentencia dictada el </w:t>
      </w:r>
      <w:r>
        <w:rPr>
          <w:rFonts w:ascii="Arial" w:hAnsi="Arial" w:cs="Arial"/>
          <w:lang w:val="es-ES_tradnl"/>
        </w:rPr>
        <w:t>21-11-2016</w:t>
      </w:r>
      <w:r w:rsidRPr="00EF6C70">
        <w:rPr>
          <w:rFonts w:ascii="Arial" w:hAnsi="Arial" w:cs="Arial"/>
          <w:lang w:val="es-ES_tradnl"/>
        </w:rPr>
        <w:t xml:space="preserve">, </w:t>
      </w:r>
      <w:r>
        <w:rPr>
          <w:rFonts w:ascii="Arial" w:hAnsi="Arial" w:cs="Arial"/>
          <w:lang w:val="es-ES_tradnl"/>
        </w:rPr>
        <w:t xml:space="preserve">declaró probada la excepción </w:t>
      </w:r>
      <w:r w:rsidR="004C06DD">
        <w:rPr>
          <w:rFonts w:ascii="Arial" w:hAnsi="Arial" w:cs="Arial"/>
          <w:lang w:val="es-ES_tradnl"/>
        </w:rPr>
        <w:t xml:space="preserve">propuesta por el banco accionado </w:t>
      </w:r>
      <w:r w:rsidRPr="00EF6C70">
        <w:rPr>
          <w:rFonts w:ascii="Arial" w:hAnsi="Arial" w:cs="Arial"/>
          <w:lang w:val="es-ES_tradnl"/>
        </w:rPr>
        <w:t>y condenó en costas al ac</w:t>
      </w:r>
      <w:r>
        <w:rPr>
          <w:rFonts w:ascii="Arial" w:hAnsi="Arial" w:cs="Arial"/>
          <w:lang w:val="es-ES_tradnl"/>
        </w:rPr>
        <w:t xml:space="preserve">tor </w:t>
      </w:r>
      <w:r w:rsidRPr="00EF6C70">
        <w:rPr>
          <w:rFonts w:ascii="Arial" w:hAnsi="Arial" w:cs="Arial"/>
          <w:lang w:val="es-ES_tradnl"/>
        </w:rPr>
        <w:t>(Folios 1</w:t>
      </w:r>
      <w:r>
        <w:rPr>
          <w:rFonts w:ascii="Arial" w:hAnsi="Arial" w:cs="Arial"/>
          <w:lang w:val="es-ES_tradnl"/>
        </w:rPr>
        <w:t>28 a 133</w:t>
      </w:r>
      <w:r w:rsidRPr="00EF6C70">
        <w:rPr>
          <w:rFonts w:ascii="Arial" w:hAnsi="Arial" w:cs="Arial"/>
          <w:lang w:val="es-ES_tradnl"/>
        </w:rPr>
        <w:t xml:space="preserve"> del disco compacto visible a folio </w:t>
      </w:r>
      <w:r>
        <w:rPr>
          <w:rFonts w:ascii="Arial" w:hAnsi="Arial" w:cs="Arial"/>
          <w:lang w:val="es-ES_tradnl"/>
        </w:rPr>
        <w:t xml:space="preserve">8, ib.), notificada por estado del 22-11-2016,  sin que haya sido recurrida </w:t>
      </w:r>
      <w:r w:rsidR="004C06DD">
        <w:rPr>
          <w:rFonts w:ascii="Arial" w:hAnsi="Arial" w:cs="Arial"/>
          <w:lang w:val="es-ES_tradnl"/>
        </w:rPr>
        <w:t xml:space="preserve">oportunamente </w:t>
      </w:r>
      <w:r>
        <w:rPr>
          <w:rFonts w:ascii="Arial" w:hAnsi="Arial" w:cs="Arial"/>
          <w:lang w:val="es-ES_tradnl"/>
        </w:rPr>
        <w:t xml:space="preserve">(Folio 134 del disco compacto visible a folio 8, ib.). </w:t>
      </w:r>
      <w:r w:rsidRPr="003A6DC6">
        <w:rPr>
          <w:rFonts w:ascii="Arial" w:hAnsi="Arial" w:cs="Arial"/>
          <w:lang w:val="es-ES_tradnl"/>
        </w:rPr>
        <w:t xml:space="preserve">El 22-01-2017, </w:t>
      </w:r>
      <w:r>
        <w:rPr>
          <w:rFonts w:ascii="Arial" w:hAnsi="Arial" w:cs="Arial"/>
          <w:lang w:val="es-ES_tradnl"/>
        </w:rPr>
        <w:t xml:space="preserve">fueron </w:t>
      </w:r>
      <w:r w:rsidRPr="003A6DC6">
        <w:rPr>
          <w:rFonts w:ascii="Arial" w:hAnsi="Arial" w:cs="Arial"/>
          <w:lang w:val="es-ES_tradnl"/>
        </w:rPr>
        <w:t>rechaza</w:t>
      </w:r>
      <w:r>
        <w:rPr>
          <w:rFonts w:ascii="Arial" w:hAnsi="Arial" w:cs="Arial"/>
          <w:lang w:val="es-ES_tradnl"/>
        </w:rPr>
        <w:t>das</w:t>
      </w:r>
      <w:r w:rsidRPr="003A6DC6">
        <w:rPr>
          <w:rFonts w:ascii="Arial" w:hAnsi="Arial" w:cs="Arial"/>
          <w:lang w:val="es-ES_tradnl"/>
        </w:rPr>
        <w:t xml:space="preserve"> las solicitudes</w:t>
      </w:r>
      <w:r>
        <w:rPr>
          <w:rFonts w:ascii="Arial" w:hAnsi="Arial" w:cs="Arial"/>
          <w:lang w:val="es-ES_tradnl"/>
        </w:rPr>
        <w:t xml:space="preserve"> de nulidad</w:t>
      </w:r>
      <w:r w:rsidRPr="003A6DC6">
        <w:rPr>
          <w:rFonts w:ascii="Arial" w:hAnsi="Arial" w:cs="Arial"/>
          <w:lang w:val="es-ES_tradnl"/>
        </w:rPr>
        <w:t xml:space="preserve"> y el recurso de apelación interpuesto por el tutelante (Folio 137 del disco compacto visible a folio 8, ib.),</w:t>
      </w:r>
      <w:r>
        <w:rPr>
          <w:rFonts w:ascii="Arial" w:hAnsi="Arial" w:cs="Arial"/>
          <w:lang w:val="es-ES_tradnl"/>
        </w:rPr>
        <w:t xml:space="preserve"> tampoco se recurrió y quedó en firme el 01-02-2017 (Folio 138 </w:t>
      </w:r>
      <w:r w:rsidRPr="003A6DC6">
        <w:rPr>
          <w:rFonts w:ascii="Arial" w:hAnsi="Arial" w:cs="Arial"/>
          <w:lang w:val="es-ES_tradnl"/>
        </w:rPr>
        <w:t>del disco compacto visible a folio 8, ib.)</w:t>
      </w:r>
      <w:r>
        <w:rPr>
          <w:rFonts w:ascii="Arial" w:hAnsi="Arial" w:cs="Arial"/>
          <w:lang w:val="es-ES_tradnl"/>
        </w:rPr>
        <w:t xml:space="preserve">,  </w:t>
      </w:r>
    </w:p>
    <w:p w:rsidR="00D97EEC" w:rsidRDefault="00D97EEC" w:rsidP="00D97EEC">
      <w:pPr>
        <w:spacing w:line="360" w:lineRule="auto"/>
        <w:jc w:val="both"/>
        <w:rPr>
          <w:rFonts w:ascii="Arial" w:hAnsi="Arial" w:cs="Arial"/>
          <w:lang w:val="es-ES_tradnl"/>
        </w:rPr>
      </w:pPr>
    </w:p>
    <w:p w:rsidR="00D97EEC" w:rsidRDefault="00D97EEC" w:rsidP="00D97EEC">
      <w:pPr>
        <w:spacing w:line="360" w:lineRule="auto"/>
        <w:jc w:val="both"/>
        <w:rPr>
          <w:rFonts w:ascii="Arial" w:hAnsi="Arial" w:cs="Arial"/>
          <w:lang w:val="es-ES_tradnl"/>
        </w:rPr>
      </w:pPr>
      <w:r>
        <w:rPr>
          <w:rFonts w:ascii="Arial" w:hAnsi="Arial" w:cs="Arial"/>
          <w:lang w:val="es-ES_tradnl"/>
        </w:rPr>
        <w:t>Posteriormente,</w:t>
      </w:r>
      <w:r w:rsidRPr="00EF6C70">
        <w:rPr>
          <w:rFonts w:ascii="Arial" w:hAnsi="Arial" w:cs="Arial"/>
          <w:lang w:val="es-ES_tradnl"/>
        </w:rPr>
        <w:t xml:space="preserve"> se</w:t>
      </w:r>
      <w:r>
        <w:rPr>
          <w:rFonts w:ascii="Arial" w:hAnsi="Arial" w:cs="Arial"/>
          <w:lang w:val="es-ES_tradnl"/>
        </w:rPr>
        <w:t xml:space="preserve"> fijaron las agencias </w:t>
      </w:r>
      <w:r w:rsidR="00B81F17">
        <w:rPr>
          <w:rFonts w:ascii="Arial" w:hAnsi="Arial" w:cs="Arial"/>
          <w:lang w:val="es-ES_tradnl"/>
        </w:rPr>
        <w:t>en</w:t>
      </w:r>
      <w:r>
        <w:rPr>
          <w:rFonts w:ascii="Arial" w:hAnsi="Arial" w:cs="Arial"/>
          <w:lang w:val="es-ES_tradnl"/>
        </w:rPr>
        <w:t xml:space="preserve"> derecho, se liquidaron y aprobaron</w:t>
      </w:r>
      <w:r w:rsidRPr="00EF6C70">
        <w:rPr>
          <w:rFonts w:ascii="Arial" w:hAnsi="Arial" w:cs="Arial"/>
          <w:lang w:val="es-ES_tradnl"/>
        </w:rPr>
        <w:t xml:space="preserve"> las costas con auto del </w:t>
      </w:r>
      <w:r>
        <w:rPr>
          <w:rFonts w:ascii="Arial" w:hAnsi="Arial" w:cs="Arial"/>
          <w:lang w:val="es-ES_tradnl"/>
        </w:rPr>
        <w:t>22-02-2017</w:t>
      </w:r>
      <w:r w:rsidRPr="00EF6C70">
        <w:rPr>
          <w:rFonts w:ascii="Arial" w:hAnsi="Arial" w:cs="Arial"/>
          <w:lang w:val="es-ES_tradnl"/>
        </w:rPr>
        <w:t xml:space="preserve"> (Folio</w:t>
      </w:r>
      <w:r>
        <w:rPr>
          <w:rFonts w:ascii="Arial" w:hAnsi="Arial" w:cs="Arial"/>
          <w:lang w:val="es-ES_tradnl"/>
        </w:rPr>
        <w:t xml:space="preserve">s 139 a </w:t>
      </w:r>
      <w:r w:rsidRPr="00EF6C70">
        <w:rPr>
          <w:rFonts w:ascii="Arial" w:hAnsi="Arial" w:cs="Arial"/>
          <w:lang w:val="es-ES_tradnl"/>
        </w:rPr>
        <w:t>1</w:t>
      </w:r>
      <w:r>
        <w:rPr>
          <w:rFonts w:ascii="Arial" w:hAnsi="Arial" w:cs="Arial"/>
          <w:lang w:val="es-ES_tradnl"/>
        </w:rPr>
        <w:t>41</w:t>
      </w:r>
      <w:r w:rsidRPr="00EF6C70">
        <w:rPr>
          <w:rFonts w:ascii="Arial" w:hAnsi="Arial" w:cs="Arial"/>
          <w:lang w:val="es-ES_tradnl"/>
        </w:rPr>
        <w:t xml:space="preserve"> del disco compacto visible a folio</w:t>
      </w:r>
      <w:r>
        <w:rPr>
          <w:rFonts w:ascii="Arial" w:hAnsi="Arial" w:cs="Arial"/>
          <w:lang w:val="es-ES_tradnl"/>
        </w:rPr>
        <w:t xml:space="preserve"> 8</w:t>
      </w:r>
      <w:r w:rsidRPr="00EF6C70">
        <w:rPr>
          <w:rFonts w:ascii="Arial" w:hAnsi="Arial" w:cs="Arial"/>
          <w:lang w:val="es-ES_tradnl"/>
        </w:rPr>
        <w:t>, ib.),</w:t>
      </w:r>
      <w:r>
        <w:rPr>
          <w:rFonts w:ascii="Arial" w:hAnsi="Arial" w:cs="Arial"/>
          <w:lang w:val="es-ES_tradnl"/>
        </w:rPr>
        <w:t xml:space="preserve"> </w:t>
      </w:r>
      <w:r w:rsidRPr="00EF6C70">
        <w:rPr>
          <w:rFonts w:ascii="Arial" w:hAnsi="Arial" w:cs="Arial"/>
          <w:lang w:val="es-ES_tradnl"/>
        </w:rPr>
        <w:t>recurrido</w:t>
      </w:r>
      <w:r w:rsidR="004C06DD">
        <w:rPr>
          <w:rFonts w:ascii="Arial" w:hAnsi="Arial" w:cs="Arial"/>
          <w:lang w:val="es-ES_tradnl"/>
        </w:rPr>
        <w:t xml:space="preserve"> en</w:t>
      </w:r>
      <w:r w:rsidRPr="00EF6C70">
        <w:rPr>
          <w:rFonts w:ascii="Arial" w:hAnsi="Arial" w:cs="Arial"/>
          <w:lang w:val="es-ES_tradnl"/>
        </w:rPr>
        <w:t xml:space="preserve"> reposición y apelación</w:t>
      </w:r>
      <w:r w:rsidR="004C06DD">
        <w:rPr>
          <w:rFonts w:ascii="Arial" w:hAnsi="Arial" w:cs="Arial"/>
          <w:lang w:val="es-ES_tradnl"/>
        </w:rPr>
        <w:t>, y formulada nulidad</w:t>
      </w:r>
      <w:r w:rsidRPr="00EF6C70">
        <w:rPr>
          <w:rFonts w:ascii="Arial" w:hAnsi="Arial" w:cs="Arial"/>
          <w:lang w:val="es-ES_tradnl"/>
        </w:rPr>
        <w:t xml:space="preserve">, </w:t>
      </w:r>
      <w:r w:rsidR="004C06DD">
        <w:rPr>
          <w:rFonts w:ascii="Arial" w:hAnsi="Arial" w:cs="Arial"/>
          <w:lang w:val="es-ES_tradnl"/>
        </w:rPr>
        <w:t xml:space="preserve">fueron resueltos </w:t>
      </w:r>
      <w:r w:rsidRPr="00EF6C70">
        <w:rPr>
          <w:rFonts w:ascii="Arial" w:hAnsi="Arial" w:cs="Arial"/>
          <w:lang w:val="es-ES_tradnl"/>
        </w:rPr>
        <w:t xml:space="preserve">con proveído del </w:t>
      </w:r>
      <w:r>
        <w:rPr>
          <w:rFonts w:ascii="Arial" w:hAnsi="Arial" w:cs="Arial"/>
          <w:lang w:val="es-ES_tradnl"/>
        </w:rPr>
        <w:t>06-03-2017</w:t>
      </w:r>
      <w:r w:rsidRPr="00EF6C70">
        <w:rPr>
          <w:rFonts w:ascii="Arial" w:hAnsi="Arial" w:cs="Arial"/>
          <w:lang w:val="es-ES_tradnl"/>
        </w:rPr>
        <w:t xml:space="preserve"> en el que se </w:t>
      </w:r>
      <w:r w:rsidR="00B81F17">
        <w:rPr>
          <w:rFonts w:ascii="Arial" w:hAnsi="Arial" w:cs="Arial"/>
          <w:lang w:val="es-ES_tradnl"/>
        </w:rPr>
        <w:t xml:space="preserve">rechazó la nulidad, se </w:t>
      </w:r>
      <w:r w:rsidRPr="00EF6C70">
        <w:rPr>
          <w:rFonts w:ascii="Arial" w:hAnsi="Arial" w:cs="Arial"/>
          <w:lang w:val="es-ES_tradnl"/>
        </w:rPr>
        <w:t xml:space="preserve">mantuvo </w:t>
      </w:r>
      <w:r>
        <w:rPr>
          <w:rFonts w:ascii="Arial" w:hAnsi="Arial" w:cs="Arial"/>
          <w:lang w:val="es-ES_tradnl"/>
        </w:rPr>
        <w:t xml:space="preserve">incólume </w:t>
      </w:r>
      <w:r w:rsidRPr="00EF6C70">
        <w:rPr>
          <w:rFonts w:ascii="Arial" w:hAnsi="Arial" w:cs="Arial"/>
          <w:lang w:val="es-ES_tradnl"/>
        </w:rPr>
        <w:t>la decisión y se negó la alzada (Folio 1</w:t>
      </w:r>
      <w:r>
        <w:rPr>
          <w:rFonts w:ascii="Arial" w:hAnsi="Arial" w:cs="Arial"/>
          <w:lang w:val="es-ES_tradnl"/>
        </w:rPr>
        <w:t>43 y ss del disco compacto visible a folio 8</w:t>
      </w:r>
      <w:r w:rsidRPr="00EF6C70">
        <w:rPr>
          <w:rFonts w:ascii="Arial" w:hAnsi="Arial" w:cs="Arial"/>
          <w:lang w:val="es-ES_tradnl"/>
        </w:rPr>
        <w:t xml:space="preserve"> ib</w:t>
      </w:r>
      <w:r>
        <w:rPr>
          <w:rFonts w:ascii="Arial" w:hAnsi="Arial" w:cs="Arial"/>
          <w:lang w:val="es-ES_tradnl"/>
        </w:rPr>
        <w:t>.)</w:t>
      </w:r>
      <w:r w:rsidRPr="00EF6C70">
        <w:rPr>
          <w:rFonts w:ascii="Arial" w:hAnsi="Arial" w:cs="Arial"/>
          <w:lang w:val="es-ES_tradnl"/>
        </w:rPr>
        <w:t xml:space="preserve">. </w:t>
      </w:r>
    </w:p>
    <w:p w:rsidR="00EF6C70" w:rsidRPr="00EF6C70" w:rsidRDefault="00EF6C70" w:rsidP="00EF6C70">
      <w:pPr>
        <w:spacing w:line="360" w:lineRule="auto"/>
        <w:jc w:val="both"/>
        <w:rPr>
          <w:rFonts w:ascii="Arial" w:hAnsi="Arial" w:cs="Arial"/>
          <w:lang w:val="es-ES_tradnl"/>
        </w:rPr>
      </w:pPr>
    </w:p>
    <w:p w:rsidR="00EF6C70" w:rsidRPr="00EF6C70" w:rsidRDefault="00EF6C70" w:rsidP="00EF6C70">
      <w:pPr>
        <w:spacing w:line="360" w:lineRule="auto"/>
        <w:ind w:right="51"/>
        <w:jc w:val="both"/>
        <w:rPr>
          <w:rFonts w:ascii="Arial" w:hAnsi="Arial" w:cs="Arial"/>
        </w:rPr>
      </w:pPr>
      <w:r w:rsidRPr="00EF6C70">
        <w:rPr>
          <w:rFonts w:ascii="Arial" w:hAnsi="Arial" w:cs="Arial"/>
        </w:rPr>
        <w:t>Según lo discurrido considera esta Sala de la Corporación que el presente amparo es improcedente</w:t>
      </w:r>
      <w:r w:rsidR="003A6DC6">
        <w:rPr>
          <w:rFonts w:ascii="Arial" w:hAnsi="Arial" w:cs="Arial"/>
        </w:rPr>
        <w:t xml:space="preserve"> </w:t>
      </w:r>
      <w:r w:rsidRPr="00EF6C70">
        <w:rPr>
          <w:rFonts w:ascii="Arial" w:hAnsi="Arial" w:cs="Arial"/>
        </w:rPr>
        <w:t xml:space="preserve">por el evidente incumplimiento del requisito de subsidiariedad, debido a la ausencia de agotamiento de los mecanismos ordinarios para atacar </w:t>
      </w:r>
      <w:r w:rsidR="004C06DD">
        <w:rPr>
          <w:rFonts w:ascii="Arial" w:hAnsi="Arial" w:cs="Arial"/>
        </w:rPr>
        <w:t xml:space="preserve">las decisiones </w:t>
      </w:r>
      <w:r w:rsidRPr="00EF6C70">
        <w:rPr>
          <w:rFonts w:ascii="Arial" w:hAnsi="Arial" w:cs="Arial"/>
        </w:rPr>
        <w:t xml:space="preserve">mediante </w:t>
      </w:r>
      <w:r w:rsidR="004C06DD">
        <w:rPr>
          <w:rFonts w:ascii="Arial" w:hAnsi="Arial" w:cs="Arial"/>
        </w:rPr>
        <w:t xml:space="preserve">las cuales </w:t>
      </w:r>
      <w:r w:rsidR="00B81F17">
        <w:rPr>
          <w:rFonts w:ascii="Arial" w:hAnsi="Arial" w:cs="Arial"/>
        </w:rPr>
        <w:t xml:space="preserve">el actor </w:t>
      </w:r>
      <w:r w:rsidRPr="00EF6C70">
        <w:rPr>
          <w:rFonts w:ascii="Arial" w:hAnsi="Arial" w:cs="Arial"/>
        </w:rPr>
        <w:t>fue condenado en costas</w:t>
      </w:r>
      <w:r w:rsidR="004C06DD">
        <w:rPr>
          <w:rFonts w:ascii="Arial" w:hAnsi="Arial" w:cs="Arial"/>
        </w:rPr>
        <w:t xml:space="preserve"> y se negaron las nulidades presentadas</w:t>
      </w:r>
      <w:r w:rsidRPr="00EF6C70">
        <w:rPr>
          <w:rFonts w:ascii="Arial" w:hAnsi="Arial" w:cs="Arial"/>
        </w:rPr>
        <w:t>.</w:t>
      </w:r>
    </w:p>
    <w:p w:rsidR="00EF6C70" w:rsidRPr="00EF6C70" w:rsidRDefault="00EF6C70" w:rsidP="00EF6C70">
      <w:pPr>
        <w:pStyle w:val="Prrafodelista"/>
        <w:spacing w:line="360" w:lineRule="auto"/>
        <w:ind w:left="400" w:right="51"/>
        <w:jc w:val="both"/>
        <w:rPr>
          <w:rFonts w:ascii="Arial" w:hAnsi="Arial" w:cs="Arial"/>
        </w:rPr>
      </w:pPr>
    </w:p>
    <w:p w:rsidR="00EF6C70" w:rsidRPr="00EF6C70" w:rsidRDefault="00250690" w:rsidP="00EF6C70">
      <w:pPr>
        <w:spacing w:line="360" w:lineRule="auto"/>
        <w:ind w:right="51"/>
        <w:jc w:val="both"/>
        <w:rPr>
          <w:rFonts w:ascii="Arial" w:hAnsi="Arial" w:cs="Arial"/>
        </w:rPr>
      </w:pPr>
      <w:r>
        <w:rPr>
          <w:rFonts w:ascii="Arial" w:hAnsi="Arial" w:cs="Arial"/>
        </w:rPr>
        <w:t>Expresa</w:t>
      </w:r>
      <w:r w:rsidR="00EF6C70" w:rsidRPr="00EF6C70">
        <w:rPr>
          <w:rFonts w:ascii="Arial" w:hAnsi="Arial" w:cs="Arial"/>
        </w:rPr>
        <w:t xml:space="preserve"> el artículo 365-2º del CGP </w:t>
      </w:r>
      <w:r w:rsidR="00EF6C70" w:rsidRPr="00EF6C70">
        <w:rPr>
          <w:rFonts w:ascii="Arial" w:hAnsi="Arial" w:cs="Arial"/>
          <w:i/>
          <w:sz w:val="22"/>
        </w:rPr>
        <w:t xml:space="preserve">“(…) La condena en costas se hará en </w:t>
      </w:r>
      <w:r w:rsidR="00EF6C70" w:rsidRPr="00EF6C70">
        <w:rPr>
          <w:rFonts w:ascii="Arial" w:hAnsi="Arial" w:cs="Arial"/>
          <w:i/>
          <w:sz w:val="22"/>
          <w:u w:val="single"/>
        </w:rPr>
        <w:t>sentencia</w:t>
      </w:r>
      <w:r w:rsidR="00EF6C70" w:rsidRPr="00EF6C70">
        <w:rPr>
          <w:rFonts w:ascii="Arial" w:hAnsi="Arial" w:cs="Arial"/>
          <w:i/>
          <w:sz w:val="22"/>
        </w:rPr>
        <w:t xml:space="preserve"> o auto que resuelva la actuación que dio lugar a aquella (…)”</w:t>
      </w:r>
      <w:r w:rsidR="00EF6C70" w:rsidRPr="00EF6C70">
        <w:rPr>
          <w:rFonts w:ascii="Arial" w:hAnsi="Arial" w:cs="Arial"/>
        </w:rPr>
        <w:t xml:space="preserve"> (Sublínea de la Sala), de lo cual se puede</w:t>
      </w:r>
      <w:r w:rsidR="002D2AE1">
        <w:rPr>
          <w:rFonts w:ascii="Arial" w:hAnsi="Arial" w:cs="Arial"/>
        </w:rPr>
        <w:t xml:space="preserve"> inferir</w:t>
      </w:r>
      <w:r w:rsidR="00EF6C70" w:rsidRPr="00EF6C70">
        <w:rPr>
          <w:rFonts w:ascii="Arial" w:hAnsi="Arial" w:cs="Arial"/>
        </w:rPr>
        <w:t xml:space="preserve"> fácilmente que, si la condena se hace en la sentencia, como ocurrió en el asunto donde se cuestiona la vulneración a los derechos fundamentales, debió entonces el recurrirla para que en segunda instancia se valorará si fueron impuestas </w:t>
      </w:r>
      <w:r w:rsidR="00EF6C70" w:rsidRPr="00EF6C70">
        <w:rPr>
          <w:rFonts w:ascii="Arial" w:hAnsi="Arial" w:cs="Arial"/>
        </w:rPr>
        <w:lastRenderedPageBreak/>
        <w:t>correctamente, pero, tal como se advirtió, presentó el recurso de apelación extemporáneamente</w:t>
      </w:r>
      <w:r w:rsidR="002D2AE1">
        <w:rPr>
          <w:rFonts w:ascii="Arial" w:hAnsi="Arial" w:cs="Arial"/>
        </w:rPr>
        <w:t xml:space="preserve"> (Folio 137</w:t>
      </w:r>
      <w:r w:rsidR="00197BD4">
        <w:rPr>
          <w:rFonts w:ascii="Arial" w:hAnsi="Arial" w:cs="Arial"/>
          <w:lang w:val="es-ES_tradnl"/>
        </w:rPr>
        <w:t xml:space="preserve"> del disco compacto visible a folio 8</w:t>
      </w:r>
      <w:r w:rsidR="00197BD4" w:rsidRPr="00EF6C70">
        <w:rPr>
          <w:rFonts w:ascii="Arial" w:hAnsi="Arial" w:cs="Arial"/>
          <w:lang w:val="es-ES_tradnl"/>
        </w:rPr>
        <w:t xml:space="preserve"> ib</w:t>
      </w:r>
      <w:r w:rsidR="00197BD4">
        <w:rPr>
          <w:rFonts w:ascii="Arial" w:hAnsi="Arial" w:cs="Arial"/>
          <w:lang w:val="es-ES_tradnl"/>
        </w:rPr>
        <w:t>.)</w:t>
      </w:r>
      <w:r w:rsidR="00EF6C70" w:rsidRPr="00EF6C70">
        <w:rPr>
          <w:rFonts w:ascii="Arial" w:hAnsi="Arial" w:cs="Arial"/>
        </w:rPr>
        <w:t>.</w:t>
      </w:r>
      <w:r w:rsidR="007E28AB">
        <w:rPr>
          <w:rFonts w:ascii="Arial" w:hAnsi="Arial" w:cs="Arial"/>
        </w:rPr>
        <w:t xml:space="preserve"> </w:t>
      </w:r>
    </w:p>
    <w:p w:rsidR="00EF6C70" w:rsidRPr="00EF6C70" w:rsidRDefault="00EF6C70" w:rsidP="00EF6C70">
      <w:pPr>
        <w:spacing w:line="360" w:lineRule="auto"/>
        <w:ind w:right="51"/>
        <w:jc w:val="both"/>
        <w:rPr>
          <w:rFonts w:ascii="Arial" w:hAnsi="Arial" w:cs="Arial"/>
        </w:rPr>
      </w:pPr>
    </w:p>
    <w:p w:rsidR="00EF6C70" w:rsidRPr="00EF6C70" w:rsidRDefault="00EF6C70" w:rsidP="00EF6C70">
      <w:pPr>
        <w:spacing w:line="360" w:lineRule="auto"/>
        <w:ind w:right="51"/>
        <w:jc w:val="both"/>
        <w:rPr>
          <w:rFonts w:ascii="Arial" w:hAnsi="Arial" w:cs="Arial"/>
        </w:rPr>
      </w:pPr>
      <w:r w:rsidRPr="00EF6C70">
        <w:rPr>
          <w:rFonts w:ascii="Arial" w:hAnsi="Arial" w:cs="Arial"/>
          <w:lang w:val="es-ES_tradnl"/>
        </w:rPr>
        <w:t>Ahora, es cierto que el actor recurrió el proveído que aprobó la liquidación de costas, sin embargo, precisa la Sala que dicha actividad es insuficiente como para considerar cumplido el requisito de la subsidiariedad, si se tiene que con el recurso únicamente puede controvertir</w:t>
      </w:r>
      <w:r w:rsidR="00B81F17">
        <w:rPr>
          <w:rFonts w:ascii="Arial" w:hAnsi="Arial" w:cs="Arial"/>
          <w:lang w:val="es-ES_tradnl"/>
        </w:rPr>
        <w:t>se</w:t>
      </w:r>
      <w:r w:rsidRPr="00EF6C70">
        <w:rPr>
          <w:rFonts w:ascii="Arial" w:hAnsi="Arial" w:cs="Arial"/>
          <w:lang w:val="es-ES_tradnl"/>
        </w:rPr>
        <w:t xml:space="preserve"> el monto de la liquidación (Expensas y agencias en derecho) (Artículo 366-5º, CGP) y nunca la condena en costas como </w:t>
      </w:r>
      <w:r w:rsidR="002D2AE1">
        <w:rPr>
          <w:rFonts w:ascii="Arial" w:hAnsi="Arial" w:cs="Arial"/>
          <w:lang w:val="es-ES_tradnl"/>
        </w:rPr>
        <w:t xml:space="preserve">es lo pretendido por </w:t>
      </w:r>
      <w:r w:rsidR="007E28AB">
        <w:rPr>
          <w:rFonts w:ascii="Arial" w:hAnsi="Arial" w:cs="Arial"/>
          <w:lang w:val="es-ES_tradnl"/>
        </w:rPr>
        <w:t xml:space="preserve">el </w:t>
      </w:r>
      <w:r w:rsidR="00642084">
        <w:rPr>
          <w:rFonts w:ascii="Arial" w:hAnsi="Arial" w:cs="Arial"/>
          <w:lang w:val="es-ES_tradnl"/>
        </w:rPr>
        <w:t>tutelante</w:t>
      </w:r>
      <w:r w:rsidR="007E28AB">
        <w:rPr>
          <w:rFonts w:ascii="Arial" w:hAnsi="Arial" w:cs="Arial"/>
          <w:lang w:val="es-ES_tradnl"/>
        </w:rPr>
        <w:t>.</w:t>
      </w:r>
    </w:p>
    <w:p w:rsidR="00EF6C70" w:rsidRDefault="00EF6C70" w:rsidP="00EF6C70">
      <w:pPr>
        <w:pStyle w:val="Textoindependiente"/>
        <w:spacing w:line="360" w:lineRule="auto"/>
        <w:rPr>
          <w:rFonts w:ascii="Arial" w:hAnsi="Arial" w:cs="Arial"/>
          <w:szCs w:val="24"/>
          <w:lang w:val="es-CO"/>
        </w:rPr>
      </w:pPr>
    </w:p>
    <w:p w:rsidR="00F34218" w:rsidRDefault="00547199" w:rsidP="00F34218">
      <w:pPr>
        <w:pStyle w:val="Textoindependiente"/>
        <w:spacing w:line="360" w:lineRule="auto"/>
        <w:rPr>
          <w:rFonts w:ascii="Arial" w:hAnsi="Arial" w:cs="Arial"/>
          <w:szCs w:val="24"/>
          <w:lang w:val="es-CO"/>
        </w:rPr>
      </w:pPr>
      <w:r>
        <w:rPr>
          <w:rFonts w:ascii="Arial" w:hAnsi="Arial" w:cs="Arial"/>
          <w:szCs w:val="24"/>
          <w:lang w:val="es-CO"/>
        </w:rPr>
        <w:t xml:space="preserve">Igual situación ocurre frente a </w:t>
      </w:r>
      <w:r w:rsidR="00F34218">
        <w:rPr>
          <w:rFonts w:ascii="Arial" w:hAnsi="Arial" w:cs="Arial"/>
          <w:szCs w:val="24"/>
          <w:lang w:val="es-CO"/>
        </w:rPr>
        <w:t>la</w:t>
      </w:r>
      <w:r w:rsidR="004C06DD">
        <w:rPr>
          <w:rFonts w:ascii="Arial" w:hAnsi="Arial" w:cs="Arial"/>
          <w:szCs w:val="24"/>
          <w:lang w:val="es-CO"/>
        </w:rPr>
        <w:t>s</w:t>
      </w:r>
      <w:r w:rsidR="00F34218">
        <w:rPr>
          <w:rFonts w:ascii="Arial" w:hAnsi="Arial" w:cs="Arial"/>
          <w:szCs w:val="24"/>
          <w:lang w:val="es-CO"/>
        </w:rPr>
        <w:t xml:space="preserve"> solicitud</w:t>
      </w:r>
      <w:r w:rsidR="004C06DD">
        <w:rPr>
          <w:rFonts w:ascii="Arial" w:hAnsi="Arial" w:cs="Arial"/>
          <w:szCs w:val="24"/>
          <w:lang w:val="es-CO"/>
        </w:rPr>
        <w:t>es</w:t>
      </w:r>
      <w:r w:rsidR="00F34218">
        <w:rPr>
          <w:rFonts w:ascii="Arial" w:hAnsi="Arial" w:cs="Arial"/>
          <w:szCs w:val="24"/>
          <w:lang w:val="es-CO"/>
        </w:rPr>
        <w:t xml:space="preserve"> de nulidad</w:t>
      </w:r>
      <w:r w:rsidR="00F34218">
        <w:rPr>
          <w:rFonts w:ascii="Arial" w:hAnsi="Arial" w:cs="Arial"/>
        </w:rPr>
        <w:t>,</w:t>
      </w:r>
      <w:r>
        <w:rPr>
          <w:rFonts w:ascii="Arial" w:hAnsi="Arial" w:cs="Arial"/>
        </w:rPr>
        <w:t xml:space="preserve"> pues </w:t>
      </w:r>
      <w:r w:rsidR="004C06DD">
        <w:rPr>
          <w:rFonts w:ascii="Arial" w:hAnsi="Arial" w:cs="Arial"/>
        </w:rPr>
        <w:t xml:space="preserve">no recurrió ninguno de los proveídos dictados el 26-01-2017 y 06-03-2017, mediante los cuales se rechazaron </w:t>
      </w:r>
      <w:r w:rsidR="00F34218">
        <w:rPr>
          <w:rFonts w:ascii="Arial" w:hAnsi="Arial" w:cs="Arial"/>
          <w:szCs w:val="24"/>
          <w:lang w:val="es-CO"/>
        </w:rPr>
        <w:t>(</w:t>
      </w:r>
      <w:r w:rsidR="00F34218" w:rsidRPr="00EF6C70">
        <w:rPr>
          <w:rFonts w:ascii="Arial" w:hAnsi="Arial" w:cs="Arial"/>
        </w:rPr>
        <w:t>Folio</w:t>
      </w:r>
      <w:r w:rsidR="004C06DD">
        <w:rPr>
          <w:rFonts w:ascii="Arial" w:hAnsi="Arial" w:cs="Arial"/>
        </w:rPr>
        <w:t>s 137 a 138 y</w:t>
      </w:r>
      <w:r w:rsidR="00F34218">
        <w:rPr>
          <w:rFonts w:ascii="Arial" w:hAnsi="Arial" w:cs="Arial"/>
        </w:rPr>
        <w:t xml:space="preserve"> 143</w:t>
      </w:r>
      <w:r w:rsidR="00F34218" w:rsidRPr="00EF6C70">
        <w:rPr>
          <w:rFonts w:ascii="Arial" w:hAnsi="Arial" w:cs="Arial"/>
        </w:rPr>
        <w:t xml:space="preserve"> </w:t>
      </w:r>
      <w:r w:rsidR="004C06DD">
        <w:rPr>
          <w:rFonts w:ascii="Arial" w:hAnsi="Arial" w:cs="Arial"/>
        </w:rPr>
        <w:t xml:space="preserve">a 144 </w:t>
      </w:r>
      <w:r w:rsidR="00F34218" w:rsidRPr="00EF6C70">
        <w:rPr>
          <w:rFonts w:ascii="Arial" w:hAnsi="Arial" w:cs="Arial"/>
        </w:rPr>
        <w:t xml:space="preserve">del disco compacto visible a folio </w:t>
      </w:r>
      <w:r w:rsidR="00F34218">
        <w:rPr>
          <w:rFonts w:ascii="Arial" w:hAnsi="Arial" w:cs="Arial"/>
        </w:rPr>
        <w:t xml:space="preserve">8, ib.), </w:t>
      </w:r>
      <w:r w:rsidR="00B81F17">
        <w:rPr>
          <w:rFonts w:ascii="Arial" w:hAnsi="Arial" w:cs="Arial"/>
        </w:rPr>
        <w:t xml:space="preserve">incumplió entonces </w:t>
      </w:r>
      <w:r w:rsidR="00F34218">
        <w:rPr>
          <w:rFonts w:ascii="Arial" w:hAnsi="Arial" w:cs="Arial"/>
        </w:rPr>
        <w:t xml:space="preserve">el precitado requisito. </w:t>
      </w:r>
    </w:p>
    <w:p w:rsidR="00F34218" w:rsidRDefault="00F34218" w:rsidP="00F34218">
      <w:pPr>
        <w:pStyle w:val="Textoindependiente"/>
        <w:spacing w:line="360" w:lineRule="auto"/>
        <w:rPr>
          <w:rFonts w:ascii="Arial" w:hAnsi="Arial" w:cs="Arial"/>
          <w:szCs w:val="24"/>
          <w:lang w:val="es-CO"/>
        </w:rPr>
      </w:pPr>
    </w:p>
    <w:p w:rsidR="000B59DB" w:rsidRDefault="000B59DB" w:rsidP="002B73A7">
      <w:pPr>
        <w:spacing w:line="360" w:lineRule="auto"/>
        <w:jc w:val="both"/>
        <w:rPr>
          <w:rFonts w:ascii="Arial" w:hAnsi="Arial" w:cs="Arial"/>
        </w:rPr>
      </w:pPr>
      <w:r>
        <w:rPr>
          <w:rFonts w:ascii="Arial" w:hAnsi="Arial" w:cs="Arial"/>
        </w:rPr>
        <w:t>Bajo esta óptica</w:t>
      </w:r>
      <w:r w:rsidRPr="0004784E">
        <w:rPr>
          <w:rFonts w:ascii="Arial" w:hAnsi="Arial" w:cs="Arial"/>
        </w:rPr>
        <w:t xml:space="preserve">, </w:t>
      </w:r>
      <w:r>
        <w:rPr>
          <w:rFonts w:ascii="Arial" w:hAnsi="Arial" w:cs="Arial"/>
        </w:rPr>
        <w:t xml:space="preserve">se tiene que </w:t>
      </w:r>
      <w:r w:rsidRPr="00403DB2">
        <w:rPr>
          <w:rFonts w:ascii="Arial" w:hAnsi="Arial" w:cs="Arial"/>
        </w:rPr>
        <w:t xml:space="preserve">el accionante pretermitió agotar </w:t>
      </w:r>
      <w:r w:rsidR="004B7199">
        <w:rPr>
          <w:rFonts w:ascii="Arial" w:hAnsi="Arial" w:cs="Arial"/>
        </w:rPr>
        <w:t>los recursos</w:t>
      </w:r>
      <w:r w:rsidRPr="00403DB2">
        <w:rPr>
          <w:rFonts w:ascii="Arial" w:hAnsi="Arial" w:cs="Arial"/>
        </w:rPr>
        <w:t xml:space="preserve"> de reposición</w:t>
      </w:r>
      <w:r w:rsidR="004B7199">
        <w:rPr>
          <w:rFonts w:ascii="Arial" w:hAnsi="Arial" w:cs="Arial"/>
        </w:rPr>
        <w:t xml:space="preserve"> y apelación</w:t>
      </w:r>
      <w:r w:rsidRPr="00403DB2">
        <w:rPr>
          <w:rFonts w:ascii="Arial" w:hAnsi="Arial" w:cs="Arial"/>
        </w:rPr>
        <w:t xml:space="preserve"> </w:t>
      </w:r>
      <w:r>
        <w:rPr>
          <w:rFonts w:ascii="Arial" w:hAnsi="Arial" w:cs="Arial"/>
        </w:rPr>
        <w:t>(Artículo</w:t>
      </w:r>
      <w:r w:rsidR="004B7199">
        <w:rPr>
          <w:rFonts w:ascii="Arial" w:hAnsi="Arial" w:cs="Arial"/>
        </w:rPr>
        <w:t>s</w:t>
      </w:r>
      <w:r>
        <w:rPr>
          <w:rFonts w:ascii="Arial" w:hAnsi="Arial" w:cs="Arial"/>
        </w:rPr>
        <w:t xml:space="preserve"> 36</w:t>
      </w:r>
      <w:r w:rsidR="004B7199">
        <w:rPr>
          <w:rFonts w:ascii="Arial" w:hAnsi="Arial" w:cs="Arial"/>
        </w:rPr>
        <w:t xml:space="preserve"> y 37</w:t>
      </w:r>
      <w:r>
        <w:rPr>
          <w:rFonts w:ascii="Arial" w:hAnsi="Arial" w:cs="Arial"/>
        </w:rPr>
        <w:t xml:space="preserve">, Ley 472), </w:t>
      </w:r>
      <w:r w:rsidRPr="00403DB2">
        <w:rPr>
          <w:rFonts w:ascii="Arial" w:hAnsi="Arial" w:cs="Arial"/>
        </w:rPr>
        <w:t>cuando es</w:t>
      </w:r>
      <w:r w:rsidR="004B7199">
        <w:rPr>
          <w:rFonts w:ascii="Arial" w:hAnsi="Arial" w:cs="Arial"/>
        </w:rPr>
        <w:t>os</w:t>
      </w:r>
      <w:r w:rsidRPr="00403DB2">
        <w:rPr>
          <w:rFonts w:ascii="Arial" w:hAnsi="Arial" w:cs="Arial"/>
        </w:rPr>
        <w:t xml:space="preserve"> era</w:t>
      </w:r>
      <w:r w:rsidR="004B7199">
        <w:rPr>
          <w:rFonts w:ascii="Arial" w:hAnsi="Arial" w:cs="Arial"/>
        </w:rPr>
        <w:t xml:space="preserve">n los </w:t>
      </w:r>
      <w:r w:rsidRPr="00403DB2">
        <w:rPr>
          <w:rFonts w:ascii="Arial" w:hAnsi="Arial" w:cs="Arial"/>
        </w:rPr>
        <w:t>mecanismo</w:t>
      </w:r>
      <w:r w:rsidR="004B7199">
        <w:rPr>
          <w:rFonts w:ascii="Arial" w:hAnsi="Arial" w:cs="Arial"/>
        </w:rPr>
        <w:t>s</w:t>
      </w:r>
      <w:r w:rsidRPr="00403DB2">
        <w:rPr>
          <w:rFonts w:ascii="Arial" w:hAnsi="Arial" w:cs="Arial"/>
        </w:rPr>
        <w:t xml:space="preserve"> ordinario</w:t>
      </w:r>
      <w:r w:rsidR="004B7199">
        <w:rPr>
          <w:rFonts w:ascii="Arial" w:hAnsi="Arial" w:cs="Arial"/>
        </w:rPr>
        <w:t>s</w:t>
      </w:r>
      <w:r w:rsidRPr="00403DB2">
        <w:rPr>
          <w:rFonts w:ascii="Arial" w:hAnsi="Arial" w:cs="Arial"/>
        </w:rPr>
        <w:t xml:space="preserve"> </w:t>
      </w:r>
      <w:r>
        <w:rPr>
          <w:rFonts w:ascii="Arial" w:hAnsi="Arial" w:cs="Arial"/>
        </w:rPr>
        <w:t>y expedito</w:t>
      </w:r>
      <w:r w:rsidR="004B7199">
        <w:rPr>
          <w:rFonts w:ascii="Arial" w:hAnsi="Arial" w:cs="Arial"/>
        </w:rPr>
        <w:t>s</w:t>
      </w:r>
      <w:r>
        <w:rPr>
          <w:rFonts w:ascii="Arial" w:hAnsi="Arial" w:cs="Arial"/>
        </w:rPr>
        <w:t xml:space="preserve"> que tenía para </w:t>
      </w:r>
      <w:r w:rsidR="00B81F17">
        <w:rPr>
          <w:rFonts w:ascii="Arial" w:hAnsi="Arial" w:cs="Arial"/>
        </w:rPr>
        <w:t xml:space="preserve">controvertir las decisiones del </w:t>
      </w:r>
      <w:r w:rsidRPr="00403DB2">
        <w:rPr>
          <w:rFonts w:ascii="Arial" w:hAnsi="Arial" w:cs="Arial"/>
        </w:rPr>
        <w:t>estrado judicial</w:t>
      </w:r>
      <w:r>
        <w:rPr>
          <w:rFonts w:ascii="Arial" w:hAnsi="Arial" w:cs="Arial"/>
        </w:rPr>
        <w:t>, si es que disentía de ella</w:t>
      </w:r>
      <w:r w:rsidR="009342BB">
        <w:rPr>
          <w:rFonts w:ascii="Arial" w:hAnsi="Arial" w:cs="Arial"/>
        </w:rPr>
        <w:t>s</w:t>
      </w:r>
      <w:r>
        <w:rPr>
          <w:rFonts w:ascii="Arial" w:hAnsi="Arial" w:cs="Arial"/>
        </w:rPr>
        <w:t>.</w:t>
      </w:r>
      <w:r w:rsidRPr="00D9537B">
        <w:rPr>
          <w:rFonts w:ascii="Arial" w:hAnsi="Arial" w:cs="Arial"/>
        </w:rPr>
        <w:t xml:space="preserve"> </w:t>
      </w:r>
    </w:p>
    <w:p w:rsidR="002B73A7" w:rsidRPr="00194261" w:rsidRDefault="002B73A7" w:rsidP="002B73A7">
      <w:pPr>
        <w:spacing w:line="360" w:lineRule="auto"/>
        <w:jc w:val="both"/>
        <w:rPr>
          <w:rFonts w:ascii="Arial" w:hAnsi="Arial" w:cs="Arial"/>
          <w:iCs/>
          <w:color w:val="2D2D2D"/>
          <w:bdr w:val="none" w:sz="0" w:space="0" w:color="auto" w:frame="1"/>
        </w:rPr>
      </w:pPr>
    </w:p>
    <w:p w:rsidR="007B3B70" w:rsidRDefault="007B3B70" w:rsidP="007B3B70">
      <w:pPr>
        <w:spacing w:line="360" w:lineRule="auto"/>
        <w:ind w:right="51"/>
        <w:jc w:val="both"/>
        <w:rPr>
          <w:rFonts w:ascii="Arial" w:hAnsi="Arial"/>
        </w:rPr>
      </w:pPr>
      <w:r>
        <w:rPr>
          <w:rFonts w:ascii="Arial" w:hAnsi="Arial"/>
        </w:rPr>
        <w:t xml:space="preserve">Además, cabe </w:t>
      </w:r>
      <w:r w:rsidRPr="008B43C6">
        <w:rPr>
          <w:rFonts w:ascii="Arial" w:hAnsi="Arial"/>
        </w:rPr>
        <w:t xml:space="preserve">acotar que nada se arguyó y menos </w:t>
      </w:r>
      <w:r>
        <w:rPr>
          <w:rFonts w:ascii="Arial" w:hAnsi="Arial"/>
        </w:rPr>
        <w:t xml:space="preserve">se </w:t>
      </w:r>
      <w:r w:rsidRPr="008B43C6">
        <w:rPr>
          <w:rFonts w:ascii="Arial" w:hAnsi="Arial"/>
        </w:rPr>
        <w:t>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Refdenotaalpie"/>
          <w:rFonts w:ascii="Arial" w:hAnsi="Arial"/>
          <w:bCs/>
          <w:szCs w:val="22"/>
          <w:lang w:val="es-CO"/>
        </w:rPr>
        <w:footnoteReference w:id="28"/>
      </w:r>
      <w:r w:rsidRPr="008B43C6">
        <w:rPr>
          <w:rFonts w:ascii="Arial" w:hAnsi="Arial" w:cs="Arial"/>
          <w:bCs/>
          <w:szCs w:val="22"/>
          <w:lang w:val="es-CO"/>
        </w:rPr>
        <w:t>, de tal modo que amerite un análisis flexible del requisito de procedibilidad</w:t>
      </w:r>
      <w:r>
        <w:rPr>
          <w:rFonts w:ascii="Arial" w:hAnsi="Arial" w:cs="Arial"/>
          <w:bCs/>
          <w:szCs w:val="22"/>
          <w:lang w:val="es-CO"/>
        </w:rPr>
        <w:t xml:space="preserve">, </w:t>
      </w:r>
      <w:r>
        <w:rPr>
          <w:rFonts w:ascii="Arial" w:hAnsi="Arial"/>
        </w:rPr>
        <w:t>por ende solo a la parte le es imputable tal descuido.</w:t>
      </w:r>
    </w:p>
    <w:p w:rsidR="007B3B70" w:rsidRPr="00D54497" w:rsidRDefault="007B3B70" w:rsidP="007B3B70">
      <w:pPr>
        <w:spacing w:line="360" w:lineRule="auto"/>
        <w:ind w:right="51"/>
        <w:jc w:val="both"/>
        <w:rPr>
          <w:rFonts w:ascii="Arial" w:hAnsi="Arial"/>
          <w:sz w:val="20"/>
        </w:rPr>
      </w:pPr>
    </w:p>
    <w:p w:rsidR="007B3B70" w:rsidRPr="00B81F17" w:rsidRDefault="007B3B70" w:rsidP="007B3B70">
      <w:pPr>
        <w:widowControl/>
        <w:spacing w:line="360" w:lineRule="auto"/>
        <w:jc w:val="both"/>
        <w:rPr>
          <w:rFonts w:ascii="Arial" w:hAnsi="Arial" w:cs="Arial"/>
          <w:iCs/>
          <w:bdr w:val="none" w:sz="0" w:space="0" w:color="auto" w:frame="1"/>
        </w:rPr>
      </w:pPr>
      <w:r w:rsidRPr="00B81F17">
        <w:rPr>
          <w:rFonts w:ascii="Arial" w:hAnsi="Arial" w:cs="Arial"/>
          <w:lang w:val="es-ES_tradnl"/>
        </w:rPr>
        <w:t xml:space="preserve">En ese contexto, el presente amparo es improcedente toda vez que se incumple con uno de los siete (7) requisitos generales de procedibilidad, como lo es el de la subsidiariedad, dado que no se agotaron los recursos consignados </w:t>
      </w:r>
      <w:r w:rsidRPr="00B81F17">
        <w:rPr>
          <w:rFonts w:ascii="Arial" w:hAnsi="Arial" w:cs="Arial"/>
          <w:iCs/>
          <w:bdr w:val="none" w:sz="0" w:space="0" w:color="auto" w:frame="1"/>
        </w:rPr>
        <w:t>en el ordenamiento procesal.</w:t>
      </w:r>
    </w:p>
    <w:p w:rsidR="00825BDF" w:rsidRDefault="00825BDF" w:rsidP="00825BDF">
      <w:pPr>
        <w:pStyle w:val="Textoindependiente"/>
        <w:spacing w:line="360" w:lineRule="auto"/>
        <w:rPr>
          <w:rFonts w:ascii="Arial" w:hAnsi="Arial"/>
          <w:szCs w:val="24"/>
        </w:rPr>
      </w:pPr>
    </w:p>
    <w:p w:rsidR="009F33F0" w:rsidRPr="00825BDF" w:rsidRDefault="009F33F0" w:rsidP="00825BDF">
      <w:pPr>
        <w:pStyle w:val="Prrafodelista"/>
        <w:numPr>
          <w:ilvl w:val="1"/>
          <w:numId w:val="18"/>
        </w:numPr>
        <w:spacing w:line="360" w:lineRule="auto"/>
        <w:ind w:right="51"/>
        <w:jc w:val="both"/>
        <w:rPr>
          <w:rFonts w:ascii="Arial" w:hAnsi="Arial"/>
          <w:lang w:val="es-ES_tradnl"/>
        </w:rPr>
      </w:pPr>
      <w:r w:rsidRPr="00825BDF">
        <w:rPr>
          <w:rFonts w:ascii="Arial" w:hAnsi="Arial"/>
          <w:smallCaps/>
        </w:rPr>
        <w:t>La decisión sin motivación</w:t>
      </w:r>
    </w:p>
    <w:p w:rsidR="00E15D99" w:rsidRDefault="00E15D99" w:rsidP="00E94965">
      <w:pPr>
        <w:spacing w:line="360" w:lineRule="auto"/>
        <w:ind w:right="51"/>
        <w:jc w:val="both"/>
        <w:rPr>
          <w:rFonts w:ascii="Arial" w:hAnsi="Arial"/>
        </w:rPr>
      </w:pPr>
    </w:p>
    <w:p w:rsidR="00B81F17" w:rsidRDefault="00B81F17" w:rsidP="00E94965">
      <w:pPr>
        <w:pStyle w:val="Textoindependiente"/>
        <w:spacing w:line="360" w:lineRule="auto"/>
        <w:rPr>
          <w:rFonts w:ascii="Arial" w:hAnsi="Arial" w:cs="Arial"/>
        </w:rPr>
      </w:pPr>
      <w:r w:rsidRPr="00E94965">
        <w:rPr>
          <w:rFonts w:ascii="Arial" w:hAnsi="Arial" w:cs="Arial"/>
        </w:rPr>
        <w:t xml:space="preserve">Respecto de la queja por el monto de las agencias en derecho, </w:t>
      </w:r>
      <w:r w:rsidR="00E94965" w:rsidRPr="00E94965">
        <w:rPr>
          <w:rFonts w:ascii="Arial" w:hAnsi="Arial" w:cs="Arial"/>
        </w:rPr>
        <w:t xml:space="preserve">halla la Sala que </w:t>
      </w:r>
      <w:r w:rsidR="00E94965" w:rsidRPr="00E94965">
        <w:rPr>
          <w:rFonts w:ascii="Arial" w:hAnsi="Arial"/>
          <w:szCs w:val="24"/>
        </w:rPr>
        <w:t xml:space="preserve">los presupuestos generales están debidamente cumplidos. El asunto es de relevancia constitucional; se carece de medios ordinarios adicionales que puedan agotarse por </w:t>
      </w:r>
      <w:r w:rsidR="00FC0E43">
        <w:rPr>
          <w:rFonts w:ascii="Arial" w:hAnsi="Arial"/>
          <w:szCs w:val="24"/>
        </w:rPr>
        <w:t>el</w:t>
      </w:r>
      <w:r w:rsidR="00E94965" w:rsidRPr="00E94965">
        <w:rPr>
          <w:rFonts w:ascii="Arial" w:hAnsi="Arial"/>
          <w:szCs w:val="24"/>
        </w:rPr>
        <w:t xml:space="preserve"> accionante, el proveído que aprobó la liquidación de costas solo es recurrible en reposición </w:t>
      </w:r>
      <w:r w:rsidR="00E94965" w:rsidRPr="00E94965">
        <w:rPr>
          <w:rFonts w:ascii="Arial" w:hAnsi="Arial"/>
          <w:szCs w:val="24"/>
        </w:rPr>
        <w:lastRenderedPageBreak/>
        <w:t>(Artículo 36, Ley 472) (Subsidiariedad); la decisión reprochada no es de tutela; hay inmediatez porque el auto que resolvió el recurso</w:t>
      </w:r>
      <w:r w:rsidR="00E94965">
        <w:rPr>
          <w:rFonts w:ascii="Arial" w:hAnsi="Arial"/>
          <w:szCs w:val="24"/>
        </w:rPr>
        <w:t xml:space="preserve"> se dictó el 06-03-2017 </w:t>
      </w:r>
      <w:r w:rsidR="00E94965" w:rsidRPr="0073519C">
        <w:rPr>
          <w:rFonts w:ascii="Arial" w:hAnsi="Arial"/>
          <w:szCs w:val="24"/>
        </w:rPr>
        <w:t>(Folio</w:t>
      </w:r>
      <w:r w:rsidR="00E94965">
        <w:rPr>
          <w:rFonts w:ascii="Arial" w:hAnsi="Arial"/>
          <w:szCs w:val="24"/>
        </w:rPr>
        <w:t>s</w:t>
      </w:r>
      <w:r w:rsidR="00E94965" w:rsidRPr="0073519C">
        <w:rPr>
          <w:rFonts w:ascii="Arial" w:hAnsi="Arial"/>
          <w:szCs w:val="24"/>
        </w:rPr>
        <w:t xml:space="preserve"> </w:t>
      </w:r>
      <w:r w:rsidR="00E94965">
        <w:rPr>
          <w:rFonts w:ascii="Arial" w:hAnsi="Arial"/>
          <w:szCs w:val="24"/>
        </w:rPr>
        <w:t>143 del disco compacto visible a folio 8, ib.)</w:t>
      </w:r>
      <w:r w:rsidR="00E94965" w:rsidRPr="0073519C">
        <w:rPr>
          <w:rFonts w:ascii="Arial" w:hAnsi="Arial"/>
          <w:szCs w:val="24"/>
        </w:rPr>
        <w:t xml:space="preserve"> y la acción fue instaurada </w:t>
      </w:r>
      <w:r w:rsidR="00E94965">
        <w:rPr>
          <w:rFonts w:ascii="Arial" w:hAnsi="Arial"/>
          <w:szCs w:val="24"/>
        </w:rPr>
        <w:t xml:space="preserve">el 17-05-2017 </w:t>
      </w:r>
      <w:r w:rsidR="00E94965" w:rsidRPr="0073519C">
        <w:rPr>
          <w:rFonts w:ascii="Arial" w:hAnsi="Arial"/>
          <w:szCs w:val="24"/>
        </w:rPr>
        <w:t xml:space="preserve">(Folio </w:t>
      </w:r>
      <w:r w:rsidR="00E94965">
        <w:rPr>
          <w:rFonts w:ascii="Arial" w:hAnsi="Arial"/>
          <w:szCs w:val="24"/>
        </w:rPr>
        <w:t>1</w:t>
      </w:r>
      <w:r w:rsidR="00E94965" w:rsidRPr="0073519C">
        <w:rPr>
          <w:rFonts w:ascii="Arial" w:hAnsi="Arial"/>
          <w:szCs w:val="24"/>
        </w:rPr>
        <w:t xml:space="preserve">, </w:t>
      </w:r>
      <w:r w:rsidR="00E94965">
        <w:rPr>
          <w:rFonts w:ascii="Arial" w:hAnsi="Arial"/>
          <w:szCs w:val="24"/>
        </w:rPr>
        <w:t>ib</w:t>
      </w:r>
      <w:r w:rsidR="00E94965" w:rsidRPr="0073519C">
        <w:rPr>
          <w:rFonts w:ascii="Arial" w:hAnsi="Arial"/>
          <w:szCs w:val="24"/>
        </w:rPr>
        <w:t>.); la</w:t>
      </w:r>
      <w:r w:rsidR="00E94965">
        <w:rPr>
          <w:rFonts w:ascii="Arial" w:hAnsi="Arial"/>
          <w:szCs w:val="24"/>
        </w:rPr>
        <w:t>s</w:t>
      </w:r>
      <w:r w:rsidR="00E94965" w:rsidRPr="0073519C">
        <w:rPr>
          <w:rFonts w:ascii="Arial" w:hAnsi="Arial"/>
          <w:szCs w:val="24"/>
        </w:rPr>
        <w:t xml:space="preserve"> irregularidad</w:t>
      </w:r>
      <w:r w:rsidR="00E94965">
        <w:rPr>
          <w:rFonts w:ascii="Arial" w:hAnsi="Arial"/>
          <w:szCs w:val="24"/>
        </w:rPr>
        <w:t>es</w:t>
      </w:r>
      <w:r w:rsidR="00E94965" w:rsidRPr="0073519C">
        <w:rPr>
          <w:rFonts w:ascii="Arial" w:hAnsi="Arial"/>
          <w:szCs w:val="24"/>
        </w:rPr>
        <w:t xml:space="preserve"> realzada</w:t>
      </w:r>
      <w:r w:rsidR="00E94965">
        <w:rPr>
          <w:rFonts w:ascii="Arial" w:hAnsi="Arial"/>
          <w:szCs w:val="24"/>
        </w:rPr>
        <w:t>s</w:t>
      </w:r>
      <w:r w:rsidR="00E94965" w:rsidRPr="0073519C">
        <w:rPr>
          <w:rFonts w:ascii="Arial" w:hAnsi="Arial"/>
          <w:szCs w:val="24"/>
        </w:rPr>
        <w:t>, resulta</w:t>
      </w:r>
      <w:r w:rsidR="00E94965">
        <w:rPr>
          <w:rFonts w:ascii="Arial" w:hAnsi="Arial"/>
          <w:szCs w:val="24"/>
        </w:rPr>
        <w:t>n</w:t>
      </w:r>
      <w:r w:rsidR="00E94965" w:rsidRPr="0073519C">
        <w:rPr>
          <w:rFonts w:ascii="Arial" w:hAnsi="Arial"/>
          <w:szCs w:val="24"/>
        </w:rPr>
        <w:t xml:space="preserve"> ser trascen</w:t>
      </w:r>
      <w:r w:rsidR="00E94965">
        <w:rPr>
          <w:rFonts w:ascii="Arial" w:hAnsi="Arial"/>
          <w:szCs w:val="24"/>
        </w:rPr>
        <w:t>dentes en el trámite procedimental y fueron identificadas en la tutela.</w:t>
      </w:r>
    </w:p>
    <w:p w:rsidR="00B81F17" w:rsidRDefault="00B81F17" w:rsidP="00BC670E">
      <w:pPr>
        <w:spacing w:line="360" w:lineRule="auto"/>
        <w:ind w:right="51"/>
        <w:jc w:val="both"/>
        <w:rPr>
          <w:rFonts w:ascii="Arial" w:hAnsi="Arial"/>
          <w:szCs w:val="22"/>
          <w:lang w:val="es-ES_tradnl"/>
        </w:rPr>
      </w:pPr>
    </w:p>
    <w:p w:rsidR="00BC670E" w:rsidRDefault="00BC670E" w:rsidP="00BC670E">
      <w:pPr>
        <w:spacing w:line="360" w:lineRule="auto"/>
        <w:ind w:right="51"/>
        <w:jc w:val="both"/>
        <w:rPr>
          <w:rFonts w:ascii="Arial" w:hAnsi="Arial"/>
        </w:rPr>
      </w:pPr>
      <w:r w:rsidRPr="004F3849">
        <w:rPr>
          <w:rFonts w:ascii="Arial" w:hAnsi="Arial"/>
          <w:szCs w:val="22"/>
          <w:lang w:val="es-ES_tradnl"/>
        </w:rPr>
        <w:t xml:space="preserve">Descendiendo al caso, </w:t>
      </w:r>
      <w:r>
        <w:rPr>
          <w:rFonts w:ascii="Arial" w:hAnsi="Arial"/>
          <w:szCs w:val="22"/>
          <w:lang w:val="es-ES_tradnl"/>
        </w:rPr>
        <w:t xml:space="preserve">pide </w:t>
      </w:r>
      <w:r>
        <w:rPr>
          <w:rFonts w:ascii="Arial" w:hAnsi="Arial"/>
        </w:rPr>
        <w:t xml:space="preserve">el accionante </w:t>
      </w:r>
      <w:r w:rsidR="00E94965">
        <w:rPr>
          <w:rFonts w:ascii="Arial" w:hAnsi="Arial"/>
        </w:rPr>
        <w:t xml:space="preserve">que el </w:t>
      </w:r>
      <w:r>
        <w:rPr>
          <w:rFonts w:ascii="Arial" w:hAnsi="Arial"/>
        </w:rPr>
        <w:t>Juzgado</w:t>
      </w:r>
      <w:r w:rsidR="00E94965">
        <w:rPr>
          <w:rFonts w:ascii="Arial" w:hAnsi="Arial"/>
        </w:rPr>
        <w:t xml:space="preserve"> </w:t>
      </w:r>
      <w:r>
        <w:rPr>
          <w:rFonts w:ascii="Arial" w:hAnsi="Arial"/>
        </w:rPr>
        <w:t xml:space="preserve">determine los lineamientos en que </w:t>
      </w:r>
      <w:r w:rsidR="00E94965">
        <w:rPr>
          <w:rFonts w:ascii="Arial" w:hAnsi="Arial"/>
        </w:rPr>
        <w:t xml:space="preserve">apoyó </w:t>
      </w:r>
      <w:r>
        <w:rPr>
          <w:rFonts w:ascii="Arial" w:hAnsi="Arial"/>
        </w:rPr>
        <w:t xml:space="preserve">la decisión de fijar agencias en derecho a su favor por cuantía de $50.000 cuando prosperan sus pretensiones, y de un (1) </w:t>
      </w:r>
      <w:r w:rsidR="00C86BDC">
        <w:rPr>
          <w:rFonts w:ascii="Arial" w:hAnsi="Arial"/>
        </w:rPr>
        <w:t>smlmv</w:t>
      </w:r>
      <w:r>
        <w:rPr>
          <w:rFonts w:ascii="Arial" w:hAnsi="Arial"/>
        </w:rPr>
        <w:t>, cuando son adversas.</w:t>
      </w:r>
    </w:p>
    <w:p w:rsidR="00700C2C" w:rsidRDefault="00700C2C" w:rsidP="00700C2C">
      <w:pPr>
        <w:spacing w:line="360" w:lineRule="auto"/>
        <w:ind w:right="51"/>
        <w:jc w:val="both"/>
        <w:rPr>
          <w:rFonts w:ascii="Arial" w:hAnsi="Arial"/>
        </w:rPr>
      </w:pPr>
    </w:p>
    <w:p w:rsidR="00972462" w:rsidRDefault="00BD7CD1" w:rsidP="00972462">
      <w:pPr>
        <w:spacing w:line="360" w:lineRule="auto"/>
        <w:ind w:right="51"/>
        <w:jc w:val="both"/>
        <w:rPr>
          <w:rFonts w:ascii="Arial" w:hAnsi="Arial" w:cs="Arial"/>
        </w:rPr>
      </w:pPr>
      <w:r>
        <w:rPr>
          <w:rFonts w:ascii="Arial" w:hAnsi="Arial"/>
        </w:rPr>
        <w:t>El</w:t>
      </w:r>
      <w:r w:rsidR="00700C2C">
        <w:rPr>
          <w:rFonts w:ascii="Arial" w:hAnsi="Arial"/>
        </w:rPr>
        <w:t xml:space="preserve"> </w:t>
      </w:r>
      <w:r w:rsidR="00C86BDC">
        <w:rPr>
          <w:rFonts w:ascii="Arial" w:hAnsi="Arial"/>
        </w:rPr>
        <w:t>22</w:t>
      </w:r>
      <w:r w:rsidR="00700C2C">
        <w:rPr>
          <w:rFonts w:ascii="Arial" w:hAnsi="Arial"/>
        </w:rPr>
        <w:t xml:space="preserve">-02-2017 </w:t>
      </w:r>
      <w:r w:rsidR="00C86BDC">
        <w:rPr>
          <w:rFonts w:ascii="Arial" w:hAnsi="Arial"/>
        </w:rPr>
        <w:t xml:space="preserve">el accionado escasamente aludió que </w:t>
      </w:r>
      <w:r w:rsidR="00C86BDC" w:rsidRPr="00C86BDC">
        <w:rPr>
          <w:rFonts w:ascii="Arial" w:hAnsi="Arial"/>
          <w:i/>
          <w:sz w:val="22"/>
        </w:rPr>
        <w:t>“(…) para los efectos de la liquidación de costas que las agencias en derecho en esta instancia se fijan conforme a la labor desplegada por la triúnfate (…)”</w:t>
      </w:r>
      <w:r w:rsidR="00C86BDC" w:rsidRPr="00C86BDC">
        <w:rPr>
          <w:rFonts w:ascii="Arial" w:hAnsi="Arial"/>
          <w:sz w:val="22"/>
        </w:rPr>
        <w:t xml:space="preserve"> </w:t>
      </w:r>
      <w:r w:rsidR="00B170C5">
        <w:rPr>
          <w:rFonts w:ascii="Arial" w:hAnsi="Arial"/>
        </w:rPr>
        <w:t>(</w:t>
      </w:r>
      <w:r w:rsidR="00700C2C" w:rsidRPr="00EF6C70">
        <w:rPr>
          <w:rFonts w:ascii="Arial" w:hAnsi="Arial" w:cs="Arial"/>
          <w:lang w:val="es-ES_tradnl"/>
        </w:rPr>
        <w:t>Folio</w:t>
      </w:r>
      <w:r w:rsidR="00700C2C">
        <w:rPr>
          <w:rFonts w:ascii="Arial" w:hAnsi="Arial" w:cs="Arial"/>
        </w:rPr>
        <w:t xml:space="preserve"> </w:t>
      </w:r>
      <w:r w:rsidR="00C86BDC">
        <w:rPr>
          <w:rFonts w:ascii="Arial" w:hAnsi="Arial" w:cs="Arial"/>
        </w:rPr>
        <w:t>139</w:t>
      </w:r>
      <w:r w:rsidR="00700C2C" w:rsidRPr="00EF6C70">
        <w:rPr>
          <w:rFonts w:ascii="Arial" w:hAnsi="Arial" w:cs="Arial"/>
          <w:lang w:val="es-ES_tradnl"/>
        </w:rPr>
        <w:t xml:space="preserve"> del disco compacto visible a folio </w:t>
      </w:r>
      <w:r w:rsidR="00700C2C">
        <w:rPr>
          <w:rFonts w:ascii="Arial" w:hAnsi="Arial" w:cs="Arial"/>
          <w:lang w:val="es-ES_tradnl"/>
        </w:rPr>
        <w:t xml:space="preserve">8, ib.), </w:t>
      </w:r>
      <w:r w:rsidR="00C86BDC">
        <w:rPr>
          <w:rFonts w:ascii="Arial" w:hAnsi="Arial" w:cs="Arial"/>
          <w:lang w:val="es-ES_tradnl"/>
        </w:rPr>
        <w:t xml:space="preserve">y en el proveído del 06-03-2017 mediante el que resolvió la reposición </w:t>
      </w:r>
      <w:r w:rsidR="00C86BDC">
        <w:rPr>
          <w:rFonts w:ascii="Arial" w:hAnsi="Arial"/>
        </w:rPr>
        <w:t>expuso</w:t>
      </w:r>
      <w:r w:rsidR="00B170C5">
        <w:rPr>
          <w:rFonts w:ascii="Arial" w:hAnsi="Arial"/>
        </w:rPr>
        <w:t>:</w:t>
      </w:r>
      <w:r w:rsidR="00700C2C">
        <w:rPr>
          <w:rFonts w:ascii="Arial" w:hAnsi="Arial" w:cs="Arial"/>
          <w:lang w:val="es-ES_tradnl"/>
        </w:rPr>
        <w:t xml:space="preserve"> </w:t>
      </w:r>
      <w:r w:rsidR="00700C2C" w:rsidRPr="00E94965">
        <w:rPr>
          <w:rFonts w:ascii="Arial" w:hAnsi="Arial" w:cs="Arial"/>
          <w:sz w:val="22"/>
          <w:lang w:val="es-ES_tradnl"/>
        </w:rPr>
        <w:t>“</w:t>
      </w:r>
      <w:r w:rsidR="00B170C5" w:rsidRPr="00E94965">
        <w:rPr>
          <w:rFonts w:ascii="Arial" w:hAnsi="Arial" w:cs="Arial"/>
          <w:sz w:val="22"/>
          <w:lang w:val="es-ES_tradnl"/>
        </w:rPr>
        <w:t>(…)</w:t>
      </w:r>
      <w:r w:rsidR="00F754F7">
        <w:rPr>
          <w:rFonts w:ascii="Arial" w:hAnsi="Arial" w:cs="Arial"/>
          <w:sz w:val="22"/>
          <w:lang w:val="es-ES_tradnl"/>
        </w:rPr>
        <w:t xml:space="preserve"> </w:t>
      </w:r>
      <w:r w:rsidR="00F754F7" w:rsidRPr="00F754F7">
        <w:rPr>
          <w:rFonts w:ascii="Arial" w:hAnsi="Arial" w:cs="Arial"/>
          <w:i/>
          <w:sz w:val="22"/>
          <w:lang w:val="es-ES_tradnl"/>
        </w:rPr>
        <w:t>en</w:t>
      </w:r>
      <w:r w:rsidR="00F754F7">
        <w:rPr>
          <w:rFonts w:ascii="Arial" w:hAnsi="Arial" w:cs="Arial"/>
          <w:sz w:val="22"/>
          <w:lang w:val="es-ES_tradnl"/>
        </w:rPr>
        <w:t xml:space="preserve"> </w:t>
      </w:r>
      <w:r w:rsidR="00700C2C" w:rsidRPr="00E94965">
        <w:rPr>
          <w:rFonts w:ascii="Arial" w:hAnsi="Arial" w:cs="Arial"/>
          <w:i/>
          <w:sz w:val="22"/>
          <w:lang w:val="es-ES_tradnl"/>
        </w:rPr>
        <w:t>dicha estimación tiene en cuenta la gestión dentro del proceso, las asistencias a las audiencias programadas por este despacho, entre otros. Razón por la cual se ta</w:t>
      </w:r>
      <w:r w:rsidR="00DC79C0">
        <w:rPr>
          <w:rFonts w:ascii="Arial" w:hAnsi="Arial" w:cs="Arial"/>
          <w:i/>
          <w:sz w:val="22"/>
          <w:lang w:val="es-ES_tradnl"/>
        </w:rPr>
        <w:t>z</w:t>
      </w:r>
      <w:r w:rsidR="00700C2C" w:rsidRPr="00E94965">
        <w:rPr>
          <w:rFonts w:ascii="Arial" w:hAnsi="Arial" w:cs="Arial"/>
          <w:i/>
          <w:sz w:val="22"/>
          <w:lang w:val="es-ES_tradnl"/>
        </w:rPr>
        <w:t xml:space="preserve">an </w:t>
      </w:r>
      <w:r w:rsidR="00DC79C0">
        <w:rPr>
          <w:rFonts w:ascii="Arial" w:hAnsi="Arial" w:cs="Arial"/>
          <w:i/>
          <w:sz w:val="22"/>
          <w:lang w:val="es-ES_tradnl"/>
        </w:rPr>
        <w:t xml:space="preserve">(Sic) </w:t>
      </w:r>
      <w:r w:rsidR="00700C2C" w:rsidRPr="00E94965">
        <w:rPr>
          <w:rFonts w:ascii="Arial" w:hAnsi="Arial" w:cs="Arial"/>
          <w:i/>
          <w:sz w:val="22"/>
          <w:lang w:val="es-ES_tradnl"/>
        </w:rPr>
        <w:t>diferentes las agencias en derecho a cargo del sujeto procesal que corresponda; situación que ha sido completamente analizada en este caso</w:t>
      </w:r>
      <w:r w:rsidR="00B170C5" w:rsidRPr="00E94965">
        <w:rPr>
          <w:rFonts w:ascii="Arial" w:hAnsi="Arial" w:cs="Arial"/>
          <w:i/>
          <w:sz w:val="22"/>
          <w:lang w:val="es-ES_tradnl"/>
        </w:rPr>
        <w:t xml:space="preserve"> (</w:t>
      </w:r>
      <w:r w:rsidR="00700C2C" w:rsidRPr="00E94965">
        <w:rPr>
          <w:rFonts w:ascii="Arial" w:hAnsi="Arial" w:cs="Arial"/>
          <w:i/>
          <w:sz w:val="22"/>
          <w:lang w:val="es-ES_tradnl"/>
        </w:rPr>
        <w:t>…</w:t>
      </w:r>
      <w:r w:rsidR="00B170C5" w:rsidRPr="00E94965">
        <w:rPr>
          <w:rFonts w:ascii="Arial" w:hAnsi="Arial" w:cs="Arial"/>
          <w:i/>
          <w:sz w:val="22"/>
          <w:lang w:val="es-ES_tradnl"/>
        </w:rPr>
        <w:t>)</w:t>
      </w:r>
      <w:r w:rsidR="00700C2C" w:rsidRPr="00E94965">
        <w:rPr>
          <w:rFonts w:ascii="Arial" w:hAnsi="Arial" w:cs="Arial"/>
          <w:i/>
          <w:sz w:val="22"/>
          <w:lang w:val="es-ES_tradnl"/>
        </w:rPr>
        <w:t>”</w:t>
      </w:r>
      <w:r w:rsidR="00F754F7">
        <w:rPr>
          <w:rFonts w:ascii="Arial" w:hAnsi="Arial" w:cs="Arial"/>
          <w:i/>
          <w:sz w:val="22"/>
          <w:lang w:val="es-ES_tradnl"/>
        </w:rPr>
        <w:t xml:space="preserve"> </w:t>
      </w:r>
      <w:r w:rsidR="00700C2C">
        <w:rPr>
          <w:rFonts w:ascii="Arial" w:hAnsi="Arial"/>
        </w:rPr>
        <w:t>(</w:t>
      </w:r>
      <w:r w:rsidR="00700C2C" w:rsidRPr="00EF6C70">
        <w:rPr>
          <w:rFonts w:ascii="Arial" w:hAnsi="Arial" w:cs="Arial"/>
          <w:lang w:val="es-ES_tradnl"/>
        </w:rPr>
        <w:t>Folio</w:t>
      </w:r>
      <w:r w:rsidR="00700C2C">
        <w:rPr>
          <w:rFonts w:ascii="Arial" w:hAnsi="Arial" w:cs="Arial"/>
        </w:rPr>
        <w:t xml:space="preserve"> 143</w:t>
      </w:r>
      <w:r w:rsidR="00700C2C" w:rsidRPr="00EF6C70">
        <w:rPr>
          <w:rFonts w:ascii="Arial" w:hAnsi="Arial" w:cs="Arial"/>
          <w:lang w:val="es-ES_tradnl"/>
        </w:rPr>
        <w:t xml:space="preserve"> del disco compacto visible a folio </w:t>
      </w:r>
      <w:r w:rsidR="00700C2C">
        <w:rPr>
          <w:rFonts w:ascii="Arial" w:hAnsi="Arial" w:cs="Arial"/>
          <w:lang w:val="es-ES_tradnl"/>
        </w:rPr>
        <w:t>8, ib.)</w:t>
      </w:r>
      <w:r w:rsidR="00054793">
        <w:rPr>
          <w:rFonts w:ascii="Arial" w:hAnsi="Arial" w:cs="Arial"/>
          <w:lang w:val="es-ES_tradnl"/>
        </w:rPr>
        <w:t>.</w:t>
      </w:r>
      <w:r w:rsidR="00972462">
        <w:rPr>
          <w:rFonts w:ascii="Arial" w:hAnsi="Arial" w:cs="Arial"/>
        </w:rPr>
        <w:t xml:space="preserve"> </w:t>
      </w:r>
    </w:p>
    <w:p w:rsidR="00972462" w:rsidRDefault="00972462" w:rsidP="00972462">
      <w:pPr>
        <w:spacing w:line="360" w:lineRule="auto"/>
        <w:ind w:right="51"/>
        <w:jc w:val="both"/>
        <w:rPr>
          <w:rFonts w:ascii="Arial" w:hAnsi="Arial" w:cs="Arial"/>
        </w:rPr>
      </w:pPr>
    </w:p>
    <w:p w:rsidR="00054793" w:rsidRDefault="00972462" w:rsidP="00972462">
      <w:pPr>
        <w:spacing w:line="360" w:lineRule="auto"/>
        <w:ind w:right="51"/>
        <w:jc w:val="both"/>
        <w:rPr>
          <w:rFonts w:ascii="Arial" w:hAnsi="Arial" w:cs="Arial"/>
        </w:rPr>
      </w:pPr>
      <w:r>
        <w:rPr>
          <w:rFonts w:ascii="Arial" w:hAnsi="Arial" w:cs="Arial"/>
        </w:rPr>
        <w:t xml:space="preserve">Para la Sala resulta evidente que </w:t>
      </w:r>
      <w:r w:rsidR="0059355B">
        <w:rPr>
          <w:rFonts w:ascii="Arial" w:hAnsi="Arial" w:cs="Arial"/>
        </w:rPr>
        <w:t xml:space="preserve">el </w:t>
      </w:r>
      <w:r>
        <w:rPr>
          <w:rFonts w:ascii="Arial" w:hAnsi="Arial" w:cs="Arial"/>
        </w:rPr>
        <w:t xml:space="preserve">accionado incurrió en vía de hecho al proferir una decisión </w:t>
      </w:r>
      <w:r w:rsidR="00F754F7">
        <w:rPr>
          <w:rFonts w:ascii="Arial" w:hAnsi="Arial" w:cs="Arial"/>
        </w:rPr>
        <w:t xml:space="preserve">con </w:t>
      </w:r>
      <w:r>
        <w:rPr>
          <w:rFonts w:ascii="Arial" w:hAnsi="Arial" w:cs="Arial"/>
        </w:rPr>
        <w:t>motivación</w:t>
      </w:r>
      <w:r w:rsidR="00F754F7">
        <w:rPr>
          <w:rFonts w:ascii="Arial" w:hAnsi="Arial" w:cs="Arial"/>
        </w:rPr>
        <w:t xml:space="preserve"> abstracta</w:t>
      </w:r>
      <w:r>
        <w:rPr>
          <w:rFonts w:ascii="Arial" w:hAnsi="Arial" w:cs="Arial"/>
        </w:rPr>
        <w:t xml:space="preserve">, </w:t>
      </w:r>
      <w:r w:rsidR="00F754F7">
        <w:rPr>
          <w:rFonts w:ascii="Arial" w:hAnsi="Arial" w:cs="Arial"/>
        </w:rPr>
        <w:t>dio cuenta de algunas de las razones que contempla la norma para su tasación (</w:t>
      </w:r>
      <w:r w:rsidR="006D0532">
        <w:rPr>
          <w:rFonts w:ascii="Arial" w:hAnsi="Arial" w:cs="Arial"/>
        </w:rPr>
        <w:t>A</w:t>
      </w:r>
      <w:r w:rsidR="00B223EE">
        <w:rPr>
          <w:rFonts w:ascii="Arial" w:hAnsi="Arial"/>
        </w:rPr>
        <w:t>cuerdo PSAA16-105554 expedido por el CSJ</w:t>
      </w:r>
      <w:r w:rsidR="00F754F7">
        <w:rPr>
          <w:rFonts w:ascii="Arial" w:hAnsi="Arial"/>
        </w:rPr>
        <w:t xml:space="preserve"> y artículo 336 del CGP), pero nunca preciso para el caso particular cuá</w:t>
      </w:r>
      <w:r w:rsidR="0059355B">
        <w:rPr>
          <w:rFonts w:ascii="Arial" w:hAnsi="Arial"/>
        </w:rPr>
        <w:t xml:space="preserve">les fueron </w:t>
      </w:r>
      <w:r w:rsidR="00F754F7">
        <w:rPr>
          <w:rFonts w:ascii="Arial" w:hAnsi="Arial"/>
        </w:rPr>
        <w:t xml:space="preserve">realmente </w:t>
      </w:r>
      <w:r w:rsidR="0059355B">
        <w:rPr>
          <w:rFonts w:ascii="Arial" w:hAnsi="Arial"/>
        </w:rPr>
        <w:t xml:space="preserve">las </w:t>
      </w:r>
      <w:r w:rsidR="00054793">
        <w:rPr>
          <w:rFonts w:ascii="Arial" w:hAnsi="Arial"/>
        </w:rPr>
        <w:t>actuaciones</w:t>
      </w:r>
      <w:r w:rsidR="0059355B">
        <w:rPr>
          <w:rFonts w:ascii="Arial" w:hAnsi="Arial"/>
        </w:rPr>
        <w:t xml:space="preserve"> </w:t>
      </w:r>
      <w:r w:rsidR="00F754F7">
        <w:rPr>
          <w:rFonts w:ascii="Arial" w:hAnsi="Arial"/>
        </w:rPr>
        <w:t xml:space="preserve">y gestiones </w:t>
      </w:r>
      <w:r w:rsidR="0059355B" w:rsidRPr="005F38F4">
        <w:rPr>
          <w:rFonts w:ascii="Arial" w:hAnsi="Arial" w:cs="Arial"/>
        </w:rPr>
        <w:t>realizada</w:t>
      </w:r>
      <w:r w:rsidR="00F754F7">
        <w:rPr>
          <w:rFonts w:ascii="Arial" w:hAnsi="Arial" w:cs="Arial"/>
        </w:rPr>
        <w:t>s</w:t>
      </w:r>
      <w:r w:rsidR="0059355B" w:rsidRPr="005F38F4">
        <w:rPr>
          <w:rFonts w:ascii="Arial" w:hAnsi="Arial" w:cs="Arial"/>
        </w:rPr>
        <w:t xml:space="preserve"> por el apoderado </w:t>
      </w:r>
      <w:r w:rsidR="00F754F7">
        <w:rPr>
          <w:rFonts w:ascii="Arial" w:hAnsi="Arial" w:cs="Arial"/>
        </w:rPr>
        <w:t xml:space="preserve">o </w:t>
      </w:r>
      <w:r w:rsidR="0059355B" w:rsidRPr="005F38F4">
        <w:rPr>
          <w:rFonts w:ascii="Arial" w:hAnsi="Arial" w:cs="Arial"/>
        </w:rPr>
        <w:t>la parte</w:t>
      </w:r>
      <w:r w:rsidR="0059355B">
        <w:rPr>
          <w:rFonts w:ascii="Arial" w:hAnsi="Arial" w:cs="Arial"/>
        </w:rPr>
        <w:t xml:space="preserve"> beneficiada, </w:t>
      </w:r>
      <w:r w:rsidR="00F754F7">
        <w:rPr>
          <w:rFonts w:ascii="Arial" w:hAnsi="Arial" w:cs="Arial"/>
        </w:rPr>
        <w:t xml:space="preserve">que dieron lugar a la suma fijada; hay que precisar esas </w:t>
      </w:r>
      <w:r w:rsidR="00054793" w:rsidRPr="005F38F4">
        <w:rPr>
          <w:rFonts w:ascii="Arial" w:hAnsi="Arial" w:cs="Arial"/>
        </w:rPr>
        <w:t>circunstancias especiales</w:t>
      </w:r>
      <w:r w:rsidR="00F754F7">
        <w:rPr>
          <w:rFonts w:ascii="Arial" w:hAnsi="Arial" w:cs="Arial"/>
        </w:rPr>
        <w:t xml:space="preserve"> y no simplemente enunciar genéricamente las situaciones que contempla la norma para ese ejercicio. En ninguno de los dos proveídos tuvo a bien hacerlo.</w:t>
      </w:r>
      <w:r w:rsidR="00DC79C0">
        <w:rPr>
          <w:rFonts w:ascii="Arial" w:hAnsi="Arial"/>
        </w:rPr>
        <w:t xml:space="preserve"> En síntesis nunca indicó </w:t>
      </w:r>
      <w:r w:rsidR="00F754F7">
        <w:rPr>
          <w:rFonts w:ascii="Arial" w:hAnsi="Arial"/>
        </w:rPr>
        <w:t>por qué fijó ese valor de agencias en derecho</w:t>
      </w:r>
      <w:r w:rsidR="00DC79C0">
        <w:rPr>
          <w:rFonts w:ascii="Arial" w:hAnsi="Arial"/>
        </w:rPr>
        <w:t>.</w:t>
      </w:r>
    </w:p>
    <w:p w:rsidR="00054793" w:rsidRDefault="00054793" w:rsidP="00972462">
      <w:pPr>
        <w:spacing w:line="360" w:lineRule="auto"/>
        <w:ind w:right="51"/>
        <w:jc w:val="both"/>
        <w:rPr>
          <w:rFonts w:ascii="Arial" w:hAnsi="Arial" w:cs="Arial"/>
        </w:rPr>
      </w:pPr>
    </w:p>
    <w:p w:rsidR="00972462" w:rsidRDefault="00972462" w:rsidP="00972462">
      <w:pPr>
        <w:spacing w:line="360" w:lineRule="auto"/>
        <w:ind w:right="51"/>
        <w:jc w:val="both"/>
        <w:rPr>
          <w:rFonts w:ascii="Arial" w:hAnsi="Arial" w:cs="Arial"/>
          <w:lang w:val="es-CO"/>
        </w:rPr>
      </w:pPr>
      <w:r>
        <w:rPr>
          <w:rFonts w:ascii="Arial" w:hAnsi="Arial" w:cs="Arial"/>
          <w:lang w:val="es-CO"/>
        </w:rPr>
        <w:t xml:space="preserve">Corolario, esta Magistratura considera existente la vulneración de los derechos fundamentales al debido proceso y a la administración de justicia del accionante, por advertirse la falta de justificación suficiente en su decisión, por lo tanto, </w:t>
      </w:r>
      <w:r w:rsidR="004505E5">
        <w:rPr>
          <w:rFonts w:ascii="Arial" w:hAnsi="Arial" w:cs="Arial"/>
          <w:lang w:val="es-CO"/>
        </w:rPr>
        <w:t xml:space="preserve">se </w:t>
      </w:r>
      <w:r>
        <w:rPr>
          <w:rFonts w:ascii="Arial" w:hAnsi="Arial" w:cs="Arial"/>
          <w:lang w:val="es-CO"/>
        </w:rPr>
        <w:t xml:space="preserve">concederá el amparo constitucional. </w:t>
      </w:r>
    </w:p>
    <w:p w:rsidR="0081743D" w:rsidRPr="009F33F0" w:rsidRDefault="0081743D" w:rsidP="0081743D">
      <w:pPr>
        <w:pStyle w:val="Textoindependiente"/>
        <w:spacing w:line="360" w:lineRule="auto"/>
        <w:rPr>
          <w:rFonts w:ascii="Arial" w:hAnsi="Arial"/>
          <w:szCs w:val="24"/>
        </w:rPr>
      </w:pPr>
    </w:p>
    <w:p w:rsidR="00972462" w:rsidRPr="00825BDF" w:rsidRDefault="0081743D" w:rsidP="00825BDF">
      <w:pPr>
        <w:pStyle w:val="Prrafodelista"/>
        <w:numPr>
          <w:ilvl w:val="1"/>
          <w:numId w:val="32"/>
        </w:numPr>
        <w:spacing w:line="360" w:lineRule="auto"/>
        <w:ind w:right="51"/>
        <w:jc w:val="both"/>
        <w:rPr>
          <w:rFonts w:ascii="Arial" w:hAnsi="Arial"/>
        </w:rPr>
      </w:pPr>
      <w:r w:rsidRPr="00825BDF">
        <w:rPr>
          <w:rFonts w:ascii="Arial" w:hAnsi="Arial"/>
          <w:smallCaps/>
        </w:rPr>
        <w:t xml:space="preserve">temeraria y la cosa juzgada constitucional </w:t>
      </w:r>
    </w:p>
    <w:p w:rsidR="001A70AA" w:rsidRDefault="001A70AA" w:rsidP="00C15529">
      <w:pPr>
        <w:spacing w:line="360" w:lineRule="auto"/>
        <w:ind w:right="51"/>
        <w:jc w:val="both"/>
        <w:rPr>
          <w:rFonts w:ascii="Arial" w:hAnsi="Arial"/>
        </w:rPr>
      </w:pPr>
    </w:p>
    <w:p w:rsidR="003D5BBF" w:rsidRPr="002128C2" w:rsidRDefault="003D5BBF" w:rsidP="003D5BBF">
      <w:pPr>
        <w:pStyle w:val="Textoindependiente"/>
        <w:spacing w:line="360" w:lineRule="auto"/>
        <w:rPr>
          <w:rFonts w:ascii="Arial" w:hAnsi="Arial" w:cs="Arial"/>
          <w:szCs w:val="24"/>
        </w:rPr>
      </w:pPr>
      <w:r>
        <w:rPr>
          <w:rFonts w:ascii="Arial" w:hAnsi="Arial" w:cs="Arial"/>
          <w:szCs w:val="24"/>
        </w:rPr>
        <w:lastRenderedPageBreak/>
        <w:t>S</w:t>
      </w:r>
      <w:r w:rsidRPr="002128C2">
        <w:rPr>
          <w:rFonts w:ascii="Arial" w:hAnsi="Arial" w:cs="Arial"/>
          <w:szCs w:val="24"/>
        </w:rPr>
        <w:t>e</w:t>
      </w:r>
      <w:r w:rsidR="00DC79C0">
        <w:rPr>
          <w:rFonts w:ascii="Arial" w:hAnsi="Arial" w:cs="Arial"/>
          <w:szCs w:val="24"/>
        </w:rPr>
        <w:t xml:space="preserve"> arguye también la </w:t>
      </w:r>
      <w:r w:rsidRPr="002128C2">
        <w:rPr>
          <w:rFonts w:ascii="Arial" w:hAnsi="Arial" w:cs="Arial"/>
          <w:szCs w:val="24"/>
        </w:rPr>
        <w:t>renuencia de la Defensoría del Pueblo, Regional Caldas</w:t>
      </w:r>
      <w:r>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3D5BBF" w:rsidRPr="00B46365" w:rsidRDefault="003D5BBF" w:rsidP="003D5BBF">
      <w:pPr>
        <w:pStyle w:val="Textoindependiente"/>
        <w:spacing w:line="360" w:lineRule="auto"/>
        <w:rPr>
          <w:rFonts w:ascii="Arial" w:hAnsi="Arial"/>
          <w:szCs w:val="24"/>
          <w:lang w:val="es-CO"/>
        </w:rPr>
      </w:pPr>
    </w:p>
    <w:p w:rsidR="003D5BBF" w:rsidRDefault="003D5BBF" w:rsidP="003D5BBF">
      <w:pPr>
        <w:pStyle w:val="Textoindependiente"/>
        <w:spacing w:line="360" w:lineRule="auto"/>
        <w:rPr>
          <w:rFonts w:ascii="Arial" w:hAnsi="Arial" w:cs="Arial"/>
          <w:szCs w:val="24"/>
        </w:rPr>
      </w:pPr>
      <w:r>
        <w:rPr>
          <w:rFonts w:ascii="Arial" w:hAnsi="Arial" w:cs="Arial"/>
          <w:szCs w:val="24"/>
        </w:rPr>
        <w:t>Importa</w:t>
      </w:r>
      <w:r w:rsidRPr="009774F5">
        <w:rPr>
          <w:rFonts w:ascii="Arial" w:hAnsi="Arial" w:cs="Arial"/>
          <w:szCs w:val="24"/>
        </w:rPr>
        <w:t xml:space="preserve"> 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w:t>
      </w:r>
    </w:p>
    <w:p w:rsidR="003D5BBF" w:rsidRDefault="003D5BBF" w:rsidP="003D5BBF">
      <w:pPr>
        <w:pStyle w:val="Textoindependiente"/>
        <w:spacing w:line="360" w:lineRule="auto"/>
        <w:rPr>
          <w:rFonts w:ascii="Arial" w:hAnsi="Arial" w:cs="Arial"/>
          <w:szCs w:val="24"/>
        </w:rPr>
      </w:pPr>
    </w:p>
    <w:p w:rsidR="003D5BBF" w:rsidRDefault="003D5BBF" w:rsidP="003D5BBF">
      <w:pPr>
        <w:pStyle w:val="Textoindependien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w:t>
      </w:r>
      <w:r w:rsidRPr="00390B0D">
        <w:rPr>
          <w:rFonts w:ascii="Arial" w:hAnsi="Arial"/>
          <w:szCs w:val="24"/>
        </w:rPr>
        <w:t>-2016, 30-06-2016 y 11-08-2016, todas confirmadas por la CSJ</w:t>
      </w:r>
      <w:r w:rsidRPr="00390B0D">
        <w:rPr>
          <w:rStyle w:val="Refdenotaalpie"/>
          <w:rFonts w:ascii="Arial" w:hAnsi="Arial"/>
          <w:szCs w:val="24"/>
        </w:rPr>
        <w:footnoteReference w:id="29"/>
      </w:r>
      <w:r w:rsidRPr="00390B0D">
        <w:rPr>
          <w:rFonts w:ascii="Arial" w:hAnsi="Arial"/>
          <w:szCs w:val="24"/>
          <w:lang w:val="es-ES"/>
        </w:rPr>
        <w:t>, inclusive, la Sala de Casación Civil de la CSJ, en tutela presentada contra esta Sala, resolvió un tema idéntico</w:t>
      </w:r>
      <w:r w:rsidRPr="00390B0D">
        <w:rPr>
          <w:rStyle w:val="Refdenotaalpie"/>
          <w:rFonts w:ascii="Arial" w:hAnsi="Arial"/>
          <w:szCs w:val="24"/>
          <w:lang w:val="es-ES"/>
        </w:rPr>
        <w:footnoteReference w:id="30"/>
      </w:r>
      <w:r w:rsidRPr="00390B0D">
        <w:rPr>
          <w:rFonts w:ascii="Arial" w:hAnsi="Arial"/>
          <w:szCs w:val="24"/>
          <w:lang w:val="es-ES"/>
        </w:rPr>
        <w:t>, decisión confirmada en segunda instancia por la Sala de Casación Laboral</w:t>
      </w:r>
      <w:r w:rsidRPr="00390B0D">
        <w:rPr>
          <w:rStyle w:val="Refdenotaalpie"/>
          <w:rFonts w:ascii="Arial" w:hAnsi="Arial"/>
          <w:szCs w:val="24"/>
          <w:lang w:val="es-ES"/>
        </w:rPr>
        <w:footnoteReference w:id="31"/>
      </w:r>
      <w:r w:rsidRPr="00390B0D">
        <w:rPr>
          <w:rFonts w:ascii="Arial" w:hAnsi="Arial"/>
          <w:szCs w:val="24"/>
          <w:lang w:val="es-ES"/>
        </w:rPr>
        <w:t xml:space="preserve">. Asuntos que fueron conocidos por </w:t>
      </w:r>
      <w:r w:rsidRPr="00390B0D">
        <w:rPr>
          <w:rFonts w:ascii="Arial" w:hAnsi="Arial"/>
          <w:szCs w:val="24"/>
          <w:lang w:val="es-CO"/>
        </w:rPr>
        <w:t xml:space="preserve">este Tribunal y </w:t>
      </w:r>
      <w:r w:rsidRPr="00390B0D">
        <w:rPr>
          <w:rFonts w:ascii="Arial" w:hAnsi="Arial"/>
          <w:szCs w:val="24"/>
          <w:lang w:val="es-ES"/>
        </w:rPr>
        <w:t>son de público conocimiento.</w:t>
      </w:r>
      <w:r>
        <w:rPr>
          <w:rFonts w:ascii="Arial" w:hAnsi="Arial"/>
          <w:b/>
          <w:szCs w:val="24"/>
          <w:lang w:val="es-ES"/>
        </w:rPr>
        <w:t xml:space="preserve"> </w:t>
      </w:r>
    </w:p>
    <w:p w:rsidR="003D5BBF" w:rsidRDefault="003D5BBF" w:rsidP="003D5BBF">
      <w:pPr>
        <w:pStyle w:val="Textoindependiente"/>
        <w:spacing w:line="360" w:lineRule="auto"/>
        <w:rPr>
          <w:rFonts w:ascii="Arial" w:hAnsi="Arial"/>
          <w:b/>
          <w:szCs w:val="24"/>
          <w:lang w:val="es-ES"/>
        </w:rPr>
      </w:pPr>
    </w:p>
    <w:p w:rsidR="003D5BBF" w:rsidRDefault="003D5BBF" w:rsidP="003D5BBF">
      <w:pPr>
        <w:pStyle w:val="Textoindependiente"/>
        <w:spacing w:line="360" w:lineRule="auto"/>
        <w:rPr>
          <w:rFonts w:ascii="Arial" w:hAnsi="Arial"/>
          <w:szCs w:val="24"/>
          <w:lang w:val="es-ES"/>
        </w:rPr>
      </w:pPr>
      <w:r w:rsidRPr="009B7C08">
        <w:rPr>
          <w:rFonts w:ascii="Arial" w:hAnsi="Arial"/>
          <w:szCs w:val="24"/>
          <w:lang w:val="es-ES"/>
        </w:rPr>
        <w:t>En consecuencia, es claro que el presente amparo es improcedente por el acaecimiento del fenómeno de la cosa juzgada constitucional, y así se declarará.</w:t>
      </w:r>
    </w:p>
    <w:p w:rsidR="003D5BBF" w:rsidRPr="00515CCF" w:rsidRDefault="003D5BBF" w:rsidP="003D5BBF">
      <w:pPr>
        <w:pStyle w:val="Textoindependiente"/>
        <w:spacing w:line="360" w:lineRule="auto"/>
        <w:rPr>
          <w:rFonts w:ascii="Arial" w:hAnsi="Arial"/>
          <w:szCs w:val="24"/>
          <w:lang w:val="es-ES"/>
        </w:rPr>
      </w:pPr>
    </w:p>
    <w:p w:rsidR="003D5BBF" w:rsidRDefault="003D5BBF" w:rsidP="003D5BBF">
      <w:pPr>
        <w:pStyle w:val="Textoindependiente"/>
        <w:spacing w:line="360" w:lineRule="auto"/>
        <w:rPr>
          <w:rFonts w:ascii="Arial" w:hAnsi="Arial"/>
          <w:szCs w:val="24"/>
          <w:lang w:val="es-ES"/>
        </w:rPr>
      </w:pPr>
      <w:r w:rsidRPr="00515CCF">
        <w:rPr>
          <w:rFonts w:ascii="Arial" w:hAnsi="Arial"/>
          <w:szCs w:val="24"/>
          <w:lang w:val="es-ES"/>
        </w:rPr>
        <w:t xml:space="preserve">Además de lo dicho, también advierte esta colegiatura que debe sancionarse </w:t>
      </w:r>
      <w:r>
        <w:rPr>
          <w:rFonts w:ascii="Arial" w:hAnsi="Arial"/>
          <w:szCs w:val="24"/>
          <w:lang w:val="es-ES"/>
        </w:rPr>
        <w:t xml:space="preserve">al accionante </w:t>
      </w:r>
      <w:r w:rsidRPr="00515CCF">
        <w:rPr>
          <w:rFonts w:ascii="Arial" w:hAnsi="Arial"/>
          <w:szCs w:val="24"/>
          <w:lang w:val="es-ES"/>
        </w:rPr>
        <w:t xml:space="preserve">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3D5BBF" w:rsidRDefault="003D5BBF" w:rsidP="003D5BBF">
      <w:pPr>
        <w:pStyle w:val="Textoindependiente"/>
        <w:spacing w:line="360" w:lineRule="auto"/>
        <w:rPr>
          <w:rFonts w:ascii="Arial" w:hAnsi="Arial"/>
          <w:szCs w:val="24"/>
          <w:lang w:val="es-ES"/>
        </w:rPr>
      </w:pPr>
    </w:p>
    <w:p w:rsidR="00432FFA" w:rsidRPr="00515CCF" w:rsidRDefault="00432FFA" w:rsidP="00432FFA">
      <w:pPr>
        <w:pStyle w:val="Textoindependiente"/>
        <w:spacing w:line="360" w:lineRule="auto"/>
        <w:rPr>
          <w:rFonts w:ascii="Arial" w:hAnsi="Arial" w:cs="Arial"/>
          <w:szCs w:val="24"/>
        </w:rPr>
      </w:pPr>
      <w:r>
        <w:rPr>
          <w:rFonts w:ascii="Arial" w:hAnsi="Arial"/>
          <w:szCs w:val="24"/>
          <w:lang w:val="es-ES"/>
        </w:rPr>
        <w:t>Cabe acotar que la actividad del accionante no se encuadra en ninguna de las circunstancias exonerativas contempladas por la CC</w:t>
      </w:r>
      <w:r>
        <w:rPr>
          <w:rStyle w:val="Refdenotaalpie"/>
          <w:rFonts w:ascii="Arial" w:hAnsi="Arial"/>
          <w:szCs w:val="22"/>
        </w:rPr>
        <w:footnoteReference w:id="32"/>
      </w:r>
      <w:r>
        <w:rPr>
          <w:rFonts w:ascii="Arial" w:hAnsi="Arial" w:cs="Arial"/>
          <w:szCs w:val="22"/>
        </w:rPr>
        <w:t>.</w:t>
      </w:r>
      <w:r>
        <w:rPr>
          <w:rFonts w:ascii="Arial" w:hAnsi="Arial"/>
          <w:szCs w:val="24"/>
          <w:lang w:val="es-ES"/>
        </w:rPr>
        <w:t xml:space="preserve"> En efecto, es un asiduo usuario de la administración de justicia, por lo que </w:t>
      </w:r>
      <w:r>
        <w:rPr>
          <w:rFonts w:ascii="Arial" w:hAnsi="Arial"/>
          <w:szCs w:val="24"/>
          <w:lang w:val="es-CO"/>
        </w:rPr>
        <w:t xml:space="preserve">es impreciso </w:t>
      </w:r>
      <w:r>
        <w:rPr>
          <w:rFonts w:ascii="Arial" w:hAnsi="Arial"/>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 </w:t>
      </w:r>
    </w:p>
    <w:p w:rsidR="003D5BBF" w:rsidRPr="00515CCF" w:rsidRDefault="003D5BBF" w:rsidP="003D5BBF">
      <w:pPr>
        <w:pStyle w:val="Textoindependiente"/>
        <w:spacing w:line="360" w:lineRule="auto"/>
        <w:rPr>
          <w:rFonts w:ascii="Arial" w:hAnsi="Arial" w:cs="Arial"/>
          <w:szCs w:val="24"/>
        </w:rPr>
      </w:pPr>
    </w:p>
    <w:p w:rsidR="003D5BBF" w:rsidRPr="00515CCF" w:rsidRDefault="003D5BBF" w:rsidP="003D5BBF">
      <w:pPr>
        <w:spacing w:line="360" w:lineRule="auto"/>
        <w:jc w:val="both"/>
        <w:rPr>
          <w:rFonts w:ascii="Arial" w:hAnsi="Arial"/>
        </w:rPr>
      </w:pPr>
      <w:r w:rsidRPr="00515CCF">
        <w:rPr>
          <w:rFonts w:ascii="Arial" w:hAnsi="Arial"/>
        </w:rPr>
        <w:t>Ha dicho la CC</w:t>
      </w:r>
      <w:r w:rsidRPr="00515CCF">
        <w:rPr>
          <w:rStyle w:val="Refdenotaalpie"/>
          <w:rFonts w:ascii="Arial" w:hAnsi="Arial"/>
        </w:rPr>
        <w:footnoteReference w:id="33"/>
      </w:r>
      <w:r w:rsidRPr="00515CCF">
        <w:rPr>
          <w:rFonts w:ascii="Arial" w:hAnsi="Arial"/>
        </w:rPr>
        <w:t xml:space="preserve"> que para declarar la existencia de la temeridad se debe verificar la existencia de alguna de las siguientes situaciones:</w:t>
      </w:r>
    </w:p>
    <w:p w:rsidR="003D5BBF" w:rsidRPr="000848B7" w:rsidRDefault="003D5BBF" w:rsidP="003D5BBF">
      <w:pPr>
        <w:ind w:left="567" w:right="567"/>
        <w:jc w:val="both"/>
        <w:rPr>
          <w:rFonts w:ascii="Arial" w:hAnsi="Arial" w:cs="Arial"/>
          <w:b/>
          <w:bCs/>
          <w:sz w:val="2"/>
          <w:szCs w:val="22"/>
        </w:rPr>
      </w:pPr>
    </w:p>
    <w:p w:rsidR="003D5BBF" w:rsidRPr="00B46365" w:rsidRDefault="003D5BBF" w:rsidP="003D5BBF">
      <w:pPr>
        <w:ind w:left="567" w:right="567"/>
        <w:jc w:val="both"/>
        <w:rPr>
          <w:rFonts w:ascii="Arial" w:hAnsi="Arial" w:cs="Arial"/>
          <w:b/>
          <w:bCs/>
          <w:sz w:val="28"/>
        </w:rPr>
      </w:pPr>
    </w:p>
    <w:p w:rsidR="003D5BBF" w:rsidRPr="00F2155F" w:rsidRDefault="003D5BBF" w:rsidP="003D5BBF">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4"/>
      </w:r>
      <w:r w:rsidRPr="00F2155F">
        <w:rPr>
          <w:rFonts w:ascii="Arial" w:hAnsi="Arial" w:cs="Arial"/>
        </w:rPr>
        <w:t>-,  para sancionar pecuniariamente a los responsables</w:t>
      </w:r>
      <w:r w:rsidRPr="00F2155F">
        <w:rPr>
          <w:rStyle w:val="Refdenotaalpie"/>
          <w:rFonts w:ascii="Arial" w:hAnsi="Arial" w:cs="Arial"/>
        </w:rPr>
        <w:footnoteReference w:id="35"/>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Refdenotaalpie"/>
          <w:rFonts w:ascii="Arial" w:hAnsi="Arial" w:cs="Arial"/>
        </w:rPr>
        <w:footnoteReference w:id="36"/>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7"/>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Refdenotaalpie"/>
          <w:rFonts w:ascii="Arial" w:hAnsi="Arial" w:cs="Arial"/>
          <w:u w:val="single"/>
        </w:rPr>
        <w:footnoteReference w:id="38"/>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Refdenotaalpie"/>
          <w:rFonts w:ascii="Arial" w:hAnsi="Arial" w:cs="Arial"/>
        </w:rPr>
        <w:footnoteReference w:id="39"/>
      </w:r>
      <w:r w:rsidRPr="00F2155F">
        <w:rPr>
          <w:rFonts w:ascii="Arial" w:hAnsi="Arial" w:cs="Arial"/>
          <w:i/>
          <w:iCs/>
        </w:rPr>
        <w:t>.</w:t>
      </w:r>
      <w:r w:rsidRPr="00F2155F">
        <w:rPr>
          <w:rFonts w:ascii="Arial" w:hAnsi="Arial" w:cs="Arial"/>
          <w:iCs/>
        </w:rPr>
        <w:t xml:space="preserve">  El resaltado es propio de esta Colegiatura.</w:t>
      </w:r>
    </w:p>
    <w:p w:rsidR="003D5BBF" w:rsidRPr="00B46365" w:rsidRDefault="003D5BBF" w:rsidP="003D5BBF">
      <w:pPr>
        <w:spacing w:line="360" w:lineRule="auto"/>
        <w:ind w:right="51"/>
        <w:jc w:val="both"/>
        <w:rPr>
          <w:rFonts w:ascii="Arial" w:hAnsi="Arial"/>
          <w:sz w:val="28"/>
        </w:rPr>
      </w:pPr>
    </w:p>
    <w:p w:rsidR="00DC79C0" w:rsidRDefault="00DC79C0" w:rsidP="00DC79C0">
      <w:pPr>
        <w:spacing w:line="360" w:lineRule="auto"/>
        <w:jc w:val="both"/>
        <w:rPr>
          <w:rFonts w:ascii="Arial" w:hAnsi="Arial" w:cs="Arial"/>
          <w:spacing w:val="-3"/>
          <w:lang w:val="es-CO"/>
        </w:rPr>
      </w:pPr>
      <w:r>
        <w:rPr>
          <w:rFonts w:ascii="Arial" w:hAnsi="Arial"/>
        </w:rPr>
        <w:t xml:space="preserve">Así las cosas, en aplicación del inciso 3º del artículo 25 del Decreto 2591 de 1991, se condenará en </w:t>
      </w:r>
      <w:r w:rsidRPr="009C0048">
        <w:rPr>
          <w:rFonts w:ascii="Arial" w:hAnsi="Arial"/>
          <w:i/>
        </w:rPr>
        <w:t>“costas”</w:t>
      </w:r>
      <w:r>
        <w:rPr>
          <w:rStyle w:val="Refdenotaalpie"/>
          <w:rFonts w:ascii="Arial" w:hAnsi="Arial"/>
        </w:rPr>
        <w:footnoteReference w:id="40"/>
      </w:r>
      <w:r>
        <w:rPr>
          <w:rFonts w:ascii="Arial" w:hAnsi="Arial"/>
        </w:rPr>
        <w:t xml:space="preserve"> al señor Javier Elías Arias Idárraga, identificado con la cédula de ciudadanía No.10.141.947,</w:t>
      </w:r>
      <w:r w:rsidRPr="00F81437">
        <w:rPr>
          <w:rFonts w:ascii="Arial" w:hAnsi="Arial" w:cs="Arial"/>
        </w:rPr>
        <w:t xml:space="preserve"> </w:t>
      </w:r>
      <w:r>
        <w:rPr>
          <w:rFonts w:ascii="Arial" w:hAnsi="Arial"/>
        </w:rPr>
        <w:t xml:space="preserve">a favor del Consejo Superior de la Judicatura, en una cuantía equivalente a un (1) smmlv,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r>
        <w:rPr>
          <w:rFonts w:ascii="Arial" w:hAnsi="Arial" w:cs="Arial"/>
          <w:spacing w:val="-3"/>
          <w:lang w:val="es-CO"/>
        </w:rPr>
        <w:t xml:space="preserve">En el petitorio de tutela no reportó dirección física para notificaciones, pero informó que las recibiría en el correo electrónico </w:t>
      </w:r>
      <w:hyperlink r:id="rId9" w:history="1">
        <w:r w:rsidRPr="009C0048">
          <w:rPr>
            <w:rStyle w:val="Hipervnculo"/>
            <w:rFonts w:ascii="Arial" w:hAnsi="Arial" w:cs="Arial"/>
            <w:color w:val="000000" w:themeColor="text1"/>
            <w:spacing w:val="-3"/>
            <w:u w:val="none"/>
            <w:lang w:val="es-CO"/>
          </w:rPr>
          <w:t>dinosaurio013@hotmail.com</w:t>
        </w:r>
      </w:hyperlink>
      <w:r w:rsidRPr="009C0048">
        <w:rPr>
          <w:rFonts w:ascii="Arial" w:hAnsi="Arial" w:cs="Arial"/>
          <w:color w:val="000000" w:themeColor="text1"/>
          <w:spacing w:val="-3"/>
          <w:lang w:val="es-CO"/>
        </w:rPr>
        <w:t xml:space="preserve"> </w:t>
      </w:r>
      <w:r>
        <w:rPr>
          <w:rFonts w:ascii="Arial" w:hAnsi="Arial" w:cs="Arial"/>
          <w:spacing w:val="-3"/>
          <w:lang w:val="es-CO"/>
        </w:rPr>
        <w:t>(</w:t>
      </w:r>
      <w:r>
        <w:rPr>
          <w:rFonts w:ascii="Arial" w:hAnsi="Arial" w:cs="Arial"/>
          <w:spacing w:val="-3"/>
        </w:rPr>
        <w:t xml:space="preserve">Circular </w:t>
      </w:r>
      <w:r w:rsidRPr="00D54CD1">
        <w:rPr>
          <w:rFonts w:ascii="Arial" w:hAnsi="Arial" w:cs="Arial"/>
          <w:spacing w:val="-3"/>
        </w:rPr>
        <w:t>DESAJPEC17-3</w:t>
      </w:r>
      <w:r>
        <w:rPr>
          <w:rFonts w:ascii="Arial" w:hAnsi="Arial" w:cs="Arial"/>
          <w:spacing w:val="-3"/>
        </w:rPr>
        <w:t xml:space="preserve"> de 16-03-2017)</w:t>
      </w:r>
      <w:r w:rsidRPr="006722D7">
        <w:rPr>
          <w:rFonts w:ascii="Arial" w:hAnsi="Arial" w:cs="Arial"/>
          <w:spacing w:val="-3"/>
          <w:lang w:val="es-CO"/>
        </w:rPr>
        <w:t>.</w:t>
      </w:r>
      <w:r>
        <w:rPr>
          <w:rFonts w:ascii="Arial" w:hAnsi="Arial" w:cs="Arial"/>
          <w:spacing w:val="-3"/>
          <w:lang w:val="es-CO"/>
        </w:rPr>
        <w:t xml:space="preserve"> </w:t>
      </w:r>
    </w:p>
    <w:p w:rsidR="003D5BBF" w:rsidRPr="003D5BBF" w:rsidRDefault="003D5BBF" w:rsidP="00C15529">
      <w:pPr>
        <w:spacing w:line="360" w:lineRule="auto"/>
        <w:ind w:right="51"/>
        <w:jc w:val="both"/>
        <w:rPr>
          <w:rFonts w:ascii="Arial" w:hAnsi="Arial"/>
          <w:lang w:val="es-CO"/>
        </w:rPr>
      </w:pPr>
    </w:p>
    <w:p w:rsidR="000B59DB" w:rsidRDefault="000B59DB" w:rsidP="00825BDF">
      <w:pPr>
        <w:pStyle w:val="Textoindependiente"/>
        <w:numPr>
          <w:ilvl w:val="0"/>
          <w:numId w:val="32"/>
        </w:numPr>
        <w:spacing w:line="360" w:lineRule="auto"/>
        <w:rPr>
          <w:rFonts w:ascii="Arial" w:hAnsi="Arial"/>
          <w:szCs w:val="24"/>
        </w:rPr>
      </w:pPr>
      <w:r w:rsidRPr="00F36F9C">
        <w:rPr>
          <w:rFonts w:ascii="Arial" w:hAnsi="Arial"/>
          <w:szCs w:val="24"/>
        </w:rPr>
        <w:t xml:space="preserve">LAS CONCLUSIONES </w:t>
      </w:r>
    </w:p>
    <w:p w:rsidR="000B59DB" w:rsidRPr="00C40F50" w:rsidRDefault="000B59DB" w:rsidP="000B59DB">
      <w:pPr>
        <w:pStyle w:val="Textoindependiente"/>
        <w:spacing w:line="360" w:lineRule="auto"/>
        <w:ind w:left="585"/>
        <w:rPr>
          <w:rFonts w:ascii="Arial" w:hAnsi="Arial"/>
          <w:szCs w:val="24"/>
        </w:rPr>
      </w:pPr>
    </w:p>
    <w:p w:rsidR="009D4B58" w:rsidRPr="009D4B58" w:rsidRDefault="000B59DB" w:rsidP="009D4B5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D4B58">
        <w:rPr>
          <w:rFonts w:ascii="Arial" w:hAnsi="Arial" w:cs="Arial"/>
        </w:rPr>
        <w:t>Con fundamento en las consideraciones expuestas</w:t>
      </w:r>
      <w:r w:rsidR="00390B0D" w:rsidRPr="009D4B58">
        <w:rPr>
          <w:rFonts w:ascii="Arial" w:hAnsi="Arial" w:cs="Arial"/>
        </w:rPr>
        <w:t xml:space="preserve"> (i) </w:t>
      </w:r>
      <w:r w:rsidR="0081743D" w:rsidRPr="009D4B58">
        <w:rPr>
          <w:rFonts w:ascii="Arial" w:hAnsi="Arial" w:cs="Arial"/>
        </w:rPr>
        <w:t xml:space="preserve">Se concederá el amparo constitucional frente al Juzgado </w:t>
      </w:r>
      <w:r w:rsidR="00D402B4">
        <w:rPr>
          <w:rFonts w:ascii="Arial" w:hAnsi="Arial" w:cs="Arial"/>
        </w:rPr>
        <w:t xml:space="preserve">Promiscuo del Circuito de La Virginia, R. </w:t>
      </w:r>
      <w:r w:rsidR="0081743D" w:rsidRPr="009D4B58">
        <w:rPr>
          <w:rFonts w:ascii="Arial" w:hAnsi="Arial" w:cs="Arial"/>
        </w:rPr>
        <w:t>por haberse proferido una decisión carente de motivación; (</w:t>
      </w:r>
      <w:r w:rsidR="00D402B4">
        <w:rPr>
          <w:rFonts w:ascii="Arial" w:hAnsi="Arial" w:cs="Arial"/>
        </w:rPr>
        <w:t>ii</w:t>
      </w:r>
      <w:r w:rsidR="0081743D" w:rsidRPr="009D4B58">
        <w:rPr>
          <w:rFonts w:ascii="Arial" w:hAnsi="Arial" w:cs="Arial"/>
        </w:rPr>
        <w:t>) Se dejará</w:t>
      </w:r>
      <w:r w:rsidR="00FC0E43">
        <w:rPr>
          <w:rFonts w:ascii="Arial" w:hAnsi="Arial" w:cs="Arial"/>
        </w:rPr>
        <w:t>n</w:t>
      </w:r>
      <w:r w:rsidR="0081743D" w:rsidRPr="009D4B58">
        <w:rPr>
          <w:rFonts w:ascii="Arial" w:hAnsi="Arial" w:cs="Arial"/>
        </w:rPr>
        <w:t xml:space="preserve"> si efectos la decisión del </w:t>
      </w:r>
      <w:r w:rsidR="001962BE" w:rsidRPr="009D4B58">
        <w:rPr>
          <w:rFonts w:ascii="Arial" w:hAnsi="Arial" w:cs="Arial"/>
        </w:rPr>
        <w:t>06-03</w:t>
      </w:r>
      <w:r w:rsidR="0081743D" w:rsidRPr="009D4B58">
        <w:rPr>
          <w:rFonts w:ascii="Arial" w:hAnsi="Arial" w:cs="Arial"/>
        </w:rPr>
        <w:t>-201</w:t>
      </w:r>
      <w:r w:rsidR="001962BE" w:rsidRPr="009D4B58">
        <w:rPr>
          <w:rFonts w:ascii="Arial" w:hAnsi="Arial" w:cs="Arial"/>
        </w:rPr>
        <w:t>7; (</w:t>
      </w:r>
      <w:r w:rsidR="00D402B4">
        <w:rPr>
          <w:rFonts w:ascii="Arial" w:hAnsi="Arial" w:cs="Arial"/>
        </w:rPr>
        <w:t>iii</w:t>
      </w:r>
      <w:r w:rsidR="0081743D" w:rsidRPr="009D4B58">
        <w:rPr>
          <w:rFonts w:ascii="Arial" w:hAnsi="Arial" w:cs="Arial"/>
        </w:rPr>
        <w:t>) Se impondrá</w:t>
      </w:r>
      <w:r w:rsidR="001962BE" w:rsidRPr="009D4B58">
        <w:rPr>
          <w:rFonts w:ascii="Arial" w:hAnsi="Arial" w:cs="Arial"/>
        </w:rPr>
        <w:t xml:space="preserve">n las </w:t>
      </w:r>
      <w:r w:rsidR="00FC0E43">
        <w:rPr>
          <w:rFonts w:ascii="Arial" w:hAnsi="Arial" w:cs="Arial"/>
        </w:rPr>
        <w:t>ó</w:t>
      </w:r>
      <w:r w:rsidR="001962BE" w:rsidRPr="009D4B58">
        <w:rPr>
          <w:rFonts w:ascii="Arial" w:hAnsi="Arial" w:cs="Arial"/>
        </w:rPr>
        <w:t>rdenes respectivas; (</w:t>
      </w:r>
      <w:r w:rsidR="00D402B4">
        <w:rPr>
          <w:rFonts w:ascii="Arial" w:hAnsi="Arial" w:cs="Arial"/>
        </w:rPr>
        <w:t>i</w:t>
      </w:r>
      <w:r w:rsidR="0081743D" w:rsidRPr="009D4B58">
        <w:rPr>
          <w:rFonts w:ascii="Arial" w:hAnsi="Arial" w:cs="Arial"/>
        </w:rPr>
        <w:t xml:space="preserve">v) </w:t>
      </w:r>
      <w:r w:rsidR="00D402B4" w:rsidRPr="009D4B58">
        <w:rPr>
          <w:rFonts w:ascii="Arial" w:hAnsi="Arial" w:cs="Arial"/>
        </w:rPr>
        <w:t xml:space="preserve">Se declarará improcedente </w:t>
      </w:r>
      <w:r w:rsidR="00D402B4">
        <w:rPr>
          <w:rFonts w:ascii="Arial" w:hAnsi="Arial" w:cs="Arial"/>
        </w:rPr>
        <w:t xml:space="preserve">respecto de </w:t>
      </w:r>
      <w:r w:rsidR="00D402B4" w:rsidRPr="009D4B58">
        <w:rPr>
          <w:rFonts w:ascii="Arial" w:hAnsi="Arial" w:cs="Arial"/>
        </w:rPr>
        <w:t xml:space="preserve">las pretensiones relacionadas con </w:t>
      </w:r>
      <w:r w:rsidR="00D402B4">
        <w:rPr>
          <w:rFonts w:ascii="Arial" w:hAnsi="Arial" w:cs="Arial"/>
        </w:rPr>
        <w:t xml:space="preserve">la condena en costas y la nulidad de la sentencia </w:t>
      </w:r>
      <w:r w:rsidR="00D402B4" w:rsidRPr="009D4B58">
        <w:rPr>
          <w:rFonts w:ascii="Arial" w:hAnsi="Arial" w:cs="Arial"/>
        </w:rPr>
        <w:t>contra el Juzgado Promiscuo del Circuito de La Virginia, R.</w:t>
      </w:r>
      <w:r w:rsidR="00D402B4">
        <w:rPr>
          <w:rFonts w:ascii="Arial" w:hAnsi="Arial" w:cs="Arial"/>
        </w:rPr>
        <w:t>, por carecer de subsidiariedad</w:t>
      </w:r>
      <w:r w:rsidR="00D402B4" w:rsidRPr="009D4B58">
        <w:rPr>
          <w:rFonts w:ascii="Arial" w:hAnsi="Arial" w:cs="Arial"/>
        </w:rPr>
        <w:t>;</w:t>
      </w:r>
      <w:r w:rsidR="00D402B4">
        <w:rPr>
          <w:rFonts w:ascii="Arial" w:hAnsi="Arial" w:cs="Arial"/>
        </w:rPr>
        <w:t xml:space="preserve"> (v)</w:t>
      </w:r>
      <w:r w:rsidR="00D402B4" w:rsidRPr="009D4B58">
        <w:rPr>
          <w:rFonts w:ascii="Arial" w:hAnsi="Arial" w:cs="Arial"/>
        </w:rPr>
        <w:t xml:space="preserve"> </w:t>
      </w:r>
      <w:r w:rsidR="009D4B58" w:rsidRPr="009D4B58">
        <w:rPr>
          <w:rFonts w:ascii="Arial" w:hAnsi="Arial" w:cs="Arial"/>
        </w:rPr>
        <w:t>Se declarará improcedente frente a la Defensoría del Pueblo, Regional Caldas; y, (vi) Se condenará en costas a cargo del actor, conforme lo expuesto.</w:t>
      </w:r>
    </w:p>
    <w:p w:rsidR="000B59DB" w:rsidRPr="009D4B58" w:rsidRDefault="000B59DB" w:rsidP="00390B0D">
      <w:pPr>
        <w:pStyle w:val="Textoindependiente"/>
        <w:spacing w:line="360" w:lineRule="auto"/>
        <w:rPr>
          <w:rFonts w:ascii="Arial" w:hAnsi="Arial" w:cs="Arial"/>
          <w:szCs w:val="24"/>
          <w:lang w:val="es-ES"/>
        </w:rPr>
      </w:pPr>
    </w:p>
    <w:p w:rsidR="000B59DB" w:rsidRDefault="000B59DB" w:rsidP="000B59DB">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0B59DB" w:rsidRDefault="000B59DB" w:rsidP="000B59DB">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0B59DB" w:rsidRDefault="000B59DB" w:rsidP="000B59DB">
      <w:pPr>
        <w:pStyle w:val="Textoindependiente"/>
        <w:spacing w:line="360" w:lineRule="auto"/>
        <w:jc w:val="center"/>
        <w:rPr>
          <w:rFonts w:ascii="Arial" w:hAnsi="Arial" w:cs="Arial"/>
          <w:bCs/>
          <w:smallCaps/>
          <w:szCs w:val="24"/>
        </w:rPr>
      </w:pPr>
    </w:p>
    <w:p w:rsidR="00DC79C0" w:rsidRDefault="00DC79C0" w:rsidP="00DC79C0">
      <w:pPr>
        <w:pStyle w:val="Textoindependiente"/>
        <w:numPr>
          <w:ilvl w:val="0"/>
          <w:numId w:val="6"/>
        </w:numPr>
        <w:tabs>
          <w:tab w:val="clear" w:pos="720"/>
          <w:tab w:val="num" w:pos="360"/>
          <w:tab w:val="num" w:pos="426"/>
        </w:tabs>
        <w:spacing w:line="360" w:lineRule="auto"/>
        <w:ind w:left="426" w:hanging="426"/>
        <w:rPr>
          <w:rFonts w:ascii="Arial" w:hAnsi="Arial" w:cs="Arial"/>
          <w:szCs w:val="24"/>
        </w:rPr>
      </w:pPr>
      <w:r>
        <w:rPr>
          <w:rFonts w:ascii="Arial" w:hAnsi="Arial"/>
          <w:szCs w:val="24"/>
        </w:rPr>
        <w:t>CONCEDER</w:t>
      </w:r>
      <w:r w:rsidRPr="00B82FE4">
        <w:rPr>
          <w:rFonts w:ascii="Arial" w:hAnsi="Arial"/>
          <w:szCs w:val="24"/>
        </w:rPr>
        <w:t xml:space="preserve"> la acción de tutela </w:t>
      </w:r>
      <w:r w:rsidRPr="00B82FE4">
        <w:rPr>
          <w:rFonts w:ascii="Arial" w:hAnsi="Arial" w:cs="Arial"/>
          <w:szCs w:val="24"/>
          <w:lang w:val="es-ES"/>
        </w:rPr>
        <w:t xml:space="preserve">presentada por </w:t>
      </w:r>
      <w:r>
        <w:rPr>
          <w:rFonts w:ascii="Arial" w:hAnsi="Arial" w:cs="Arial"/>
          <w:szCs w:val="24"/>
          <w:lang w:val="es-ES"/>
        </w:rPr>
        <w:t xml:space="preserve">el señor </w:t>
      </w:r>
      <w:r w:rsidRPr="003B3DCC">
        <w:rPr>
          <w:rFonts w:ascii="Arial" w:hAnsi="Arial" w:cs="Arial"/>
        </w:rPr>
        <w:t xml:space="preserve">Javier Elías Arias Idárraga </w:t>
      </w:r>
      <w:r w:rsidRPr="00B82FE4">
        <w:rPr>
          <w:rFonts w:ascii="Arial" w:hAnsi="Arial" w:cs="Arial"/>
          <w:szCs w:val="24"/>
          <w:lang w:val="es-ES"/>
        </w:rPr>
        <w:t xml:space="preserve">frente al </w:t>
      </w:r>
      <w:r w:rsidRPr="003B3DCC">
        <w:rPr>
          <w:rFonts w:ascii="Arial" w:hAnsi="Arial" w:cs="Arial"/>
        </w:rPr>
        <w:t>el Juzgado Promiscuo del Circuito de La Virginia, R.</w:t>
      </w:r>
    </w:p>
    <w:p w:rsidR="00DC79C0" w:rsidRDefault="00DC79C0" w:rsidP="00DC79C0">
      <w:pPr>
        <w:pStyle w:val="Textoindependiente"/>
        <w:tabs>
          <w:tab w:val="clear" w:pos="708"/>
          <w:tab w:val="num" w:pos="720"/>
        </w:tabs>
        <w:spacing w:line="360" w:lineRule="auto"/>
        <w:ind w:left="426"/>
        <w:rPr>
          <w:rFonts w:ascii="Arial" w:hAnsi="Arial" w:cs="Arial"/>
          <w:szCs w:val="24"/>
        </w:rPr>
      </w:pPr>
    </w:p>
    <w:p w:rsidR="001D0D45" w:rsidRPr="00B82FE4" w:rsidRDefault="001D0D45" w:rsidP="001D0D45">
      <w:pPr>
        <w:pStyle w:val="Textoindependiente"/>
        <w:numPr>
          <w:ilvl w:val="0"/>
          <w:numId w:val="6"/>
        </w:numPr>
        <w:tabs>
          <w:tab w:val="clear" w:pos="720"/>
          <w:tab w:val="num" w:pos="360"/>
          <w:tab w:val="num" w:pos="426"/>
        </w:tabs>
        <w:spacing w:line="360" w:lineRule="auto"/>
        <w:ind w:left="426" w:hanging="426"/>
        <w:rPr>
          <w:rFonts w:ascii="Arial" w:hAnsi="Arial" w:cs="Arial"/>
          <w:szCs w:val="24"/>
        </w:rPr>
      </w:pPr>
      <w:r>
        <w:rPr>
          <w:rFonts w:ascii="Arial" w:hAnsi="Arial" w:cs="Arial"/>
          <w:szCs w:val="24"/>
        </w:rPr>
        <w:t>DE</w:t>
      </w:r>
      <w:r w:rsidR="009308B5">
        <w:rPr>
          <w:rFonts w:ascii="Arial" w:hAnsi="Arial" w:cs="Arial"/>
          <w:szCs w:val="24"/>
        </w:rPr>
        <w:t>JAR</w:t>
      </w:r>
      <w:r>
        <w:rPr>
          <w:rFonts w:ascii="Arial" w:hAnsi="Arial" w:cs="Arial"/>
          <w:szCs w:val="24"/>
        </w:rPr>
        <w:t>, sin efectos la decisión del 06-03-2017 dictada en la acción popular radicada al</w:t>
      </w:r>
      <w:r w:rsidR="00DC79C0">
        <w:rPr>
          <w:rFonts w:ascii="Arial" w:hAnsi="Arial" w:cs="Arial"/>
          <w:szCs w:val="24"/>
        </w:rPr>
        <w:t xml:space="preserve"> </w:t>
      </w:r>
      <w:r>
        <w:rPr>
          <w:rFonts w:ascii="Arial" w:hAnsi="Arial" w:cs="Arial"/>
          <w:szCs w:val="24"/>
        </w:rPr>
        <w:t>No.2015-00301-01.</w:t>
      </w:r>
    </w:p>
    <w:p w:rsidR="001D0D45" w:rsidRPr="004665D9" w:rsidRDefault="001D0D45" w:rsidP="001D0D45">
      <w:pPr>
        <w:pStyle w:val="Prrafodelista"/>
        <w:spacing w:line="360" w:lineRule="auto"/>
        <w:ind w:left="426"/>
        <w:jc w:val="both"/>
        <w:rPr>
          <w:rFonts w:ascii="Arial" w:hAnsi="Arial" w:cs="Arial"/>
          <w:sz w:val="22"/>
          <w:lang w:val="es-ES_tradnl"/>
        </w:rPr>
      </w:pPr>
    </w:p>
    <w:p w:rsidR="001D0D45" w:rsidRPr="001D0D45" w:rsidRDefault="001D0D45" w:rsidP="001D0D45">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ORDENAR al Juzgado accionado</w:t>
      </w:r>
      <w:r>
        <w:rPr>
          <w:rFonts w:ascii="Arial" w:hAnsi="Arial" w:cs="Arial"/>
        </w:rPr>
        <w:t>, que</w:t>
      </w:r>
      <w:r w:rsidRPr="00E83DC3">
        <w:rPr>
          <w:rFonts w:ascii="Arial" w:hAnsi="Arial" w:cs="Arial"/>
        </w:rPr>
        <w:t xml:space="preserve"> en el perentorio término de </w:t>
      </w:r>
      <w:r>
        <w:rPr>
          <w:rFonts w:ascii="Arial" w:hAnsi="Arial" w:cs="Arial"/>
        </w:rPr>
        <w:t>cuarenta y ocho (48) horas</w:t>
      </w:r>
      <w:r w:rsidRPr="00E83DC3">
        <w:rPr>
          <w:rFonts w:ascii="Arial" w:hAnsi="Arial" w:cs="Arial"/>
        </w:rPr>
        <w:t xml:space="preserve">, </w:t>
      </w:r>
      <w:r>
        <w:rPr>
          <w:rFonts w:ascii="Arial" w:hAnsi="Arial" w:cs="Arial"/>
        </w:rPr>
        <w:t>siguientes a la notificación de esta providencia, profiera un nuevo proveído</w:t>
      </w:r>
      <w:r w:rsidR="009308B5">
        <w:rPr>
          <w:rFonts w:ascii="Arial" w:hAnsi="Arial" w:cs="Arial"/>
        </w:rPr>
        <w:t xml:space="preserve"> mediante el cual resuelva </w:t>
      </w:r>
      <w:r w:rsidR="00DC79C0">
        <w:rPr>
          <w:rFonts w:ascii="Arial" w:hAnsi="Arial" w:cs="Arial"/>
        </w:rPr>
        <w:t>el recurso</w:t>
      </w:r>
      <w:r w:rsidR="009308B5">
        <w:rPr>
          <w:rFonts w:ascii="Arial" w:hAnsi="Arial" w:cs="Arial"/>
        </w:rPr>
        <w:t xml:space="preserve"> </w:t>
      </w:r>
      <w:r w:rsidR="00DC79C0">
        <w:rPr>
          <w:rFonts w:ascii="Arial" w:hAnsi="Arial" w:cs="Arial"/>
        </w:rPr>
        <w:t xml:space="preserve">de reposición presentado </w:t>
      </w:r>
      <w:r w:rsidR="009308B5">
        <w:rPr>
          <w:rFonts w:ascii="Arial" w:hAnsi="Arial" w:cs="Arial"/>
        </w:rPr>
        <w:t>por el accionante frente al auto proferido el 22-02-2017</w:t>
      </w:r>
      <w:r>
        <w:rPr>
          <w:rFonts w:ascii="Arial" w:hAnsi="Arial" w:cs="Arial"/>
        </w:rPr>
        <w:t xml:space="preserve"> y exponga de manera detallada los argumentos de su decisión.</w:t>
      </w:r>
    </w:p>
    <w:p w:rsidR="001D0D45" w:rsidRDefault="001D0D45" w:rsidP="001D0D45">
      <w:pPr>
        <w:pStyle w:val="Prrafodelista"/>
        <w:rPr>
          <w:rFonts w:ascii="Arial" w:hAnsi="Arial" w:cs="Times New Roman"/>
          <w:spacing w:val="-3"/>
          <w:lang w:val="es-ES_tradnl"/>
        </w:rPr>
      </w:pPr>
    </w:p>
    <w:p w:rsidR="00182897" w:rsidRDefault="00182897" w:rsidP="000B59D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w:t>
      </w:r>
      <w:r w:rsidRPr="009D4B58">
        <w:rPr>
          <w:rFonts w:ascii="Arial" w:hAnsi="Arial" w:cs="Arial"/>
        </w:rPr>
        <w:t xml:space="preserve">improcedente la acción constitucional frente </w:t>
      </w:r>
      <w:r w:rsidR="00DC79C0">
        <w:rPr>
          <w:rFonts w:ascii="Arial" w:hAnsi="Arial" w:cs="Arial"/>
        </w:rPr>
        <w:t xml:space="preserve">al </w:t>
      </w:r>
      <w:r w:rsidR="00DC79C0" w:rsidRPr="003B3DCC">
        <w:rPr>
          <w:rFonts w:ascii="Arial" w:hAnsi="Arial" w:cs="Arial"/>
        </w:rPr>
        <w:t>Juzgado Promiscuo del Circuito de La Virginia, R.</w:t>
      </w:r>
      <w:r w:rsidR="00DC79C0">
        <w:rPr>
          <w:rFonts w:ascii="Arial" w:hAnsi="Arial" w:cs="Arial"/>
        </w:rPr>
        <w:t xml:space="preserve"> y </w:t>
      </w:r>
      <w:r w:rsidRPr="009D4B58">
        <w:rPr>
          <w:rFonts w:ascii="Arial" w:hAnsi="Arial" w:cs="Arial"/>
        </w:rPr>
        <w:t>la Defensoría del Pueblo, Regional Caldas</w:t>
      </w:r>
      <w:r w:rsidR="00DC79C0">
        <w:rPr>
          <w:rFonts w:ascii="Arial" w:hAnsi="Arial" w:cs="Arial"/>
        </w:rPr>
        <w:t>.</w:t>
      </w:r>
      <w:r w:rsidRPr="00A71827">
        <w:rPr>
          <w:rFonts w:ascii="Arial" w:hAnsi="Arial" w:cs="Arial"/>
        </w:rPr>
        <w:t xml:space="preserve"> </w:t>
      </w:r>
    </w:p>
    <w:p w:rsidR="00182897" w:rsidRPr="00DC79C0" w:rsidRDefault="00182897" w:rsidP="00182897">
      <w:pPr>
        <w:pStyle w:val="Prrafodelista"/>
        <w:rPr>
          <w:rFonts w:ascii="Arial" w:hAnsi="Arial" w:cs="Arial"/>
          <w:lang w:val="es-CO"/>
        </w:rPr>
      </w:pPr>
    </w:p>
    <w:p w:rsidR="00DC79C0" w:rsidRPr="006E5BE8" w:rsidRDefault="00DC79C0" w:rsidP="00DC79C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cs="Arial"/>
        </w:rPr>
        <w:t xml:space="preserve">CONDENAR en “costas” al señor Javier Elías Arias Idárraga, </w:t>
      </w:r>
      <w:r w:rsidRPr="006E5BE8">
        <w:rPr>
          <w:rFonts w:ascii="Arial" w:hAnsi="Arial"/>
        </w:rPr>
        <w:t>identificado con la cédula de ciudadanía No.10.141.947,</w:t>
      </w:r>
      <w:r w:rsidR="00576C7B">
        <w:rPr>
          <w:rFonts w:ascii="Arial" w:hAnsi="Arial" w:cs="Arial"/>
        </w:rPr>
        <w:t xml:space="preserve"> </w:t>
      </w:r>
      <w:r w:rsidRPr="006E5BE8">
        <w:rPr>
          <w:rFonts w:ascii="Arial" w:hAnsi="Arial"/>
        </w:rPr>
        <w:t>a favor del Consejo Superior de la Judicatura, en la suma de un (1) smmlv, que deberá pagar en un término de tres (3) días, -contados a partir de la notificación esta providencia, en la cuenta No.3-0070-000030-4 del Banco Agrario de Colombia.</w:t>
      </w:r>
    </w:p>
    <w:p w:rsidR="00DC79C0" w:rsidRPr="006E5BE8" w:rsidRDefault="00DC79C0" w:rsidP="00DC79C0">
      <w:pPr>
        <w:pStyle w:val="Prrafodelista"/>
        <w:rPr>
          <w:rFonts w:ascii="Arial" w:hAnsi="Arial"/>
        </w:rPr>
      </w:pPr>
    </w:p>
    <w:p w:rsidR="00DC79C0" w:rsidRPr="006E5BE8" w:rsidRDefault="00DC79C0" w:rsidP="00DC79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rPr>
        <w:t xml:space="preserve">En caso </w:t>
      </w:r>
      <w:r w:rsidRPr="006E5BE8">
        <w:rPr>
          <w:rFonts w:ascii="Arial" w:hAnsi="Arial"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182897" w:rsidRDefault="00182897" w:rsidP="00182897">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spacing w:val="-3"/>
          <w:lang w:val="es-CO"/>
        </w:rPr>
      </w:pPr>
    </w:p>
    <w:p w:rsidR="000B59DB" w:rsidRDefault="000B59DB" w:rsidP="000B59D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0B59DB" w:rsidRDefault="000B59DB" w:rsidP="000B59DB">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0B59DB" w:rsidRDefault="000B59DB" w:rsidP="000B59DB">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Pr>
          <w:rFonts w:ascii="Arial" w:hAnsi="Arial" w:cs="Arial"/>
          <w:szCs w:val="24"/>
        </w:rPr>
        <w:t>CC</w:t>
      </w:r>
      <w:r w:rsidRPr="00A71827">
        <w:rPr>
          <w:rFonts w:ascii="Arial" w:hAnsi="Arial" w:cs="Arial"/>
          <w:szCs w:val="24"/>
        </w:rPr>
        <w:t xml:space="preserve"> para su eventual revisión, de no ser impugnada.</w:t>
      </w:r>
    </w:p>
    <w:p w:rsidR="000B59DB" w:rsidRDefault="000B59DB" w:rsidP="000B59DB">
      <w:pPr>
        <w:pStyle w:val="Textoindependiente"/>
        <w:tabs>
          <w:tab w:val="clear" w:pos="708"/>
        </w:tabs>
        <w:spacing w:line="360" w:lineRule="auto"/>
        <w:rPr>
          <w:rFonts w:ascii="Arial" w:hAnsi="Arial" w:cs="Arial"/>
          <w:szCs w:val="24"/>
        </w:rPr>
      </w:pPr>
    </w:p>
    <w:p w:rsidR="000B59DB" w:rsidRPr="00A71827" w:rsidRDefault="000B59DB" w:rsidP="000B59DB">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0B59DB" w:rsidRPr="00B4105B" w:rsidRDefault="000B59DB" w:rsidP="000B59DB">
      <w:pPr>
        <w:pStyle w:val="Prrafodelista"/>
        <w:widowControl/>
        <w:autoSpaceDE/>
        <w:autoSpaceDN/>
        <w:adjustRightInd/>
        <w:spacing w:line="360" w:lineRule="auto"/>
        <w:ind w:left="360" w:right="51"/>
        <w:contextualSpacing/>
        <w:jc w:val="both"/>
        <w:rPr>
          <w:rFonts w:ascii="Arial" w:hAnsi="Arial"/>
          <w:sz w:val="18"/>
        </w:rPr>
      </w:pPr>
    </w:p>
    <w:p w:rsidR="000B59DB" w:rsidRPr="0069231C" w:rsidRDefault="000B59DB" w:rsidP="000B59DB">
      <w:pPr>
        <w:pStyle w:val="Textoindependiente"/>
        <w:spacing w:line="360" w:lineRule="auto"/>
        <w:jc w:val="center"/>
        <w:rPr>
          <w:rFonts w:ascii="Arial" w:hAnsi="Arial"/>
          <w:smallCaps/>
          <w:szCs w:val="24"/>
          <w:lang w:val="en-US"/>
        </w:rPr>
      </w:pPr>
      <w:r w:rsidRPr="0069231C">
        <w:rPr>
          <w:rFonts w:ascii="Arial" w:hAnsi="Arial"/>
          <w:smallCaps/>
          <w:szCs w:val="24"/>
          <w:lang w:val="en-US"/>
        </w:rPr>
        <w:t>Notifíquese,</w:t>
      </w:r>
    </w:p>
    <w:p w:rsidR="000B59DB" w:rsidRPr="0069231C" w:rsidRDefault="000B59DB" w:rsidP="000B59DB">
      <w:pPr>
        <w:pStyle w:val="Textoindependiente"/>
        <w:spacing w:line="360" w:lineRule="auto"/>
        <w:jc w:val="center"/>
        <w:rPr>
          <w:rFonts w:ascii="Arial" w:hAnsi="Arial"/>
          <w:sz w:val="2"/>
          <w:szCs w:val="24"/>
          <w:lang w:val="en-US"/>
        </w:rPr>
      </w:pPr>
    </w:p>
    <w:p w:rsidR="000B59DB" w:rsidRPr="00C40F50" w:rsidRDefault="000B59DB" w:rsidP="000B59DB">
      <w:pPr>
        <w:pStyle w:val="Textoindependiente"/>
        <w:spacing w:line="360" w:lineRule="auto"/>
        <w:jc w:val="center"/>
        <w:rPr>
          <w:rFonts w:ascii="Arial" w:hAnsi="Arial"/>
          <w:sz w:val="52"/>
          <w:szCs w:val="24"/>
          <w:lang w:val="en-US"/>
        </w:rPr>
      </w:pPr>
    </w:p>
    <w:p w:rsidR="000B59DB" w:rsidRPr="0069231C" w:rsidRDefault="000B59DB" w:rsidP="000B59DB">
      <w:pPr>
        <w:pStyle w:val="Textoindependiente"/>
        <w:spacing w:line="360" w:lineRule="auto"/>
        <w:jc w:val="center"/>
        <w:rPr>
          <w:rFonts w:ascii="Arial" w:hAnsi="Arial"/>
          <w:sz w:val="16"/>
          <w:szCs w:val="24"/>
          <w:lang w:val="en-US"/>
        </w:rPr>
      </w:pPr>
    </w:p>
    <w:p w:rsidR="000B59DB" w:rsidRPr="0069231C"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0B59DB" w:rsidRPr="0069231C"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0B59DB"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0B59DB" w:rsidRPr="00C40F50"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n-US"/>
        </w:rPr>
      </w:pPr>
    </w:p>
    <w:p w:rsidR="000B59DB" w:rsidRPr="0069231C"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0B59DB"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0B59DB"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0B59DB" w:rsidRPr="00A0021D" w:rsidRDefault="000B59DB" w:rsidP="000B59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0B59DB" w:rsidRPr="003115B5" w:rsidRDefault="000B59DB" w:rsidP="000B59DB">
      <w:pPr>
        <w:pStyle w:val="Textoindependiente"/>
        <w:spacing w:line="360" w:lineRule="auto"/>
        <w:jc w:val="right"/>
        <w:rPr>
          <w:rFonts w:ascii="Arial" w:hAnsi="Arial"/>
          <w:w w:val="150"/>
          <w:sz w:val="8"/>
          <w:szCs w:val="10"/>
          <w:lang w:val="en-US"/>
        </w:rPr>
      </w:pPr>
      <w:r w:rsidRPr="00141EB0">
        <w:rPr>
          <w:rFonts w:ascii="Arial" w:hAnsi="Arial"/>
          <w:w w:val="150"/>
          <w:sz w:val="10"/>
          <w:szCs w:val="10"/>
          <w:lang w:val="en-US"/>
        </w:rPr>
        <w:t>DGH</w:t>
      </w:r>
      <w:r>
        <w:rPr>
          <w:rFonts w:ascii="Arial" w:hAnsi="Arial"/>
          <w:w w:val="150"/>
          <w:sz w:val="10"/>
          <w:szCs w:val="10"/>
          <w:lang w:val="en-US"/>
        </w:rPr>
        <w:t xml:space="preserve"> </w:t>
      </w:r>
      <w:r w:rsidRPr="00141EB0">
        <w:rPr>
          <w:rFonts w:ascii="Arial" w:hAnsi="Arial"/>
          <w:w w:val="150"/>
          <w:sz w:val="10"/>
          <w:szCs w:val="10"/>
          <w:lang w:val="en-US"/>
        </w:rPr>
        <w:t>/</w:t>
      </w:r>
      <w:r>
        <w:rPr>
          <w:rFonts w:ascii="Arial" w:hAnsi="Arial"/>
          <w:w w:val="150"/>
          <w:sz w:val="10"/>
          <w:szCs w:val="10"/>
          <w:lang w:val="en-US"/>
        </w:rPr>
        <w:t xml:space="preserve"> </w:t>
      </w:r>
      <w:r w:rsidRPr="00141EB0">
        <w:rPr>
          <w:rFonts w:ascii="Arial" w:hAnsi="Arial"/>
          <w:w w:val="150"/>
          <w:sz w:val="10"/>
          <w:szCs w:val="10"/>
          <w:lang w:val="en-US"/>
        </w:rPr>
        <w:t>ODCD</w:t>
      </w:r>
      <w:r w:rsidR="00DE17B9">
        <w:rPr>
          <w:rFonts w:ascii="Arial" w:hAnsi="Arial"/>
          <w:w w:val="150"/>
          <w:sz w:val="10"/>
          <w:szCs w:val="10"/>
          <w:lang w:val="en-US"/>
        </w:rPr>
        <w:t>, LSCL</w:t>
      </w:r>
      <w:r>
        <w:rPr>
          <w:rFonts w:ascii="Arial" w:hAnsi="Arial"/>
          <w:w w:val="150"/>
          <w:sz w:val="10"/>
          <w:szCs w:val="10"/>
          <w:lang w:val="en-US"/>
        </w:rPr>
        <w:t xml:space="preserve"> </w:t>
      </w:r>
      <w:r w:rsidRPr="00141EB0">
        <w:rPr>
          <w:rFonts w:ascii="Arial" w:hAnsi="Arial"/>
          <w:w w:val="150"/>
          <w:sz w:val="10"/>
          <w:szCs w:val="10"/>
          <w:lang w:val="en-US"/>
        </w:rPr>
        <w:t>/ 2017</w:t>
      </w:r>
    </w:p>
    <w:p w:rsidR="00167C8F" w:rsidRDefault="00167C8F" w:rsidP="00167C8F">
      <w:pPr>
        <w:pStyle w:val="Textoindependiente"/>
        <w:spacing w:line="360" w:lineRule="auto"/>
        <w:jc w:val="center"/>
        <w:rPr>
          <w:rFonts w:ascii="Arial" w:hAnsi="Arial"/>
          <w:smallCaps/>
          <w:szCs w:val="24"/>
          <w:lang w:val="en-US"/>
        </w:rPr>
      </w:pPr>
    </w:p>
    <w:sectPr w:rsidR="00167C8F"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62" w:rsidRDefault="005F5062" w:rsidP="0099045D">
      <w:r>
        <w:separator/>
      </w:r>
    </w:p>
  </w:endnote>
  <w:endnote w:type="continuationSeparator" w:id="0">
    <w:p w:rsidR="005F5062" w:rsidRDefault="005F506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62" w:rsidRDefault="005F5062" w:rsidP="0099045D">
      <w:r>
        <w:separator/>
      </w:r>
    </w:p>
  </w:footnote>
  <w:footnote w:type="continuationSeparator" w:id="0">
    <w:p w:rsidR="005F5062" w:rsidRDefault="005F5062" w:rsidP="0099045D">
      <w:r>
        <w:continuationSeparator/>
      </w:r>
    </w:p>
  </w:footnote>
  <w:footnote w:id="1">
    <w:p w:rsidR="000B59DB" w:rsidRPr="00E17BD7" w:rsidRDefault="000B59DB" w:rsidP="000B59D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0B59DB" w:rsidRPr="00E17BD7" w:rsidRDefault="000B59DB" w:rsidP="000B59DB">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0B59DB" w:rsidRPr="00E17BD7" w:rsidRDefault="000B59DB" w:rsidP="000B59D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0B59DB" w:rsidRPr="00E17BD7" w:rsidRDefault="000B59DB" w:rsidP="000B59D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0B59DB" w:rsidRPr="00E17BD7" w:rsidRDefault="000B59DB" w:rsidP="000B59DB">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0B59DB" w:rsidRPr="00D65FBA" w:rsidRDefault="000B59DB" w:rsidP="000B59DB">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0B59DB" w:rsidRPr="00E17BD7" w:rsidRDefault="000B59DB" w:rsidP="000B59DB">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0B59DB" w:rsidRPr="00E17BD7" w:rsidRDefault="000B59DB" w:rsidP="000B59DB">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La acción de tutela en el ordenamiento constitucional colombiano, Universidad Nacional de Colombia, Catalina Botero Marino, Ediprime Ltda., 2006, p.61-75.</w:t>
      </w:r>
    </w:p>
  </w:footnote>
  <w:footnote w:id="9">
    <w:p w:rsidR="000B59DB" w:rsidRPr="00E17BD7" w:rsidRDefault="000B59DB" w:rsidP="000B59D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0B59DB" w:rsidRDefault="000B59DB" w:rsidP="000B59DB">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0B59DB" w:rsidRDefault="000B59DB" w:rsidP="000B59DB">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0B59DB" w:rsidRDefault="000B59DB" w:rsidP="000B59DB">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0B59DB" w:rsidRPr="007E689B" w:rsidRDefault="000B59DB" w:rsidP="000B59DB">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w:t>
      </w:r>
      <w:r w:rsidRPr="007E689B">
        <w:rPr>
          <w:rFonts w:asciiTheme="minorHAnsi" w:hAnsiTheme="minorHAnsi" w:cs="Calibri"/>
        </w:rPr>
        <w:t xml:space="preserve">de 2013, </w:t>
      </w:r>
      <w:r w:rsidRPr="007E689B">
        <w:rPr>
          <w:rFonts w:ascii="Calibri" w:hAnsi="Calibri"/>
          <w:bCs/>
          <w:bdr w:val="none" w:sz="0" w:space="0" w:color="auto" w:frame="1"/>
          <w:shd w:val="clear" w:color="auto" w:fill="FFFFFF"/>
        </w:rPr>
        <w:t xml:space="preserve">T-037 de 2016, T-120 de 2016, </w:t>
      </w:r>
      <w:r w:rsidRPr="007E689B">
        <w:rPr>
          <w:rFonts w:ascii="Calibri" w:hAnsi="Calibri"/>
          <w:lang w:val="es-CO"/>
        </w:rPr>
        <w:t>T-001 de 2017, T-038 y 106 de 2017</w:t>
      </w:r>
      <w:r w:rsidRPr="007E689B">
        <w:rPr>
          <w:rFonts w:asciiTheme="minorHAnsi" w:hAnsiTheme="minorHAnsi" w:cs="Calibri"/>
        </w:rPr>
        <w:t>.</w:t>
      </w:r>
      <w:r w:rsidRPr="007E689B">
        <w:rPr>
          <w:b/>
          <w:bCs/>
          <w:sz w:val="28"/>
          <w:szCs w:val="28"/>
          <w:bdr w:val="none" w:sz="0" w:space="0" w:color="auto" w:frame="1"/>
          <w:shd w:val="clear" w:color="auto" w:fill="FFFFFF"/>
        </w:rPr>
        <w:t xml:space="preserve"> </w:t>
      </w:r>
    </w:p>
  </w:footnote>
  <w:footnote w:id="14">
    <w:p w:rsidR="000B59DB" w:rsidRDefault="000B59DB" w:rsidP="000B59DB">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143293" w:rsidRPr="00963765" w:rsidRDefault="00143293" w:rsidP="00143293">
      <w:pPr>
        <w:pStyle w:val="Textonotapie"/>
        <w:rPr>
          <w:rFonts w:asciiTheme="minorHAnsi" w:hAnsiTheme="minorHAnsi"/>
          <w:lang w:val="es-CO"/>
        </w:rPr>
      </w:pPr>
      <w:r w:rsidRPr="00963765">
        <w:rPr>
          <w:rStyle w:val="Refdenotaalpie"/>
          <w:rFonts w:asciiTheme="minorHAnsi" w:hAnsiTheme="minorHAnsi"/>
        </w:rPr>
        <w:footnoteRef/>
      </w:r>
      <w:r w:rsidRPr="00963765">
        <w:rPr>
          <w:rFonts w:asciiTheme="minorHAnsi" w:hAnsiTheme="minorHAnsi"/>
        </w:rPr>
        <w:t xml:space="preserve"> </w:t>
      </w:r>
      <w:r>
        <w:rPr>
          <w:rFonts w:asciiTheme="minorHAnsi" w:hAnsiTheme="minorHAnsi" w:cs="Calibri"/>
          <w:lang w:val="es-MX"/>
        </w:rPr>
        <w:t>CC</w:t>
      </w:r>
      <w:r w:rsidRPr="00963765">
        <w:rPr>
          <w:rFonts w:asciiTheme="minorHAnsi" w:hAnsiTheme="minorHAnsi" w:cs="Calibri"/>
          <w:lang w:val="es-MX"/>
        </w:rPr>
        <w:t xml:space="preserve">.  T-214 </w:t>
      </w:r>
      <w:r>
        <w:rPr>
          <w:rFonts w:asciiTheme="minorHAnsi" w:hAnsiTheme="minorHAnsi" w:cs="Calibri"/>
          <w:lang w:val="es-MX"/>
        </w:rPr>
        <w:t>de 2012, reiterada en la SU-565 de 2015.</w:t>
      </w:r>
    </w:p>
  </w:footnote>
  <w:footnote w:id="16">
    <w:p w:rsidR="00143293" w:rsidRPr="008D1A39" w:rsidRDefault="00143293" w:rsidP="00143293">
      <w:pPr>
        <w:pStyle w:val="Textonotapie"/>
        <w:rPr>
          <w:lang w:val="es-CO"/>
        </w:rPr>
      </w:pPr>
      <w:r>
        <w:rPr>
          <w:rStyle w:val="Refdenotaalpie"/>
        </w:rPr>
        <w:footnoteRef/>
      </w:r>
      <w:r>
        <w:t xml:space="preserve"> </w:t>
      </w:r>
      <w:r>
        <w:rPr>
          <w:rFonts w:asciiTheme="minorHAnsi" w:hAnsiTheme="minorHAnsi" w:cs="Calibri"/>
          <w:lang w:val="es-MX"/>
        </w:rPr>
        <w:t>CC</w:t>
      </w:r>
      <w:r w:rsidRPr="00534EC6">
        <w:rPr>
          <w:rFonts w:asciiTheme="minorHAnsi" w:hAnsiTheme="minorHAnsi" w:cs="Calibri"/>
          <w:lang w:val="es-MX"/>
        </w:rPr>
        <w:t>.  T-</w:t>
      </w:r>
      <w:r>
        <w:rPr>
          <w:rFonts w:asciiTheme="minorHAnsi" w:hAnsiTheme="minorHAnsi" w:cs="Calibri"/>
          <w:lang w:val="es-MX"/>
        </w:rPr>
        <w:t>062</w:t>
      </w:r>
      <w:r w:rsidRPr="00534EC6">
        <w:rPr>
          <w:rFonts w:asciiTheme="minorHAnsi" w:hAnsiTheme="minorHAnsi" w:cs="Calibri"/>
          <w:lang w:val="es-MX"/>
        </w:rPr>
        <w:t xml:space="preserve"> </w:t>
      </w:r>
      <w:r>
        <w:rPr>
          <w:rFonts w:asciiTheme="minorHAnsi" w:hAnsiTheme="minorHAnsi" w:cs="Calibri"/>
          <w:lang w:val="es-MX"/>
        </w:rPr>
        <w:t>de 2013.</w:t>
      </w:r>
    </w:p>
  </w:footnote>
  <w:footnote w:id="17">
    <w:p w:rsidR="00143293" w:rsidRPr="008F50BA" w:rsidRDefault="00143293" w:rsidP="00143293">
      <w:pPr>
        <w:pStyle w:val="Textonotapie"/>
        <w:rPr>
          <w:lang w:val="es-CO"/>
        </w:rPr>
      </w:pPr>
      <w:r>
        <w:rPr>
          <w:rStyle w:val="Refdenotaalpie"/>
        </w:rPr>
        <w:footnoteRef/>
      </w:r>
      <w:r>
        <w:t xml:space="preserve"> </w:t>
      </w:r>
      <w:r>
        <w:rPr>
          <w:rFonts w:asciiTheme="minorHAnsi" w:hAnsiTheme="minorHAnsi" w:cs="Calibri"/>
          <w:lang w:val="es-MX"/>
        </w:rPr>
        <w:t>CC</w:t>
      </w:r>
      <w:r w:rsidRPr="00534EC6">
        <w:rPr>
          <w:rFonts w:asciiTheme="minorHAnsi" w:hAnsiTheme="minorHAnsi" w:cs="Calibri"/>
          <w:lang w:val="es-MX"/>
        </w:rPr>
        <w:t>.  T-</w:t>
      </w:r>
      <w:r>
        <w:rPr>
          <w:rFonts w:asciiTheme="minorHAnsi" w:hAnsiTheme="minorHAnsi" w:cs="Calibri"/>
          <w:lang w:val="es-MX"/>
        </w:rPr>
        <w:t>310</w:t>
      </w:r>
      <w:r w:rsidRPr="00534EC6">
        <w:rPr>
          <w:rFonts w:asciiTheme="minorHAnsi" w:hAnsiTheme="minorHAnsi" w:cs="Calibri"/>
          <w:lang w:val="es-MX"/>
        </w:rPr>
        <w:t xml:space="preserve"> </w:t>
      </w:r>
      <w:r>
        <w:rPr>
          <w:rFonts w:asciiTheme="minorHAnsi" w:hAnsiTheme="minorHAnsi" w:cs="Calibri"/>
          <w:lang w:val="es-MX"/>
        </w:rPr>
        <w:t>de 2009.</w:t>
      </w:r>
    </w:p>
  </w:footnote>
  <w:footnote w:id="18">
    <w:p w:rsidR="00A659E8" w:rsidRDefault="00A659E8" w:rsidP="00A659E8">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9">
    <w:p w:rsidR="00A659E8" w:rsidRPr="00833A61" w:rsidRDefault="00A659E8" w:rsidP="00A659E8">
      <w:pPr>
        <w:pStyle w:val="Textonotapie"/>
        <w:rPr>
          <w:lang w:val="es-CO"/>
        </w:rPr>
      </w:pPr>
      <w:r>
        <w:rPr>
          <w:rStyle w:val="Refdenotaalpie"/>
        </w:rPr>
        <w:footnoteRef/>
      </w:r>
      <w:r>
        <w:t xml:space="preserve"> </w:t>
      </w:r>
      <w:r>
        <w:rPr>
          <w:rFonts w:asciiTheme="minorHAnsi" w:hAnsiTheme="minorHAnsi" w:cs="Calibri"/>
        </w:rPr>
        <w:t>CC</w:t>
      </w:r>
      <w:r w:rsidRPr="00623B4F">
        <w:rPr>
          <w:rFonts w:asciiTheme="minorHAnsi" w:hAnsiTheme="minorHAnsi" w:cs="Calibr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Pr>
          <w:rFonts w:asciiTheme="minorHAnsi" w:hAnsiTheme="minorHAnsi"/>
          <w:bCs/>
        </w:rPr>
        <w:t xml:space="preserve"> y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20">
    <w:p w:rsidR="00A659E8" w:rsidRPr="00833A61" w:rsidRDefault="00A659E8" w:rsidP="00A659E8">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21">
    <w:p w:rsidR="00A659E8" w:rsidRPr="00104D5D" w:rsidRDefault="00A659E8" w:rsidP="00A659E8">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Ediprime Ltda, Bogotá, </w:t>
      </w:r>
      <w:r w:rsidRPr="00104D5D">
        <w:rPr>
          <w:rFonts w:ascii="Calibri" w:hAnsi="Calibri" w:cs="Calibri"/>
        </w:rPr>
        <w:t>2006, p.120.</w:t>
      </w:r>
    </w:p>
  </w:footnote>
  <w:footnote w:id="22">
    <w:p w:rsidR="00A659E8" w:rsidRPr="00104D5D" w:rsidRDefault="00A659E8" w:rsidP="00A659E8">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Sala Civil-Familia. Sentencia del 28-03-2016, MP Dubermey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23">
    <w:p w:rsidR="00A659E8" w:rsidRPr="008C531D" w:rsidRDefault="00A659E8" w:rsidP="00A659E8">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T-057 de 2016.</w:t>
      </w:r>
    </w:p>
  </w:footnote>
  <w:footnote w:id="24">
    <w:p w:rsidR="00A659E8" w:rsidRPr="008C531D" w:rsidRDefault="00A659E8" w:rsidP="00A659E8">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T-095 de 2015.</w:t>
      </w:r>
    </w:p>
  </w:footnote>
  <w:footnote w:id="25">
    <w:p w:rsidR="00A659E8" w:rsidRPr="00A4402B" w:rsidRDefault="00A659E8" w:rsidP="00A659E8">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26">
    <w:p w:rsidR="00FB1B94" w:rsidRDefault="00FB1B94" w:rsidP="00FB1B94">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27">
    <w:p w:rsidR="007B3B70" w:rsidRPr="008B43C6" w:rsidRDefault="007B3B70" w:rsidP="007B3B70">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8">
    <w:p w:rsidR="007B3B70" w:rsidRPr="008B43C6" w:rsidRDefault="007B3B70" w:rsidP="007B3B70">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9">
    <w:p w:rsidR="003D5BBF" w:rsidRPr="00534D20" w:rsidRDefault="003D5BBF" w:rsidP="003D5BBF">
      <w:pPr>
        <w:pStyle w:val="Textonotapie"/>
        <w:jc w:val="both"/>
        <w:rPr>
          <w:lang w:val="es-CO"/>
        </w:rPr>
      </w:pPr>
      <w:r>
        <w:rPr>
          <w:rStyle w:val="Refdenotaalpie"/>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30">
    <w:p w:rsidR="003D5BBF" w:rsidRPr="00DD18FC" w:rsidRDefault="003D5BBF" w:rsidP="003D5BBF">
      <w:pPr>
        <w:pStyle w:val="Textonotapie"/>
        <w:rPr>
          <w:rFonts w:ascii="Calibri" w:hAnsi="Calibri"/>
          <w:lang w:val="es-CO"/>
        </w:rPr>
      </w:pPr>
      <w:r w:rsidRPr="00DD18FC">
        <w:rPr>
          <w:rStyle w:val="Refdenotaalpie"/>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31">
    <w:p w:rsidR="003D5BBF" w:rsidRPr="00DD18FC" w:rsidRDefault="003D5BBF" w:rsidP="003D5BBF">
      <w:pPr>
        <w:pStyle w:val="Textonotapie"/>
        <w:rPr>
          <w:lang w:val="es-CO"/>
        </w:rPr>
      </w:pPr>
      <w:r w:rsidRPr="00DD18FC">
        <w:rPr>
          <w:rStyle w:val="Refdenotaalpie"/>
          <w:rFonts w:ascii="Calibri" w:hAnsi="Calibri"/>
        </w:rPr>
        <w:footnoteRef/>
      </w:r>
      <w:r w:rsidRPr="00DD18FC">
        <w:rPr>
          <w:rFonts w:ascii="Calibri" w:hAnsi="Calibri"/>
        </w:rPr>
        <w:t xml:space="preserve"> CSJ, Sala Laboral. STL1363-2017</w:t>
      </w:r>
      <w:r>
        <w:rPr>
          <w:rFonts w:ascii="Calibri" w:hAnsi="Calibri"/>
        </w:rPr>
        <w:t>.</w:t>
      </w:r>
    </w:p>
  </w:footnote>
  <w:footnote w:id="32">
    <w:p w:rsidR="00432FFA" w:rsidRPr="00833A61" w:rsidRDefault="00432FFA" w:rsidP="00432FFA">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33">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Pr>
          <w:rFonts w:asciiTheme="minorHAnsi" w:hAnsiTheme="minorHAnsi" w:cs="Calibri"/>
        </w:rPr>
        <w:t xml:space="preserve">T-001 de 2016 y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34">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5">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T-443 de 1995</w:t>
      </w:r>
      <w:r>
        <w:rPr>
          <w:rFonts w:asciiTheme="minorHAnsi" w:hAnsiTheme="minorHAnsi" w:cs="Calibri"/>
        </w:rPr>
        <w:t>.</w:t>
      </w:r>
    </w:p>
  </w:footnote>
  <w:footnote w:id="36">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T-149 de 1995</w:t>
      </w:r>
      <w:r>
        <w:rPr>
          <w:rFonts w:asciiTheme="minorHAnsi" w:hAnsiTheme="minorHAnsi" w:cs="Calibri"/>
        </w:rPr>
        <w:t>.</w:t>
      </w:r>
    </w:p>
  </w:footnote>
  <w:footnote w:id="37">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T-308 de 1995</w:t>
      </w:r>
      <w:r>
        <w:rPr>
          <w:rFonts w:asciiTheme="minorHAnsi" w:hAnsiTheme="minorHAnsi" w:cs="Calibri"/>
        </w:rPr>
        <w:t>.</w:t>
      </w:r>
    </w:p>
  </w:footnote>
  <w:footnote w:id="38">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T-443 de 1995</w:t>
      </w:r>
      <w:r>
        <w:rPr>
          <w:rFonts w:asciiTheme="minorHAnsi" w:hAnsiTheme="minorHAnsi" w:cs="Calibri"/>
        </w:rPr>
        <w:t>.</w:t>
      </w:r>
    </w:p>
  </w:footnote>
  <w:footnote w:id="39">
    <w:p w:rsidR="003D5BBF" w:rsidRDefault="003D5BBF" w:rsidP="003D5BB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40">
    <w:p w:rsidR="00DC79C0" w:rsidRPr="001815DA" w:rsidRDefault="00DC79C0" w:rsidP="00DC79C0">
      <w:pPr>
        <w:pStyle w:val="Textonotapie"/>
        <w:jc w:val="both"/>
      </w:pPr>
      <w:r>
        <w:rPr>
          <w:rStyle w:val="Refdenotaalpie"/>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(Sublínea de la Sala)</w:t>
      </w:r>
    </w:p>
    <w:p w:rsidR="00DC79C0" w:rsidRPr="001815DA" w:rsidRDefault="00DC79C0" w:rsidP="00DC79C0">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E47737">
      <w:rPr>
        <w:rFonts w:ascii="Calibri" w:hAnsi="Calibri" w:cs="Calibri"/>
        <w:i/>
        <w:noProof/>
        <w:sz w:val="20"/>
      </w:rPr>
      <w:t>14</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w:t>
    </w:r>
    <w:r w:rsidR="003D7DC8">
      <w:rPr>
        <w:rFonts w:ascii="Calibri" w:hAnsi="Calibri" w:cs="Calibri"/>
        <w:i/>
        <w:sz w:val="20"/>
        <w:szCs w:val="22"/>
      </w:rPr>
      <w:t>00</w:t>
    </w:r>
    <w:r w:rsidR="00B5656B">
      <w:rPr>
        <w:rFonts w:ascii="Calibri" w:hAnsi="Calibri" w:cs="Calibri"/>
        <w:i/>
        <w:sz w:val="20"/>
        <w:szCs w:val="22"/>
      </w:rPr>
      <w:t>4</w:t>
    </w:r>
    <w:r w:rsidR="005B53B6">
      <w:rPr>
        <w:rFonts w:ascii="Calibri" w:hAnsi="Calibri" w:cs="Calibri"/>
        <w:i/>
        <w:sz w:val="20"/>
        <w:szCs w:val="22"/>
      </w:rPr>
      <w:t>91</w:t>
    </w:r>
    <w:r w:rsidR="0041111B">
      <w:rPr>
        <w:rFonts w:ascii="Calibri" w:hAnsi="Calibri" w:cs="Calibri"/>
        <w:i/>
        <w:sz w:val="20"/>
        <w:szCs w:val="22"/>
      </w:rPr>
      <w:t>-00</w:t>
    </w:r>
    <w:r w:rsidR="007229B8">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9D0C42C0"/>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453F9E"/>
    <w:multiLevelType w:val="multilevel"/>
    <w:tmpl w:val="9A4CFBE2"/>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CF"/>
    <w:rsid w:val="00001BE7"/>
    <w:rsid w:val="00001BED"/>
    <w:rsid w:val="00001F7C"/>
    <w:rsid w:val="000020DD"/>
    <w:rsid w:val="00002429"/>
    <w:rsid w:val="0000292B"/>
    <w:rsid w:val="00002AEB"/>
    <w:rsid w:val="00002D5D"/>
    <w:rsid w:val="00002ED5"/>
    <w:rsid w:val="00003242"/>
    <w:rsid w:val="0000370A"/>
    <w:rsid w:val="00003BCE"/>
    <w:rsid w:val="00005289"/>
    <w:rsid w:val="00005484"/>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AEE"/>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1C"/>
    <w:rsid w:val="00026255"/>
    <w:rsid w:val="000267D2"/>
    <w:rsid w:val="00026E86"/>
    <w:rsid w:val="000271AD"/>
    <w:rsid w:val="00027398"/>
    <w:rsid w:val="00027A6F"/>
    <w:rsid w:val="00030686"/>
    <w:rsid w:val="00030B65"/>
    <w:rsid w:val="000311D1"/>
    <w:rsid w:val="00031B4F"/>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93"/>
    <w:rsid w:val="000547E1"/>
    <w:rsid w:val="00055048"/>
    <w:rsid w:val="00055173"/>
    <w:rsid w:val="00055FDD"/>
    <w:rsid w:val="00057150"/>
    <w:rsid w:val="00057802"/>
    <w:rsid w:val="00060303"/>
    <w:rsid w:val="000605AB"/>
    <w:rsid w:val="00060C31"/>
    <w:rsid w:val="00060CFD"/>
    <w:rsid w:val="00060ED4"/>
    <w:rsid w:val="000615A1"/>
    <w:rsid w:val="000616FF"/>
    <w:rsid w:val="00061774"/>
    <w:rsid w:val="00062560"/>
    <w:rsid w:val="00062806"/>
    <w:rsid w:val="00062885"/>
    <w:rsid w:val="0006380B"/>
    <w:rsid w:val="0006538C"/>
    <w:rsid w:val="0006557F"/>
    <w:rsid w:val="00065A60"/>
    <w:rsid w:val="00066166"/>
    <w:rsid w:val="000668FE"/>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5C"/>
    <w:rsid w:val="00086D7B"/>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9DB"/>
    <w:rsid w:val="000B5E81"/>
    <w:rsid w:val="000B64E9"/>
    <w:rsid w:val="000B6E18"/>
    <w:rsid w:val="000B7061"/>
    <w:rsid w:val="000B7519"/>
    <w:rsid w:val="000B7527"/>
    <w:rsid w:val="000B7969"/>
    <w:rsid w:val="000B7B23"/>
    <w:rsid w:val="000B7C77"/>
    <w:rsid w:val="000B7F7C"/>
    <w:rsid w:val="000C0320"/>
    <w:rsid w:val="000C0986"/>
    <w:rsid w:val="000C09C4"/>
    <w:rsid w:val="000C0D00"/>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BF1"/>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1BC"/>
    <w:rsid w:val="00101AE0"/>
    <w:rsid w:val="00101AF2"/>
    <w:rsid w:val="00101EF3"/>
    <w:rsid w:val="001022A9"/>
    <w:rsid w:val="00102604"/>
    <w:rsid w:val="0010267E"/>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4AB"/>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D04"/>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9FB"/>
    <w:rsid w:val="00141D52"/>
    <w:rsid w:val="00142676"/>
    <w:rsid w:val="0014281B"/>
    <w:rsid w:val="00143293"/>
    <w:rsid w:val="0014339C"/>
    <w:rsid w:val="00143C1E"/>
    <w:rsid w:val="0014408E"/>
    <w:rsid w:val="0014473F"/>
    <w:rsid w:val="001448D3"/>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69E"/>
    <w:rsid w:val="001528F3"/>
    <w:rsid w:val="00153377"/>
    <w:rsid w:val="001537AB"/>
    <w:rsid w:val="001537F8"/>
    <w:rsid w:val="001542B7"/>
    <w:rsid w:val="00155162"/>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9B4"/>
    <w:rsid w:val="00164D6D"/>
    <w:rsid w:val="00164DB6"/>
    <w:rsid w:val="00165C60"/>
    <w:rsid w:val="0016605C"/>
    <w:rsid w:val="00166D62"/>
    <w:rsid w:val="001677E3"/>
    <w:rsid w:val="001678A1"/>
    <w:rsid w:val="00167C8F"/>
    <w:rsid w:val="001707C6"/>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2897"/>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261"/>
    <w:rsid w:val="0019525B"/>
    <w:rsid w:val="00195D5E"/>
    <w:rsid w:val="001962BE"/>
    <w:rsid w:val="0019739B"/>
    <w:rsid w:val="00197BD4"/>
    <w:rsid w:val="001A0527"/>
    <w:rsid w:val="001A07E8"/>
    <w:rsid w:val="001A0924"/>
    <w:rsid w:val="001A0973"/>
    <w:rsid w:val="001A0BC5"/>
    <w:rsid w:val="001A122A"/>
    <w:rsid w:val="001A143F"/>
    <w:rsid w:val="001A1B54"/>
    <w:rsid w:val="001A1CE0"/>
    <w:rsid w:val="001A1EA0"/>
    <w:rsid w:val="001A1F48"/>
    <w:rsid w:val="001A21C7"/>
    <w:rsid w:val="001A2A8F"/>
    <w:rsid w:val="001A36BD"/>
    <w:rsid w:val="001A6A5E"/>
    <w:rsid w:val="001A6BD6"/>
    <w:rsid w:val="001A70AA"/>
    <w:rsid w:val="001A7270"/>
    <w:rsid w:val="001B024F"/>
    <w:rsid w:val="001B0E0F"/>
    <w:rsid w:val="001B1138"/>
    <w:rsid w:val="001B1B9D"/>
    <w:rsid w:val="001B20E8"/>
    <w:rsid w:val="001B2927"/>
    <w:rsid w:val="001B3C41"/>
    <w:rsid w:val="001B4781"/>
    <w:rsid w:val="001B5303"/>
    <w:rsid w:val="001B549A"/>
    <w:rsid w:val="001B5697"/>
    <w:rsid w:val="001B59F9"/>
    <w:rsid w:val="001B62E6"/>
    <w:rsid w:val="001B6EE3"/>
    <w:rsid w:val="001B77E2"/>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42"/>
    <w:rsid w:val="001C61F5"/>
    <w:rsid w:val="001C7A2A"/>
    <w:rsid w:val="001C7B73"/>
    <w:rsid w:val="001C7E8E"/>
    <w:rsid w:val="001C7FDD"/>
    <w:rsid w:val="001D00F0"/>
    <w:rsid w:val="001D019C"/>
    <w:rsid w:val="001D025F"/>
    <w:rsid w:val="001D0884"/>
    <w:rsid w:val="001D0CCA"/>
    <w:rsid w:val="001D0D45"/>
    <w:rsid w:val="001D0F25"/>
    <w:rsid w:val="001D1325"/>
    <w:rsid w:val="001D13B2"/>
    <w:rsid w:val="001D196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1FAD"/>
    <w:rsid w:val="001F25C3"/>
    <w:rsid w:val="001F347A"/>
    <w:rsid w:val="001F3588"/>
    <w:rsid w:val="001F36C2"/>
    <w:rsid w:val="001F4433"/>
    <w:rsid w:val="001F4532"/>
    <w:rsid w:val="001F464C"/>
    <w:rsid w:val="001F4656"/>
    <w:rsid w:val="001F4AEC"/>
    <w:rsid w:val="001F4D67"/>
    <w:rsid w:val="001F574D"/>
    <w:rsid w:val="001F5774"/>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5F97"/>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3B5"/>
    <w:rsid w:val="00216DBE"/>
    <w:rsid w:val="0021708B"/>
    <w:rsid w:val="00217163"/>
    <w:rsid w:val="00217556"/>
    <w:rsid w:val="002175EB"/>
    <w:rsid w:val="00220029"/>
    <w:rsid w:val="00220B87"/>
    <w:rsid w:val="00220EE3"/>
    <w:rsid w:val="00220F6E"/>
    <w:rsid w:val="002216A3"/>
    <w:rsid w:val="00221897"/>
    <w:rsid w:val="00222C3B"/>
    <w:rsid w:val="0022407E"/>
    <w:rsid w:val="00224980"/>
    <w:rsid w:val="00224ACA"/>
    <w:rsid w:val="00225843"/>
    <w:rsid w:val="002258C9"/>
    <w:rsid w:val="00225A30"/>
    <w:rsid w:val="00226214"/>
    <w:rsid w:val="00226403"/>
    <w:rsid w:val="00226645"/>
    <w:rsid w:val="00226832"/>
    <w:rsid w:val="002269FC"/>
    <w:rsid w:val="002274FF"/>
    <w:rsid w:val="00227A72"/>
    <w:rsid w:val="00227FC9"/>
    <w:rsid w:val="00230B9A"/>
    <w:rsid w:val="00230D00"/>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690"/>
    <w:rsid w:val="00250DA7"/>
    <w:rsid w:val="00250EAE"/>
    <w:rsid w:val="002516FA"/>
    <w:rsid w:val="002517C0"/>
    <w:rsid w:val="00251F84"/>
    <w:rsid w:val="002520E9"/>
    <w:rsid w:val="002526A9"/>
    <w:rsid w:val="002526F2"/>
    <w:rsid w:val="00252B82"/>
    <w:rsid w:val="00252D94"/>
    <w:rsid w:val="00253420"/>
    <w:rsid w:val="00253966"/>
    <w:rsid w:val="00253B16"/>
    <w:rsid w:val="002546BD"/>
    <w:rsid w:val="00254B08"/>
    <w:rsid w:val="00254B18"/>
    <w:rsid w:val="002550AB"/>
    <w:rsid w:val="002553DE"/>
    <w:rsid w:val="00255713"/>
    <w:rsid w:val="00255DDF"/>
    <w:rsid w:val="00256465"/>
    <w:rsid w:val="00256C49"/>
    <w:rsid w:val="0025743C"/>
    <w:rsid w:val="00261753"/>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02B"/>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3C40"/>
    <w:rsid w:val="002A449C"/>
    <w:rsid w:val="002A4527"/>
    <w:rsid w:val="002A4660"/>
    <w:rsid w:val="002A4845"/>
    <w:rsid w:val="002A4B18"/>
    <w:rsid w:val="002A4B66"/>
    <w:rsid w:val="002A4D40"/>
    <w:rsid w:val="002A4D86"/>
    <w:rsid w:val="002A5252"/>
    <w:rsid w:val="002A5CA9"/>
    <w:rsid w:val="002A5D8E"/>
    <w:rsid w:val="002A6014"/>
    <w:rsid w:val="002A6894"/>
    <w:rsid w:val="002A7356"/>
    <w:rsid w:val="002A7D01"/>
    <w:rsid w:val="002A7FA0"/>
    <w:rsid w:val="002B0607"/>
    <w:rsid w:val="002B1AFC"/>
    <w:rsid w:val="002B1D72"/>
    <w:rsid w:val="002B2263"/>
    <w:rsid w:val="002B24DA"/>
    <w:rsid w:val="002B2F51"/>
    <w:rsid w:val="002B49BF"/>
    <w:rsid w:val="002B4AF2"/>
    <w:rsid w:val="002B551F"/>
    <w:rsid w:val="002B5533"/>
    <w:rsid w:val="002B5A72"/>
    <w:rsid w:val="002B5FD5"/>
    <w:rsid w:val="002B60F4"/>
    <w:rsid w:val="002B6CBC"/>
    <w:rsid w:val="002B6E0B"/>
    <w:rsid w:val="002B7260"/>
    <w:rsid w:val="002B7288"/>
    <w:rsid w:val="002B73A7"/>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2AE1"/>
    <w:rsid w:val="002D31B2"/>
    <w:rsid w:val="002D3485"/>
    <w:rsid w:val="002D37CB"/>
    <w:rsid w:val="002D4132"/>
    <w:rsid w:val="002D4A2E"/>
    <w:rsid w:val="002D62CE"/>
    <w:rsid w:val="002D70F9"/>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0EAA"/>
    <w:rsid w:val="002F11E7"/>
    <w:rsid w:val="002F1A12"/>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2FD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890"/>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3E3"/>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D6F"/>
    <w:rsid w:val="00345F28"/>
    <w:rsid w:val="00346FBC"/>
    <w:rsid w:val="00347373"/>
    <w:rsid w:val="00347381"/>
    <w:rsid w:val="003473C6"/>
    <w:rsid w:val="003479A1"/>
    <w:rsid w:val="00347F5C"/>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A11"/>
    <w:rsid w:val="00365E29"/>
    <w:rsid w:val="0036612F"/>
    <w:rsid w:val="003705F3"/>
    <w:rsid w:val="00370D1D"/>
    <w:rsid w:val="0037217E"/>
    <w:rsid w:val="003722A2"/>
    <w:rsid w:val="00372BC7"/>
    <w:rsid w:val="003733E2"/>
    <w:rsid w:val="0037348A"/>
    <w:rsid w:val="003739B4"/>
    <w:rsid w:val="0037415A"/>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D8D"/>
    <w:rsid w:val="00385E43"/>
    <w:rsid w:val="003860A0"/>
    <w:rsid w:val="00386A62"/>
    <w:rsid w:val="0038712D"/>
    <w:rsid w:val="003903BD"/>
    <w:rsid w:val="00390B0D"/>
    <w:rsid w:val="00390E90"/>
    <w:rsid w:val="0039143D"/>
    <w:rsid w:val="00391560"/>
    <w:rsid w:val="00391B1A"/>
    <w:rsid w:val="00391B52"/>
    <w:rsid w:val="00391FA3"/>
    <w:rsid w:val="003928A7"/>
    <w:rsid w:val="00392B8A"/>
    <w:rsid w:val="00392F23"/>
    <w:rsid w:val="0039301E"/>
    <w:rsid w:val="003931C4"/>
    <w:rsid w:val="0039383D"/>
    <w:rsid w:val="003938A6"/>
    <w:rsid w:val="00395005"/>
    <w:rsid w:val="00395650"/>
    <w:rsid w:val="0039635A"/>
    <w:rsid w:val="003968B3"/>
    <w:rsid w:val="00396F9B"/>
    <w:rsid w:val="00397153"/>
    <w:rsid w:val="00397174"/>
    <w:rsid w:val="00397548"/>
    <w:rsid w:val="003976E7"/>
    <w:rsid w:val="00397E40"/>
    <w:rsid w:val="003A03CE"/>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A6DC6"/>
    <w:rsid w:val="003B08F5"/>
    <w:rsid w:val="003B0B82"/>
    <w:rsid w:val="003B0EE1"/>
    <w:rsid w:val="003B12FB"/>
    <w:rsid w:val="003B1C6C"/>
    <w:rsid w:val="003B2EC7"/>
    <w:rsid w:val="003B3673"/>
    <w:rsid w:val="003B37F0"/>
    <w:rsid w:val="003B3DCC"/>
    <w:rsid w:val="003B4005"/>
    <w:rsid w:val="003B4FF8"/>
    <w:rsid w:val="003B50F3"/>
    <w:rsid w:val="003B5178"/>
    <w:rsid w:val="003B691D"/>
    <w:rsid w:val="003B6DD2"/>
    <w:rsid w:val="003B6E96"/>
    <w:rsid w:val="003B746D"/>
    <w:rsid w:val="003B7AD3"/>
    <w:rsid w:val="003C0060"/>
    <w:rsid w:val="003C1D50"/>
    <w:rsid w:val="003C2862"/>
    <w:rsid w:val="003C2EB2"/>
    <w:rsid w:val="003C3200"/>
    <w:rsid w:val="003C3A12"/>
    <w:rsid w:val="003C4499"/>
    <w:rsid w:val="003C4B66"/>
    <w:rsid w:val="003C5100"/>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5F5"/>
    <w:rsid w:val="003D3663"/>
    <w:rsid w:val="003D3F60"/>
    <w:rsid w:val="003D3F80"/>
    <w:rsid w:val="003D4090"/>
    <w:rsid w:val="003D4557"/>
    <w:rsid w:val="003D45B1"/>
    <w:rsid w:val="003D46EB"/>
    <w:rsid w:val="003D475E"/>
    <w:rsid w:val="003D4FD9"/>
    <w:rsid w:val="003D5956"/>
    <w:rsid w:val="003D5BBF"/>
    <w:rsid w:val="003D5FC6"/>
    <w:rsid w:val="003D65B3"/>
    <w:rsid w:val="003D6763"/>
    <w:rsid w:val="003D6BEE"/>
    <w:rsid w:val="003D7DC8"/>
    <w:rsid w:val="003E0D08"/>
    <w:rsid w:val="003E0DA0"/>
    <w:rsid w:val="003E0E5D"/>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F5A"/>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9E1"/>
    <w:rsid w:val="00431B5B"/>
    <w:rsid w:val="00432087"/>
    <w:rsid w:val="00432145"/>
    <w:rsid w:val="00432310"/>
    <w:rsid w:val="00432E4F"/>
    <w:rsid w:val="00432FFA"/>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D12"/>
    <w:rsid w:val="004471D7"/>
    <w:rsid w:val="00447A55"/>
    <w:rsid w:val="004505E5"/>
    <w:rsid w:val="00450A8F"/>
    <w:rsid w:val="00450F26"/>
    <w:rsid w:val="004513F3"/>
    <w:rsid w:val="00451431"/>
    <w:rsid w:val="00451F8A"/>
    <w:rsid w:val="0045270F"/>
    <w:rsid w:val="00453189"/>
    <w:rsid w:val="00453894"/>
    <w:rsid w:val="00453E95"/>
    <w:rsid w:val="004548B6"/>
    <w:rsid w:val="004549AD"/>
    <w:rsid w:val="00454F83"/>
    <w:rsid w:val="004557D6"/>
    <w:rsid w:val="00455F07"/>
    <w:rsid w:val="00456151"/>
    <w:rsid w:val="004561AA"/>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2AD"/>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199"/>
    <w:rsid w:val="004B7439"/>
    <w:rsid w:val="004B7598"/>
    <w:rsid w:val="004B779D"/>
    <w:rsid w:val="004B77EB"/>
    <w:rsid w:val="004C06DD"/>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41"/>
    <w:rsid w:val="004D1B99"/>
    <w:rsid w:val="004D20A8"/>
    <w:rsid w:val="004D21F8"/>
    <w:rsid w:val="004D221F"/>
    <w:rsid w:val="004D2734"/>
    <w:rsid w:val="004D3BDF"/>
    <w:rsid w:val="004D426C"/>
    <w:rsid w:val="004D448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712"/>
    <w:rsid w:val="004E3788"/>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1A7A"/>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5F77"/>
    <w:rsid w:val="00546006"/>
    <w:rsid w:val="005463F5"/>
    <w:rsid w:val="00546AD5"/>
    <w:rsid w:val="00547199"/>
    <w:rsid w:val="0054725D"/>
    <w:rsid w:val="00547CC0"/>
    <w:rsid w:val="00550E2F"/>
    <w:rsid w:val="005515E3"/>
    <w:rsid w:val="00551BFA"/>
    <w:rsid w:val="00551FBB"/>
    <w:rsid w:val="0055282B"/>
    <w:rsid w:val="00553562"/>
    <w:rsid w:val="00553F9C"/>
    <w:rsid w:val="0055407B"/>
    <w:rsid w:val="0055419E"/>
    <w:rsid w:val="005543F4"/>
    <w:rsid w:val="00554FD1"/>
    <w:rsid w:val="00555BC2"/>
    <w:rsid w:val="00555CCB"/>
    <w:rsid w:val="005561DB"/>
    <w:rsid w:val="00556508"/>
    <w:rsid w:val="0055788B"/>
    <w:rsid w:val="0055798C"/>
    <w:rsid w:val="00557A1B"/>
    <w:rsid w:val="00557CDA"/>
    <w:rsid w:val="00560314"/>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6C7B"/>
    <w:rsid w:val="005773D1"/>
    <w:rsid w:val="00577CC9"/>
    <w:rsid w:val="00577DAA"/>
    <w:rsid w:val="00577E6D"/>
    <w:rsid w:val="00580060"/>
    <w:rsid w:val="0058043E"/>
    <w:rsid w:val="005804C9"/>
    <w:rsid w:val="00580560"/>
    <w:rsid w:val="00580947"/>
    <w:rsid w:val="00582A15"/>
    <w:rsid w:val="00582C67"/>
    <w:rsid w:val="005842CF"/>
    <w:rsid w:val="005843B1"/>
    <w:rsid w:val="0058608C"/>
    <w:rsid w:val="00586B40"/>
    <w:rsid w:val="00586D15"/>
    <w:rsid w:val="00586E3D"/>
    <w:rsid w:val="00587535"/>
    <w:rsid w:val="0058760B"/>
    <w:rsid w:val="005879EB"/>
    <w:rsid w:val="00587A58"/>
    <w:rsid w:val="00587E67"/>
    <w:rsid w:val="005900E8"/>
    <w:rsid w:val="00590AD2"/>
    <w:rsid w:val="005912EB"/>
    <w:rsid w:val="00591A2D"/>
    <w:rsid w:val="0059355B"/>
    <w:rsid w:val="00594584"/>
    <w:rsid w:val="00594A41"/>
    <w:rsid w:val="00594F7E"/>
    <w:rsid w:val="00594FDC"/>
    <w:rsid w:val="0059514B"/>
    <w:rsid w:val="005951B2"/>
    <w:rsid w:val="00595487"/>
    <w:rsid w:val="005955FF"/>
    <w:rsid w:val="00596A3B"/>
    <w:rsid w:val="00596DB4"/>
    <w:rsid w:val="0059791D"/>
    <w:rsid w:val="005979AE"/>
    <w:rsid w:val="005A09B7"/>
    <w:rsid w:val="005A0B75"/>
    <w:rsid w:val="005A1399"/>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D42"/>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3B6"/>
    <w:rsid w:val="005B7137"/>
    <w:rsid w:val="005B72A9"/>
    <w:rsid w:val="005C0093"/>
    <w:rsid w:val="005C053C"/>
    <w:rsid w:val="005C09D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5E9E"/>
    <w:rsid w:val="005D6052"/>
    <w:rsid w:val="005D606E"/>
    <w:rsid w:val="005D63AC"/>
    <w:rsid w:val="005D6922"/>
    <w:rsid w:val="005D7115"/>
    <w:rsid w:val="005D7450"/>
    <w:rsid w:val="005E006B"/>
    <w:rsid w:val="005E060B"/>
    <w:rsid w:val="005E1750"/>
    <w:rsid w:val="005E19F3"/>
    <w:rsid w:val="005E276A"/>
    <w:rsid w:val="005E2879"/>
    <w:rsid w:val="005E2C13"/>
    <w:rsid w:val="005E2C5B"/>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8F4"/>
    <w:rsid w:val="005F3B66"/>
    <w:rsid w:val="005F3E08"/>
    <w:rsid w:val="005F474C"/>
    <w:rsid w:val="005F47CB"/>
    <w:rsid w:val="005F4905"/>
    <w:rsid w:val="005F4B0C"/>
    <w:rsid w:val="005F5062"/>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EB1"/>
    <w:rsid w:val="0062000C"/>
    <w:rsid w:val="00620844"/>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A17"/>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084"/>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4E"/>
    <w:rsid w:val="00652402"/>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7682"/>
    <w:rsid w:val="00667E9D"/>
    <w:rsid w:val="00670818"/>
    <w:rsid w:val="00670D07"/>
    <w:rsid w:val="00671332"/>
    <w:rsid w:val="00671540"/>
    <w:rsid w:val="00671690"/>
    <w:rsid w:val="00671E37"/>
    <w:rsid w:val="00671EF6"/>
    <w:rsid w:val="00672D56"/>
    <w:rsid w:val="00672E57"/>
    <w:rsid w:val="00673FCA"/>
    <w:rsid w:val="00674068"/>
    <w:rsid w:val="0067420C"/>
    <w:rsid w:val="00674A79"/>
    <w:rsid w:val="0067589D"/>
    <w:rsid w:val="006758F9"/>
    <w:rsid w:val="00676248"/>
    <w:rsid w:val="00676E64"/>
    <w:rsid w:val="006774BA"/>
    <w:rsid w:val="00677AA0"/>
    <w:rsid w:val="00677C1C"/>
    <w:rsid w:val="006802BE"/>
    <w:rsid w:val="00680777"/>
    <w:rsid w:val="00681948"/>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FF8"/>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598E"/>
    <w:rsid w:val="006B6112"/>
    <w:rsid w:val="006B6C79"/>
    <w:rsid w:val="006B77EA"/>
    <w:rsid w:val="006B79EF"/>
    <w:rsid w:val="006C02CE"/>
    <w:rsid w:val="006C0C23"/>
    <w:rsid w:val="006C0E6C"/>
    <w:rsid w:val="006C123B"/>
    <w:rsid w:val="006C1535"/>
    <w:rsid w:val="006C2BA9"/>
    <w:rsid w:val="006C2CDF"/>
    <w:rsid w:val="006C3C38"/>
    <w:rsid w:val="006C41DB"/>
    <w:rsid w:val="006C45EE"/>
    <w:rsid w:val="006C57E6"/>
    <w:rsid w:val="006C5A70"/>
    <w:rsid w:val="006C5C45"/>
    <w:rsid w:val="006C5FEC"/>
    <w:rsid w:val="006C6DAD"/>
    <w:rsid w:val="006C743F"/>
    <w:rsid w:val="006C7450"/>
    <w:rsid w:val="006C7531"/>
    <w:rsid w:val="006C7B76"/>
    <w:rsid w:val="006C7BD5"/>
    <w:rsid w:val="006C7FAA"/>
    <w:rsid w:val="006D0532"/>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D5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138"/>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3CC"/>
    <w:rsid w:val="007004A9"/>
    <w:rsid w:val="00700C2C"/>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660E"/>
    <w:rsid w:val="00706EF7"/>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83D"/>
    <w:rsid w:val="00720861"/>
    <w:rsid w:val="00720F6E"/>
    <w:rsid w:val="007229B8"/>
    <w:rsid w:val="00722FB5"/>
    <w:rsid w:val="00723794"/>
    <w:rsid w:val="0072424E"/>
    <w:rsid w:val="0072436C"/>
    <w:rsid w:val="00724BAB"/>
    <w:rsid w:val="00725242"/>
    <w:rsid w:val="0072524B"/>
    <w:rsid w:val="00725884"/>
    <w:rsid w:val="00725E62"/>
    <w:rsid w:val="007263B2"/>
    <w:rsid w:val="007266D3"/>
    <w:rsid w:val="00726918"/>
    <w:rsid w:val="00727095"/>
    <w:rsid w:val="0073083F"/>
    <w:rsid w:val="00730C2B"/>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97F"/>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1E0"/>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A9E"/>
    <w:rsid w:val="00766B56"/>
    <w:rsid w:val="007670C0"/>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36"/>
    <w:rsid w:val="00775262"/>
    <w:rsid w:val="00775707"/>
    <w:rsid w:val="00776662"/>
    <w:rsid w:val="00776A75"/>
    <w:rsid w:val="007776C1"/>
    <w:rsid w:val="00777898"/>
    <w:rsid w:val="00777DDF"/>
    <w:rsid w:val="00780B54"/>
    <w:rsid w:val="00780C46"/>
    <w:rsid w:val="00783061"/>
    <w:rsid w:val="00783425"/>
    <w:rsid w:val="00783BE0"/>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7A4"/>
    <w:rsid w:val="007B3A5B"/>
    <w:rsid w:val="007B3B70"/>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19A"/>
    <w:rsid w:val="007C251C"/>
    <w:rsid w:val="007C2976"/>
    <w:rsid w:val="007C327C"/>
    <w:rsid w:val="007C3EEB"/>
    <w:rsid w:val="007C3F77"/>
    <w:rsid w:val="007C4EF3"/>
    <w:rsid w:val="007C5195"/>
    <w:rsid w:val="007C562D"/>
    <w:rsid w:val="007C583C"/>
    <w:rsid w:val="007C59D2"/>
    <w:rsid w:val="007C6046"/>
    <w:rsid w:val="007C60E9"/>
    <w:rsid w:val="007C6228"/>
    <w:rsid w:val="007C680F"/>
    <w:rsid w:val="007C6E0E"/>
    <w:rsid w:val="007C764F"/>
    <w:rsid w:val="007C7D97"/>
    <w:rsid w:val="007D066A"/>
    <w:rsid w:val="007D0B87"/>
    <w:rsid w:val="007D0E23"/>
    <w:rsid w:val="007D0ECC"/>
    <w:rsid w:val="007D2261"/>
    <w:rsid w:val="007D2580"/>
    <w:rsid w:val="007D273C"/>
    <w:rsid w:val="007D4C9C"/>
    <w:rsid w:val="007D5761"/>
    <w:rsid w:val="007D5FD8"/>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8AB"/>
    <w:rsid w:val="007E293D"/>
    <w:rsid w:val="007E2E20"/>
    <w:rsid w:val="007E3F84"/>
    <w:rsid w:val="007E45CF"/>
    <w:rsid w:val="007E6086"/>
    <w:rsid w:val="007E611C"/>
    <w:rsid w:val="007E614B"/>
    <w:rsid w:val="007E61FB"/>
    <w:rsid w:val="007E63C7"/>
    <w:rsid w:val="007E689B"/>
    <w:rsid w:val="007E7055"/>
    <w:rsid w:val="007E7CE6"/>
    <w:rsid w:val="007E7D23"/>
    <w:rsid w:val="007F0B8D"/>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0A3"/>
    <w:rsid w:val="00806547"/>
    <w:rsid w:val="00806C68"/>
    <w:rsid w:val="00807080"/>
    <w:rsid w:val="008075EB"/>
    <w:rsid w:val="00807BA9"/>
    <w:rsid w:val="0081161B"/>
    <w:rsid w:val="008119F0"/>
    <w:rsid w:val="00811A3A"/>
    <w:rsid w:val="00811CD1"/>
    <w:rsid w:val="00812556"/>
    <w:rsid w:val="0081322E"/>
    <w:rsid w:val="00813552"/>
    <w:rsid w:val="008139F4"/>
    <w:rsid w:val="00814027"/>
    <w:rsid w:val="00814493"/>
    <w:rsid w:val="00814AC7"/>
    <w:rsid w:val="0081546B"/>
    <w:rsid w:val="008154F0"/>
    <w:rsid w:val="00815EF9"/>
    <w:rsid w:val="008163C1"/>
    <w:rsid w:val="00816781"/>
    <w:rsid w:val="0081743D"/>
    <w:rsid w:val="00817549"/>
    <w:rsid w:val="008200A3"/>
    <w:rsid w:val="00820AFB"/>
    <w:rsid w:val="00820BB8"/>
    <w:rsid w:val="008216F7"/>
    <w:rsid w:val="0082221D"/>
    <w:rsid w:val="00822D3B"/>
    <w:rsid w:val="008231D6"/>
    <w:rsid w:val="00823DDB"/>
    <w:rsid w:val="00823F51"/>
    <w:rsid w:val="00824B03"/>
    <w:rsid w:val="008259FB"/>
    <w:rsid w:val="00825BDF"/>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573C"/>
    <w:rsid w:val="00836314"/>
    <w:rsid w:val="00836458"/>
    <w:rsid w:val="00836EE1"/>
    <w:rsid w:val="008375BC"/>
    <w:rsid w:val="00837C04"/>
    <w:rsid w:val="00837DF1"/>
    <w:rsid w:val="00840115"/>
    <w:rsid w:val="00840E09"/>
    <w:rsid w:val="00841908"/>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496"/>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2C18"/>
    <w:rsid w:val="0087303E"/>
    <w:rsid w:val="00873DAE"/>
    <w:rsid w:val="00873EFE"/>
    <w:rsid w:val="00873FF8"/>
    <w:rsid w:val="00874541"/>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0F7"/>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891"/>
    <w:rsid w:val="00896A8A"/>
    <w:rsid w:val="00896C38"/>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A39"/>
    <w:rsid w:val="008B3DD9"/>
    <w:rsid w:val="008B3E0A"/>
    <w:rsid w:val="008B4A95"/>
    <w:rsid w:val="008B5070"/>
    <w:rsid w:val="008B5574"/>
    <w:rsid w:val="008B5601"/>
    <w:rsid w:val="008B58B6"/>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4DD"/>
    <w:rsid w:val="008C4C86"/>
    <w:rsid w:val="008C5895"/>
    <w:rsid w:val="008C5A78"/>
    <w:rsid w:val="008C6674"/>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120"/>
    <w:rsid w:val="008D7B20"/>
    <w:rsid w:val="008D7F5B"/>
    <w:rsid w:val="008E0188"/>
    <w:rsid w:val="008E1295"/>
    <w:rsid w:val="008E2633"/>
    <w:rsid w:val="008E2790"/>
    <w:rsid w:val="008E36DB"/>
    <w:rsid w:val="008E3A2C"/>
    <w:rsid w:val="008E3A3F"/>
    <w:rsid w:val="008E412D"/>
    <w:rsid w:val="008E50E4"/>
    <w:rsid w:val="008E5334"/>
    <w:rsid w:val="008E5A62"/>
    <w:rsid w:val="008E638B"/>
    <w:rsid w:val="008E6592"/>
    <w:rsid w:val="008E7427"/>
    <w:rsid w:val="008E742B"/>
    <w:rsid w:val="008E747D"/>
    <w:rsid w:val="008E75D4"/>
    <w:rsid w:val="008E7763"/>
    <w:rsid w:val="008E7BCD"/>
    <w:rsid w:val="008E7D5F"/>
    <w:rsid w:val="008F12F4"/>
    <w:rsid w:val="008F14F3"/>
    <w:rsid w:val="008F15C1"/>
    <w:rsid w:val="008F187F"/>
    <w:rsid w:val="008F1E3E"/>
    <w:rsid w:val="008F23F5"/>
    <w:rsid w:val="008F29C0"/>
    <w:rsid w:val="008F2C43"/>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2AF6"/>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B0"/>
    <w:rsid w:val="009155CD"/>
    <w:rsid w:val="009161AF"/>
    <w:rsid w:val="00916382"/>
    <w:rsid w:val="009167F9"/>
    <w:rsid w:val="00920533"/>
    <w:rsid w:val="00920BD9"/>
    <w:rsid w:val="009217C1"/>
    <w:rsid w:val="00921B56"/>
    <w:rsid w:val="00921EBD"/>
    <w:rsid w:val="00922BE1"/>
    <w:rsid w:val="0092303A"/>
    <w:rsid w:val="00923780"/>
    <w:rsid w:val="00924A60"/>
    <w:rsid w:val="009259B8"/>
    <w:rsid w:val="00925BFB"/>
    <w:rsid w:val="00925F41"/>
    <w:rsid w:val="009261AA"/>
    <w:rsid w:val="009263E6"/>
    <w:rsid w:val="009267DD"/>
    <w:rsid w:val="00926FF0"/>
    <w:rsid w:val="0092718C"/>
    <w:rsid w:val="00927491"/>
    <w:rsid w:val="009274A6"/>
    <w:rsid w:val="00930478"/>
    <w:rsid w:val="00930751"/>
    <w:rsid w:val="009308B5"/>
    <w:rsid w:val="00930A64"/>
    <w:rsid w:val="00930CA4"/>
    <w:rsid w:val="00931392"/>
    <w:rsid w:val="009328E7"/>
    <w:rsid w:val="00932CAA"/>
    <w:rsid w:val="009342BB"/>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4A87"/>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4A3"/>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462"/>
    <w:rsid w:val="00972A96"/>
    <w:rsid w:val="00972DAC"/>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7A7"/>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5CF1"/>
    <w:rsid w:val="00995E86"/>
    <w:rsid w:val="0099691C"/>
    <w:rsid w:val="00996AA9"/>
    <w:rsid w:val="00997B4B"/>
    <w:rsid w:val="00997D1A"/>
    <w:rsid w:val="009A0276"/>
    <w:rsid w:val="009A028C"/>
    <w:rsid w:val="009A0898"/>
    <w:rsid w:val="009A0995"/>
    <w:rsid w:val="009A0FB7"/>
    <w:rsid w:val="009A1026"/>
    <w:rsid w:val="009A1877"/>
    <w:rsid w:val="009A1E4C"/>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C08"/>
    <w:rsid w:val="009B7DAB"/>
    <w:rsid w:val="009C04CF"/>
    <w:rsid w:val="009C0B8C"/>
    <w:rsid w:val="009C0D66"/>
    <w:rsid w:val="009C254F"/>
    <w:rsid w:val="009C28F2"/>
    <w:rsid w:val="009C2DCA"/>
    <w:rsid w:val="009C2E56"/>
    <w:rsid w:val="009C3B9F"/>
    <w:rsid w:val="009C4833"/>
    <w:rsid w:val="009C4A9B"/>
    <w:rsid w:val="009C50F5"/>
    <w:rsid w:val="009C5607"/>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B58"/>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4E3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F0"/>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4A4E"/>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FEB"/>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59E8"/>
    <w:rsid w:val="00A65C6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00"/>
    <w:rsid w:val="00A77EC1"/>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A9"/>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B6"/>
    <w:rsid w:val="00A97B18"/>
    <w:rsid w:val="00A97C13"/>
    <w:rsid w:val="00AA08BE"/>
    <w:rsid w:val="00AA0CBE"/>
    <w:rsid w:val="00AA0E3C"/>
    <w:rsid w:val="00AA1A97"/>
    <w:rsid w:val="00AA1C66"/>
    <w:rsid w:val="00AA2028"/>
    <w:rsid w:val="00AA2221"/>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B3E"/>
    <w:rsid w:val="00AE5F7F"/>
    <w:rsid w:val="00AE621B"/>
    <w:rsid w:val="00AE6483"/>
    <w:rsid w:val="00AE65F5"/>
    <w:rsid w:val="00AE6C59"/>
    <w:rsid w:val="00AE7224"/>
    <w:rsid w:val="00AE7305"/>
    <w:rsid w:val="00AE7DDB"/>
    <w:rsid w:val="00AF046B"/>
    <w:rsid w:val="00AF0C6C"/>
    <w:rsid w:val="00AF14C3"/>
    <w:rsid w:val="00AF1872"/>
    <w:rsid w:val="00AF1DB4"/>
    <w:rsid w:val="00AF293F"/>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382"/>
    <w:rsid w:val="00B06A13"/>
    <w:rsid w:val="00B06BAF"/>
    <w:rsid w:val="00B0777E"/>
    <w:rsid w:val="00B07948"/>
    <w:rsid w:val="00B07E5C"/>
    <w:rsid w:val="00B10727"/>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0C5"/>
    <w:rsid w:val="00B1736E"/>
    <w:rsid w:val="00B1774F"/>
    <w:rsid w:val="00B20527"/>
    <w:rsid w:val="00B20586"/>
    <w:rsid w:val="00B206FB"/>
    <w:rsid w:val="00B20E23"/>
    <w:rsid w:val="00B212FF"/>
    <w:rsid w:val="00B21704"/>
    <w:rsid w:val="00B21AAA"/>
    <w:rsid w:val="00B223EE"/>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6617"/>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81D"/>
    <w:rsid w:val="00B37FE3"/>
    <w:rsid w:val="00B407A4"/>
    <w:rsid w:val="00B407A9"/>
    <w:rsid w:val="00B40B09"/>
    <w:rsid w:val="00B41484"/>
    <w:rsid w:val="00B414A6"/>
    <w:rsid w:val="00B41B34"/>
    <w:rsid w:val="00B41B99"/>
    <w:rsid w:val="00B41F3E"/>
    <w:rsid w:val="00B42816"/>
    <w:rsid w:val="00B431A9"/>
    <w:rsid w:val="00B435AF"/>
    <w:rsid w:val="00B43B6B"/>
    <w:rsid w:val="00B43E66"/>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648"/>
    <w:rsid w:val="00B54819"/>
    <w:rsid w:val="00B54AC7"/>
    <w:rsid w:val="00B54BCA"/>
    <w:rsid w:val="00B54E75"/>
    <w:rsid w:val="00B54EFC"/>
    <w:rsid w:val="00B54F2D"/>
    <w:rsid w:val="00B55085"/>
    <w:rsid w:val="00B554F6"/>
    <w:rsid w:val="00B55C95"/>
    <w:rsid w:val="00B5656B"/>
    <w:rsid w:val="00B56A42"/>
    <w:rsid w:val="00B56BC8"/>
    <w:rsid w:val="00B5760B"/>
    <w:rsid w:val="00B57911"/>
    <w:rsid w:val="00B57C24"/>
    <w:rsid w:val="00B57C98"/>
    <w:rsid w:val="00B60C39"/>
    <w:rsid w:val="00B60E09"/>
    <w:rsid w:val="00B614B9"/>
    <w:rsid w:val="00B62013"/>
    <w:rsid w:val="00B621E8"/>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B06"/>
    <w:rsid w:val="00B75FBF"/>
    <w:rsid w:val="00B767F1"/>
    <w:rsid w:val="00B77970"/>
    <w:rsid w:val="00B77C71"/>
    <w:rsid w:val="00B77CD2"/>
    <w:rsid w:val="00B80992"/>
    <w:rsid w:val="00B81D32"/>
    <w:rsid w:val="00B81F17"/>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516"/>
    <w:rsid w:val="00B95ABC"/>
    <w:rsid w:val="00B95C12"/>
    <w:rsid w:val="00B95C6F"/>
    <w:rsid w:val="00B963B3"/>
    <w:rsid w:val="00B965E6"/>
    <w:rsid w:val="00B96811"/>
    <w:rsid w:val="00B969CB"/>
    <w:rsid w:val="00B96BED"/>
    <w:rsid w:val="00B97303"/>
    <w:rsid w:val="00BA0263"/>
    <w:rsid w:val="00BA0742"/>
    <w:rsid w:val="00BA1C4D"/>
    <w:rsid w:val="00BA21AC"/>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340"/>
    <w:rsid w:val="00BB64A6"/>
    <w:rsid w:val="00BB67A7"/>
    <w:rsid w:val="00BB70BF"/>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70E"/>
    <w:rsid w:val="00BC6AE1"/>
    <w:rsid w:val="00BC6E60"/>
    <w:rsid w:val="00BC7273"/>
    <w:rsid w:val="00BC7623"/>
    <w:rsid w:val="00BC76DB"/>
    <w:rsid w:val="00BC7AFC"/>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3D7"/>
    <w:rsid w:val="00BD5613"/>
    <w:rsid w:val="00BD5D5C"/>
    <w:rsid w:val="00BD6A54"/>
    <w:rsid w:val="00BD6C81"/>
    <w:rsid w:val="00BD7CD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C94"/>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AE"/>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4F2B"/>
    <w:rsid w:val="00C15191"/>
    <w:rsid w:val="00C15358"/>
    <w:rsid w:val="00C15529"/>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470"/>
    <w:rsid w:val="00C26E04"/>
    <w:rsid w:val="00C26F35"/>
    <w:rsid w:val="00C27B65"/>
    <w:rsid w:val="00C27CAA"/>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C0E"/>
    <w:rsid w:val="00C43D20"/>
    <w:rsid w:val="00C44194"/>
    <w:rsid w:val="00C4440F"/>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80A"/>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5ECF"/>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CBF"/>
    <w:rsid w:val="00C72E91"/>
    <w:rsid w:val="00C73013"/>
    <w:rsid w:val="00C7394E"/>
    <w:rsid w:val="00C748BB"/>
    <w:rsid w:val="00C74B30"/>
    <w:rsid w:val="00C754FB"/>
    <w:rsid w:val="00C765FC"/>
    <w:rsid w:val="00C76929"/>
    <w:rsid w:val="00C769F0"/>
    <w:rsid w:val="00C76A6F"/>
    <w:rsid w:val="00C76BCF"/>
    <w:rsid w:val="00C76C9F"/>
    <w:rsid w:val="00C77717"/>
    <w:rsid w:val="00C77956"/>
    <w:rsid w:val="00C77C0E"/>
    <w:rsid w:val="00C8035F"/>
    <w:rsid w:val="00C804DB"/>
    <w:rsid w:val="00C8050B"/>
    <w:rsid w:val="00C8077A"/>
    <w:rsid w:val="00C807F0"/>
    <w:rsid w:val="00C8175A"/>
    <w:rsid w:val="00C8268C"/>
    <w:rsid w:val="00C82900"/>
    <w:rsid w:val="00C82923"/>
    <w:rsid w:val="00C8311A"/>
    <w:rsid w:val="00C8355D"/>
    <w:rsid w:val="00C837B1"/>
    <w:rsid w:val="00C83DDE"/>
    <w:rsid w:val="00C83E87"/>
    <w:rsid w:val="00C84138"/>
    <w:rsid w:val="00C843CF"/>
    <w:rsid w:val="00C847EA"/>
    <w:rsid w:val="00C84DC9"/>
    <w:rsid w:val="00C864B7"/>
    <w:rsid w:val="00C86BDC"/>
    <w:rsid w:val="00C86CC1"/>
    <w:rsid w:val="00C86DA6"/>
    <w:rsid w:val="00C87118"/>
    <w:rsid w:val="00C901FD"/>
    <w:rsid w:val="00C91451"/>
    <w:rsid w:val="00C914BD"/>
    <w:rsid w:val="00C92A0F"/>
    <w:rsid w:val="00C932B1"/>
    <w:rsid w:val="00C933F1"/>
    <w:rsid w:val="00C94C61"/>
    <w:rsid w:val="00C94F63"/>
    <w:rsid w:val="00C95109"/>
    <w:rsid w:val="00C958A3"/>
    <w:rsid w:val="00C968CD"/>
    <w:rsid w:val="00C96F91"/>
    <w:rsid w:val="00C9794A"/>
    <w:rsid w:val="00CA0077"/>
    <w:rsid w:val="00CA064A"/>
    <w:rsid w:val="00CA12AE"/>
    <w:rsid w:val="00CA14C5"/>
    <w:rsid w:val="00CA17C2"/>
    <w:rsid w:val="00CA226B"/>
    <w:rsid w:val="00CA25E4"/>
    <w:rsid w:val="00CA27F5"/>
    <w:rsid w:val="00CA35DB"/>
    <w:rsid w:val="00CA403A"/>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236"/>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D54"/>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46D6"/>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6FE"/>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0D8"/>
    <w:rsid w:val="00D20534"/>
    <w:rsid w:val="00D205CC"/>
    <w:rsid w:val="00D20705"/>
    <w:rsid w:val="00D20D94"/>
    <w:rsid w:val="00D217D6"/>
    <w:rsid w:val="00D21875"/>
    <w:rsid w:val="00D21A20"/>
    <w:rsid w:val="00D22163"/>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6B6"/>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02B4"/>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1FF"/>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97EEC"/>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10D"/>
    <w:rsid w:val="00DB12FC"/>
    <w:rsid w:val="00DB2703"/>
    <w:rsid w:val="00DB2D38"/>
    <w:rsid w:val="00DB4EE6"/>
    <w:rsid w:val="00DB4F9E"/>
    <w:rsid w:val="00DB4FEB"/>
    <w:rsid w:val="00DB501D"/>
    <w:rsid w:val="00DB569D"/>
    <w:rsid w:val="00DB6E9B"/>
    <w:rsid w:val="00DB7455"/>
    <w:rsid w:val="00DB7898"/>
    <w:rsid w:val="00DB7A08"/>
    <w:rsid w:val="00DB7B8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781"/>
    <w:rsid w:val="00DC5CDA"/>
    <w:rsid w:val="00DC64A4"/>
    <w:rsid w:val="00DC6BEA"/>
    <w:rsid w:val="00DC70AB"/>
    <w:rsid w:val="00DC70C1"/>
    <w:rsid w:val="00DC79C0"/>
    <w:rsid w:val="00DC7F66"/>
    <w:rsid w:val="00DD0131"/>
    <w:rsid w:val="00DD02FB"/>
    <w:rsid w:val="00DD087F"/>
    <w:rsid w:val="00DD0C60"/>
    <w:rsid w:val="00DD27CC"/>
    <w:rsid w:val="00DD2B83"/>
    <w:rsid w:val="00DD3DF7"/>
    <w:rsid w:val="00DD4A2B"/>
    <w:rsid w:val="00DD4A9B"/>
    <w:rsid w:val="00DD597F"/>
    <w:rsid w:val="00DD61D7"/>
    <w:rsid w:val="00DD664C"/>
    <w:rsid w:val="00DD68D3"/>
    <w:rsid w:val="00DD79F0"/>
    <w:rsid w:val="00DD7B51"/>
    <w:rsid w:val="00DE0562"/>
    <w:rsid w:val="00DE05B0"/>
    <w:rsid w:val="00DE0609"/>
    <w:rsid w:val="00DE090B"/>
    <w:rsid w:val="00DE0BFD"/>
    <w:rsid w:val="00DE0D0A"/>
    <w:rsid w:val="00DE17B9"/>
    <w:rsid w:val="00DE17C8"/>
    <w:rsid w:val="00DE1870"/>
    <w:rsid w:val="00DE1C86"/>
    <w:rsid w:val="00DE1CB3"/>
    <w:rsid w:val="00DE1CEF"/>
    <w:rsid w:val="00DE1E9B"/>
    <w:rsid w:val="00DE2FEE"/>
    <w:rsid w:val="00DE3E76"/>
    <w:rsid w:val="00DE47B9"/>
    <w:rsid w:val="00DE4A67"/>
    <w:rsid w:val="00DE51A8"/>
    <w:rsid w:val="00DE6847"/>
    <w:rsid w:val="00DE68FE"/>
    <w:rsid w:val="00DE7EFF"/>
    <w:rsid w:val="00DF29E0"/>
    <w:rsid w:val="00DF29E9"/>
    <w:rsid w:val="00DF3218"/>
    <w:rsid w:val="00DF356D"/>
    <w:rsid w:val="00DF3616"/>
    <w:rsid w:val="00DF3C0D"/>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1CE"/>
    <w:rsid w:val="00E02570"/>
    <w:rsid w:val="00E02F52"/>
    <w:rsid w:val="00E03332"/>
    <w:rsid w:val="00E03F76"/>
    <w:rsid w:val="00E04707"/>
    <w:rsid w:val="00E0484C"/>
    <w:rsid w:val="00E04C49"/>
    <w:rsid w:val="00E051C3"/>
    <w:rsid w:val="00E057EE"/>
    <w:rsid w:val="00E061B3"/>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1E8A"/>
    <w:rsid w:val="00E1258F"/>
    <w:rsid w:val="00E126DB"/>
    <w:rsid w:val="00E12772"/>
    <w:rsid w:val="00E13662"/>
    <w:rsid w:val="00E13B00"/>
    <w:rsid w:val="00E13DD5"/>
    <w:rsid w:val="00E13E7E"/>
    <w:rsid w:val="00E142C3"/>
    <w:rsid w:val="00E14368"/>
    <w:rsid w:val="00E14F65"/>
    <w:rsid w:val="00E1527D"/>
    <w:rsid w:val="00E155EA"/>
    <w:rsid w:val="00E15D99"/>
    <w:rsid w:val="00E1661F"/>
    <w:rsid w:val="00E17904"/>
    <w:rsid w:val="00E20093"/>
    <w:rsid w:val="00E207CE"/>
    <w:rsid w:val="00E20F2E"/>
    <w:rsid w:val="00E216EB"/>
    <w:rsid w:val="00E22703"/>
    <w:rsid w:val="00E22AB2"/>
    <w:rsid w:val="00E22E13"/>
    <w:rsid w:val="00E236D5"/>
    <w:rsid w:val="00E2382A"/>
    <w:rsid w:val="00E242C4"/>
    <w:rsid w:val="00E244F4"/>
    <w:rsid w:val="00E24992"/>
    <w:rsid w:val="00E25351"/>
    <w:rsid w:val="00E2544B"/>
    <w:rsid w:val="00E25472"/>
    <w:rsid w:val="00E2573A"/>
    <w:rsid w:val="00E2638A"/>
    <w:rsid w:val="00E268B9"/>
    <w:rsid w:val="00E27102"/>
    <w:rsid w:val="00E27186"/>
    <w:rsid w:val="00E27305"/>
    <w:rsid w:val="00E27454"/>
    <w:rsid w:val="00E27548"/>
    <w:rsid w:val="00E27D33"/>
    <w:rsid w:val="00E309D8"/>
    <w:rsid w:val="00E30AFF"/>
    <w:rsid w:val="00E30C38"/>
    <w:rsid w:val="00E313A6"/>
    <w:rsid w:val="00E31580"/>
    <w:rsid w:val="00E31941"/>
    <w:rsid w:val="00E3198D"/>
    <w:rsid w:val="00E322F2"/>
    <w:rsid w:val="00E324FA"/>
    <w:rsid w:val="00E32B4F"/>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737"/>
    <w:rsid w:val="00E47C1A"/>
    <w:rsid w:val="00E47F5E"/>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0B28"/>
    <w:rsid w:val="00E61C1E"/>
    <w:rsid w:val="00E62C1E"/>
    <w:rsid w:val="00E62F1F"/>
    <w:rsid w:val="00E63174"/>
    <w:rsid w:val="00E63652"/>
    <w:rsid w:val="00E64FE2"/>
    <w:rsid w:val="00E6647B"/>
    <w:rsid w:val="00E6739C"/>
    <w:rsid w:val="00E67583"/>
    <w:rsid w:val="00E67640"/>
    <w:rsid w:val="00E67882"/>
    <w:rsid w:val="00E67AE1"/>
    <w:rsid w:val="00E67F45"/>
    <w:rsid w:val="00E706C8"/>
    <w:rsid w:val="00E714B2"/>
    <w:rsid w:val="00E71604"/>
    <w:rsid w:val="00E71ABD"/>
    <w:rsid w:val="00E7235C"/>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689"/>
    <w:rsid w:val="00E838A0"/>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65"/>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2C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A7C"/>
    <w:rsid w:val="00ED0BA4"/>
    <w:rsid w:val="00ED2337"/>
    <w:rsid w:val="00ED2E5E"/>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5B63"/>
    <w:rsid w:val="00ED60D0"/>
    <w:rsid w:val="00ED66DF"/>
    <w:rsid w:val="00ED6E3C"/>
    <w:rsid w:val="00ED73B0"/>
    <w:rsid w:val="00ED749D"/>
    <w:rsid w:val="00ED7F33"/>
    <w:rsid w:val="00EE056E"/>
    <w:rsid w:val="00EE0BFD"/>
    <w:rsid w:val="00EE1268"/>
    <w:rsid w:val="00EE13C6"/>
    <w:rsid w:val="00EE1777"/>
    <w:rsid w:val="00EE1A0F"/>
    <w:rsid w:val="00EE1C51"/>
    <w:rsid w:val="00EE2420"/>
    <w:rsid w:val="00EE2673"/>
    <w:rsid w:val="00EE29B8"/>
    <w:rsid w:val="00EE31C0"/>
    <w:rsid w:val="00EE335C"/>
    <w:rsid w:val="00EE499D"/>
    <w:rsid w:val="00EE49BE"/>
    <w:rsid w:val="00EE4D12"/>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1D"/>
    <w:rsid w:val="00EF2C94"/>
    <w:rsid w:val="00EF2F32"/>
    <w:rsid w:val="00EF389B"/>
    <w:rsid w:val="00EF4A28"/>
    <w:rsid w:val="00EF519D"/>
    <w:rsid w:val="00EF51AA"/>
    <w:rsid w:val="00EF535D"/>
    <w:rsid w:val="00EF5562"/>
    <w:rsid w:val="00EF5892"/>
    <w:rsid w:val="00EF6C70"/>
    <w:rsid w:val="00EF742E"/>
    <w:rsid w:val="00EF7E9E"/>
    <w:rsid w:val="00F0001C"/>
    <w:rsid w:val="00F00977"/>
    <w:rsid w:val="00F01271"/>
    <w:rsid w:val="00F0165D"/>
    <w:rsid w:val="00F01E42"/>
    <w:rsid w:val="00F01EF9"/>
    <w:rsid w:val="00F02096"/>
    <w:rsid w:val="00F021CB"/>
    <w:rsid w:val="00F025F5"/>
    <w:rsid w:val="00F029B2"/>
    <w:rsid w:val="00F02B99"/>
    <w:rsid w:val="00F03880"/>
    <w:rsid w:val="00F03C45"/>
    <w:rsid w:val="00F03CFB"/>
    <w:rsid w:val="00F03E18"/>
    <w:rsid w:val="00F04202"/>
    <w:rsid w:val="00F047FB"/>
    <w:rsid w:val="00F04C91"/>
    <w:rsid w:val="00F04E5F"/>
    <w:rsid w:val="00F04E7E"/>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6B12"/>
    <w:rsid w:val="00F27DCF"/>
    <w:rsid w:val="00F3020D"/>
    <w:rsid w:val="00F3099A"/>
    <w:rsid w:val="00F30ADE"/>
    <w:rsid w:val="00F30E3D"/>
    <w:rsid w:val="00F30FEC"/>
    <w:rsid w:val="00F316B0"/>
    <w:rsid w:val="00F330CE"/>
    <w:rsid w:val="00F332AF"/>
    <w:rsid w:val="00F332B5"/>
    <w:rsid w:val="00F336C8"/>
    <w:rsid w:val="00F336DF"/>
    <w:rsid w:val="00F33A29"/>
    <w:rsid w:val="00F34218"/>
    <w:rsid w:val="00F348E7"/>
    <w:rsid w:val="00F34CA4"/>
    <w:rsid w:val="00F350A7"/>
    <w:rsid w:val="00F36008"/>
    <w:rsid w:val="00F361D7"/>
    <w:rsid w:val="00F3685F"/>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3C9F"/>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4F7"/>
    <w:rsid w:val="00F75751"/>
    <w:rsid w:val="00F75BA3"/>
    <w:rsid w:val="00F75E88"/>
    <w:rsid w:val="00F815CC"/>
    <w:rsid w:val="00F826AB"/>
    <w:rsid w:val="00F8363D"/>
    <w:rsid w:val="00F8470C"/>
    <w:rsid w:val="00F8504B"/>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4F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58F"/>
    <w:rsid w:val="00FA38B7"/>
    <w:rsid w:val="00FA4482"/>
    <w:rsid w:val="00FA59D4"/>
    <w:rsid w:val="00FA64C6"/>
    <w:rsid w:val="00FA6651"/>
    <w:rsid w:val="00FA67CA"/>
    <w:rsid w:val="00FA6C8A"/>
    <w:rsid w:val="00FA6D29"/>
    <w:rsid w:val="00FA75AC"/>
    <w:rsid w:val="00FA7F1F"/>
    <w:rsid w:val="00FB00D7"/>
    <w:rsid w:val="00FB0496"/>
    <w:rsid w:val="00FB0DBA"/>
    <w:rsid w:val="00FB0E63"/>
    <w:rsid w:val="00FB1171"/>
    <w:rsid w:val="00FB1492"/>
    <w:rsid w:val="00FB1B94"/>
    <w:rsid w:val="00FB1BEF"/>
    <w:rsid w:val="00FB2CDB"/>
    <w:rsid w:val="00FB2DB6"/>
    <w:rsid w:val="00FB37B1"/>
    <w:rsid w:val="00FB3D8D"/>
    <w:rsid w:val="00FB4650"/>
    <w:rsid w:val="00FB4F27"/>
    <w:rsid w:val="00FB5E7E"/>
    <w:rsid w:val="00FB602A"/>
    <w:rsid w:val="00FB6289"/>
    <w:rsid w:val="00FB656A"/>
    <w:rsid w:val="00FB6998"/>
    <w:rsid w:val="00FB6CFE"/>
    <w:rsid w:val="00FB715E"/>
    <w:rsid w:val="00FB72A5"/>
    <w:rsid w:val="00FC06A3"/>
    <w:rsid w:val="00FC0892"/>
    <w:rsid w:val="00FC0E4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43E"/>
    <w:rsid w:val="00FE1AB2"/>
    <w:rsid w:val="00FE2304"/>
    <w:rsid w:val="00FE29D5"/>
    <w:rsid w:val="00FE316D"/>
    <w:rsid w:val="00FE4A33"/>
    <w:rsid w:val="00FE4ABF"/>
    <w:rsid w:val="00FE55BD"/>
    <w:rsid w:val="00FE5BB7"/>
    <w:rsid w:val="00FE5E8D"/>
    <w:rsid w:val="00FE6049"/>
    <w:rsid w:val="00FE6A68"/>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755"/>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Textoennegrita">
    <w:name w:val="Strong"/>
    <w:basedOn w:val="Fuentedeprrafopredeter"/>
    <w:uiPriority w:val="22"/>
    <w:qFormat/>
    <w:rsid w:val="008B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98525245">
      <w:bodyDiv w:val="1"/>
      <w:marLeft w:val="0"/>
      <w:marRight w:val="0"/>
      <w:marTop w:val="0"/>
      <w:marBottom w:val="0"/>
      <w:divBdr>
        <w:top w:val="none" w:sz="0" w:space="0" w:color="auto"/>
        <w:left w:val="none" w:sz="0" w:space="0" w:color="auto"/>
        <w:bottom w:val="none" w:sz="0" w:space="0" w:color="auto"/>
        <w:right w:val="none" w:sz="0" w:space="0" w:color="auto"/>
      </w:divBdr>
      <w:divsChild>
        <w:div w:id="337466491">
          <w:marLeft w:val="0"/>
          <w:marRight w:val="0"/>
          <w:marTop w:val="0"/>
          <w:marBottom w:val="0"/>
          <w:divBdr>
            <w:top w:val="none" w:sz="0" w:space="0" w:color="auto"/>
            <w:left w:val="none" w:sz="0" w:space="0" w:color="auto"/>
            <w:bottom w:val="none" w:sz="0" w:space="0" w:color="auto"/>
            <w:right w:val="none" w:sz="0" w:space="0" w:color="auto"/>
          </w:divBdr>
        </w:div>
        <w:div w:id="333995822">
          <w:marLeft w:val="0"/>
          <w:marRight w:val="0"/>
          <w:marTop w:val="0"/>
          <w:marBottom w:val="0"/>
          <w:divBdr>
            <w:top w:val="none" w:sz="0" w:space="0" w:color="auto"/>
            <w:left w:val="none" w:sz="0" w:space="0" w:color="auto"/>
            <w:bottom w:val="none" w:sz="0" w:space="0" w:color="auto"/>
            <w:right w:val="none" w:sz="0" w:space="0" w:color="auto"/>
          </w:divBdr>
        </w:div>
      </w:divsChild>
    </w:div>
    <w:div w:id="44284994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33228835">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EE4F-7073-43A3-A3D7-ECCD7705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4977</Words>
  <Characters>27376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32289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15</cp:revision>
  <cp:lastPrinted>2017-06-01T13:43:00Z</cp:lastPrinted>
  <dcterms:created xsi:type="dcterms:W3CDTF">2017-05-31T12:46:00Z</dcterms:created>
  <dcterms:modified xsi:type="dcterms:W3CDTF">2017-09-07T15:37:00Z</dcterms:modified>
</cp:coreProperties>
</file>