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5267" w:rsidRDefault="002A5267" w:rsidP="002A526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2A5267" w:rsidRDefault="002A5267" w:rsidP="002A5267">
      <w:pPr>
        <w:pStyle w:val="Sinespaciado"/>
        <w:jc w:val="both"/>
        <w:rPr>
          <w:rFonts w:asciiTheme="minorHAnsi" w:hAnsiTheme="minorHAnsi"/>
          <w:sz w:val="18"/>
          <w:szCs w:val="18"/>
        </w:rPr>
      </w:pPr>
    </w:p>
    <w:p w:rsidR="000806AC" w:rsidRPr="000806AC" w:rsidRDefault="002A5267" w:rsidP="000806A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COSA JUZGADA - </w:t>
      </w:r>
      <w:r>
        <w:rPr>
          <w:rFonts w:asciiTheme="minorHAnsi" w:hAnsiTheme="minorHAnsi"/>
          <w:b/>
          <w:sz w:val="18"/>
          <w:szCs w:val="18"/>
        </w:rPr>
        <w:t>TEMERIDAD – CONDENA EN COSTAS - “</w:t>
      </w:r>
      <w:r w:rsidR="000806AC" w:rsidRPr="000806AC">
        <w:rPr>
          <w:rFonts w:asciiTheme="minorHAnsi" w:hAnsiTheme="minorHAnsi"/>
          <w:sz w:val="18"/>
          <w:szCs w:val="18"/>
        </w:rPr>
        <w:t xml:space="preserve">Para esta Sala, no es del caso estudiar de fondo el asunto, puesto que previamente en la acción de tutela radicadas a los Nos.2017-00016-00 y 2017-00244-00, esta Corporación se pronunció, con sentencias que datan del 10-02-2017 y 30-03-2017 (Folios 80 a 83 y 87 a 91, ib.), confirmada la última en segunda instancia por la CSJ con la decisión STC6701-2017 del 10-05-2017 (Folios 92 a 96, ibídem), respecto de idéntica causa, pretensiones, derechos y partes, expuestos por el accionante. </w:t>
      </w:r>
    </w:p>
    <w:p w:rsidR="000806AC" w:rsidRPr="000806AC" w:rsidRDefault="000806AC" w:rsidP="000806AC">
      <w:pPr>
        <w:pStyle w:val="Sinespaciado"/>
        <w:jc w:val="both"/>
        <w:rPr>
          <w:rFonts w:asciiTheme="minorHAnsi" w:hAnsiTheme="minorHAnsi"/>
          <w:sz w:val="18"/>
          <w:szCs w:val="18"/>
        </w:rPr>
      </w:pPr>
    </w:p>
    <w:p w:rsidR="000806AC" w:rsidRPr="000806AC" w:rsidRDefault="000806AC" w:rsidP="000806AC">
      <w:pPr>
        <w:pStyle w:val="Sinespaciado"/>
        <w:jc w:val="both"/>
        <w:rPr>
          <w:rFonts w:asciiTheme="minorHAnsi" w:hAnsiTheme="minorHAnsi"/>
          <w:sz w:val="18"/>
          <w:szCs w:val="18"/>
        </w:rPr>
      </w:pPr>
      <w:r w:rsidRPr="000806AC">
        <w:rPr>
          <w:rFonts w:asciiTheme="minorHAnsi" w:hAnsiTheme="minorHAnsi"/>
          <w:sz w:val="18"/>
          <w:szCs w:val="18"/>
        </w:rPr>
        <w:t xml:space="preserve">En efecto, confrontados los hechos y peticiones de esta acción (Folios 1, ib.), con las providencias proferidas por esta Corporación en los amparos anunciados, el último con condena en costas al accionante, se advierte que son inexistentes hechos nuevos. Los supuestos fácticos tienen relación directa con el recurso de apelación presentado en la acción popular No.2015-00057-00, declarado desierto por el despacho judicial (Folio 36, ib.) y ya fueron analizados con anterioridad por este Tribunal. </w:t>
      </w:r>
    </w:p>
    <w:p w:rsidR="000806AC" w:rsidRPr="000806AC" w:rsidRDefault="000806AC" w:rsidP="000806AC">
      <w:pPr>
        <w:pStyle w:val="Sinespaciado"/>
        <w:jc w:val="both"/>
        <w:rPr>
          <w:rFonts w:asciiTheme="minorHAnsi" w:hAnsiTheme="minorHAnsi"/>
          <w:sz w:val="18"/>
          <w:szCs w:val="18"/>
        </w:rPr>
      </w:pPr>
    </w:p>
    <w:p w:rsidR="000806AC" w:rsidRPr="000806AC" w:rsidRDefault="000806AC" w:rsidP="000806AC">
      <w:pPr>
        <w:pStyle w:val="Sinespaciado"/>
        <w:jc w:val="both"/>
        <w:rPr>
          <w:rFonts w:asciiTheme="minorHAnsi" w:hAnsiTheme="minorHAnsi"/>
          <w:sz w:val="18"/>
          <w:szCs w:val="18"/>
        </w:rPr>
      </w:pPr>
      <w:r w:rsidRPr="000806AC">
        <w:rPr>
          <w:rFonts w:asciiTheme="minorHAnsi" w:hAnsiTheme="minorHAnsi"/>
          <w:sz w:val="18"/>
          <w:szCs w:val="18"/>
        </w:rPr>
        <w:t>Aquí insiste en que debió concederse la apelación en el efecto suspensivo conforme al artículo 67 de la Ley 472, idéntica queja a la expuesta en el petitorio de tutela radicado al No.2017-00244-00 (Folio 87, ib.). En consecuencia, es claro que el presente amparo es improcedente por el acaecimiento del fenómeno de la cosa juzgada constitucional, y así se declarará.</w:t>
      </w:r>
    </w:p>
    <w:p w:rsidR="000806AC" w:rsidRPr="000806AC" w:rsidRDefault="000806AC" w:rsidP="000806AC">
      <w:pPr>
        <w:pStyle w:val="Sinespaciado"/>
        <w:jc w:val="both"/>
        <w:rPr>
          <w:rFonts w:asciiTheme="minorHAnsi" w:hAnsiTheme="minorHAnsi"/>
          <w:sz w:val="18"/>
          <w:szCs w:val="18"/>
        </w:rPr>
      </w:pPr>
    </w:p>
    <w:p w:rsidR="002A5267" w:rsidRDefault="000806AC" w:rsidP="000806AC">
      <w:pPr>
        <w:pStyle w:val="Sinespaciado"/>
        <w:jc w:val="both"/>
        <w:rPr>
          <w:rFonts w:asciiTheme="minorHAnsi" w:hAnsiTheme="minorHAnsi"/>
          <w:sz w:val="18"/>
          <w:szCs w:val="18"/>
        </w:rPr>
      </w:pPr>
      <w:r w:rsidRPr="000806AC">
        <w:rPr>
          <w:rFonts w:asciiTheme="minorHAnsi" w:hAnsiTheme="minorHAnsi"/>
          <w:sz w:val="18"/>
          <w:szCs w:val="18"/>
        </w:rPr>
        <w:t>Además de lo dicho, también advierte esta colegiatura que debe sancionarse al accionante por su actuar temerario, porque es evidente el abuso de la acción de tutela con el fin de lograr a toda costa la protección de sus derechos fundamentales; la incesante promoción de amparos no da lugar sino a entender que pretende lograr fortuitamente la prosperidad de sus pretensiones.</w:t>
      </w:r>
      <w:bookmarkStart w:id="0" w:name="_GoBack"/>
      <w:bookmarkEnd w:id="0"/>
    </w:p>
    <w:p w:rsidR="002A5267" w:rsidRDefault="002A5267" w:rsidP="002403C8">
      <w:pPr>
        <w:pStyle w:val="Sinespaciado"/>
        <w:tabs>
          <w:tab w:val="left" w:pos="3579"/>
        </w:tabs>
        <w:spacing w:line="360" w:lineRule="auto"/>
        <w:jc w:val="center"/>
        <w:rPr>
          <w:rFonts w:ascii="Arial" w:hAnsi="Arial" w:cs="Arial"/>
          <w:w w:val="140"/>
          <w:sz w:val="14"/>
        </w:rPr>
      </w:pPr>
    </w:p>
    <w:p w:rsidR="002A5267" w:rsidRDefault="002A5267"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D862B4">
        <w:rPr>
          <w:rFonts w:ascii="Arial" w:hAnsi="Arial" w:cs="Arial"/>
          <w:sz w:val="22"/>
        </w:rPr>
        <w:t xml:space="preserve">Cuarto </w:t>
      </w:r>
      <w:r w:rsidR="00A03FCD">
        <w:rPr>
          <w:rFonts w:ascii="Arial" w:hAnsi="Arial" w:cs="Arial"/>
          <w:sz w:val="22"/>
        </w:rPr>
        <w:t xml:space="preserve">Civil </w:t>
      </w:r>
      <w:r w:rsidR="00E45E01">
        <w:rPr>
          <w:rFonts w:ascii="Arial" w:hAnsi="Arial" w:cs="Arial"/>
          <w:sz w:val="22"/>
        </w:rPr>
        <w:t xml:space="preserve">del </w:t>
      </w:r>
      <w:r w:rsidR="0041111B">
        <w:rPr>
          <w:rFonts w:ascii="Arial" w:hAnsi="Arial" w:cs="Arial"/>
          <w:sz w:val="22"/>
        </w:rPr>
        <w:t>Circuito de</w:t>
      </w:r>
      <w:r w:rsidR="00E45E01">
        <w:rPr>
          <w:rFonts w:ascii="Arial" w:hAnsi="Arial" w:cs="Arial"/>
          <w:sz w:val="22"/>
        </w:rPr>
        <w:t xml:space="preserve"> </w:t>
      </w:r>
      <w:r w:rsidR="00A03FCD">
        <w:rPr>
          <w:rFonts w:ascii="Arial" w:hAnsi="Arial" w:cs="Arial"/>
          <w:sz w:val="22"/>
        </w:rPr>
        <w:t>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w:t>
      </w:r>
      <w:r w:rsidR="008D3E63">
        <w:rPr>
          <w:rFonts w:ascii="Arial" w:hAnsi="Arial" w:cs="Arial"/>
          <w:sz w:val="22"/>
          <w:szCs w:val="22"/>
        </w:rPr>
        <w:t xml:space="preserve"> </w:t>
      </w:r>
      <w:r w:rsidR="00D862B4">
        <w:rPr>
          <w:rFonts w:ascii="Arial" w:hAnsi="Arial" w:cs="Arial"/>
          <w:sz w:val="22"/>
          <w:szCs w:val="22"/>
        </w:rPr>
        <w:t>Banco de Occidente</w:t>
      </w:r>
      <w:r w:rsidR="00FA7DDE">
        <w:rPr>
          <w:rFonts w:ascii="Arial" w:hAnsi="Arial" w:cs="Arial"/>
          <w:sz w:val="22"/>
          <w:szCs w:val="22"/>
        </w:rPr>
        <w:t xml:space="preserve"> </w:t>
      </w:r>
      <w:r w:rsidR="00F3426A">
        <w:rPr>
          <w:rFonts w:ascii="Arial" w:hAnsi="Arial" w:cs="Arial"/>
          <w:sz w:val="22"/>
          <w:szCs w:val="22"/>
        </w:rPr>
        <w:t>y/o</w:t>
      </w:r>
    </w:p>
    <w:p w:rsidR="00A00766" w:rsidRPr="008D3E63" w:rsidRDefault="008D3E63" w:rsidP="008D3E63">
      <w:pPr>
        <w:pStyle w:val="Textoindependiente"/>
        <w:tabs>
          <w:tab w:val="clear" w:pos="3540"/>
          <w:tab w:val="left" w:pos="3686"/>
        </w:tabs>
        <w:spacing w:line="360" w:lineRule="auto"/>
        <w:ind w:left="3686" w:hanging="2270"/>
        <w:rPr>
          <w:rFonts w:ascii="Arial" w:hAnsi="Arial" w:cs="Arial"/>
          <w:sz w:val="20"/>
        </w:rPr>
      </w:pPr>
      <w:r>
        <w:rPr>
          <w:rFonts w:ascii="Arial" w:hAnsi="Arial" w:cs="Arial"/>
          <w:sz w:val="22"/>
        </w:rPr>
        <w:t>Radicación</w:t>
      </w:r>
      <w:r>
        <w:rPr>
          <w:rFonts w:ascii="Arial" w:hAnsi="Arial" w:cs="Arial"/>
          <w:sz w:val="22"/>
        </w:rPr>
        <w:tab/>
        <w:t xml:space="preserve">            </w:t>
      </w:r>
      <w:r w:rsidR="00A00766" w:rsidRPr="00A00766">
        <w:rPr>
          <w:rFonts w:ascii="Arial" w:hAnsi="Arial" w:cs="Arial"/>
          <w:sz w:val="22"/>
        </w:rPr>
        <w:t>:</w:t>
      </w:r>
      <w:r>
        <w:rPr>
          <w:rFonts w:ascii="Arial" w:hAnsi="Arial" w:cs="Arial"/>
          <w:sz w:val="22"/>
        </w:rPr>
        <w:t xml:space="preserve"> </w:t>
      </w:r>
      <w:r w:rsidR="0041111B" w:rsidRPr="008D3E63">
        <w:rPr>
          <w:rFonts w:ascii="Arial" w:hAnsi="Arial" w:cs="Arial"/>
          <w:sz w:val="20"/>
        </w:rPr>
        <w:t>2017-00</w:t>
      </w:r>
      <w:r w:rsidRPr="008D3E63">
        <w:rPr>
          <w:rFonts w:ascii="Arial" w:hAnsi="Arial" w:cs="Arial"/>
          <w:sz w:val="20"/>
        </w:rPr>
        <w:t>5</w:t>
      </w:r>
      <w:r w:rsidR="00D862B4">
        <w:rPr>
          <w:rFonts w:ascii="Arial" w:hAnsi="Arial" w:cs="Arial"/>
          <w:sz w:val="20"/>
        </w:rPr>
        <w:t>6</w:t>
      </w:r>
      <w:r w:rsidRPr="008D3E63">
        <w:rPr>
          <w:rFonts w:ascii="Arial" w:hAnsi="Arial" w:cs="Arial"/>
          <w:sz w:val="20"/>
        </w:rPr>
        <w:t>1</w:t>
      </w:r>
      <w:r w:rsidR="00D27466" w:rsidRPr="008D3E63">
        <w:rPr>
          <w:rFonts w:ascii="Arial" w:hAnsi="Arial" w:cs="Arial"/>
          <w:sz w:val="20"/>
        </w:rPr>
        <w:t>-</w:t>
      </w:r>
      <w:r w:rsidR="0041111B" w:rsidRPr="008D3E63">
        <w:rPr>
          <w:rFonts w:ascii="Arial" w:hAnsi="Arial" w:cs="Arial"/>
          <w:sz w:val="20"/>
        </w:rPr>
        <w:t>00</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E211BB">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2F5E89">
        <w:rPr>
          <w:rFonts w:ascii="Arial" w:hAnsi="Arial" w:cs="Arial"/>
          <w:sz w:val="22"/>
          <w:szCs w:val="22"/>
        </w:rPr>
        <w:t xml:space="preserve">Temeridad </w:t>
      </w:r>
      <w:r w:rsidR="00A175E7">
        <w:rPr>
          <w:rFonts w:ascii="Arial" w:hAnsi="Arial" w:cs="Arial"/>
          <w:sz w:val="22"/>
          <w:szCs w:val="22"/>
        </w:rPr>
        <w:t>-</w:t>
      </w:r>
      <w:r w:rsidR="002F5E89">
        <w:rPr>
          <w:rFonts w:ascii="Arial" w:hAnsi="Arial" w:cs="Arial"/>
          <w:sz w:val="22"/>
          <w:szCs w:val="22"/>
        </w:rPr>
        <w:t xml:space="preserve"> </w:t>
      </w:r>
      <w:r w:rsidR="00A175E7">
        <w:rPr>
          <w:rFonts w:ascii="Arial" w:hAnsi="Arial" w:cs="Arial"/>
          <w:sz w:val="22"/>
          <w:szCs w:val="22"/>
        </w:rPr>
        <w:t>C</w:t>
      </w:r>
      <w:r w:rsidR="00E54AEA">
        <w:rPr>
          <w:rFonts w:ascii="Arial" w:hAnsi="Arial" w:cs="Arial"/>
          <w:sz w:val="22"/>
          <w:szCs w:val="21"/>
        </w:rPr>
        <w:t>osa juzgada</w:t>
      </w:r>
      <w:r w:rsidR="0082583F">
        <w:rPr>
          <w:rFonts w:ascii="Arial" w:hAnsi="Arial" w:cs="Arial"/>
          <w:sz w:val="22"/>
          <w:szCs w:val="21"/>
        </w:rPr>
        <w:t xml:space="preserve"> </w:t>
      </w:r>
      <w:r w:rsidR="00A175E7">
        <w:rPr>
          <w:rFonts w:ascii="Arial" w:hAnsi="Arial" w:cs="Arial"/>
          <w:sz w:val="22"/>
          <w:szCs w:val="21"/>
        </w:rPr>
        <w:t>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F3426A" w:rsidP="009D5231">
      <w:pPr>
        <w:tabs>
          <w:tab w:val="left" w:pos="851"/>
          <w:tab w:val="left" w:pos="1416"/>
        </w:tabs>
        <w:spacing w:line="360" w:lineRule="auto"/>
        <w:rPr>
          <w:rFonts w:ascii="Arial" w:hAnsi="Arial" w:cs="Arial"/>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D52F79">
        <w:rPr>
          <w:rFonts w:ascii="Arial" w:eastAsia="Arial" w:hAnsi="Arial" w:cs="Arial"/>
          <w:sz w:val="22"/>
          <w:szCs w:val="22"/>
        </w:rPr>
        <w:t xml:space="preserve">331 </w:t>
      </w:r>
      <w:r w:rsidR="009D5231">
        <w:rPr>
          <w:rFonts w:ascii="Arial" w:eastAsia="Arial" w:hAnsi="Arial" w:cs="Arial"/>
          <w:sz w:val="22"/>
          <w:szCs w:val="22"/>
        </w:rPr>
        <w:t xml:space="preserve">de </w:t>
      </w:r>
      <w:r w:rsidR="00D52F79">
        <w:rPr>
          <w:rFonts w:ascii="Arial" w:eastAsia="Arial" w:hAnsi="Arial" w:cs="Arial"/>
          <w:sz w:val="22"/>
          <w:szCs w:val="22"/>
        </w:rPr>
        <w:t>23</w:t>
      </w:r>
      <w:r w:rsidR="009D5231">
        <w:rPr>
          <w:rFonts w:ascii="Arial" w:eastAsia="Arial" w:hAnsi="Arial" w:cs="Arial"/>
          <w:sz w:val="22"/>
          <w:szCs w:val="22"/>
        </w:rPr>
        <w:t>-0</w:t>
      </w:r>
      <w:r w:rsidR="008D3E63">
        <w:rPr>
          <w:rFonts w:ascii="Arial" w:eastAsia="Arial" w:hAnsi="Arial" w:cs="Arial"/>
          <w:sz w:val="22"/>
          <w:szCs w:val="22"/>
        </w:rPr>
        <w:t>6</w:t>
      </w:r>
      <w:r w:rsidR="009D5231">
        <w:rPr>
          <w:rFonts w:ascii="Arial" w:eastAsia="Arial" w:hAnsi="Arial" w:cs="Arial"/>
          <w:sz w:val="22"/>
          <w:szCs w:val="22"/>
        </w:rPr>
        <w:t>-2017</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Default="009D5231" w:rsidP="009D5231">
      <w:pPr>
        <w:spacing w:line="360" w:lineRule="auto"/>
        <w:jc w:val="center"/>
        <w:rPr>
          <w:rFonts w:ascii="Arial" w:hAnsi="Arial" w:cs="Arial"/>
          <w:b/>
          <w:bCs/>
          <w:sz w:val="20"/>
          <w:szCs w:val="22"/>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 xml:space="preserve">Pereira, R., </w:t>
      </w:r>
      <w:r w:rsidR="00D52F79">
        <w:rPr>
          <w:rFonts w:ascii="Arial" w:eastAsia="Arial" w:hAnsi="Arial" w:cs="Arial"/>
          <w:smallCaps/>
          <w:sz w:val="28"/>
        </w:rPr>
        <w:t xml:space="preserve">veintitrés </w:t>
      </w:r>
      <w:r>
        <w:rPr>
          <w:rFonts w:ascii="Arial" w:eastAsia="Arial" w:hAnsi="Arial" w:cs="Arial"/>
          <w:smallCaps/>
          <w:sz w:val="28"/>
        </w:rPr>
        <w:t>(</w:t>
      </w:r>
      <w:r w:rsidR="00D52F79">
        <w:rPr>
          <w:rFonts w:ascii="Arial" w:eastAsia="Arial" w:hAnsi="Arial" w:cs="Arial"/>
          <w:smallCaps/>
          <w:sz w:val="28"/>
        </w:rPr>
        <w:t>23</w:t>
      </w:r>
      <w:r>
        <w:rPr>
          <w:rFonts w:ascii="Arial" w:eastAsia="Arial" w:hAnsi="Arial" w:cs="Arial"/>
          <w:smallCaps/>
          <w:sz w:val="28"/>
        </w:rPr>
        <w:t xml:space="preserve">) de </w:t>
      </w:r>
      <w:r w:rsidR="008E5B27">
        <w:rPr>
          <w:rFonts w:ascii="Arial" w:eastAsia="Arial" w:hAnsi="Arial" w:cs="Arial"/>
          <w:smallCaps/>
          <w:sz w:val="28"/>
        </w:rPr>
        <w:t>junio</w:t>
      </w:r>
      <w:r>
        <w:rPr>
          <w:rFonts w:ascii="Arial" w:eastAsia="Arial" w:hAnsi="Arial" w:cs="Arial"/>
          <w:smallCaps/>
          <w:sz w:val="28"/>
        </w:rPr>
        <w:t xml:space="preserve"> de dos mil diecisiete (2017)</w:t>
      </w:r>
      <w:r>
        <w:rPr>
          <w:rFonts w:ascii="Arial" w:eastAsia="Arial" w:hAnsi="Arial" w:cs="Arial"/>
          <w:sz w:val="28"/>
        </w:rPr>
        <w:t>.</w:t>
      </w:r>
    </w:p>
    <w:p w:rsidR="000147A2" w:rsidRPr="003B717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B717E"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proofErr w:type="gramStart"/>
      <w:r w:rsidR="00104367" w:rsidRPr="00F9418E">
        <w:rPr>
          <w:rFonts w:ascii="Arial" w:hAnsi="Arial"/>
          <w:szCs w:val="24"/>
        </w:rPr>
        <w:t>trámite</w:t>
      </w:r>
      <w:proofErr w:type="gramEnd"/>
      <w:r w:rsidR="00104367" w:rsidRPr="00F9418E">
        <w:rPr>
          <w:rFonts w:ascii="Arial" w:hAnsi="Arial"/>
          <w:szCs w:val="24"/>
        </w:rPr>
        <w:t xml:space="preserv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3B717E"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3B717E" w:rsidRDefault="0099045D" w:rsidP="0099045D">
      <w:pPr>
        <w:pStyle w:val="Textoindependiente"/>
        <w:spacing w:line="360" w:lineRule="auto"/>
        <w:rPr>
          <w:rFonts w:ascii="Arial" w:hAnsi="Arial"/>
          <w:szCs w:val="24"/>
        </w:rPr>
      </w:pPr>
    </w:p>
    <w:p w:rsidR="00415315" w:rsidRDefault="00D862B4" w:rsidP="00415315">
      <w:pPr>
        <w:spacing w:line="360" w:lineRule="auto"/>
        <w:jc w:val="both"/>
        <w:rPr>
          <w:rFonts w:ascii="Arial" w:hAnsi="Arial" w:cs="Arial"/>
        </w:rPr>
      </w:pPr>
      <w:r>
        <w:rPr>
          <w:rFonts w:ascii="Arial" w:hAnsi="Arial" w:cs="Arial"/>
        </w:rPr>
        <w:t xml:space="preserve">Expresó el actor </w:t>
      </w:r>
      <w:r w:rsidR="00415315">
        <w:rPr>
          <w:rFonts w:ascii="Arial" w:hAnsi="Arial" w:cs="Arial"/>
        </w:rPr>
        <w:t xml:space="preserve">que </w:t>
      </w:r>
      <w:r w:rsidR="00A175E7">
        <w:rPr>
          <w:rFonts w:ascii="Arial" w:hAnsi="Arial" w:cs="Arial"/>
        </w:rPr>
        <w:t>la funcionaria</w:t>
      </w:r>
      <w:r w:rsidR="009A5812">
        <w:rPr>
          <w:rFonts w:ascii="Arial" w:hAnsi="Arial" w:cs="Arial"/>
        </w:rPr>
        <w:t xml:space="preserve"> judicial que tramita</w:t>
      </w:r>
      <w:r>
        <w:rPr>
          <w:rFonts w:ascii="Arial" w:hAnsi="Arial" w:cs="Arial"/>
        </w:rPr>
        <w:t xml:space="preserve"> la acción popular </w:t>
      </w:r>
      <w:r w:rsidR="00A175E7">
        <w:rPr>
          <w:rFonts w:ascii="Arial" w:hAnsi="Arial" w:cs="Arial"/>
        </w:rPr>
        <w:t>No.</w:t>
      </w:r>
      <w:r>
        <w:rPr>
          <w:rFonts w:ascii="Arial" w:hAnsi="Arial" w:cs="Arial"/>
        </w:rPr>
        <w:t>2015-00561-00</w:t>
      </w:r>
      <w:r w:rsidR="00415315">
        <w:rPr>
          <w:rFonts w:ascii="Arial" w:hAnsi="Arial" w:cs="Arial"/>
        </w:rPr>
        <w:t xml:space="preserve">  </w:t>
      </w:r>
      <w:r>
        <w:rPr>
          <w:rFonts w:ascii="Arial" w:hAnsi="Arial" w:cs="Arial"/>
        </w:rPr>
        <w:t>declaró desiert</w:t>
      </w:r>
      <w:r w:rsidR="009A5812">
        <w:rPr>
          <w:rFonts w:ascii="Arial" w:hAnsi="Arial" w:cs="Arial"/>
        </w:rPr>
        <w:t>o</w:t>
      </w:r>
      <w:r>
        <w:rPr>
          <w:rFonts w:ascii="Arial" w:hAnsi="Arial" w:cs="Arial"/>
        </w:rPr>
        <w:t xml:space="preserve"> </w:t>
      </w:r>
      <w:r w:rsidR="009A5812">
        <w:rPr>
          <w:rFonts w:ascii="Arial" w:hAnsi="Arial" w:cs="Arial"/>
        </w:rPr>
        <w:t>su</w:t>
      </w:r>
      <w:r>
        <w:rPr>
          <w:rFonts w:ascii="Arial" w:hAnsi="Arial" w:cs="Arial"/>
        </w:rPr>
        <w:t xml:space="preserve"> alzada</w:t>
      </w:r>
      <w:r w:rsidR="00A175E7">
        <w:rPr>
          <w:rFonts w:ascii="Arial" w:hAnsi="Arial" w:cs="Arial"/>
        </w:rPr>
        <w:t xml:space="preserve">, sin tener en cuenta </w:t>
      </w:r>
      <w:r>
        <w:rPr>
          <w:rFonts w:ascii="Arial" w:hAnsi="Arial" w:cs="Arial"/>
        </w:rPr>
        <w:t xml:space="preserve">lo dispuesto en el artículo 67 de la Ley </w:t>
      </w:r>
      <w:r>
        <w:rPr>
          <w:rFonts w:ascii="Arial" w:hAnsi="Arial" w:cs="Arial"/>
        </w:rPr>
        <w:lastRenderedPageBreak/>
        <w:t>472</w:t>
      </w:r>
      <w:r w:rsidR="00962A48">
        <w:rPr>
          <w:rFonts w:ascii="Arial" w:hAnsi="Arial" w:cs="Arial"/>
        </w:rPr>
        <w:t xml:space="preserve">, que permite conceder la apelación en el efecto </w:t>
      </w:r>
      <w:r w:rsidR="009A5812" w:rsidRPr="009A5812">
        <w:rPr>
          <w:rFonts w:ascii="Arial" w:hAnsi="Arial" w:cs="Arial"/>
          <w:i/>
        </w:rPr>
        <w:t>“</w:t>
      </w:r>
      <w:r w:rsidR="00962A48" w:rsidRPr="009A5812">
        <w:rPr>
          <w:rFonts w:ascii="Arial" w:hAnsi="Arial" w:cs="Arial"/>
          <w:i/>
        </w:rPr>
        <w:t>suspensivo</w:t>
      </w:r>
      <w:r w:rsidR="009A5812" w:rsidRPr="009A5812">
        <w:rPr>
          <w:rFonts w:ascii="Arial" w:hAnsi="Arial" w:cs="Arial"/>
          <w:i/>
        </w:rPr>
        <w:t>”</w:t>
      </w:r>
      <w:r w:rsidR="00962A48">
        <w:rPr>
          <w:rFonts w:ascii="Arial" w:hAnsi="Arial" w:cs="Arial"/>
        </w:rPr>
        <w:t xml:space="preserve"> </w:t>
      </w:r>
      <w:r w:rsidR="00415315">
        <w:rPr>
          <w:rFonts w:ascii="Arial" w:hAnsi="Arial" w:cs="Arial"/>
        </w:rPr>
        <w:t xml:space="preserve">(Folio 1, este cuaderno). </w:t>
      </w:r>
    </w:p>
    <w:p w:rsidR="004B1EB8" w:rsidRDefault="004B1EB8" w:rsidP="004B1EB8">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3B717E" w:rsidRDefault="00800EF6" w:rsidP="00730CA7">
      <w:pPr>
        <w:pStyle w:val="Textoindependien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F32071">
        <w:rPr>
          <w:rFonts w:ascii="Arial" w:hAnsi="Arial" w:cs="Arial"/>
          <w:i/>
          <w:spacing w:val="-3"/>
          <w:sz w:val="22"/>
          <w:lang w:val="es-ES_tradnl"/>
        </w:rPr>
        <w:t xml:space="preserve">(…) </w:t>
      </w:r>
      <w:r w:rsidR="009A5812">
        <w:rPr>
          <w:rFonts w:ascii="Arial" w:hAnsi="Arial" w:cs="Arial"/>
          <w:i/>
          <w:spacing w:val="-3"/>
          <w:sz w:val="22"/>
          <w:lang w:val="es-ES_tradnl"/>
        </w:rPr>
        <w:t xml:space="preserve">mis </w:t>
      </w:r>
      <w:r w:rsidRPr="00EA458D">
        <w:rPr>
          <w:rFonts w:ascii="Arial" w:hAnsi="Arial" w:cs="Arial"/>
          <w:i/>
          <w:spacing w:val="-3"/>
          <w:sz w:val="22"/>
          <w:lang w:val="es-ES_tradnl"/>
        </w:rPr>
        <w:t>garantías procesales</w:t>
      </w:r>
      <w:r w:rsidR="0082583F">
        <w:rPr>
          <w:rFonts w:ascii="Arial" w:hAnsi="Arial" w:cs="Arial"/>
          <w:i/>
          <w:spacing w:val="-3"/>
          <w:sz w:val="22"/>
          <w:lang w:val="es-ES_tradnl"/>
        </w:rPr>
        <w:t xml:space="preserve"> </w:t>
      </w:r>
      <w:r w:rsidRPr="00EA458D">
        <w:rPr>
          <w:rFonts w:ascii="Arial" w:hAnsi="Arial" w:cs="Arial"/>
          <w:i/>
          <w:spacing w:val="-3"/>
          <w:sz w:val="22"/>
          <w:lang w:val="es-ES_tradnl"/>
        </w:rPr>
        <w:t>(…)”</w:t>
      </w:r>
      <w:r w:rsidRPr="00EA458D">
        <w:rPr>
          <w:rFonts w:ascii="Arial" w:hAnsi="Arial" w:cs="Arial"/>
          <w:spacing w:val="-3"/>
          <w:sz w:val="22"/>
          <w:lang w:val="es-ES_tradnl"/>
        </w:rPr>
        <w:t xml:space="preserve"> </w:t>
      </w:r>
      <w:r w:rsidR="0082583F" w:rsidRPr="0082583F">
        <w:rPr>
          <w:rFonts w:ascii="Arial" w:hAnsi="Arial" w:cs="Arial"/>
          <w:i/>
          <w:spacing w:val="-3"/>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6124E2" w:rsidRDefault="006124E2"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3B717E" w:rsidRDefault="00303E85" w:rsidP="004B1EB8">
      <w:pPr>
        <w:pStyle w:val="Sinespaciado"/>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ordene al accionado</w:t>
      </w:r>
      <w:r w:rsidR="004C0F6E">
        <w:rPr>
          <w:rFonts w:ascii="Arial" w:hAnsi="Arial" w:cs="Arial"/>
        </w:rPr>
        <w:t xml:space="preserve"> </w:t>
      </w:r>
      <w:r w:rsidR="009A5812">
        <w:rPr>
          <w:rFonts w:ascii="Arial" w:hAnsi="Arial" w:cs="Arial"/>
        </w:rPr>
        <w:t xml:space="preserve">decretar nulidad del auto que negó </w:t>
      </w:r>
      <w:r w:rsidR="00166F31">
        <w:rPr>
          <w:rFonts w:ascii="Arial" w:hAnsi="Arial" w:cs="Arial"/>
        </w:rPr>
        <w:t>la</w:t>
      </w:r>
      <w:r w:rsidR="009A5812">
        <w:rPr>
          <w:rFonts w:ascii="Arial" w:hAnsi="Arial" w:cs="Arial"/>
        </w:rPr>
        <w:t xml:space="preserve"> alzada</w:t>
      </w:r>
      <w:r w:rsidR="007B21EC">
        <w:rPr>
          <w:rFonts w:ascii="Arial" w:hAnsi="Arial" w:cs="Arial"/>
        </w:rPr>
        <w:t xml:space="preserve">, y en su lugar, </w:t>
      </w:r>
      <w:r w:rsidR="00D4311A">
        <w:rPr>
          <w:rFonts w:ascii="Arial" w:hAnsi="Arial" w:cs="Arial"/>
        </w:rPr>
        <w:t>se</w:t>
      </w:r>
      <w:r w:rsidR="00166F31">
        <w:rPr>
          <w:rFonts w:ascii="Arial" w:hAnsi="Arial" w:cs="Arial"/>
        </w:rPr>
        <w:t xml:space="preserve"> conceda en el efecto suspensivo (Ley 472); y,</w:t>
      </w:r>
      <w:r w:rsidR="004C0F6E">
        <w:rPr>
          <w:rFonts w:ascii="Arial" w:hAnsi="Arial" w:cs="Arial"/>
        </w:rPr>
        <w:t xml:space="preserve"> (ii) Se</w:t>
      </w:r>
      <w:r w:rsidR="000D09C9">
        <w:rPr>
          <w:rFonts w:ascii="Arial" w:hAnsi="Arial" w:cs="Arial"/>
        </w:rPr>
        <w:t xml:space="preserve"> </w:t>
      </w:r>
      <w:r w:rsidR="00166F31">
        <w:rPr>
          <w:rFonts w:ascii="Arial" w:hAnsi="Arial" w:cs="Arial"/>
        </w:rPr>
        <w:t>aporte un listado de las acciones populares iniciadas desde el año</w:t>
      </w:r>
      <w:r w:rsidR="007B21EC">
        <w:rPr>
          <w:rFonts w:ascii="Arial" w:hAnsi="Arial" w:cs="Arial"/>
        </w:rPr>
        <w:t xml:space="preserve"> 2015 a la fecha, donde conste el efecto </w:t>
      </w:r>
      <w:r w:rsidR="00166F31">
        <w:rPr>
          <w:rFonts w:ascii="Arial" w:hAnsi="Arial" w:cs="Arial"/>
        </w:rPr>
        <w:t>en que concede los recursos.</w:t>
      </w:r>
      <w:r w:rsidR="00EA458D">
        <w:rPr>
          <w:rFonts w:ascii="Arial" w:hAnsi="Arial" w:cs="Arial"/>
        </w:rPr>
        <w:t xml:space="preserve"> </w:t>
      </w:r>
      <w:r w:rsidR="00612C75">
        <w:rPr>
          <w:rFonts w:ascii="Arial" w:hAnsi="Arial" w:cs="Arial"/>
          <w:spacing w:val="-3"/>
          <w:lang w:val="es-ES_tradnl"/>
        </w:rPr>
        <w:t>(</w:t>
      </w:r>
      <w:r w:rsidR="00A103DF">
        <w:rPr>
          <w:rFonts w:ascii="Arial" w:hAnsi="Arial" w:cs="Arial"/>
          <w:spacing w:val="-3"/>
          <w:lang w:val="es-ES_tradnl"/>
        </w:rPr>
        <w:t>Folio 2, este cuaderno)</w:t>
      </w:r>
      <w:r w:rsidR="00D669DC">
        <w:rPr>
          <w:rFonts w:ascii="Arial" w:hAnsi="Arial" w:cs="Arial"/>
          <w:spacing w:val="-3"/>
          <w:lang w:val="es-ES_tradnl"/>
        </w:rPr>
        <w:t>.</w:t>
      </w:r>
    </w:p>
    <w:p w:rsidR="003B717E" w:rsidRDefault="003B717E"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05563F" w:rsidRDefault="0005563F" w:rsidP="0005563F">
      <w:pPr>
        <w:pStyle w:val="Sinespaciado"/>
        <w:spacing w:line="360" w:lineRule="auto"/>
        <w:ind w:left="360"/>
        <w:jc w:val="both"/>
        <w:rPr>
          <w:rFonts w:ascii="Arial" w:hAnsi="Arial"/>
          <w:szCs w:val="24"/>
        </w:rPr>
      </w:pPr>
    </w:p>
    <w:p w:rsidR="0047592F" w:rsidRDefault="00971166" w:rsidP="00086A95">
      <w:pPr>
        <w:spacing w:line="360" w:lineRule="auto"/>
        <w:jc w:val="both"/>
        <w:rPr>
          <w:rFonts w:ascii="Arial" w:hAnsi="Arial" w:cs="Arial"/>
        </w:rPr>
      </w:pPr>
      <w:r w:rsidRPr="00B74361">
        <w:rPr>
          <w:rFonts w:ascii="Arial" w:hAnsi="Arial"/>
        </w:rPr>
        <w:t xml:space="preserve">En reparto ordinario del </w:t>
      </w:r>
      <w:r w:rsidR="00A67D11">
        <w:rPr>
          <w:rFonts w:ascii="Arial" w:hAnsi="Arial"/>
        </w:rPr>
        <w:t>09</w:t>
      </w:r>
      <w:r w:rsidR="0069231C">
        <w:rPr>
          <w:rFonts w:ascii="Arial" w:hAnsi="Arial"/>
        </w:rPr>
        <w:t>-</w:t>
      </w:r>
      <w:r w:rsidR="00EA458D">
        <w:rPr>
          <w:rFonts w:ascii="Arial" w:hAnsi="Arial"/>
        </w:rPr>
        <w:t>0</w:t>
      </w:r>
      <w:r w:rsidR="00A67D11">
        <w:rPr>
          <w:rFonts w:ascii="Arial" w:hAnsi="Arial"/>
        </w:rPr>
        <w:t>6</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A67D11">
        <w:rPr>
          <w:rFonts w:ascii="Arial" w:hAnsi="Arial" w:cs="Arial"/>
          <w:color w:val="000000"/>
        </w:rPr>
        <w:t>12</w:t>
      </w:r>
      <w:r w:rsidR="005B3F38">
        <w:rPr>
          <w:rFonts w:ascii="Arial" w:hAnsi="Arial" w:cs="Arial"/>
          <w:color w:val="000000"/>
        </w:rPr>
        <w:t>-0</w:t>
      </w:r>
      <w:r w:rsidR="00A67D11">
        <w:rPr>
          <w:rFonts w:ascii="Arial" w:hAnsi="Arial" w:cs="Arial"/>
          <w:color w:val="000000"/>
        </w:rPr>
        <w:t>6</w:t>
      </w:r>
      <w:r w:rsidR="005B3F3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A67D11">
        <w:rPr>
          <w:rFonts w:ascii="Arial" w:hAnsi="Arial"/>
        </w:rPr>
        <w:t xml:space="preserve"> 5,</w:t>
      </w:r>
      <w:r w:rsidR="00314889">
        <w:rPr>
          <w:rFonts w:ascii="Arial" w:hAnsi="Arial"/>
        </w:rPr>
        <w:t xml:space="preserve">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0D2FDE">
        <w:rPr>
          <w:rFonts w:ascii="Arial" w:hAnsi="Arial" w:cs="Arial"/>
          <w:color w:val="000000"/>
        </w:rPr>
        <w:t>6</w:t>
      </w:r>
      <w:r w:rsidR="00BB4CEF">
        <w:rPr>
          <w:rFonts w:ascii="Arial" w:hAnsi="Arial" w:cs="Arial"/>
          <w:color w:val="000000"/>
        </w:rPr>
        <w:t xml:space="preserve"> a </w:t>
      </w:r>
      <w:r w:rsidR="00EC76DF">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 xml:space="preserve">Contestaron </w:t>
      </w:r>
      <w:r w:rsidR="00073168">
        <w:rPr>
          <w:rFonts w:ascii="Arial" w:hAnsi="Arial" w:cs="Arial"/>
          <w:color w:val="000000"/>
        </w:rPr>
        <w:t>la Procuraduría General de la Nación,</w:t>
      </w:r>
      <w:r w:rsidR="00086A95">
        <w:rPr>
          <w:rFonts w:ascii="Arial" w:hAnsi="Arial" w:cs="Arial"/>
          <w:color w:val="000000"/>
        </w:rPr>
        <w:t xml:space="preserve"> </w:t>
      </w:r>
      <w:r w:rsidR="00A175E7">
        <w:rPr>
          <w:rFonts w:ascii="Arial" w:hAnsi="Arial" w:cs="Arial"/>
          <w:color w:val="000000"/>
        </w:rPr>
        <w:t xml:space="preserve">Regional Risaralda, en adelante </w:t>
      </w:r>
      <w:proofErr w:type="spellStart"/>
      <w:r w:rsidR="00A175E7">
        <w:rPr>
          <w:rFonts w:ascii="Arial" w:hAnsi="Arial" w:cs="Arial"/>
          <w:color w:val="000000"/>
        </w:rPr>
        <w:t>PGN</w:t>
      </w:r>
      <w:proofErr w:type="spellEnd"/>
      <w:r w:rsidR="00A175E7">
        <w:rPr>
          <w:rFonts w:ascii="Arial" w:hAnsi="Arial" w:cs="Arial"/>
          <w:color w:val="000000"/>
        </w:rPr>
        <w:t xml:space="preserve"> </w:t>
      </w:r>
      <w:r w:rsidR="00073168">
        <w:rPr>
          <w:rFonts w:ascii="Arial" w:hAnsi="Arial" w:cs="Arial"/>
          <w:color w:val="000000"/>
        </w:rPr>
        <w:t>(Folio 62, ibídem)</w:t>
      </w:r>
      <w:r w:rsidR="00A175E7">
        <w:rPr>
          <w:rFonts w:ascii="Arial" w:hAnsi="Arial" w:cs="Arial"/>
          <w:color w:val="000000"/>
        </w:rPr>
        <w:t>, la</w:t>
      </w:r>
      <w:r w:rsidR="0089596B">
        <w:rPr>
          <w:rFonts w:ascii="Arial" w:hAnsi="Arial" w:cs="Arial"/>
          <w:color w:val="000000"/>
        </w:rPr>
        <w:t xml:space="preserve"> Personería de Pereira (Folios 64 a 66, ib.)</w:t>
      </w:r>
      <w:r w:rsidR="00A175E7">
        <w:rPr>
          <w:rFonts w:ascii="Arial" w:hAnsi="Arial" w:cs="Arial"/>
          <w:color w:val="000000"/>
        </w:rPr>
        <w:t xml:space="preserve">, La Alcaldía </w:t>
      </w:r>
      <w:r w:rsidR="0089596B">
        <w:rPr>
          <w:rFonts w:ascii="Arial" w:hAnsi="Arial" w:cs="Arial"/>
          <w:color w:val="000000"/>
        </w:rPr>
        <w:t xml:space="preserve">de Pereira (Folios 69 a 70, </w:t>
      </w:r>
      <w:proofErr w:type="spellStart"/>
      <w:r w:rsidR="0089596B">
        <w:rPr>
          <w:rFonts w:ascii="Arial" w:hAnsi="Arial" w:cs="Arial"/>
          <w:color w:val="000000"/>
        </w:rPr>
        <w:t>ib</w:t>
      </w:r>
      <w:proofErr w:type="spellEnd"/>
      <w:r w:rsidR="0089596B">
        <w:rPr>
          <w:rFonts w:ascii="Arial" w:hAnsi="Arial" w:cs="Arial"/>
          <w:color w:val="000000"/>
        </w:rPr>
        <w:t>)</w:t>
      </w:r>
      <w:r w:rsidR="00086A95">
        <w:rPr>
          <w:rFonts w:ascii="Arial" w:hAnsi="Arial" w:cs="Arial"/>
          <w:color w:val="000000"/>
        </w:rPr>
        <w:t>, y el Banco de Occidente (Folios 78 a 79, ib.)</w:t>
      </w:r>
    </w:p>
    <w:p w:rsidR="005941DE" w:rsidRDefault="005941DE" w:rsidP="004B1EB8">
      <w:pPr>
        <w:spacing w:line="360" w:lineRule="auto"/>
        <w:jc w:val="both"/>
        <w:rPr>
          <w:rFonts w:ascii="Arial" w:hAnsi="Arial" w:cs="Arial"/>
        </w:rPr>
      </w:pPr>
    </w:p>
    <w:p w:rsidR="00CF429F" w:rsidRPr="00BD086B" w:rsidRDefault="00CF429F" w:rsidP="00CF429F">
      <w:pPr>
        <w:numPr>
          <w:ilvl w:val="0"/>
          <w:numId w:val="18"/>
        </w:numPr>
        <w:spacing w:line="360" w:lineRule="auto"/>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Default="006F4450" w:rsidP="00730CA7">
      <w:pPr>
        <w:pStyle w:val="Textoindependiente"/>
        <w:spacing w:line="360" w:lineRule="auto"/>
        <w:rPr>
          <w:rFonts w:ascii="Arial" w:hAnsi="Arial"/>
          <w:szCs w:val="24"/>
          <w:highlight w:val="yellow"/>
        </w:rPr>
      </w:pPr>
    </w:p>
    <w:p w:rsidR="0001790C" w:rsidRDefault="00D94B3E" w:rsidP="00D94B3E">
      <w:pPr>
        <w:spacing w:line="360" w:lineRule="auto"/>
        <w:jc w:val="both"/>
        <w:rPr>
          <w:rFonts w:ascii="Arial" w:hAnsi="Arial" w:cs="Arial"/>
          <w:color w:val="000000"/>
        </w:rPr>
      </w:pPr>
      <w:r w:rsidRPr="00FC5CFA">
        <w:rPr>
          <w:rFonts w:ascii="Arial" w:hAnsi="Arial" w:cs="Arial"/>
          <w:color w:val="000000"/>
        </w:rPr>
        <w:t xml:space="preserve">La </w:t>
      </w:r>
      <w:proofErr w:type="spellStart"/>
      <w:r w:rsidRPr="00FC5CFA">
        <w:rPr>
          <w:rFonts w:ascii="Arial" w:hAnsi="Arial" w:cs="Arial"/>
          <w:color w:val="000000"/>
        </w:rPr>
        <w:t>PGN</w:t>
      </w:r>
      <w:proofErr w:type="spellEnd"/>
      <w:r w:rsidR="003B7EA4">
        <w:rPr>
          <w:rFonts w:ascii="Arial" w:hAnsi="Arial" w:cs="Arial"/>
          <w:color w:val="000000"/>
        </w:rPr>
        <w:t xml:space="preserve">, </w:t>
      </w:r>
      <w:r w:rsidR="00A175E7">
        <w:rPr>
          <w:rFonts w:ascii="Arial" w:hAnsi="Arial" w:cs="Arial"/>
          <w:color w:val="000000"/>
        </w:rPr>
        <w:t xml:space="preserve">Regional de Risaralda, </w:t>
      </w:r>
      <w:r w:rsidRPr="001136A5">
        <w:rPr>
          <w:rFonts w:ascii="Arial" w:hAnsi="Arial"/>
        </w:rPr>
        <w:t>la Personería</w:t>
      </w:r>
      <w:r w:rsidR="00A175E7">
        <w:rPr>
          <w:rFonts w:ascii="Arial" w:hAnsi="Arial"/>
        </w:rPr>
        <w:t xml:space="preserve"> y la Alcaldía </w:t>
      </w:r>
      <w:r w:rsidR="002D7C36">
        <w:rPr>
          <w:rFonts w:ascii="Arial" w:hAnsi="Arial" w:cs="Arial"/>
          <w:color w:val="000000"/>
        </w:rPr>
        <w:t>de Pereira</w:t>
      </w:r>
      <w:r w:rsidRPr="001136A5">
        <w:rPr>
          <w:rFonts w:ascii="Arial" w:hAnsi="Arial"/>
        </w:rPr>
        <w:t>, adujeron que la situación alegada es ajena a sus funciones, y que es al Juzgado accionado al que le corresponde tramitar la acción popular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Pr>
          <w:rFonts w:ascii="Arial" w:hAnsi="Arial" w:cs="Arial"/>
          <w:color w:val="000000"/>
        </w:rPr>
        <w:t xml:space="preserve"> (Folios </w:t>
      </w:r>
      <w:r w:rsidR="00086A95">
        <w:rPr>
          <w:rFonts w:ascii="Arial" w:hAnsi="Arial" w:cs="Arial"/>
          <w:color w:val="000000"/>
        </w:rPr>
        <w:t>62, 64 a 66 y 69 a 70</w:t>
      </w:r>
      <w:r>
        <w:rPr>
          <w:rFonts w:ascii="Arial" w:hAnsi="Arial" w:cs="Arial"/>
          <w:color w:val="000000"/>
        </w:rPr>
        <w:t>, ib</w:t>
      </w:r>
      <w:r w:rsidR="00222CF7">
        <w:rPr>
          <w:rFonts w:ascii="Arial" w:hAnsi="Arial" w:cs="Arial"/>
          <w:color w:val="000000"/>
        </w:rPr>
        <w:t xml:space="preserve">.), y el Banco de Occidente, relató </w:t>
      </w:r>
      <w:r w:rsidR="00805ACD">
        <w:rPr>
          <w:rFonts w:ascii="Arial" w:hAnsi="Arial" w:cs="Arial"/>
          <w:color w:val="000000"/>
        </w:rPr>
        <w:t>que el accionado el 30-08-2016 acogió l</w:t>
      </w:r>
      <w:r w:rsidR="00A534FF">
        <w:rPr>
          <w:rFonts w:ascii="Arial" w:hAnsi="Arial" w:cs="Arial"/>
          <w:color w:val="000000"/>
        </w:rPr>
        <w:t>as pretensiones d</w:t>
      </w:r>
      <w:r w:rsidR="00805ACD">
        <w:rPr>
          <w:rFonts w:ascii="Arial" w:hAnsi="Arial" w:cs="Arial"/>
          <w:color w:val="000000"/>
        </w:rPr>
        <w:t>el actor</w:t>
      </w:r>
      <w:r w:rsidR="00222CF7">
        <w:rPr>
          <w:rFonts w:ascii="Arial" w:hAnsi="Arial" w:cs="Arial"/>
          <w:color w:val="000000"/>
        </w:rPr>
        <w:t xml:space="preserve">; que </w:t>
      </w:r>
      <w:r w:rsidR="00A534FF">
        <w:rPr>
          <w:rFonts w:ascii="Arial" w:hAnsi="Arial" w:cs="Arial"/>
          <w:color w:val="000000"/>
        </w:rPr>
        <w:t>esta Corporación mediante fallos proferidos el 19-01-2017 y 30-03-2017 en las acciones 2016-01298-00</w:t>
      </w:r>
      <w:r w:rsidR="00EF2F99">
        <w:rPr>
          <w:rFonts w:ascii="Arial" w:hAnsi="Arial" w:cs="Arial"/>
          <w:color w:val="000000"/>
        </w:rPr>
        <w:t xml:space="preserve"> </w:t>
      </w:r>
      <w:r w:rsidR="00EF2F99" w:rsidRPr="00EF2F99">
        <w:rPr>
          <w:rFonts w:ascii="Arial" w:hAnsi="Arial" w:cs="Arial"/>
          <w:i/>
          <w:color w:val="000000"/>
        </w:rPr>
        <w:t>(sic)</w:t>
      </w:r>
      <w:r w:rsidR="00A534FF">
        <w:rPr>
          <w:rFonts w:ascii="Arial" w:hAnsi="Arial" w:cs="Arial"/>
          <w:color w:val="000000"/>
        </w:rPr>
        <w:t xml:space="preserve"> y 2017-00244-00, resolvió sobre los mismos</w:t>
      </w:r>
      <w:r w:rsidR="00222CF7">
        <w:rPr>
          <w:rFonts w:ascii="Arial" w:hAnsi="Arial" w:cs="Arial"/>
          <w:color w:val="000000"/>
        </w:rPr>
        <w:t xml:space="preserve"> hechos</w:t>
      </w:r>
      <w:r w:rsidR="00A534FF">
        <w:rPr>
          <w:rFonts w:ascii="Arial" w:hAnsi="Arial" w:cs="Arial"/>
          <w:color w:val="000000"/>
        </w:rPr>
        <w:t xml:space="preserve"> y peticiones</w:t>
      </w:r>
      <w:r w:rsidR="0001790C">
        <w:rPr>
          <w:rFonts w:ascii="Arial" w:hAnsi="Arial" w:cs="Arial"/>
          <w:color w:val="000000"/>
        </w:rPr>
        <w:t xml:space="preserve">, </w:t>
      </w:r>
      <w:r w:rsidR="00EF2F99">
        <w:rPr>
          <w:rFonts w:ascii="Arial" w:hAnsi="Arial" w:cs="Arial"/>
          <w:color w:val="000000"/>
        </w:rPr>
        <w:t xml:space="preserve">confirmada </w:t>
      </w:r>
      <w:r w:rsidR="004D1161">
        <w:rPr>
          <w:rFonts w:ascii="Arial" w:hAnsi="Arial" w:cs="Arial"/>
          <w:color w:val="000000"/>
        </w:rPr>
        <w:t>la</w:t>
      </w:r>
      <w:r w:rsidR="0001790C">
        <w:rPr>
          <w:rFonts w:ascii="Arial" w:hAnsi="Arial" w:cs="Arial"/>
          <w:color w:val="000000"/>
        </w:rPr>
        <w:t xml:space="preserve"> última decisión por la CSJ el 12-05-2017</w:t>
      </w:r>
      <w:r w:rsidR="004D1161">
        <w:rPr>
          <w:rFonts w:ascii="Arial" w:hAnsi="Arial" w:cs="Arial"/>
          <w:color w:val="000000"/>
        </w:rPr>
        <w:t xml:space="preserve">, y </w:t>
      </w:r>
      <w:r w:rsidR="00213DFC">
        <w:rPr>
          <w:rFonts w:ascii="Arial" w:hAnsi="Arial" w:cs="Arial"/>
          <w:color w:val="000000"/>
        </w:rPr>
        <w:t xml:space="preserve">que </w:t>
      </w:r>
      <w:r w:rsidR="004D1161">
        <w:rPr>
          <w:rFonts w:ascii="Arial" w:hAnsi="Arial" w:cs="Arial"/>
          <w:color w:val="000000"/>
        </w:rPr>
        <w:t>ta</w:t>
      </w:r>
      <w:r w:rsidR="0001790C">
        <w:rPr>
          <w:rFonts w:ascii="Arial" w:hAnsi="Arial" w:cs="Arial"/>
          <w:color w:val="000000"/>
        </w:rPr>
        <w:t>mpoco</w:t>
      </w:r>
      <w:r w:rsidR="00E328C2">
        <w:rPr>
          <w:rFonts w:ascii="Arial" w:hAnsi="Arial" w:cs="Arial"/>
          <w:color w:val="000000"/>
        </w:rPr>
        <w:t xml:space="preserve"> se</w:t>
      </w:r>
      <w:r w:rsidR="0001790C">
        <w:rPr>
          <w:rFonts w:ascii="Arial" w:hAnsi="Arial" w:cs="Arial"/>
          <w:color w:val="000000"/>
        </w:rPr>
        <w:t xml:space="preserve"> cumple el principio de </w:t>
      </w:r>
      <w:r w:rsidR="00213DFC">
        <w:rPr>
          <w:rFonts w:ascii="Arial" w:hAnsi="Arial" w:cs="Arial"/>
          <w:color w:val="000000"/>
        </w:rPr>
        <w:t xml:space="preserve">la </w:t>
      </w:r>
      <w:r w:rsidR="0001790C">
        <w:rPr>
          <w:rFonts w:ascii="Arial" w:hAnsi="Arial" w:cs="Arial"/>
          <w:color w:val="000000"/>
        </w:rPr>
        <w:t>inmediatez</w:t>
      </w:r>
      <w:r w:rsidR="00EF2F99">
        <w:rPr>
          <w:rFonts w:ascii="Arial" w:hAnsi="Arial" w:cs="Arial"/>
          <w:color w:val="000000"/>
        </w:rPr>
        <w:t xml:space="preserve"> (Folios 78 a 79, ib.)</w:t>
      </w:r>
      <w:r w:rsidR="00E328C2">
        <w:rPr>
          <w:rFonts w:ascii="Arial" w:hAnsi="Arial" w:cs="Arial"/>
          <w:color w:val="000000"/>
        </w:rPr>
        <w:t>.</w:t>
      </w:r>
    </w:p>
    <w:p w:rsidR="0001790C" w:rsidRDefault="0001790C" w:rsidP="00D94B3E">
      <w:pPr>
        <w:spacing w:line="360" w:lineRule="auto"/>
        <w:jc w:val="both"/>
        <w:rPr>
          <w:rFonts w:ascii="Arial" w:hAnsi="Arial" w:cs="Arial"/>
          <w:color w:val="000000"/>
        </w:rPr>
      </w:pPr>
    </w:p>
    <w:p w:rsidR="00EB49D6" w:rsidRDefault="00EB49D6" w:rsidP="00EB49D6">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EB49D6" w:rsidRPr="00EB387F" w:rsidRDefault="00EB49D6" w:rsidP="00EB49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EB49D6" w:rsidRPr="000854D1" w:rsidRDefault="00EB49D6" w:rsidP="000854D1">
      <w:pPr>
        <w:pStyle w:val="Textoindependiente"/>
        <w:numPr>
          <w:ilvl w:val="1"/>
          <w:numId w:val="18"/>
        </w:numPr>
        <w:tabs>
          <w:tab w:val="clear" w:pos="0"/>
        </w:tabs>
        <w:spacing w:line="360" w:lineRule="auto"/>
        <w:ind w:left="709" w:hanging="709"/>
        <w:rPr>
          <w:rFonts w:ascii="Arial" w:hAnsi="Arial" w:cs="Arial"/>
          <w:szCs w:val="24"/>
        </w:rPr>
      </w:pPr>
      <w:r w:rsidRPr="000854D1">
        <w:rPr>
          <w:rFonts w:ascii="Arial" w:hAnsi="Arial" w:cs="Courier New"/>
          <w:smallCaps/>
          <w:spacing w:val="0"/>
          <w:szCs w:val="24"/>
          <w:lang w:val="es-ES"/>
        </w:rPr>
        <w:lastRenderedPageBreak/>
        <w:t>La competencia</w:t>
      </w:r>
      <w:r w:rsidR="004D1161" w:rsidRPr="000854D1">
        <w:rPr>
          <w:rFonts w:ascii="Arial" w:hAnsi="Arial" w:cs="Courier New"/>
          <w:smallCaps/>
          <w:spacing w:val="0"/>
          <w:szCs w:val="24"/>
          <w:lang w:val="es-ES"/>
        </w:rPr>
        <w:t xml:space="preserve">. </w:t>
      </w:r>
      <w:r w:rsidRPr="000854D1">
        <w:rPr>
          <w:rFonts w:ascii="Arial" w:hAnsi="Arial" w:cs="Arial"/>
          <w:szCs w:val="24"/>
        </w:rPr>
        <w:t xml:space="preserve">Esta Sala es competente para conocer la acción en razón a que es la superiora jerárquica del </w:t>
      </w:r>
      <w:r w:rsidRPr="000854D1">
        <w:rPr>
          <w:rFonts w:ascii="Arial" w:hAnsi="Arial" w:cs="Arial"/>
          <w:color w:val="000000"/>
          <w:szCs w:val="24"/>
        </w:rPr>
        <w:t>Juzgado</w:t>
      </w:r>
      <w:r w:rsidR="004D1161" w:rsidRPr="000854D1">
        <w:rPr>
          <w:rFonts w:ascii="Arial" w:hAnsi="Arial" w:cs="Arial"/>
          <w:color w:val="000000"/>
          <w:szCs w:val="24"/>
        </w:rPr>
        <w:t xml:space="preserve"> Cuarto</w:t>
      </w:r>
      <w:r w:rsidR="000854D1">
        <w:rPr>
          <w:rFonts w:ascii="Arial" w:hAnsi="Arial" w:cs="Arial"/>
          <w:color w:val="000000"/>
          <w:szCs w:val="24"/>
        </w:rPr>
        <w:t xml:space="preserve"> Civil del Circuito de Pereira.</w:t>
      </w:r>
    </w:p>
    <w:p w:rsidR="000854D1" w:rsidRPr="000854D1" w:rsidRDefault="000854D1" w:rsidP="000854D1">
      <w:pPr>
        <w:pStyle w:val="Textoindependiente"/>
        <w:tabs>
          <w:tab w:val="clear" w:pos="0"/>
        </w:tabs>
        <w:spacing w:line="360" w:lineRule="auto"/>
        <w:rPr>
          <w:rFonts w:ascii="Arial" w:hAnsi="Arial" w:cs="Arial"/>
          <w:szCs w:val="24"/>
        </w:rPr>
      </w:pPr>
    </w:p>
    <w:p w:rsidR="00EB49D6" w:rsidRPr="00D4311A" w:rsidRDefault="00EB49D6" w:rsidP="00B154D8">
      <w:pPr>
        <w:pStyle w:val="Textoindependiente"/>
        <w:numPr>
          <w:ilvl w:val="1"/>
          <w:numId w:val="18"/>
        </w:numPr>
        <w:tabs>
          <w:tab w:val="clear" w:pos="708"/>
          <w:tab w:val="left" w:pos="709"/>
        </w:tabs>
        <w:spacing w:line="360" w:lineRule="auto"/>
        <w:ind w:left="709"/>
        <w:rPr>
          <w:rFonts w:ascii="Arial" w:hAnsi="Arial" w:cs="Arial"/>
        </w:rPr>
      </w:pPr>
      <w:r w:rsidRPr="00D4311A">
        <w:rPr>
          <w:rFonts w:ascii="Arial" w:hAnsi="Arial" w:cs="Courier New"/>
          <w:smallCaps/>
          <w:spacing w:val="0"/>
          <w:szCs w:val="24"/>
          <w:lang w:val="es-ES"/>
        </w:rPr>
        <w:t>El problema jurídico a resolver</w:t>
      </w:r>
      <w:r w:rsidR="00D4311A">
        <w:rPr>
          <w:rFonts w:ascii="Arial" w:hAnsi="Arial" w:cs="Courier New"/>
          <w:smallCaps/>
          <w:spacing w:val="0"/>
          <w:szCs w:val="24"/>
          <w:lang w:val="es-ES"/>
        </w:rPr>
        <w:t>.</w:t>
      </w:r>
      <w:r w:rsidR="00A175E7">
        <w:rPr>
          <w:rFonts w:ascii="Arial" w:hAnsi="Arial" w:cs="Courier New"/>
          <w:smallCaps/>
          <w:spacing w:val="0"/>
          <w:szCs w:val="24"/>
          <w:lang w:val="es-ES"/>
        </w:rPr>
        <w:t xml:space="preserve"> </w:t>
      </w:r>
      <w:r w:rsidRPr="00D4311A">
        <w:rPr>
          <w:rFonts w:ascii="Arial" w:hAnsi="Arial" w:cs="Arial"/>
        </w:rPr>
        <w:t xml:space="preserve">¿El </w:t>
      </w:r>
      <w:r w:rsidRPr="00D4311A">
        <w:rPr>
          <w:rFonts w:ascii="Arial" w:hAnsi="Arial" w:cs="Arial"/>
          <w:color w:val="000000"/>
        </w:rPr>
        <w:t xml:space="preserve">Juzgado </w:t>
      </w:r>
      <w:r w:rsidR="00115DE5" w:rsidRPr="00D4311A">
        <w:rPr>
          <w:rFonts w:ascii="Arial" w:hAnsi="Arial" w:cs="Arial"/>
          <w:color w:val="000000"/>
        </w:rPr>
        <w:t>accionado</w:t>
      </w:r>
      <w:r w:rsidRPr="00D4311A">
        <w:rPr>
          <w:rFonts w:ascii="Arial" w:hAnsi="Arial" w:cs="Arial"/>
        </w:rPr>
        <w:t>, ha vulnerado o amenazado los derechos fundamentales del accionante con ocasión del trámite surtido en el proceso, según lo expuesto en el escrito de tutela?</w:t>
      </w:r>
    </w:p>
    <w:p w:rsidR="00EB49D6" w:rsidRPr="00BF3B90" w:rsidRDefault="00EB49D6" w:rsidP="00EB49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B49D6" w:rsidRPr="00AD2537" w:rsidRDefault="0088690A" w:rsidP="00EB49D6">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AD2537">
        <w:rPr>
          <w:rFonts w:ascii="Arial" w:hAnsi="Arial"/>
          <w:smallCaps/>
          <w:szCs w:val="24"/>
        </w:rPr>
        <w:t>Los presupuestos generales de procedencia</w:t>
      </w:r>
    </w:p>
    <w:p w:rsidR="00EB49D6" w:rsidRPr="00BF3B90" w:rsidRDefault="00EB49D6" w:rsidP="00EB49D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88690A" w:rsidRPr="00A175E7" w:rsidRDefault="0088690A" w:rsidP="00A175E7">
      <w:pPr>
        <w:pStyle w:val="Prrafodelista"/>
        <w:numPr>
          <w:ilvl w:val="2"/>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175E7">
        <w:rPr>
          <w:rFonts w:ascii="Arial" w:hAnsi="Arial"/>
          <w:smallCaps/>
          <w:sz w:val="22"/>
        </w:rPr>
        <w:t>La legitimación en la causa</w:t>
      </w:r>
      <w:r w:rsidRPr="00A175E7">
        <w:rPr>
          <w:rFonts w:ascii="Arial" w:hAnsi="Arial"/>
          <w:smallCaps/>
        </w:rPr>
        <w:t xml:space="preserve">. </w:t>
      </w:r>
      <w:r w:rsidRPr="00A175E7">
        <w:rPr>
          <w:rFonts w:ascii="Arial" w:hAnsi="Arial" w:cs="Arial"/>
        </w:rPr>
        <w:t>Se cumple por activa dado que el actor promovió la acción popular donde se reprocha la falta al debido proceso. Y por pasiva, lo es el accionado, porque es el despacho judicial que conoce el juicio.</w:t>
      </w:r>
    </w:p>
    <w:p w:rsidR="00D4311A" w:rsidRPr="002F5821" w:rsidRDefault="00D4311A" w:rsidP="00A175E7">
      <w:pPr>
        <w:pStyle w:val="Textoindependiente"/>
        <w:numPr>
          <w:ilvl w:val="1"/>
          <w:numId w:val="18"/>
        </w:numPr>
        <w:tabs>
          <w:tab w:val="clear" w:pos="708"/>
          <w:tab w:val="left" w:pos="709"/>
        </w:tabs>
        <w:spacing w:line="360" w:lineRule="auto"/>
        <w:rPr>
          <w:rFonts w:ascii="Arial" w:hAnsi="Arial" w:cs="Arial"/>
          <w:smallCaps/>
          <w:sz w:val="22"/>
          <w:szCs w:val="24"/>
        </w:rPr>
      </w:pPr>
      <w:r w:rsidRPr="002F5821">
        <w:rPr>
          <w:rFonts w:ascii="Arial" w:hAnsi="Arial"/>
          <w:smallCaps/>
          <w:sz w:val="22"/>
          <w:szCs w:val="24"/>
        </w:rPr>
        <w:t>Los supuestos de la acción de tutela temeraria y la cosa juzgada constitucional</w:t>
      </w:r>
    </w:p>
    <w:p w:rsidR="00D4311A" w:rsidRDefault="00D4311A" w:rsidP="00D4311A">
      <w:pPr>
        <w:pStyle w:val="Textoindependiente"/>
        <w:tabs>
          <w:tab w:val="clear" w:pos="708"/>
          <w:tab w:val="left" w:pos="709"/>
        </w:tabs>
        <w:spacing w:line="360" w:lineRule="auto"/>
        <w:rPr>
          <w:rFonts w:ascii="Arial" w:hAnsi="Arial" w:cs="Arial"/>
          <w:szCs w:val="22"/>
          <w:lang w:val="es-CO"/>
        </w:rPr>
      </w:pPr>
    </w:p>
    <w:p w:rsidR="00D4311A" w:rsidRDefault="00D4311A" w:rsidP="00D4311A">
      <w:pPr>
        <w:pStyle w:val="Textoindependien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 xml:space="preserve">sin </w:t>
      </w:r>
    </w:p>
    <w:p w:rsidR="00D4311A" w:rsidRDefault="00D4311A" w:rsidP="00D4311A">
      <w:pPr>
        <w:pStyle w:val="Textoindependiente"/>
        <w:tabs>
          <w:tab w:val="clear" w:pos="708"/>
          <w:tab w:val="left" w:pos="709"/>
        </w:tabs>
        <w:spacing w:line="360" w:lineRule="auto"/>
        <w:rPr>
          <w:rFonts w:ascii="Arial" w:hAnsi="Arial" w:cs="Arial"/>
          <w:i/>
          <w:iCs/>
          <w:sz w:val="22"/>
          <w:szCs w:val="22"/>
          <w:lang w:val="es-CO"/>
        </w:rPr>
      </w:pPr>
      <w:proofErr w:type="gramStart"/>
      <w:r w:rsidRPr="00556F7F">
        <w:rPr>
          <w:rFonts w:ascii="Arial" w:hAnsi="Arial" w:cs="Arial"/>
          <w:i/>
          <w:iCs/>
          <w:sz w:val="22"/>
          <w:szCs w:val="22"/>
          <w:lang w:val="es-CO"/>
        </w:rPr>
        <w:t>motivo</w:t>
      </w:r>
      <w:proofErr w:type="gramEnd"/>
      <w:r w:rsidRPr="00556F7F">
        <w:rPr>
          <w:rFonts w:ascii="Arial" w:hAnsi="Arial" w:cs="Arial"/>
          <w:i/>
          <w:iCs/>
          <w:sz w:val="22"/>
          <w:szCs w:val="22"/>
          <w:lang w:val="es-CO"/>
        </w:rPr>
        <w:t xml:space="preserve"> expresamente justificado, la misma acción de tutela sea presentada por la misma persona o </w:t>
      </w:r>
    </w:p>
    <w:p w:rsidR="00D4311A" w:rsidRDefault="00D4311A" w:rsidP="00D4311A">
      <w:pPr>
        <w:pStyle w:val="Textoindependiente"/>
        <w:tabs>
          <w:tab w:val="clear" w:pos="708"/>
          <w:tab w:val="left" w:pos="709"/>
        </w:tabs>
        <w:spacing w:line="360" w:lineRule="auto"/>
        <w:rPr>
          <w:rFonts w:ascii="Arial" w:hAnsi="Arial"/>
        </w:rPr>
      </w:pPr>
      <w:proofErr w:type="gramStart"/>
      <w:r w:rsidRPr="00556F7F">
        <w:rPr>
          <w:rFonts w:ascii="Arial" w:hAnsi="Arial" w:cs="Arial"/>
          <w:i/>
          <w:iCs/>
          <w:sz w:val="22"/>
          <w:szCs w:val="22"/>
          <w:lang w:val="es-CO"/>
        </w:rPr>
        <w:t>su</w:t>
      </w:r>
      <w:proofErr w:type="gramEnd"/>
      <w:r w:rsidRPr="00556F7F">
        <w:rPr>
          <w:rFonts w:ascii="Arial" w:hAnsi="Arial" w:cs="Arial"/>
          <w:i/>
          <w:iCs/>
          <w:sz w:val="22"/>
          <w:szCs w:val="22"/>
          <w:lang w:val="es-CO"/>
        </w:rPr>
        <w:t xml:space="preserve">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D4311A" w:rsidRPr="00FE5FF3" w:rsidRDefault="00D4311A" w:rsidP="00D4311A">
      <w:pPr>
        <w:pStyle w:val="Textoindependiente"/>
        <w:tabs>
          <w:tab w:val="clear" w:pos="0"/>
          <w:tab w:val="clear" w:pos="708"/>
          <w:tab w:val="left" w:pos="709"/>
        </w:tabs>
        <w:spacing w:line="360" w:lineRule="auto"/>
        <w:rPr>
          <w:rFonts w:ascii="Arial" w:hAnsi="Arial" w:cs="Arial"/>
          <w:sz w:val="20"/>
          <w:szCs w:val="22"/>
        </w:rPr>
      </w:pPr>
    </w:p>
    <w:p w:rsidR="00D4311A" w:rsidRDefault="00D4311A" w:rsidP="00D4311A">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 xml:space="preserve">configurado la temeridad en la presentación de una </w:t>
      </w:r>
    </w:p>
    <w:p w:rsidR="00D4311A" w:rsidRPr="00556F7F" w:rsidRDefault="00D4311A" w:rsidP="00D4311A">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Refdenotaalpie"/>
          <w:rFonts w:ascii="Arial" w:hAnsi="Arial"/>
          <w:szCs w:val="22"/>
        </w:rPr>
        <w:footnoteReference w:id="1"/>
      </w:r>
      <w:r w:rsidRPr="00556F7F">
        <w:rPr>
          <w:rFonts w:ascii="Arial" w:hAnsi="Arial" w:cs="Arial"/>
          <w:sz w:val="22"/>
          <w:szCs w:val="22"/>
        </w:rPr>
        <w:t>.</w:t>
      </w:r>
    </w:p>
    <w:p w:rsidR="00D4311A" w:rsidRPr="001971C0" w:rsidRDefault="00D4311A" w:rsidP="00D4311A">
      <w:pPr>
        <w:pStyle w:val="Textoindependiente"/>
        <w:tabs>
          <w:tab w:val="clear" w:pos="708"/>
          <w:tab w:val="left" w:pos="709"/>
        </w:tabs>
        <w:spacing w:line="360" w:lineRule="auto"/>
        <w:rPr>
          <w:rFonts w:ascii="Arial" w:hAnsi="Arial"/>
          <w:sz w:val="20"/>
          <w:szCs w:val="24"/>
        </w:rPr>
      </w:pPr>
    </w:p>
    <w:p w:rsidR="00D4311A" w:rsidRDefault="00D4311A" w:rsidP="00D4311A">
      <w:pPr>
        <w:pStyle w:val="Textoindependien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Refdenotaalpie"/>
          <w:rFonts w:ascii="Arial" w:hAnsi="Arial"/>
          <w:szCs w:val="22"/>
        </w:rPr>
        <w:footnoteReference w:id="2"/>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Refdenotaalpie"/>
          <w:rFonts w:ascii="Arial" w:hAnsi="Arial"/>
          <w:szCs w:val="22"/>
        </w:rPr>
        <w:footnoteReference w:id="3"/>
      </w:r>
      <w:r w:rsidRPr="00556F7F">
        <w:rPr>
          <w:rFonts w:ascii="Arial" w:hAnsi="Arial" w:cs="Arial"/>
          <w:szCs w:val="22"/>
        </w:rPr>
        <w:t>, sostiene:</w:t>
      </w:r>
    </w:p>
    <w:p w:rsidR="00D4311A" w:rsidRPr="00FE5FF3" w:rsidRDefault="00D4311A" w:rsidP="00D4311A">
      <w:pPr>
        <w:pStyle w:val="Textoindependiente"/>
        <w:tabs>
          <w:tab w:val="clear" w:pos="0"/>
          <w:tab w:val="clear" w:pos="708"/>
          <w:tab w:val="left" w:pos="709"/>
        </w:tabs>
        <w:spacing w:line="360" w:lineRule="auto"/>
        <w:rPr>
          <w:rFonts w:ascii="Arial" w:hAnsi="Arial" w:cs="Arial"/>
          <w:sz w:val="16"/>
          <w:szCs w:val="22"/>
          <w:lang w:val="es-CO"/>
        </w:rPr>
      </w:pPr>
    </w:p>
    <w:p w:rsidR="00D4311A" w:rsidRPr="00556F7F" w:rsidRDefault="00D4311A" w:rsidP="00D4311A">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w:t>
      </w:r>
      <w:r w:rsidRPr="00556F7F">
        <w:rPr>
          <w:rFonts w:ascii="Arial" w:hAnsi="Arial" w:cs="Arial"/>
          <w:i/>
          <w:iCs/>
          <w:color w:val="000000"/>
        </w:rPr>
        <w:lastRenderedPageBreak/>
        <w:t>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D4311A" w:rsidRPr="00FE5FF3" w:rsidRDefault="00D4311A" w:rsidP="00D4311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D4311A" w:rsidRDefault="00D4311A" w:rsidP="00D4311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Refdenotaalpie"/>
          <w:rFonts w:ascii="Arial" w:hAnsi="Arial"/>
          <w:spacing w:val="-3"/>
          <w:szCs w:val="20"/>
          <w:lang w:val="es-ES_tradnl"/>
        </w:rPr>
        <w:footnoteReference w:id="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5"/>
      </w:r>
      <w:r>
        <w:rPr>
          <w:rFonts w:ascii="Arial" w:hAnsi="Arial" w:cs="Times New Roman"/>
          <w:spacing w:val="-3"/>
          <w:szCs w:val="20"/>
          <w:lang w:val="es-ES_tradnl"/>
        </w:rPr>
        <w:t>.</w:t>
      </w:r>
    </w:p>
    <w:p w:rsidR="00D4311A" w:rsidRPr="001971C0" w:rsidRDefault="00D4311A" w:rsidP="00D4311A">
      <w:pPr>
        <w:pStyle w:val="Textoindependiente"/>
        <w:spacing w:line="360" w:lineRule="auto"/>
        <w:rPr>
          <w:rFonts w:ascii="Arial" w:hAnsi="Arial"/>
          <w:sz w:val="20"/>
          <w:szCs w:val="24"/>
        </w:rPr>
      </w:pPr>
    </w:p>
    <w:p w:rsidR="00D4311A" w:rsidRDefault="00D4311A" w:rsidP="00D4311A">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7"/>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D4311A" w:rsidRDefault="00D4311A" w:rsidP="00D4311A">
      <w:pPr>
        <w:spacing w:line="360" w:lineRule="auto"/>
        <w:ind w:right="51"/>
        <w:jc w:val="both"/>
        <w:rPr>
          <w:rFonts w:ascii="Arial" w:hAnsi="Arial" w:cs="Arial"/>
          <w:sz w:val="22"/>
          <w:lang w:val="es-ES_tradnl"/>
        </w:rPr>
      </w:pPr>
    </w:p>
    <w:p w:rsidR="00D4311A" w:rsidRDefault="00D4311A" w:rsidP="00D4311A">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8"/>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D4311A" w:rsidRPr="001971C0" w:rsidRDefault="00D4311A" w:rsidP="00D4311A">
      <w:pPr>
        <w:pStyle w:val="Textoindependiente"/>
        <w:spacing w:line="360" w:lineRule="auto"/>
        <w:rPr>
          <w:rFonts w:ascii="Arial" w:hAnsi="Arial"/>
          <w:sz w:val="20"/>
          <w:szCs w:val="24"/>
        </w:rPr>
      </w:pPr>
    </w:p>
    <w:p w:rsidR="00D4311A" w:rsidRPr="00A4402B" w:rsidRDefault="00D4311A" w:rsidP="00D4311A">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D4311A" w:rsidRPr="00BD08A9" w:rsidRDefault="00D4311A" w:rsidP="00D4311A">
      <w:pPr>
        <w:pStyle w:val="Textoindependiente"/>
        <w:spacing w:line="360" w:lineRule="auto"/>
        <w:rPr>
          <w:rFonts w:ascii="Arial" w:hAnsi="Arial" w:cs="Arial"/>
          <w:i/>
          <w:szCs w:val="24"/>
          <w:lang w:val="es-ES"/>
        </w:rPr>
      </w:pPr>
    </w:p>
    <w:p w:rsidR="00D4311A" w:rsidRDefault="00D4311A" w:rsidP="00D4311A">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213DFC" w:rsidRPr="00213DFC" w:rsidRDefault="00213DFC" w:rsidP="00213DFC">
      <w:pPr>
        <w:pStyle w:val="Prrafodelista"/>
        <w:spacing w:line="360" w:lineRule="auto"/>
        <w:ind w:left="400"/>
        <w:jc w:val="both"/>
        <w:rPr>
          <w:rFonts w:ascii="Arial" w:hAnsi="Arial"/>
          <w:lang w:val="es-ES_tradnl"/>
        </w:rPr>
      </w:pPr>
    </w:p>
    <w:p w:rsidR="00213DFC" w:rsidRDefault="00213DFC" w:rsidP="00213DFC">
      <w:pPr>
        <w:pStyle w:val="Textoindependiente"/>
        <w:spacing w:line="360" w:lineRule="auto"/>
        <w:rPr>
          <w:rFonts w:ascii="Arial" w:hAnsi="Arial" w:cs="Arial"/>
        </w:rPr>
      </w:pPr>
      <w:r w:rsidRPr="00213DFC">
        <w:rPr>
          <w:rFonts w:ascii="Arial" w:hAnsi="Arial" w:cs="Arial"/>
          <w:szCs w:val="24"/>
        </w:rPr>
        <w:lastRenderedPageBreak/>
        <w:t>Fundamenta el actor su queja, y así lo concreta en sus pretensiones, en que el Juzgado accionado se negó a conceder la alzada contra la sentencia</w:t>
      </w:r>
      <w:r w:rsidR="00565D37">
        <w:rPr>
          <w:rFonts w:ascii="Arial" w:hAnsi="Arial" w:cs="Arial"/>
          <w:szCs w:val="24"/>
        </w:rPr>
        <w:t xml:space="preserve"> proferida </w:t>
      </w:r>
      <w:r w:rsidRPr="00213DFC">
        <w:rPr>
          <w:rFonts w:ascii="Arial" w:hAnsi="Arial" w:cs="Arial"/>
          <w:szCs w:val="24"/>
        </w:rPr>
        <w:t>en la acción popular radicada 2015-00057-00, en</w:t>
      </w:r>
      <w:r>
        <w:rPr>
          <w:rFonts w:ascii="Arial" w:hAnsi="Arial" w:cs="Arial"/>
          <w:szCs w:val="24"/>
        </w:rPr>
        <w:t xml:space="preserve"> el efecto “suspensivo”, incumpliendo así lo dispuesto</w:t>
      </w:r>
      <w:r>
        <w:rPr>
          <w:rFonts w:ascii="Arial" w:hAnsi="Arial" w:cs="Arial"/>
        </w:rPr>
        <w:t xml:space="preserve"> en la Ley 472.</w:t>
      </w:r>
    </w:p>
    <w:p w:rsidR="00213DFC" w:rsidRPr="00213DFC" w:rsidRDefault="00213DFC" w:rsidP="00213DFC">
      <w:pPr>
        <w:pStyle w:val="Prrafodelista"/>
        <w:spacing w:line="360" w:lineRule="auto"/>
        <w:ind w:left="400"/>
        <w:jc w:val="both"/>
        <w:rPr>
          <w:rFonts w:ascii="Arial" w:hAnsi="Arial" w:cs="Arial"/>
          <w:sz w:val="20"/>
          <w:lang w:val="es-ES_tradnl"/>
        </w:rPr>
      </w:pPr>
    </w:p>
    <w:p w:rsidR="00213DFC" w:rsidRDefault="00213DFC" w:rsidP="00213DFC">
      <w:pPr>
        <w:pStyle w:val="Textoindependiente"/>
        <w:spacing w:line="360" w:lineRule="auto"/>
        <w:rPr>
          <w:rFonts w:ascii="Arial" w:hAnsi="Arial"/>
          <w:szCs w:val="24"/>
        </w:rPr>
      </w:pPr>
      <w:r>
        <w:rPr>
          <w:rFonts w:ascii="Arial" w:hAnsi="Arial"/>
          <w:szCs w:val="24"/>
        </w:rPr>
        <w:t>Para esta Sala, no es del caso estudiar de fondo el asunto</w:t>
      </w:r>
      <w:r w:rsidR="00A175E7">
        <w:rPr>
          <w:rFonts w:ascii="Arial" w:hAnsi="Arial"/>
          <w:szCs w:val="24"/>
        </w:rPr>
        <w:t xml:space="preserve">, </w:t>
      </w:r>
      <w:r w:rsidR="00D52F79">
        <w:rPr>
          <w:rFonts w:ascii="Arial" w:hAnsi="Arial"/>
          <w:szCs w:val="24"/>
        </w:rPr>
        <w:t xml:space="preserve">puesto que previamente en la </w:t>
      </w:r>
      <w:r w:rsidR="00A175E7">
        <w:rPr>
          <w:rFonts w:ascii="Arial" w:hAnsi="Arial"/>
          <w:szCs w:val="24"/>
        </w:rPr>
        <w:t xml:space="preserve">acción </w:t>
      </w:r>
      <w:r>
        <w:rPr>
          <w:rFonts w:ascii="Arial" w:hAnsi="Arial"/>
          <w:szCs w:val="24"/>
        </w:rPr>
        <w:t xml:space="preserve">de tutela radicadas a los Nos.2017-00016-00 y 2017-00244-00, esta Corporación se pronunció, con sentencias que datan del 10-02-2017 y 30-03-2017 (Folios 80 a 83 y 87 a 91, ib.), confirmada la última en segunda instancia por la CSJ con la decisión STC6701-2017 del 10-05-2017 (Folios 92 a 96, ibídem), respecto de idéntica causa, pretensiones, derechos y partes, expuestos por el accionante. </w:t>
      </w:r>
    </w:p>
    <w:p w:rsidR="000806AC" w:rsidRDefault="000806AC" w:rsidP="00D4311A">
      <w:pPr>
        <w:pStyle w:val="Textoindependiente"/>
        <w:spacing w:line="360" w:lineRule="auto"/>
        <w:rPr>
          <w:rFonts w:ascii="Arial" w:hAnsi="Arial"/>
          <w:szCs w:val="24"/>
        </w:rPr>
      </w:pPr>
    </w:p>
    <w:p w:rsidR="007A16FA" w:rsidRDefault="00213DFC" w:rsidP="00D4311A">
      <w:pPr>
        <w:pStyle w:val="Textoindependiente"/>
        <w:spacing w:line="360" w:lineRule="auto"/>
        <w:rPr>
          <w:rFonts w:ascii="Arial" w:hAnsi="Arial"/>
          <w:szCs w:val="24"/>
        </w:rPr>
      </w:pPr>
      <w:r>
        <w:rPr>
          <w:rFonts w:ascii="Arial" w:hAnsi="Arial"/>
          <w:szCs w:val="24"/>
        </w:rPr>
        <w:t xml:space="preserve">En efecto, confrontados los hechos y peticiones de esta acción (Folios 1, ib.), con las providencias proferidas por esta Corporación en los amparos anunciados, el último con condena en costas al accionante, se advierte que </w:t>
      </w:r>
      <w:r w:rsidR="007A16FA">
        <w:rPr>
          <w:rFonts w:ascii="Arial" w:hAnsi="Arial"/>
          <w:szCs w:val="24"/>
        </w:rPr>
        <w:t xml:space="preserve">son inexistentes </w:t>
      </w:r>
      <w:r>
        <w:rPr>
          <w:rFonts w:ascii="Arial" w:hAnsi="Arial"/>
          <w:szCs w:val="24"/>
        </w:rPr>
        <w:t>hechos nuevos</w:t>
      </w:r>
      <w:r w:rsidR="007A16FA">
        <w:rPr>
          <w:rFonts w:ascii="Arial" w:hAnsi="Arial"/>
          <w:szCs w:val="24"/>
        </w:rPr>
        <w:t>. L</w:t>
      </w:r>
      <w:r w:rsidRPr="00356BF1">
        <w:rPr>
          <w:rFonts w:ascii="Arial" w:hAnsi="Arial"/>
          <w:szCs w:val="24"/>
        </w:rPr>
        <w:t xml:space="preserve">os supuestos fácticos </w:t>
      </w:r>
      <w:r>
        <w:rPr>
          <w:rFonts w:ascii="Arial" w:hAnsi="Arial"/>
          <w:szCs w:val="24"/>
        </w:rPr>
        <w:t>tiene</w:t>
      </w:r>
      <w:r w:rsidR="007A16FA">
        <w:rPr>
          <w:rFonts w:ascii="Arial" w:hAnsi="Arial"/>
          <w:szCs w:val="24"/>
        </w:rPr>
        <w:t>n</w:t>
      </w:r>
      <w:r>
        <w:rPr>
          <w:rFonts w:ascii="Arial" w:hAnsi="Arial"/>
          <w:szCs w:val="24"/>
        </w:rPr>
        <w:t xml:space="preserve"> relación directa con el recurso de apelación presentado en la acción popular </w:t>
      </w:r>
      <w:r w:rsidR="007A16FA">
        <w:rPr>
          <w:rFonts w:ascii="Arial" w:hAnsi="Arial"/>
          <w:szCs w:val="24"/>
        </w:rPr>
        <w:t>No.</w:t>
      </w:r>
      <w:r>
        <w:rPr>
          <w:rFonts w:ascii="Arial" w:hAnsi="Arial"/>
          <w:szCs w:val="24"/>
        </w:rPr>
        <w:t>2015-00057-00, declarado desierto por el despacho judicial (Folio 36, ib.)</w:t>
      </w:r>
      <w:r w:rsidR="007A16FA">
        <w:rPr>
          <w:rFonts w:ascii="Arial" w:hAnsi="Arial"/>
          <w:szCs w:val="24"/>
        </w:rPr>
        <w:t xml:space="preserve"> y </w:t>
      </w:r>
      <w:r>
        <w:rPr>
          <w:rFonts w:ascii="Arial" w:hAnsi="Arial"/>
          <w:szCs w:val="24"/>
        </w:rPr>
        <w:t>ya fueron analizados con anterioridad por este Tribunal</w:t>
      </w:r>
      <w:r w:rsidRPr="00356BF1">
        <w:rPr>
          <w:rFonts w:ascii="Arial" w:hAnsi="Arial"/>
          <w:szCs w:val="24"/>
        </w:rPr>
        <w:t>.</w:t>
      </w:r>
      <w:r w:rsidR="007A16FA">
        <w:rPr>
          <w:rFonts w:ascii="Arial" w:hAnsi="Arial"/>
          <w:szCs w:val="24"/>
        </w:rPr>
        <w:t xml:space="preserve"> </w:t>
      </w:r>
    </w:p>
    <w:p w:rsidR="007A16FA" w:rsidRDefault="007A16FA" w:rsidP="00D4311A">
      <w:pPr>
        <w:pStyle w:val="Textoindependiente"/>
        <w:spacing w:line="360" w:lineRule="auto"/>
        <w:rPr>
          <w:rFonts w:ascii="Arial" w:hAnsi="Arial"/>
          <w:szCs w:val="24"/>
        </w:rPr>
      </w:pPr>
    </w:p>
    <w:p w:rsidR="00D4311A" w:rsidRDefault="007A16FA" w:rsidP="00D4311A">
      <w:pPr>
        <w:pStyle w:val="Textoindependiente"/>
        <w:spacing w:line="360" w:lineRule="auto"/>
        <w:rPr>
          <w:rFonts w:ascii="Arial" w:hAnsi="Arial"/>
          <w:szCs w:val="24"/>
          <w:lang w:val="es-ES"/>
        </w:rPr>
      </w:pPr>
      <w:r>
        <w:rPr>
          <w:rFonts w:ascii="Arial" w:hAnsi="Arial"/>
          <w:szCs w:val="24"/>
        </w:rPr>
        <w:t xml:space="preserve">Aquí insiste en que debió concederse la apelación en el efecto suspensivo conforme al artículo 67 de la Ley 472, idéntica queja a la expuesta en el petitorio de tutela radicado al No.2017-00244-00 (Folio 87, ib.). </w:t>
      </w:r>
      <w:r w:rsidR="00D4311A" w:rsidRPr="009B7C08">
        <w:rPr>
          <w:rFonts w:ascii="Arial" w:hAnsi="Arial"/>
          <w:szCs w:val="24"/>
          <w:lang w:val="es-ES"/>
        </w:rPr>
        <w:t>En consecuencia, es claro que el presente amparo es improcedente por el acaecimiento del fenómeno de la cosa juzgada constitucional, y así se declarará.</w:t>
      </w:r>
    </w:p>
    <w:p w:rsidR="007A16FA" w:rsidRPr="00C454AE" w:rsidRDefault="007A16FA" w:rsidP="00D4311A">
      <w:pPr>
        <w:pStyle w:val="Textoindependiente"/>
        <w:spacing w:line="360" w:lineRule="auto"/>
        <w:rPr>
          <w:rFonts w:ascii="Arial" w:hAnsi="Arial"/>
          <w:sz w:val="28"/>
          <w:szCs w:val="24"/>
          <w:lang w:val="es-ES"/>
        </w:rPr>
      </w:pPr>
    </w:p>
    <w:p w:rsidR="00D4311A" w:rsidRDefault="00D4311A" w:rsidP="00D4311A">
      <w:pPr>
        <w:pStyle w:val="Textoindependiente"/>
        <w:spacing w:line="360" w:lineRule="auto"/>
        <w:rPr>
          <w:rFonts w:ascii="Arial" w:hAnsi="Arial"/>
          <w:szCs w:val="24"/>
          <w:lang w:val="es-ES"/>
        </w:rPr>
      </w:pPr>
      <w:r w:rsidRPr="00515CCF">
        <w:rPr>
          <w:rFonts w:ascii="Arial" w:hAnsi="Arial"/>
          <w:szCs w:val="24"/>
          <w:lang w:val="es-ES"/>
        </w:rPr>
        <w:t xml:space="preserve">Además de lo dicho, también advierte esta colegiatura que debe sancionarse </w:t>
      </w:r>
      <w:r>
        <w:rPr>
          <w:rFonts w:ascii="Arial" w:hAnsi="Arial"/>
          <w:szCs w:val="24"/>
          <w:lang w:val="es-ES"/>
        </w:rPr>
        <w:t xml:space="preserve">al accionante </w:t>
      </w:r>
      <w:r w:rsidRPr="00515CCF">
        <w:rPr>
          <w:rFonts w:ascii="Arial" w:hAnsi="Arial"/>
          <w:szCs w:val="24"/>
          <w:lang w:val="es-ES"/>
        </w:rPr>
        <w:t xml:space="preserve">por </w:t>
      </w:r>
      <w:r>
        <w:rPr>
          <w:rFonts w:ascii="Arial" w:hAnsi="Arial"/>
          <w:szCs w:val="24"/>
          <w:lang w:val="es-ES"/>
        </w:rPr>
        <w:t>su actuar temerario</w:t>
      </w:r>
      <w:r w:rsidRPr="00515CCF">
        <w:rPr>
          <w:rFonts w:ascii="Arial" w:hAnsi="Arial"/>
          <w:szCs w:val="24"/>
          <w:lang w:val="es-ES"/>
        </w:rPr>
        <w:t xml:space="preserve">, porque es evidente el </w:t>
      </w:r>
      <w:r>
        <w:rPr>
          <w:rFonts w:ascii="Arial" w:hAnsi="Arial"/>
          <w:szCs w:val="24"/>
          <w:lang w:val="es-ES"/>
        </w:rPr>
        <w:t xml:space="preserve">abuso </w:t>
      </w:r>
      <w:r w:rsidRPr="00515CCF">
        <w:rPr>
          <w:rFonts w:ascii="Arial" w:hAnsi="Arial"/>
          <w:szCs w:val="24"/>
          <w:lang w:val="es-ES"/>
        </w:rPr>
        <w:t xml:space="preserve">de la acción de tutela con el fin de lograr a toda costa la protección de sus derechos fundamentales; la incesante promoción de amparos no da lugar sino a entender que pretende lograr fortuitamente la prosperidad </w:t>
      </w:r>
      <w:r>
        <w:rPr>
          <w:rFonts w:ascii="Arial" w:hAnsi="Arial"/>
          <w:szCs w:val="24"/>
          <w:lang w:val="es-ES"/>
        </w:rPr>
        <w:t>de sus pretensiones</w:t>
      </w:r>
      <w:r w:rsidRPr="00515CCF">
        <w:rPr>
          <w:rFonts w:ascii="Arial" w:hAnsi="Arial"/>
          <w:szCs w:val="24"/>
          <w:lang w:val="es-ES"/>
        </w:rPr>
        <w:t>.</w:t>
      </w:r>
      <w:r>
        <w:rPr>
          <w:rFonts w:ascii="Arial" w:hAnsi="Arial"/>
          <w:szCs w:val="24"/>
          <w:lang w:val="es-ES"/>
        </w:rPr>
        <w:t xml:space="preserve"> </w:t>
      </w:r>
    </w:p>
    <w:p w:rsidR="00D4311A" w:rsidRPr="00C454AE" w:rsidRDefault="00D4311A" w:rsidP="00D4311A">
      <w:pPr>
        <w:pStyle w:val="Textoindependiente"/>
        <w:spacing w:line="360" w:lineRule="auto"/>
        <w:rPr>
          <w:rFonts w:ascii="Arial" w:hAnsi="Arial"/>
          <w:szCs w:val="24"/>
          <w:lang w:val="es-ES"/>
        </w:rPr>
      </w:pPr>
    </w:p>
    <w:p w:rsidR="00D4311A" w:rsidRPr="00515CCF" w:rsidRDefault="00D4311A" w:rsidP="00D4311A">
      <w:pPr>
        <w:pStyle w:val="Textoindependiente"/>
        <w:spacing w:line="360" w:lineRule="auto"/>
        <w:rPr>
          <w:rFonts w:ascii="Arial" w:hAnsi="Arial" w:cs="Arial"/>
          <w:szCs w:val="24"/>
        </w:rPr>
      </w:pPr>
      <w:r>
        <w:rPr>
          <w:rFonts w:ascii="Arial" w:hAnsi="Arial"/>
          <w:szCs w:val="24"/>
          <w:lang w:val="es-ES"/>
        </w:rPr>
        <w:t xml:space="preserve">Cabe acotar que </w:t>
      </w:r>
      <w:r w:rsidR="007A16FA">
        <w:rPr>
          <w:rFonts w:ascii="Arial" w:hAnsi="Arial"/>
          <w:szCs w:val="24"/>
          <w:lang w:val="es-ES"/>
        </w:rPr>
        <w:t xml:space="preserve">su </w:t>
      </w:r>
      <w:r>
        <w:rPr>
          <w:rFonts w:ascii="Arial" w:hAnsi="Arial"/>
          <w:szCs w:val="24"/>
          <w:lang w:val="es-ES"/>
        </w:rPr>
        <w:t xml:space="preserve">actividad no se encuadra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Refdenotaalpie"/>
          <w:rFonts w:ascii="Arial" w:hAnsi="Arial"/>
          <w:szCs w:val="22"/>
        </w:rPr>
        <w:footnoteReference w:id="9"/>
      </w:r>
      <w:r>
        <w:rPr>
          <w:rFonts w:ascii="Arial" w:hAnsi="Arial" w:cs="Arial"/>
          <w:szCs w:val="22"/>
        </w:rPr>
        <w:t>.</w:t>
      </w:r>
      <w:r>
        <w:rPr>
          <w:rFonts w:ascii="Arial" w:hAnsi="Arial"/>
          <w:szCs w:val="24"/>
          <w:lang w:val="es-ES"/>
        </w:rPr>
        <w:t xml:space="preserve"> En efecto, es un asiduo usuario de la administración de justicia, por lo que </w:t>
      </w:r>
      <w:r>
        <w:rPr>
          <w:rFonts w:ascii="Arial" w:hAnsi="Arial"/>
          <w:szCs w:val="24"/>
          <w:lang w:val="es-CO"/>
        </w:rPr>
        <w:t xml:space="preserve">es impreciso </w:t>
      </w:r>
      <w:r>
        <w:rPr>
          <w:rFonts w:ascii="Arial" w:hAnsi="Arial"/>
          <w:szCs w:val="24"/>
          <w:lang w:val="es-ES"/>
        </w:rPr>
        <w:t xml:space="preserve">considerarlo ignorante de las repercusiones de promover repetidas peticiones de amparo; tampoco se encuentra en estado de vulnerabilidad o indefensión, ni obra por miedo insuperable o necesidad extrema; el petitorio jamás se presentó con ocasión </w:t>
      </w:r>
      <w:r>
        <w:rPr>
          <w:rFonts w:ascii="Arial" w:hAnsi="Arial"/>
          <w:szCs w:val="24"/>
          <w:lang w:val="es-ES"/>
        </w:rPr>
        <w:lastRenderedPageBreak/>
        <w:t xml:space="preserve">de un asesoramiento equivocado; inexisten hechos nuevos; y, menos se ha proferido sentencia unificadora que dé lugar a la interposición de la misma tutela. </w:t>
      </w:r>
    </w:p>
    <w:p w:rsidR="00D4311A" w:rsidRPr="00515CCF" w:rsidRDefault="00D4311A" w:rsidP="00D4311A">
      <w:pPr>
        <w:pStyle w:val="Textoindependiente"/>
        <w:spacing w:line="360" w:lineRule="auto"/>
        <w:rPr>
          <w:rFonts w:ascii="Arial" w:hAnsi="Arial" w:cs="Arial"/>
          <w:szCs w:val="24"/>
        </w:rPr>
      </w:pPr>
    </w:p>
    <w:p w:rsidR="00D4311A" w:rsidRPr="00515CCF" w:rsidRDefault="00D4311A" w:rsidP="00D4311A">
      <w:pPr>
        <w:spacing w:line="360" w:lineRule="auto"/>
        <w:jc w:val="both"/>
        <w:rPr>
          <w:rFonts w:ascii="Arial" w:hAnsi="Arial"/>
        </w:rPr>
      </w:pPr>
      <w:r w:rsidRPr="00515CCF">
        <w:rPr>
          <w:rFonts w:ascii="Arial" w:hAnsi="Arial"/>
        </w:rPr>
        <w:t>Ha dicho la CC</w:t>
      </w:r>
      <w:r w:rsidRPr="00515CCF">
        <w:rPr>
          <w:rStyle w:val="Refdenotaalpie"/>
          <w:rFonts w:ascii="Arial" w:hAnsi="Arial"/>
        </w:rPr>
        <w:footnoteReference w:id="10"/>
      </w:r>
      <w:r w:rsidRPr="00515CCF">
        <w:rPr>
          <w:rFonts w:ascii="Arial" w:hAnsi="Arial"/>
        </w:rPr>
        <w:t xml:space="preserve"> que para declarar la existencia de la temeridad se debe verificar la existencia de alguna de las siguientes situaciones:</w:t>
      </w:r>
    </w:p>
    <w:p w:rsidR="00D4311A" w:rsidRPr="000848B7" w:rsidRDefault="00D4311A" w:rsidP="00D4311A">
      <w:pPr>
        <w:ind w:left="567" w:right="567"/>
        <w:jc w:val="both"/>
        <w:rPr>
          <w:rFonts w:ascii="Arial" w:hAnsi="Arial" w:cs="Arial"/>
          <w:b/>
          <w:bCs/>
          <w:sz w:val="2"/>
          <w:szCs w:val="22"/>
        </w:rPr>
      </w:pPr>
    </w:p>
    <w:p w:rsidR="00D4311A" w:rsidRPr="00B46365" w:rsidRDefault="00D4311A" w:rsidP="00D4311A">
      <w:pPr>
        <w:ind w:left="567" w:right="567"/>
        <w:jc w:val="both"/>
        <w:rPr>
          <w:rFonts w:ascii="Arial" w:hAnsi="Arial" w:cs="Arial"/>
          <w:b/>
          <w:bCs/>
          <w:sz w:val="28"/>
        </w:rPr>
      </w:pPr>
    </w:p>
    <w:p w:rsidR="00D4311A" w:rsidRPr="00F2155F" w:rsidRDefault="00D4311A" w:rsidP="00D4311A">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11"/>
      </w:r>
      <w:r w:rsidRPr="00F2155F">
        <w:rPr>
          <w:rFonts w:ascii="Arial" w:hAnsi="Arial" w:cs="Arial"/>
        </w:rPr>
        <w:t>-,  para sancionar pecuniariamente a los responsables</w:t>
      </w:r>
      <w:r w:rsidRPr="00F2155F">
        <w:rPr>
          <w:rStyle w:val="Refdenotaalpie"/>
          <w:rFonts w:ascii="Arial" w:hAnsi="Arial" w:cs="Arial"/>
        </w:rPr>
        <w:footnoteReference w:id="12"/>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Refdenotaalpie"/>
          <w:rFonts w:ascii="Arial" w:hAnsi="Arial" w:cs="Arial"/>
        </w:rPr>
        <w:footnoteReference w:id="13"/>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14"/>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Refdenotaalpie"/>
          <w:rFonts w:ascii="Arial" w:hAnsi="Arial" w:cs="Arial"/>
          <w:u w:val="single"/>
        </w:rPr>
        <w:footnoteReference w:id="15"/>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Refdenotaalpie"/>
          <w:rFonts w:ascii="Arial" w:hAnsi="Arial" w:cs="Arial"/>
        </w:rPr>
        <w:footnoteReference w:id="16"/>
      </w:r>
      <w:r w:rsidRPr="00F2155F">
        <w:rPr>
          <w:rFonts w:ascii="Arial" w:hAnsi="Arial" w:cs="Arial"/>
          <w:i/>
          <w:iCs/>
        </w:rPr>
        <w:t>.</w:t>
      </w:r>
      <w:r w:rsidRPr="00F2155F">
        <w:rPr>
          <w:rFonts w:ascii="Arial" w:hAnsi="Arial" w:cs="Arial"/>
          <w:iCs/>
        </w:rPr>
        <w:t xml:space="preserve">  El resaltado es propio de esta Colegiatura.</w:t>
      </w:r>
    </w:p>
    <w:p w:rsidR="00D4311A" w:rsidRPr="00B46365" w:rsidRDefault="00D4311A" w:rsidP="00D4311A">
      <w:pPr>
        <w:spacing w:line="360" w:lineRule="auto"/>
        <w:ind w:right="51"/>
        <w:jc w:val="both"/>
        <w:rPr>
          <w:rFonts w:ascii="Arial" w:hAnsi="Arial"/>
          <w:sz w:val="28"/>
        </w:rPr>
      </w:pPr>
    </w:p>
    <w:p w:rsidR="00BA4E2F" w:rsidRDefault="00D4311A" w:rsidP="00BA4E2F">
      <w:pPr>
        <w:pStyle w:val="Textoindependiente"/>
        <w:tabs>
          <w:tab w:val="clear" w:pos="708"/>
        </w:tabs>
        <w:spacing w:line="360" w:lineRule="auto"/>
        <w:rPr>
          <w:rFonts w:ascii="Arial" w:hAnsi="Arial" w:cs="Arial"/>
          <w:lang w:val="es-CO"/>
        </w:rPr>
      </w:pPr>
      <w:r>
        <w:rPr>
          <w:rFonts w:ascii="Arial" w:hAnsi="Arial"/>
        </w:rPr>
        <w:t xml:space="preserve">Así las cosas, en aplicación del inciso 3º del artículo 25 del Decreto 2591 de 1991, se condenará en </w:t>
      </w:r>
      <w:r w:rsidRPr="009C0048">
        <w:rPr>
          <w:rFonts w:ascii="Arial" w:hAnsi="Arial"/>
          <w:i/>
        </w:rPr>
        <w:t>“costas”</w:t>
      </w:r>
      <w:r>
        <w:rPr>
          <w:rStyle w:val="Refdenotaalpie"/>
          <w:rFonts w:ascii="Arial" w:hAnsi="Arial"/>
        </w:rPr>
        <w:footnoteReference w:id="17"/>
      </w:r>
      <w:r>
        <w:rPr>
          <w:rFonts w:ascii="Arial" w:hAnsi="Arial"/>
        </w:rPr>
        <w:t xml:space="preserve"> al señor Javier Elías Arias </w:t>
      </w:r>
      <w:proofErr w:type="spellStart"/>
      <w:r>
        <w:rPr>
          <w:rFonts w:ascii="Arial" w:hAnsi="Arial"/>
        </w:rPr>
        <w:t>Idárraga</w:t>
      </w:r>
      <w:proofErr w:type="spellEnd"/>
      <w:r>
        <w:rPr>
          <w:rFonts w:ascii="Arial" w:hAnsi="Arial"/>
        </w:rPr>
        <w:t>, identificado con la cédula de ciudadanía No.10.141.947,</w:t>
      </w:r>
      <w:r w:rsidRPr="00F81437">
        <w:rPr>
          <w:rFonts w:ascii="Arial" w:hAnsi="Arial" w:cs="Arial"/>
        </w:rPr>
        <w:t xml:space="preserve"> </w:t>
      </w:r>
      <w:r>
        <w:rPr>
          <w:rFonts w:ascii="Arial" w:hAnsi="Arial"/>
        </w:rPr>
        <w:t xml:space="preserve">a favor del Consejo Superior de la Judicatura, en una cuantía equivalente a un (1) </w:t>
      </w:r>
      <w:proofErr w:type="spellStart"/>
      <w:r>
        <w:rPr>
          <w:rFonts w:ascii="Arial" w:hAnsi="Arial"/>
        </w:rPr>
        <w:t>smmlv</w:t>
      </w:r>
      <w:proofErr w:type="spellEnd"/>
      <w:r>
        <w:rPr>
          <w:rFonts w:ascii="Arial" w:hAnsi="Arial"/>
        </w:rPr>
        <w:t xml:space="preserve">, que deberá pagar en un término de tres (3) días, en la </w:t>
      </w:r>
      <w:r w:rsidR="00BA4E2F">
        <w:rPr>
          <w:rFonts w:ascii="Arial" w:hAnsi="Arial"/>
        </w:rPr>
        <w:t xml:space="preserve">cuenta </w:t>
      </w:r>
      <w:r w:rsidR="00BA4E2F" w:rsidRPr="005A0F6C">
        <w:rPr>
          <w:rFonts w:ascii="Arial" w:hAnsi="Arial" w:cs="Arial"/>
          <w:i/>
        </w:rPr>
        <w:t xml:space="preserve">“CSJ - MULTAS Y SUS RENDIMIENTOS – </w:t>
      </w:r>
      <w:proofErr w:type="spellStart"/>
      <w:r w:rsidR="00BA4E2F" w:rsidRPr="005A0F6C">
        <w:rPr>
          <w:rFonts w:ascii="Arial" w:hAnsi="Arial" w:cs="Arial"/>
          <w:i/>
        </w:rPr>
        <w:t>CUN</w:t>
      </w:r>
      <w:proofErr w:type="spellEnd"/>
      <w:r w:rsidR="00BA4E2F" w:rsidRPr="005A0F6C">
        <w:rPr>
          <w:rFonts w:ascii="Arial" w:hAnsi="Arial" w:cs="Arial"/>
          <w:i/>
        </w:rPr>
        <w:t>”</w:t>
      </w:r>
      <w:r w:rsidR="00BA4E2F" w:rsidRPr="00E56157">
        <w:rPr>
          <w:rFonts w:ascii="Arial" w:hAnsi="Arial" w:cs="Arial"/>
        </w:rPr>
        <w:t xml:space="preserve"> No.</w:t>
      </w:r>
      <w:r w:rsidR="00BA4E2F" w:rsidRPr="005A0F6C">
        <w:rPr>
          <w:rFonts w:ascii="Arial" w:hAnsi="Arial" w:cs="Arial"/>
        </w:rPr>
        <w:t>3-0820-000640-8</w:t>
      </w:r>
      <w:r w:rsidR="00BA4E2F">
        <w:rPr>
          <w:rFonts w:ascii="Arial" w:hAnsi="Arial" w:cs="Arial"/>
        </w:rPr>
        <w:t xml:space="preserve"> </w:t>
      </w:r>
      <w:r w:rsidR="00BA4E2F" w:rsidRPr="00E56157">
        <w:rPr>
          <w:rFonts w:ascii="Arial" w:hAnsi="Arial" w:cs="Arial"/>
        </w:rPr>
        <w:t>del Banco Agrario</w:t>
      </w:r>
      <w:r w:rsidR="00BA4E2F">
        <w:rPr>
          <w:rFonts w:ascii="Arial" w:hAnsi="Arial" w:cs="Arial"/>
        </w:rPr>
        <w:t xml:space="preserve"> de Colombia </w:t>
      </w:r>
      <w:proofErr w:type="spellStart"/>
      <w:r w:rsidR="00BA4E2F">
        <w:rPr>
          <w:rFonts w:ascii="Arial" w:hAnsi="Arial" w:cs="Arial"/>
        </w:rPr>
        <w:t>SA</w:t>
      </w:r>
      <w:proofErr w:type="spellEnd"/>
      <w:r>
        <w:rPr>
          <w:rFonts w:ascii="Arial" w:hAnsi="Arial"/>
        </w:rPr>
        <w:t xml:space="preserve">, y en caso </w:t>
      </w:r>
      <w:r>
        <w:rPr>
          <w:rFonts w:ascii="Arial" w:hAnsi="Arial" w:cs="Arial"/>
          <w:lang w:val="es-CO"/>
        </w:rPr>
        <w:t>de no pagar</w:t>
      </w:r>
      <w:r w:rsidRPr="001F02C2">
        <w:rPr>
          <w:rFonts w:ascii="Arial" w:hAnsi="Arial" w:cs="Arial"/>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lang w:val="es-CO"/>
        </w:rPr>
        <w:t xml:space="preserve"> (</w:t>
      </w:r>
      <w:r w:rsidR="00BA4E2F">
        <w:rPr>
          <w:rFonts w:ascii="Arial" w:hAnsi="Arial" w:cs="Arial"/>
          <w:szCs w:val="28"/>
          <w:lang w:val="es-CO"/>
        </w:rPr>
        <w:t xml:space="preserve">, </w:t>
      </w:r>
      <w:r w:rsidR="00BA4E2F">
        <w:rPr>
          <w:rFonts w:ascii="Arial" w:hAnsi="Arial" w:cs="Arial"/>
          <w:szCs w:val="24"/>
          <w:lang w:val="es-CO"/>
        </w:rPr>
        <w:t>Acuerdo No.</w:t>
      </w:r>
      <w:r w:rsidR="00BA4E2F" w:rsidRPr="001F02C2">
        <w:rPr>
          <w:rFonts w:ascii="Arial" w:hAnsi="Arial" w:cs="Arial"/>
          <w:szCs w:val="24"/>
          <w:lang w:val="es-CO"/>
        </w:rPr>
        <w:t>PSAA10-6979 de 2010</w:t>
      </w:r>
      <w:r w:rsidR="00BA4E2F">
        <w:rPr>
          <w:rFonts w:ascii="Arial" w:hAnsi="Arial" w:cs="Arial"/>
          <w:szCs w:val="24"/>
          <w:lang w:val="es-CO"/>
        </w:rPr>
        <w:t xml:space="preserve"> de la </w:t>
      </w:r>
      <w:r w:rsidR="00BA4E2F" w:rsidRPr="001F02C2">
        <w:rPr>
          <w:rFonts w:ascii="Arial" w:hAnsi="Arial" w:cs="Arial"/>
          <w:szCs w:val="24"/>
          <w:lang w:val="es-CO"/>
        </w:rPr>
        <w:t>Sala Administr</w:t>
      </w:r>
      <w:r w:rsidR="00BA4E2F">
        <w:rPr>
          <w:rFonts w:ascii="Arial" w:hAnsi="Arial" w:cs="Arial"/>
          <w:szCs w:val="24"/>
          <w:lang w:val="es-CO"/>
        </w:rPr>
        <w:t>ativa del CSJ y Circular No.DEAJC15-61 de 23-11-2015 de la Dirección Ejecutiva de Administración Judicial</w:t>
      </w:r>
      <w:r w:rsidR="00BA4E2F">
        <w:rPr>
          <w:rFonts w:ascii="Arial" w:hAnsi="Arial" w:cs="Arial"/>
          <w:szCs w:val="28"/>
          <w:lang w:val="es-CO"/>
        </w:rPr>
        <w:t>).</w:t>
      </w:r>
      <w:r w:rsidRPr="001F02C2">
        <w:rPr>
          <w:rFonts w:ascii="Arial" w:hAnsi="Arial" w:cs="Arial"/>
          <w:lang w:val="es-CO"/>
        </w:rPr>
        <w:t xml:space="preserve"> </w:t>
      </w:r>
    </w:p>
    <w:p w:rsidR="00BA4E2F" w:rsidRDefault="00BA4E2F" w:rsidP="00BA4E2F">
      <w:pPr>
        <w:pStyle w:val="Textoindependiente"/>
        <w:tabs>
          <w:tab w:val="clear" w:pos="708"/>
        </w:tabs>
        <w:spacing w:line="360" w:lineRule="auto"/>
        <w:rPr>
          <w:rFonts w:ascii="Arial" w:hAnsi="Arial" w:cs="Arial"/>
          <w:lang w:val="es-CO"/>
        </w:rPr>
      </w:pPr>
    </w:p>
    <w:p w:rsidR="00D4311A" w:rsidRDefault="00D4311A" w:rsidP="00BA4E2F">
      <w:pPr>
        <w:pStyle w:val="Textoindependiente"/>
        <w:tabs>
          <w:tab w:val="clear" w:pos="708"/>
        </w:tabs>
        <w:spacing w:line="360" w:lineRule="auto"/>
        <w:rPr>
          <w:rFonts w:ascii="Arial" w:hAnsi="Arial" w:cs="Arial"/>
          <w:lang w:val="es-CO"/>
        </w:rPr>
      </w:pPr>
      <w:r>
        <w:rPr>
          <w:rFonts w:ascii="Arial" w:hAnsi="Arial" w:cs="Arial"/>
          <w:lang w:val="es-CO"/>
        </w:rPr>
        <w:lastRenderedPageBreak/>
        <w:t xml:space="preserve">En el petitorio de tutela no reportó dirección física para notificaciones, pero informó que las recibiría en el correo electrónico </w:t>
      </w:r>
      <w:hyperlink r:id="rId9" w:history="1">
        <w:r w:rsidRPr="009C0048">
          <w:rPr>
            <w:rStyle w:val="Hipervnculo"/>
            <w:rFonts w:ascii="Arial" w:hAnsi="Arial" w:cs="Arial"/>
            <w:color w:val="000000" w:themeColor="text1"/>
            <w:u w:val="none"/>
            <w:lang w:val="es-CO"/>
          </w:rPr>
          <w:t>dinosaurio013@hotmail.com</w:t>
        </w:r>
      </w:hyperlink>
      <w:r w:rsidRPr="009C0048">
        <w:rPr>
          <w:rFonts w:ascii="Arial" w:hAnsi="Arial" w:cs="Arial"/>
          <w:color w:val="000000" w:themeColor="text1"/>
          <w:lang w:val="es-CO"/>
        </w:rPr>
        <w:t xml:space="preserve"> </w:t>
      </w:r>
      <w:r>
        <w:rPr>
          <w:rFonts w:ascii="Arial" w:hAnsi="Arial" w:cs="Arial"/>
          <w:lang w:val="es-CO"/>
        </w:rPr>
        <w:t>(</w:t>
      </w:r>
      <w:r>
        <w:rPr>
          <w:rFonts w:ascii="Arial" w:hAnsi="Arial" w:cs="Arial"/>
        </w:rPr>
        <w:t xml:space="preserve">Circular </w:t>
      </w:r>
      <w:r w:rsidRPr="00D54CD1">
        <w:rPr>
          <w:rFonts w:ascii="Arial" w:hAnsi="Arial" w:cs="Arial"/>
        </w:rPr>
        <w:t>DESAJPEC17-3</w:t>
      </w:r>
      <w:r>
        <w:rPr>
          <w:rFonts w:ascii="Arial" w:hAnsi="Arial" w:cs="Arial"/>
        </w:rPr>
        <w:t xml:space="preserve"> de 16-03-2017)</w:t>
      </w:r>
      <w:r w:rsidRPr="006722D7">
        <w:rPr>
          <w:rFonts w:ascii="Arial" w:hAnsi="Arial" w:cs="Arial"/>
          <w:lang w:val="es-CO"/>
        </w:rPr>
        <w:t>.</w:t>
      </w:r>
      <w:r>
        <w:rPr>
          <w:rFonts w:ascii="Arial" w:hAnsi="Arial" w:cs="Arial"/>
          <w:lang w:val="es-CO"/>
        </w:rPr>
        <w:t xml:space="preserve"> </w:t>
      </w:r>
    </w:p>
    <w:p w:rsidR="00D4311A" w:rsidRDefault="00D4311A" w:rsidP="00D4311A">
      <w:pPr>
        <w:spacing w:line="360" w:lineRule="auto"/>
        <w:ind w:right="51"/>
        <w:jc w:val="both"/>
        <w:rPr>
          <w:rFonts w:ascii="Arial" w:hAnsi="Arial"/>
          <w:lang w:val="es-CO"/>
        </w:rPr>
      </w:pPr>
    </w:p>
    <w:p w:rsidR="00D52F79" w:rsidRDefault="00D52F79" w:rsidP="00D4311A">
      <w:pPr>
        <w:spacing w:line="360" w:lineRule="auto"/>
        <w:ind w:right="51"/>
        <w:jc w:val="both"/>
        <w:rPr>
          <w:rFonts w:ascii="Arial" w:hAnsi="Arial"/>
          <w:lang w:val="es-CO"/>
        </w:rPr>
      </w:pPr>
      <w:r>
        <w:rPr>
          <w:rFonts w:ascii="Arial" w:hAnsi="Arial"/>
          <w:lang w:val="es-CO"/>
        </w:rPr>
        <w:t xml:space="preserve">Asimismo, se ordenará remitir copias de estas diligencias con destino a la Fiscalía General de la Nación, a efectos de que investigue la presunta conducta de falso testimonio en que incurrió el señor Javier </w:t>
      </w:r>
      <w:proofErr w:type="spellStart"/>
      <w:r>
        <w:rPr>
          <w:rFonts w:ascii="Arial" w:hAnsi="Arial"/>
          <w:lang w:val="es-CO"/>
        </w:rPr>
        <w:t>Elìas</w:t>
      </w:r>
      <w:proofErr w:type="spellEnd"/>
      <w:r>
        <w:rPr>
          <w:rFonts w:ascii="Arial" w:hAnsi="Arial"/>
          <w:lang w:val="es-CO"/>
        </w:rPr>
        <w:t xml:space="preserve"> Arias </w:t>
      </w:r>
      <w:proofErr w:type="spellStart"/>
      <w:r>
        <w:rPr>
          <w:rFonts w:ascii="Arial" w:hAnsi="Arial"/>
          <w:lang w:val="es-CO"/>
        </w:rPr>
        <w:t>Idárraga</w:t>
      </w:r>
      <w:proofErr w:type="spellEnd"/>
      <w:r>
        <w:rPr>
          <w:rFonts w:ascii="Arial" w:hAnsi="Arial"/>
          <w:lang w:val="es-CO"/>
        </w:rPr>
        <w:t xml:space="preserve">  al promover este amparo constitucional (Artículo 37, Decreto 2591 de 1991).</w:t>
      </w:r>
    </w:p>
    <w:p w:rsidR="00D52F79" w:rsidRPr="003D5BBF" w:rsidRDefault="00D52F79" w:rsidP="00D4311A">
      <w:pPr>
        <w:spacing w:line="360" w:lineRule="auto"/>
        <w:ind w:right="51"/>
        <w:jc w:val="both"/>
        <w:rPr>
          <w:rFonts w:ascii="Arial" w:hAnsi="Arial"/>
          <w:lang w:val="es-CO"/>
        </w:rPr>
      </w:pPr>
    </w:p>
    <w:p w:rsidR="00D4311A" w:rsidRDefault="00D4311A" w:rsidP="007173CB">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D4311A" w:rsidRPr="00C40F50" w:rsidRDefault="00D4311A" w:rsidP="00D4311A">
      <w:pPr>
        <w:pStyle w:val="Textoindependiente"/>
        <w:spacing w:line="360" w:lineRule="auto"/>
        <w:ind w:left="585"/>
        <w:rPr>
          <w:rFonts w:ascii="Arial" w:hAnsi="Arial"/>
          <w:szCs w:val="24"/>
        </w:rPr>
      </w:pPr>
    </w:p>
    <w:p w:rsidR="00D4311A" w:rsidRPr="009D4B58" w:rsidRDefault="00D4311A" w:rsidP="00D431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D4B58">
        <w:rPr>
          <w:rFonts w:ascii="Arial" w:hAnsi="Arial" w:cs="Arial"/>
        </w:rPr>
        <w:t xml:space="preserve">Con fundamento en las consideraciones expuestas (i) Se </w:t>
      </w:r>
      <w:r w:rsidR="007173CB">
        <w:rPr>
          <w:rFonts w:ascii="Arial" w:hAnsi="Arial" w:cs="Arial"/>
        </w:rPr>
        <w:t>declarará improcedente</w:t>
      </w:r>
      <w:r>
        <w:rPr>
          <w:rFonts w:ascii="Arial" w:hAnsi="Arial" w:cs="Arial"/>
        </w:rPr>
        <w:t xml:space="preserve"> </w:t>
      </w:r>
      <w:r w:rsidRPr="009D4B58">
        <w:rPr>
          <w:rFonts w:ascii="Arial" w:hAnsi="Arial" w:cs="Arial"/>
        </w:rPr>
        <w:t>el amparo constitucional frente al Juzgado</w:t>
      </w:r>
      <w:r w:rsidR="007173CB">
        <w:rPr>
          <w:rFonts w:ascii="Arial" w:hAnsi="Arial" w:cs="Arial"/>
        </w:rPr>
        <w:t xml:space="preserve"> Cuarto Civil del Circuito de Pereira</w:t>
      </w:r>
      <w:r w:rsidRPr="009D4B58">
        <w:rPr>
          <w:rFonts w:ascii="Arial" w:hAnsi="Arial" w:cs="Arial"/>
        </w:rPr>
        <w:t>; y, (</w:t>
      </w:r>
      <w:r w:rsidR="00BA4E2F">
        <w:rPr>
          <w:rFonts w:ascii="Arial" w:hAnsi="Arial" w:cs="Arial"/>
        </w:rPr>
        <w:t>ii</w:t>
      </w:r>
      <w:r w:rsidRPr="009D4B58">
        <w:rPr>
          <w:rFonts w:ascii="Arial" w:hAnsi="Arial" w:cs="Arial"/>
        </w:rPr>
        <w:t>) Se condenará en costas a cargo del actor, conforme lo expuesto.</w:t>
      </w:r>
    </w:p>
    <w:p w:rsidR="00D4311A" w:rsidRPr="009D4B58" w:rsidRDefault="00D4311A" w:rsidP="00D4311A">
      <w:pPr>
        <w:pStyle w:val="Textoindependiente"/>
        <w:spacing w:line="360" w:lineRule="auto"/>
        <w:rPr>
          <w:rFonts w:ascii="Arial" w:hAnsi="Arial" w:cs="Arial"/>
          <w:szCs w:val="24"/>
          <w:lang w:val="es-ES"/>
        </w:rPr>
      </w:pPr>
    </w:p>
    <w:p w:rsidR="00D4311A" w:rsidRDefault="00D4311A" w:rsidP="00D4311A">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D4311A" w:rsidRDefault="00D4311A" w:rsidP="00D4311A">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D4311A" w:rsidRDefault="00D4311A" w:rsidP="00D4311A">
      <w:pPr>
        <w:pStyle w:val="Textoindependiente"/>
        <w:tabs>
          <w:tab w:val="clear" w:pos="708"/>
          <w:tab w:val="num" w:pos="720"/>
        </w:tabs>
        <w:spacing w:line="360" w:lineRule="auto"/>
        <w:ind w:left="426"/>
        <w:rPr>
          <w:rFonts w:ascii="Arial" w:hAnsi="Arial" w:cs="Arial"/>
          <w:szCs w:val="24"/>
        </w:rPr>
      </w:pPr>
    </w:p>
    <w:p w:rsidR="00D4311A" w:rsidRDefault="00D4311A" w:rsidP="00D4311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w:t>
      </w:r>
      <w:r w:rsidRPr="009D4B58">
        <w:rPr>
          <w:rFonts w:ascii="Arial" w:hAnsi="Arial" w:cs="Arial"/>
        </w:rPr>
        <w:t xml:space="preserve">improcedente la acción </w:t>
      </w:r>
      <w:r>
        <w:rPr>
          <w:rFonts w:ascii="Arial" w:hAnsi="Arial" w:cs="Arial"/>
        </w:rPr>
        <w:t xml:space="preserve">de tutela contra el </w:t>
      </w:r>
      <w:r w:rsidRPr="003B3DCC">
        <w:rPr>
          <w:rFonts w:ascii="Arial" w:hAnsi="Arial" w:cs="Arial"/>
        </w:rPr>
        <w:t>Juzgado</w:t>
      </w:r>
      <w:r w:rsidR="007173CB">
        <w:rPr>
          <w:rFonts w:ascii="Arial" w:hAnsi="Arial" w:cs="Arial"/>
        </w:rPr>
        <w:t xml:space="preserve"> Cuarto Civil del Circuito de Pereira</w:t>
      </w:r>
      <w:r>
        <w:rPr>
          <w:rFonts w:ascii="Arial" w:hAnsi="Arial" w:cs="Arial"/>
        </w:rPr>
        <w:t>.</w:t>
      </w:r>
      <w:r w:rsidRPr="00A71827">
        <w:rPr>
          <w:rFonts w:ascii="Arial" w:hAnsi="Arial" w:cs="Arial"/>
        </w:rPr>
        <w:t xml:space="preserve"> </w:t>
      </w:r>
    </w:p>
    <w:p w:rsidR="00D4311A" w:rsidRPr="00DC79C0" w:rsidRDefault="00D4311A" w:rsidP="00D4311A">
      <w:pPr>
        <w:pStyle w:val="Prrafodelista"/>
        <w:spacing w:line="360" w:lineRule="auto"/>
        <w:rPr>
          <w:rFonts w:ascii="Arial" w:hAnsi="Arial" w:cs="Arial"/>
          <w:lang w:val="es-CO"/>
        </w:rPr>
      </w:pPr>
    </w:p>
    <w:p w:rsidR="00D4311A" w:rsidRPr="00191EC2" w:rsidRDefault="00D4311A" w:rsidP="00D4311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6E5BE8">
        <w:rPr>
          <w:rFonts w:ascii="Arial" w:hAnsi="Arial" w:cs="Arial"/>
        </w:rPr>
        <w:t xml:space="preserve">CONDENAR en “costas” al señor Javier Elías Arias  </w:t>
      </w:r>
      <w:proofErr w:type="spellStart"/>
      <w:r w:rsidRPr="006E5BE8">
        <w:rPr>
          <w:rFonts w:ascii="Arial" w:hAnsi="Arial" w:cs="Arial"/>
        </w:rPr>
        <w:t>Idárraga</w:t>
      </w:r>
      <w:proofErr w:type="spellEnd"/>
      <w:r w:rsidRPr="006E5BE8">
        <w:rPr>
          <w:rFonts w:ascii="Arial" w:hAnsi="Arial" w:cs="Arial"/>
        </w:rPr>
        <w:t xml:space="preserve">, </w:t>
      </w:r>
      <w:r w:rsidRPr="006E5BE8">
        <w:rPr>
          <w:rFonts w:ascii="Arial" w:hAnsi="Arial"/>
        </w:rPr>
        <w:t>identificado con la cédula de ciudadanía No.10.141.947,</w:t>
      </w:r>
      <w:r w:rsidRPr="006E5BE8">
        <w:rPr>
          <w:rFonts w:ascii="Arial" w:hAnsi="Arial" w:cs="Arial"/>
        </w:rPr>
        <w:t xml:space="preserve">  </w:t>
      </w:r>
      <w:r w:rsidRPr="006E5BE8">
        <w:rPr>
          <w:rFonts w:ascii="Arial" w:hAnsi="Arial"/>
        </w:rPr>
        <w:t xml:space="preserve">a favor del Consejo Superior de la Judicatura, en la suma de un (1) </w:t>
      </w:r>
      <w:proofErr w:type="spellStart"/>
      <w:r w:rsidRPr="006E5BE8">
        <w:rPr>
          <w:rFonts w:ascii="Arial" w:hAnsi="Arial"/>
        </w:rPr>
        <w:t>smmlv</w:t>
      </w:r>
      <w:proofErr w:type="spellEnd"/>
      <w:r w:rsidRPr="006E5BE8">
        <w:rPr>
          <w:rFonts w:ascii="Arial" w:hAnsi="Arial"/>
        </w:rPr>
        <w:t xml:space="preserve">, que deberá pagar en un término de tres (3) días, -contados a partir de la notificación esta providencia, en la cuenta </w:t>
      </w:r>
      <w:r w:rsidR="00BA4E2F" w:rsidRPr="005A0F6C">
        <w:rPr>
          <w:rFonts w:ascii="Arial" w:hAnsi="Arial" w:cs="Arial"/>
          <w:i/>
        </w:rPr>
        <w:t xml:space="preserve">“CSJ - MULTAS Y SUS RENDIMIENTOS – </w:t>
      </w:r>
      <w:proofErr w:type="spellStart"/>
      <w:r w:rsidR="00BA4E2F" w:rsidRPr="005A0F6C">
        <w:rPr>
          <w:rFonts w:ascii="Arial" w:hAnsi="Arial" w:cs="Arial"/>
          <w:i/>
        </w:rPr>
        <w:t>CUN</w:t>
      </w:r>
      <w:proofErr w:type="spellEnd"/>
      <w:r w:rsidR="00BA4E2F" w:rsidRPr="005A0F6C">
        <w:rPr>
          <w:rFonts w:ascii="Arial" w:hAnsi="Arial" w:cs="Arial"/>
          <w:i/>
        </w:rPr>
        <w:t>”</w:t>
      </w:r>
      <w:r w:rsidR="00BA4E2F" w:rsidRPr="00E56157">
        <w:rPr>
          <w:rFonts w:ascii="Arial" w:hAnsi="Arial" w:cs="Arial"/>
        </w:rPr>
        <w:t xml:space="preserve"> No.</w:t>
      </w:r>
      <w:r w:rsidR="00BA4E2F" w:rsidRPr="005A0F6C">
        <w:rPr>
          <w:rFonts w:ascii="Arial" w:hAnsi="Arial" w:cs="Arial"/>
        </w:rPr>
        <w:t>3-0820-000640-8</w:t>
      </w:r>
      <w:r w:rsidR="00BA4E2F">
        <w:rPr>
          <w:rFonts w:ascii="Arial" w:hAnsi="Arial" w:cs="Arial"/>
        </w:rPr>
        <w:t xml:space="preserve"> </w:t>
      </w:r>
      <w:r w:rsidR="00BA4E2F" w:rsidRPr="00E56157">
        <w:rPr>
          <w:rFonts w:ascii="Arial" w:hAnsi="Arial" w:cs="Arial"/>
        </w:rPr>
        <w:t>del Banco Agrario</w:t>
      </w:r>
      <w:r w:rsidR="00BA4E2F">
        <w:rPr>
          <w:rFonts w:ascii="Arial" w:hAnsi="Arial" w:cs="Arial"/>
        </w:rPr>
        <w:t xml:space="preserve"> de Colombia </w:t>
      </w:r>
      <w:proofErr w:type="spellStart"/>
      <w:r w:rsidR="00BA4E2F">
        <w:rPr>
          <w:rFonts w:ascii="Arial" w:hAnsi="Arial" w:cs="Arial"/>
        </w:rPr>
        <w:t>SA</w:t>
      </w:r>
      <w:proofErr w:type="spellEnd"/>
      <w:r w:rsidRPr="006E5BE8">
        <w:rPr>
          <w:rFonts w:ascii="Arial" w:hAnsi="Arial"/>
        </w:rPr>
        <w:t>.</w:t>
      </w:r>
    </w:p>
    <w:p w:rsidR="00D4311A" w:rsidRPr="00191EC2" w:rsidRDefault="00D4311A" w:rsidP="00D431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D52F79" w:rsidRPr="00D52F79" w:rsidRDefault="00D4311A" w:rsidP="00D52F7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pacing w:val="-3"/>
          <w:lang w:val="es-CO"/>
        </w:rPr>
      </w:pPr>
      <w:r w:rsidRPr="006E5BE8">
        <w:rPr>
          <w:rFonts w:ascii="Arial" w:hAnsi="Arial"/>
        </w:rPr>
        <w:t xml:space="preserve">En caso </w:t>
      </w:r>
      <w:r w:rsidRPr="006E5BE8">
        <w:rPr>
          <w:rFonts w:ascii="Arial" w:hAnsi="Arial"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D4311A" w:rsidRDefault="00D4311A" w:rsidP="00D4311A">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spacing w:val="-3"/>
          <w:lang w:val="es-CO"/>
        </w:rPr>
      </w:pPr>
    </w:p>
    <w:p w:rsidR="00D52F79" w:rsidRPr="00D52F79" w:rsidRDefault="00D52F79" w:rsidP="00690992">
      <w:pPr>
        <w:pStyle w:val="Textoindependiente"/>
        <w:numPr>
          <w:ilvl w:val="0"/>
          <w:numId w:val="6"/>
        </w:numPr>
        <w:tabs>
          <w:tab w:val="clear" w:pos="720"/>
          <w:tab w:val="num" w:pos="360"/>
        </w:tabs>
        <w:spacing w:line="360" w:lineRule="auto"/>
        <w:ind w:left="360"/>
        <w:rPr>
          <w:rFonts w:ascii="Arial" w:hAnsi="Arial" w:cs="Arial"/>
        </w:rPr>
      </w:pPr>
      <w:r w:rsidRPr="00D52F79">
        <w:rPr>
          <w:rFonts w:ascii="Arial" w:hAnsi="Arial" w:cs="Arial"/>
          <w:bCs/>
          <w:bdr w:val="none" w:sz="0" w:space="0" w:color="auto" w:frame="1"/>
          <w:shd w:val="clear" w:color="auto" w:fill="FFFFFF"/>
        </w:rPr>
        <w:t>REMITIR</w:t>
      </w:r>
      <w:r w:rsidRPr="00D52F79">
        <w:rPr>
          <w:rFonts w:ascii="Arial" w:hAnsi="Arial" w:cs="Arial"/>
          <w:b/>
          <w:bCs/>
          <w:bdr w:val="none" w:sz="0" w:space="0" w:color="auto" w:frame="1"/>
          <w:shd w:val="clear" w:color="auto" w:fill="FFFFFF"/>
        </w:rPr>
        <w:t> </w:t>
      </w:r>
      <w:r w:rsidRPr="00D52F79">
        <w:rPr>
          <w:rFonts w:ascii="Arial" w:hAnsi="Arial" w:cs="Arial"/>
          <w:shd w:val="clear" w:color="auto" w:fill="FFFFFF"/>
        </w:rPr>
        <w:t xml:space="preserve">copias de este expediente </w:t>
      </w:r>
      <w:r w:rsidRPr="00D52F79">
        <w:rPr>
          <w:rFonts w:ascii="Arial" w:hAnsi="Arial"/>
          <w:lang w:val="es-CO"/>
        </w:rPr>
        <w:t xml:space="preserve">a la Fiscalía General de la Nación </w:t>
      </w:r>
      <w:r w:rsidRPr="00D52F79">
        <w:rPr>
          <w:rFonts w:ascii="Arial" w:hAnsi="Arial" w:cs="Arial"/>
          <w:shd w:val="clear" w:color="auto" w:fill="FFFFFF"/>
        </w:rPr>
        <w:t xml:space="preserve">para que investigue la posible conducta penal de falso testimonio en que pudo haber incurrido el señor Javier Elías Arias </w:t>
      </w:r>
      <w:proofErr w:type="spellStart"/>
      <w:r w:rsidRPr="00D52F79">
        <w:rPr>
          <w:rFonts w:ascii="Arial" w:hAnsi="Arial" w:cs="Arial"/>
          <w:shd w:val="clear" w:color="auto" w:fill="FFFFFF"/>
        </w:rPr>
        <w:t>Idárraga</w:t>
      </w:r>
      <w:proofErr w:type="spellEnd"/>
      <w:r w:rsidRPr="00D52F79">
        <w:rPr>
          <w:rFonts w:ascii="Arial" w:hAnsi="Arial" w:cs="Arial"/>
          <w:shd w:val="clear" w:color="auto" w:fill="FFFFFF"/>
        </w:rPr>
        <w:t xml:space="preserve"> </w:t>
      </w:r>
      <w:r w:rsidRPr="00D52F79">
        <w:rPr>
          <w:rFonts w:ascii="Arial" w:hAnsi="Arial"/>
          <w:lang w:val="es-CO"/>
        </w:rPr>
        <w:t xml:space="preserve">promover </w:t>
      </w:r>
      <w:r w:rsidR="00EC1B78">
        <w:rPr>
          <w:rFonts w:ascii="Arial" w:hAnsi="Arial"/>
          <w:lang w:val="es-CO"/>
        </w:rPr>
        <w:t>reiteradamente este amparo constitucional</w:t>
      </w:r>
      <w:r w:rsidRPr="00D52F79">
        <w:rPr>
          <w:rFonts w:ascii="Arial" w:hAnsi="Arial"/>
          <w:lang w:val="es-CO"/>
        </w:rPr>
        <w:t>.</w:t>
      </w:r>
    </w:p>
    <w:p w:rsidR="00D52F79" w:rsidRDefault="00D52F79" w:rsidP="00D52F7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4311A" w:rsidRDefault="00D4311A" w:rsidP="00D4311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lastRenderedPageBreak/>
        <w:t>NOTIFICAR esta decisión a todas las partes, por el medio más expedito y eficaz.</w:t>
      </w:r>
    </w:p>
    <w:p w:rsidR="00D4311A" w:rsidRDefault="00D4311A" w:rsidP="00D4311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D4311A" w:rsidRDefault="00D4311A" w:rsidP="00D4311A">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Pr>
          <w:rFonts w:ascii="Arial" w:hAnsi="Arial" w:cs="Arial"/>
          <w:szCs w:val="24"/>
        </w:rPr>
        <w:t>CC</w:t>
      </w:r>
      <w:r w:rsidRPr="00A71827">
        <w:rPr>
          <w:rFonts w:ascii="Arial" w:hAnsi="Arial" w:cs="Arial"/>
          <w:szCs w:val="24"/>
        </w:rPr>
        <w:t xml:space="preserve"> para su eventual revisión, de no ser impugnada.</w:t>
      </w:r>
    </w:p>
    <w:p w:rsidR="00D4311A" w:rsidRDefault="00D4311A" w:rsidP="00D4311A">
      <w:pPr>
        <w:pStyle w:val="Textoindependiente"/>
        <w:tabs>
          <w:tab w:val="clear" w:pos="708"/>
        </w:tabs>
        <w:spacing w:line="360" w:lineRule="auto"/>
        <w:rPr>
          <w:rFonts w:ascii="Arial" w:hAnsi="Arial" w:cs="Arial"/>
          <w:szCs w:val="24"/>
        </w:rPr>
      </w:pPr>
    </w:p>
    <w:p w:rsidR="00D4311A" w:rsidRPr="00A71827" w:rsidRDefault="00D4311A" w:rsidP="00D4311A">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D4311A" w:rsidRPr="00B4105B" w:rsidRDefault="00D4311A" w:rsidP="00D4311A">
      <w:pPr>
        <w:pStyle w:val="Prrafodelista"/>
        <w:widowControl/>
        <w:autoSpaceDE/>
        <w:autoSpaceDN/>
        <w:adjustRightInd/>
        <w:spacing w:line="360" w:lineRule="auto"/>
        <w:ind w:left="360" w:right="51"/>
        <w:contextualSpacing/>
        <w:jc w:val="both"/>
        <w:rPr>
          <w:rFonts w:ascii="Arial" w:hAnsi="Arial"/>
          <w:sz w:val="18"/>
        </w:rPr>
      </w:pPr>
    </w:p>
    <w:p w:rsidR="00D4311A" w:rsidRPr="0069231C" w:rsidRDefault="00D4311A" w:rsidP="00D4311A">
      <w:pPr>
        <w:pStyle w:val="Textoindependien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4311A" w:rsidRPr="0069231C" w:rsidRDefault="00D4311A" w:rsidP="00D4311A">
      <w:pPr>
        <w:pStyle w:val="Textoindependiente"/>
        <w:spacing w:line="360" w:lineRule="auto"/>
        <w:jc w:val="center"/>
        <w:rPr>
          <w:rFonts w:ascii="Arial" w:hAnsi="Arial"/>
          <w:sz w:val="2"/>
          <w:szCs w:val="24"/>
          <w:lang w:val="en-US"/>
        </w:rPr>
      </w:pPr>
    </w:p>
    <w:p w:rsidR="00D4311A" w:rsidRPr="00EC1B78" w:rsidRDefault="00D4311A" w:rsidP="00D4311A">
      <w:pPr>
        <w:pStyle w:val="Textoindependiente"/>
        <w:spacing w:line="360" w:lineRule="auto"/>
        <w:jc w:val="center"/>
        <w:rPr>
          <w:rFonts w:ascii="Arial" w:hAnsi="Arial"/>
          <w:sz w:val="2"/>
          <w:szCs w:val="24"/>
          <w:lang w:val="en-US"/>
        </w:rPr>
      </w:pPr>
    </w:p>
    <w:p w:rsidR="00D4311A" w:rsidRPr="00191EC2" w:rsidRDefault="00D4311A" w:rsidP="00D4311A">
      <w:pPr>
        <w:pStyle w:val="Textoindependiente"/>
        <w:spacing w:line="360" w:lineRule="auto"/>
        <w:jc w:val="center"/>
        <w:rPr>
          <w:rFonts w:ascii="Arial" w:hAnsi="Arial"/>
          <w:sz w:val="52"/>
          <w:szCs w:val="24"/>
          <w:lang w:val="en-US"/>
        </w:rPr>
      </w:pPr>
    </w:p>
    <w:p w:rsidR="00D4311A" w:rsidRPr="0069231C"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D4311A" w:rsidRPr="0069231C"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D4311A"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EC1B78" w:rsidRDefault="00EC1B78"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D4311A"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32"/>
          <w:lang w:val="en-US"/>
        </w:rPr>
      </w:pPr>
    </w:p>
    <w:p w:rsidR="00D4311A" w:rsidRPr="0069231C"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69231C">
        <w:rPr>
          <w:rFonts w:ascii="Arial" w:hAnsi="Arial"/>
          <w:w w:val="150"/>
          <w:sz w:val="28"/>
          <w:szCs w:val="18"/>
          <w:lang w:val="en-US"/>
        </w:rPr>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D4311A"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D4311A" w:rsidRPr="00A0021D" w:rsidRDefault="00D4311A" w:rsidP="00D431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D4311A" w:rsidRPr="00BA4E2F" w:rsidRDefault="00D4311A" w:rsidP="00BA4E2F">
      <w:pPr>
        <w:pStyle w:val="Textoindependiente"/>
        <w:spacing w:line="360" w:lineRule="auto"/>
        <w:jc w:val="right"/>
        <w:rPr>
          <w:rFonts w:ascii="Arial" w:hAnsi="Arial"/>
          <w:w w:val="150"/>
          <w:sz w:val="8"/>
          <w:szCs w:val="10"/>
          <w:lang w:val="en-US"/>
        </w:rPr>
      </w:pPr>
      <w:proofErr w:type="spellStart"/>
      <w:r w:rsidRPr="00141EB0">
        <w:rPr>
          <w:rFonts w:ascii="Arial" w:hAnsi="Arial"/>
          <w:w w:val="150"/>
          <w:sz w:val="10"/>
          <w:szCs w:val="10"/>
          <w:lang w:val="en-US"/>
        </w:rPr>
        <w:t>DGH</w:t>
      </w:r>
      <w:proofErr w:type="spellEnd"/>
      <w:r>
        <w:rPr>
          <w:rFonts w:ascii="Arial" w:hAnsi="Arial"/>
          <w:w w:val="150"/>
          <w:sz w:val="10"/>
          <w:szCs w:val="10"/>
          <w:lang w:val="en-US"/>
        </w:rPr>
        <w:t xml:space="preserve"> </w:t>
      </w:r>
      <w:r w:rsidRPr="00141EB0">
        <w:rPr>
          <w:rFonts w:ascii="Arial" w:hAnsi="Arial"/>
          <w:w w:val="150"/>
          <w:sz w:val="10"/>
          <w:szCs w:val="10"/>
          <w:lang w:val="en-US"/>
        </w:rPr>
        <w:t>/</w:t>
      </w:r>
      <w:r>
        <w:rPr>
          <w:rFonts w:ascii="Arial" w:hAnsi="Arial"/>
          <w:w w:val="150"/>
          <w:sz w:val="10"/>
          <w:szCs w:val="10"/>
          <w:lang w:val="en-US"/>
        </w:rPr>
        <w:t xml:space="preserve"> </w:t>
      </w:r>
      <w:proofErr w:type="spellStart"/>
      <w:r w:rsidRPr="00141EB0">
        <w:rPr>
          <w:rFonts w:ascii="Arial" w:hAnsi="Arial"/>
          <w:w w:val="150"/>
          <w:sz w:val="10"/>
          <w:szCs w:val="10"/>
          <w:lang w:val="en-US"/>
        </w:rPr>
        <w:t>ODCD</w:t>
      </w:r>
      <w:proofErr w:type="spellEnd"/>
      <w:r>
        <w:rPr>
          <w:rFonts w:ascii="Arial" w:hAnsi="Arial"/>
          <w:w w:val="150"/>
          <w:sz w:val="10"/>
          <w:szCs w:val="10"/>
          <w:lang w:val="en-US"/>
        </w:rPr>
        <w:t xml:space="preserve">, </w:t>
      </w:r>
      <w:proofErr w:type="spellStart"/>
      <w:r>
        <w:rPr>
          <w:rFonts w:ascii="Arial" w:hAnsi="Arial"/>
          <w:w w:val="150"/>
          <w:sz w:val="10"/>
          <w:szCs w:val="10"/>
          <w:lang w:val="en-US"/>
        </w:rPr>
        <w:t>LSCL</w:t>
      </w:r>
      <w:proofErr w:type="spellEnd"/>
      <w:r>
        <w:rPr>
          <w:rFonts w:ascii="Arial" w:hAnsi="Arial"/>
          <w:w w:val="150"/>
          <w:sz w:val="10"/>
          <w:szCs w:val="10"/>
          <w:lang w:val="en-US"/>
        </w:rPr>
        <w:t xml:space="preserve"> </w:t>
      </w:r>
      <w:r w:rsidRPr="00141EB0">
        <w:rPr>
          <w:rFonts w:ascii="Arial" w:hAnsi="Arial"/>
          <w:w w:val="150"/>
          <w:sz w:val="10"/>
          <w:szCs w:val="10"/>
          <w:lang w:val="en-US"/>
        </w:rPr>
        <w:t>/ 2017</w:t>
      </w:r>
    </w:p>
    <w:sectPr w:rsidR="00D4311A" w:rsidRPr="00BA4E2F" w:rsidSect="00510F7A">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62" w:rsidRDefault="00787662" w:rsidP="0099045D">
      <w:r>
        <w:separator/>
      </w:r>
    </w:p>
  </w:endnote>
  <w:endnote w:type="continuationSeparator" w:id="0">
    <w:p w:rsidR="00787662" w:rsidRDefault="0078766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62" w:rsidRDefault="00787662" w:rsidP="0099045D">
      <w:r>
        <w:separator/>
      </w:r>
    </w:p>
  </w:footnote>
  <w:footnote w:type="continuationSeparator" w:id="0">
    <w:p w:rsidR="00787662" w:rsidRDefault="00787662" w:rsidP="0099045D">
      <w:r>
        <w:continuationSeparator/>
      </w:r>
    </w:p>
  </w:footnote>
  <w:footnote w:id="1">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2">
    <w:p w:rsidR="00D4311A" w:rsidRPr="00833A61" w:rsidRDefault="00D4311A" w:rsidP="00D4311A">
      <w:pPr>
        <w:pStyle w:val="Textonotapie"/>
        <w:rPr>
          <w:lang w:val="es-CO"/>
        </w:rPr>
      </w:pPr>
      <w:r>
        <w:rPr>
          <w:rStyle w:val="Refdenotaalpie"/>
        </w:rPr>
        <w:footnoteRef/>
      </w:r>
      <w:r>
        <w:t xml:space="preserve"> </w:t>
      </w:r>
      <w:r>
        <w:rPr>
          <w:rFonts w:asciiTheme="minorHAnsi" w:hAnsiTheme="minorHAnsi" w:cs="Calibri"/>
        </w:rPr>
        <w:t>CC</w:t>
      </w:r>
      <w:r w:rsidRPr="00623B4F">
        <w:rPr>
          <w:rFonts w:asciiTheme="minorHAnsi" w:hAnsiTheme="minorHAnsi" w:cs="Calibr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Pr>
          <w:rFonts w:asciiTheme="minorHAnsi" w:hAnsiTheme="minorHAnsi"/>
          <w:bCs/>
        </w:rPr>
        <w:t xml:space="preserve"> y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3">
    <w:p w:rsidR="00D4311A" w:rsidRPr="00833A61" w:rsidRDefault="00D4311A" w:rsidP="00D4311A">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4">
    <w:p w:rsidR="00D4311A" w:rsidRPr="00104D5D" w:rsidRDefault="00D4311A" w:rsidP="00D4311A">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5">
    <w:p w:rsidR="00D4311A" w:rsidRPr="00104D5D" w:rsidRDefault="00D4311A" w:rsidP="00D4311A">
      <w:pPr>
        <w:pStyle w:val="Textonotapie"/>
        <w:jc w:val="both"/>
        <w:rPr>
          <w:lang w:val="es-CO"/>
        </w:rPr>
      </w:pPr>
      <w:r w:rsidRPr="00104D5D">
        <w:rPr>
          <w:rStyle w:val="Refdenotaalpie"/>
          <w:rFonts w:ascii="Calibri" w:hAnsi="Calibri"/>
        </w:rPr>
        <w:footnoteRef/>
      </w:r>
      <w:r w:rsidRPr="00104D5D">
        <w:rPr>
          <w:rFonts w:ascii="Calibri" w:hAnsi="Calibri"/>
        </w:rPr>
        <w:t xml:space="preserve"> </w:t>
      </w:r>
      <w:proofErr w:type="spellStart"/>
      <w:r>
        <w:rPr>
          <w:rFonts w:ascii="Calibri" w:hAnsi="Calibri"/>
          <w:lang w:val="es-CO"/>
        </w:rPr>
        <w:t>TSP</w:t>
      </w:r>
      <w:proofErr w:type="spellEnd"/>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6">
    <w:p w:rsidR="00D4311A" w:rsidRPr="008C531D" w:rsidRDefault="00D4311A" w:rsidP="00D4311A">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T-057 de 2016.</w:t>
      </w:r>
    </w:p>
  </w:footnote>
  <w:footnote w:id="7">
    <w:p w:rsidR="00D4311A" w:rsidRPr="008C531D" w:rsidRDefault="00D4311A" w:rsidP="00D4311A">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T-095 de 2015.</w:t>
      </w:r>
    </w:p>
  </w:footnote>
  <w:footnote w:id="8">
    <w:p w:rsidR="00D4311A" w:rsidRPr="00A4402B" w:rsidRDefault="00D4311A" w:rsidP="00D4311A">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9">
    <w:p w:rsidR="00D4311A" w:rsidRPr="00833A61" w:rsidRDefault="00D4311A" w:rsidP="00D4311A">
      <w:pPr>
        <w:pStyle w:val="Textonotapie"/>
        <w:rPr>
          <w:lang w:val="es-CO"/>
        </w:rPr>
      </w:pPr>
      <w:r>
        <w:rPr>
          <w:rStyle w:val="Refdenotaalpie"/>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10">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007A16FA">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11">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2">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13">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T-149 de 1995</w:t>
      </w:r>
      <w:r>
        <w:rPr>
          <w:rFonts w:asciiTheme="minorHAnsi" w:hAnsiTheme="minorHAnsi" w:cs="Calibri"/>
        </w:rPr>
        <w:t>.</w:t>
      </w:r>
    </w:p>
  </w:footnote>
  <w:footnote w:id="14">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T-308 de 1995</w:t>
      </w:r>
      <w:r>
        <w:rPr>
          <w:rFonts w:asciiTheme="minorHAnsi" w:hAnsiTheme="minorHAnsi" w:cs="Calibri"/>
        </w:rPr>
        <w:t>.</w:t>
      </w:r>
    </w:p>
  </w:footnote>
  <w:footnote w:id="15">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T-443 de 1995</w:t>
      </w:r>
      <w:r>
        <w:rPr>
          <w:rFonts w:asciiTheme="minorHAnsi" w:hAnsiTheme="minorHAnsi" w:cs="Calibri"/>
        </w:rPr>
        <w:t>.</w:t>
      </w:r>
    </w:p>
  </w:footnote>
  <w:footnote w:id="16">
    <w:p w:rsidR="00D4311A" w:rsidRDefault="00D4311A" w:rsidP="00D4311A">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17">
    <w:p w:rsidR="00D4311A" w:rsidRPr="001815DA" w:rsidRDefault="00D4311A" w:rsidP="00D4311A">
      <w:pPr>
        <w:pStyle w:val="Textonotapie"/>
        <w:jc w:val="both"/>
      </w:pPr>
      <w:r>
        <w:rPr>
          <w:rStyle w:val="Refdenotaalpie"/>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 (…)</w:t>
      </w:r>
      <w:r>
        <w:rPr>
          <w:rFonts w:ascii="Calibri" w:hAnsi="Calibri"/>
          <w:i/>
          <w:iCs/>
          <w:u w:val="single"/>
          <w:lang w:val="es-CO"/>
        </w:rPr>
        <w:t>”</w:t>
      </w:r>
      <w:r w:rsidRPr="005D239E">
        <w:rPr>
          <w:rFonts w:ascii="Calibri" w:hAnsi="Calibri"/>
          <w:i/>
          <w:iCs/>
          <w:lang w:val="es-CO"/>
        </w:rPr>
        <w:t xml:space="preserve"> (</w:t>
      </w:r>
      <w:proofErr w:type="spellStart"/>
      <w:r w:rsidRPr="005D239E">
        <w:rPr>
          <w:rFonts w:ascii="Calibri" w:hAnsi="Calibri"/>
          <w:i/>
          <w:iCs/>
          <w:lang w:val="es-CO"/>
        </w:rPr>
        <w:t>Sublínea</w:t>
      </w:r>
      <w:proofErr w:type="spellEnd"/>
      <w:r w:rsidRPr="005D239E">
        <w:rPr>
          <w:rFonts w:ascii="Calibri" w:hAnsi="Calibri"/>
          <w:i/>
          <w:iCs/>
          <w:lang w:val="es-CO"/>
        </w:rPr>
        <w:t xml:space="preserve"> de la Sala)</w:t>
      </w:r>
    </w:p>
    <w:p w:rsidR="00D4311A" w:rsidRPr="001815DA" w:rsidRDefault="00D4311A" w:rsidP="00D4311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E1" w:rsidRPr="006414F7" w:rsidRDefault="00AB7DE1" w:rsidP="00AB7DE1">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w:t>
    </w:r>
    <w:r w:rsidR="00D862B4">
      <w:rPr>
        <w:rFonts w:ascii="Calibri" w:hAnsi="Calibri" w:cs="Calibri"/>
        <w:i/>
        <w:sz w:val="20"/>
        <w:szCs w:val="22"/>
      </w:rPr>
      <w:t>56</w:t>
    </w:r>
    <w:r w:rsidR="008D3E63">
      <w:rPr>
        <w:rFonts w:ascii="Calibri" w:hAnsi="Calibri" w:cs="Calibri"/>
        <w:i/>
        <w:sz w:val="20"/>
        <w:szCs w:val="22"/>
      </w:rPr>
      <w:t>1</w:t>
    </w:r>
    <w:r>
      <w:rPr>
        <w:rFonts w:ascii="Calibri" w:hAnsi="Calibri" w:cs="Calibri"/>
        <w:i/>
        <w:sz w:val="20"/>
        <w:szCs w:val="22"/>
      </w:rPr>
      <w:t xml:space="preserve">-00 </w:t>
    </w:r>
  </w:p>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0806AC">
      <w:rPr>
        <w:rFonts w:ascii="Calibri" w:hAnsi="Calibri" w:cs="Calibri"/>
        <w:i/>
        <w:noProof/>
        <w:sz w:val="20"/>
      </w:rPr>
      <w:t>8</w:t>
    </w:r>
    <w:r w:rsidR="00301CAF" w:rsidRPr="006414F7">
      <w:rPr>
        <w:rFonts w:ascii="Calibri" w:hAnsi="Calibri" w:cs="Calibr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1453F9E"/>
    <w:multiLevelType w:val="multilevel"/>
    <w:tmpl w:val="9A4CFBE2"/>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5"/>
  </w:num>
  <w:num w:numId="30">
    <w:abstractNumId w:val="10"/>
  </w:num>
  <w:num w:numId="31">
    <w:abstractNumId w:val="1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90C"/>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D2E"/>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57D65"/>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168"/>
    <w:rsid w:val="00073248"/>
    <w:rsid w:val="000735CB"/>
    <w:rsid w:val="00073953"/>
    <w:rsid w:val="00074032"/>
    <w:rsid w:val="0007464B"/>
    <w:rsid w:val="000756CD"/>
    <w:rsid w:val="00075FCE"/>
    <w:rsid w:val="000769E5"/>
    <w:rsid w:val="000774AE"/>
    <w:rsid w:val="000803A5"/>
    <w:rsid w:val="000806AC"/>
    <w:rsid w:val="00080DED"/>
    <w:rsid w:val="00081F32"/>
    <w:rsid w:val="00081FDD"/>
    <w:rsid w:val="00082813"/>
    <w:rsid w:val="000833E9"/>
    <w:rsid w:val="000844E0"/>
    <w:rsid w:val="000848B7"/>
    <w:rsid w:val="00085345"/>
    <w:rsid w:val="00085349"/>
    <w:rsid w:val="000854D1"/>
    <w:rsid w:val="00085633"/>
    <w:rsid w:val="00085E66"/>
    <w:rsid w:val="00086468"/>
    <w:rsid w:val="000865B7"/>
    <w:rsid w:val="000865F3"/>
    <w:rsid w:val="000866B3"/>
    <w:rsid w:val="00086A95"/>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9C9"/>
    <w:rsid w:val="000D152C"/>
    <w:rsid w:val="000D1769"/>
    <w:rsid w:val="000D2B3D"/>
    <w:rsid w:val="000D2D98"/>
    <w:rsid w:val="000D2FDE"/>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188"/>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21"/>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DE5"/>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79A"/>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6F31"/>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55B9"/>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DFC"/>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F7"/>
    <w:rsid w:val="0022399C"/>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CDB"/>
    <w:rsid w:val="00243E1C"/>
    <w:rsid w:val="00243EFA"/>
    <w:rsid w:val="00244523"/>
    <w:rsid w:val="002445A1"/>
    <w:rsid w:val="002450A3"/>
    <w:rsid w:val="002455C0"/>
    <w:rsid w:val="00245B6F"/>
    <w:rsid w:val="002470CC"/>
    <w:rsid w:val="00247994"/>
    <w:rsid w:val="00247AB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267"/>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57EA"/>
    <w:rsid w:val="002D62CE"/>
    <w:rsid w:val="002D77A5"/>
    <w:rsid w:val="002D786F"/>
    <w:rsid w:val="002D7C36"/>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5E89"/>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DDA"/>
    <w:rsid w:val="00311FEB"/>
    <w:rsid w:val="003120B9"/>
    <w:rsid w:val="003125E5"/>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446"/>
    <w:rsid w:val="00351921"/>
    <w:rsid w:val="00352556"/>
    <w:rsid w:val="00352603"/>
    <w:rsid w:val="0035297D"/>
    <w:rsid w:val="0035308C"/>
    <w:rsid w:val="003540DB"/>
    <w:rsid w:val="00354170"/>
    <w:rsid w:val="003543EA"/>
    <w:rsid w:val="00354C2E"/>
    <w:rsid w:val="0035568B"/>
    <w:rsid w:val="0035583A"/>
    <w:rsid w:val="00355D3C"/>
    <w:rsid w:val="003564DC"/>
    <w:rsid w:val="0035697E"/>
    <w:rsid w:val="00356BF1"/>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7F8"/>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28C"/>
    <w:rsid w:val="003B3673"/>
    <w:rsid w:val="003B37F0"/>
    <w:rsid w:val="003B4005"/>
    <w:rsid w:val="003B4935"/>
    <w:rsid w:val="003B4FF8"/>
    <w:rsid w:val="003B50F3"/>
    <w:rsid w:val="003B5178"/>
    <w:rsid w:val="003B691D"/>
    <w:rsid w:val="003B6DD2"/>
    <w:rsid w:val="003B6E96"/>
    <w:rsid w:val="003B717E"/>
    <w:rsid w:val="003B746D"/>
    <w:rsid w:val="003B7AD3"/>
    <w:rsid w:val="003B7EA4"/>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2D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3FE9"/>
    <w:rsid w:val="003E44F9"/>
    <w:rsid w:val="003E4897"/>
    <w:rsid w:val="003E5253"/>
    <w:rsid w:val="003E66CE"/>
    <w:rsid w:val="003E73B6"/>
    <w:rsid w:val="003F0054"/>
    <w:rsid w:val="003F01B3"/>
    <w:rsid w:val="003F13B4"/>
    <w:rsid w:val="003F1AD6"/>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315"/>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0F6E"/>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61"/>
    <w:rsid w:val="004D11BF"/>
    <w:rsid w:val="004D1B99"/>
    <w:rsid w:val="004D1E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0F7A"/>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30F"/>
    <w:rsid w:val="005206C5"/>
    <w:rsid w:val="005208C0"/>
    <w:rsid w:val="00520ECF"/>
    <w:rsid w:val="005215AB"/>
    <w:rsid w:val="00522292"/>
    <w:rsid w:val="00522925"/>
    <w:rsid w:val="005235D5"/>
    <w:rsid w:val="005246A7"/>
    <w:rsid w:val="00524FB1"/>
    <w:rsid w:val="0052500D"/>
    <w:rsid w:val="0052570A"/>
    <w:rsid w:val="00525CF8"/>
    <w:rsid w:val="00525D07"/>
    <w:rsid w:val="00525F1A"/>
    <w:rsid w:val="005268D5"/>
    <w:rsid w:val="00526D7F"/>
    <w:rsid w:val="00527022"/>
    <w:rsid w:val="005274AC"/>
    <w:rsid w:val="005276E4"/>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94B"/>
    <w:rsid w:val="00561C54"/>
    <w:rsid w:val="00561F4D"/>
    <w:rsid w:val="0056345F"/>
    <w:rsid w:val="005634DD"/>
    <w:rsid w:val="00564507"/>
    <w:rsid w:val="005652BE"/>
    <w:rsid w:val="00565D37"/>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76"/>
    <w:rsid w:val="00595487"/>
    <w:rsid w:val="005955FF"/>
    <w:rsid w:val="00596868"/>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29B"/>
    <w:rsid w:val="005C053C"/>
    <w:rsid w:val="005C0A5A"/>
    <w:rsid w:val="005C14BE"/>
    <w:rsid w:val="005C1B37"/>
    <w:rsid w:val="005C1D46"/>
    <w:rsid w:val="005C20DF"/>
    <w:rsid w:val="005C274B"/>
    <w:rsid w:val="005C2C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3AF"/>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A0D"/>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B0"/>
    <w:rsid w:val="00611140"/>
    <w:rsid w:val="00611B2B"/>
    <w:rsid w:val="00611C37"/>
    <w:rsid w:val="006122FF"/>
    <w:rsid w:val="00612366"/>
    <w:rsid w:val="006124E2"/>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B5"/>
    <w:rsid w:val="0062000C"/>
    <w:rsid w:val="00620B29"/>
    <w:rsid w:val="00621299"/>
    <w:rsid w:val="00621F30"/>
    <w:rsid w:val="00622563"/>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4DF"/>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27B"/>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87FF1"/>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3CB"/>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0FAC"/>
    <w:rsid w:val="00731783"/>
    <w:rsid w:val="00731BD2"/>
    <w:rsid w:val="00731DFD"/>
    <w:rsid w:val="0073215F"/>
    <w:rsid w:val="00732540"/>
    <w:rsid w:val="0073284C"/>
    <w:rsid w:val="007334BF"/>
    <w:rsid w:val="007336C1"/>
    <w:rsid w:val="007336DA"/>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667"/>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1F6"/>
    <w:rsid w:val="00786465"/>
    <w:rsid w:val="00786561"/>
    <w:rsid w:val="00786737"/>
    <w:rsid w:val="0078681D"/>
    <w:rsid w:val="00787662"/>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6FA"/>
    <w:rsid w:val="007A1D65"/>
    <w:rsid w:val="007A237B"/>
    <w:rsid w:val="007A3D83"/>
    <w:rsid w:val="007A3F1E"/>
    <w:rsid w:val="007A4650"/>
    <w:rsid w:val="007A4783"/>
    <w:rsid w:val="007A5013"/>
    <w:rsid w:val="007A5238"/>
    <w:rsid w:val="007A5265"/>
    <w:rsid w:val="007A5508"/>
    <w:rsid w:val="007A5588"/>
    <w:rsid w:val="007A5673"/>
    <w:rsid w:val="007A5997"/>
    <w:rsid w:val="007A5F6C"/>
    <w:rsid w:val="007A79E5"/>
    <w:rsid w:val="007A7B79"/>
    <w:rsid w:val="007A7F9C"/>
    <w:rsid w:val="007B06C8"/>
    <w:rsid w:val="007B100D"/>
    <w:rsid w:val="007B17E8"/>
    <w:rsid w:val="007B1CE6"/>
    <w:rsid w:val="007B21EC"/>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53B"/>
    <w:rsid w:val="007D4C9C"/>
    <w:rsid w:val="007D5761"/>
    <w:rsid w:val="007D61B6"/>
    <w:rsid w:val="007D6C59"/>
    <w:rsid w:val="007D71DF"/>
    <w:rsid w:val="007D736D"/>
    <w:rsid w:val="007D7B1F"/>
    <w:rsid w:val="007D7C03"/>
    <w:rsid w:val="007D7D22"/>
    <w:rsid w:val="007E004A"/>
    <w:rsid w:val="007E0271"/>
    <w:rsid w:val="007E044D"/>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ACD"/>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4B65"/>
    <w:rsid w:val="0082559F"/>
    <w:rsid w:val="00825750"/>
    <w:rsid w:val="0082583F"/>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23A"/>
    <w:rsid w:val="00840E09"/>
    <w:rsid w:val="0084129B"/>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90A"/>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6B"/>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4E04"/>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364"/>
    <w:rsid w:val="008D381D"/>
    <w:rsid w:val="008D3E63"/>
    <w:rsid w:val="008D3FE5"/>
    <w:rsid w:val="008D43B4"/>
    <w:rsid w:val="008D49E9"/>
    <w:rsid w:val="008D53F1"/>
    <w:rsid w:val="008D5BCF"/>
    <w:rsid w:val="008D7F5B"/>
    <w:rsid w:val="008E0188"/>
    <w:rsid w:val="008E0D11"/>
    <w:rsid w:val="008E1295"/>
    <w:rsid w:val="008E2633"/>
    <w:rsid w:val="008E2790"/>
    <w:rsid w:val="008E36DB"/>
    <w:rsid w:val="008E412D"/>
    <w:rsid w:val="008E50E4"/>
    <w:rsid w:val="008E5334"/>
    <w:rsid w:val="008E5A62"/>
    <w:rsid w:val="008E5B27"/>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2E6"/>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300"/>
    <w:rsid w:val="00923780"/>
    <w:rsid w:val="00924761"/>
    <w:rsid w:val="00924A60"/>
    <w:rsid w:val="00925BFB"/>
    <w:rsid w:val="00925F41"/>
    <w:rsid w:val="009261AA"/>
    <w:rsid w:val="009263E6"/>
    <w:rsid w:val="009267DD"/>
    <w:rsid w:val="00926FF0"/>
    <w:rsid w:val="0092718C"/>
    <w:rsid w:val="00927491"/>
    <w:rsid w:val="009274A6"/>
    <w:rsid w:val="00930400"/>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96A"/>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FFD"/>
    <w:rsid w:val="0096024C"/>
    <w:rsid w:val="00960C2F"/>
    <w:rsid w:val="00961693"/>
    <w:rsid w:val="009619F8"/>
    <w:rsid w:val="009620CD"/>
    <w:rsid w:val="00962282"/>
    <w:rsid w:val="00962A48"/>
    <w:rsid w:val="00962D89"/>
    <w:rsid w:val="009636BF"/>
    <w:rsid w:val="00963C96"/>
    <w:rsid w:val="00964494"/>
    <w:rsid w:val="009644EB"/>
    <w:rsid w:val="009646AA"/>
    <w:rsid w:val="009646C6"/>
    <w:rsid w:val="00964A80"/>
    <w:rsid w:val="00964CA5"/>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219B"/>
    <w:rsid w:val="009A36CF"/>
    <w:rsid w:val="009A3B9A"/>
    <w:rsid w:val="009A40B4"/>
    <w:rsid w:val="009A4B90"/>
    <w:rsid w:val="009A5812"/>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0FF"/>
    <w:rsid w:val="009F01B2"/>
    <w:rsid w:val="009F0B08"/>
    <w:rsid w:val="009F1946"/>
    <w:rsid w:val="009F19AA"/>
    <w:rsid w:val="009F1ECF"/>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03DF"/>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5E7"/>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59B"/>
    <w:rsid w:val="00A50667"/>
    <w:rsid w:val="00A50B34"/>
    <w:rsid w:val="00A51F23"/>
    <w:rsid w:val="00A53426"/>
    <w:rsid w:val="00A534FF"/>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D11"/>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537"/>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32B"/>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3899"/>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CF"/>
    <w:rsid w:val="00BA1C4D"/>
    <w:rsid w:val="00BA2776"/>
    <w:rsid w:val="00BA2D56"/>
    <w:rsid w:val="00BA3070"/>
    <w:rsid w:val="00BA38A1"/>
    <w:rsid w:val="00BA3AAD"/>
    <w:rsid w:val="00BA3F68"/>
    <w:rsid w:val="00BA412B"/>
    <w:rsid w:val="00BA4735"/>
    <w:rsid w:val="00BA47F0"/>
    <w:rsid w:val="00BA4E2F"/>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0B48"/>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045"/>
    <w:rsid w:val="00D3522E"/>
    <w:rsid w:val="00D3531C"/>
    <w:rsid w:val="00D3719C"/>
    <w:rsid w:val="00D37435"/>
    <w:rsid w:val="00D3750C"/>
    <w:rsid w:val="00D37AB2"/>
    <w:rsid w:val="00D37E51"/>
    <w:rsid w:val="00D40128"/>
    <w:rsid w:val="00D41030"/>
    <w:rsid w:val="00D4145B"/>
    <w:rsid w:val="00D41AAE"/>
    <w:rsid w:val="00D421B2"/>
    <w:rsid w:val="00D42F93"/>
    <w:rsid w:val="00D42FDC"/>
    <w:rsid w:val="00D4311A"/>
    <w:rsid w:val="00D43C00"/>
    <w:rsid w:val="00D44255"/>
    <w:rsid w:val="00D446E3"/>
    <w:rsid w:val="00D45E7D"/>
    <w:rsid w:val="00D4647F"/>
    <w:rsid w:val="00D46B5E"/>
    <w:rsid w:val="00D476B5"/>
    <w:rsid w:val="00D477F7"/>
    <w:rsid w:val="00D50341"/>
    <w:rsid w:val="00D508B9"/>
    <w:rsid w:val="00D518EE"/>
    <w:rsid w:val="00D51A9A"/>
    <w:rsid w:val="00D51E9E"/>
    <w:rsid w:val="00D5260E"/>
    <w:rsid w:val="00D52AA8"/>
    <w:rsid w:val="00D52B5A"/>
    <w:rsid w:val="00D52BC3"/>
    <w:rsid w:val="00D52F79"/>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B4"/>
    <w:rsid w:val="00D862DE"/>
    <w:rsid w:val="00D866D1"/>
    <w:rsid w:val="00D86842"/>
    <w:rsid w:val="00D90100"/>
    <w:rsid w:val="00D91D97"/>
    <w:rsid w:val="00D9225F"/>
    <w:rsid w:val="00D93740"/>
    <w:rsid w:val="00D93E26"/>
    <w:rsid w:val="00D94140"/>
    <w:rsid w:val="00D941E8"/>
    <w:rsid w:val="00D94240"/>
    <w:rsid w:val="00D94343"/>
    <w:rsid w:val="00D94B3E"/>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94"/>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1BB"/>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28C2"/>
    <w:rsid w:val="00E331DA"/>
    <w:rsid w:val="00E33522"/>
    <w:rsid w:val="00E33578"/>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4AEA"/>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6C29"/>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9DC"/>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508E"/>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9D6"/>
    <w:rsid w:val="00EB4C2C"/>
    <w:rsid w:val="00EB5036"/>
    <w:rsid w:val="00EB5BF4"/>
    <w:rsid w:val="00EB6A69"/>
    <w:rsid w:val="00EC01BC"/>
    <w:rsid w:val="00EC0288"/>
    <w:rsid w:val="00EC0CC5"/>
    <w:rsid w:val="00EC0F6E"/>
    <w:rsid w:val="00EC155F"/>
    <w:rsid w:val="00EC16BA"/>
    <w:rsid w:val="00EC18AD"/>
    <w:rsid w:val="00EC1B78"/>
    <w:rsid w:val="00EC2205"/>
    <w:rsid w:val="00EC31C5"/>
    <w:rsid w:val="00EC36BD"/>
    <w:rsid w:val="00EC3A15"/>
    <w:rsid w:val="00EC3C8D"/>
    <w:rsid w:val="00EC3E0B"/>
    <w:rsid w:val="00EC3EEA"/>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2F99"/>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020"/>
    <w:rsid w:val="00F25348"/>
    <w:rsid w:val="00F25DB6"/>
    <w:rsid w:val="00F263E2"/>
    <w:rsid w:val="00F26725"/>
    <w:rsid w:val="00F27DCF"/>
    <w:rsid w:val="00F3020D"/>
    <w:rsid w:val="00F30ADE"/>
    <w:rsid w:val="00F30E3D"/>
    <w:rsid w:val="00F30FEC"/>
    <w:rsid w:val="00F316B0"/>
    <w:rsid w:val="00F32071"/>
    <w:rsid w:val="00F330CE"/>
    <w:rsid w:val="00F332AF"/>
    <w:rsid w:val="00F332B5"/>
    <w:rsid w:val="00F336C8"/>
    <w:rsid w:val="00F336DF"/>
    <w:rsid w:val="00F33A29"/>
    <w:rsid w:val="00F3426A"/>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57F"/>
    <w:rsid w:val="00F8363D"/>
    <w:rsid w:val="00F8470C"/>
    <w:rsid w:val="00F859D9"/>
    <w:rsid w:val="00F86773"/>
    <w:rsid w:val="00F867CE"/>
    <w:rsid w:val="00F86FB8"/>
    <w:rsid w:val="00F86FBC"/>
    <w:rsid w:val="00F8738D"/>
    <w:rsid w:val="00F87514"/>
    <w:rsid w:val="00F87C59"/>
    <w:rsid w:val="00F90512"/>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3EEA"/>
    <w:rsid w:val="00FA4482"/>
    <w:rsid w:val="00FA59D4"/>
    <w:rsid w:val="00FA6651"/>
    <w:rsid w:val="00FA67CA"/>
    <w:rsid w:val="00FA6B07"/>
    <w:rsid w:val="00FA6C8A"/>
    <w:rsid w:val="00FA6D29"/>
    <w:rsid w:val="00FA7DDE"/>
    <w:rsid w:val="00FA7F1F"/>
    <w:rsid w:val="00FA7FEF"/>
    <w:rsid w:val="00FB00D7"/>
    <w:rsid w:val="00FB0496"/>
    <w:rsid w:val="00FB0DBA"/>
    <w:rsid w:val="00FB0E63"/>
    <w:rsid w:val="00FB1171"/>
    <w:rsid w:val="00FB1492"/>
    <w:rsid w:val="00FB1923"/>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B68"/>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15259858">
      <w:bodyDiv w:val="1"/>
      <w:marLeft w:val="0"/>
      <w:marRight w:val="0"/>
      <w:marTop w:val="0"/>
      <w:marBottom w:val="0"/>
      <w:divBdr>
        <w:top w:val="none" w:sz="0" w:space="0" w:color="auto"/>
        <w:left w:val="none" w:sz="0" w:space="0" w:color="auto"/>
        <w:bottom w:val="none" w:sz="0" w:space="0" w:color="auto"/>
        <w:right w:val="none" w:sz="0" w:space="0" w:color="auto"/>
      </w:divBdr>
    </w:div>
    <w:div w:id="405608714">
      <w:bodyDiv w:val="1"/>
      <w:marLeft w:val="0"/>
      <w:marRight w:val="0"/>
      <w:marTop w:val="0"/>
      <w:marBottom w:val="0"/>
      <w:divBdr>
        <w:top w:val="none" w:sz="0" w:space="0" w:color="auto"/>
        <w:left w:val="none" w:sz="0" w:space="0" w:color="auto"/>
        <w:bottom w:val="none" w:sz="0" w:space="0" w:color="auto"/>
        <w:right w:val="none" w:sz="0" w:space="0" w:color="auto"/>
      </w:divBdr>
    </w:div>
    <w:div w:id="523981205">
      <w:bodyDiv w:val="1"/>
      <w:marLeft w:val="0"/>
      <w:marRight w:val="0"/>
      <w:marTop w:val="0"/>
      <w:marBottom w:val="0"/>
      <w:divBdr>
        <w:top w:val="none" w:sz="0" w:space="0" w:color="auto"/>
        <w:left w:val="none" w:sz="0" w:space="0" w:color="auto"/>
        <w:bottom w:val="none" w:sz="0" w:space="0" w:color="auto"/>
        <w:right w:val="none" w:sz="0" w:space="0" w:color="auto"/>
      </w:divBdr>
    </w:div>
    <w:div w:id="67936016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39541145">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54180461">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4A62-5BF6-484A-8068-141D09A4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2666</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47</cp:revision>
  <cp:lastPrinted>2017-04-17T16:50:00Z</cp:lastPrinted>
  <dcterms:created xsi:type="dcterms:W3CDTF">2017-06-21T15:04:00Z</dcterms:created>
  <dcterms:modified xsi:type="dcterms:W3CDTF">2017-09-07T16:06:00Z</dcterms:modified>
</cp:coreProperties>
</file>