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E" w:rsidRDefault="00C9348E" w:rsidP="00C9348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C9348E" w:rsidRDefault="00C9348E" w:rsidP="00C9348E">
      <w:pPr>
        <w:pStyle w:val="Sinespaciado"/>
        <w:jc w:val="both"/>
        <w:rPr>
          <w:rFonts w:asciiTheme="minorHAnsi" w:hAnsiTheme="minorHAnsi"/>
          <w:sz w:val="18"/>
          <w:szCs w:val="18"/>
        </w:rPr>
      </w:pPr>
    </w:p>
    <w:p w:rsidR="00C9348E" w:rsidRPr="00C9348E" w:rsidRDefault="00C9348E" w:rsidP="00C9348E">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CON</w:t>
      </w:r>
      <w:r>
        <w:rPr>
          <w:rFonts w:asciiTheme="minorHAnsi" w:hAnsiTheme="minorHAnsi"/>
          <w:b/>
          <w:sz w:val="18"/>
          <w:szCs w:val="18"/>
        </w:rPr>
        <w:t xml:space="preserve">TRA PROVIDENCIA JUDICIAL – RECHAZO DEMANDA DE RESPONSABILIDAD CIVIL EXTRA CONTRACTUAL – REQUISITO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CONCILIACIÓN ADMINISTRATIVA - INMEDIATEZ – IMPROCEDENTE -</w:t>
      </w:r>
      <w:r>
        <w:rPr>
          <w:rFonts w:asciiTheme="minorHAnsi" w:hAnsiTheme="minorHAnsi"/>
          <w:b/>
          <w:sz w:val="18"/>
          <w:szCs w:val="18"/>
        </w:rPr>
        <w:t xml:space="preserve"> - </w:t>
      </w:r>
      <w:r w:rsidRPr="00C9348E">
        <w:rPr>
          <w:rFonts w:asciiTheme="minorHAnsi" w:hAnsiTheme="minorHAnsi"/>
          <w:sz w:val="18"/>
          <w:szCs w:val="18"/>
        </w:rPr>
        <w:t xml:space="preserve">Partiendo de las premisas jurídicas anotadas, se confirmará la sentencia opugnada dada su manifiesta improcedencia, pero originada en el incumplimiento del requisito general de </w:t>
      </w:r>
      <w:proofErr w:type="spellStart"/>
      <w:r w:rsidRPr="00C9348E">
        <w:rPr>
          <w:rFonts w:asciiTheme="minorHAnsi" w:hAnsiTheme="minorHAnsi"/>
          <w:sz w:val="18"/>
          <w:szCs w:val="18"/>
        </w:rPr>
        <w:t>procedibilidad</w:t>
      </w:r>
      <w:proofErr w:type="spellEnd"/>
      <w:r w:rsidRPr="00C9348E">
        <w:rPr>
          <w:rFonts w:asciiTheme="minorHAnsi" w:hAnsiTheme="minorHAnsi"/>
          <w:sz w:val="18"/>
          <w:szCs w:val="18"/>
        </w:rPr>
        <w:t xml:space="preserve"> de la inmediatez y no el de la subsidiariedad como lo señaló el Juzgado. De tal manera que es innecesario analizar los requisitos especiales. </w:t>
      </w:r>
    </w:p>
    <w:p w:rsidR="00C9348E" w:rsidRPr="00C9348E" w:rsidRDefault="00C9348E" w:rsidP="00C9348E">
      <w:pPr>
        <w:pStyle w:val="Sinespaciado"/>
        <w:jc w:val="both"/>
        <w:rPr>
          <w:rFonts w:asciiTheme="minorHAnsi" w:hAnsiTheme="minorHAnsi"/>
          <w:sz w:val="18"/>
          <w:szCs w:val="18"/>
        </w:rPr>
      </w:pPr>
    </w:p>
    <w:p w:rsidR="00C9348E" w:rsidRPr="00C9348E" w:rsidRDefault="00C9348E" w:rsidP="00C9348E">
      <w:pPr>
        <w:pStyle w:val="Sinespaciado"/>
        <w:jc w:val="both"/>
        <w:rPr>
          <w:rFonts w:asciiTheme="minorHAnsi" w:hAnsiTheme="minorHAnsi"/>
          <w:sz w:val="18"/>
          <w:szCs w:val="18"/>
        </w:rPr>
      </w:pPr>
      <w:r w:rsidRPr="00C9348E">
        <w:rPr>
          <w:rFonts w:asciiTheme="minorHAnsi" w:hAnsiTheme="minorHAnsi"/>
          <w:sz w:val="18"/>
          <w:szCs w:val="18"/>
        </w:rPr>
        <w:t xml:space="preserve">Como bien lo anota el accionante, el auto que rechazó la demanda no era apelable en razón a que se trata de un proceso de única instancia ($15.898.806) (Artículo 25, </w:t>
      </w:r>
      <w:proofErr w:type="spellStart"/>
      <w:r w:rsidRPr="00C9348E">
        <w:rPr>
          <w:rFonts w:asciiTheme="minorHAnsi" w:hAnsiTheme="minorHAnsi"/>
          <w:sz w:val="18"/>
          <w:szCs w:val="18"/>
        </w:rPr>
        <w:t>CGP</w:t>
      </w:r>
      <w:proofErr w:type="spellEnd"/>
      <w:r w:rsidRPr="00C9348E">
        <w:rPr>
          <w:rFonts w:asciiTheme="minorHAnsi" w:hAnsiTheme="minorHAnsi"/>
          <w:sz w:val="18"/>
          <w:szCs w:val="18"/>
        </w:rPr>
        <w:t xml:space="preserve">), de tal manera que la subsidiariedad se superó con la reposición que presentó. </w:t>
      </w:r>
    </w:p>
    <w:p w:rsidR="00C9348E" w:rsidRPr="00C9348E" w:rsidRDefault="00C9348E" w:rsidP="00C9348E">
      <w:pPr>
        <w:pStyle w:val="Sinespaciado"/>
        <w:jc w:val="both"/>
        <w:rPr>
          <w:rFonts w:asciiTheme="minorHAnsi" w:hAnsiTheme="minorHAnsi"/>
          <w:sz w:val="18"/>
          <w:szCs w:val="18"/>
        </w:rPr>
      </w:pPr>
      <w:bookmarkStart w:id="0" w:name="_GoBack"/>
      <w:bookmarkEnd w:id="0"/>
    </w:p>
    <w:p w:rsidR="00C9348E" w:rsidRDefault="00C9348E" w:rsidP="00C9348E">
      <w:pPr>
        <w:pStyle w:val="Sinespaciado"/>
        <w:jc w:val="both"/>
        <w:rPr>
          <w:rFonts w:asciiTheme="minorHAnsi" w:hAnsiTheme="minorHAnsi"/>
          <w:sz w:val="18"/>
          <w:szCs w:val="18"/>
        </w:rPr>
      </w:pPr>
      <w:r w:rsidRPr="00C9348E">
        <w:rPr>
          <w:rFonts w:asciiTheme="minorHAnsi" w:hAnsiTheme="minorHAnsi"/>
          <w:sz w:val="18"/>
          <w:szCs w:val="18"/>
        </w:rPr>
        <w:t>No obstante lo anterior, se tiene que el auto que desató el recurso data del 19-09-2016, notificado con fijación en el estado del 20-09-2016 (folios 39 a 41, cuaderno No.1), y la tutela se radicó el 31-03-2017 (Folio 52, ibídem), lo que implica sin lugar a dudas, que carece de inmediatez, pues se desbordó el plazo de los seis (6) meses fijado por la jurisprudencia , es así que transcurrieron seis (6) meses y once (11) días hasta el día de su presentación.</w:t>
      </w:r>
    </w:p>
    <w:p w:rsidR="00EE7CA4" w:rsidRDefault="00EE7CA4" w:rsidP="002403C8">
      <w:pPr>
        <w:pStyle w:val="Sinespaciado"/>
        <w:tabs>
          <w:tab w:val="left" w:pos="3579"/>
        </w:tabs>
        <w:spacing w:line="360" w:lineRule="auto"/>
        <w:jc w:val="center"/>
        <w:rPr>
          <w:rFonts w:ascii="Arial" w:hAnsi="Arial" w:cs="Arial"/>
          <w:w w:val="140"/>
          <w:sz w:val="14"/>
        </w:rPr>
      </w:pPr>
    </w:p>
    <w:p w:rsidR="00C9348E" w:rsidRDefault="00C9348E"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xml:space="preserve">: Sentencia de tutela en </w:t>
      </w:r>
      <w:r w:rsidR="00D9239A">
        <w:rPr>
          <w:rFonts w:ascii="Arial" w:hAnsi="Arial" w:cs="Arial"/>
          <w:sz w:val="22"/>
          <w:szCs w:val="22"/>
        </w:rPr>
        <w:t xml:space="preserve">segunda </w:t>
      </w:r>
      <w:r w:rsidR="0099045D" w:rsidRPr="002060F5">
        <w:rPr>
          <w:rFonts w:ascii="Arial" w:hAnsi="Arial" w:cs="Arial"/>
          <w:sz w:val="22"/>
          <w:szCs w:val="22"/>
        </w:rPr>
        <w:t>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9239A">
        <w:rPr>
          <w:rFonts w:ascii="Arial" w:hAnsi="Arial" w:cs="Arial"/>
          <w:sz w:val="22"/>
        </w:rPr>
        <w:t>Juan David Gutiérrez Hurtado</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D9239A">
        <w:rPr>
          <w:rFonts w:ascii="Arial" w:hAnsi="Arial" w:cs="Arial"/>
          <w:sz w:val="22"/>
          <w:lang w:val="es-CO"/>
        </w:rPr>
        <w:t xml:space="preserve">Tercero </w:t>
      </w:r>
      <w:r w:rsidRPr="00964618">
        <w:rPr>
          <w:rFonts w:ascii="Arial" w:hAnsi="Arial" w:cs="Arial"/>
          <w:sz w:val="22"/>
        </w:rPr>
        <w:t xml:space="preserve">Civil </w:t>
      </w:r>
      <w:r w:rsidR="00D9239A">
        <w:rPr>
          <w:rFonts w:ascii="Arial" w:hAnsi="Arial" w:cs="Arial"/>
          <w:sz w:val="22"/>
        </w:rPr>
        <w:t xml:space="preserve">Municipal </w:t>
      </w:r>
      <w:r w:rsidRPr="00964618">
        <w:rPr>
          <w:rFonts w:ascii="Arial" w:hAnsi="Arial" w:cs="Arial"/>
          <w:sz w:val="22"/>
        </w:rPr>
        <w:t xml:space="preserve">de </w:t>
      </w:r>
      <w:r w:rsidR="004461D4">
        <w:rPr>
          <w:rFonts w:ascii="Arial" w:hAnsi="Arial" w:cs="Arial"/>
          <w:sz w:val="22"/>
        </w:rPr>
        <w:t>Pereira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1B04FD">
        <w:rPr>
          <w:rFonts w:ascii="Arial" w:hAnsi="Arial" w:cs="Arial"/>
          <w:sz w:val="22"/>
        </w:rPr>
        <w:t xml:space="preserve">2017-00026-01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0676A">
        <w:rPr>
          <w:rFonts w:ascii="Arial" w:hAnsi="Arial" w:cs="Arial"/>
          <w:sz w:val="22"/>
          <w:szCs w:val="22"/>
        </w:rPr>
        <w:t>Pro</w:t>
      </w:r>
      <w:r w:rsidR="00582739">
        <w:rPr>
          <w:rFonts w:ascii="Arial" w:hAnsi="Arial" w:cs="Arial"/>
          <w:sz w:val="22"/>
          <w:szCs w:val="22"/>
        </w:rPr>
        <w:t xml:space="preserve">cedencia - </w:t>
      </w:r>
      <w:r w:rsidR="00A74786">
        <w:rPr>
          <w:rFonts w:ascii="Arial" w:hAnsi="Arial" w:cs="Arial"/>
          <w:sz w:val="22"/>
          <w:szCs w:val="22"/>
        </w:rPr>
        <w:t>Inmediatez</w:t>
      </w:r>
    </w:p>
    <w:p w:rsidR="00E17925" w:rsidRDefault="008E5334" w:rsidP="00E17925">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E17925" w:rsidRPr="00F86DCE">
        <w:rPr>
          <w:rFonts w:ascii="Arial" w:hAnsi="Arial"/>
          <w:sz w:val="22"/>
          <w:szCs w:val="22"/>
        </w:rPr>
        <w:t>Despacho de origen</w:t>
      </w:r>
      <w:r w:rsidR="00E17925" w:rsidRPr="00F86DCE">
        <w:rPr>
          <w:rFonts w:ascii="Arial" w:hAnsi="Arial"/>
          <w:sz w:val="22"/>
          <w:szCs w:val="22"/>
        </w:rPr>
        <w:tab/>
        <w:t xml:space="preserve">: </w:t>
      </w:r>
      <w:r w:rsidR="00E17925">
        <w:rPr>
          <w:rFonts w:ascii="Arial" w:hAnsi="Arial"/>
          <w:sz w:val="22"/>
          <w:szCs w:val="22"/>
        </w:rPr>
        <w:t xml:space="preserve">Juzgado Civil del Circuito de Dosquebradas </w:t>
      </w:r>
    </w:p>
    <w:p w:rsidR="0099045D" w:rsidRPr="002060F5" w:rsidRDefault="00E17925"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sidR="003561E9">
        <w:rPr>
          <w:rFonts w:ascii="Arial" w:hAnsi="Arial"/>
          <w:sz w:val="22"/>
          <w:szCs w:val="22"/>
        </w:rPr>
        <w:t xml:space="preserve"> </w:t>
      </w:r>
      <w:r w:rsidR="008C5A0B">
        <w:rPr>
          <w:rFonts w:ascii="Arial" w:hAnsi="Arial"/>
          <w:sz w:val="22"/>
          <w:szCs w:val="22"/>
        </w:rPr>
        <w:t>296 de 05-06-2017</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8C5A0B">
        <w:rPr>
          <w:rFonts w:ascii="Arial" w:hAnsi="Arial" w:cs="Arial"/>
          <w:iCs/>
          <w:smallCaps/>
          <w:sz w:val="28"/>
          <w:szCs w:val="28"/>
          <w:lang w:val="es-CO"/>
        </w:rPr>
        <w:t xml:space="preserve">cinco </w:t>
      </w:r>
      <w:r w:rsidRPr="00D11143">
        <w:rPr>
          <w:rFonts w:ascii="Arial" w:hAnsi="Arial" w:cs="Arial"/>
          <w:iCs/>
          <w:smallCaps/>
          <w:sz w:val="28"/>
          <w:szCs w:val="28"/>
          <w:lang w:val="es-CO"/>
        </w:rPr>
        <w:t>(</w:t>
      </w:r>
      <w:r w:rsidR="008C5A0B">
        <w:rPr>
          <w:rFonts w:ascii="Arial" w:hAnsi="Arial" w:cs="Arial"/>
          <w:iCs/>
          <w:smallCaps/>
          <w:sz w:val="28"/>
          <w:szCs w:val="28"/>
          <w:lang w:val="es-CO"/>
        </w:rPr>
        <w:t>5</w:t>
      </w:r>
      <w:r w:rsidRPr="00D11143">
        <w:rPr>
          <w:rFonts w:ascii="Arial" w:hAnsi="Arial" w:cs="Arial"/>
          <w:iCs/>
          <w:smallCaps/>
          <w:sz w:val="28"/>
          <w:szCs w:val="28"/>
          <w:lang w:val="es-CO"/>
        </w:rPr>
        <w:t xml:space="preserve">) de </w:t>
      </w:r>
      <w:r w:rsidR="001B04FD">
        <w:rPr>
          <w:rFonts w:ascii="Arial" w:hAnsi="Arial" w:cs="Arial"/>
          <w:iCs/>
          <w:smallCaps/>
          <w:sz w:val="28"/>
          <w:szCs w:val="28"/>
          <w:lang w:val="es-CO"/>
        </w:rPr>
        <w:t xml:space="preserve">junio </w:t>
      </w:r>
      <w:r w:rsidRPr="00D11143">
        <w:rPr>
          <w:rFonts w:ascii="Arial" w:hAnsi="Arial" w:cs="Arial"/>
          <w:iCs/>
          <w:smallCaps/>
          <w:sz w:val="28"/>
          <w:szCs w:val="28"/>
          <w:lang w:val="es-CO"/>
        </w:rPr>
        <w:t xml:space="preserve">de dos mil </w:t>
      </w:r>
      <w:r w:rsidR="004461D4">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sidR="004461D4">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1B04FD" w:rsidRPr="004D623C" w:rsidRDefault="001B04FD" w:rsidP="001B04FD">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1B04FD" w:rsidRPr="00066D06" w:rsidRDefault="001B04FD" w:rsidP="001B04FD">
      <w:pPr>
        <w:pStyle w:val="Textoindependiente"/>
        <w:spacing w:line="360" w:lineRule="auto"/>
        <w:rPr>
          <w:rFonts w:ascii="Arial" w:hAnsi="Arial" w:cs="Arial"/>
          <w:szCs w:val="24"/>
        </w:rPr>
      </w:pPr>
    </w:p>
    <w:p w:rsidR="001B04FD" w:rsidRPr="006545A0" w:rsidRDefault="001B04FD" w:rsidP="001B04FD">
      <w:pPr>
        <w:pStyle w:val="Textoindependiente"/>
        <w:spacing w:line="360" w:lineRule="auto"/>
        <w:rPr>
          <w:rFonts w:ascii="Arial" w:hAnsi="Arial"/>
          <w:szCs w:val="24"/>
        </w:rPr>
      </w:pPr>
      <w:r w:rsidRPr="006545A0">
        <w:rPr>
          <w:rFonts w:ascii="Arial" w:hAnsi="Arial"/>
          <w:szCs w:val="24"/>
        </w:rPr>
        <w:t xml:space="preserve">La impugnación </w:t>
      </w:r>
      <w:r>
        <w:rPr>
          <w:rFonts w:ascii="Arial" w:hAnsi="Arial"/>
          <w:szCs w:val="24"/>
        </w:rPr>
        <w:t>suscitada</w:t>
      </w:r>
      <w:r w:rsidRPr="006545A0">
        <w:rPr>
          <w:rFonts w:ascii="Arial" w:hAnsi="Arial"/>
          <w:szCs w:val="24"/>
        </w:rPr>
        <w:t xml:space="preserve"> en el trámite constitucional ya referido, una vez se ha cumplido la actuación de primera instancia.</w:t>
      </w:r>
    </w:p>
    <w:p w:rsidR="001B04FD" w:rsidRPr="00066D06" w:rsidRDefault="001B04FD" w:rsidP="001B04FD">
      <w:pPr>
        <w:pStyle w:val="Textoindependiente"/>
        <w:spacing w:line="360" w:lineRule="auto"/>
        <w:rPr>
          <w:rFonts w:ascii="Arial" w:hAnsi="Arial" w:cs="Arial"/>
          <w:szCs w:val="24"/>
        </w:rPr>
      </w:pPr>
    </w:p>
    <w:p w:rsidR="00CB272A" w:rsidRPr="00934393" w:rsidRDefault="00934393" w:rsidP="00CB272A">
      <w:pPr>
        <w:pStyle w:val="Textoindependiente"/>
        <w:numPr>
          <w:ilvl w:val="0"/>
          <w:numId w:val="1"/>
        </w:numPr>
        <w:spacing w:line="360" w:lineRule="auto"/>
        <w:rPr>
          <w:rFonts w:ascii="Arial" w:hAnsi="Arial"/>
          <w:smallCaps/>
          <w:szCs w:val="24"/>
        </w:rPr>
      </w:pPr>
      <w:r w:rsidRPr="00934393">
        <w:rPr>
          <w:rFonts w:ascii="Arial" w:hAnsi="Arial"/>
          <w:smallCaps/>
          <w:sz w:val="28"/>
          <w:szCs w:val="24"/>
        </w:rPr>
        <w:t xml:space="preserve">La síntesis </w:t>
      </w:r>
      <w:r w:rsidR="004435B9">
        <w:rPr>
          <w:rFonts w:ascii="Arial" w:hAnsi="Arial"/>
          <w:smallCaps/>
          <w:sz w:val="28"/>
          <w:szCs w:val="24"/>
        </w:rPr>
        <w:t>fáctica</w:t>
      </w:r>
      <w:r w:rsidRPr="00934393">
        <w:rPr>
          <w:rFonts w:ascii="Arial" w:hAnsi="Arial"/>
          <w:smallCaps/>
          <w:sz w:val="28"/>
          <w:szCs w:val="24"/>
        </w:rPr>
        <w:t xml:space="preserve"> </w:t>
      </w:r>
    </w:p>
    <w:p w:rsidR="00CB272A" w:rsidRDefault="00CB272A" w:rsidP="00CB272A">
      <w:pPr>
        <w:pStyle w:val="Textoindependiente"/>
        <w:spacing w:line="360" w:lineRule="auto"/>
        <w:rPr>
          <w:rFonts w:ascii="Arial" w:hAnsi="Arial" w:cs="Arial"/>
          <w:szCs w:val="24"/>
        </w:rPr>
      </w:pPr>
    </w:p>
    <w:p w:rsidR="00CB272A" w:rsidRDefault="008A7FFC" w:rsidP="00CB272A">
      <w:pPr>
        <w:spacing w:line="360" w:lineRule="auto"/>
        <w:jc w:val="both"/>
        <w:rPr>
          <w:rFonts w:ascii="Arial" w:hAnsi="Arial" w:cs="Arial"/>
        </w:rPr>
      </w:pPr>
      <w:r>
        <w:rPr>
          <w:rFonts w:ascii="Arial" w:hAnsi="Arial" w:cs="Arial"/>
        </w:rPr>
        <w:t>Se i</w:t>
      </w:r>
      <w:r w:rsidR="00CB272A">
        <w:rPr>
          <w:rFonts w:ascii="Arial" w:hAnsi="Arial" w:cs="Arial"/>
        </w:rPr>
        <w:t xml:space="preserve">ndicó </w:t>
      </w:r>
      <w:r w:rsidR="004461D4">
        <w:rPr>
          <w:rFonts w:ascii="Arial" w:hAnsi="Arial" w:cs="Arial"/>
        </w:rPr>
        <w:t xml:space="preserve">que </w:t>
      </w:r>
      <w:r w:rsidR="001B04FD">
        <w:rPr>
          <w:rFonts w:ascii="Arial" w:hAnsi="Arial" w:cs="Arial"/>
        </w:rPr>
        <w:t xml:space="preserve">el accionante presentó demanda de responsabilidad civil extracontractual ante el Juzgado accionado, pero fue rechazada con auto del 08-09-2016 porque </w:t>
      </w:r>
      <w:r w:rsidR="008C5A0B">
        <w:rPr>
          <w:rFonts w:ascii="Arial" w:hAnsi="Arial" w:cs="Arial"/>
        </w:rPr>
        <w:t xml:space="preserve">dejó agotar </w:t>
      </w:r>
      <w:r w:rsidR="001B04FD">
        <w:rPr>
          <w:rFonts w:ascii="Arial" w:hAnsi="Arial" w:cs="Arial"/>
        </w:rPr>
        <w:t xml:space="preserve">el requisito de </w:t>
      </w:r>
      <w:proofErr w:type="spellStart"/>
      <w:r w:rsidR="001B04FD">
        <w:rPr>
          <w:rFonts w:ascii="Arial" w:hAnsi="Arial" w:cs="Arial"/>
        </w:rPr>
        <w:t>procedibilidad</w:t>
      </w:r>
      <w:proofErr w:type="spellEnd"/>
      <w:r w:rsidR="001B04FD">
        <w:rPr>
          <w:rFonts w:ascii="Arial" w:hAnsi="Arial" w:cs="Arial"/>
        </w:rPr>
        <w:t xml:space="preserve"> de la conciliación extrajudicial, la medida cautelar pedida era improcedente y, además, carecía de legitimación por activa; recurrió, </w:t>
      </w:r>
      <w:r w:rsidR="004435B9">
        <w:rPr>
          <w:rFonts w:ascii="Arial" w:hAnsi="Arial" w:cs="Arial"/>
        </w:rPr>
        <w:t xml:space="preserve">pero no se repuso </w:t>
      </w:r>
      <w:r w:rsidR="008C5A0B">
        <w:rPr>
          <w:rFonts w:ascii="Arial" w:hAnsi="Arial" w:cs="Arial"/>
        </w:rPr>
        <w:t xml:space="preserve">la </w:t>
      </w:r>
      <w:r w:rsidR="004435B9">
        <w:rPr>
          <w:rFonts w:ascii="Arial" w:hAnsi="Arial" w:cs="Arial"/>
        </w:rPr>
        <w:t xml:space="preserve">decisión </w:t>
      </w:r>
      <w:r w:rsidR="00CB272A" w:rsidRPr="00AF753A">
        <w:rPr>
          <w:rFonts w:ascii="Arial" w:hAnsi="Arial" w:cs="Arial"/>
        </w:rPr>
        <w:t>(Folio</w:t>
      </w:r>
      <w:r w:rsidR="009816F4">
        <w:rPr>
          <w:rFonts w:ascii="Arial" w:hAnsi="Arial" w:cs="Arial"/>
        </w:rPr>
        <w:t>s</w:t>
      </w:r>
      <w:r w:rsidR="00CB272A">
        <w:rPr>
          <w:rFonts w:ascii="Arial" w:hAnsi="Arial" w:cs="Arial"/>
        </w:rPr>
        <w:t xml:space="preserve"> </w:t>
      </w:r>
      <w:r w:rsidR="004435B9">
        <w:rPr>
          <w:rFonts w:ascii="Arial" w:hAnsi="Arial" w:cs="Arial"/>
        </w:rPr>
        <w:t>42 a 51</w:t>
      </w:r>
      <w:r w:rsidR="00934393">
        <w:rPr>
          <w:rFonts w:ascii="Arial" w:hAnsi="Arial" w:cs="Arial"/>
        </w:rPr>
        <w:t>,</w:t>
      </w:r>
      <w:r w:rsidR="00CB272A" w:rsidRPr="00AF753A">
        <w:rPr>
          <w:rFonts w:ascii="Arial" w:hAnsi="Arial" w:cs="Arial"/>
        </w:rPr>
        <w:t xml:space="preserve"> </w:t>
      </w:r>
      <w:r w:rsidR="00CB272A">
        <w:rPr>
          <w:rFonts w:ascii="Arial" w:hAnsi="Arial" w:cs="Arial"/>
        </w:rPr>
        <w:t>del cuaderno No.1)</w:t>
      </w:r>
      <w:r w:rsidR="00CB272A" w:rsidRPr="00AF753A">
        <w:rPr>
          <w:rFonts w:ascii="Arial" w:hAnsi="Arial" w:cs="Arial"/>
        </w:rPr>
        <w:t xml:space="preserve">. </w:t>
      </w:r>
    </w:p>
    <w:p w:rsidR="00CB272A" w:rsidRPr="00BA69B4" w:rsidRDefault="00CB272A" w:rsidP="0099045D">
      <w:pPr>
        <w:pStyle w:val="Textoindependiente"/>
        <w:spacing w:line="360" w:lineRule="auto"/>
        <w:rPr>
          <w:rFonts w:ascii="Arial" w:hAnsi="Arial"/>
          <w:szCs w:val="24"/>
          <w:lang w:val="es-CO"/>
        </w:rPr>
      </w:pPr>
    </w:p>
    <w:p w:rsidR="0099045D" w:rsidRPr="006803AE" w:rsidRDefault="00E278DB" w:rsidP="0099045D">
      <w:pPr>
        <w:pStyle w:val="Textoindependiente"/>
        <w:numPr>
          <w:ilvl w:val="0"/>
          <w:numId w:val="1"/>
        </w:numPr>
        <w:spacing w:line="360" w:lineRule="auto"/>
        <w:rPr>
          <w:rFonts w:ascii="Arial" w:hAnsi="Arial"/>
          <w:smallCaps/>
          <w:szCs w:val="24"/>
        </w:rPr>
      </w:pPr>
      <w:r>
        <w:rPr>
          <w:rFonts w:ascii="Arial" w:hAnsi="Arial"/>
          <w:smallCaps/>
          <w:sz w:val="28"/>
          <w:szCs w:val="24"/>
        </w:rPr>
        <w:t>El derecho invocado</w:t>
      </w:r>
    </w:p>
    <w:p w:rsidR="006803AE" w:rsidRPr="00934393" w:rsidRDefault="006803AE" w:rsidP="006803AE">
      <w:pPr>
        <w:pStyle w:val="Textoindependiente"/>
        <w:spacing w:line="360" w:lineRule="auto"/>
        <w:ind w:left="360"/>
        <w:rPr>
          <w:rFonts w:ascii="Arial" w:hAnsi="Arial"/>
          <w:smallCaps/>
          <w:szCs w:val="24"/>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4435B9">
        <w:rPr>
          <w:rFonts w:ascii="Arial" w:hAnsi="Arial" w:cs="Arial"/>
          <w:spacing w:val="-3"/>
          <w:lang w:val="es-ES_tradnl"/>
        </w:rPr>
        <w:t>n</w:t>
      </w:r>
      <w:r w:rsidR="008259FB">
        <w:rPr>
          <w:rFonts w:ascii="Arial" w:hAnsi="Arial" w:cs="Arial"/>
          <w:spacing w:val="-3"/>
          <w:lang w:val="es-ES_tradnl"/>
        </w:rPr>
        <w:t xml:space="preserve"> </w:t>
      </w:r>
      <w:r w:rsidR="004435B9">
        <w:rPr>
          <w:rFonts w:ascii="Arial" w:hAnsi="Arial" w:cs="Arial"/>
          <w:spacing w:val="-3"/>
          <w:lang w:val="es-ES_tradnl"/>
        </w:rPr>
        <w:t xml:space="preserve">los derechos </w:t>
      </w:r>
      <w:r w:rsidR="00E278DB">
        <w:rPr>
          <w:rFonts w:ascii="Arial" w:hAnsi="Arial" w:cs="Arial"/>
          <w:spacing w:val="-3"/>
          <w:lang w:val="es-ES_tradnl"/>
        </w:rPr>
        <w:t xml:space="preserve">al </w:t>
      </w:r>
      <w:r w:rsidR="009816F4">
        <w:rPr>
          <w:rFonts w:ascii="Arial" w:hAnsi="Arial" w:cs="Arial"/>
          <w:spacing w:val="-3"/>
          <w:lang w:val="es-ES_tradnl"/>
        </w:rPr>
        <w:t>debido proceso</w:t>
      </w:r>
      <w:r w:rsidR="000C5128">
        <w:rPr>
          <w:rFonts w:ascii="Arial" w:hAnsi="Arial" w:cs="Arial"/>
          <w:spacing w:val="-3"/>
          <w:lang w:val="es-ES_tradnl"/>
        </w:rPr>
        <w:t xml:space="preserve"> </w:t>
      </w:r>
      <w:r w:rsidR="004435B9">
        <w:rPr>
          <w:rFonts w:ascii="Arial" w:hAnsi="Arial" w:cs="Arial"/>
          <w:spacing w:val="-3"/>
          <w:lang w:val="es-ES_tradnl"/>
        </w:rPr>
        <w:t xml:space="preserve">y al acceso a la administración de justicia </w:t>
      </w:r>
      <w:r w:rsidR="001B6BBA" w:rsidRPr="00AF753A">
        <w:rPr>
          <w:rFonts w:ascii="Arial" w:hAnsi="Arial" w:cs="Arial"/>
        </w:rPr>
        <w:t>(Folio</w:t>
      </w:r>
      <w:r w:rsidR="003D2D95">
        <w:rPr>
          <w:rFonts w:ascii="Arial" w:hAnsi="Arial" w:cs="Arial"/>
        </w:rPr>
        <w:t xml:space="preserve"> </w:t>
      </w:r>
      <w:r w:rsidR="004435B9">
        <w:rPr>
          <w:rFonts w:ascii="Arial" w:hAnsi="Arial" w:cs="Arial"/>
        </w:rPr>
        <w:t>50</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Pr="00E1792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sidR="004435B9">
        <w:rPr>
          <w:rFonts w:ascii="Arial" w:hAnsi="Arial" w:cs="Arial"/>
        </w:rPr>
        <w:t xml:space="preserve">: (i) Tutelar los derechos invocados; (ii) dejar sin efectos el auto del 08-09-2016; y (iii) ordenar al Juzgado dictar una nueva decisión en la que corrija los yerros en que incurrió </w:t>
      </w:r>
      <w:r w:rsidR="00006C6E" w:rsidRPr="00AF753A">
        <w:rPr>
          <w:rFonts w:ascii="Arial" w:hAnsi="Arial" w:cs="Arial"/>
        </w:rPr>
        <w:t>(Folio</w:t>
      </w:r>
      <w:r w:rsidR="00006C6E">
        <w:rPr>
          <w:rFonts w:ascii="Arial" w:hAnsi="Arial" w:cs="Arial"/>
        </w:rPr>
        <w:t xml:space="preserve"> </w:t>
      </w:r>
      <w:r w:rsidR="004435B9">
        <w:rPr>
          <w:rFonts w:ascii="Arial" w:hAnsi="Arial" w:cs="Arial"/>
        </w:rPr>
        <w:t>50</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864E47" w:rsidRDefault="003A2CB1"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435B9" w:rsidRPr="00020AA3" w:rsidRDefault="004435B9" w:rsidP="004435B9">
      <w:pPr>
        <w:pStyle w:val="Textoindependiente"/>
        <w:widowControl w:val="0"/>
        <w:spacing w:line="360" w:lineRule="auto"/>
        <w:rPr>
          <w:rFonts w:ascii="Arial" w:hAnsi="Arial"/>
        </w:rPr>
      </w:pPr>
      <w:r>
        <w:rPr>
          <w:rFonts w:ascii="Arial" w:hAnsi="Arial"/>
        </w:rPr>
        <w:t>C</w:t>
      </w:r>
      <w:r w:rsidRPr="00020AA3">
        <w:rPr>
          <w:rFonts w:ascii="Arial" w:hAnsi="Arial"/>
        </w:rPr>
        <w:t xml:space="preserve">on providencia del </w:t>
      </w:r>
      <w:r>
        <w:rPr>
          <w:rFonts w:ascii="Arial" w:hAnsi="Arial"/>
        </w:rPr>
        <w:t xml:space="preserve">31-03-2017 se </w:t>
      </w:r>
      <w:r w:rsidRPr="00020AA3">
        <w:rPr>
          <w:rFonts w:ascii="Arial" w:hAnsi="Arial"/>
        </w:rPr>
        <w:t xml:space="preserve">admitió y </w:t>
      </w:r>
      <w:r>
        <w:rPr>
          <w:rFonts w:ascii="Arial" w:hAnsi="Arial"/>
        </w:rPr>
        <w:t xml:space="preserve">se </w:t>
      </w:r>
      <w:r w:rsidRPr="00020AA3">
        <w:rPr>
          <w:rFonts w:ascii="Arial" w:hAnsi="Arial"/>
        </w:rPr>
        <w:t xml:space="preserve">ordenó notificar a las partes (Folio </w:t>
      </w:r>
      <w:r>
        <w:rPr>
          <w:rFonts w:ascii="Arial" w:hAnsi="Arial"/>
        </w:rPr>
        <w:t>53</w:t>
      </w:r>
      <w:r w:rsidRPr="00020AA3">
        <w:rPr>
          <w:rFonts w:ascii="Arial" w:hAnsi="Arial"/>
        </w:rPr>
        <w:t>, ibídem)</w:t>
      </w:r>
      <w:r>
        <w:rPr>
          <w:rFonts w:ascii="Arial" w:hAnsi="Arial"/>
        </w:rPr>
        <w:t>; el 05-04-2017 se realizó la inspección judicial (Folio 57, ibídem), el 19-04-2017 se p</w:t>
      </w:r>
      <w:r w:rsidRPr="00020AA3">
        <w:rPr>
          <w:rFonts w:ascii="Arial" w:hAnsi="Arial"/>
        </w:rPr>
        <w:t>rofirió sentencia</w:t>
      </w:r>
      <w:r>
        <w:rPr>
          <w:rFonts w:ascii="Arial" w:hAnsi="Arial"/>
        </w:rPr>
        <w:t xml:space="preserve"> </w:t>
      </w:r>
      <w:r w:rsidRPr="00020AA3">
        <w:rPr>
          <w:rFonts w:ascii="Arial" w:hAnsi="Arial"/>
        </w:rPr>
        <w:t xml:space="preserve">(Folios </w:t>
      </w:r>
      <w:r>
        <w:rPr>
          <w:rFonts w:ascii="Arial" w:hAnsi="Arial"/>
        </w:rPr>
        <w:t>59 a 63</w:t>
      </w:r>
      <w:r w:rsidRPr="00020AA3">
        <w:rPr>
          <w:rFonts w:ascii="Arial" w:hAnsi="Arial"/>
        </w:rPr>
        <w:t>, ibídem);</w:t>
      </w:r>
      <w:r>
        <w:rPr>
          <w:rFonts w:ascii="Arial" w:hAnsi="Arial"/>
        </w:rPr>
        <w:t xml:space="preserve"> y, finalmente</w:t>
      </w:r>
      <w:r w:rsidRPr="00020AA3">
        <w:rPr>
          <w:rFonts w:ascii="Arial" w:hAnsi="Arial"/>
        </w:rPr>
        <w:t xml:space="preserve">, con auto del </w:t>
      </w:r>
      <w:r>
        <w:rPr>
          <w:rFonts w:ascii="Arial" w:hAnsi="Arial"/>
        </w:rPr>
        <w:t xml:space="preserve">26-04-2017 se </w:t>
      </w:r>
      <w:r w:rsidRPr="00020AA3">
        <w:rPr>
          <w:rFonts w:ascii="Arial" w:hAnsi="Arial"/>
        </w:rPr>
        <w:t xml:space="preserve">concedió la impugnación formulada por </w:t>
      </w:r>
      <w:r>
        <w:rPr>
          <w:rFonts w:ascii="Arial" w:hAnsi="Arial"/>
        </w:rPr>
        <w:t xml:space="preserve">el accionante </w:t>
      </w:r>
      <w:r w:rsidRPr="00020AA3">
        <w:rPr>
          <w:rFonts w:ascii="Arial" w:hAnsi="Arial"/>
        </w:rPr>
        <w:t xml:space="preserve">(Folio </w:t>
      </w:r>
      <w:r>
        <w:rPr>
          <w:rFonts w:ascii="Arial" w:hAnsi="Arial"/>
        </w:rPr>
        <w:t>70</w:t>
      </w:r>
      <w:r w:rsidRPr="00020AA3">
        <w:rPr>
          <w:rFonts w:ascii="Arial" w:hAnsi="Arial"/>
        </w:rPr>
        <w:t xml:space="preserve">, </w:t>
      </w:r>
      <w:r>
        <w:rPr>
          <w:rFonts w:ascii="Arial" w:hAnsi="Arial"/>
        </w:rPr>
        <w:t>ib.</w:t>
      </w:r>
      <w:r w:rsidRPr="00020AA3">
        <w:rPr>
          <w:rFonts w:ascii="Arial" w:hAnsi="Arial"/>
        </w:rPr>
        <w:t>).</w:t>
      </w:r>
    </w:p>
    <w:p w:rsidR="003A2CB1" w:rsidRPr="00864E47" w:rsidRDefault="003A2CB1" w:rsidP="00B50331">
      <w:pPr>
        <w:spacing w:line="360" w:lineRule="auto"/>
        <w:jc w:val="both"/>
        <w:rPr>
          <w:rFonts w:ascii="Arial" w:hAnsi="Arial"/>
        </w:rPr>
      </w:pPr>
    </w:p>
    <w:p w:rsidR="004435B9" w:rsidRDefault="004435B9" w:rsidP="004435B9">
      <w:pPr>
        <w:pStyle w:val="Textoindependiente"/>
        <w:widowControl w:val="0"/>
        <w:spacing w:line="360" w:lineRule="auto"/>
        <w:rPr>
          <w:rFonts w:ascii="Arial" w:hAnsi="Arial"/>
        </w:rPr>
      </w:pPr>
      <w:r>
        <w:rPr>
          <w:rFonts w:ascii="Arial" w:hAnsi="Arial"/>
        </w:rPr>
        <w:t>En el fallo se declaró improcedente el amparo por el incumplimiento del presupuesto de la subsidiariedad, toda vez que no fue recurrido en apelación el auto que rechazó la demanda.</w:t>
      </w:r>
    </w:p>
    <w:p w:rsidR="004435B9" w:rsidRDefault="004435B9" w:rsidP="004435B9">
      <w:pPr>
        <w:pStyle w:val="Textoindependiente"/>
        <w:widowControl w:val="0"/>
        <w:spacing w:line="360" w:lineRule="auto"/>
        <w:rPr>
          <w:rFonts w:ascii="Arial" w:hAnsi="Arial"/>
        </w:rPr>
      </w:pPr>
    </w:p>
    <w:p w:rsidR="004435B9" w:rsidRPr="00311FCA" w:rsidRDefault="004435B9" w:rsidP="004435B9">
      <w:pPr>
        <w:pStyle w:val="Textoindependiente"/>
        <w:widowControl w:val="0"/>
        <w:spacing w:line="360" w:lineRule="auto"/>
        <w:rPr>
          <w:rFonts w:ascii="Arial" w:hAnsi="Arial" w:cs="Arial"/>
          <w:szCs w:val="24"/>
        </w:rPr>
      </w:pPr>
      <w:r>
        <w:rPr>
          <w:rFonts w:ascii="Arial" w:hAnsi="Arial"/>
        </w:rPr>
        <w:t xml:space="preserve">El </w:t>
      </w:r>
      <w:proofErr w:type="spellStart"/>
      <w:r w:rsidRPr="00020AA3">
        <w:rPr>
          <w:rFonts w:ascii="Arial" w:hAnsi="Arial"/>
        </w:rPr>
        <w:t>opugnante</w:t>
      </w:r>
      <w:proofErr w:type="spellEnd"/>
      <w:r w:rsidRPr="00020AA3">
        <w:rPr>
          <w:rFonts w:ascii="Arial" w:hAnsi="Arial"/>
        </w:rPr>
        <w:t xml:space="preserve"> refirió </w:t>
      </w:r>
      <w:r>
        <w:rPr>
          <w:rFonts w:ascii="Arial" w:hAnsi="Arial"/>
        </w:rPr>
        <w:t xml:space="preserve">que </w:t>
      </w:r>
      <w:r w:rsidR="003A6BE8">
        <w:rPr>
          <w:rFonts w:ascii="Arial" w:hAnsi="Arial"/>
        </w:rPr>
        <w:t xml:space="preserve">como </w:t>
      </w:r>
      <w:r>
        <w:rPr>
          <w:rFonts w:ascii="Arial" w:hAnsi="Arial"/>
        </w:rPr>
        <w:t>la demanda es de mínima cuantía</w:t>
      </w:r>
      <w:r w:rsidR="003A6BE8">
        <w:rPr>
          <w:rFonts w:ascii="Arial" w:hAnsi="Arial"/>
        </w:rPr>
        <w:t xml:space="preserve"> no podía formular el recurso de apelación. Pidió declarar procedente la tutela y acceder a sus pretensiones </w:t>
      </w:r>
      <w:r w:rsidRPr="00020AA3">
        <w:rPr>
          <w:rFonts w:ascii="Arial" w:hAnsi="Arial" w:cs="Arial"/>
          <w:szCs w:val="24"/>
        </w:rPr>
        <w:t xml:space="preserve">(Folios </w:t>
      </w:r>
      <w:r w:rsidR="003A6BE8">
        <w:rPr>
          <w:rFonts w:ascii="Arial" w:hAnsi="Arial" w:cs="Arial"/>
          <w:szCs w:val="24"/>
        </w:rPr>
        <w:t>67 a 69</w:t>
      </w:r>
      <w:r w:rsidRPr="00020AA3">
        <w:rPr>
          <w:rFonts w:ascii="Arial" w:hAnsi="Arial" w:cs="Arial"/>
          <w:szCs w:val="24"/>
        </w:rPr>
        <w:t>, ib.).</w:t>
      </w:r>
    </w:p>
    <w:p w:rsidR="004435B9" w:rsidRPr="00864E47" w:rsidRDefault="004435B9" w:rsidP="00B50331">
      <w:pPr>
        <w:spacing w:line="360" w:lineRule="auto"/>
        <w:jc w:val="both"/>
        <w:rPr>
          <w:rFonts w:ascii="Arial" w:hAnsi="Arial"/>
        </w:rPr>
      </w:pPr>
    </w:p>
    <w:p w:rsidR="00546AA6" w:rsidRDefault="0070519A" w:rsidP="00546AA6">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0519A">
        <w:rPr>
          <w:rFonts w:ascii="Arial" w:hAnsi="Arial"/>
          <w:smallCaps/>
          <w:sz w:val="28"/>
          <w:szCs w:val="24"/>
        </w:rPr>
        <w:t>a fundamentación jurídica para decidir</w:t>
      </w:r>
    </w:p>
    <w:p w:rsidR="00546AA6" w:rsidRPr="00864E47" w:rsidRDefault="00546AA6" w:rsidP="00546AA6">
      <w:pPr>
        <w:pStyle w:val="Textoindependiente"/>
        <w:spacing w:line="360" w:lineRule="auto"/>
        <w:ind w:left="400"/>
        <w:rPr>
          <w:rFonts w:ascii="Arial" w:hAnsi="Arial"/>
          <w:smallCaps/>
          <w:szCs w:val="24"/>
        </w:rPr>
      </w:pPr>
    </w:p>
    <w:p w:rsidR="00A44325" w:rsidRPr="00546AA6" w:rsidRDefault="00CF429F" w:rsidP="00546AA6">
      <w:pPr>
        <w:pStyle w:val="Textoindependiente"/>
        <w:numPr>
          <w:ilvl w:val="1"/>
          <w:numId w:val="18"/>
        </w:numPr>
        <w:spacing w:line="360" w:lineRule="auto"/>
        <w:rPr>
          <w:rFonts w:ascii="Arial" w:hAnsi="Arial"/>
          <w:smallCaps/>
          <w:sz w:val="28"/>
          <w:szCs w:val="24"/>
        </w:rPr>
      </w:pPr>
      <w:r w:rsidRPr="00546AA6">
        <w:rPr>
          <w:rFonts w:ascii="Arial" w:hAnsi="Arial"/>
          <w:smallCaps/>
          <w:szCs w:val="24"/>
        </w:rPr>
        <w:t>La competencia</w:t>
      </w:r>
      <w:r w:rsidR="00546AA6" w:rsidRPr="00546AA6">
        <w:rPr>
          <w:rFonts w:ascii="Arial" w:hAnsi="Arial"/>
          <w:smallCaps/>
          <w:szCs w:val="24"/>
        </w:rPr>
        <w:t xml:space="preserve">. </w:t>
      </w:r>
      <w:r w:rsidR="00546AA6" w:rsidRPr="00546AA6">
        <w:rPr>
          <w:rFonts w:ascii="Arial" w:hAnsi="Arial" w:cs="Arial"/>
          <w:lang w:val="es-CO"/>
        </w:rPr>
        <w:t>Esta Sala especializada está facultada en forma legal para desatar la controversia puesta a su consideración, por ser la superiora jerárquica del Despacho que conoció en primera instancia.</w:t>
      </w:r>
    </w:p>
    <w:p w:rsidR="00546AA6" w:rsidRPr="00546AA6" w:rsidRDefault="00546AA6" w:rsidP="00546AA6">
      <w:pPr>
        <w:pStyle w:val="Textoindependiente"/>
        <w:spacing w:line="360" w:lineRule="auto"/>
        <w:rPr>
          <w:rFonts w:ascii="Arial" w:hAnsi="Arial" w:cs="Arial"/>
          <w:szCs w:val="24"/>
        </w:rPr>
      </w:pPr>
    </w:p>
    <w:p w:rsidR="00864E47" w:rsidRPr="004448DD" w:rsidRDefault="00546AA6" w:rsidP="00864E47">
      <w:pPr>
        <w:pStyle w:val="Textoindependiente"/>
        <w:numPr>
          <w:ilvl w:val="1"/>
          <w:numId w:val="33"/>
        </w:numPr>
        <w:tabs>
          <w:tab w:val="clear" w:pos="708"/>
        </w:tabs>
        <w:spacing w:line="360" w:lineRule="auto"/>
        <w:rPr>
          <w:rFonts w:ascii="Arial" w:hAnsi="Arial" w:cs="Arial"/>
          <w:szCs w:val="24"/>
        </w:rPr>
      </w:pPr>
      <w:r w:rsidRPr="00864E47">
        <w:rPr>
          <w:rFonts w:ascii="Arial" w:hAnsi="Arial"/>
          <w:smallCaps/>
          <w:szCs w:val="24"/>
        </w:rPr>
        <w:t xml:space="preserve">El problema jurídico a resolver. </w:t>
      </w:r>
      <w:r w:rsidR="00864E47" w:rsidRPr="004448DD">
        <w:rPr>
          <w:rFonts w:ascii="Arial" w:hAnsi="Arial" w:cs="Arial"/>
          <w:szCs w:val="24"/>
        </w:rPr>
        <w:t xml:space="preserve">¿Es procedente confirmar, modificar o revocar la sentencia del </w:t>
      </w:r>
      <w:r w:rsidR="00864E47" w:rsidRPr="004448DD">
        <w:rPr>
          <w:rFonts w:ascii="Arial" w:hAnsi="Arial"/>
        </w:rPr>
        <w:t xml:space="preserve">Juzgado Civil del Circuito de </w:t>
      </w:r>
      <w:r w:rsidR="00864E47">
        <w:rPr>
          <w:rFonts w:ascii="Arial" w:hAnsi="Arial"/>
        </w:rPr>
        <w:t>Dosquebradas</w:t>
      </w:r>
      <w:r w:rsidR="00864E47" w:rsidRPr="004448DD">
        <w:rPr>
          <w:rFonts w:ascii="Arial" w:hAnsi="Arial" w:cs="Arial"/>
          <w:szCs w:val="24"/>
        </w:rPr>
        <w:t xml:space="preserve">, según la impugnación presentada por la parte actora? </w:t>
      </w:r>
    </w:p>
    <w:p w:rsidR="00864E47" w:rsidRPr="003B4B9C" w:rsidRDefault="00864E47" w:rsidP="00864E47">
      <w:pPr>
        <w:pStyle w:val="Textoindependiente"/>
        <w:spacing w:line="360" w:lineRule="auto"/>
        <w:rPr>
          <w:rFonts w:ascii="Arial" w:hAnsi="Arial" w:cs="Arial"/>
          <w:szCs w:val="24"/>
        </w:rPr>
      </w:pPr>
    </w:p>
    <w:p w:rsidR="00546AA6" w:rsidRDefault="00BB0EF5" w:rsidP="00864E47">
      <w:pPr>
        <w:pStyle w:val="Textoindependiente"/>
        <w:numPr>
          <w:ilvl w:val="1"/>
          <w:numId w:val="18"/>
        </w:numPr>
        <w:tabs>
          <w:tab w:val="clear" w:pos="0"/>
          <w:tab w:val="clear" w:pos="1416"/>
        </w:tabs>
        <w:spacing w:line="360" w:lineRule="auto"/>
        <w:rPr>
          <w:rFonts w:ascii="Arial" w:hAnsi="Arial" w:cs="Arial"/>
          <w:szCs w:val="24"/>
        </w:rPr>
      </w:pPr>
      <w:r w:rsidRPr="00546AA6">
        <w:rPr>
          <w:rFonts w:ascii="Arial" w:hAnsi="Arial"/>
          <w:smallCaps/>
          <w:szCs w:val="24"/>
        </w:rPr>
        <w:lastRenderedPageBreak/>
        <w:t>La legitimación en la causa</w:t>
      </w:r>
      <w:r w:rsidR="00546AA6" w:rsidRPr="00546AA6">
        <w:rPr>
          <w:rFonts w:ascii="Arial" w:hAnsi="Arial"/>
          <w:smallCaps/>
          <w:szCs w:val="24"/>
        </w:rPr>
        <w:t>.</w:t>
      </w:r>
      <w:r w:rsidR="00546AA6">
        <w:rPr>
          <w:rFonts w:ascii="Arial" w:hAnsi="Arial"/>
          <w:smallCaps/>
          <w:szCs w:val="24"/>
        </w:rPr>
        <w:t xml:space="preserve"> </w:t>
      </w:r>
      <w:r w:rsidRPr="00546AA6">
        <w:rPr>
          <w:rFonts w:ascii="Arial" w:hAnsi="Arial" w:cs="Arial"/>
          <w:szCs w:val="24"/>
        </w:rPr>
        <w:t xml:space="preserve">Se cumple </w:t>
      </w:r>
      <w:r w:rsidR="0040676A">
        <w:rPr>
          <w:rFonts w:ascii="Arial" w:hAnsi="Arial" w:cs="Arial"/>
          <w:szCs w:val="24"/>
        </w:rPr>
        <w:t xml:space="preserve">por activa </w:t>
      </w:r>
      <w:r w:rsidRPr="00546AA6">
        <w:rPr>
          <w:rFonts w:ascii="Arial" w:hAnsi="Arial" w:cs="Arial"/>
          <w:szCs w:val="24"/>
        </w:rPr>
        <w:t xml:space="preserve">porque </w:t>
      </w:r>
      <w:r w:rsidR="00546AA6">
        <w:rPr>
          <w:rFonts w:ascii="Arial" w:hAnsi="Arial" w:cs="Arial"/>
          <w:szCs w:val="24"/>
        </w:rPr>
        <w:t xml:space="preserve">el actor fue el promotor del proceso </w:t>
      </w:r>
      <w:r w:rsidRPr="00546AA6">
        <w:rPr>
          <w:rFonts w:ascii="Arial" w:hAnsi="Arial" w:cs="Arial"/>
          <w:szCs w:val="24"/>
        </w:rPr>
        <w:t xml:space="preserve">judicial </w:t>
      </w:r>
      <w:r w:rsidR="00546AA6">
        <w:rPr>
          <w:rFonts w:ascii="Arial" w:hAnsi="Arial" w:cs="Arial"/>
          <w:szCs w:val="24"/>
        </w:rPr>
        <w:t xml:space="preserve">en el </w:t>
      </w:r>
      <w:r w:rsidRPr="00546AA6">
        <w:rPr>
          <w:rFonts w:ascii="Arial" w:hAnsi="Arial" w:cs="Arial"/>
          <w:szCs w:val="24"/>
        </w:rPr>
        <w:t xml:space="preserve">que se reprocha la falta al debido proceso. Y por pasiva, lo es el Juzgado </w:t>
      </w:r>
      <w:r w:rsidR="00546AA6">
        <w:rPr>
          <w:rFonts w:ascii="Arial" w:hAnsi="Arial" w:cs="Arial"/>
          <w:szCs w:val="24"/>
        </w:rPr>
        <w:t>accionado</w:t>
      </w:r>
      <w:r w:rsidRPr="00546AA6">
        <w:rPr>
          <w:rFonts w:ascii="Arial" w:hAnsi="Arial" w:cs="Arial"/>
          <w:szCs w:val="24"/>
        </w:rPr>
        <w:t>, al ser la autoridad judicial que conoce del juicio.</w:t>
      </w:r>
    </w:p>
    <w:p w:rsidR="00546AA6" w:rsidRPr="00864E47" w:rsidRDefault="00546AA6" w:rsidP="00864E47">
      <w:pPr>
        <w:pStyle w:val="Prrafodelista"/>
        <w:spacing w:line="360" w:lineRule="auto"/>
        <w:rPr>
          <w:rFonts w:ascii="Arial" w:hAnsi="Arial" w:cs="Arial"/>
          <w:lang w:val="es-CO"/>
        </w:rPr>
      </w:pPr>
    </w:p>
    <w:p w:rsidR="0084306F" w:rsidRPr="0070519A" w:rsidRDefault="0084306F" w:rsidP="00864E47">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70519A">
        <w:rPr>
          <w:rFonts w:ascii="Arial" w:hAnsi="Arial"/>
          <w:smallCaps/>
          <w:szCs w:val="24"/>
        </w:rPr>
        <w:t>La resolución del problema jurídico</w:t>
      </w:r>
    </w:p>
    <w:p w:rsidR="0084306F" w:rsidRPr="00864E47"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795CDC" w:rsidRPr="00546AA6" w:rsidRDefault="00795CDC" w:rsidP="00801FC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 w:val="22"/>
          <w:szCs w:val="24"/>
        </w:rPr>
      </w:pPr>
      <w:r w:rsidRPr="00546AA6">
        <w:rPr>
          <w:rFonts w:ascii="Arial" w:hAnsi="Arial" w:cs="Arial"/>
          <w:smallCaps/>
          <w:sz w:val="22"/>
          <w:szCs w:val="24"/>
        </w:rPr>
        <w:t xml:space="preserve">Las sub-reglas de análisis en la </w:t>
      </w:r>
      <w:proofErr w:type="spellStart"/>
      <w:r w:rsidRPr="00546AA6">
        <w:rPr>
          <w:rFonts w:ascii="Arial" w:hAnsi="Arial" w:cs="Arial"/>
          <w:smallCaps/>
          <w:sz w:val="22"/>
          <w:szCs w:val="24"/>
        </w:rPr>
        <w:t>procedibilidad</w:t>
      </w:r>
      <w:proofErr w:type="spellEnd"/>
      <w:r w:rsidRPr="00546AA6">
        <w:rPr>
          <w:rFonts w:ascii="Arial" w:hAnsi="Arial" w:cs="Arial"/>
          <w:smallCaps/>
          <w:sz w:val="22"/>
          <w:szCs w:val="24"/>
        </w:rPr>
        <w:t xml:space="preserve"> frente a decisiones judiciales</w:t>
      </w:r>
    </w:p>
    <w:p w:rsidR="00795CDC" w:rsidRPr="00864E47" w:rsidRDefault="00795CDC" w:rsidP="00795CD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546AA6" w:rsidRPr="00907C22" w:rsidRDefault="00546AA6" w:rsidP="00546AA6">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 xml:space="preserve">de  1992,  que examinó en constitucionalidad, los artículos 11, 12 y 40 del Decreto 2591 de 1991, declarados ajustados a la Carta, inicia la línea </w:t>
      </w:r>
      <w:r w:rsidRPr="00864E47">
        <w:rPr>
          <w:rFonts w:ascii="Arial" w:hAnsi="Arial" w:cs="Arial"/>
          <w:szCs w:val="24"/>
        </w:rPr>
        <w:t xml:space="preserve">jurisprudencial en torno a la tutela contra providencias judiciales, que ha evolucionado hasta </w:t>
      </w:r>
      <w:r w:rsidRPr="00DC6BEA">
        <w:rPr>
          <w:rFonts w:ascii="Arial" w:hAnsi="Arial" w:cs="Arial"/>
          <w:szCs w:val="24"/>
        </w:rPr>
        <w:t>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546AA6" w:rsidRPr="00773B57" w:rsidRDefault="00546AA6" w:rsidP="00546AA6">
      <w:pPr>
        <w:pStyle w:val="Textoindependiente"/>
        <w:spacing w:line="360" w:lineRule="auto"/>
        <w:rPr>
          <w:rFonts w:ascii="Arial" w:hAnsi="Arial" w:cs="Arial"/>
          <w:szCs w:val="24"/>
        </w:rPr>
      </w:pPr>
    </w:p>
    <w:p w:rsidR="00546AA6" w:rsidRPr="00907C22" w:rsidRDefault="00546AA6" w:rsidP="00546AA6">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546AA6" w:rsidRPr="00907C22" w:rsidRDefault="00546AA6" w:rsidP="00546AA6">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546AA6" w:rsidRPr="00773B57" w:rsidRDefault="00546AA6" w:rsidP="00546AA6">
      <w:pPr>
        <w:pStyle w:val="Textoindependiente"/>
        <w:spacing w:line="360" w:lineRule="auto"/>
        <w:rPr>
          <w:rFonts w:ascii="Arial" w:hAnsi="Arial" w:cs="Arial"/>
          <w:szCs w:val="24"/>
        </w:rPr>
      </w:pPr>
    </w:p>
    <w:p w:rsidR="00546AA6" w:rsidRPr="00907C22" w:rsidRDefault="00546AA6" w:rsidP="00546AA6">
      <w:pPr>
        <w:pStyle w:val="Textoindependiente"/>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546AA6" w:rsidRDefault="00546AA6" w:rsidP="00546AA6">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546AA6" w:rsidRPr="00773B57" w:rsidRDefault="00546AA6" w:rsidP="00546AA6">
      <w:pPr>
        <w:pStyle w:val="Textoindependiente"/>
        <w:spacing w:line="360" w:lineRule="auto"/>
        <w:rPr>
          <w:rFonts w:ascii="Arial" w:hAnsi="Arial" w:cs="Arial"/>
          <w:szCs w:val="24"/>
        </w:rPr>
      </w:pPr>
    </w:p>
    <w:p w:rsidR="00546AA6" w:rsidRDefault="00546AA6" w:rsidP="00546AA6">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546AA6" w:rsidRPr="00907C22" w:rsidRDefault="00546AA6" w:rsidP="00546AA6">
      <w:pPr>
        <w:pStyle w:val="Textoindependiente"/>
        <w:spacing w:line="360" w:lineRule="auto"/>
        <w:rPr>
          <w:rFonts w:ascii="Arial" w:hAnsi="Arial" w:cs="Arial"/>
          <w:szCs w:val="24"/>
        </w:rPr>
      </w:pPr>
      <w:r w:rsidRPr="00907C22">
        <w:rPr>
          <w:rFonts w:ascii="Arial" w:hAnsi="Arial" w:cs="Arial"/>
          <w:szCs w:val="24"/>
        </w:rPr>
        <w:lastRenderedPageBreak/>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795CDC" w:rsidRPr="00582739" w:rsidRDefault="00795CDC" w:rsidP="00795CDC">
      <w:pPr>
        <w:pStyle w:val="Textoindependiente"/>
        <w:spacing w:line="360" w:lineRule="auto"/>
        <w:rPr>
          <w:rFonts w:ascii="Arial" w:hAnsi="Arial" w:cs="Arial"/>
          <w:sz w:val="22"/>
          <w:szCs w:val="24"/>
        </w:rPr>
      </w:pPr>
    </w:p>
    <w:p w:rsidR="00A74786" w:rsidRDefault="00A74786" w:rsidP="00582739">
      <w:pPr>
        <w:pStyle w:val="Textoindependiente"/>
        <w:numPr>
          <w:ilvl w:val="2"/>
          <w:numId w:val="18"/>
        </w:numPr>
        <w:spacing w:line="360" w:lineRule="auto"/>
        <w:rPr>
          <w:rFonts w:ascii="Arial" w:hAnsi="Arial"/>
          <w:smallCaps/>
          <w:szCs w:val="24"/>
        </w:rPr>
      </w:pPr>
      <w:r w:rsidRPr="00582739">
        <w:rPr>
          <w:rFonts w:ascii="Arial" w:hAnsi="Arial"/>
          <w:smallCaps/>
          <w:sz w:val="22"/>
          <w:szCs w:val="24"/>
        </w:rPr>
        <w:t xml:space="preserve">La inmediatez  de la acción de tutela </w:t>
      </w:r>
    </w:p>
    <w:p w:rsidR="00582739" w:rsidRPr="00582739" w:rsidRDefault="00582739" w:rsidP="00A74786">
      <w:pPr>
        <w:spacing w:line="360" w:lineRule="auto"/>
        <w:jc w:val="both"/>
        <w:rPr>
          <w:rFonts w:ascii="Arial" w:hAnsi="Arial" w:cs="Arial"/>
          <w:sz w:val="22"/>
        </w:rPr>
      </w:pPr>
    </w:p>
    <w:p w:rsidR="00582739" w:rsidRDefault="00A74786" w:rsidP="00A74786">
      <w:pPr>
        <w:spacing w:line="360" w:lineRule="auto"/>
        <w:jc w:val="both"/>
        <w:rPr>
          <w:rFonts w:ascii="Arial" w:hAnsi="Arial" w:cs="Arial"/>
        </w:rPr>
      </w:pPr>
      <w:r w:rsidRPr="00582739">
        <w:rPr>
          <w:rFonts w:ascii="Arial" w:hAnsi="Arial" w:cs="Arial"/>
        </w:rPr>
        <w:t>Según constante jurisprudencia de nuestro máximo Tribunal Constitucional</w:t>
      </w:r>
      <w:r w:rsidRPr="00582739">
        <w:rPr>
          <w:rStyle w:val="Refdenotaalpie"/>
          <w:rFonts w:ascii="Arial" w:hAnsi="Arial" w:cs="Arial"/>
        </w:rPr>
        <w:footnoteReference w:id="10"/>
      </w:r>
      <w:r w:rsidRPr="00582739">
        <w:rPr>
          <w:rFonts w:ascii="Arial" w:hAnsi="Arial" w:cs="Arial"/>
        </w:rPr>
        <w:t xml:space="preserve">, y también </w:t>
      </w:r>
    </w:p>
    <w:p w:rsidR="00A74786" w:rsidRDefault="00A74786" w:rsidP="00A74786">
      <w:pPr>
        <w:spacing w:line="360" w:lineRule="auto"/>
        <w:jc w:val="both"/>
        <w:rPr>
          <w:rFonts w:ascii="Arial" w:hAnsi="Arial" w:cs="Arial"/>
          <w:u w:val="single"/>
        </w:rPr>
      </w:pPr>
      <w:proofErr w:type="gramStart"/>
      <w:r w:rsidRPr="00582739">
        <w:rPr>
          <w:rFonts w:ascii="Arial" w:hAnsi="Arial" w:cs="Arial"/>
        </w:rPr>
        <w:t>de</w:t>
      </w:r>
      <w:proofErr w:type="gramEnd"/>
      <w:r w:rsidRPr="00582739">
        <w:rPr>
          <w:rFonts w:ascii="Arial" w:hAnsi="Arial" w:cs="Arial"/>
        </w:rPr>
        <w:t xml:space="preserve"> la CSJ</w:t>
      </w:r>
      <w:r w:rsidRPr="00582739">
        <w:rPr>
          <w:rStyle w:val="Refdenotaalpie"/>
          <w:rFonts w:ascii="Arial" w:hAnsi="Arial" w:cs="Arial"/>
        </w:rPr>
        <w:footnoteReference w:id="11"/>
      </w:r>
      <w:r w:rsidRPr="00582739">
        <w:rPr>
          <w:rFonts w:ascii="Arial" w:hAnsi="Arial" w:cs="Arial"/>
        </w:rPr>
        <w:t xml:space="preserve"> </w:t>
      </w:r>
      <w:r>
        <w:rPr>
          <w:rFonts w:ascii="Calibri" w:hAnsi="Calibri" w:cs="Calibri"/>
        </w:rPr>
        <w:t>(</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A74786" w:rsidRDefault="00A74786" w:rsidP="00A74786">
      <w:pPr>
        <w:spacing w:line="360" w:lineRule="auto"/>
        <w:jc w:val="both"/>
        <w:rPr>
          <w:rFonts w:ascii="Arial" w:hAnsi="Arial" w:cs="Arial"/>
          <w:u w:val="single"/>
        </w:rPr>
      </w:pPr>
    </w:p>
    <w:p w:rsidR="00A74786" w:rsidRDefault="00A74786" w:rsidP="00A74786">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2"/>
      </w:r>
      <w:r>
        <w:rPr>
          <w:rFonts w:ascii="Arial" w:hAnsi="Arial" w:cs="Arial"/>
        </w:rPr>
        <w:t>. Así mismo lo ha señalado la CSJ</w:t>
      </w:r>
      <w:r>
        <w:rPr>
          <w:rStyle w:val="Refdenotaalpie"/>
          <w:rFonts w:ascii="Arial" w:hAnsi="Arial" w:cs="Arial"/>
        </w:rPr>
        <w:footnoteReference w:id="13"/>
      </w:r>
      <w:r>
        <w:rPr>
          <w:rFonts w:ascii="Arial" w:hAnsi="Arial" w:cs="Arial"/>
        </w:rPr>
        <w:t xml:space="preserve">, que en recientes providencias reiteró: </w:t>
      </w:r>
    </w:p>
    <w:p w:rsidR="00A74786" w:rsidRPr="00582739" w:rsidRDefault="00A74786" w:rsidP="00A74786">
      <w:pPr>
        <w:ind w:left="400" w:right="618"/>
        <w:jc w:val="both"/>
        <w:rPr>
          <w:rFonts w:ascii="Arial" w:hAnsi="Arial" w:cs="Arial"/>
          <w:iCs/>
          <w:sz w:val="32"/>
        </w:rPr>
      </w:pPr>
    </w:p>
    <w:p w:rsidR="00A74786" w:rsidRDefault="00A74786" w:rsidP="00A74786">
      <w:pPr>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A74786" w:rsidRPr="00582739" w:rsidRDefault="00A74786" w:rsidP="00A74786">
      <w:pPr>
        <w:spacing w:line="360" w:lineRule="auto"/>
        <w:ind w:left="400" w:right="22"/>
        <w:jc w:val="both"/>
        <w:rPr>
          <w:rFonts w:ascii="Arial" w:hAnsi="Arial" w:cs="Arial"/>
          <w:sz w:val="32"/>
        </w:rPr>
      </w:pPr>
    </w:p>
    <w:p w:rsidR="00A74786" w:rsidRPr="0098589D" w:rsidRDefault="00A74786" w:rsidP="00A74786">
      <w:pPr>
        <w:spacing w:line="360" w:lineRule="auto"/>
        <w:ind w:right="22"/>
        <w:jc w:val="both"/>
        <w:rPr>
          <w:rFonts w:ascii="Arial" w:hAnsi="Arial" w:cs="Arial"/>
        </w:rPr>
      </w:pPr>
      <w:r w:rsidRPr="0098589D">
        <w:rPr>
          <w:rFonts w:ascii="Arial" w:hAnsi="Arial" w:cs="Arial"/>
        </w:rPr>
        <w:lastRenderedPageBreak/>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A74786" w:rsidRPr="0098589D" w:rsidRDefault="00A74786" w:rsidP="00A74786">
      <w:pPr>
        <w:spacing w:line="360" w:lineRule="auto"/>
        <w:ind w:left="400" w:right="22"/>
        <w:jc w:val="both"/>
        <w:rPr>
          <w:rFonts w:ascii="Arial" w:hAnsi="Arial" w:cs="Arial"/>
        </w:rPr>
      </w:pPr>
    </w:p>
    <w:p w:rsidR="00A74786" w:rsidRDefault="00A74786" w:rsidP="00A74786">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Refdenotaalpie"/>
          <w:rFonts w:ascii="Arial" w:hAnsi="Arial" w:cs="Arial"/>
        </w:rPr>
        <w:footnoteReference w:id="16"/>
      </w:r>
      <w:r w:rsidRPr="0098589D">
        <w:rPr>
          <w:rFonts w:ascii="Arial" w:hAnsi="Arial" w:cs="Arial"/>
        </w:rPr>
        <w:t>.</w:t>
      </w:r>
    </w:p>
    <w:p w:rsidR="00A74786" w:rsidRPr="00EC12E0" w:rsidRDefault="00A74786" w:rsidP="00A74786">
      <w:pPr>
        <w:spacing w:line="360" w:lineRule="auto"/>
        <w:ind w:left="400" w:right="22"/>
        <w:jc w:val="both"/>
        <w:rPr>
          <w:rFonts w:ascii="Arial" w:hAnsi="Arial" w:cs="Arial"/>
          <w:lang w:val="es-CO"/>
        </w:rPr>
      </w:pPr>
    </w:p>
    <w:p w:rsidR="00A74786" w:rsidRPr="00825F31" w:rsidRDefault="00A74786" w:rsidP="00A74786">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w:t>
      </w:r>
      <w:proofErr w:type="spellStart"/>
      <w:r w:rsidRPr="00825F31">
        <w:rPr>
          <w:rFonts w:ascii="Arial" w:hAnsi="Arial" w:cs="Arial"/>
          <w:lang w:val="es-ES_tradnl"/>
        </w:rPr>
        <w:t>procedibilidad</w:t>
      </w:r>
      <w:proofErr w:type="spellEnd"/>
      <w:r w:rsidRPr="00825F31">
        <w:rPr>
          <w:rFonts w:ascii="Arial" w:hAnsi="Arial" w:cs="Arial"/>
          <w:lang w:val="es-ES_tradnl"/>
        </w:rPr>
        <w:t xml:space="preserve">, así </w:t>
      </w:r>
      <w:r>
        <w:rPr>
          <w:rFonts w:ascii="Arial" w:hAnsi="Arial" w:cs="Arial"/>
          <w:lang w:val="es-ES_tradnl"/>
        </w:rPr>
        <w:t>explicó</w:t>
      </w:r>
      <w:r w:rsidRPr="00825F31">
        <w:rPr>
          <w:rFonts w:ascii="Arial" w:hAnsi="Arial" w:cs="Arial"/>
          <w:lang w:val="es-ES_tradnl"/>
        </w:rPr>
        <w:t>:</w:t>
      </w:r>
    </w:p>
    <w:p w:rsidR="00A74786" w:rsidRPr="00002C46" w:rsidRDefault="00A74786" w:rsidP="00A74786">
      <w:pPr>
        <w:ind w:left="400"/>
        <w:jc w:val="both"/>
        <w:rPr>
          <w:rFonts w:ascii="Arial" w:hAnsi="Arial" w:cs="Arial"/>
          <w:sz w:val="28"/>
          <w:lang w:val="es-ES_tradnl"/>
        </w:rPr>
      </w:pPr>
    </w:p>
    <w:p w:rsidR="00A74786" w:rsidRPr="00825F31" w:rsidRDefault="00A74786" w:rsidP="00A74786">
      <w:pPr>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A74786" w:rsidRPr="00582739" w:rsidRDefault="00A74786" w:rsidP="00A74786">
      <w:pPr>
        <w:pStyle w:val="Textoindependiente"/>
        <w:spacing w:line="360" w:lineRule="auto"/>
        <w:ind w:left="720"/>
        <w:rPr>
          <w:rFonts w:ascii="Arial" w:hAnsi="Arial" w:cs="Arial"/>
          <w:smallCaps/>
          <w:sz w:val="32"/>
          <w:szCs w:val="24"/>
        </w:rPr>
      </w:pPr>
    </w:p>
    <w:p w:rsidR="007B26AC" w:rsidRPr="009724E3" w:rsidRDefault="009724E3" w:rsidP="00801FCF">
      <w:pPr>
        <w:pStyle w:val="Textoindependiente"/>
        <w:numPr>
          <w:ilvl w:val="0"/>
          <w:numId w:val="18"/>
        </w:numPr>
        <w:tabs>
          <w:tab w:val="clear" w:pos="0"/>
          <w:tab w:val="clear" w:pos="1416"/>
        </w:tabs>
        <w:spacing w:line="360" w:lineRule="auto"/>
        <w:rPr>
          <w:rFonts w:ascii="Arial" w:hAnsi="Arial"/>
          <w:smallCaps/>
          <w:sz w:val="28"/>
          <w:szCs w:val="24"/>
        </w:rPr>
      </w:pPr>
      <w:r>
        <w:rPr>
          <w:rFonts w:ascii="Arial" w:hAnsi="Arial"/>
          <w:smallCaps/>
          <w:sz w:val="28"/>
          <w:szCs w:val="24"/>
        </w:rPr>
        <w:t>E</w:t>
      </w:r>
      <w:r w:rsidRPr="009724E3">
        <w:rPr>
          <w:rFonts w:ascii="Arial" w:hAnsi="Arial"/>
          <w:smallCaps/>
          <w:sz w:val="28"/>
          <w:szCs w:val="24"/>
        </w:rPr>
        <w:t>l caso concreto materia de análisis</w:t>
      </w:r>
    </w:p>
    <w:p w:rsidR="009724E3" w:rsidRPr="00F45CF4" w:rsidRDefault="009724E3" w:rsidP="009724E3">
      <w:pPr>
        <w:pStyle w:val="Textoindependiente"/>
        <w:tabs>
          <w:tab w:val="clear" w:pos="0"/>
          <w:tab w:val="clear" w:pos="1416"/>
        </w:tabs>
        <w:spacing w:line="360" w:lineRule="auto"/>
        <w:ind w:left="400"/>
        <w:rPr>
          <w:rFonts w:ascii="Arial" w:hAnsi="Arial"/>
          <w:sz w:val="20"/>
          <w:szCs w:val="24"/>
        </w:rPr>
      </w:pPr>
    </w:p>
    <w:p w:rsidR="00A74786" w:rsidRDefault="00582739" w:rsidP="00BB0EF5">
      <w:pPr>
        <w:pStyle w:val="Textoindependiente"/>
        <w:spacing w:line="360" w:lineRule="auto"/>
        <w:rPr>
          <w:rFonts w:ascii="Arial" w:hAnsi="Arial"/>
          <w:szCs w:val="24"/>
        </w:rPr>
      </w:pPr>
      <w:r w:rsidRPr="00570352">
        <w:rPr>
          <w:rFonts w:ascii="Arial" w:hAnsi="Arial"/>
        </w:rPr>
        <w:t xml:space="preserve">Partiendo de las premisas jurídicas anotadas, </w:t>
      </w:r>
      <w:r>
        <w:rPr>
          <w:rFonts w:ascii="Arial" w:hAnsi="Arial"/>
        </w:rPr>
        <w:t xml:space="preserve">se confirmará la </w:t>
      </w:r>
      <w:r w:rsidRPr="00570352">
        <w:rPr>
          <w:rFonts w:ascii="Arial" w:hAnsi="Arial"/>
        </w:rPr>
        <w:t xml:space="preserve">sentencia </w:t>
      </w:r>
      <w:r>
        <w:rPr>
          <w:rFonts w:ascii="Arial" w:hAnsi="Arial"/>
        </w:rPr>
        <w:t xml:space="preserve">opugnada dada su manifiesta improcedencia, pero originada en el incumplimiento del requisito general de </w:t>
      </w:r>
      <w:proofErr w:type="spellStart"/>
      <w:r>
        <w:rPr>
          <w:rFonts w:ascii="Arial" w:hAnsi="Arial"/>
        </w:rPr>
        <w:t>procedibilidad</w:t>
      </w:r>
      <w:proofErr w:type="spellEnd"/>
      <w:r>
        <w:rPr>
          <w:rFonts w:ascii="Arial" w:hAnsi="Arial"/>
        </w:rPr>
        <w:t xml:space="preserve"> de la inmediatez y no el de la subsidiariedad</w:t>
      </w:r>
      <w:r w:rsidR="00542667">
        <w:rPr>
          <w:rFonts w:ascii="Arial" w:hAnsi="Arial"/>
        </w:rPr>
        <w:t xml:space="preserve"> como lo señaló el Juzgado</w:t>
      </w:r>
      <w:r>
        <w:rPr>
          <w:rFonts w:ascii="Arial" w:hAnsi="Arial"/>
        </w:rPr>
        <w:t xml:space="preserve">. De tal manera que es innecesario analizar los </w:t>
      </w:r>
      <w:r w:rsidR="007767D9">
        <w:rPr>
          <w:rFonts w:ascii="Arial" w:hAnsi="Arial"/>
        </w:rPr>
        <w:t xml:space="preserve">requisitos </w:t>
      </w:r>
      <w:r w:rsidRPr="003E0E8A">
        <w:rPr>
          <w:rFonts w:ascii="Arial" w:hAnsi="Arial" w:cs="Arial"/>
        </w:rPr>
        <w:t>especiales</w:t>
      </w:r>
      <w:r w:rsidR="00BB0EF5" w:rsidRPr="00F54A43">
        <w:rPr>
          <w:rFonts w:ascii="Arial" w:hAnsi="Arial"/>
          <w:szCs w:val="24"/>
        </w:rPr>
        <w:t xml:space="preserve">. </w:t>
      </w:r>
    </w:p>
    <w:p w:rsidR="00A74786" w:rsidRDefault="00A74786" w:rsidP="00BB0EF5">
      <w:pPr>
        <w:pStyle w:val="Textoindependiente"/>
        <w:spacing w:line="360" w:lineRule="auto"/>
        <w:rPr>
          <w:rFonts w:ascii="Arial" w:hAnsi="Arial"/>
          <w:szCs w:val="24"/>
        </w:rPr>
      </w:pPr>
    </w:p>
    <w:p w:rsidR="00542667" w:rsidRDefault="00E739FC" w:rsidP="00BB0EF5">
      <w:pPr>
        <w:pStyle w:val="Textoindependiente"/>
        <w:spacing w:line="360" w:lineRule="auto"/>
        <w:rPr>
          <w:rFonts w:ascii="Arial" w:hAnsi="Arial"/>
          <w:szCs w:val="24"/>
        </w:rPr>
      </w:pPr>
      <w:r>
        <w:rPr>
          <w:rFonts w:ascii="Arial" w:hAnsi="Arial"/>
          <w:szCs w:val="24"/>
        </w:rPr>
        <w:lastRenderedPageBreak/>
        <w:t xml:space="preserve">Como bien lo anota el accionante, </w:t>
      </w:r>
      <w:r w:rsidR="00113C31">
        <w:rPr>
          <w:rFonts w:ascii="Arial" w:hAnsi="Arial"/>
          <w:szCs w:val="24"/>
        </w:rPr>
        <w:t xml:space="preserve">el auto que rechazó la demanda no era apelable en razón a que se trata de un </w:t>
      </w:r>
      <w:r w:rsidR="00542667">
        <w:rPr>
          <w:rFonts w:ascii="Arial" w:hAnsi="Arial"/>
          <w:szCs w:val="24"/>
        </w:rPr>
        <w:t xml:space="preserve">proceso de única instancia </w:t>
      </w:r>
      <w:r>
        <w:rPr>
          <w:rFonts w:ascii="Arial" w:hAnsi="Arial"/>
          <w:szCs w:val="24"/>
        </w:rPr>
        <w:t>($15.898.806)</w:t>
      </w:r>
      <w:r w:rsidR="00E17925">
        <w:rPr>
          <w:rFonts w:ascii="Arial" w:hAnsi="Arial"/>
          <w:szCs w:val="24"/>
        </w:rPr>
        <w:t xml:space="preserve"> (Artículo 25, CGP)</w:t>
      </w:r>
      <w:r>
        <w:rPr>
          <w:rFonts w:ascii="Arial" w:hAnsi="Arial"/>
          <w:szCs w:val="24"/>
        </w:rPr>
        <w:t xml:space="preserve">, </w:t>
      </w:r>
      <w:r w:rsidR="00542667">
        <w:rPr>
          <w:rFonts w:ascii="Arial" w:hAnsi="Arial"/>
          <w:szCs w:val="24"/>
        </w:rPr>
        <w:t>de tal manera que la subsidiariedad se superó con la reposición</w:t>
      </w:r>
      <w:r w:rsidR="007767D9">
        <w:rPr>
          <w:rFonts w:ascii="Arial" w:hAnsi="Arial"/>
          <w:szCs w:val="24"/>
        </w:rPr>
        <w:t xml:space="preserve"> que presentó</w:t>
      </w:r>
      <w:r w:rsidR="00542667">
        <w:rPr>
          <w:rFonts w:ascii="Arial" w:hAnsi="Arial"/>
          <w:szCs w:val="24"/>
        </w:rPr>
        <w:t xml:space="preserve">. </w:t>
      </w:r>
    </w:p>
    <w:p w:rsidR="00542667" w:rsidRDefault="00542667" w:rsidP="00BB0EF5">
      <w:pPr>
        <w:pStyle w:val="Textoindependiente"/>
        <w:spacing w:line="360" w:lineRule="auto"/>
        <w:rPr>
          <w:rFonts w:ascii="Arial" w:hAnsi="Arial"/>
          <w:szCs w:val="24"/>
        </w:rPr>
      </w:pPr>
    </w:p>
    <w:p w:rsidR="00542667" w:rsidRDefault="00542667" w:rsidP="00542667">
      <w:pPr>
        <w:spacing w:line="360" w:lineRule="auto"/>
        <w:jc w:val="both"/>
        <w:rPr>
          <w:rFonts w:ascii="Arial" w:hAnsi="Arial" w:cs="Arial"/>
        </w:rPr>
      </w:pPr>
      <w:r>
        <w:rPr>
          <w:rFonts w:ascii="Arial" w:hAnsi="Arial"/>
        </w:rPr>
        <w:t>No obstante lo anterior, se tiene que el auto que desató el recurso data del 19-09-2016, notificado con fija</w:t>
      </w:r>
      <w:r w:rsidR="008C5A0B">
        <w:rPr>
          <w:rFonts w:ascii="Arial" w:hAnsi="Arial"/>
        </w:rPr>
        <w:t>ción en el estado del 20-09-2016</w:t>
      </w:r>
      <w:r>
        <w:rPr>
          <w:rFonts w:ascii="Arial" w:hAnsi="Arial"/>
        </w:rPr>
        <w:t xml:space="preserve"> (folios 39 a 4</w:t>
      </w:r>
      <w:r w:rsidR="008C5A0B">
        <w:rPr>
          <w:rFonts w:ascii="Arial" w:hAnsi="Arial"/>
        </w:rPr>
        <w:t>1</w:t>
      </w:r>
      <w:r>
        <w:rPr>
          <w:rFonts w:ascii="Arial" w:hAnsi="Arial"/>
        </w:rPr>
        <w:t>, cuaderno No.1), y l</w:t>
      </w:r>
      <w:r w:rsidR="008C5A0B">
        <w:rPr>
          <w:rFonts w:ascii="Arial" w:hAnsi="Arial"/>
        </w:rPr>
        <w:t>a tutela se radicó el 31-03-2017</w:t>
      </w:r>
      <w:r>
        <w:rPr>
          <w:rFonts w:ascii="Arial" w:hAnsi="Arial"/>
        </w:rPr>
        <w:t xml:space="preserve"> (Folio 52, ibídem), </w:t>
      </w:r>
      <w:r>
        <w:rPr>
          <w:rFonts w:ascii="Arial" w:hAnsi="Arial" w:cs="Arial"/>
        </w:rPr>
        <w:t xml:space="preserve">lo que implica sin lugar a dudas, que carece de inmediatez, pues </w:t>
      </w:r>
      <w:r w:rsidR="007767D9">
        <w:rPr>
          <w:rFonts w:ascii="Arial" w:hAnsi="Arial" w:cs="Arial"/>
        </w:rPr>
        <w:t xml:space="preserve">se </w:t>
      </w:r>
      <w:r>
        <w:rPr>
          <w:rFonts w:ascii="Arial" w:hAnsi="Arial" w:cs="Arial"/>
        </w:rPr>
        <w:t>desbordó el plazo de los seis (6) meses fijado por la jurisprudencia</w:t>
      </w:r>
      <w:r>
        <w:rPr>
          <w:rStyle w:val="Refdenotaalpie"/>
          <w:rFonts w:ascii="Arial" w:hAnsi="Arial"/>
        </w:rPr>
        <w:footnoteReference w:id="18"/>
      </w:r>
      <w:r>
        <w:rPr>
          <w:rFonts w:ascii="Arial" w:hAnsi="Arial" w:cs="Arial"/>
        </w:rPr>
        <w:t xml:space="preserve">, </w:t>
      </w:r>
      <w:r w:rsidR="007767D9">
        <w:rPr>
          <w:rFonts w:ascii="Arial" w:hAnsi="Arial" w:cs="Arial"/>
        </w:rPr>
        <w:t xml:space="preserve">es así que </w:t>
      </w:r>
      <w:r>
        <w:rPr>
          <w:rFonts w:ascii="Arial" w:hAnsi="Arial" w:cs="Arial"/>
        </w:rPr>
        <w:t>transcurrieron seis (6) meses y once (11) días</w:t>
      </w:r>
      <w:r w:rsidR="007767D9">
        <w:rPr>
          <w:rFonts w:ascii="Arial" w:hAnsi="Arial" w:cs="Arial"/>
        </w:rPr>
        <w:t xml:space="preserve"> hasta el día de su presentación</w:t>
      </w:r>
      <w:r>
        <w:rPr>
          <w:rFonts w:ascii="Arial" w:hAnsi="Arial" w:cs="Arial"/>
        </w:rPr>
        <w:t xml:space="preserve">. </w:t>
      </w:r>
    </w:p>
    <w:p w:rsidR="00BB0EF5" w:rsidRPr="0033778F" w:rsidRDefault="00BB0EF5" w:rsidP="00542667">
      <w:pPr>
        <w:pStyle w:val="Textoindependiente"/>
        <w:spacing w:line="360" w:lineRule="auto"/>
        <w:rPr>
          <w:rFonts w:ascii="Arial" w:hAnsi="Arial"/>
          <w:szCs w:val="24"/>
        </w:rPr>
      </w:pPr>
    </w:p>
    <w:p w:rsidR="00542667" w:rsidRDefault="00542667" w:rsidP="00542667">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que medi</w:t>
      </w:r>
      <w:r>
        <w:rPr>
          <w:rFonts w:ascii="Arial" w:hAnsi="Arial" w:cs="Arial"/>
        </w:rPr>
        <w:t>ó</w:t>
      </w:r>
      <w:r w:rsidRPr="008B0539">
        <w:rPr>
          <w:rFonts w:ascii="Arial" w:hAnsi="Arial" w:cs="Arial"/>
        </w:rPr>
        <w:t xml:space="preserve"> causa alguna de fuerza mayor o caso fortuito que </w:t>
      </w:r>
      <w:r>
        <w:rPr>
          <w:rFonts w:ascii="Arial" w:hAnsi="Arial" w:cs="Arial"/>
        </w:rPr>
        <w:t xml:space="preserve">le </w:t>
      </w:r>
      <w:r w:rsidRPr="008B0539">
        <w:rPr>
          <w:rFonts w:ascii="Arial" w:hAnsi="Arial" w:cs="Arial"/>
        </w:rPr>
        <w:t>impidiera gestionar su defensa</w:t>
      </w:r>
      <w:r>
        <w:rPr>
          <w:rFonts w:ascii="Arial" w:hAnsi="Arial" w:cs="Arial"/>
        </w:rPr>
        <w:t xml:space="preserve"> a través de esta acción</w:t>
      </w:r>
      <w:r w:rsidRPr="008B0539">
        <w:rPr>
          <w:rFonts w:ascii="Arial" w:hAnsi="Arial" w:cs="Arial"/>
        </w:rPr>
        <w:t xml:space="preserve"> con mayor celeridad</w:t>
      </w:r>
      <w:r>
        <w:rPr>
          <w:rFonts w:ascii="Arial" w:hAnsi="Arial" w:cs="Arial"/>
        </w:rPr>
        <w:t>; circunstancias que no fueron expuestas y mucho menos probadas en el trámite</w:t>
      </w:r>
      <w:r w:rsidR="007767D9">
        <w:rPr>
          <w:rFonts w:ascii="Arial" w:hAnsi="Arial" w:cs="Arial"/>
        </w:rPr>
        <w:t>; además, siempre ha contado con la asesoría jurídica de su abogada</w:t>
      </w:r>
      <w:r>
        <w:rPr>
          <w:rFonts w:ascii="Arial" w:hAnsi="Arial" w:cs="Arial"/>
        </w:rPr>
        <w:t>. De igual forma, no se encuentra ni alegado ni probado, que el actor sea persona de especial protección constitucional</w:t>
      </w:r>
      <w:r>
        <w:rPr>
          <w:rStyle w:val="Refdenotaalpie"/>
          <w:rFonts w:ascii="Arial" w:hAnsi="Arial"/>
        </w:rPr>
        <w:footnoteReference w:id="19"/>
      </w:r>
      <w:r>
        <w:rPr>
          <w:rFonts w:ascii="Arial" w:hAnsi="Arial" w:cs="Arial"/>
        </w:rPr>
        <w:t xml:space="preserve">. </w:t>
      </w:r>
    </w:p>
    <w:p w:rsidR="00621DF5" w:rsidRDefault="00621DF5" w:rsidP="00811A56">
      <w:pPr>
        <w:spacing w:line="360" w:lineRule="auto"/>
        <w:jc w:val="both"/>
        <w:rPr>
          <w:rFonts w:ascii="Arial" w:hAnsi="Arial"/>
          <w:lang w:val="es-CO"/>
        </w:rPr>
      </w:pPr>
    </w:p>
    <w:p w:rsidR="006E3281" w:rsidRPr="003E253D" w:rsidRDefault="003E253D" w:rsidP="00801FCF">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 w:val="28"/>
          <w:szCs w:val="24"/>
        </w:rPr>
        <w:t>L</w:t>
      </w:r>
      <w:r w:rsidRPr="003E253D">
        <w:rPr>
          <w:rFonts w:ascii="Arial" w:hAnsi="Arial" w:cs="Arial"/>
          <w:smallCaps/>
          <w:sz w:val="28"/>
          <w:szCs w:val="24"/>
        </w:rPr>
        <w:t xml:space="preserve">as conclusiones </w:t>
      </w:r>
    </w:p>
    <w:p w:rsidR="006E3281" w:rsidRPr="00A7169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A71329" w:rsidRDefault="006E3281" w:rsidP="00A71329">
      <w:pPr>
        <w:pStyle w:val="Sangradetextonormal"/>
        <w:spacing w:after="0" w:line="360" w:lineRule="auto"/>
        <w:ind w:left="0"/>
        <w:jc w:val="both"/>
        <w:rPr>
          <w:rFonts w:ascii="Arial" w:hAnsi="Arial" w:cs="Arial"/>
          <w:color w:val="000000"/>
        </w:rPr>
      </w:pPr>
      <w:r w:rsidRPr="00951700">
        <w:rPr>
          <w:rFonts w:ascii="Arial" w:hAnsi="Arial"/>
        </w:rPr>
        <w:t>En armonía con las premisas expuestas en los acápites anteriores</w:t>
      </w:r>
      <w:r w:rsidR="00A7399F">
        <w:rPr>
          <w:rFonts w:ascii="Arial" w:hAnsi="Arial"/>
        </w:rPr>
        <w:t xml:space="preserve"> se </w:t>
      </w:r>
      <w:r w:rsidR="007767D9">
        <w:rPr>
          <w:rFonts w:ascii="Arial" w:hAnsi="Arial"/>
        </w:rPr>
        <w:t>confirmará la sentencia de primera instancia, pero por las razones expuestas</w:t>
      </w:r>
      <w:r w:rsidR="00A71329">
        <w:rPr>
          <w:rFonts w:ascii="Arial" w:hAnsi="Arial" w:cs="Arial"/>
          <w:color w:val="000000"/>
        </w:rPr>
        <w:t xml:space="preserve">. </w:t>
      </w:r>
    </w:p>
    <w:p w:rsidR="00D07BE1" w:rsidRPr="00A71698" w:rsidRDefault="00D07BE1" w:rsidP="00D07BE1">
      <w:pPr>
        <w:spacing w:line="360" w:lineRule="auto"/>
        <w:ind w:right="51"/>
        <w:jc w:val="both"/>
        <w:rPr>
          <w:rFonts w:ascii="Arial" w:hAnsi="Arial" w:cs="Arial"/>
          <w:lang w:val="es-CO"/>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72700A" w:rsidRPr="006E3281" w:rsidRDefault="0072700A" w:rsidP="006E3281">
      <w:pPr>
        <w:pStyle w:val="Textoindependiente"/>
        <w:spacing w:line="360" w:lineRule="auto"/>
        <w:jc w:val="center"/>
        <w:rPr>
          <w:rFonts w:ascii="Arial" w:hAnsi="Arial" w:cs="Arial"/>
          <w:bCs/>
          <w:smallCaps/>
          <w:szCs w:val="24"/>
        </w:rPr>
      </w:pPr>
    </w:p>
    <w:p w:rsidR="007767D9" w:rsidRPr="002821E1" w:rsidRDefault="007767D9" w:rsidP="007767D9">
      <w:pPr>
        <w:pStyle w:val="Prrafodelista"/>
        <w:widowControl/>
        <w:numPr>
          <w:ilvl w:val="0"/>
          <w:numId w:val="32"/>
        </w:numPr>
        <w:tabs>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spacing w:val="-3"/>
          <w:lang w:val="es-ES_tradnl"/>
        </w:rPr>
      </w:pPr>
      <w:r w:rsidRPr="00D23CD1">
        <w:rPr>
          <w:rFonts w:ascii="Arial" w:hAnsi="Arial"/>
          <w:spacing w:val="-3"/>
          <w:lang w:val="es-ES_tradnl"/>
        </w:rPr>
        <w:t xml:space="preserve">CONFIRMAR la sentencia del </w:t>
      </w:r>
      <w:r>
        <w:rPr>
          <w:rFonts w:ascii="Arial" w:hAnsi="Arial"/>
          <w:spacing w:val="-3"/>
          <w:lang w:val="es-ES_tradnl"/>
        </w:rPr>
        <w:t xml:space="preserve">19-04-2017 </w:t>
      </w:r>
      <w:r w:rsidRPr="00D23CD1">
        <w:rPr>
          <w:rFonts w:ascii="Arial" w:hAnsi="Arial"/>
          <w:spacing w:val="-3"/>
          <w:lang w:val="es-ES_tradnl"/>
        </w:rPr>
        <w:t xml:space="preserve">proferida por el Juzgado </w:t>
      </w:r>
      <w:r>
        <w:rPr>
          <w:rFonts w:ascii="Arial" w:hAnsi="Arial"/>
          <w:spacing w:val="-3"/>
          <w:lang w:val="es-ES_tradnl"/>
        </w:rPr>
        <w:t>Civil del Circuito de Dosquebradas</w:t>
      </w:r>
      <w:r w:rsidRPr="00D23CD1">
        <w:rPr>
          <w:rFonts w:ascii="Arial" w:hAnsi="Arial"/>
        </w:rPr>
        <w:t>.</w:t>
      </w:r>
    </w:p>
    <w:p w:rsidR="007767D9" w:rsidRPr="006A6927" w:rsidRDefault="007767D9" w:rsidP="007767D9">
      <w:pPr>
        <w:pStyle w:val="Textoindependiente"/>
        <w:tabs>
          <w:tab w:val="clear" w:pos="708"/>
          <w:tab w:val="clear" w:pos="1416"/>
          <w:tab w:val="left" w:pos="426"/>
        </w:tabs>
        <w:spacing w:line="360" w:lineRule="auto"/>
        <w:ind w:left="360"/>
        <w:rPr>
          <w:rFonts w:ascii="Arial" w:hAnsi="Arial" w:cs="Arial"/>
          <w:szCs w:val="24"/>
        </w:rPr>
      </w:pPr>
    </w:p>
    <w:p w:rsidR="007767D9" w:rsidRPr="008A1328" w:rsidRDefault="007767D9" w:rsidP="007767D9">
      <w:pPr>
        <w:pStyle w:val="Textoindependiente"/>
        <w:numPr>
          <w:ilvl w:val="0"/>
          <w:numId w:val="32"/>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NOTIFICAR esta decisión a todas las partes, por el medio más expedito y eficaz.</w:t>
      </w:r>
    </w:p>
    <w:p w:rsidR="007767D9" w:rsidRPr="006A6927" w:rsidRDefault="007767D9" w:rsidP="007767D9">
      <w:pPr>
        <w:pStyle w:val="Prrafodelista"/>
        <w:spacing w:line="360" w:lineRule="auto"/>
        <w:ind w:left="360"/>
        <w:rPr>
          <w:rFonts w:ascii="Arial" w:hAnsi="Arial" w:cs="Arial"/>
        </w:rPr>
      </w:pPr>
    </w:p>
    <w:p w:rsidR="007767D9" w:rsidRPr="00CE32AE" w:rsidRDefault="007767D9" w:rsidP="007767D9">
      <w:pPr>
        <w:pStyle w:val="Textoindependiente"/>
        <w:numPr>
          <w:ilvl w:val="0"/>
          <w:numId w:val="32"/>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REMITIR el expediente a la Corte Constitucional para su eventual revisión.</w:t>
      </w:r>
    </w:p>
    <w:p w:rsidR="00984EE4" w:rsidRPr="002268A0" w:rsidRDefault="00984EE4" w:rsidP="00126266">
      <w:pPr>
        <w:pStyle w:val="Textoindependiente"/>
        <w:spacing w:line="360" w:lineRule="auto"/>
        <w:jc w:val="center"/>
        <w:rPr>
          <w:rFonts w:ascii="Arial" w:hAnsi="Arial"/>
          <w:smallCaps/>
          <w:sz w:val="10"/>
          <w:szCs w:val="24"/>
        </w:rPr>
      </w:pPr>
    </w:p>
    <w:p w:rsidR="00126266" w:rsidRPr="001B6BBA" w:rsidRDefault="00126266" w:rsidP="00126266">
      <w:pPr>
        <w:pStyle w:val="Textoindependien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A71698" w:rsidRDefault="00A7169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9752F" w:rsidRPr="008C5A0B"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4"/>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2268A0"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n-US"/>
        </w:rPr>
      </w:pPr>
    </w:p>
    <w:p w:rsidR="00EC345D" w:rsidRPr="008C5A0B" w:rsidRDefault="00EC345D"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44"/>
          <w:szCs w:val="18"/>
          <w:lang w:val="en-US"/>
        </w:rPr>
      </w:pPr>
    </w:p>
    <w:p w:rsidR="0099752F"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A74786"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671332" w:rsidRPr="008C5A0B" w:rsidRDefault="008C5A0B" w:rsidP="008C5A0B">
      <w:pPr>
        <w:widowControl/>
        <w:autoSpaceDE/>
        <w:autoSpaceDN/>
        <w:adjustRightInd/>
        <w:rPr>
          <w:rFonts w:ascii="Arial" w:hAnsi="Arial" w:cs="Arial"/>
          <w:i/>
          <w:w w:val="150"/>
          <w:sz w:val="18"/>
          <w:lang w:val="es-CO"/>
        </w:rPr>
      </w:pPr>
      <w:r w:rsidRPr="008C5A0B">
        <w:rPr>
          <w:rFonts w:ascii="Arial" w:hAnsi="Arial" w:cs="Arial"/>
          <w:i/>
          <w:w w:val="150"/>
          <w:sz w:val="18"/>
          <w:lang w:val="es-CO"/>
        </w:rPr>
        <w:t xml:space="preserve">                                                                              (Con salvamento</w:t>
      </w:r>
      <w:r>
        <w:rPr>
          <w:rFonts w:ascii="Arial" w:hAnsi="Arial" w:cs="Arial"/>
          <w:i/>
          <w:w w:val="150"/>
          <w:sz w:val="18"/>
          <w:lang w:val="es-CO"/>
        </w:rPr>
        <w:t>)</w:t>
      </w:r>
      <w:r w:rsidRPr="008C5A0B">
        <w:rPr>
          <w:rFonts w:ascii="Arial" w:hAnsi="Arial" w:cs="Arial"/>
          <w:i/>
          <w:w w:val="150"/>
          <w:sz w:val="18"/>
          <w:lang w:val="es-CO"/>
        </w:rPr>
        <w:tab/>
      </w:r>
    </w:p>
    <w:sectPr w:rsidR="00671332" w:rsidRPr="008C5A0B" w:rsidSect="00EF55F1">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78" w:rsidRDefault="00822E78" w:rsidP="0099045D">
      <w:r>
        <w:separator/>
      </w:r>
    </w:p>
  </w:endnote>
  <w:endnote w:type="continuationSeparator" w:id="0">
    <w:p w:rsidR="00822E78" w:rsidRDefault="00822E7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C0" w:rsidRDefault="008132C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132C0" w:rsidRDefault="008132C0" w:rsidP="0013771A">
    <w:pPr>
      <w:pStyle w:val="Piedepgina"/>
      <w:spacing w:line="360" w:lineRule="auto"/>
      <w:jc w:val="right"/>
      <w:rPr>
        <w:rFonts w:ascii="Arial" w:hAnsi="Arial" w:cs="Arial"/>
        <w:spacing w:val="20"/>
        <w:w w:val="200"/>
        <w:sz w:val="14"/>
        <w:szCs w:val="10"/>
        <w:lang w:val="es-CO"/>
      </w:rPr>
    </w:pPr>
  </w:p>
  <w:p w:rsidR="008132C0" w:rsidRPr="003E18D8" w:rsidRDefault="008132C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132C0" w:rsidRPr="007F7D49" w:rsidRDefault="008132C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78" w:rsidRDefault="00822E78" w:rsidP="0099045D">
      <w:r>
        <w:separator/>
      </w:r>
    </w:p>
  </w:footnote>
  <w:footnote w:type="continuationSeparator" w:id="0">
    <w:p w:rsidR="00822E78" w:rsidRDefault="00822E78" w:rsidP="0099045D">
      <w:r>
        <w:continuationSeparator/>
      </w:r>
    </w:p>
  </w:footnote>
  <w:footnote w:id="1">
    <w:p w:rsidR="00546AA6" w:rsidRPr="00E17BD7" w:rsidRDefault="00546AA6" w:rsidP="00546A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546AA6" w:rsidRPr="00E17BD7" w:rsidRDefault="00546AA6" w:rsidP="00546AA6">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546AA6" w:rsidRPr="00E17BD7" w:rsidRDefault="00546AA6" w:rsidP="00546A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546AA6" w:rsidRPr="00E17BD7" w:rsidRDefault="00546AA6" w:rsidP="00546A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546AA6" w:rsidRPr="00E17BD7" w:rsidRDefault="00546AA6" w:rsidP="00546AA6">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546AA6" w:rsidRPr="00D65FBA" w:rsidRDefault="00546AA6" w:rsidP="00546AA6">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546AA6" w:rsidRPr="00E17BD7" w:rsidRDefault="00546AA6" w:rsidP="00546AA6">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546AA6" w:rsidRPr="00E17BD7" w:rsidRDefault="00546AA6" w:rsidP="00546AA6">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546AA6" w:rsidRPr="00E17BD7" w:rsidRDefault="00546AA6" w:rsidP="00546AA6">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A74786" w:rsidRPr="00E86200" w:rsidRDefault="00A74786" w:rsidP="00A74786">
      <w:pPr>
        <w:pStyle w:val="Textonotapie"/>
        <w:jc w:val="both"/>
        <w:rPr>
          <w:rFonts w:ascii="Calibri" w:hAnsi="Calibri"/>
        </w:rPr>
      </w:pPr>
      <w:r w:rsidRPr="00E86200">
        <w:rPr>
          <w:rStyle w:val="Refdenotaalpie"/>
          <w:rFonts w:ascii="Calibri" w:hAnsi="Calibri" w:cs="Calibri"/>
        </w:rPr>
        <w:footnoteRef/>
      </w:r>
      <w:r w:rsidRPr="00E86200">
        <w:rPr>
          <w:rFonts w:ascii="Calibri" w:hAnsi="Calibri" w:cs="Calibri"/>
          <w:lang w:val="es-CO"/>
        </w:rPr>
        <w:t xml:space="preserve"> </w:t>
      </w:r>
      <w:r w:rsidRPr="00E86200">
        <w:rPr>
          <w:rFonts w:ascii="Calibri" w:hAnsi="Calibri" w:cs="Calibri"/>
        </w:rPr>
        <w:t xml:space="preserve">CC. SU-961 de 1999, </w:t>
      </w:r>
      <w:r w:rsidRPr="00E86200">
        <w:rPr>
          <w:rFonts w:ascii="Calibri" w:hAnsi="Calibri" w:cs="Calibri"/>
          <w:lang w:val="es-CO"/>
        </w:rPr>
        <w:t>T-890 de 2006, T-548 de 2011 y T-172 de 2013.</w:t>
      </w:r>
    </w:p>
  </w:footnote>
  <w:footnote w:id="11">
    <w:p w:rsidR="00A74786" w:rsidRPr="00825F31" w:rsidRDefault="00A74786" w:rsidP="00A74786">
      <w:pPr>
        <w:pStyle w:val="Textonotapie"/>
        <w:jc w:val="both"/>
        <w:rPr>
          <w:rFonts w:ascii="Calibri" w:hAnsi="Calibri"/>
        </w:rPr>
      </w:pPr>
      <w:r w:rsidRPr="00825F31">
        <w:rPr>
          <w:rStyle w:val="Refdenotaalpie"/>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A74786" w:rsidRPr="00422741" w:rsidRDefault="00A74786" w:rsidP="00A74786">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sidRPr="00E86200">
        <w:rPr>
          <w:rFonts w:ascii="Calibri" w:hAnsi="Calibri" w:cs="Calibri"/>
        </w:rPr>
        <w:t>CC</w:t>
      </w:r>
      <w:r w:rsidRPr="00422741">
        <w:rPr>
          <w:rFonts w:ascii="Calibri" w:hAnsi="Calibri" w:cs="Calibri"/>
          <w:lang w:val="es-CO"/>
        </w:rPr>
        <w:t>. T-1079 de 2008.</w:t>
      </w:r>
    </w:p>
  </w:footnote>
  <w:footnote w:id="13">
    <w:p w:rsidR="00A74786" w:rsidRPr="00E501C4" w:rsidRDefault="00A74786" w:rsidP="00A74786">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CSJ, Civil</w:t>
      </w:r>
      <w:r>
        <w:rPr>
          <w:rFonts w:ascii="Calibri" w:hAnsi="Calibri"/>
          <w:lang w:val="es-CO"/>
        </w:rPr>
        <w:t>.</w:t>
      </w:r>
      <w:r w:rsidRPr="00422741">
        <w:rPr>
          <w:rFonts w:ascii="Calibri" w:hAnsi="Calibri"/>
          <w:lang w:val="es-CO"/>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4">
    <w:p w:rsidR="00A74786" w:rsidRPr="00E86200" w:rsidRDefault="00A74786" w:rsidP="00A74786">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T-016 de 2006.</w:t>
      </w:r>
    </w:p>
  </w:footnote>
  <w:footnote w:id="15">
    <w:p w:rsidR="00A74786" w:rsidRPr="00E86200" w:rsidRDefault="00A74786" w:rsidP="00A74786">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A74786" w:rsidRPr="00E86200" w:rsidRDefault="00A74786" w:rsidP="00A74786">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A74786" w:rsidRPr="006504DF" w:rsidRDefault="00A74786" w:rsidP="00A74786">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sidRPr="006504DF">
        <w:rPr>
          <w:rFonts w:ascii="Calibri" w:hAnsi="Calibri" w:cs="Calibri"/>
          <w:lang w:val="es-CO"/>
        </w:rPr>
        <w:t xml:space="preserve">. </w:t>
      </w:r>
      <w:r w:rsidR="00582739">
        <w:rPr>
          <w:rFonts w:ascii="Calibri" w:hAnsi="Calibri" w:cs="Calibri"/>
          <w:lang w:val="es-CO"/>
        </w:rPr>
        <w:t xml:space="preserve">T-323 de 2016 y </w:t>
      </w:r>
      <w:r w:rsidRPr="006504DF">
        <w:rPr>
          <w:rFonts w:ascii="Calibri" w:hAnsi="Calibri" w:cs="Calibri"/>
          <w:lang w:val="es-CO"/>
        </w:rPr>
        <w:t>SU 499 de 2016</w:t>
      </w:r>
      <w:r w:rsidRPr="006504DF">
        <w:rPr>
          <w:rFonts w:ascii="Calibri" w:hAnsi="Calibri" w:cs="Calibri"/>
        </w:rPr>
        <w:t>.</w:t>
      </w:r>
    </w:p>
  </w:footnote>
  <w:footnote w:id="18">
    <w:p w:rsidR="00542667" w:rsidRPr="009C4841" w:rsidRDefault="00542667" w:rsidP="00542667">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Pr="007767D9">
        <w:rPr>
          <w:rFonts w:asciiTheme="minorHAnsi" w:hAnsiTheme="minorHAnsi"/>
          <w:lang w:val="es-CO"/>
        </w:rPr>
        <w:t xml:space="preserve">CC. </w:t>
      </w:r>
      <w:hyperlink r:id="rId1" w:history="1">
        <w:r w:rsidRPr="007767D9">
          <w:rPr>
            <w:rStyle w:val="Hipervnculo"/>
            <w:rFonts w:ascii="Calibri" w:hAnsi="Calibri" w:cs="Courier New"/>
            <w:color w:val="auto"/>
            <w:u w:val="none"/>
          </w:rPr>
          <w:t>SU-499 de 2016</w:t>
        </w:r>
      </w:hyperlink>
      <w:r w:rsidRPr="007767D9">
        <w:rPr>
          <w:rFonts w:asciiTheme="minorHAnsi" w:hAnsiTheme="minorHAnsi"/>
          <w:lang w:val="es-CO"/>
        </w:rPr>
        <w:t>.</w:t>
      </w:r>
    </w:p>
  </w:footnote>
  <w:footnote w:id="19">
    <w:p w:rsidR="00542667" w:rsidRPr="004905B4" w:rsidRDefault="00542667" w:rsidP="00542667">
      <w:pPr>
        <w:pStyle w:val="Textonotapie"/>
        <w:rPr>
          <w:lang w:val="es-CO"/>
        </w:rPr>
      </w:pPr>
      <w:r>
        <w:rPr>
          <w:rStyle w:val="Refdenotaalpie"/>
        </w:rPr>
        <w:footnoteRef/>
      </w:r>
      <w:r>
        <w:t xml:space="preserve"> </w:t>
      </w:r>
      <w:r w:rsidR="007767D9">
        <w:rPr>
          <w:rFonts w:asciiTheme="minorHAnsi" w:hAnsiTheme="minorHAnsi" w:cs="Calibri"/>
          <w:lang w:val="es-CO"/>
        </w:rPr>
        <w:t>CC</w:t>
      </w:r>
      <w:r w:rsidRPr="004905B4">
        <w:rPr>
          <w:rFonts w:asciiTheme="minorHAnsi" w:hAnsiTheme="minorHAnsi" w:cs="Calibri"/>
          <w:lang w:val="es-CO"/>
        </w:rPr>
        <w:t>.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C0" w:rsidRPr="006414F7" w:rsidRDefault="008132C0"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9348E">
      <w:rPr>
        <w:rFonts w:ascii="Calibri" w:hAnsi="Calibri" w:cs="Calibri"/>
        <w:i/>
        <w:noProof/>
        <w:sz w:val="20"/>
      </w:rPr>
      <w:t>7</w:t>
    </w:r>
    <w:r w:rsidRPr="006414F7">
      <w:rPr>
        <w:rFonts w:ascii="Calibri" w:hAnsi="Calibri" w:cs="Calibri"/>
        <w:i/>
        <w:sz w:val="20"/>
      </w:rPr>
      <w:fldChar w:fldCharType="end"/>
    </w:r>
  </w:p>
  <w:p w:rsidR="008132C0" w:rsidRPr="006414F7" w:rsidRDefault="008132C0" w:rsidP="00ED32C8">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D9239A">
      <w:rPr>
        <w:rFonts w:ascii="Calibri" w:hAnsi="Calibri" w:cs="Calibri"/>
        <w:i/>
        <w:sz w:val="20"/>
        <w:szCs w:val="22"/>
      </w:rPr>
      <w:t>2017-00026-01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FEAF8FA"/>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9D70DE"/>
    <w:multiLevelType w:val="multilevel"/>
    <w:tmpl w:val="D0D04BB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1A578A"/>
    <w:multiLevelType w:val="hybridMultilevel"/>
    <w:tmpl w:val="A7560928"/>
    <w:lvl w:ilvl="0" w:tplc="84841C58">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4"/>
  </w:num>
  <w:num w:numId="3">
    <w:abstractNumId w:val="13"/>
  </w:num>
  <w:num w:numId="4">
    <w:abstractNumId w:val="2"/>
  </w:num>
  <w:num w:numId="5">
    <w:abstractNumId w:val="28"/>
  </w:num>
  <w:num w:numId="6">
    <w:abstractNumId w:val="0"/>
  </w:num>
  <w:num w:numId="7">
    <w:abstractNumId w:val="21"/>
  </w:num>
  <w:num w:numId="8">
    <w:abstractNumId w:val="1"/>
  </w:num>
  <w:num w:numId="9">
    <w:abstractNumId w:val="29"/>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4"/>
  </w:num>
  <w:num w:numId="17">
    <w:abstractNumId w:val="17"/>
  </w:num>
  <w:num w:numId="18">
    <w:abstractNumId w:val="7"/>
  </w:num>
  <w:num w:numId="19">
    <w:abstractNumId w:val="5"/>
  </w:num>
  <w:num w:numId="20">
    <w:abstractNumId w:val="11"/>
  </w:num>
  <w:num w:numId="21">
    <w:abstractNumId w:val="19"/>
  </w:num>
  <w:num w:numId="22">
    <w:abstractNumId w:val="25"/>
  </w:num>
  <w:num w:numId="23">
    <w:abstractNumId w:val="6"/>
  </w:num>
  <w:num w:numId="24">
    <w:abstractNumId w:val="23"/>
  </w:num>
  <w:num w:numId="25">
    <w:abstractNumId w:val="3"/>
  </w:num>
  <w:num w:numId="26">
    <w:abstractNumId w:val="12"/>
  </w:num>
  <w:num w:numId="27">
    <w:abstractNumId w:val="24"/>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num>
  <w:num w:numId="31">
    <w:abstractNumId w:val="15"/>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4E8"/>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15C"/>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895"/>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0B4B"/>
    <w:rsid w:val="000C134E"/>
    <w:rsid w:val="000C185C"/>
    <w:rsid w:val="000C1994"/>
    <w:rsid w:val="000C2B30"/>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4C46"/>
    <w:rsid w:val="000D5D6F"/>
    <w:rsid w:val="000D6276"/>
    <w:rsid w:val="000D763A"/>
    <w:rsid w:val="000D78F8"/>
    <w:rsid w:val="000D7C4A"/>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3C31"/>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2C6"/>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78A"/>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1ED"/>
    <w:rsid w:val="001604D9"/>
    <w:rsid w:val="001605B9"/>
    <w:rsid w:val="00160B52"/>
    <w:rsid w:val="00160BC3"/>
    <w:rsid w:val="00160CAD"/>
    <w:rsid w:val="00160DF5"/>
    <w:rsid w:val="0016115F"/>
    <w:rsid w:val="00161638"/>
    <w:rsid w:val="001617A2"/>
    <w:rsid w:val="0016193A"/>
    <w:rsid w:val="00161D08"/>
    <w:rsid w:val="00161DE4"/>
    <w:rsid w:val="00161F0F"/>
    <w:rsid w:val="001622C6"/>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558"/>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2"/>
    <w:rsid w:val="001A52A7"/>
    <w:rsid w:val="001A6A5E"/>
    <w:rsid w:val="001A6BD6"/>
    <w:rsid w:val="001A7270"/>
    <w:rsid w:val="001B024F"/>
    <w:rsid w:val="001B04FD"/>
    <w:rsid w:val="001B0E0F"/>
    <w:rsid w:val="001B184A"/>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4D"/>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8A0"/>
    <w:rsid w:val="002269FC"/>
    <w:rsid w:val="002274FF"/>
    <w:rsid w:val="00227A72"/>
    <w:rsid w:val="00227FC9"/>
    <w:rsid w:val="00230B9A"/>
    <w:rsid w:val="0023112E"/>
    <w:rsid w:val="002318E5"/>
    <w:rsid w:val="00231FBC"/>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4FBF"/>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FA0"/>
    <w:rsid w:val="002821C2"/>
    <w:rsid w:val="0028314C"/>
    <w:rsid w:val="00283B13"/>
    <w:rsid w:val="00283CD0"/>
    <w:rsid w:val="0028437A"/>
    <w:rsid w:val="002843E7"/>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055"/>
    <w:rsid w:val="00295335"/>
    <w:rsid w:val="00295F3F"/>
    <w:rsid w:val="002972E0"/>
    <w:rsid w:val="00297686"/>
    <w:rsid w:val="00297747"/>
    <w:rsid w:val="00297C65"/>
    <w:rsid w:val="002A02A6"/>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F6"/>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6BC"/>
    <w:rsid w:val="002F37F9"/>
    <w:rsid w:val="002F3875"/>
    <w:rsid w:val="002F3E1D"/>
    <w:rsid w:val="002F413A"/>
    <w:rsid w:val="002F4C69"/>
    <w:rsid w:val="002F55D1"/>
    <w:rsid w:val="002F5CFC"/>
    <w:rsid w:val="002F6CFE"/>
    <w:rsid w:val="0030086F"/>
    <w:rsid w:val="00300E34"/>
    <w:rsid w:val="00301345"/>
    <w:rsid w:val="00301699"/>
    <w:rsid w:val="00302001"/>
    <w:rsid w:val="00302228"/>
    <w:rsid w:val="0030262F"/>
    <w:rsid w:val="00303DD9"/>
    <w:rsid w:val="0030430B"/>
    <w:rsid w:val="00304C7E"/>
    <w:rsid w:val="00305B90"/>
    <w:rsid w:val="003065E0"/>
    <w:rsid w:val="00307BEF"/>
    <w:rsid w:val="00307D28"/>
    <w:rsid w:val="003109EF"/>
    <w:rsid w:val="003120B9"/>
    <w:rsid w:val="0031283F"/>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27DDB"/>
    <w:rsid w:val="00330025"/>
    <w:rsid w:val="003327BC"/>
    <w:rsid w:val="00333FB6"/>
    <w:rsid w:val="00334539"/>
    <w:rsid w:val="00334A5D"/>
    <w:rsid w:val="00334C3A"/>
    <w:rsid w:val="00335FCF"/>
    <w:rsid w:val="00336AC5"/>
    <w:rsid w:val="00336ADF"/>
    <w:rsid w:val="0033778F"/>
    <w:rsid w:val="00337AED"/>
    <w:rsid w:val="00337F22"/>
    <w:rsid w:val="00340361"/>
    <w:rsid w:val="00340F08"/>
    <w:rsid w:val="00341465"/>
    <w:rsid w:val="00341EE9"/>
    <w:rsid w:val="00342323"/>
    <w:rsid w:val="003428A4"/>
    <w:rsid w:val="003428DB"/>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1E9"/>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CA1"/>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A6BE8"/>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185"/>
    <w:rsid w:val="003D65B3"/>
    <w:rsid w:val="003D6763"/>
    <w:rsid w:val="003D6BEE"/>
    <w:rsid w:val="003D72AF"/>
    <w:rsid w:val="003E0939"/>
    <w:rsid w:val="003E0D08"/>
    <w:rsid w:val="003E0DA0"/>
    <w:rsid w:val="003E15C3"/>
    <w:rsid w:val="003E15EB"/>
    <w:rsid w:val="003E18D8"/>
    <w:rsid w:val="003E253D"/>
    <w:rsid w:val="003E2887"/>
    <w:rsid w:val="003E288D"/>
    <w:rsid w:val="003E35E2"/>
    <w:rsid w:val="003E3CD6"/>
    <w:rsid w:val="003E3F84"/>
    <w:rsid w:val="003E44F9"/>
    <w:rsid w:val="003E4897"/>
    <w:rsid w:val="003E5253"/>
    <w:rsid w:val="003E5C32"/>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76A"/>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5B9"/>
    <w:rsid w:val="00443C86"/>
    <w:rsid w:val="004442AF"/>
    <w:rsid w:val="00444613"/>
    <w:rsid w:val="004457BF"/>
    <w:rsid w:val="0044595C"/>
    <w:rsid w:val="00445B97"/>
    <w:rsid w:val="004461D4"/>
    <w:rsid w:val="00446423"/>
    <w:rsid w:val="004465F5"/>
    <w:rsid w:val="00446A16"/>
    <w:rsid w:val="00446AD7"/>
    <w:rsid w:val="004471D7"/>
    <w:rsid w:val="0044784C"/>
    <w:rsid w:val="00447A55"/>
    <w:rsid w:val="00450794"/>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6EB7"/>
    <w:rsid w:val="00467126"/>
    <w:rsid w:val="004673BB"/>
    <w:rsid w:val="00467960"/>
    <w:rsid w:val="00467C52"/>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21C"/>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28B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F73"/>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63FD"/>
    <w:rsid w:val="004B7439"/>
    <w:rsid w:val="004C0EA4"/>
    <w:rsid w:val="004C1276"/>
    <w:rsid w:val="004C1BA7"/>
    <w:rsid w:val="004C1C12"/>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064"/>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13D"/>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9"/>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667"/>
    <w:rsid w:val="005427D5"/>
    <w:rsid w:val="00543EE6"/>
    <w:rsid w:val="005440CF"/>
    <w:rsid w:val="00544859"/>
    <w:rsid w:val="00545409"/>
    <w:rsid w:val="00545914"/>
    <w:rsid w:val="00545F39"/>
    <w:rsid w:val="00546006"/>
    <w:rsid w:val="005463F5"/>
    <w:rsid w:val="00546AA6"/>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2739"/>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1A59"/>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1A6"/>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07E75"/>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DF5"/>
    <w:rsid w:val="00621F30"/>
    <w:rsid w:val="006224E3"/>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26"/>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90E"/>
    <w:rsid w:val="00674A79"/>
    <w:rsid w:val="0067589D"/>
    <w:rsid w:val="006758F9"/>
    <w:rsid w:val="00676248"/>
    <w:rsid w:val="00676E64"/>
    <w:rsid w:val="00677636"/>
    <w:rsid w:val="00677C1C"/>
    <w:rsid w:val="006803AE"/>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71"/>
    <w:rsid w:val="006A5A53"/>
    <w:rsid w:val="006A64CC"/>
    <w:rsid w:val="006A7A1D"/>
    <w:rsid w:val="006A7CCB"/>
    <w:rsid w:val="006A7DE0"/>
    <w:rsid w:val="006B0120"/>
    <w:rsid w:val="006B0770"/>
    <w:rsid w:val="006B0A6C"/>
    <w:rsid w:val="006B0E46"/>
    <w:rsid w:val="006B1091"/>
    <w:rsid w:val="006B1931"/>
    <w:rsid w:val="006B2B98"/>
    <w:rsid w:val="006B470D"/>
    <w:rsid w:val="006B551F"/>
    <w:rsid w:val="006B5597"/>
    <w:rsid w:val="006B60B4"/>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797"/>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19A"/>
    <w:rsid w:val="00705F12"/>
    <w:rsid w:val="0070650E"/>
    <w:rsid w:val="007073D1"/>
    <w:rsid w:val="00707648"/>
    <w:rsid w:val="00707B0A"/>
    <w:rsid w:val="007106FD"/>
    <w:rsid w:val="00710A01"/>
    <w:rsid w:val="00710BFF"/>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0A"/>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92E"/>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1F8"/>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480"/>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7D9"/>
    <w:rsid w:val="00776986"/>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0D0"/>
    <w:rsid w:val="0079347A"/>
    <w:rsid w:val="0079385B"/>
    <w:rsid w:val="007942F5"/>
    <w:rsid w:val="00794BDC"/>
    <w:rsid w:val="00794E4D"/>
    <w:rsid w:val="00794F24"/>
    <w:rsid w:val="00794F54"/>
    <w:rsid w:val="00795469"/>
    <w:rsid w:val="00795CDC"/>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7B0"/>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6F9"/>
    <w:rsid w:val="007E45CF"/>
    <w:rsid w:val="007E611C"/>
    <w:rsid w:val="007E614B"/>
    <w:rsid w:val="007E61FB"/>
    <w:rsid w:val="007E63C7"/>
    <w:rsid w:val="007E7055"/>
    <w:rsid w:val="007E7368"/>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8D6"/>
    <w:rsid w:val="00801DC1"/>
    <w:rsid w:val="00801FCF"/>
    <w:rsid w:val="00802D8F"/>
    <w:rsid w:val="00802EA3"/>
    <w:rsid w:val="008031C7"/>
    <w:rsid w:val="00803E05"/>
    <w:rsid w:val="00803EA2"/>
    <w:rsid w:val="00803F93"/>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A56"/>
    <w:rsid w:val="00811CD1"/>
    <w:rsid w:val="00812556"/>
    <w:rsid w:val="008128A7"/>
    <w:rsid w:val="0081322E"/>
    <w:rsid w:val="008132C0"/>
    <w:rsid w:val="00813552"/>
    <w:rsid w:val="0081546B"/>
    <w:rsid w:val="008154F0"/>
    <w:rsid w:val="00815EF9"/>
    <w:rsid w:val="008163C1"/>
    <w:rsid w:val="00816781"/>
    <w:rsid w:val="008200A3"/>
    <w:rsid w:val="00820AFB"/>
    <w:rsid w:val="008216F7"/>
    <w:rsid w:val="008217F2"/>
    <w:rsid w:val="0082221D"/>
    <w:rsid w:val="00822D3B"/>
    <w:rsid w:val="00822E78"/>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940"/>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4E47"/>
    <w:rsid w:val="00865235"/>
    <w:rsid w:val="00865709"/>
    <w:rsid w:val="00865BF9"/>
    <w:rsid w:val="00866190"/>
    <w:rsid w:val="00866E35"/>
    <w:rsid w:val="008672A9"/>
    <w:rsid w:val="00870B5E"/>
    <w:rsid w:val="0087164D"/>
    <w:rsid w:val="0087259B"/>
    <w:rsid w:val="00872ABC"/>
    <w:rsid w:val="0087303E"/>
    <w:rsid w:val="00873674"/>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6B2"/>
    <w:rsid w:val="00896A8A"/>
    <w:rsid w:val="00897B89"/>
    <w:rsid w:val="008A0C58"/>
    <w:rsid w:val="008A119F"/>
    <w:rsid w:val="008A3363"/>
    <w:rsid w:val="008A4F3D"/>
    <w:rsid w:val="008A59F2"/>
    <w:rsid w:val="008A616E"/>
    <w:rsid w:val="008A69A5"/>
    <w:rsid w:val="008A6EBD"/>
    <w:rsid w:val="008A7371"/>
    <w:rsid w:val="008A7CE9"/>
    <w:rsid w:val="008A7F47"/>
    <w:rsid w:val="008A7FFC"/>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E61"/>
    <w:rsid w:val="008C25A0"/>
    <w:rsid w:val="008C2679"/>
    <w:rsid w:val="008C2FCA"/>
    <w:rsid w:val="008C3547"/>
    <w:rsid w:val="008C3CB1"/>
    <w:rsid w:val="008C40D5"/>
    <w:rsid w:val="008C4C86"/>
    <w:rsid w:val="008C5895"/>
    <w:rsid w:val="008C5A0B"/>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415"/>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1BC0"/>
    <w:rsid w:val="0093201B"/>
    <w:rsid w:val="00932C62"/>
    <w:rsid w:val="00932CAA"/>
    <w:rsid w:val="00934393"/>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4E3"/>
    <w:rsid w:val="00972A96"/>
    <w:rsid w:val="009736C5"/>
    <w:rsid w:val="009737E1"/>
    <w:rsid w:val="00973DD5"/>
    <w:rsid w:val="00973E19"/>
    <w:rsid w:val="009740D5"/>
    <w:rsid w:val="00975D9D"/>
    <w:rsid w:val="00975FA1"/>
    <w:rsid w:val="0097600A"/>
    <w:rsid w:val="00976010"/>
    <w:rsid w:val="009763D6"/>
    <w:rsid w:val="00976AB5"/>
    <w:rsid w:val="00976E97"/>
    <w:rsid w:val="00980A11"/>
    <w:rsid w:val="00980AC5"/>
    <w:rsid w:val="0098136D"/>
    <w:rsid w:val="009816F4"/>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52F"/>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0C0"/>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407"/>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6BA"/>
    <w:rsid w:val="00A05AF6"/>
    <w:rsid w:val="00A06239"/>
    <w:rsid w:val="00A06890"/>
    <w:rsid w:val="00A06C92"/>
    <w:rsid w:val="00A06EB8"/>
    <w:rsid w:val="00A07CF3"/>
    <w:rsid w:val="00A1129E"/>
    <w:rsid w:val="00A12D3F"/>
    <w:rsid w:val="00A131C0"/>
    <w:rsid w:val="00A1320F"/>
    <w:rsid w:val="00A132ED"/>
    <w:rsid w:val="00A13483"/>
    <w:rsid w:val="00A13E15"/>
    <w:rsid w:val="00A14098"/>
    <w:rsid w:val="00A1487A"/>
    <w:rsid w:val="00A149AF"/>
    <w:rsid w:val="00A1553C"/>
    <w:rsid w:val="00A156CD"/>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4F6"/>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329"/>
    <w:rsid w:val="00A7163A"/>
    <w:rsid w:val="00A71698"/>
    <w:rsid w:val="00A72360"/>
    <w:rsid w:val="00A72986"/>
    <w:rsid w:val="00A7349E"/>
    <w:rsid w:val="00A7386D"/>
    <w:rsid w:val="00A7399F"/>
    <w:rsid w:val="00A746B0"/>
    <w:rsid w:val="00A74786"/>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2D8F"/>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80C"/>
    <w:rsid w:val="00AE4E5B"/>
    <w:rsid w:val="00AE545A"/>
    <w:rsid w:val="00AE549A"/>
    <w:rsid w:val="00AE5F7F"/>
    <w:rsid w:val="00AE6483"/>
    <w:rsid w:val="00AE65F5"/>
    <w:rsid w:val="00AE7224"/>
    <w:rsid w:val="00AE7305"/>
    <w:rsid w:val="00AE73C7"/>
    <w:rsid w:val="00AE7DDB"/>
    <w:rsid w:val="00AF046B"/>
    <w:rsid w:val="00AF0C6C"/>
    <w:rsid w:val="00AF143D"/>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405"/>
    <w:rsid w:val="00B00555"/>
    <w:rsid w:val="00B013CA"/>
    <w:rsid w:val="00B01CA9"/>
    <w:rsid w:val="00B01EBF"/>
    <w:rsid w:val="00B02C05"/>
    <w:rsid w:val="00B03045"/>
    <w:rsid w:val="00B04081"/>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3CC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0EF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24C"/>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4F48"/>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870"/>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90"/>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2A5F"/>
    <w:rsid w:val="00C932B1"/>
    <w:rsid w:val="00C9348E"/>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4A9"/>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E02"/>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B7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68B2"/>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239A"/>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7E7"/>
    <w:rsid w:val="00DC1B10"/>
    <w:rsid w:val="00DC2105"/>
    <w:rsid w:val="00DC2E33"/>
    <w:rsid w:val="00DC33F6"/>
    <w:rsid w:val="00DC4815"/>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17925"/>
    <w:rsid w:val="00E20093"/>
    <w:rsid w:val="00E207CE"/>
    <w:rsid w:val="00E20F2E"/>
    <w:rsid w:val="00E216EB"/>
    <w:rsid w:val="00E22703"/>
    <w:rsid w:val="00E22AB2"/>
    <w:rsid w:val="00E22E13"/>
    <w:rsid w:val="00E236D5"/>
    <w:rsid w:val="00E2382A"/>
    <w:rsid w:val="00E242C4"/>
    <w:rsid w:val="00E24329"/>
    <w:rsid w:val="00E244F4"/>
    <w:rsid w:val="00E2573A"/>
    <w:rsid w:val="00E2638A"/>
    <w:rsid w:val="00E268B9"/>
    <w:rsid w:val="00E27186"/>
    <w:rsid w:val="00E27305"/>
    <w:rsid w:val="00E278DB"/>
    <w:rsid w:val="00E27D33"/>
    <w:rsid w:val="00E27D4D"/>
    <w:rsid w:val="00E309D8"/>
    <w:rsid w:val="00E30AFF"/>
    <w:rsid w:val="00E30C38"/>
    <w:rsid w:val="00E31580"/>
    <w:rsid w:val="00E31941"/>
    <w:rsid w:val="00E3198D"/>
    <w:rsid w:val="00E324FA"/>
    <w:rsid w:val="00E331D8"/>
    <w:rsid w:val="00E331DA"/>
    <w:rsid w:val="00E33D4F"/>
    <w:rsid w:val="00E33FB9"/>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77E"/>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39FC"/>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55D"/>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95"/>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45D"/>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5F1"/>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08A"/>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8D1"/>
    <w:rsid w:val="00F22E83"/>
    <w:rsid w:val="00F23840"/>
    <w:rsid w:val="00F2395B"/>
    <w:rsid w:val="00F244B0"/>
    <w:rsid w:val="00F24C5F"/>
    <w:rsid w:val="00F24CEA"/>
    <w:rsid w:val="00F25348"/>
    <w:rsid w:val="00F25DB6"/>
    <w:rsid w:val="00F263E2"/>
    <w:rsid w:val="00F26725"/>
    <w:rsid w:val="00F27DCF"/>
    <w:rsid w:val="00F3020D"/>
    <w:rsid w:val="00F30291"/>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CF4"/>
    <w:rsid w:val="00F460C1"/>
    <w:rsid w:val="00F46225"/>
    <w:rsid w:val="00F46BEB"/>
    <w:rsid w:val="00F46D27"/>
    <w:rsid w:val="00F4746E"/>
    <w:rsid w:val="00F5025F"/>
    <w:rsid w:val="00F50AA8"/>
    <w:rsid w:val="00F51456"/>
    <w:rsid w:val="00F5194D"/>
    <w:rsid w:val="00F51E2A"/>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F5E"/>
    <w:rsid w:val="00F72213"/>
    <w:rsid w:val="00F7268E"/>
    <w:rsid w:val="00F7312B"/>
    <w:rsid w:val="00F731B0"/>
    <w:rsid w:val="00F73664"/>
    <w:rsid w:val="00F738CC"/>
    <w:rsid w:val="00F7395A"/>
    <w:rsid w:val="00F73BA6"/>
    <w:rsid w:val="00F74127"/>
    <w:rsid w:val="00F74276"/>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16A"/>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36DB"/>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character" w:styleId="Refdecomentario">
    <w:name w:val="annotation reference"/>
    <w:basedOn w:val="Fuentedeprrafopredeter"/>
    <w:uiPriority w:val="99"/>
    <w:semiHidden/>
    <w:unhideWhenUsed/>
    <w:rsid w:val="00D17E02"/>
    <w:rPr>
      <w:sz w:val="16"/>
      <w:szCs w:val="16"/>
    </w:rPr>
  </w:style>
  <w:style w:type="paragraph" w:styleId="Textocomentario">
    <w:name w:val="annotation text"/>
    <w:basedOn w:val="Normal"/>
    <w:link w:val="TextocomentarioCar"/>
    <w:uiPriority w:val="99"/>
    <w:semiHidden/>
    <w:unhideWhenUsed/>
    <w:rsid w:val="00D17E02"/>
    <w:rPr>
      <w:sz w:val="20"/>
      <w:szCs w:val="20"/>
    </w:rPr>
  </w:style>
  <w:style w:type="character" w:customStyle="1" w:styleId="TextocomentarioCar">
    <w:name w:val="Texto comentario Car"/>
    <w:basedOn w:val="Fuentedeprrafopredeter"/>
    <w:link w:val="Textocomentario"/>
    <w:uiPriority w:val="99"/>
    <w:semiHidden/>
    <w:rsid w:val="00D17E02"/>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D17E02"/>
    <w:rPr>
      <w:b/>
      <w:bCs/>
    </w:rPr>
  </w:style>
  <w:style w:type="character" w:customStyle="1" w:styleId="AsuntodelcomentarioCar">
    <w:name w:val="Asunto del comentario Car"/>
    <w:basedOn w:val="TextocomentarioCar"/>
    <w:link w:val="Asuntodelcomentario"/>
    <w:uiPriority w:val="99"/>
    <w:semiHidden/>
    <w:rsid w:val="00D17E0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0476">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708408993">
      <w:bodyDiv w:val="1"/>
      <w:marLeft w:val="0"/>
      <w:marRight w:val="0"/>
      <w:marTop w:val="0"/>
      <w:marBottom w:val="0"/>
      <w:divBdr>
        <w:top w:val="none" w:sz="0" w:space="0" w:color="auto"/>
        <w:left w:val="none" w:sz="0" w:space="0" w:color="auto"/>
        <w:bottom w:val="none" w:sz="0" w:space="0" w:color="auto"/>
        <w:right w:val="none" w:sz="0" w:space="0" w:color="auto"/>
      </w:divBdr>
    </w:div>
    <w:div w:id="920601764">
      <w:bodyDiv w:val="1"/>
      <w:marLeft w:val="0"/>
      <w:marRight w:val="0"/>
      <w:marTop w:val="0"/>
      <w:marBottom w:val="0"/>
      <w:divBdr>
        <w:top w:val="none" w:sz="0" w:space="0" w:color="auto"/>
        <w:left w:val="none" w:sz="0" w:space="0" w:color="auto"/>
        <w:bottom w:val="none" w:sz="0" w:space="0" w:color="auto"/>
        <w:right w:val="none" w:sz="0" w:space="0" w:color="auto"/>
      </w:divBdr>
    </w:div>
    <w:div w:id="92931379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18987955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112">
      <w:bodyDiv w:val="1"/>
      <w:marLeft w:val="0"/>
      <w:marRight w:val="0"/>
      <w:marTop w:val="0"/>
      <w:marBottom w:val="0"/>
      <w:divBdr>
        <w:top w:val="none" w:sz="0" w:space="0" w:color="auto"/>
        <w:left w:val="none" w:sz="0" w:space="0" w:color="auto"/>
        <w:bottom w:val="none" w:sz="0" w:space="0" w:color="auto"/>
        <w:right w:val="none" w:sz="0" w:space="0" w:color="auto"/>
      </w:divBdr>
    </w:div>
    <w:div w:id="2005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0F52-35D1-415F-B62A-1A052188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2017-06-02T18:31:00Z</cp:lastPrinted>
  <dcterms:created xsi:type="dcterms:W3CDTF">2017-06-02T14:47:00Z</dcterms:created>
  <dcterms:modified xsi:type="dcterms:W3CDTF">2017-09-07T16:14:00Z</dcterms:modified>
</cp:coreProperties>
</file>