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B0" w:rsidRDefault="00CF4DB0" w:rsidP="002403C8">
      <w:pPr>
        <w:pStyle w:val="Sinespaciado"/>
        <w:tabs>
          <w:tab w:val="left" w:pos="3579"/>
        </w:tabs>
        <w:spacing w:line="360" w:lineRule="auto"/>
        <w:jc w:val="center"/>
        <w:rPr>
          <w:rFonts w:ascii="Arial" w:hAnsi="Arial" w:cs="Arial"/>
          <w:w w:val="140"/>
          <w:sz w:val="14"/>
        </w:rPr>
      </w:pPr>
    </w:p>
    <w:p w:rsidR="00CF4DB0" w:rsidRPr="00A817A6" w:rsidRDefault="00CF4DB0" w:rsidP="00CF4DB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CF4DB0" w:rsidRDefault="00CF4DB0" w:rsidP="00CF4DB0">
      <w:pPr>
        <w:pStyle w:val="Sinespaciado"/>
        <w:rPr>
          <w:rFonts w:asciiTheme="minorHAnsi" w:hAnsiTheme="minorHAnsi"/>
          <w:sz w:val="18"/>
          <w:szCs w:val="18"/>
        </w:rPr>
      </w:pPr>
    </w:p>
    <w:p w:rsidR="00CF4DB0" w:rsidRPr="00CF4DB0" w:rsidRDefault="00CF4DB0" w:rsidP="00CF4DB0">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 xml:space="preserve">INASISTENCIA DEL PROCURADOR EN ACCIÓN POPULAR – INMEDIATEZ – SUBSIDIARIDAD – IMPROCEDENTE - </w:t>
      </w:r>
      <w:r w:rsidR="00147007">
        <w:rPr>
          <w:rFonts w:asciiTheme="minorHAnsi" w:hAnsiTheme="minorHAnsi"/>
          <w:sz w:val="18"/>
          <w:szCs w:val="18"/>
        </w:rPr>
        <w:t xml:space="preserve">De  acuerdo con  el petitorio de  amparo </w:t>
      </w:r>
      <w:bookmarkStart w:id="0" w:name="_GoBack"/>
      <w:bookmarkEnd w:id="0"/>
      <w:r w:rsidRPr="00CF4DB0">
        <w:rPr>
          <w:rFonts w:asciiTheme="minorHAnsi" w:hAnsiTheme="minorHAnsi"/>
          <w:sz w:val="18"/>
          <w:szCs w:val="18"/>
        </w:rPr>
        <w:t xml:space="preserve">y el estado actual de la acción popular No.2015-00252-00, halla la Sala que el accionante está en desacuerdo con la decisión del juzgado accionado, datada el 30-06-2017 (Mismo día de presentación de la tutela), que negó la expedición de copias con destino a la Procuraduría General de la Nación para que se adelantara investigación disciplinaria en contra del procurador delegado porque supuestamente </w:t>
      </w:r>
      <w:proofErr w:type="spellStart"/>
      <w:r w:rsidRPr="00CF4DB0">
        <w:rPr>
          <w:rFonts w:asciiTheme="minorHAnsi" w:hAnsiTheme="minorHAnsi"/>
          <w:sz w:val="18"/>
          <w:szCs w:val="18"/>
        </w:rPr>
        <w:t>inasistió</w:t>
      </w:r>
      <w:proofErr w:type="spellEnd"/>
      <w:r w:rsidRPr="00CF4DB0">
        <w:rPr>
          <w:rFonts w:asciiTheme="minorHAnsi" w:hAnsiTheme="minorHAnsi"/>
          <w:sz w:val="18"/>
          <w:szCs w:val="18"/>
        </w:rPr>
        <w:t xml:space="preserve"> a la audiencia de pacto de cumplimiento, proveído notificado con fijación en el estado del 04-07-2017, y no fue recurrido, según se constató en la inspección judicial (Folios 12 a 16, ib.).</w:t>
      </w:r>
    </w:p>
    <w:p w:rsidR="00CF4DB0" w:rsidRPr="00CF4DB0" w:rsidRDefault="00CF4DB0" w:rsidP="00CF4DB0">
      <w:pPr>
        <w:pStyle w:val="Sinespaciado"/>
        <w:jc w:val="both"/>
        <w:rPr>
          <w:rFonts w:asciiTheme="minorHAnsi" w:hAnsiTheme="minorHAnsi"/>
          <w:sz w:val="18"/>
          <w:szCs w:val="18"/>
        </w:rPr>
      </w:pPr>
    </w:p>
    <w:p w:rsidR="00CF4DB0" w:rsidRPr="00CF4DB0" w:rsidRDefault="00CF4DB0" w:rsidP="00CF4DB0">
      <w:pPr>
        <w:pStyle w:val="Sinespaciado"/>
        <w:jc w:val="both"/>
        <w:rPr>
          <w:rFonts w:asciiTheme="minorHAnsi" w:hAnsiTheme="minorHAnsi"/>
          <w:sz w:val="18"/>
          <w:szCs w:val="18"/>
        </w:rPr>
      </w:pPr>
      <w:r w:rsidRPr="00CF4DB0">
        <w:rPr>
          <w:rFonts w:asciiTheme="minorHAnsi" w:hAnsiTheme="minorHAnsi"/>
          <w:sz w:val="18"/>
          <w:szCs w:val="18"/>
        </w:rPr>
        <w:t xml:space="preserve">Así las cosas, se tiene que la presentación de la tutela fue prematura, por manera que es improcedente en razón a que la actuación en la que se alega la vulneración aún estaba pendiente de ejecutoria. El asunto está en trámite. Así lo ha dispuesto la jurisprudencia de la </w:t>
      </w:r>
      <w:proofErr w:type="gramStart"/>
      <w:r w:rsidRPr="00CF4DB0">
        <w:rPr>
          <w:rFonts w:asciiTheme="minorHAnsi" w:hAnsiTheme="minorHAnsi"/>
          <w:sz w:val="18"/>
          <w:szCs w:val="18"/>
        </w:rPr>
        <w:t>CC ,</w:t>
      </w:r>
      <w:proofErr w:type="gramEnd"/>
      <w:r w:rsidRPr="00CF4DB0">
        <w:rPr>
          <w:rFonts w:asciiTheme="minorHAnsi" w:hAnsiTheme="minorHAnsi"/>
          <w:sz w:val="18"/>
          <w:szCs w:val="18"/>
        </w:rPr>
        <w:t xml:space="preserve"> criterio también expuesto por la CSJ . También, porque no se agotó el mecanismo ordinario de defensa con que se contaba, esto es, el recurso de reposición (Artículo 318, </w:t>
      </w:r>
      <w:proofErr w:type="spellStart"/>
      <w:r w:rsidRPr="00CF4DB0">
        <w:rPr>
          <w:rFonts w:asciiTheme="minorHAnsi" w:hAnsiTheme="minorHAnsi"/>
          <w:sz w:val="18"/>
          <w:szCs w:val="18"/>
        </w:rPr>
        <w:t>CGP</w:t>
      </w:r>
      <w:proofErr w:type="spellEnd"/>
      <w:r w:rsidRPr="00CF4DB0">
        <w:rPr>
          <w:rFonts w:asciiTheme="minorHAnsi" w:hAnsiTheme="minorHAnsi"/>
          <w:sz w:val="18"/>
          <w:szCs w:val="18"/>
        </w:rPr>
        <w:t xml:space="preserve">). </w:t>
      </w:r>
    </w:p>
    <w:p w:rsidR="00CF4DB0" w:rsidRPr="00CF4DB0" w:rsidRDefault="00CF4DB0" w:rsidP="00CF4DB0">
      <w:pPr>
        <w:pStyle w:val="Sinespaciado"/>
        <w:jc w:val="both"/>
        <w:rPr>
          <w:rFonts w:asciiTheme="minorHAnsi" w:hAnsiTheme="minorHAnsi"/>
          <w:sz w:val="18"/>
          <w:szCs w:val="18"/>
        </w:rPr>
      </w:pPr>
    </w:p>
    <w:p w:rsidR="00CF4DB0" w:rsidRPr="00CF4DB0" w:rsidRDefault="00CF4DB0" w:rsidP="00CF4DB0">
      <w:pPr>
        <w:pStyle w:val="Sinespaciado"/>
        <w:jc w:val="both"/>
        <w:rPr>
          <w:rFonts w:asciiTheme="minorHAnsi" w:hAnsiTheme="minorHAnsi"/>
          <w:sz w:val="18"/>
          <w:szCs w:val="18"/>
        </w:rPr>
      </w:pPr>
      <w:r w:rsidRPr="00CF4DB0">
        <w:rPr>
          <w:rFonts w:asciiTheme="minorHAnsi" w:hAnsiTheme="minorHAnsi"/>
          <w:sz w:val="18"/>
          <w:szCs w:val="18"/>
        </w:rPr>
        <w:t xml:space="preserve">No se puede realizar un análisis flexible de este presupuesto, debido a que el accionante nada arguyó y menos acreditó para que se estimara que es una persona que requiere de protección reforzada  o que estaba en una situación de imposibilidad para agotar el </w:t>
      </w:r>
      <w:r w:rsidRPr="00CF4DB0">
        <w:rPr>
          <w:rFonts w:asciiTheme="minorHAnsi" w:hAnsiTheme="minorHAnsi"/>
          <w:sz w:val="18"/>
          <w:szCs w:val="18"/>
        </w:rPr>
        <w:t>recurso,</w:t>
      </w:r>
      <w:r w:rsidRPr="00CF4DB0">
        <w:rPr>
          <w:rFonts w:asciiTheme="minorHAnsi" w:hAnsiTheme="minorHAnsi"/>
          <w:sz w:val="18"/>
          <w:szCs w:val="18"/>
        </w:rPr>
        <w:t xml:space="preserve"> por ende solo a la parte le es imputable tal descuido.</w:t>
      </w:r>
    </w:p>
    <w:p w:rsidR="00CF4DB0" w:rsidRDefault="00CF4DB0" w:rsidP="00CF4DB0">
      <w:pPr>
        <w:pStyle w:val="Sinespaciado"/>
        <w:jc w:val="both"/>
        <w:rPr>
          <w:rFonts w:asciiTheme="minorHAnsi" w:hAnsiTheme="minorHAnsi"/>
          <w:sz w:val="18"/>
          <w:szCs w:val="18"/>
        </w:rPr>
      </w:pPr>
      <w:r>
        <w:rPr>
          <w:rFonts w:asciiTheme="minorHAnsi" w:hAnsiTheme="minorHAnsi"/>
          <w:sz w:val="18"/>
          <w:szCs w:val="18"/>
        </w:rPr>
        <w:t>(…)</w:t>
      </w:r>
    </w:p>
    <w:p w:rsidR="00CF4DB0" w:rsidRDefault="00CF4DB0" w:rsidP="00CF4DB0">
      <w:pPr>
        <w:pStyle w:val="Sinespaciado"/>
        <w:jc w:val="both"/>
        <w:rPr>
          <w:rFonts w:asciiTheme="minorHAnsi" w:hAnsiTheme="minorHAnsi"/>
          <w:sz w:val="18"/>
          <w:szCs w:val="18"/>
        </w:rPr>
      </w:pPr>
    </w:p>
    <w:p w:rsidR="00CF4DB0" w:rsidRPr="00CF4DB0" w:rsidRDefault="00CF4DB0" w:rsidP="00CF4DB0">
      <w:pPr>
        <w:pStyle w:val="Sinespaciado"/>
        <w:jc w:val="both"/>
        <w:rPr>
          <w:rFonts w:asciiTheme="minorHAnsi" w:hAnsiTheme="minorHAnsi"/>
          <w:sz w:val="18"/>
          <w:szCs w:val="18"/>
        </w:rPr>
      </w:pPr>
      <w:r w:rsidRPr="00CF4DB0">
        <w:rPr>
          <w:rFonts w:asciiTheme="minorHAnsi" w:hAnsiTheme="minorHAnsi"/>
          <w:sz w:val="18"/>
          <w:szCs w:val="18"/>
        </w:rPr>
        <w:t xml:space="preserve">Ahora, si la queja del amparo se dirige frente a la primera audiencia de pacto de cumplimiento practicada el 09-12-2015 (Folio 12, ib.), claramente la acción desborda el plazo de los seis (6) meses fijado por la jurisprudencia - , como tiempo razonable, ya que han transcurrido más de un año (1) y siete (7) meses, desde esa actuación. </w:t>
      </w:r>
    </w:p>
    <w:p w:rsidR="00CF4DB0" w:rsidRPr="00CF4DB0" w:rsidRDefault="00CF4DB0" w:rsidP="00CF4DB0">
      <w:pPr>
        <w:pStyle w:val="Sinespaciado"/>
        <w:jc w:val="both"/>
        <w:rPr>
          <w:rFonts w:asciiTheme="minorHAnsi" w:hAnsiTheme="minorHAnsi"/>
          <w:sz w:val="18"/>
          <w:szCs w:val="18"/>
        </w:rPr>
      </w:pPr>
    </w:p>
    <w:p w:rsidR="00CF4DB0" w:rsidRPr="00CF4DB0" w:rsidRDefault="00CF4DB0" w:rsidP="00CF4DB0">
      <w:pPr>
        <w:pStyle w:val="Sinespaciado"/>
        <w:jc w:val="both"/>
        <w:rPr>
          <w:rFonts w:asciiTheme="minorHAnsi" w:hAnsiTheme="minorHAnsi"/>
          <w:sz w:val="18"/>
          <w:szCs w:val="18"/>
        </w:rPr>
      </w:pPr>
      <w:r w:rsidRPr="00CF4DB0">
        <w:rPr>
          <w:rFonts w:asciiTheme="minorHAnsi" w:hAnsiTheme="minorHAnsi"/>
          <w:sz w:val="18"/>
          <w:szCs w:val="18"/>
        </w:rPr>
        <w:t xml:space="preserve">Tampoco se puede hacer un análisis menos riguroso de este presupuesto porque el actor no probó, ni se alegó, que medió causa alguna de fuerza mayor o caso fortuito que le impidió gestionar su defensa a través de esta acción con mayor celeridad sin desconocer la </w:t>
      </w:r>
      <w:proofErr w:type="gramStart"/>
      <w:r w:rsidRPr="00CF4DB0">
        <w:rPr>
          <w:rFonts w:asciiTheme="minorHAnsi" w:hAnsiTheme="minorHAnsi"/>
          <w:sz w:val="18"/>
          <w:szCs w:val="18"/>
        </w:rPr>
        <w:t>inmediatez .</w:t>
      </w:r>
      <w:proofErr w:type="gramEnd"/>
      <w:r w:rsidRPr="00CF4DB0">
        <w:rPr>
          <w:rFonts w:asciiTheme="minorHAnsi" w:hAnsiTheme="minorHAnsi"/>
          <w:sz w:val="18"/>
          <w:szCs w:val="18"/>
        </w:rPr>
        <w:t xml:space="preserve"> </w:t>
      </w:r>
    </w:p>
    <w:p w:rsidR="00CF4DB0" w:rsidRPr="00CF4DB0" w:rsidRDefault="00CF4DB0" w:rsidP="00CF4DB0">
      <w:pPr>
        <w:pStyle w:val="Sinespaciado"/>
        <w:jc w:val="both"/>
        <w:rPr>
          <w:rFonts w:asciiTheme="minorHAnsi" w:hAnsiTheme="minorHAnsi"/>
          <w:sz w:val="18"/>
          <w:szCs w:val="18"/>
        </w:rPr>
      </w:pPr>
    </w:p>
    <w:p w:rsidR="00CF4DB0" w:rsidRDefault="00CF4DB0" w:rsidP="00CF4DB0">
      <w:pPr>
        <w:pStyle w:val="Sinespaciado"/>
        <w:jc w:val="both"/>
        <w:rPr>
          <w:rFonts w:asciiTheme="minorHAnsi" w:hAnsiTheme="minorHAnsi"/>
          <w:sz w:val="18"/>
          <w:szCs w:val="18"/>
        </w:rPr>
      </w:pPr>
      <w:r w:rsidRPr="00CF4DB0">
        <w:rPr>
          <w:rFonts w:asciiTheme="minorHAnsi" w:hAnsiTheme="minorHAnsi"/>
          <w:sz w:val="18"/>
          <w:szCs w:val="18"/>
        </w:rPr>
        <w:t xml:space="preserve">Se incumplen, entonces, dos de los siete (7) requisitos generales de </w:t>
      </w:r>
      <w:proofErr w:type="spellStart"/>
      <w:r w:rsidRPr="00CF4DB0">
        <w:rPr>
          <w:rFonts w:asciiTheme="minorHAnsi" w:hAnsiTheme="minorHAnsi"/>
          <w:sz w:val="18"/>
          <w:szCs w:val="18"/>
        </w:rPr>
        <w:t>procedibilidad</w:t>
      </w:r>
      <w:proofErr w:type="spellEnd"/>
      <w:r w:rsidRPr="00CF4DB0">
        <w:rPr>
          <w:rFonts w:asciiTheme="minorHAnsi" w:hAnsiTheme="minorHAnsi"/>
          <w:sz w:val="18"/>
          <w:szCs w:val="18"/>
        </w:rPr>
        <w:t>, como lo son la subsidiariedad y la inmediatez, por lo tanto, el asunto constitucional es improcedente.</w:t>
      </w:r>
    </w:p>
    <w:p w:rsidR="00CF4DB0" w:rsidRDefault="00CF4DB0" w:rsidP="00CF4DB0">
      <w:pPr>
        <w:pStyle w:val="Sinespaciado"/>
        <w:jc w:val="both"/>
        <w:rPr>
          <w:rFonts w:asciiTheme="minorHAnsi" w:hAnsiTheme="minorHAnsi"/>
          <w:sz w:val="18"/>
          <w:szCs w:val="18"/>
        </w:rPr>
      </w:pPr>
    </w:p>
    <w:p w:rsidR="00CF4DB0" w:rsidRDefault="00CF4DB0" w:rsidP="00CF4DB0">
      <w:pPr>
        <w:pStyle w:val="Sinespaciado"/>
        <w:jc w:val="center"/>
        <w:rPr>
          <w:rFonts w:asciiTheme="minorHAnsi" w:hAnsiTheme="minorHAnsi"/>
          <w:sz w:val="18"/>
          <w:szCs w:val="18"/>
        </w:rPr>
      </w:pPr>
      <w:r>
        <w:rPr>
          <w:rFonts w:asciiTheme="minorHAnsi" w:hAnsiTheme="minorHAnsi"/>
          <w:sz w:val="18"/>
          <w:szCs w:val="18"/>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E9588E" w:rsidRDefault="00486062" w:rsidP="00ED7F33">
      <w:pPr>
        <w:spacing w:line="360" w:lineRule="auto"/>
        <w:jc w:val="center"/>
        <w:rPr>
          <w:rFonts w:ascii="Arial" w:hAnsi="Arial" w:cs="Arial"/>
          <w:w w:val="140"/>
          <w:sz w:val="12"/>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2601FB">
        <w:rPr>
          <w:rFonts w:ascii="Arial" w:hAnsi="Arial" w:cs="Arial"/>
          <w:sz w:val="22"/>
        </w:rPr>
        <w:t>Cuarto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proofErr w:type="spellStart"/>
      <w:r w:rsidR="002601FB">
        <w:rPr>
          <w:rFonts w:ascii="Arial" w:hAnsi="Arial" w:cs="Arial"/>
          <w:sz w:val="22"/>
          <w:szCs w:val="22"/>
        </w:rPr>
        <w:t>Ontarios</w:t>
      </w:r>
      <w:proofErr w:type="spellEnd"/>
      <w:r w:rsidR="002601FB">
        <w:rPr>
          <w:rFonts w:ascii="Arial" w:hAnsi="Arial" w:cs="Arial"/>
          <w:sz w:val="22"/>
          <w:szCs w:val="22"/>
        </w:rPr>
        <w:t xml:space="preserve"> </w:t>
      </w:r>
      <w:proofErr w:type="spellStart"/>
      <w:r w:rsidR="002601FB">
        <w:rPr>
          <w:rFonts w:ascii="Arial" w:hAnsi="Arial" w:cs="Arial"/>
          <w:sz w:val="22"/>
          <w:szCs w:val="22"/>
        </w:rPr>
        <w:t>SAS</w:t>
      </w:r>
      <w:proofErr w:type="spellEnd"/>
      <w:r w:rsidR="002601FB">
        <w:rPr>
          <w:rFonts w:ascii="Arial" w:hAnsi="Arial" w:cs="Arial"/>
          <w:sz w:val="22"/>
          <w:szCs w:val="22"/>
        </w:rPr>
        <w:t xml:space="preserve">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2601FB">
        <w:rPr>
          <w:rFonts w:ascii="Arial" w:hAnsi="Arial" w:cs="Arial"/>
          <w:sz w:val="22"/>
        </w:rPr>
        <w:t>2017-00695-00 (Interna No.695)</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D95624">
        <w:rPr>
          <w:rFonts w:ascii="Arial" w:hAnsi="Arial" w:cs="Arial"/>
          <w:sz w:val="22"/>
          <w:szCs w:val="21"/>
        </w:rPr>
        <w:t>Subsidiariedad – Prematura</w:t>
      </w:r>
      <w:r w:rsidR="00872735">
        <w:rPr>
          <w:rFonts w:ascii="Arial" w:hAnsi="Arial" w:cs="Arial"/>
          <w:sz w:val="22"/>
          <w:szCs w:val="21"/>
        </w:rPr>
        <w:t xml:space="preserve"> –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32075A" w:rsidRPr="002060F5" w:rsidRDefault="0032075A" w:rsidP="0032075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Pr>
          <w:rFonts w:ascii="Arial" w:hAnsi="Arial"/>
          <w:sz w:val="22"/>
          <w:szCs w:val="22"/>
        </w:rPr>
        <w:t xml:space="preserve"> 366 de 17-07-2017</w:t>
      </w:r>
    </w:p>
    <w:p w:rsidR="0032075A" w:rsidRPr="0032075A" w:rsidRDefault="0032075A" w:rsidP="0032075A">
      <w:pPr>
        <w:pBdr>
          <w:bottom w:val="double" w:sz="6" w:space="1" w:color="auto"/>
        </w:pBdr>
        <w:spacing w:line="360" w:lineRule="auto"/>
        <w:jc w:val="center"/>
        <w:rPr>
          <w:rFonts w:ascii="Arial" w:hAnsi="Arial" w:cs="Arial"/>
          <w:b/>
          <w:bCs/>
          <w:sz w:val="16"/>
          <w:szCs w:val="22"/>
        </w:rPr>
      </w:pPr>
    </w:p>
    <w:p w:rsidR="0032075A" w:rsidRDefault="0032075A" w:rsidP="0032075A">
      <w:pPr>
        <w:spacing w:line="360" w:lineRule="auto"/>
        <w:jc w:val="center"/>
        <w:rPr>
          <w:rFonts w:ascii="Arial" w:hAnsi="Arial" w:cs="Arial"/>
          <w:b/>
          <w:bCs/>
          <w:sz w:val="22"/>
          <w:szCs w:val="22"/>
        </w:rPr>
      </w:pPr>
    </w:p>
    <w:p w:rsidR="0032075A" w:rsidRPr="00BC082A" w:rsidRDefault="0032075A" w:rsidP="0032075A">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17)</w:t>
      </w:r>
      <w:r w:rsidRPr="00BC082A">
        <w:rPr>
          <w:rFonts w:ascii="Arial" w:hAnsi="Arial" w:cs="Arial"/>
          <w:iCs/>
          <w:smallCaps/>
          <w:sz w:val="28"/>
          <w:szCs w:val="28"/>
          <w:lang w:val="es-CO"/>
        </w:rPr>
        <w:t xml:space="preserve"> de</w:t>
      </w:r>
      <w:r>
        <w:rPr>
          <w:rFonts w:ascii="Arial" w:hAnsi="Arial" w:cs="Arial"/>
          <w:iCs/>
          <w:smallCaps/>
          <w:sz w:val="28"/>
          <w:szCs w:val="28"/>
          <w:lang w:val="es-CO"/>
        </w:rPr>
        <w:t xml:space="preserve"> julio </w:t>
      </w:r>
      <w:r w:rsidRPr="00BC082A">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E9588E" w:rsidRDefault="000147A2" w:rsidP="0032075A">
      <w:pPr>
        <w:tabs>
          <w:tab w:val="left" w:pos="851"/>
          <w:tab w:val="left" w:pos="1416"/>
        </w:tabs>
        <w:spacing w:line="360" w:lineRule="auto"/>
        <w:rPr>
          <w:rFonts w:ascii="Arial" w:hAnsi="Arial" w:cs="Arial"/>
          <w:b/>
          <w:bCs/>
          <w:lang w:val="es-CO"/>
        </w:rPr>
      </w:pPr>
    </w:p>
    <w:p w:rsidR="0099045D" w:rsidRPr="00F9418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9588E"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E9588E" w:rsidRDefault="000147A2" w:rsidP="0099045D">
      <w:pPr>
        <w:pStyle w:val="Textoindependiente"/>
        <w:spacing w:line="360" w:lineRule="auto"/>
        <w:rPr>
          <w:rFonts w:ascii="Arial" w:hAnsi="Arial"/>
          <w:szCs w:val="24"/>
        </w:rPr>
      </w:pPr>
    </w:p>
    <w:p w:rsidR="0099045D" w:rsidRPr="00EC57D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EC57DE">
        <w:rPr>
          <w:rFonts w:ascii="Arial" w:hAnsi="Arial"/>
          <w:szCs w:val="24"/>
        </w:rPr>
        <w:t>LA SÍNTESIS FÁCTIC</w:t>
      </w:r>
      <w:r w:rsidR="000A2D26">
        <w:rPr>
          <w:rFonts w:ascii="Arial" w:hAnsi="Arial"/>
          <w:szCs w:val="24"/>
        </w:rPr>
        <w:t>A</w:t>
      </w:r>
    </w:p>
    <w:p w:rsidR="0099045D" w:rsidRPr="00E9588E" w:rsidRDefault="0099045D" w:rsidP="0099045D">
      <w:pPr>
        <w:pStyle w:val="Textoindependiente"/>
        <w:spacing w:line="360" w:lineRule="auto"/>
        <w:rPr>
          <w:rFonts w:ascii="Arial" w:hAnsi="Arial"/>
          <w:szCs w:val="24"/>
        </w:rPr>
      </w:pPr>
    </w:p>
    <w:p w:rsidR="004B1EB8" w:rsidRDefault="00596868" w:rsidP="004B1EB8">
      <w:pPr>
        <w:spacing w:line="360" w:lineRule="auto"/>
        <w:jc w:val="both"/>
        <w:rPr>
          <w:rFonts w:ascii="Arial" w:hAnsi="Arial" w:cs="Arial"/>
        </w:rPr>
      </w:pPr>
      <w:r>
        <w:rPr>
          <w:rFonts w:ascii="Arial" w:hAnsi="Arial" w:cs="Arial"/>
        </w:rPr>
        <w:t>Señaló</w:t>
      </w:r>
      <w:r w:rsidR="00895EFD">
        <w:rPr>
          <w:rFonts w:ascii="Arial" w:hAnsi="Arial" w:cs="Arial"/>
        </w:rPr>
        <w:t xml:space="preserve"> </w:t>
      </w:r>
      <w:r w:rsidR="00104367">
        <w:rPr>
          <w:rFonts w:ascii="Arial" w:hAnsi="Arial" w:cs="Arial"/>
        </w:rPr>
        <w:t xml:space="preserve">el actor </w:t>
      </w:r>
      <w:r>
        <w:rPr>
          <w:rFonts w:ascii="Arial" w:hAnsi="Arial" w:cs="Arial"/>
        </w:rPr>
        <w:t xml:space="preserve">que </w:t>
      </w:r>
      <w:r w:rsidR="00B13F22">
        <w:rPr>
          <w:rFonts w:ascii="Arial" w:hAnsi="Arial" w:cs="Arial"/>
        </w:rPr>
        <w:t xml:space="preserve">presentó </w:t>
      </w:r>
      <w:r>
        <w:rPr>
          <w:rFonts w:ascii="Arial" w:hAnsi="Arial" w:cs="Arial"/>
        </w:rPr>
        <w:t>la acción popular radicada al No.2015-</w:t>
      </w:r>
      <w:r w:rsidR="002601FB">
        <w:rPr>
          <w:rFonts w:ascii="Arial" w:hAnsi="Arial" w:cs="Arial"/>
        </w:rPr>
        <w:t xml:space="preserve">00252-00, en la que solicitó al Juzgado remitir copias a la Procuraduría General de la Nación por la inasistencia al pacto de cumplimiento del procurador delegado con fundamento en el artículo 24 de la Ley 472 y sentencia de tutela de esta Corporación </w:t>
      </w:r>
      <w:r>
        <w:rPr>
          <w:rFonts w:ascii="Arial" w:hAnsi="Arial" w:cs="Arial"/>
        </w:rPr>
        <w:t>(Folio 1, este cuaderno).</w:t>
      </w:r>
      <w:r w:rsidR="004B1EB8" w:rsidRPr="00AF753A">
        <w:rPr>
          <w:rFonts w:ascii="Arial" w:hAnsi="Arial" w:cs="Arial"/>
        </w:rPr>
        <w:t xml:space="preserve"> </w:t>
      </w:r>
    </w:p>
    <w:p w:rsidR="002B0607" w:rsidRPr="00E9588E" w:rsidRDefault="002B0607" w:rsidP="0099045D">
      <w:pPr>
        <w:pStyle w:val="Textoindependiente"/>
        <w:spacing w:line="360" w:lineRule="auto"/>
        <w:rPr>
          <w:rFonts w:ascii="Arial" w:hAnsi="Arial"/>
          <w:szCs w:val="24"/>
          <w:lang w:val="es-ES"/>
        </w:rPr>
      </w:pPr>
    </w:p>
    <w:p w:rsidR="0099045D" w:rsidRPr="00F9418E" w:rsidRDefault="00265F36"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9588E" w:rsidRDefault="00800EF6" w:rsidP="00730CA7">
      <w:pPr>
        <w:pStyle w:val="Textoindependien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2601FB">
        <w:rPr>
          <w:rFonts w:ascii="Arial" w:hAnsi="Arial" w:cs="Arial"/>
          <w:spacing w:val="-3"/>
          <w:lang w:val="es-ES_tradnl"/>
        </w:rPr>
        <w:t>el debido proceso y el derecho de contradicción</w:t>
      </w:r>
      <w:r w:rsidRPr="00EA458D">
        <w:rPr>
          <w:rFonts w:ascii="Arial" w:hAnsi="Arial" w:cs="Arial"/>
          <w:spacing w:val="-3"/>
          <w:sz w:val="22"/>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3F6C16" w:rsidRPr="00E9588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0AEC">
      <w:pPr>
        <w:pStyle w:val="Textoindependiente"/>
        <w:numPr>
          <w:ilvl w:val="0"/>
          <w:numId w:val="1"/>
        </w:numPr>
        <w:tabs>
          <w:tab w:val="clear" w:pos="360"/>
        </w:tabs>
        <w:spacing w:line="360" w:lineRule="auto"/>
        <w:ind w:left="142" w:hanging="142"/>
        <w:rPr>
          <w:rFonts w:ascii="Arial" w:hAnsi="Arial"/>
          <w:szCs w:val="24"/>
        </w:rPr>
      </w:pPr>
      <w:r w:rsidRPr="00C37681">
        <w:rPr>
          <w:rFonts w:ascii="Arial" w:hAnsi="Arial"/>
          <w:szCs w:val="24"/>
        </w:rPr>
        <w:t>LA PETICIÓN DE PROTECCIÓN</w:t>
      </w:r>
    </w:p>
    <w:p w:rsidR="00303E85" w:rsidRPr="00E9588E" w:rsidRDefault="00303E85" w:rsidP="004B1EB8">
      <w:pPr>
        <w:pStyle w:val="Sinespaciado"/>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0A2D26">
        <w:rPr>
          <w:rFonts w:ascii="Arial" w:hAnsi="Arial" w:cs="Arial"/>
        </w:rPr>
        <w:t xml:space="preserve"> se ordene al accionado</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2601FB">
        <w:rPr>
          <w:rFonts w:ascii="Arial" w:hAnsi="Arial" w:cs="Arial"/>
        </w:rPr>
        <w:t>Expedir copias con destino al Procurador General de la Nación por la inasistencia del procurador delegado a la audiencia de pacto de cumplimiento</w:t>
      </w:r>
      <w:r w:rsidR="000A2D26">
        <w:rPr>
          <w:rFonts w:ascii="Arial" w:hAnsi="Arial" w:cs="Arial"/>
        </w:rPr>
        <w:t>;</w:t>
      </w:r>
      <w:r w:rsidR="00924761">
        <w:rPr>
          <w:rFonts w:ascii="Arial" w:hAnsi="Arial" w:cs="Arial"/>
        </w:rPr>
        <w:t xml:space="preserve"> y, </w:t>
      </w:r>
      <w:r w:rsidR="00F94BF3">
        <w:rPr>
          <w:rFonts w:ascii="Arial" w:hAnsi="Arial" w:cs="Arial"/>
        </w:rPr>
        <w:t xml:space="preserve">(ii) </w:t>
      </w:r>
      <w:r w:rsidR="00262ACC">
        <w:rPr>
          <w:rFonts w:ascii="Arial" w:hAnsi="Arial" w:cs="Arial"/>
        </w:rPr>
        <w:t xml:space="preserve">agregar copia de esta tutela a la acción popular para no presentar amparos iguales </w:t>
      </w:r>
      <w:r w:rsidR="00612C75">
        <w:rPr>
          <w:rFonts w:ascii="Arial" w:hAnsi="Arial" w:cs="Arial"/>
          <w:spacing w:val="-3"/>
          <w:lang w:val="es-ES_tradnl"/>
        </w:rPr>
        <w:t>(Folio</w:t>
      </w:r>
      <w:r w:rsidR="00F94BF3">
        <w:rPr>
          <w:rFonts w:ascii="Arial" w:hAnsi="Arial" w:cs="Arial"/>
          <w:spacing w:val="-3"/>
          <w:lang w:val="es-ES_tradnl"/>
        </w:rPr>
        <w:t xml:space="preserve"> 2</w:t>
      </w:r>
      <w:r w:rsidR="00D669DC">
        <w:rPr>
          <w:rFonts w:ascii="Arial" w:hAnsi="Arial" w:cs="Arial"/>
          <w:spacing w:val="-3"/>
          <w:lang w:val="es-ES_tradnl"/>
        </w:rPr>
        <w:t>, este cuaderno).</w:t>
      </w:r>
    </w:p>
    <w:p w:rsidR="00E9588E" w:rsidRDefault="00E9588E"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E9588E" w:rsidP="00100AEC">
      <w:pPr>
        <w:pStyle w:val="Sinespaciado"/>
        <w:numPr>
          <w:ilvl w:val="0"/>
          <w:numId w:val="1"/>
        </w:numPr>
        <w:tabs>
          <w:tab w:val="clear" w:pos="360"/>
        </w:tabs>
        <w:spacing w:line="360" w:lineRule="auto"/>
        <w:ind w:left="709" w:hanging="709"/>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05563F" w:rsidRPr="00E9588E" w:rsidRDefault="0005563F" w:rsidP="0005563F">
      <w:pPr>
        <w:pStyle w:val="Sinespaciado"/>
        <w:spacing w:line="360" w:lineRule="auto"/>
        <w:ind w:left="360"/>
        <w:jc w:val="both"/>
        <w:rPr>
          <w:rFonts w:ascii="Arial" w:hAnsi="Arial"/>
          <w:szCs w:val="24"/>
        </w:rPr>
      </w:pPr>
    </w:p>
    <w:p w:rsidR="009F4843" w:rsidRDefault="00971166" w:rsidP="004B1EB8">
      <w:pPr>
        <w:spacing w:line="360" w:lineRule="auto"/>
        <w:jc w:val="both"/>
        <w:rPr>
          <w:rFonts w:ascii="Arial" w:hAnsi="Arial" w:cs="Arial"/>
        </w:rPr>
      </w:pPr>
      <w:r w:rsidRPr="00B74361">
        <w:rPr>
          <w:rFonts w:ascii="Arial" w:hAnsi="Arial"/>
        </w:rPr>
        <w:t xml:space="preserve">En reparto ordinario del </w:t>
      </w:r>
      <w:r w:rsidR="00262ACC">
        <w:rPr>
          <w:rFonts w:ascii="Arial" w:hAnsi="Arial"/>
        </w:rPr>
        <w:t>30</w:t>
      </w:r>
      <w:r w:rsidR="0069231C">
        <w:rPr>
          <w:rFonts w:ascii="Arial" w:hAnsi="Arial"/>
        </w:rPr>
        <w:t>-</w:t>
      </w:r>
      <w:r w:rsidR="00EA458D">
        <w:rPr>
          <w:rFonts w:ascii="Arial" w:hAnsi="Arial"/>
        </w:rPr>
        <w:t>0</w:t>
      </w:r>
      <w:r w:rsidR="00EB1A8C">
        <w:rPr>
          <w:rFonts w:ascii="Arial" w:hAnsi="Arial"/>
        </w:rPr>
        <w:t>6</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262ACC">
        <w:rPr>
          <w:rFonts w:ascii="Arial" w:hAnsi="Arial" w:cs="Arial"/>
          <w:color w:val="000000"/>
        </w:rPr>
        <w:t xml:space="preserve">04-07-2017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EB1A8C">
        <w:rPr>
          <w:rFonts w:ascii="Arial" w:hAnsi="Arial"/>
        </w:rPr>
        <w:t xml:space="preserve"> 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EB1A8C">
        <w:rPr>
          <w:rFonts w:ascii="Arial" w:hAnsi="Arial" w:cs="Arial"/>
          <w:color w:val="000000"/>
        </w:rPr>
        <w:t>6</w:t>
      </w:r>
      <w:r w:rsidR="00262ACC">
        <w:rPr>
          <w:rFonts w:ascii="Arial" w:hAnsi="Arial" w:cs="Arial"/>
          <w:color w:val="000000"/>
        </w:rPr>
        <w:t xml:space="preserve"> y 7</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262ACC">
        <w:rPr>
          <w:rFonts w:ascii="Arial" w:hAnsi="Arial" w:cs="Arial"/>
          <w:color w:val="000000"/>
        </w:rPr>
        <w:t xml:space="preserve">El 10-07-2017 se hizo la inspección judicial (Folio 12, ibídem). </w:t>
      </w:r>
      <w:r w:rsidR="00EA458D">
        <w:rPr>
          <w:rFonts w:ascii="Arial" w:hAnsi="Arial" w:cs="Arial"/>
          <w:color w:val="000000"/>
        </w:rPr>
        <w:t>Contestaron la Procuraduría General de la Nación, Regional</w:t>
      </w:r>
      <w:r w:rsidR="00EC76DF">
        <w:rPr>
          <w:rFonts w:ascii="Arial" w:hAnsi="Arial" w:cs="Arial"/>
          <w:color w:val="000000"/>
        </w:rPr>
        <w:t xml:space="preserve"> </w:t>
      </w:r>
      <w:r w:rsidR="000A2D26">
        <w:rPr>
          <w:rFonts w:ascii="Arial" w:hAnsi="Arial" w:cs="Arial"/>
          <w:color w:val="000000"/>
        </w:rPr>
        <w:t xml:space="preserve">Risaralda </w:t>
      </w:r>
      <w:r w:rsidR="00EA458D">
        <w:rPr>
          <w:rFonts w:ascii="Arial" w:hAnsi="Arial" w:cs="Arial"/>
          <w:color w:val="000000"/>
        </w:rPr>
        <w:t>(Folio</w:t>
      </w:r>
      <w:r w:rsidR="00EB1A8C">
        <w:rPr>
          <w:rFonts w:ascii="Arial" w:hAnsi="Arial" w:cs="Arial"/>
          <w:color w:val="000000"/>
        </w:rPr>
        <w:t xml:space="preserve"> </w:t>
      </w:r>
      <w:r w:rsidR="00262ACC">
        <w:rPr>
          <w:rFonts w:ascii="Arial" w:hAnsi="Arial" w:cs="Arial"/>
          <w:color w:val="000000"/>
        </w:rPr>
        <w:t>8</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100AEC">
        <w:rPr>
          <w:rFonts w:ascii="Arial" w:hAnsi="Arial" w:cs="Arial"/>
          <w:color w:val="000000"/>
        </w:rPr>
        <w:t xml:space="preserve"> y </w:t>
      </w:r>
      <w:r w:rsidR="00262ACC">
        <w:rPr>
          <w:rFonts w:ascii="Arial" w:hAnsi="Arial" w:cs="Arial"/>
          <w:color w:val="000000"/>
        </w:rPr>
        <w:t>la Alcaldía de Pereira (Folios 17 y 18, ib.)</w:t>
      </w:r>
      <w:r w:rsidR="00EB1A8C">
        <w:rPr>
          <w:rFonts w:ascii="Arial" w:hAnsi="Arial" w:cs="Arial"/>
        </w:rPr>
        <w:t>.</w:t>
      </w:r>
    </w:p>
    <w:p w:rsidR="005941DE" w:rsidRPr="00E9588E" w:rsidRDefault="005941DE" w:rsidP="004B1EB8">
      <w:pPr>
        <w:spacing w:line="360" w:lineRule="auto"/>
        <w:jc w:val="both"/>
        <w:rPr>
          <w:rFonts w:ascii="Arial" w:hAnsi="Arial" w:cs="Arial"/>
        </w:rPr>
      </w:pPr>
      <w:r>
        <w:rPr>
          <w:rFonts w:ascii="Arial" w:hAnsi="Arial" w:cs="Arial"/>
        </w:rPr>
        <w:t xml:space="preserve"> </w:t>
      </w:r>
    </w:p>
    <w:p w:rsidR="00CF429F" w:rsidRPr="00BD086B" w:rsidRDefault="00CF429F" w:rsidP="00100AEC">
      <w:pPr>
        <w:numPr>
          <w:ilvl w:val="0"/>
          <w:numId w:val="18"/>
        </w:numPr>
        <w:spacing w:line="360" w:lineRule="auto"/>
        <w:ind w:left="709" w:hanging="709"/>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Pr="00E9588E" w:rsidRDefault="006F4450" w:rsidP="00730CA7">
      <w:pPr>
        <w:pStyle w:val="Textoindependiente"/>
        <w:spacing w:line="360" w:lineRule="auto"/>
        <w:rPr>
          <w:rFonts w:ascii="Arial" w:hAnsi="Arial"/>
          <w:szCs w:val="24"/>
          <w:highlight w:val="yellow"/>
        </w:rPr>
      </w:pPr>
    </w:p>
    <w:p w:rsidR="00BD086B" w:rsidRDefault="00A20436" w:rsidP="00DC2991">
      <w:pPr>
        <w:spacing w:line="360" w:lineRule="auto"/>
        <w:jc w:val="both"/>
        <w:rPr>
          <w:rFonts w:ascii="Arial" w:hAnsi="Arial"/>
        </w:rPr>
      </w:pPr>
      <w:r w:rsidRPr="00BD086B">
        <w:rPr>
          <w:rFonts w:ascii="Arial" w:hAnsi="Arial"/>
        </w:rPr>
        <w:t xml:space="preserve">La </w:t>
      </w:r>
      <w:r w:rsidRPr="00664AAC">
        <w:rPr>
          <w:rFonts w:ascii="Arial" w:hAnsi="Arial"/>
        </w:rPr>
        <w:t>Procuraduría General de la Nación, Regional</w:t>
      </w:r>
      <w:r w:rsidR="00BD086B" w:rsidRPr="00664AAC">
        <w:rPr>
          <w:rFonts w:ascii="Arial" w:hAnsi="Arial"/>
        </w:rPr>
        <w:t xml:space="preserve"> Risaralda,</w:t>
      </w:r>
      <w:r w:rsidR="00FF7E72">
        <w:rPr>
          <w:rFonts w:ascii="Arial" w:hAnsi="Arial"/>
        </w:rPr>
        <w:t xml:space="preserve"> </w:t>
      </w:r>
      <w:r w:rsidR="00262ACC">
        <w:rPr>
          <w:rFonts w:ascii="Arial" w:hAnsi="Arial"/>
        </w:rPr>
        <w:t xml:space="preserve">señaló </w:t>
      </w:r>
      <w:r w:rsidRPr="00664AAC">
        <w:rPr>
          <w:rFonts w:ascii="Arial" w:hAnsi="Arial"/>
        </w:rPr>
        <w:t>que la situación alegada es ajena a su</w:t>
      </w:r>
      <w:r w:rsidR="00BD086B" w:rsidRPr="00664AAC">
        <w:rPr>
          <w:rFonts w:ascii="Arial" w:hAnsi="Arial"/>
        </w:rPr>
        <w:t>s</w:t>
      </w:r>
      <w:r w:rsidRPr="00664AAC">
        <w:rPr>
          <w:rFonts w:ascii="Arial" w:hAnsi="Arial"/>
        </w:rPr>
        <w:t xml:space="preserve"> funci</w:t>
      </w:r>
      <w:r w:rsidR="00BD086B" w:rsidRPr="00664AAC">
        <w:rPr>
          <w:rFonts w:ascii="Arial" w:hAnsi="Arial"/>
        </w:rPr>
        <w:t>ones</w:t>
      </w:r>
      <w:r w:rsidRPr="00664AAC">
        <w:rPr>
          <w:rFonts w:ascii="Arial" w:hAnsi="Arial"/>
        </w:rPr>
        <w:t>, y en consecuencia, solicit</w:t>
      </w:r>
      <w:r w:rsidR="00FF7E72">
        <w:rPr>
          <w:rFonts w:ascii="Arial" w:hAnsi="Arial"/>
        </w:rPr>
        <w:t>ó</w:t>
      </w:r>
      <w:r w:rsidRPr="00664AAC">
        <w:rPr>
          <w:rFonts w:ascii="Arial" w:hAnsi="Arial"/>
        </w:rPr>
        <w:t xml:space="preserve"> su desvinculación (Folio</w:t>
      </w:r>
      <w:r w:rsidR="00BD086B" w:rsidRPr="00664AAC">
        <w:rPr>
          <w:rFonts w:ascii="Arial" w:hAnsi="Arial"/>
        </w:rPr>
        <w:t xml:space="preserve"> </w:t>
      </w:r>
      <w:r w:rsidR="00262ACC">
        <w:rPr>
          <w:rFonts w:ascii="Arial" w:hAnsi="Arial"/>
        </w:rPr>
        <w:t>8</w:t>
      </w:r>
      <w:r w:rsidR="001F7BAD" w:rsidRPr="00664AAC">
        <w:rPr>
          <w:rFonts w:ascii="Arial" w:hAnsi="Arial"/>
        </w:rPr>
        <w:t xml:space="preserve">, </w:t>
      </w:r>
      <w:r w:rsidRPr="00664AAC">
        <w:rPr>
          <w:rFonts w:ascii="Arial" w:hAnsi="Arial"/>
        </w:rPr>
        <w:t>ib.)</w:t>
      </w:r>
      <w:r w:rsidR="00FF7E72">
        <w:rPr>
          <w:rFonts w:ascii="Arial" w:hAnsi="Arial"/>
        </w:rPr>
        <w:t xml:space="preserve">. </w:t>
      </w:r>
      <w:r w:rsidR="00262ACC">
        <w:rPr>
          <w:rFonts w:ascii="Arial" w:hAnsi="Arial"/>
        </w:rPr>
        <w:t xml:space="preserve">Y la Alcaldía de Pereira solicitó negar el amparo </w:t>
      </w:r>
      <w:r w:rsidR="001E5DA6">
        <w:rPr>
          <w:rFonts w:ascii="Arial" w:hAnsi="Arial"/>
        </w:rPr>
        <w:t>constitucional</w:t>
      </w:r>
      <w:r w:rsidR="00262ACC">
        <w:rPr>
          <w:rFonts w:ascii="Arial" w:hAnsi="Arial"/>
        </w:rPr>
        <w:t xml:space="preserve"> porque no es la autoridad </w:t>
      </w:r>
      <w:r w:rsidR="001E5DA6">
        <w:rPr>
          <w:rFonts w:ascii="Arial" w:hAnsi="Arial"/>
        </w:rPr>
        <w:t xml:space="preserve">que ha vulnerado o amenazado los derechos invocados </w:t>
      </w:r>
      <w:r w:rsidR="00AB7DE1" w:rsidRPr="00664AAC">
        <w:rPr>
          <w:rFonts w:ascii="Arial" w:hAnsi="Arial"/>
        </w:rPr>
        <w:t>(Folio</w:t>
      </w:r>
      <w:r w:rsidR="001E5DA6">
        <w:rPr>
          <w:rFonts w:ascii="Arial" w:hAnsi="Arial"/>
        </w:rPr>
        <w:t>s</w:t>
      </w:r>
      <w:r w:rsidR="00FF7E72">
        <w:rPr>
          <w:rFonts w:ascii="Arial" w:hAnsi="Arial"/>
        </w:rPr>
        <w:t xml:space="preserve"> </w:t>
      </w:r>
      <w:r w:rsidR="001E5DA6">
        <w:rPr>
          <w:rFonts w:ascii="Arial" w:hAnsi="Arial"/>
        </w:rPr>
        <w:t>17 y 18</w:t>
      </w:r>
      <w:r w:rsidR="00AB7DE1" w:rsidRPr="00664AAC">
        <w:rPr>
          <w:rFonts w:ascii="Arial" w:hAnsi="Arial"/>
        </w:rPr>
        <w:t>, ib.)</w:t>
      </w:r>
      <w:r w:rsidR="00100AEC">
        <w:rPr>
          <w:rFonts w:ascii="Arial" w:hAnsi="Arial"/>
        </w:rPr>
        <w:t>.</w:t>
      </w:r>
    </w:p>
    <w:p w:rsidR="00BD086B" w:rsidRPr="00E9588E" w:rsidRDefault="00BD086B" w:rsidP="00DC2991">
      <w:pPr>
        <w:spacing w:line="360" w:lineRule="auto"/>
        <w:jc w:val="both"/>
        <w:rPr>
          <w:rFonts w:ascii="Arial" w:hAnsi="Arial"/>
          <w:lang w:val="es-CO"/>
        </w:rPr>
      </w:pPr>
    </w:p>
    <w:p w:rsidR="00CF429F" w:rsidRDefault="005764A9" w:rsidP="00CF429F">
      <w:pPr>
        <w:pStyle w:val="Textoindependiente"/>
        <w:numPr>
          <w:ilvl w:val="0"/>
          <w:numId w:val="18"/>
        </w:numPr>
        <w:spacing w:line="360" w:lineRule="auto"/>
        <w:rPr>
          <w:rFonts w:ascii="Arial" w:hAnsi="Arial"/>
          <w:szCs w:val="24"/>
        </w:rPr>
      </w:pPr>
      <w:r>
        <w:rPr>
          <w:rFonts w:ascii="Arial" w:hAnsi="Arial"/>
          <w:szCs w:val="24"/>
        </w:rPr>
        <w:lastRenderedPageBreak/>
        <w:t xml:space="preserve">     </w:t>
      </w:r>
      <w:r w:rsidR="00CF429F" w:rsidRPr="006F4450">
        <w:rPr>
          <w:rFonts w:ascii="Arial" w:hAnsi="Arial"/>
          <w:szCs w:val="24"/>
        </w:rPr>
        <w:t>LA FUNDAMENTACIÓN JURÍDICA PARA DECIDIR</w:t>
      </w:r>
    </w:p>
    <w:p w:rsidR="006232EF" w:rsidRPr="00E9588E" w:rsidRDefault="006232EF" w:rsidP="006232EF">
      <w:pPr>
        <w:pStyle w:val="Textoindependiente"/>
        <w:spacing w:line="360" w:lineRule="auto"/>
        <w:ind w:left="400"/>
        <w:rPr>
          <w:rFonts w:ascii="Arial" w:hAnsi="Arial"/>
          <w:szCs w:val="24"/>
          <w:lang w:val="es-CO"/>
        </w:rPr>
      </w:pPr>
    </w:p>
    <w:p w:rsidR="00D33789" w:rsidRPr="005764A9" w:rsidRDefault="00CF429F" w:rsidP="005764A9">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E9588E">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8F38D0">
        <w:rPr>
          <w:rFonts w:ascii="Arial" w:hAnsi="Arial" w:cs="Arial"/>
          <w:szCs w:val="24"/>
        </w:rPr>
        <w:t xml:space="preserve">acción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8F38D0">
        <w:rPr>
          <w:rFonts w:ascii="Arial" w:hAnsi="Arial" w:cs="Arial"/>
          <w:color w:val="000000"/>
          <w:szCs w:val="24"/>
        </w:rPr>
        <w:t>tutelado</w:t>
      </w:r>
      <w:r w:rsidR="00D33789" w:rsidRPr="005764A9">
        <w:rPr>
          <w:rFonts w:ascii="Arial" w:hAnsi="Arial" w:cs="Arial"/>
          <w:color w:val="000000"/>
          <w:szCs w:val="24"/>
        </w:rPr>
        <w:t>.</w:t>
      </w:r>
    </w:p>
    <w:p w:rsidR="00730CA7" w:rsidRPr="00E9588E" w:rsidRDefault="00C843CF" w:rsidP="005764A9">
      <w:pPr>
        <w:pStyle w:val="Sangra2detindependiente"/>
        <w:tabs>
          <w:tab w:val="left" w:pos="709"/>
        </w:tabs>
        <w:spacing w:after="0" w:line="360" w:lineRule="auto"/>
        <w:ind w:left="709" w:hanging="709"/>
        <w:jc w:val="both"/>
        <w:rPr>
          <w:rFonts w:ascii="Arial" w:hAnsi="Arial" w:cs="Arial"/>
          <w:sz w:val="24"/>
          <w:szCs w:val="24"/>
          <w:lang w:val="es-CO"/>
        </w:rPr>
      </w:pPr>
      <w:r>
        <w:rPr>
          <w:rFonts w:ascii="Arial" w:hAnsi="Arial" w:cs="Arial"/>
          <w:color w:val="000000"/>
          <w:sz w:val="24"/>
          <w:szCs w:val="24"/>
        </w:rPr>
        <w:t xml:space="preserve"> </w:t>
      </w:r>
    </w:p>
    <w:p w:rsidR="008F38D0" w:rsidRPr="00EE0CF1" w:rsidRDefault="008F38D0" w:rsidP="008F38D0">
      <w:pPr>
        <w:pStyle w:val="Textoindependiente"/>
        <w:numPr>
          <w:ilvl w:val="1"/>
          <w:numId w:val="18"/>
        </w:numPr>
        <w:spacing w:line="360" w:lineRule="auto"/>
        <w:rPr>
          <w:rFonts w:ascii="Arial" w:hAnsi="Arial" w:cs="Arial"/>
        </w:rPr>
      </w:pPr>
      <w:r w:rsidRPr="00E9588E">
        <w:rPr>
          <w:rFonts w:ascii="Arial" w:hAnsi="Arial"/>
          <w:smallCaps/>
          <w:szCs w:val="24"/>
        </w:rPr>
        <w:t>El problema jurídico a resolver</w:t>
      </w:r>
      <w:r w:rsidRPr="005764A9">
        <w:rPr>
          <w:rFonts w:ascii="Arial" w:hAnsi="Arial"/>
          <w:smallCaps/>
          <w:szCs w:val="24"/>
        </w:rPr>
        <w:t xml:space="preserve">. </w:t>
      </w:r>
      <w:r w:rsidRPr="005764A9">
        <w:rPr>
          <w:rFonts w:ascii="Arial" w:hAnsi="Arial" w:cs="Arial"/>
        </w:rPr>
        <w:t xml:space="preserve">¿El Juzgado accionado, ha vulnerado o amenazado </w:t>
      </w:r>
      <w:r w:rsidRPr="00EE0CF1">
        <w:rPr>
          <w:rFonts w:ascii="Arial" w:hAnsi="Arial" w:cs="Arial"/>
        </w:rPr>
        <w:t>los derechos fundamentales del accionante con ocasión del trámite surtido en la acci</w:t>
      </w:r>
      <w:r w:rsidR="006B0DF5">
        <w:rPr>
          <w:rFonts w:ascii="Arial" w:hAnsi="Arial" w:cs="Arial"/>
        </w:rPr>
        <w:t>ón popular</w:t>
      </w:r>
      <w:r w:rsidRPr="00EE0CF1">
        <w:rPr>
          <w:rFonts w:ascii="Arial" w:hAnsi="Arial" w:cs="Arial"/>
        </w:rPr>
        <w:t xml:space="preserve">, según lo expuesto en </w:t>
      </w:r>
      <w:r w:rsidR="006B0DF5">
        <w:rPr>
          <w:rFonts w:ascii="Arial" w:hAnsi="Arial" w:cs="Arial"/>
        </w:rPr>
        <w:t>el</w:t>
      </w:r>
      <w:r>
        <w:rPr>
          <w:rFonts w:ascii="Arial" w:hAnsi="Arial" w:cs="Arial"/>
        </w:rPr>
        <w:t xml:space="preserve"> escrito</w:t>
      </w:r>
      <w:r w:rsidRPr="00EE0CF1">
        <w:rPr>
          <w:rFonts w:ascii="Arial" w:hAnsi="Arial" w:cs="Arial"/>
        </w:rPr>
        <w:t xml:space="preserve"> de tutela</w:t>
      </w:r>
      <w:proofErr w:type="gramStart"/>
      <w:r w:rsidRPr="00EE0CF1">
        <w:rPr>
          <w:rFonts w:ascii="Arial" w:hAnsi="Arial" w:cs="Arial"/>
        </w:rPr>
        <w:t>?</w:t>
      </w:r>
      <w:r w:rsidR="00664AAC">
        <w:rPr>
          <w:rFonts w:ascii="Arial" w:hAnsi="Arial" w:cs="Arial"/>
        </w:rPr>
        <w:t>.</w:t>
      </w:r>
      <w:proofErr w:type="gramEnd"/>
    </w:p>
    <w:p w:rsidR="00100AEC" w:rsidRPr="00E9588E" w:rsidRDefault="00100AEC" w:rsidP="00100AEC">
      <w:pPr>
        <w:pStyle w:val="Textoindependiente"/>
        <w:tabs>
          <w:tab w:val="clear" w:pos="708"/>
          <w:tab w:val="clear" w:pos="1416"/>
          <w:tab w:val="left" w:pos="709"/>
          <w:tab w:val="left" w:pos="1418"/>
        </w:tabs>
        <w:spacing w:line="360" w:lineRule="auto"/>
        <w:ind w:left="720"/>
        <w:rPr>
          <w:rFonts w:ascii="Arial" w:hAnsi="Arial"/>
          <w:smallCaps/>
          <w:szCs w:val="24"/>
        </w:rPr>
      </w:pPr>
    </w:p>
    <w:p w:rsidR="00100AEC" w:rsidRPr="002E5AEF" w:rsidRDefault="00100AEC" w:rsidP="00100AEC">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64AAC" w:rsidRPr="00E9588E" w:rsidRDefault="00664AAC" w:rsidP="00664AAC">
      <w:pPr>
        <w:pStyle w:val="Textoindependiente"/>
        <w:spacing w:line="360" w:lineRule="auto"/>
        <w:rPr>
          <w:rFonts w:ascii="Arial" w:hAnsi="Arial"/>
          <w:sz w:val="22"/>
          <w:szCs w:val="24"/>
        </w:rPr>
      </w:pPr>
    </w:p>
    <w:p w:rsidR="00100AEC" w:rsidRDefault="00100AEC" w:rsidP="00100AEC">
      <w:pPr>
        <w:pStyle w:val="Textoindependiente"/>
        <w:numPr>
          <w:ilvl w:val="2"/>
          <w:numId w:val="18"/>
        </w:numPr>
        <w:spacing w:line="360" w:lineRule="auto"/>
        <w:rPr>
          <w:rFonts w:ascii="Arial" w:hAnsi="Arial" w:cs="Arial"/>
        </w:rPr>
      </w:pPr>
      <w:r w:rsidRPr="00100AEC">
        <w:rPr>
          <w:rFonts w:ascii="Arial" w:hAnsi="Arial"/>
          <w:smallCaps/>
          <w:sz w:val="22"/>
          <w:szCs w:val="24"/>
        </w:rPr>
        <w:t>La legitimación en la causa</w:t>
      </w:r>
      <w:r w:rsidRPr="00700971">
        <w:rPr>
          <w:rFonts w:ascii="Arial" w:hAnsi="Arial"/>
          <w:smallCaps/>
          <w:szCs w:val="24"/>
        </w:rPr>
        <w:t xml:space="preserve">. </w:t>
      </w:r>
      <w:r w:rsidRPr="00700971">
        <w:rPr>
          <w:rFonts w:ascii="Arial" w:hAnsi="Arial" w:cs="Arial"/>
          <w:szCs w:val="24"/>
        </w:rPr>
        <w:t xml:space="preserve">Se cumple por activa dado que el actor promovió la acción popular donde se reprocha la falta al debido proceso. Y por pasiva, lo es el Juzgado </w:t>
      </w:r>
      <w:r w:rsidR="001E5DA6">
        <w:rPr>
          <w:rFonts w:ascii="Arial" w:hAnsi="Arial" w:cs="Arial"/>
          <w:szCs w:val="24"/>
        </w:rPr>
        <w:t>Cuarto Civil del Circuito de Pereira</w:t>
      </w:r>
      <w:r w:rsidRPr="00700971">
        <w:rPr>
          <w:rFonts w:ascii="Arial" w:hAnsi="Arial" w:cs="Arial"/>
          <w:szCs w:val="24"/>
        </w:rPr>
        <w:t xml:space="preserve"> porque es la autoridad judicial que conoce </w:t>
      </w:r>
      <w:r>
        <w:rPr>
          <w:rFonts w:ascii="Arial" w:hAnsi="Arial" w:cs="Arial"/>
          <w:szCs w:val="24"/>
        </w:rPr>
        <w:t>el juicio.</w:t>
      </w:r>
    </w:p>
    <w:p w:rsidR="00100AEC" w:rsidRDefault="00100AEC" w:rsidP="00100AEC">
      <w:pPr>
        <w:pStyle w:val="Textoindependiente"/>
        <w:spacing w:line="360" w:lineRule="auto"/>
        <w:ind w:left="720"/>
        <w:rPr>
          <w:rFonts w:ascii="Arial" w:hAnsi="Arial" w:cs="Arial"/>
          <w:sz w:val="22"/>
        </w:rPr>
      </w:pPr>
    </w:p>
    <w:p w:rsidR="00616BA6" w:rsidRPr="002A0C2A" w:rsidRDefault="00616BA6" w:rsidP="00616BA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704A64">
        <w:rPr>
          <w:rFonts w:ascii="Arial" w:hAnsi="Arial" w:cs="Verdana"/>
          <w:smallCaps/>
          <w:spacing w:val="0"/>
          <w:sz w:val="22"/>
          <w:szCs w:val="24"/>
          <w:lang w:val="es-ES"/>
        </w:rPr>
        <w:t xml:space="preserve">Las sub-reglas de análisis en la </w:t>
      </w:r>
      <w:proofErr w:type="spellStart"/>
      <w:r w:rsidRPr="00704A64">
        <w:rPr>
          <w:rFonts w:ascii="Arial" w:hAnsi="Arial" w:cs="Verdana"/>
          <w:smallCaps/>
          <w:spacing w:val="0"/>
          <w:sz w:val="22"/>
          <w:szCs w:val="24"/>
          <w:lang w:val="es-ES"/>
        </w:rPr>
        <w:t>procedibilidad</w:t>
      </w:r>
      <w:proofErr w:type="spellEnd"/>
      <w:r w:rsidRPr="00704A64">
        <w:rPr>
          <w:rFonts w:ascii="Arial" w:hAnsi="Arial" w:cs="Verdana"/>
          <w:smallCaps/>
          <w:spacing w:val="0"/>
          <w:sz w:val="22"/>
          <w:szCs w:val="24"/>
          <w:lang w:val="es-ES"/>
        </w:rPr>
        <w:t xml:space="preserve"> frente a decisiones judiciales</w:t>
      </w:r>
    </w:p>
    <w:p w:rsidR="00616BA6" w:rsidRDefault="00616BA6" w:rsidP="00616BA6">
      <w:pPr>
        <w:pStyle w:val="Textoindependiente"/>
        <w:shd w:val="clear" w:color="auto" w:fill="FFFFFF" w:themeFill="background1"/>
        <w:spacing w:line="360" w:lineRule="auto"/>
        <w:rPr>
          <w:rFonts w:ascii="Arial" w:hAnsi="Arial" w:cs="Arial"/>
          <w:szCs w:val="24"/>
        </w:rPr>
      </w:pPr>
    </w:p>
    <w:p w:rsidR="00616BA6" w:rsidRDefault="00616BA6" w:rsidP="00616BA6">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 xml:space="preserve">de  1992,  que examinó en constitucionalidad, los artículos 11, </w:t>
      </w: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DC6BEA">
        <w:rPr>
          <w:rFonts w:ascii="Arial" w:hAnsi="Arial" w:cs="Arial"/>
          <w:szCs w:val="24"/>
        </w:rPr>
        <w:t xml:space="preserve">12 </w:t>
      </w:r>
      <w:proofErr w:type="gramStart"/>
      <w:r w:rsidRPr="00DC6BEA">
        <w:rPr>
          <w:rFonts w:ascii="Arial" w:hAnsi="Arial" w:cs="Arial"/>
          <w:szCs w:val="24"/>
        </w:rPr>
        <w:t>y</w:t>
      </w:r>
      <w:proofErr w:type="gramEnd"/>
      <w:r w:rsidRPr="00DC6BEA">
        <w:rPr>
          <w:rFonts w:ascii="Arial" w:hAnsi="Arial"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616BA6"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lastRenderedPageBreak/>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616BA6" w:rsidRPr="00773B57" w:rsidRDefault="00616BA6" w:rsidP="00616BA6">
      <w:pPr>
        <w:pStyle w:val="Textoindependiente"/>
        <w:shd w:val="clear" w:color="auto" w:fill="FFFFFF" w:themeFill="background1"/>
        <w:spacing w:line="360" w:lineRule="auto"/>
        <w:rPr>
          <w:rFonts w:ascii="Arial" w:hAnsi="Arial" w:cs="Arial"/>
          <w:szCs w:val="24"/>
        </w:rPr>
      </w:pPr>
    </w:p>
    <w:p w:rsidR="00616BA6"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616BA6" w:rsidRPr="00907C22" w:rsidRDefault="00616BA6" w:rsidP="00616BA6">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616BA6" w:rsidRDefault="00616BA6" w:rsidP="00616BA6">
      <w:pPr>
        <w:pStyle w:val="Textoindependiente"/>
        <w:spacing w:line="360" w:lineRule="auto"/>
        <w:rPr>
          <w:rFonts w:ascii="Arial" w:hAnsi="Arial" w:cs="Arial"/>
          <w:szCs w:val="24"/>
        </w:rPr>
      </w:pPr>
    </w:p>
    <w:p w:rsidR="00616BA6" w:rsidRDefault="00616BA6" w:rsidP="00616BA6">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616BA6" w:rsidRPr="0073683E" w:rsidRDefault="00616BA6" w:rsidP="00616BA6">
      <w:pPr>
        <w:pStyle w:val="Textoindependiente"/>
        <w:tabs>
          <w:tab w:val="clear" w:pos="0"/>
          <w:tab w:val="clear" w:pos="708"/>
          <w:tab w:val="left" w:pos="993"/>
        </w:tabs>
        <w:suppressAutoHyphens w:val="0"/>
        <w:overflowPunct/>
        <w:autoSpaceDE/>
        <w:adjustRightInd/>
        <w:spacing w:line="360" w:lineRule="auto"/>
        <w:ind w:left="720"/>
        <w:textAlignment w:val="auto"/>
        <w:rPr>
          <w:rFonts w:ascii="Arial" w:hAnsi="Arial" w:cs="Arial"/>
          <w:sz w:val="22"/>
          <w:szCs w:val="24"/>
        </w:rPr>
      </w:pPr>
    </w:p>
    <w:p w:rsidR="00616BA6" w:rsidRDefault="00616BA6" w:rsidP="00616BA6">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16BA6" w:rsidRPr="00A8313B" w:rsidRDefault="00616BA6" w:rsidP="00616BA6">
      <w:pPr>
        <w:pStyle w:val="Textoindependiente"/>
        <w:tabs>
          <w:tab w:val="clear" w:pos="0"/>
        </w:tabs>
        <w:spacing w:line="360" w:lineRule="auto"/>
        <w:rPr>
          <w:rFonts w:ascii="Arial" w:hAnsi="Arial" w:cs="Arial"/>
          <w:szCs w:val="22"/>
          <w:u w:val="single"/>
        </w:rPr>
      </w:pPr>
    </w:p>
    <w:p w:rsidR="00616BA6" w:rsidRDefault="00616BA6" w:rsidP="00616BA6">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616BA6" w:rsidRDefault="00616BA6" w:rsidP="00616BA6">
      <w:pPr>
        <w:pStyle w:val="Textoindependiente"/>
        <w:tabs>
          <w:tab w:val="clear" w:pos="0"/>
        </w:tabs>
        <w:spacing w:line="360" w:lineRule="auto"/>
        <w:rPr>
          <w:rFonts w:ascii="Arial" w:hAnsi="Arial" w:cs="Arial"/>
          <w:szCs w:val="24"/>
        </w:rPr>
      </w:pPr>
    </w:p>
    <w:p w:rsidR="00616BA6" w:rsidRDefault="00616BA6" w:rsidP="00616BA6">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xml:space="preserve">,  deben  agotarse los recursos ordinarios de defensa, </w:t>
      </w:r>
    </w:p>
    <w:p w:rsidR="00616BA6" w:rsidRDefault="00616BA6" w:rsidP="00616BA6">
      <w:pPr>
        <w:pStyle w:val="Textoindependiente"/>
        <w:tabs>
          <w:tab w:val="clear" w:pos="0"/>
        </w:tabs>
        <w:spacing w:line="360" w:lineRule="auto"/>
        <w:rPr>
          <w:rFonts w:ascii="Arial" w:hAnsi="Arial" w:cs="Arial"/>
        </w:rPr>
      </w:pPr>
      <w:r>
        <w:rPr>
          <w:rFonts w:ascii="Arial" w:hAnsi="Arial" w:cs="Arial"/>
          <w:szCs w:val="24"/>
        </w:rPr>
        <w:lastRenderedPageBreak/>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872735" w:rsidRDefault="00872735" w:rsidP="00616BA6">
      <w:pPr>
        <w:pStyle w:val="Textoindependiente"/>
        <w:tabs>
          <w:tab w:val="clear" w:pos="0"/>
        </w:tabs>
        <w:spacing w:line="360" w:lineRule="auto"/>
        <w:rPr>
          <w:rFonts w:ascii="Arial" w:hAnsi="Arial" w:cs="Arial"/>
        </w:rPr>
      </w:pPr>
    </w:p>
    <w:p w:rsidR="00872735" w:rsidRPr="00872735" w:rsidRDefault="00872735" w:rsidP="00872735">
      <w:pPr>
        <w:pStyle w:val="Textoindependiente"/>
        <w:numPr>
          <w:ilvl w:val="2"/>
          <w:numId w:val="18"/>
        </w:numPr>
        <w:shd w:val="clear" w:color="auto" w:fill="FFFFFF" w:themeFill="background1"/>
        <w:spacing w:line="360" w:lineRule="auto"/>
        <w:rPr>
          <w:rFonts w:ascii="Arial" w:hAnsi="Arial"/>
          <w:smallCaps/>
          <w:sz w:val="22"/>
          <w:szCs w:val="22"/>
        </w:rPr>
      </w:pPr>
      <w:r w:rsidRPr="00872735">
        <w:rPr>
          <w:rFonts w:ascii="Arial" w:hAnsi="Arial"/>
          <w:smallCaps/>
          <w:sz w:val="22"/>
          <w:szCs w:val="22"/>
        </w:rPr>
        <w:t xml:space="preserve">La inmediatez  de la acción de tutela </w:t>
      </w:r>
    </w:p>
    <w:p w:rsidR="00872735" w:rsidRPr="0012509F" w:rsidRDefault="00872735" w:rsidP="00872735">
      <w:pPr>
        <w:pStyle w:val="Textoindependiente"/>
        <w:shd w:val="clear" w:color="auto" w:fill="FFFFFF" w:themeFill="background1"/>
        <w:spacing w:line="360" w:lineRule="auto"/>
        <w:ind w:left="720"/>
        <w:rPr>
          <w:rFonts w:ascii="Arial" w:hAnsi="Arial"/>
          <w:smallCaps/>
          <w:szCs w:val="24"/>
        </w:rPr>
      </w:pPr>
    </w:p>
    <w:p w:rsidR="00872735" w:rsidRDefault="00872735" w:rsidP="00872735">
      <w:pPr>
        <w:shd w:val="clear" w:color="auto" w:fill="FFFFFF" w:themeFill="background1"/>
        <w:spacing w:line="360" w:lineRule="auto"/>
        <w:jc w:val="both"/>
        <w:rPr>
          <w:rFonts w:ascii="Arial" w:hAnsi="Arial" w:cs="Arial"/>
          <w:u w:val="single"/>
        </w:rPr>
      </w:pPr>
      <w:r>
        <w:rPr>
          <w:rFonts w:ascii="Arial" w:hAnsi="Arial" w:cs="Arial"/>
        </w:rPr>
        <w:t xml:space="preserve">Según constante jurisprudencia de nuestro máximo Tribunal </w:t>
      </w:r>
      <w:r w:rsidRPr="00AA730F">
        <w:rPr>
          <w:rFonts w:ascii="Arial" w:hAnsi="Arial" w:cs="Arial"/>
        </w:rPr>
        <w:t>Constitucional</w:t>
      </w:r>
      <w:r w:rsidRPr="00AA730F">
        <w:rPr>
          <w:rStyle w:val="Refdenotaalpie"/>
          <w:rFonts w:ascii="Arial" w:hAnsi="Arial" w:cs="Arial"/>
        </w:rPr>
        <w:footnoteReference w:id="15"/>
      </w:r>
      <w:r w:rsidRPr="00AA730F">
        <w:rPr>
          <w:rFonts w:ascii="Arial" w:hAnsi="Arial" w:cs="Arial"/>
        </w:rPr>
        <w:t>, y también de la CSJ</w:t>
      </w:r>
      <w:r w:rsidRPr="00AA730F">
        <w:rPr>
          <w:rStyle w:val="Refdenotaalpie"/>
          <w:rFonts w:ascii="Arial" w:hAnsi="Arial" w:cs="Arial"/>
        </w:rPr>
        <w:footnoteReference w:id="16"/>
      </w:r>
      <w:r w:rsidRPr="00AA730F">
        <w:rPr>
          <w:rFonts w:ascii="Arial" w:hAnsi="Arial" w:cs="Arial"/>
        </w:rPr>
        <w:t xml:space="preserve"> (Sala de Casación Civil), la inmediatez en la protección, que implica</w:t>
      </w:r>
      <w:r>
        <w:rPr>
          <w:rFonts w:ascii="Arial" w:hAnsi="Arial" w:cs="Arial"/>
        </w:rPr>
        <w:t xml:space="preserve">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872735" w:rsidRDefault="00872735" w:rsidP="00872735">
      <w:pPr>
        <w:shd w:val="clear" w:color="auto" w:fill="FFFFFF" w:themeFill="background1"/>
        <w:spacing w:line="360" w:lineRule="auto"/>
        <w:jc w:val="both"/>
        <w:rPr>
          <w:rFonts w:ascii="Arial" w:hAnsi="Arial" w:cs="Arial"/>
          <w:u w:val="single"/>
        </w:rPr>
      </w:pPr>
    </w:p>
    <w:p w:rsidR="00872735" w:rsidRDefault="00872735" w:rsidP="00872735">
      <w:pPr>
        <w:shd w:val="clear" w:color="auto" w:fill="FFFFFF" w:themeFill="background1"/>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7"/>
      </w:r>
      <w:r>
        <w:rPr>
          <w:rFonts w:ascii="Arial" w:hAnsi="Arial" w:cs="Arial"/>
        </w:rPr>
        <w:t>. Así mismo lo ha señalado la CSJ</w:t>
      </w:r>
      <w:r>
        <w:rPr>
          <w:rStyle w:val="Refdenotaalpie"/>
          <w:rFonts w:ascii="Arial" w:hAnsi="Arial" w:cs="Arial"/>
        </w:rPr>
        <w:footnoteReference w:id="18"/>
      </w:r>
      <w:r>
        <w:rPr>
          <w:rFonts w:ascii="Arial" w:hAnsi="Arial" w:cs="Arial"/>
        </w:rPr>
        <w:t xml:space="preserve">, que en recientes providencias reiteró: </w:t>
      </w:r>
    </w:p>
    <w:p w:rsidR="00872735" w:rsidRDefault="00872735" w:rsidP="00872735">
      <w:pPr>
        <w:shd w:val="clear" w:color="auto" w:fill="FFFFFF" w:themeFill="background1"/>
        <w:ind w:left="400" w:right="618"/>
        <w:jc w:val="both"/>
        <w:rPr>
          <w:rFonts w:ascii="Arial" w:hAnsi="Arial" w:cs="Arial"/>
          <w:iCs/>
        </w:rPr>
      </w:pPr>
    </w:p>
    <w:p w:rsidR="00872735" w:rsidRDefault="00872735" w:rsidP="00872735">
      <w:pPr>
        <w:shd w:val="clear" w:color="auto" w:fill="FFFFFF" w:themeFill="background1"/>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 xml:space="preserve">transcurrió un lapso que supera el de seis (6) meses fijado por la consistente jurisprudencia de esta Corporación, como razonable y proporcional para que las personas afectadas en sus prerrogativas básicas ejerzan </w:t>
      </w:r>
      <w:r w:rsidRPr="00BE7936">
        <w:rPr>
          <w:rFonts w:ascii="Arial" w:hAnsi="Arial" w:cs="Arial"/>
          <w:spacing w:val="-10"/>
          <w:szCs w:val="28"/>
          <w:u w:val="single"/>
        </w:rPr>
        <w:lastRenderedPageBreak/>
        <w:t>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872735" w:rsidRPr="0098589D" w:rsidRDefault="00872735" w:rsidP="00872735">
      <w:pPr>
        <w:shd w:val="clear" w:color="auto" w:fill="FFFFFF" w:themeFill="background1"/>
        <w:spacing w:line="360" w:lineRule="auto"/>
        <w:ind w:left="400" w:right="22"/>
        <w:jc w:val="both"/>
        <w:rPr>
          <w:rFonts w:ascii="Arial" w:hAnsi="Arial" w:cs="Arial"/>
        </w:rPr>
      </w:pPr>
    </w:p>
    <w:p w:rsidR="00872735" w:rsidRPr="0098589D" w:rsidRDefault="00872735" w:rsidP="00872735">
      <w:pPr>
        <w:shd w:val="clear" w:color="auto" w:fill="FFFFFF" w:themeFill="background1"/>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872735" w:rsidRPr="0098589D" w:rsidRDefault="00872735" w:rsidP="00872735">
      <w:pPr>
        <w:shd w:val="clear" w:color="auto" w:fill="FFFFFF" w:themeFill="background1"/>
        <w:spacing w:line="360" w:lineRule="auto"/>
        <w:ind w:left="400" w:right="22"/>
        <w:jc w:val="both"/>
        <w:rPr>
          <w:rFonts w:ascii="Arial" w:hAnsi="Arial" w:cs="Arial"/>
        </w:rPr>
      </w:pPr>
    </w:p>
    <w:p w:rsidR="00872735" w:rsidRDefault="00872735" w:rsidP="00872735">
      <w:pPr>
        <w:shd w:val="clear" w:color="auto" w:fill="FFFFFF" w:themeFill="background1"/>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Refdenotaalpie"/>
          <w:rFonts w:ascii="Arial" w:hAnsi="Arial" w:cs="Arial"/>
        </w:rPr>
        <w:footnoteReference w:id="19"/>
      </w:r>
      <w:r w:rsidRPr="0098589D">
        <w:rPr>
          <w:rFonts w:ascii="Arial" w:hAnsi="Arial" w:cs="Arial"/>
        </w:rPr>
        <w:t>, con apoyo en un precedente anterior de 2003</w:t>
      </w:r>
      <w:r w:rsidRPr="0098589D">
        <w:rPr>
          <w:rStyle w:val="Refdenotaalpie"/>
          <w:rFonts w:ascii="Arial" w:hAnsi="Arial" w:cs="Arial"/>
        </w:rPr>
        <w:footnoteReference w:id="20"/>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Refdenotaalpie"/>
          <w:rFonts w:ascii="Arial" w:hAnsi="Arial" w:cs="Arial"/>
        </w:rPr>
        <w:footnoteReference w:id="21"/>
      </w:r>
      <w:r w:rsidRPr="0098589D">
        <w:rPr>
          <w:rFonts w:ascii="Arial" w:hAnsi="Arial" w:cs="Arial"/>
        </w:rPr>
        <w:t>.</w:t>
      </w:r>
    </w:p>
    <w:p w:rsidR="00872735" w:rsidRPr="00EC12E0" w:rsidRDefault="00872735" w:rsidP="00872735">
      <w:pPr>
        <w:shd w:val="clear" w:color="auto" w:fill="FFFFFF" w:themeFill="background1"/>
        <w:spacing w:line="360" w:lineRule="auto"/>
        <w:ind w:left="400" w:right="22"/>
        <w:jc w:val="both"/>
        <w:rPr>
          <w:rFonts w:ascii="Arial" w:hAnsi="Arial" w:cs="Arial"/>
          <w:lang w:val="es-CO"/>
        </w:rPr>
      </w:pPr>
    </w:p>
    <w:p w:rsidR="00872735" w:rsidRPr="00825F31" w:rsidRDefault="00872735" w:rsidP="00872735">
      <w:pPr>
        <w:shd w:val="clear" w:color="auto" w:fill="FFFFFF" w:themeFill="background1"/>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22"/>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w:t>
      </w:r>
      <w:proofErr w:type="spellStart"/>
      <w:r w:rsidRPr="00825F31">
        <w:rPr>
          <w:rFonts w:ascii="Arial" w:hAnsi="Arial" w:cs="Arial"/>
          <w:lang w:val="es-ES_tradnl"/>
        </w:rPr>
        <w:t>procedibilidad</w:t>
      </w:r>
      <w:proofErr w:type="spellEnd"/>
      <w:r w:rsidRPr="00825F31">
        <w:rPr>
          <w:rFonts w:ascii="Arial" w:hAnsi="Arial" w:cs="Arial"/>
          <w:lang w:val="es-ES_tradnl"/>
        </w:rPr>
        <w:t xml:space="preserve">, así </w:t>
      </w:r>
      <w:r>
        <w:rPr>
          <w:rFonts w:ascii="Arial" w:hAnsi="Arial" w:cs="Arial"/>
          <w:lang w:val="es-ES_tradnl"/>
        </w:rPr>
        <w:t>explicó</w:t>
      </w:r>
      <w:r w:rsidRPr="00825F31">
        <w:rPr>
          <w:rFonts w:ascii="Arial" w:hAnsi="Arial" w:cs="Arial"/>
          <w:lang w:val="es-ES_tradnl"/>
        </w:rPr>
        <w:t>:</w:t>
      </w:r>
    </w:p>
    <w:p w:rsidR="00872735" w:rsidRDefault="00872735" w:rsidP="00872735">
      <w:pPr>
        <w:shd w:val="clear" w:color="auto" w:fill="FFFFFF" w:themeFill="background1"/>
        <w:ind w:left="400" w:right="567"/>
        <w:jc w:val="both"/>
        <w:rPr>
          <w:rFonts w:ascii="Arial" w:hAnsi="Arial" w:cs="Arial"/>
          <w:shd w:val="clear" w:color="auto" w:fill="FFFFFF"/>
        </w:rPr>
      </w:pPr>
    </w:p>
    <w:p w:rsidR="00872735" w:rsidRPr="00825F31" w:rsidRDefault="00872735" w:rsidP="00872735">
      <w:pPr>
        <w:shd w:val="clear" w:color="auto" w:fill="FFFFFF" w:themeFill="background1"/>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616BA6" w:rsidRPr="00460956" w:rsidRDefault="00616BA6" w:rsidP="00100AEC">
      <w:pPr>
        <w:pStyle w:val="Textoindependiente"/>
        <w:spacing w:line="360" w:lineRule="auto"/>
        <w:ind w:left="720"/>
        <w:rPr>
          <w:rFonts w:ascii="Arial" w:hAnsi="Arial" w:cs="Arial"/>
          <w:sz w:val="28"/>
        </w:rPr>
      </w:pPr>
    </w:p>
    <w:p w:rsidR="00D17F62" w:rsidRPr="00100AEC" w:rsidRDefault="00100AEC" w:rsidP="00100AEC">
      <w:pPr>
        <w:pStyle w:val="Textoindependiente"/>
        <w:numPr>
          <w:ilvl w:val="0"/>
          <w:numId w:val="18"/>
        </w:numPr>
        <w:tabs>
          <w:tab w:val="clear" w:pos="708"/>
        </w:tabs>
        <w:spacing w:line="360" w:lineRule="auto"/>
        <w:ind w:left="709" w:hanging="709"/>
        <w:rPr>
          <w:rFonts w:ascii="Arial" w:hAnsi="Arial" w:cs="Arial"/>
          <w:sz w:val="22"/>
        </w:rPr>
      </w:pPr>
      <w:r w:rsidRPr="00100AEC">
        <w:rPr>
          <w:rFonts w:ascii="Arial" w:hAnsi="Arial" w:cs="Arial"/>
          <w:szCs w:val="28"/>
        </w:rPr>
        <w:t xml:space="preserve">EL CASO CONCRETO </w:t>
      </w:r>
    </w:p>
    <w:p w:rsidR="00100AEC" w:rsidRPr="00460956" w:rsidRDefault="00100AEC" w:rsidP="00AC164F">
      <w:pPr>
        <w:pStyle w:val="Textoindependiente"/>
        <w:tabs>
          <w:tab w:val="clear" w:pos="708"/>
        </w:tabs>
        <w:spacing w:line="360" w:lineRule="auto"/>
        <w:rPr>
          <w:rFonts w:ascii="Arial" w:hAnsi="Arial" w:cs="Arial"/>
        </w:rPr>
      </w:pPr>
    </w:p>
    <w:p w:rsidR="00616BA6" w:rsidRDefault="00616BA6" w:rsidP="00616BA6">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w:t>
      </w:r>
      <w:r w:rsidRPr="001649B4">
        <w:rPr>
          <w:rFonts w:ascii="Arial" w:hAnsi="Arial" w:cs="Arial"/>
          <w:lang w:val="es-ES_tradnl"/>
        </w:rPr>
        <w:t>s, menos podrían revisarse los supuestos especiales, el análisis que sigue se concentrará en la subsidiariedad</w:t>
      </w:r>
      <w:r w:rsidR="00872735">
        <w:rPr>
          <w:rFonts w:ascii="Arial" w:hAnsi="Arial" w:cs="Arial"/>
          <w:lang w:val="es-ES_tradnl"/>
        </w:rPr>
        <w:t xml:space="preserve"> y la inmediatez</w:t>
      </w:r>
      <w:r>
        <w:rPr>
          <w:rFonts w:ascii="Arial" w:hAnsi="Arial" w:cs="Arial"/>
          <w:lang w:val="es-ES_tradnl"/>
        </w:rPr>
        <w:t xml:space="preserve">, </w:t>
      </w:r>
      <w:r w:rsidRPr="00141EB0">
        <w:rPr>
          <w:rFonts w:ascii="Arial" w:hAnsi="Arial" w:cs="Arial"/>
          <w:lang w:val="es-ES_tradnl"/>
        </w:rPr>
        <w:t xml:space="preserve">porque </w:t>
      </w:r>
      <w:r w:rsidR="00872735">
        <w:rPr>
          <w:rFonts w:ascii="Arial" w:hAnsi="Arial" w:cs="Arial"/>
          <w:lang w:val="es-ES_tradnl"/>
        </w:rPr>
        <w:t xml:space="preserve">son los </w:t>
      </w:r>
      <w:r>
        <w:rPr>
          <w:rFonts w:ascii="Arial" w:hAnsi="Arial" w:cs="Arial"/>
          <w:lang w:val="es-ES_tradnl"/>
        </w:rPr>
        <w:t>elemento</w:t>
      </w:r>
      <w:r w:rsidR="00872735">
        <w:rPr>
          <w:rFonts w:ascii="Arial" w:hAnsi="Arial" w:cs="Arial"/>
          <w:lang w:val="es-ES_tradnl"/>
        </w:rPr>
        <w:t>s</w:t>
      </w:r>
      <w:r>
        <w:rPr>
          <w:rFonts w:ascii="Arial" w:hAnsi="Arial" w:cs="Arial"/>
          <w:lang w:val="es-ES_tradnl"/>
        </w:rPr>
        <w:t xml:space="preserve"> que se echa</w:t>
      </w:r>
      <w:r w:rsidR="00872735">
        <w:rPr>
          <w:rFonts w:ascii="Arial" w:hAnsi="Arial" w:cs="Arial"/>
          <w:lang w:val="es-ES_tradnl"/>
        </w:rPr>
        <w:t>n</w:t>
      </w:r>
      <w:r>
        <w:rPr>
          <w:rFonts w:ascii="Arial" w:hAnsi="Arial" w:cs="Arial"/>
          <w:lang w:val="es-ES_tradnl"/>
        </w:rPr>
        <w:t xml:space="preserve"> de menos, pues </w:t>
      </w:r>
      <w:r w:rsidRPr="00A80FCC">
        <w:rPr>
          <w:rFonts w:ascii="Arial" w:hAnsi="Arial" w:cs="Arial"/>
        </w:rPr>
        <w:t xml:space="preserve">la acción de tutela </w:t>
      </w:r>
      <w:r w:rsidRPr="00A80FCC">
        <w:rPr>
          <w:rFonts w:ascii="Arial" w:hAnsi="Arial" w:cs="Arial"/>
        </w:rPr>
        <w:lastRenderedPageBreak/>
        <w:t xml:space="preserve">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w:t>
      </w:r>
      <w:r w:rsidRPr="00872735">
        <w:rPr>
          <w:rFonts w:ascii="Arial" w:hAnsi="Arial" w:cs="Arial"/>
          <w:shd w:val="clear" w:color="auto" w:fill="FFFFFF"/>
        </w:rPr>
        <w:t>jurídicos que deben ser resueltos al interior del trámite ordinario</w:t>
      </w:r>
      <w:r w:rsidRPr="00872735">
        <w:rPr>
          <w:rStyle w:val="Refdenotaalpie"/>
          <w:rFonts w:ascii="Arial" w:hAnsi="Arial" w:cs="Arial"/>
        </w:rPr>
        <w:footnoteReference w:id="23"/>
      </w:r>
      <w:r w:rsidR="00872735" w:rsidRPr="00872735">
        <w:rPr>
          <w:rFonts w:ascii="Arial" w:hAnsi="Arial" w:cs="Arial"/>
          <w:shd w:val="clear" w:color="auto" w:fill="FFFFFF"/>
        </w:rPr>
        <w:t xml:space="preserve"> y debe promoverse dentro de un término razonable y cercano a los hechos amenazantes o vulnerados de los derechos</w:t>
      </w:r>
      <w:r w:rsidR="00872735" w:rsidRPr="00872735">
        <w:rPr>
          <w:rStyle w:val="Refdenotaalpie"/>
          <w:rFonts w:ascii="Arial" w:hAnsi="Arial" w:cs="Arial"/>
        </w:rPr>
        <w:footnoteReference w:id="24"/>
      </w:r>
      <w:r w:rsidRPr="00872735">
        <w:rPr>
          <w:rFonts w:ascii="Arial" w:hAnsi="Arial" w:cs="Arial"/>
          <w:lang w:val="es-ES_tradnl"/>
        </w:rPr>
        <w:t>.</w:t>
      </w:r>
    </w:p>
    <w:p w:rsidR="00281074" w:rsidRDefault="00281074" w:rsidP="00C42321">
      <w:pPr>
        <w:widowControl/>
        <w:spacing w:line="360" w:lineRule="auto"/>
        <w:jc w:val="both"/>
        <w:rPr>
          <w:rFonts w:ascii="Arial" w:hAnsi="Arial" w:cs="Arial"/>
          <w:lang w:val="es-ES_tradnl"/>
        </w:rPr>
      </w:pPr>
    </w:p>
    <w:p w:rsidR="00872735" w:rsidRPr="00872735" w:rsidRDefault="00872735" w:rsidP="00872735">
      <w:pPr>
        <w:pStyle w:val="Prrafodelista"/>
        <w:widowControl/>
        <w:numPr>
          <w:ilvl w:val="1"/>
          <w:numId w:val="18"/>
        </w:numPr>
        <w:spacing w:line="360" w:lineRule="auto"/>
        <w:jc w:val="both"/>
        <w:rPr>
          <w:rFonts w:ascii="Arial" w:hAnsi="Arial" w:cs="Arial"/>
          <w:smallCaps/>
          <w:lang w:val="es-ES_tradnl"/>
        </w:rPr>
      </w:pPr>
      <w:r w:rsidRPr="00872735">
        <w:rPr>
          <w:rFonts w:ascii="Arial" w:hAnsi="Arial" w:cs="Arial"/>
          <w:smallCaps/>
          <w:lang w:val="es-ES_tradnl"/>
        </w:rPr>
        <w:t>La subsidiariedad</w:t>
      </w:r>
    </w:p>
    <w:p w:rsidR="00872735" w:rsidRPr="00872735" w:rsidRDefault="00872735" w:rsidP="00872735">
      <w:pPr>
        <w:pStyle w:val="Prrafodelista"/>
        <w:widowControl/>
        <w:spacing w:line="360" w:lineRule="auto"/>
        <w:ind w:left="720"/>
        <w:jc w:val="both"/>
        <w:rPr>
          <w:rFonts w:ascii="Arial" w:hAnsi="Arial" w:cs="Arial"/>
          <w:lang w:val="es-ES_tradnl"/>
        </w:rPr>
      </w:pPr>
    </w:p>
    <w:p w:rsidR="00281074" w:rsidRDefault="00616BA6" w:rsidP="00C42321">
      <w:pPr>
        <w:widowControl/>
        <w:spacing w:line="360" w:lineRule="auto"/>
        <w:jc w:val="both"/>
        <w:rPr>
          <w:rFonts w:ascii="Arial" w:hAnsi="Arial" w:cs="Arial"/>
          <w:lang w:val="es-ES_tradnl"/>
        </w:rPr>
      </w:pPr>
      <w:r>
        <w:rPr>
          <w:rFonts w:ascii="Arial" w:hAnsi="Arial" w:cs="Arial"/>
          <w:lang w:val="es-ES_tradnl"/>
        </w:rPr>
        <w:t xml:space="preserve">De </w:t>
      </w:r>
      <w:r w:rsidR="00281074">
        <w:rPr>
          <w:rFonts w:ascii="Arial" w:hAnsi="Arial" w:cs="Arial"/>
          <w:lang w:val="es-ES_tradnl"/>
        </w:rPr>
        <w:t xml:space="preserve"> </w:t>
      </w:r>
      <w:r>
        <w:rPr>
          <w:rFonts w:ascii="Arial" w:hAnsi="Arial" w:cs="Arial"/>
          <w:lang w:val="es-ES_tradnl"/>
        </w:rPr>
        <w:t xml:space="preserve">acuerdo </w:t>
      </w:r>
      <w:r w:rsidR="00281074">
        <w:rPr>
          <w:rFonts w:ascii="Arial" w:hAnsi="Arial" w:cs="Arial"/>
          <w:lang w:val="es-ES_tradnl"/>
        </w:rPr>
        <w:t xml:space="preserve"> </w:t>
      </w:r>
      <w:r>
        <w:rPr>
          <w:rFonts w:ascii="Arial" w:hAnsi="Arial" w:cs="Arial"/>
          <w:lang w:val="es-ES_tradnl"/>
        </w:rPr>
        <w:t xml:space="preserve">con </w:t>
      </w:r>
      <w:r w:rsidR="00281074">
        <w:rPr>
          <w:rFonts w:ascii="Arial" w:hAnsi="Arial" w:cs="Arial"/>
          <w:lang w:val="es-ES_tradnl"/>
        </w:rPr>
        <w:t xml:space="preserve"> </w:t>
      </w:r>
      <w:r>
        <w:rPr>
          <w:rFonts w:ascii="Arial" w:hAnsi="Arial" w:cs="Arial"/>
          <w:lang w:val="es-ES_tradnl"/>
        </w:rPr>
        <w:t xml:space="preserve">el </w:t>
      </w:r>
      <w:r w:rsidR="00281074">
        <w:rPr>
          <w:rFonts w:ascii="Arial" w:hAnsi="Arial" w:cs="Arial"/>
          <w:lang w:val="es-ES_tradnl"/>
        </w:rPr>
        <w:t xml:space="preserve"> </w:t>
      </w:r>
      <w:r>
        <w:rPr>
          <w:rFonts w:ascii="Arial" w:hAnsi="Arial" w:cs="Arial"/>
          <w:lang w:val="es-ES_tradnl"/>
        </w:rPr>
        <w:t xml:space="preserve">petitorio </w:t>
      </w:r>
      <w:r w:rsidR="00281074">
        <w:rPr>
          <w:rFonts w:ascii="Arial" w:hAnsi="Arial" w:cs="Arial"/>
          <w:lang w:val="es-ES_tradnl"/>
        </w:rPr>
        <w:t xml:space="preserve"> </w:t>
      </w:r>
      <w:r>
        <w:rPr>
          <w:rFonts w:ascii="Arial" w:hAnsi="Arial" w:cs="Arial"/>
          <w:lang w:val="es-ES_tradnl"/>
        </w:rPr>
        <w:t xml:space="preserve">de </w:t>
      </w:r>
      <w:r w:rsidR="00281074">
        <w:rPr>
          <w:rFonts w:ascii="Arial" w:hAnsi="Arial" w:cs="Arial"/>
          <w:lang w:val="es-ES_tradnl"/>
        </w:rPr>
        <w:t xml:space="preserve"> </w:t>
      </w:r>
      <w:r>
        <w:rPr>
          <w:rFonts w:ascii="Arial" w:hAnsi="Arial" w:cs="Arial"/>
          <w:lang w:val="es-ES_tradnl"/>
        </w:rPr>
        <w:t xml:space="preserve">amparo </w:t>
      </w:r>
      <w:r w:rsidR="00281074">
        <w:rPr>
          <w:rFonts w:ascii="Arial" w:hAnsi="Arial" w:cs="Arial"/>
          <w:lang w:val="es-ES_tradnl"/>
        </w:rPr>
        <w:t xml:space="preserve"> </w:t>
      </w:r>
      <w:r>
        <w:rPr>
          <w:rFonts w:ascii="Arial" w:hAnsi="Arial" w:cs="Arial"/>
          <w:lang w:val="es-ES_tradnl"/>
        </w:rPr>
        <w:t>y el estado actual de la acción popular No.2015-</w:t>
      </w:r>
    </w:p>
    <w:p w:rsidR="00872735" w:rsidRDefault="00616BA6" w:rsidP="00C42321">
      <w:pPr>
        <w:widowControl/>
        <w:spacing w:line="360" w:lineRule="auto"/>
        <w:jc w:val="both"/>
        <w:rPr>
          <w:rFonts w:ascii="Arial" w:hAnsi="Arial"/>
          <w:lang w:val="es-ES_tradnl"/>
        </w:rPr>
      </w:pPr>
      <w:r>
        <w:rPr>
          <w:rFonts w:ascii="Arial" w:hAnsi="Arial" w:cs="Arial"/>
          <w:lang w:val="es-ES_tradnl"/>
        </w:rPr>
        <w:t xml:space="preserve">00252-00, halla la </w:t>
      </w:r>
      <w:r w:rsidR="00C42321">
        <w:rPr>
          <w:rFonts w:ascii="Arial" w:hAnsi="Arial" w:cs="Arial"/>
          <w:lang w:val="es-ES_tradnl"/>
        </w:rPr>
        <w:t>Sala</w:t>
      </w:r>
      <w:r>
        <w:rPr>
          <w:rFonts w:ascii="Arial" w:hAnsi="Arial" w:cs="Arial"/>
          <w:lang w:val="es-ES_tradnl"/>
        </w:rPr>
        <w:t xml:space="preserve"> que el accionante está en desacuerdo con la decisión del juzgado accionado, datada el 30-06-2017 (Mismo día de presentación de la tutela)</w:t>
      </w:r>
      <w:r w:rsidR="00C42321">
        <w:rPr>
          <w:rFonts w:ascii="Arial" w:hAnsi="Arial"/>
          <w:lang w:val="es-ES_tradnl"/>
        </w:rPr>
        <w:t>,</w:t>
      </w:r>
      <w:r>
        <w:rPr>
          <w:rFonts w:ascii="Arial" w:hAnsi="Arial"/>
          <w:lang w:val="es-ES_tradnl"/>
        </w:rPr>
        <w:t xml:space="preserve"> que negó la expedición de copias con destino a la Procuraduría General de la Nación para que se adelantara investigación disciplinaria en contra del procurador delegado porque supuestamente </w:t>
      </w:r>
      <w:proofErr w:type="spellStart"/>
      <w:r>
        <w:rPr>
          <w:rFonts w:ascii="Arial" w:hAnsi="Arial"/>
          <w:lang w:val="es-ES_tradnl"/>
        </w:rPr>
        <w:t>inasistió</w:t>
      </w:r>
      <w:proofErr w:type="spellEnd"/>
      <w:r>
        <w:rPr>
          <w:rFonts w:ascii="Arial" w:hAnsi="Arial"/>
          <w:lang w:val="es-ES_tradnl"/>
        </w:rPr>
        <w:t xml:space="preserve"> a la audiencia de pacto de cumplimiento, proveído notificado </w:t>
      </w:r>
      <w:r w:rsidR="00281074">
        <w:rPr>
          <w:rFonts w:ascii="Arial" w:hAnsi="Arial"/>
          <w:lang w:val="es-ES_tradnl"/>
        </w:rPr>
        <w:t xml:space="preserve">con fijación </w:t>
      </w:r>
      <w:r>
        <w:rPr>
          <w:rFonts w:ascii="Arial" w:hAnsi="Arial"/>
          <w:lang w:val="es-ES_tradnl"/>
        </w:rPr>
        <w:t>en el estado del 04-07-2017</w:t>
      </w:r>
      <w:r w:rsidR="00281074">
        <w:rPr>
          <w:rFonts w:ascii="Arial" w:hAnsi="Arial"/>
          <w:lang w:val="es-ES_tradnl"/>
        </w:rPr>
        <w:t>,</w:t>
      </w:r>
      <w:r>
        <w:rPr>
          <w:rFonts w:ascii="Arial" w:hAnsi="Arial"/>
          <w:lang w:val="es-ES_tradnl"/>
        </w:rPr>
        <w:t xml:space="preserve"> y no fue recurrido, </w:t>
      </w:r>
      <w:r w:rsidR="00281074">
        <w:rPr>
          <w:rFonts w:ascii="Arial" w:hAnsi="Arial"/>
          <w:lang w:val="es-ES_tradnl"/>
        </w:rPr>
        <w:t xml:space="preserve">según </w:t>
      </w:r>
      <w:r>
        <w:rPr>
          <w:rFonts w:ascii="Arial" w:hAnsi="Arial"/>
          <w:lang w:val="es-ES_tradnl"/>
        </w:rPr>
        <w:t>se constató en la inspección judicial (Folios 12 a 16, ib.).</w:t>
      </w:r>
    </w:p>
    <w:p w:rsidR="00872735" w:rsidRDefault="00872735" w:rsidP="00C42321">
      <w:pPr>
        <w:widowControl/>
        <w:spacing w:line="360" w:lineRule="auto"/>
        <w:jc w:val="both"/>
        <w:rPr>
          <w:rFonts w:ascii="Arial" w:hAnsi="Arial"/>
          <w:lang w:val="es-ES_tradnl"/>
        </w:rPr>
      </w:pPr>
    </w:p>
    <w:p w:rsidR="00F3506D" w:rsidRDefault="00616BA6" w:rsidP="00F3506D">
      <w:pPr>
        <w:spacing w:line="360" w:lineRule="auto"/>
        <w:ind w:right="51"/>
        <w:jc w:val="both"/>
        <w:rPr>
          <w:rFonts w:ascii="Arial" w:hAnsi="Arial" w:cs="Arial"/>
        </w:rPr>
      </w:pPr>
      <w:r>
        <w:rPr>
          <w:rFonts w:ascii="Arial" w:hAnsi="Arial"/>
          <w:lang w:val="es-ES_tradnl"/>
        </w:rPr>
        <w:t xml:space="preserve">Así las cosas, se tiene que la presentación de la tutela fue prematura, </w:t>
      </w:r>
      <w:r w:rsidR="00F3506D" w:rsidRPr="00A80FCC">
        <w:rPr>
          <w:rFonts w:ascii="Arial" w:hAnsi="Arial" w:cs="Arial"/>
        </w:rPr>
        <w:t xml:space="preserve">por manera que es improcedente en razón a que </w:t>
      </w:r>
      <w:r w:rsidR="00F3506D">
        <w:rPr>
          <w:rFonts w:ascii="Arial" w:hAnsi="Arial" w:cs="Arial"/>
        </w:rPr>
        <w:t xml:space="preserve">la actuación </w:t>
      </w:r>
      <w:r w:rsidR="00F3506D" w:rsidRPr="00A80FCC">
        <w:rPr>
          <w:rFonts w:ascii="Arial" w:hAnsi="Arial" w:cs="Arial"/>
        </w:rPr>
        <w:t xml:space="preserve">en </w:t>
      </w:r>
      <w:r w:rsidR="00F3506D">
        <w:rPr>
          <w:rFonts w:ascii="Arial" w:hAnsi="Arial" w:cs="Arial"/>
        </w:rPr>
        <w:t>la</w:t>
      </w:r>
      <w:r w:rsidR="00F3506D" w:rsidRPr="00A80FCC">
        <w:rPr>
          <w:rFonts w:ascii="Arial" w:hAnsi="Arial" w:cs="Arial"/>
        </w:rPr>
        <w:t xml:space="preserve"> que se alega la vulneración aún </w:t>
      </w:r>
      <w:r w:rsidR="00F3506D">
        <w:rPr>
          <w:rFonts w:ascii="Arial" w:hAnsi="Arial" w:cs="Arial"/>
        </w:rPr>
        <w:t>estaba pendiente de ejecutoria</w:t>
      </w:r>
      <w:r w:rsidR="00F3506D" w:rsidRPr="00A80FCC">
        <w:rPr>
          <w:rFonts w:ascii="Arial" w:hAnsi="Arial" w:cs="Arial"/>
          <w:lang w:val="es-CO"/>
        </w:rPr>
        <w:t>.</w:t>
      </w:r>
      <w:r w:rsidR="00F3506D">
        <w:rPr>
          <w:rFonts w:ascii="Arial" w:hAnsi="Arial" w:cs="Arial"/>
          <w:lang w:val="es-CO"/>
        </w:rPr>
        <w:t xml:space="preserve"> </w:t>
      </w:r>
      <w:r w:rsidR="00281074">
        <w:rPr>
          <w:rFonts w:ascii="Arial" w:hAnsi="Arial" w:cs="Arial"/>
          <w:lang w:val="es-CO"/>
        </w:rPr>
        <w:t xml:space="preserve">El asunto está en trámite. </w:t>
      </w:r>
      <w:r w:rsidR="00F3506D" w:rsidRPr="00A80FCC">
        <w:rPr>
          <w:rFonts w:ascii="Arial" w:hAnsi="Arial" w:cs="Arial"/>
        </w:rPr>
        <w:t xml:space="preserve">Así lo ha dispuesto la jurisprudencia de la </w:t>
      </w:r>
      <w:r w:rsidR="00F3506D">
        <w:rPr>
          <w:rFonts w:ascii="Arial" w:hAnsi="Arial" w:cs="Arial"/>
        </w:rPr>
        <w:t>CC</w:t>
      </w:r>
      <w:r w:rsidR="00F3506D" w:rsidRPr="00A80FCC">
        <w:rPr>
          <w:rStyle w:val="Refdenotaalpie"/>
          <w:rFonts w:ascii="Arial" w:hAnsi="Arial"/>
        </w:rPr>
        <w:footnoteReference w:id="25"/>
      </w:r>
      <w:r w:rsidR="00F3506D" w:rsidRPr="00A80FCC">
        <w:rPr>
          <w:rFonts w:ascii="Arial" w:hAnsi="Arial" w:cs="Arial"/>
        </w:rPr>
        <w:t>, criterio también expuesto por la CSJ</w:t>
      </w:r>
      <w:r w:rsidR="00F3506D" w:rsidRPr="00A80FCC">
        <w:rPr>
          <w:rStyle w:val="Refdenotaalpie"/>
          <w:rFonts w:ascii="Arial" w:hAnsi="Arial"/>
        </w:rPr>
        <w:footnoteReference w:id="26"/>
      </w:r>
      <w:r w:rsidR="00F3506D">
        <w:rPr>
          <w:rFonts w:ascii="Arial" w:hAnsi="Arial" w:cs="Arial"/>
        </w:rPr>
        <w:t xml:space="preserve">. También, porque no se agotó el mecanismo ordinario de defensa con que </w:t>
      </w:r>
      <w:r w:rsidR="00281074">
        <w:rPr>
          <w:rFonts w:ascii="Arial" w:hAnsi="Arial" w:cs="Arial"/>
        </w:rPr>
        <w:t xml:space="preserve">se </w:t>
      </w:r>
      <w:r w:rsidR="00F3506D">
        <w:rPr>
          <w:rFonts w:ascii="Arial" w:hAnsi="Arial" w:cs="Arial"/>
        </w:rPr>
        <w:t xml:space="preserve">contaba, esto es, el recurso de reposición (Artículo 318, CGP). </w:t>
      </w:r>
    </w:p>
    <w:p w:rsidR="00F3506D" w:rsidRDefault="00F3506D" w:rsidP="00F3506D">
      <w:pPr>
        <w:spacing w:line="360" w:lineRule="auto"/>
        <w:ind w:right="51"/>
        <w:jc w:val="both"/>
        <w:rPr>
          <w:rFonts w:ascii="Arial" w:hAnsi="Arial" w:cs="Arial"/>
        </w:rPr>
      </w:pPr>
    </w:p>
    <w:p w:rsidR="00F3506D" w:rsidRDefault="00F3506D" w:rsidP="00F3506D">
      <w:pPr>
        <w:spacing w:line="360" w:lineRule="auto"/>
        <w:ind w:right="51"/>
        <w:jc w:val="both"/>
        <w:rPr>
          <w:rFonts w:ascii="Arial" w:hAnsi="Arial"/>
        </w:rPr>
      </w:pPr>
      <w:r>
        <w:rPr>
          <w:rFonts w:ascii="Arial" w:hAnsi="Arial"/>
        </w:rPr>
        <w:t xml:space="preserve">No se puede realizar un análisis flexible de este presupuesto, debido a que el accionante </w:t>
      </w:r>
      <w:r w:rsidRPr="008B43C6">
        <w:rPr>
          <w:rFonts w:ascii="Arial" w:hAnsi="Arial"/>
        </w:rPr>
        <w:t xml:space="preserve">nada arguyó y menos acreditó </w:t>
      </w:r>
      <w:r>
        <w:rPr>
          <w:rFonts w:ascii="Arial" w:hAnsi="Arial"/>
        </w:rPr>
        <w:t xml:space="preserve">para que se estimara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o que estaba en una situación de imposibilidad para </w:t>
      </w:r>
      <w:r>
        <w:rPr>
          <w:rFonts w:ascii="Arial" w:hAnsi="Arial" w:cs="Arial"/>
          <w:bCs/>
          <w:szCs w:val="22"/>
          <w:lang w:val="es-CO"/>
        </w:rPr>
        <w:t>agotar el recurso</w:t>
      </w:r>
      <w:r w:rsidRPr="008B43C6">
        <w:rPr>
          <w:rStyle w:val="Refdenotaalpie"/>
          <w:rFonts w:ascii="Arial" w:hAnsi="Arial"/>
          <w:bCs/>
          <w:szCs w:val="22"/>
          <w:lang w:val="es-CO"/>
        </w:rPr>
        <w:footnoteReference w:id="28"/>
      </w:r>
      <w:r>
        <w:rPr>
          <w:rFonts w:ascii="Arial" w:hAnsi="Arial" w:cs="Arial"/>
          <w:bCs/>
          <w:szCs w:val="22"/>
          <w:lang w:val="es-CO"/>
        </w:rPr>
        <w:t xml:space="preserve">, </w:t>
      </w:r>
      <w:r>
        <w:rPr>
          <w:rFonts w:ascii="Arial" w:hAnsi="Arial"/>
        </w:rPr>
        <w:t>por ende solo a la parte le es imputable tal descuido.</w:t>
      </w:r>
    </w:p>
    <w:p w:rsidR="00F3506D" w:rsidRDefault="00F3506D" w:rsidP="00F3506D">
      <w:pPr>
        <w:spacing w:line="360" w:lineRule="auto"/>
        <w:ind w:right="51"/>
        <w:jc w:val="both"/>
        <w:rPr>
          <w:rFonts w:ascii="Arial" w:hAnsi="Arial"/>
          <w:sz w:val="20"/>
        </w:rPr>
      </w:pPr>
    </w:p>
    <w:p w:rsidR="00872735" w:rsidRPr="006A154A" w:rsidRDefault="00872735" w:rsidP="00872735">
      <w:pPr>
        <w:pStyle w:val="Prrafodelista"/>
        <w:numPr>
          <w:ilvl w:val="1"/>
          <w:numId w:val="18"/>
        </w:numPr>
        <w:spacing w:line="360" w:lineRule="auto"/>
        <w:ind w:right="51"/>
        <w:jc w:val="both"/>
        <w:rPr>
          <w:rFonts w:ascii="Arial" w:hAnsi="Arial"/>
          <w:smallCaps/>
          <w:sz w:val="22"/>
          <w:szCs w:val="22"/>
        </w:rPr>
      </w:pPr>
      <w:r w:rsidRPr="006A154A">
        <w:rPr>
          <w:rFonts w:ascii="Arial" w:hAnsi="Arial"/>
          <w:smallCaps/>
          <w:sz w:val="22"/>
          <w:szCs w:val="22"/>
        </w:rPr>
        <w:t>La Inmediatez</w:t>
      </w:r>
    </w:p>
    <w:p w:rsidR="00872735" w:rsidRPr="00872735" w:rsidRDefault="00872735" w:rsidP="00872735">
      <w:pPr>
        <w:pStyle w:val="Prrafodelista"/>
        <w:spacing w:line="360" w:lineRule="auto"/>
        <w:ind w:left="720" w:right="51"/>
        <w:jc w:val="both"/>
        <w:rPr>
          <w:rFonts w:ascii="Arial" w:hAnsi="Arial"/>
          <w:sz w:val="20"/>
        </w:rPr>
      </w:pPr>
    </w:p>
    <w:p w:rsidR="006A154A" w:rsidRDefault="006A154A" w:rsidP="006A154A">
      <w:pPr>
        <w:widowControl/>
        <w:shd w:val="clear" w:color="auto" w:fill="FFFFFF" w:themeFill="background1"/>
        <w:spacing w:line="360" w:lineRule="auto"/>
        <w:jc w:val="both"/>
        <w:rPr>
          <w:rFonts w:ascii="Arial" w:hAnsi="Arial" w:cs="Arial"/>
        </w:rPr>
      </w:pPr>
      <w:r>
        <w:rPr>
          <w:rFonts w:ascii="Arial" w:hAnsi="Arial" w:cs="Arial"/>
          <w:lang w:val="es-ES_tradnl"/>
        </w:rPr>
        <w:t xml:space="preserve">Ahora, si la queja del amparo se dirige frente a la primera audiencia de pacto de cumplimiento practicada el 09-12-2015 (Folio 12, ib.), claramente la acción </w:t>
      </w:r>
      <w:r>
        <w:rPr>
          <w:rFonts w:ascii="Arial" w:hAnsi="Arial" w:cs="Arial"/>
        </w:rPr>
        <w:t xml:space="preserve">desborda el </w:t>
      </w:r>
      <w:r>
        <w:rPr>
          <w:rFonts w:ascii="Arial" w:hAnsi="Arial" w:cs="Arial"/>
        </w:rPr>
        <w:lastRenderedPageBreak/>
        <w:t>plazo de los seis (6) meses fijado por la jurisprudencia</w:t>
      </w:r>
      <w:r>
        <w:rPr>
          <w:rStyle w:val="Refdenotaalpie"/>
          <w:rFonts w:ascii="Arial" w:hAnsi="Arial" w:cs="Arial"/>
        </w:rPr>
        <w:footnoteReference w:id="29"/>
      </w:r>
      <w:r>
        <w:rPr>
          <w:rFonts w:ascii="Arial" w:hAnsi="Arial" w:cs="Arial"/>
          <w:vertAlign w:val="superscript"/>
          <w:lang w:val="es-ES_tradnl"/>
        </w:rPr>
        <w:t>-</w:t>
      </w:r>
      <w:r>
        <w:rPr>
          <w:rStyle w:val="Refdenotaalpie"/>
          <w:rFonts w:ascii="Arial" w:hAnsi="Arial"/>
          <w:lang w:val="es-ES_tradnl"/>
        </w:rPr>
        <w:footnoteReference w:id="30"/>
      </w:r>
      <w:r>
        <w:rPr>
          <w:rFonts w:ascii="Arial" w:hAnsi="Arial" w:cs="Arial"/>
        </w:rPr>
        <w:t xml:space="preserve">, como tiempo razonable, ya que han transcurrido más de un año (1) y siete (7) meses, desde esa actuación. </w:t>
      </w:r>
    </w:p>
    <w:p w:rsidR="006A154A" w:rsidRDefault="006A154A" w:rsidP="006A154A">
      <w:pPr>
        <w:spacing w:line="360" w:lineRule="auto"/>
        <w:jc w:val="both"/>
        <w:rPr>
          <w:rFonts w:ascii="Arial" w:hAnsi="Arial" w:cs="Arial"/>
        </w:rPr>
      </w:pPr>
    </w:p>
    <w:p w:rsidR="006A154A" w:rsidRDefault="006A154A" w:rsidP="006A154A">
      <w:pPr>
        <w:spacing w:line="360" w:lineRule="auto"/>
        <w:jc w:val="both"/>
        <w:rPr>
          <w:rFonts w:ascii="Arial" w:hAnsi="Arial" w:cs="Arial"/>
        </w:rPr>
      </w:pPr>
      <w:r>
        <w:rPr>
          <w:rFonts w:ascii="Arial" w:hAnsi="Arial" w:cs="Arial"/>
        </w:rPr>
        <w:t>Tampoco se puede hacer un análisis menos riguroso de este presupuesto porque el actor no probó, ni se alegó, que medió causa alguna de fuerza mayor o caso fortuito que le impidió gestionar su defensa a través de esta acción con mayor celeridad sin desconocer la inmediatez</w:t>
      </w:r>
      <w:r>
        <w:rPr>
          <w:rStyle w:val="Refdenotaalpie"/>
          <w:rFonts w:ascii="Arial" w:hAnsi="Arial"/>
        </w:rPr>
        <w:footnoteReference w:id="31"/>
      </w:r>
      <w:r>
        <w:rPr>
          <w:rFonts w:ascii="Arial" w:hAnsi="Arial" w:cs="Arial"/>
        </w:rPr>
        <w:t xml:space="preserve">. </w:t>
      </w:r>
    </w:p>
    <w:p w:rsidR="00872735" w:rsidRPr="00BE6965" w:rsidRDefault="00872735" w:rsidP="00872735">
      <w:pPr>
        <w:widowControl/>
        <w:shd w:val="clear" w:color="auto" w:fill="FFFFFF" w:themeFill="background1"/>
        <w:spacing w:line="360" w:lineRule="auto"/>
        <w:jc w:val="both"/>
        <w:rPr>
          <w:rFonts w:ascii="Arial" w:hAnsi="Arial" w:cs="Arial"/>
          <w:lang w:val="es-CO"/>
        </w:rPr>
      </w:pPr>
    </w:p>
    <w:p w:rsidR="00F3506D" w:rsidRPr="00B81F17" w:rsidRDefault="006A154A" w:rsidP="00F3506D">
      <w:pPr>
        <w:widowControl/>
        <w:spacing w:line="360" w:lineRule="auto"/>
        <w:jc w:val="both"/>
        <w:rPr>
          <w:rFonts w:ascii="Arial" w:hAnsi="Arial" w:cs="Arial"/>
          <w:iCs/>
          <w:bdr w:val="none" w:sz="0" w:space="0" w:color="auto" w:frame="1"/>
        </w:rPr>
      </w:pPr>
      <w:r>
        <w:rPr>
          <w:rFonts w:ascii="Arial" w:hAnsi="Arial" w:cs="Arial"/>
          <w:lang w:val="es-ES_tradnl"/>
        </w:rPr>
        <w:t xml:space="preserve">Se </w:t>
      </w:r>
      <w:r w:rsidR="00F3506D">
        <w:rPr>
          <w:rFonts w:ascii="Arial" w:hAnsi="Arial" w:cs="Arial"/>
          <w:lang w:val="es-ES_tradnl"/>
        </w:rPr>
        <w:t>incumple</w:t>
      </w:r>
      <w:r>
        <w:rPr>
          <w:rFonts w:ascii="Arial" w:hAnsi="Arial" w:cs="Arial"/>
          <w:lang w:val="es-ES_tradnl"/>
        </w:rPr>
        <w:t>n</w:t>
      </w:r>
      <w:r w:rsidR="00F3506D">
        <w:rPr>
          <w:rFonts w:ascii="Arial" w:hAnsi="Arial" w:cs="Arial"/>
          <w:lang w:val="es-ES_tradnl"/>
        </w:rPr>
        <w:t xml:space="preserve">, entonces, </w:t>
      </w:r>
      <w:r>
        <w:rPr>
          <w:rFonts w:ascii="Arial" w:hAnsi="Arial" w:cs="Arial"/>
          <w:lang w:val="es-ES_tradnl"/>
        </w:rPr>
        <w:t xml:space="preserve">dos </w:t>
      </w:r>
      <w:r w:rsidR="00F3506D" w:rsidRPr="00B81F17">
        <w:rPr>
          <w:rFonts w:ascii="Arial" w:hAnsi="Arial" w:cs="Arial"/>
          <w:lang w:val="es-ES_tradnl"/>
        </w:rPr>
        <w:t xml:space="preserve">de los siete (7) requisitos generales de </w:t>
      </w:r>
      <w:proofErr w:type="spellStart"/>
      <w:r w:rsidR="00F3506D" w:rsidRPr="00B81F17">
        <w:rPr>
          <w:rFonts w:ascii="Arial" w:hAnsi="Arial" w:cs="Arial"/>
          <w:lang w:val="es-ES_tradnl"/>
        </w:rPr>
        <w:t>procedibilidad</w:t>
      </w:r>
      <w:proofErr w:type="spellEnd"/>
      <w:r w:rsidR="00F3506D" w:rsidRPr="00B81F17">
        <w:rPr>
          <w:rFonts w:ascii="Arial" w:hAnsi="Arial" w:cs="Arial"/>
          <w:lang w:val="es-ES_tradnl"/>
        </w:rPr>
        <w:t xml:space="preserve">, como lo </w:t>
      </w:r>
      <w:r>
        <w:rPr>
          <w:rFonts w:ascii="Arial" w:hAnsi="Arial" w:cs="Arial"/>
          <w:lang w:val="es-ES_tradnl"/>
        </w:rPr>
        <w:t xml:space="preserve">son </w:t>
      </w:r>
      <w:r w:rsidR="00F3506D" w:rsidRPr="00B81F17">
        <w:rPr>
          <w:rFonts w:ascii="Arial" w:hAnsi="Arial" w:cs="Arial"/>
          <w:lang w:val="es-ES_tradnl"/>
        </w:rPr>
        <w:t>la subsidiariedad</w:t>
      </w:r>
      <w:r>
        <w:rPr>
          <w:rFonts w:ascii="Arial" w:hAnsi="Arial" w:cs="Arial"/>
          <w:lang w:val="es-ES_tradnl"/>
        </w:rPr>
        <w:t xml:space="preserve"> y la inmediatez</w:t>
      </w:r>
      <w:r w:rsidR="00F3506D" w:rsidRPr="00B81F17">
        <w:rPr>
          <w:rFonts w:ascii="Arial" w:hAnsi="Arial" w:cs="Arial"/>
          <w:lang w:val="es-ES_tradnl"/>
        </w:rPr>
        <w:t xml:space="preserve">, </w:t>
      </w:r>
      <w:r w:rsidR="00281074">
        <w:rPr>
          <w:rFonts w:ascii="Arial" w:hAnsi="Arial" w:cs="Arial"/>
          <w:lang w:val="es-ES_tradnl"/>
        </w:rPr>
        <w:t>por lo tanto, el asunto constitucional es improcedente</w:t>
      </w:r>
      <w:r w:rsidR="00F3506D" w:rsidRPr="00B81F17">
        <w:rPr>
          <w:rFonts w:ascii="Arial" w:hAnsi="Arial" w:cs="Arial"/>
          <w:iCs/>
          <w:bdr w:val="none" w:sz="0" w:space="0" w:color="auto" w:frame="1"/>
        </w:rPr>
        <w:t>.</w:t>
      </w:r>
    </w:p>
    <w:p w:rsidR="00D17F62" w:rsidRPr="00E9588E" w:rsidRDefault="00D17F62" w:rsidP="00D17F62">
      <w:pPr>
        <w:widowControl/>
        <w:spacing w:line="360" w:lineRule="auto"/>
        <w:jc w:val="both"/>
        <w:rPr>
          <w:rFonts w:ascii="Arial" w:hAnsi="Arial"/>
          <w:sz w:val="22"/>
          <w:lang w:val="es-CO"/>
        </w:rPr>
      </w:pPr>
    </w:p>
    <w:p w:rsidR="00D17F62" w:rsidRPr="004D4D2B" w:rsidRDefault="00D17F62" w:rsidP="00E9588E">
      <w:pPr>
        <w:pStyle w:val="Textoindependiente"/>
        <w:numPr>
          <w:ilvl w:val="0"/>
          <w:numId w:val="18"/>
        </w:numPr>
        <w:tabs>
          <w:tab w:val="clear" w:pos="708"/>
        </w:tabs>
        <w:spacing w:line="360" w:lineRule="auto"/>
        <w:ind w:left="567" w:hanging="567"/>
        <w:rPr>
          <w:rFonts w:ascii="Arial" w:hAnsi="Arial"/>
          <w:szCs w:val="24"/>
        </w:rPr>
      </w:pPr>
      <w:r w:rsidRPr="004D4D2B">
        <w:rPr>
          <w:rFonts w:ascii="Arial" w:hAnsi="Arial"/>
          <w:szCs w:val="24"/>
        </w:rPr>
        <w:t xml:space="preserve">LAS CONCLUSIONES </w:t>
      </w:r>
    </w:p>
    <w:p w:rsidR="00D17F62" w:rsidRPr="00E9588E" w:rsidRDefault="00D17F62" w:rsidP="00D17F62">
      <w:pPr>
        <w:pStyle w:val="Textoindependiente"/>
        <w:spacing w:line="360" w:lineRule="auto"/>
        <w:rPr>
          <w:rFonts w:ascii="Arial" w:hAnsi="Arial" w:cs="Arial"/>
          <w:sz w:val="22"/>
          <w:szCs w:val="24"/>
          <w:lang w:val="es-ES"/>
        </w:rPr>
      </w:pPr>
    </w:p>
    <w:p w:rsidR="00D17F62" w:rsidRDefault="00D17F62" w:rsidP="00D17F62">
      <w:pPr>
        <w:spacing w:line="360" w:lineRule="auto"/>
        <w:jc w:val="both"/>
        <w:rPr>
          <w:rFonts w:ascii="Arial" w:hAnsi="Arial" w:cs="Arial"/>
        </w:rPr>
      </w:pPr>
      <w:r w:rsidRPr="00842D42">
        <w:rPr>
          <w:rFonts w:ascii="Arial" w:hAnsi="Arial" w:cs="Arial"/>
        </w:rPr>
        <w:t>Con</w:t>
      </w:r>
      <w:r>
        <w:rPr>
          <w:rFonts w:ascii="Arial" w:hAnsi="Arial" w:cs="Arial"/>
        </w:rPr>
        <w:t xml:space="preserve"> </w:t>
      </w:r>
      <w:r w:rsidRPr="00842D42">
        <w:rPr>
          <w:rFonts w:ascii="Arial" w:hAnsi="Arial" w:cs="Arial"/>
        </w:rPr>
        <w:t>fundamento en las consideraciones</w:t>
      </w:r>
      <w:r>
        <w:rPr>
          <w:rFonts w:ascii="Arial" w:hAnsi="Arial" w:cs="Arial"/>
        </w:rPr>
        <w:t xml:space="preserve"> </w:t>
      </w:r>
      <w:r w:rsidRPr="00842D42">
        <w:rPr>
          <w:rFonts w:ascii="Arial" w:hAnsi="Arial" w:cs="Arial"/>
        </w:rPr>
        <w:t>expuestas</w:t>
      </w:r>
      <w:r>
        <w:rPr>
          <w:rFonts w:ascii="Arial" w:hAnsi="Arial" w:cs="Arial"/>
        </w:rPr>
        <w:t xml:space="preserve"> se </w:t>
      </w:r>
      <w:r w:rsidR="00281074">
        <w:rPr>
          <w:rFonts w:ascii="Arial" w:hAnsi="Arial" w:cs="Arial"/>
        </w:rPr>
        <w:t xml:space="preserve">declarará improcedente </w:t>
      </w:r>
      <w:r>
        <w:rPr>
          <w:rFonts w:ascii="Arial" w:hAnsi="Arial" w:cs="Arial"/>
        </w:rPr>
        <w:t xml:space="preserve">la tutela contra el Juzgado </w:t>
      </w:r>
      <w:r w:rsidR="00281074">
        <w:rPr>
          <w:rFonts w:ascii="Arial" w:hAnsi="Arial" w:cs="Arial"/>
        </w:rPr>
        <w:t>Cuarto Civil del Circuito de Pereira, por el incumplimiento del presupuesto de la subsidiariedad.</w:t>
      </w:r>
    </w:p>
    <w:p w:rsidR="00D17F62" w:rsidRPr="00E9588E" w:rsidRDefault="00D17F62" w:rsidP="00D17F62">
      <w:pPr>
        <w:pStyle w:val="Textoindependiente"/>
        <w:tabs>
          <w:tab w:val="clear" w:pos="708"/>
        </w:tabs>
        <w:spacing w:line="360" w:lineRule="auto"/>
        <w:rPr>
          <w:rFonts w:ascii="Arial" w:hAnsi="Arial" w:cs="Arial"/>
          <w:sz w:val="22"/>
          <w:szCs w:val="24"/>
          <w:lang w:val="es-CO"/>
        </w:rPr>
      </w:pPr>
    </w:p>
    <w:p w:rsidR="00D17F62" w:rsidRPr="00A30437" w:rsidRDefault="00D17F62" w:rsidP="00D17F62">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D17F62" w:rsidRPr="003F6C16" w:rsidRDefault="00D17F62" w:rsidP="00D17F62">
      <w:pPr>
        <w:tabs>
          <w:tab w:val="left" w:pos="-720"/>
        </w:tabs>
        <w:suppressAutoHyphens/>
        <w:spacing w:line="360" w:lineRule="auto"/>
        <w:jc w:val="both"/>
        <w:rPr>
          <w:rFonts w:ascii="Arial" w:hAnsi="Arial" w:cs="Arial"/>
          <w:sz w:val="4"/>
        </w:rPr>
      </w:pPr>
    </w:p>
    <w:p w:rsidR="00D17F62" w:rsidRPr="009D5231" w:rsidRDefault="00D17F62" w:rsidP="00D17F62">
      <w:pPr>
        <w:pStyle w:val="Textoindependiente"/>
        <w:spacing w:line="360" w:lineRule="auto"/>
        <w:jc w:val="center"/>
        <w:rPr>
          <w:rFonts w:ascii="Arial" w:hAnsi="Arial" w:cs="Arial"/>
          <w:bCs/>
          <w:smallCaps/>
          <w:sz w:val="2"/>
          <w:szCs w:val="24"/>
        </w:rPr>
      </w:pPr>
    </w:p>
    <w:p w:rsidR="00D17F62" w:rsidRPr="004D4D2B" w:rsidRDefault="00D17F62" w:rsidP="00D17F62">
      <w:pPr>
        <w:pStyle w:val="Textoindependiente"/>
        <w:spacing w:line="360" w:lineRule="auto"/>
        <w:jc w:val="center"/>
        <w:rPr>
          <w:rFonts w:ascii="Arial" w:hAnsi="Arial" w:cs="Arial"/>
          <w:bCs/>
          <w:smallCaps/>
          <w:szCs w:val="24"/>
        </w:rPr>
      </w:pPr>
      <w:r w:rsidRPr="004D4D2B">
        <w:rPr>
          <w:rFonts w:ascii="Arial" w:hAnsi="Arial" w:cs="Arial"/>
          <w:bCs/>
          <w:smallCaps/>
          <w:szCs w:val="24"/>
        </w:rPr>
        <w:t xml:space="preserve">F A L </w:t>
      </w:r>
      <w:proofErr w:type="spellStart"/>
      <w:r w:rsidRPr="004D4D2B">
        <w:rPr>
          <w:rFonts w:ascii="Arial" w:hAnsi="Arial" w:cs="Arial"/>
          <w:bCs/>
          <w:smallCaps/>
          <w:szCs w:val="24"/>
        </w:rPr>
        <w:t>L</w:t>
      </w:r>
      <w:proofErr w:type="spellEnd"/>
      <w:r w:rsidRPr="004D4D2B">
        <w:rPr>
          <w:rFonts w:ascii="Arial" w:hAnsi="Arial" w:cs="Arial"/>
          <w:bCs/>
          <w:smallCaps/>
          <w:szCs w:val="24"/>
        </w:rPr>
        <w:t xml:space="preserve"> A,</w:t>
      </w:r>
    </w:p>
    <w:p w:rsidR="00D17F62" w:rsidRPr="00E9588E" w:rsidRDefault="00D17F62" w:rsidP="00D17F62">
      <w:pPr>
        <w:pStyle w:val="Textoindependiente"/>
        <w:spacing w:line="360" w:lineRule="auto"/>
        <w:jc w:val="center"/>
        <w:rPr>
          <w:rFonts w:ascii="Arial" w:hAnsi="Arial" w:cs="Arial"/>
          <w:bCs/>
          <w:smallCaps/>
          <w:sz w:val="18"/>
          <w:szCs w:val="24"/>
        </w:rPr>
      </w:pPr>
    </w:p>
    <w:p w:rsidR="00EE7B2A" w:rsidRDefault="00281074" w:rsidP="00EE7B2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DECLARAR IMPROCEDENTE</w:t>
      </w:r>
      <w:r w:rsidR="0037045F">
        <w:rPr>
          <w:rFonts w:ascii="Arial" w:hAnsi="Arial"/>
        </w:rPr>
        <w:t xml:space="preserve"> </w:t>
      </w:r>
      <w:r w:rsidR="00D17F62" w:rsidRPr="004D4D2B">
        <w:rPr>
          <w:rFonts w:ascii="Arial" w:hAnsi="Arial" w:cs="Arial"/>
        </w:rPr>
        <w:t xml:space="preserve">la tutela propuesta por el señor Javier Elías Arias </w:t>
      </w:r>
      <w:proofErr w:type="spellStart"/>
      <w:r w:rsidR="00D17F62" w:rsidRPr="004D4D2B">
        <w:rPr>
          <w:rFonts w:ascii="Arial" w:hAnsi="Arial" w:cs="Arial"/>
        </w:rPr>
        <w:t>Idárraga</w:t>
      </w:r>
      <w:proofErr w:type="spellEnd"/>
      <w:r w:rsidR="00D17F62" w:rsidRPr="004D4D2B">
        <w:rPr>
          <w:rFonts w:ascii="Arial" w:hAnsi="Arial" w:cs="Arial"/>
        </w:rPr>
        <w:t xml:space="preserve"> contra el Juzgado</w:t>
      </w:r>
      <w:r w:rsidR="00E46928">
        <w:rPr>
          <w:rFonts w:ascii="Arial" w:hAnsi="Arial" w:cs="Arial"/>
        </w:rPr>
        <w:t xml:space="preserve"> </w:t>
      </w:r>
      <w:r>
        <w:rPr>
          <w:rFonts w:ascii="Arial" w:hAnsi="Arial" w:cs="Arial"/>
        </w:rPr>
        <w:t>Cuarto Civil del Circuito de Pereira</w:t>
      </w:r>
      <w:r w:rsidR="0037045F">
        <w:rPr>
          <w:rFonts w:ascii="Arial" w:hAnsi="Arial" w:cs="Arial"/>
        </w:rPr>
        <w:t>.</w:t>
      </w:r>
    </w:p>
    <w:p w:rsidR="00E9588E" w:rsidRPr="00E9588E" w:rsidRDefault="00E9588E" w:rsidP="00E9588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D17F62" w:rsidRPr="004D4D2B" w:rsidRDefault="00D17F62" w:rsidP="00D17F6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4D2B">
        <w:rPr>
          <w:rFonts w:ascii="Arial" w:hAnsi="Arial" w:cs="Arial"/>
        </w:rPr>
        <w:t>NOTIFICAR esta decisión a todas las partes, por el medio más expedito y eficaz.</w:t>
      </w:r>
    </w:p>
    <w:p w:rsidR="00E9588E" w:rsidRPr="00E9588E" w:rsidRDefault="00E9588E" w:rsidP="00E9588E">
      <w:pPr>
        <w:pStyle w:val="Textoindependiente"/>
        <w:tabs>
          <w:tab w:val="clear" w:pos="708"/>
        </w:tabs>
        <w:spacing w:line="360" w:lineRule="auto"/>
        <w:ind w:left="360"/>
        <w:rPr>
          <w:rFonts w:ascii="Arial" w:hAnsi="Arial" w:cs="Arial"/>
          <w:sz w:val="20"/>
          <w:szCs w:val="24"/>
        </w:rPr>
      </w:pPr>
    </w:p>
    <w:p w:rsidR="00D17F62" w:rsidRPr="004D4D2B" w:rsidRDefault="00D17F62" w:rsidP="00D17F62">
      <w:pPr>
        <w:pStyle w:val="Textoindependiente"/>
        <w:numPr>
          <w:ilvl w:val="0"/>
          <w:numId w:val="6"/>
        </w:numPr>
        <w:tabs>
          <w:tab w:val="clear" w:pos="720"/>
          <w:tab w:val="num" w:pos="360"/>
        </w:tabs>
        <w:spacing w:line="360" w:lineRule="auto"/>
        <w:ind w:left="360"/>
        <w:rPr>
          <w:rFonts w:ascii="Arial" w:hAnsi="Arial" w:cs="Arial"/>
          <w:szCs w:val="24"/>
        </w:rPr>
      </w:pPr>
      <w:r w:rsidRPr="004D4D2B">
        <w:rPr>
          <w:rFonts w:ascii="Arial" w:hAnsi="Arial" w:cs="Arial"/>
          <w:szCs w:val="24"/>
        </w:rPr>
        <w:t>REMITIR este expediente, a la Corte Constitucional para su eventual revisión, de no ser impugnada.</w:t>
      </w:r>
    </w:p>
    <w:p w:rsidR="00E9588E" w:rsidRPr="00E9588E" w:rsidRDefault="00E9588E" w:rsidP="00E9588E">
      <w:pPr>
        <w:pStyle w:val="Prrafodelista"/>
        <w:widowControl/>
        <w:autoSpaceDE/>
        <w:autoSpaceDN/>
        <w:adjustRightInd/>
        <w:spacing w:line="360" w:lineRule="auto"/>
        <w:ind w:left="360" w:right="51"/>
        <w:contextualSpacing/>
        <w:jc w:val="both"/>
        <w:rPr>
          <w:rFonts w:ascii="Arial" w:hAnsi="Arial"/>
          <w:sz w:val="20"/>
        </w:rPr>
      </w:pPr>
    </w:p>
    <w:p w:rsidR="00D17F62" w:rsidRPr="004D4D2B" w:rsidRDefault="00D17F62" w:rsidP="00D17F6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4D4D2B">
        <w:rPr>
          <w:rFonts w:ascii="Arial" w:hAnsi="Arial" w:cs="Arial"/>
        </w:rPr>
        <w:t>ORDENAR el archivo del expediente, surtidos los trámites anteriores.</w:t>
      </w:r>
    </w:p>
    <w:p w:rsidR="00D17F62" w:rsidRDefault="00D17F62" w:rsidP="00D17F62">
      <w:pPr>
        <w:pStyle w:val="Prrafodelista"/>
        <w:widowControl/>
        <w:autoSpaceDE/>
        <w:autoSpaceDN/>
        <w:adjustRightInd/>
        <w:spacing w:line="360" w:lineRule="auto"/>
        <w:ind w:left="360" w:right="51"/>
        <w:contextualSpacing/>
        <w:jc w:val="both"/>
        <w:rPr>
          <w:rFonts w:ascii="Arial" w:hAnsi="Arial"/>
          <w:sz w:val="10"/>
        </w:rPr>
      </w:pPr>
    </w:p>
    <w:p w:rsidR="00281074" w:rsidRPr="00E9588E" w:rsidRDefault="00281074" w:rsidP="00D17F62">
      <w:pPr>
        <w:pStyle w:val="Prrafodelista"/>
        <w:widowControl/>
        <w:autoSpaceDE/>
        <w:autoSpaceDN/>
        <w:adjustRightInd/>
        <w:spacing w:line="360" w:lineRule="auto"/>
        <w:ind w:left="360" w:right="51"/>
        <w:contextualSpacing/>
        <w:jc w:val="both"/>
        <w:rPr>
          <w:rFonts w:ascii="Arial" w:hAnsi="Arial"/>
          <w:sz w:val="10"/>
        </w:rPr>
      </w:pPr>
    </w:p>
    <w:p w:rsidR="00D17F62" w:rsidRPr="009D5231" w:rsidRDefault="00D17F62" w:rsidP="00D17F62">
      <w:pPr>
        <w:pStyle w:val="Textoindependien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D17F62" w:rsidRPr="00460956" w:rsidRDefault="00D17F62" w:rsidP="00D17F62">
      <w:pPr>
        <w:pStyle w:val="Textoindependiente"/>
        <w:spacing w:line="360" w:lineRule="auto"/>
        <w:jc w:val="center"/>
        <w:rPr>
          <w:rFonts w:ascii="Arial" w:hAnsi="Arial"/>
          <w:smallCaps/>
          <w:sz w:val="44"/>
          <w:szCs w:val="24"/>
          <w:lang w:val="es-CO"/>
        </w:rPr>
      </w:pPr>
    </w:p>
    <w:p w:rsidR="00D17F62" w:rsidRPr="00460956" w:rsidRDefault="00D17F62" w:rsidP="00D17F62">
      <w:pPr>
        <w:pStyle w:val="Textoindependiente"/>
        <w:spacing w:line="360" w:lineRule="auto"/>
        <w:jc w:val="center"/>
        <w:rPr>
          <w:rFonts w:ascii="Arial" w:hAnsi="Arial"/>
          <w:smallCaps/>
          <w:sz w:val="18"/>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lastRenderedPageBreak/>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4"/>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D17F62"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Pr>
          <w:rFonts w:ascii="Arial" w:hAnsi="Arial" w:cs="Arial"/>
          <w:w w:val="150"/>
          <w:sz w:val="18"/>
          <w:lang w:val="en-GB"/>
        </w:rPr>
        <w:t xml:space="preserve">  </w:t>
      </w:r>
    </w:p>
    <w:p w:rsidR="00CF0ADC" w:rsidRDefault="00CF0ADC" w:rsidP="00CF0ADC">
      <w:pPr>
        <w:pStyle w:val="Textoindependiente"/>
        <w:spacing w:line="360" w:lineRule="auto"/>
        <w:rPr>
          <w:rFonts w:ascii="Arial" w:hAnsi="Arial" w:cs="Arial"/>
          <w:sz w:val="20"/>
          <w:szCs w:val="24"/>
        </w:rPr>
      </w:pP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E9588E">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62" w:rsidRDefault="00506562" w:rsidP="0099045D">
      <w:r>
        <w:separator/>
      </w:r>
    </w:p>
  </w:endnote>
  <w:endnote w:type="continuationSeparator" w:id="0">
    <w:p w:rsidR="00506562" w:rsidRDefault="0050656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E9588E" w:rsidRDefault="00800180"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62" w:rsidRDefault="00506562" w:rsidP="0099045D">
      <w:r>
        <w:separator/>
      </w:r>
    </w:p>
  </w:footnote>
  <w:footnote w:type="continuationSeparator" w:id="0">
    <w:p w:rsidR="00506562" w:rsidRDefault="00506562" w:rsidP="0099045D">
      <w:r>
        <w:continuationSeparator/>
      </w:r>
    </w:p>
  </w:footnote>
  <w:footnote w:id="1">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616BA6" w:rsidRPr="00E17BD7" w:rsidRDefault="00616BA6" w:rsidP="00616BA6">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616BA6" w:rsidRPr="00D65FBA" w:rsidRDefault="00616BA6" w:rsidP="00616BA6">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616BA6" w:rsidRPr="00E17BD7" w:rsidRDefault="00616BA6" w:rsidP="00616BA6">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616BA6" w:rsidRPr="00E17BD7" w:rsidRDefault="00616BA6" w:rsidP="00616BA6">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616BA6" w:rsidRPr="00E17BD7" w:rsidRDefault="00616BA6" w:rsidP="00616B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616BA6" w:rsidRDefault="00616BA6" w:rsidP="00616BA6">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616BA6" w:rsidRDefault="00616BA6" w:rsidP="00616BA6">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616BA6" w:rsidRDefault="00616BA6" w:rsidP="00616BA6">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4">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872735" w:rsidRPr="00E86200" w:rsidRDefault="00872735" w:rsidP="00872735">
      <w:pPr>
        <w:pStyle w:val="Textonotapie"/>
        <w:jc w:val="both"/>
        <w:rPr>
          <w:rFonts w:ascii="Calibri" w:hAnsi="Calibri"/>
        </w:rPr>
      </w:pPr>
      <w:r w:rsidRPr="00E86200">
        <w:rPr>
          <w:rStyle w:val="Refdenotaalpie"/>
          <w:rFonts w:ascii="Calibri" w:hAnsi="Calibri" w:cs="Calibri"/>
        </w:rPr>
        <w:footnoteRef/>
      </w:r>
      <w:r w:rsidRPr="00E86200">
        <w:rPr>
          <w:rFonts w:ascii="Calibri" w:hAnsi="Calibri" w:cs="Calibri"/>
          <w:lang w:val="es-CO"/>
        </w:rPr>
        <w:t xml:space="preserve"> </w:t>
      </w:r>
      <w:r w:rsidRPr="00E86200">
        <w:rPr>
          <w:rFonts w:ascii="Calibri" w:hAnsi="Calibri" w:cs="Calibri"/>
        </w:rPr>
        <w:t xml:space="preserve">CC. SU-961 de 1999, </w:t>
      </w:r>
      <w:r w:rsidRPr="00E86200">
        <w:rPr>
          <w:rFonts w:ascii="Calibri" w:hAnsi="Calibri" w:cs="Calibri"/>
          <w:lang w:val="es-CO"/>
        </w:rPr>
        <w:t>T-890 de 2006, T-548 de 2011 y T-172 de 2013.</w:t>
      </w:r>
    </w:p>
  </w:footnote>
  <w:footnote w:id="16">
    <w:p w:rsidR="00872735" w:rsidRPr="00825F31" w:rsidRDefault="00872735" w:rsidP="00872735">
      <w:pPr>
        <w:pStyle w:val="Textonotapie"/>
        <w:jc w:val="both"/>
        <w:rPr>
          <w:rFonts w:ascii="Calibri" w:hAnsi="Calibri"/>
        </w:rPr>
      </w:pPr>
      <w:r w:rsidRPr="00825F31">
        <w:rPr>
          <w:rStyle w:val="Refdenotaalpie"/>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7">
    <w:p w:rsidR="00872735" w:rsidRPr="00422741" w:rsidRDefault="00872735" w:rsidP="00872735">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sidRPr="00E86200">
        <w:rPr>
          <w:rFonts w:ascii="Calibri" w:hAnsi="Calibri" w:cs="Calibri"/>
        </w:rPr>
        <w:t>CC</w:t>
      </w:r>
      <w:r w:rsidRPr="00422741">
        <w:rPr>
          <w:rFonts w:ascii="Calibri" w:hAnsi="Calibri" w:cs="Calibri"/>
          <w:lang w:val="es-CO"/>
        </w:rPr>
        <w:t>. T-1079 de 2008.</w:t>
      </w:r>
    </w:p>
  </w:footnote>
  <w:footnote w:id="18">
    <w:p w:rsidR="00872735" w:rsidRPr="00E501C4" w:rsidRDefault="00872735" w:rsidP="00872735">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CSJ, Civil</w:t>
      </w:r>
      <w:r>
        <w:rPr>
          <w:rFonts w:ascii="Calibri" w:hAnsi="Calibri"/>
          <w:lang w:val="es-CO"/>
        </w:rPr>
        <w:t>.</w:t>
      </w:r>
      <w:r w:rsidRPr="00422741">
        <w:rPr>
          <w:rFonts w:ascii="Calibri" w:hAnsi="Calibri"/>
          <w:lang w:val="es-CO"/>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9">
    <w:p w:rsidR="00872735" w:rsidRPr="00E86200" w:rsidRDefault="00872735" w:rsidP="0087273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T-016 de 2006.</w:t>
      </w:r>
    </w:p>
  </w:footnote>
  <w:footnote w:id="20">
    <w:p w:rsidR="00872735" w:rsidRPr="00E86200" w:rsidRDefault="00872735" w:rsidP="0087273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21">
    <w:p w:rsidR="00872735" w:rsidRPr="00E86200" w:rsidRDefault="00872735" w:rsidP="00872735">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22">
    <w:p w:rsidR="00872735" w:rsidRPr="006504DF" w:rsidRDefault="00872735" w:rsidP="00872735">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Pr>
          <w:rFonts w:ascii="Calibri" w:hAnsi="Calibri" w:cs="Calibri"/>
          <w:lang w:val="es-CO"/>
        </w:rPr>
        <w:t xml:space="preserve">. T-323, </w:t>
      </w:r>
      <w:r w:rsidRPr="006504DF">
        <w:rPr>
          <w:rFonts w:ascii="Calibri" w:hAnsi="Calibri" w:cs="Calibri"/>
          <w:lang w:val="es-CO"/>
        </w:rPr>
        <w:t>SU 499 de 2016</w:t>
      </w:r>
      <w:r>
        <w:rPr>
          <w:rFonts w:ascii="Calibri" w:hAnsi="Calibri" w:cs="Calibri"/>
          <w:lang w:val="es-CO"/>
        </w:rPr>
        <w:t xml:space="preserve"> y T137 de 2017</w:t>
      </w:r>
      <w:r w:rsidRPr="006504DF">
        <w:rPr>
          <w:rFonts w:ascii="Calibri" w:hAnsi="Calibri" w:cs="Calibri"/>
        </w:rPr>
        <w:t>.</w:t>
      </w:r>
      <w:r>
        <w:rPr>
          <w:rFonts w:ascii="Calibri" w:hAnsi="Calibri" w:cs="Calibri"/>
        </w:rPr>
        <w:t xml:space="preserve"> </w:t>
      </w:r>
    </w:p>
  </w:footnote>
  <w:footnote w:id="23">
    <w:p w:rsidR="00616BA6" w:rsidRDefault="00616BA6" w:rsidP="00616BA6">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24">
    <w:p w:rsidR="00872735" w:rsidRPr="006504DF" w:rsidRDefault="00872735" w:rsidP="00872735">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Pr>
          <w:rFonts w:ascii="Calibri" w:hAnsi="Calibri" w:cs="Calibri"/>
          <w:lang w:val="es-CO"/>
        </w:rPr>
        <w:t xml:space="preserve">. T-323, </w:t>
      </w:r>
      <w:r w:rsidRPr="006504DF">
        <w:rPr>
          <w:rFonts w:ascii="Calibri" w:hAnsi="Calibri" w:cs="Calibri"/>
          <w:lang w:val="es-CO"/>
        </w:rPr>
        <w:t>SU 499 de 2016</w:t>
      </w:r>
      <w:r>
        <w:rPr>
          <w:rFonts w:ascii="Calibri" w:hAnsi="Calibri" w:cs="Calibri"/>
          <w:lang w:val="es-CO"/>
        </w:rPr>
        <w:t xml:space="preserve"> y T137 de 2017</w:t>
      </w:r>
      <w:r w:rsidRPr="006504DF">
        <w:rPr>
          <w:rFonts w:ascii="Calibri" w:hAnsi="Calibri" w:cs="Calibri"/>
        </w:rPr>
        <w:t>.</w:t>
      </w:r>
      <w:r>
        <w:rPr>
          <w:rFonts w:ascii="Calibri" w:hAnsi="Calibri" w:cs="Calibri"/>
        </w:rPr>
        <w:t xml:space="preserve"> </w:t>
      </w:r>
    </w:p>
  </w:footnote>
  <w:footnote w:id="25">
    <w:p w:rsidR="00F3506D" w:rsidRDefault="00F3506D" w:rsidP="00F3506D">
      <w:pPr>
        <w:pStyle w:val="Textonotapie"/>
        <w:jc w:val="both"/>
        <w:rPr>
          <w:rFonts w:ascii="Calibri" w:hAnsi="Calibri"/>
          <w:lang w:val="es-CO"/>
        </w:rPr>
      </w:pPr>
      <w:r>
        <w:rPr>
          <w:rStyle w:val="Refdenotaalpie"/>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w:t>
      </w:r>
      <w:r w:rsidRPr="004A1680">
        <w:rPr>
          <w:rFonts w:ascii="Calibri" w:hAnsi="Calibri"/>
          <w:i/>
          <w:sz w:val="18"/>
          <w:lang w:val="es-CO"/>
        </w:rPr>
        <w:t xml:space="preserve">“(…) </w:t>
      </w:r>
      <w:r w:rsidRPr="004A1680">
        <w:rPr>
          <w:rFonts w:ascii="Calibri" w:hAnsi="Calibri"/>
          <w:i/>
          <w:sz w:val="18"/>
        </w:rPr>
        <w:t xml:space="preserve">que el principio de subsidiariedad de la acción de tutela envuelve tres características importantes que llevan a su improcedencia contra providencias judiciales, a saber: (i) </w:t>
      </w:r>
      <w:r w:rsidRPr="004A1680">
        <w:rPr>
          <w:rFonts w:ascii="Calibri" w:hAnsi="Calibri"/>
          <w:i/>
          <w:sz w:val="18"/>
          <w:u w:val="single"/>
        </w:rPr>
        <w:t>el asunto está en trámite</w:t>
      </w:r>
      <w:r w:rsidRPr="004A1680">
        <w:rPr>
          <w:rFonts w:ascii="Calibri" w:hAnsi="Calibri"/>
          <w:i/>
          <w:sz w:val="18"/>
        </w:rPr>
        <w:t>; (ii) no se han agotado los medios de defensa judicial ordinarios y extraordinarios; y (iii) se usa para revivir etapas procesales en donde se dejaron de emplear los recursos previstos en el ordenamiento jurídico (…)”</w:t>
      </w:r>
      <w:r w:rsidRPr="004A1680">
        <w:rPr>
          <w:rFonts w:ascii="Calibri" w:hAnsi="Calibri"/>
          <w:sz w:val="18"/>
          <w:lang w:val="es-CO"/>
        </w:rPr>
        <w:t xml:space="preserve"> </w:t>
      </w:r>
    </w:p>
  </w:footnote>
  <w:footnote w:id="26">
    <w:p w:rsidR="00F3506D" w:rsidRDefault="00F3506D" w:rsidP="00F3506D">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STC3950-2016.</w:t>
      </w:r>
    </w:p>
  </w:footnote>
  <w:footnote w:id="27">
    <w:p w:rsidR="00F3506D" w:rsidRPr="008B43C6" w:rsidRDefault="00F3506D" w:rsidP="00F3506D">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8">
    <w:p w:rsidR="00F3506D" w:rsidRPr="008B43C6" w:rsidRDefault="00F3506D" w:rsidP="00F3506D">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9">
    <w:p w:rsidR="006A154A" w:rsidRPr="006504DF" w:rsidRDefault="006A154A" w:rsidP="006A154A">
      <w:pPr>
        <w:pStyle w:val="Textonotapie"/>
        <w:rPr>
          <w:rFonts w:asciiTheme="minorHAnsi" w:hAnsiTheme="minorHAnsi"/>
        </w:rPr>
      </w:pPr>
      <w:r w:rsidRPr="006504DF">
        <w:rPr>
          <w:rStyle w:val="Refdenotaalpie"/>
          <w:rFonts w:asciiTheme="minorHAnsi" w:hAnsiTheme="minorHAnsi" w:cs="Calibri"/>
        </w:rPr>
        <w:footnoteRef/>
      </w:r>
      <w:r w:rsidRPr="006504DF">
        <w:rPr>
          <w:rFonts w:asciiTheme="minorHAnsi" w:hAnsiTheme="minorHAnsi" w:cs="Calibri"/>
        </w:rPr>
        <w:t xml:space="preserve"> CC</w:t>
      </w:r>
      <w:r w:rsidRPr="006504DF">
        <w:rPr>
          <w:rFonts w:asciiTheme="minorHAnsi" w:hAnsiTheme="minorHAnsi" w:cs="Calibri"/>
          <w:lang w:val="es-CO"/>
        </w:rPr>
        <w:t>. T-323 de 2016</w:t>
      </w:r>
      <w:r w:rsidRPr="006504DF">
        <w:rPr>
          <w:rFonts w:asciiTheme="minorHAnsi" w:hAnsiTheme="minorHAnsi" w:cs="Calibri"/>
        </w:rPr>
        <w:t>.</w:t>
      </w:r>
    </w:p>
  </w:footnote>
  <w:footnote w:id="30">
    <w:p w:rsidR="006A154A" w:rsidRDefault="006A154A" w:rsidP="006A154A">
      <w:pPr>
        <w:pStyle w:val="Textonotapie"/>
        <w:rPr>
          <w:lang w:val="es-CO"/>
        </w:rPr>
      </w:pPr>
      <w:r w:rsidRPr="006504DF">
        <w:rPr>
          <w:rStyle w:val="Refdenotaalpie"/>
        </w:rPr>
        <w:footnoteRef/>
      </w:r>
      <w:r w:rsidRPr="006504DF">
        <w:t xml:space="preserve"> </w:t>
      </w:r>
      <w:r w:rsidRPr="006504DF">
        <w:rPr>
          <w:rFonts w:ascii="Calibri" w:hAnsi="Calibri" w:cs="Courier New"/>
        </w:rPr>
        <w:t xml:space="preserve">CC. </w:t>
      </w:r>
      <w:hyperlink r:id="rId1" w:history="1">
        <w:r w:rsidRPr="006504DF">
          <w:rPr>
            <w:rStyle w:val="Hipervnculo"/>
            <w:rFonts w:ascii="Calibri" w:hAnsi="Calibri" w:cs="Courier New"/>
            <w:color w:val="auto"/>
            <w:u w:val="none"/>
          </w:rPr>
          <w:t>SU-499 de 2016</w:t>
        </w:r>
      </w:hyperlink>
      <w:r w:rsidRPr="006504DF">
        <w:rPr>
          <w:rStyle w:val="Hipervnculo"/>
          <w:rFonts w:ascii="Calibri" w:hAnsi="Calibri" w:cs="Courier New"/>
          <w:color w:val="auto"/>
          <w:u w:val="none"/>
        </w:rPr>
        <w:t>.</w:t>
      </w:r>
    </w:p>
  </w:footnote>
  <w:footnote w:id="31">
    <w:p w:rsidR="006A154A" w:rsidRDefault="006A154A" w:rsidP="006A154A">
      <w:pPr>
        <w:pStyle w:val="Textonotapie"/>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cs="Calibri"/>
          <w:lang w:val="es-CO"/>
        </w:rPr>
        <w:t>CC.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26" w:rsidRPr="006414F7" w:rsidRDefault="000A2D26" w:rsidP="000A2D26">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47007">
      <w:rPr>
        <w:rFonts w:ascii="Calibri" w:hAnsi="Calibri" w:cs="Calibri"/>
        <w:i/>
        <w:noProof/>
        <w:sz w:val="20"/>
      </w:rPr>
      <w:t>9</w:t>
    </w:r>
    <w:r w:rsidRPr="006414F7">
      <w:rPr>
        <w:rFonts w:ascii="Calibri" w:hAnsi="Calibri" w:cs="Calibri"/>
        <w:i/>
        <w:sz w:val="20"/>
      </w:rPr>
      <w:fldChar w:fldCharType="end"/>
    </w:r>
  </w:p>
  <w:p w:rsidR="000A2D26" w:rsidRPr="006414F7" w:rsidRDefault="000A2D26" w:rsidP="000A2D26">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w:t>
    </w:r>
    <w:r w:rsidR="002601FB">
      <w:rPr>
        <w:rFonts w:ascii="Calibri" w:hAnsi="Calibri" w:cs="Calibri"/>
        <w:i/>
        <w:sz w:val="20"/>
        <w:szCs w:val="22"/>
      </w:rPr>
      <w:t>00695</w:t>
    </w:r>
    <w:r>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9C88DC4"/>
    <w:lvl w:ilvl="0">
      <w:start w:val="6"/>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2D26"/>
    <w:rsid w:val="000A40B6"/>
    <w:rsid w:val="000A537E"/>
    <w:rsid w:val="000A5381"/>
    <w:rsid w:val="000A59B5"/>
    <w:rsid w:val="000A5BE2"/>
    <w:rsid w:val="000A5D15"/>
    <w:rsid w:val="000A62DD"/>
    <w:rsid w:val="000A6331"/>
    <w:rsid w:val="000A6668"/>
    <w:rsid w:val="000A6800"/>
    <w:rsid w:val="000A70B9"/>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AEC"/>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007"/>
    <w:rsid w:val="00147691"/>
    <w:rsid w:val="001479D9"/>
    <w:rsid w:val="00147AF1"/>
    <w:rsid w:val="0015081F"/>
    <w:rsid w:val="00150828"/>
    <w:rsid w:val="00150B83"/>
    <w:rsid w:val="00150C9D"/>
    <w:rsid w:val="0015100F"/>
    <w:rsid w:val="00151303"/>
    <w:rsid w:val="00151370"/>
    <w:rsid w:val="001514AE"/>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DA6"/>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01FB"/>
    <w:rsid w:val="00261879"/>
    <w:rsid w:val="00261943"/>
    <w:rsid w:val="00262566"/>
    <w:rsid w:val="00262ACC"/>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074"/>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75A"/>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45F"/>
    <w:rsid w:val="003705F3"/>
    <w:rsid w:val="00370D1D"/>
    <w:rsid w:val="0037217E"/>
    <w:rsid w:val="003722A2"/>
    <w:rsid w:val="00372497"/>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93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1B1"/>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15E"/>
    <w:rsid w:val="003F13B4"/>
    <w:rsid w:val="003F1BE8"/>
    <w:rsid w:val="003F1D5C"/>
    <w:rsid w:val="003F2ADA"/>
    <w:rsid w:val="003F2B8F"/>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0D44"/>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9F4"/>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9E0"/>
    <w:rsid w:val="00455F07"/>
    <w:rsid w:val="00456151"/>
    <w:rsid w:val="0045760F"/>
    <w:rsid w:val="00457916"/>
    <w:rsid w:val="0046095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562"/>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A0F"/>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87"/>
    <w:rsid w:val="005955FF"/>
    <w:rsid w:val="00596868"/>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6FF2"/>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BA6"/>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54A"/>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971"/>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13"/>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2D"/>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735"/>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467"/>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9AB"/>
    <w:rsid w:val="008F5D8D"/>
    <w:rsid w:val="008F699B"/>
    <w:rsid w:val="008F6AC9"/>
    <w:rsid w:val="008F73B5"/>
    <w:rsid w:val="008F7558"/>
    <w:rsid w:val="008F7F4F"/>
    <w:rsid w:val="00900191"/>
    <w:rsid w:val="009012C6"/>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761"/>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7D7"/>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843"/>
    <w:rsid w:val="009F4A78"/>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64F"/>
    <w:rsid w:val="00AC175F"/>
    <w:rsid w:val="00AC1A0D"/>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3F22"/>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371"/>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295"/>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8B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321"/>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142"/>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3686"/>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292"/>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4DB0"/>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8B"/>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93A"/>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97"/>
    <w:rsid w:val="00D9225F"/>
    <w:rsid w:val="00D93740"/>
    <w:rsid w:val="00D93E26"/>
    <w:rsid w:val="00D94140"/>
    <w:rsid w:val="00D941E8"/>
    <w:rsid w:val="00D94240"/>
    <w:rsid w:val="00D94343"/>
    <w:rsid w:val="00D94DBA"/>
    <w:rsid w:val="00D954F1"/>
    <w:rsid w:val="00D95624"/>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3C11"/>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928"/>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88E"/>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A8C"/>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EE9"/>
    <w:rsid w:val="00EE499D"/>
    <w:rsid w:val="00EE49BE"/>
    <w:rsid w:val="00EE553D"/>
    <w:rsid w:val="00EE56A0"/>
    <w:rsid w:val="00EE5D82"/>
    <w:rsid w:val="00EE6077"/>
    <w:rsid w:val="00EE60D3"/>
    <w:rsid w:val="00EE60FD"/>
    <w:rsid w:val="00EE6720"/>
    <w:rsid w:val="00EE6798"/>
    <w:rsid w:val="00EE695D"/>
    <w:rsid w:val="00EE6E66"/>
    <w:rsid w:val="00EE70D2"/>
    <w:rsid w:val="00EE7B2A"/>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6D"/>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09D2"/>
    <w:rsid w:val="00FA1AA2"/>
    <w:rsid w:val="00FA27EC"/>
    <w:rsid w:val="00FA2901"/>
    <w:rsid w:val="00FA38B7"/>
    <w:rsid w:val="00FA4482"/>
    <w:rsid w:val="00FA59D4"/>
    <w:rsid w:val="00FA6651"/>
    <w:rsid w:val="00FA67CA"/>
    <w:rsid w:val="00FA6B07"/>
    <w:rsid w:val="00FA6C8A"/>
    <w:rsid w:val="00FA6D29"/>
    <w:rsid w:val="00FA7DDE"/>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524-3E17-40E2-8FA7-D62040A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2017-07-13T18:29:00Z</cp:lastPrinted>
  <dcterms:created xsi:type="dcterms:W3CDTF">2017-07-13T16:36:00Z</dcterms:created>
  <dcterms:modified xsi:type="dcterms:W3CDTF">2017-08-17T16:32:00Z</dcterms:modified>
</cp:coreProperties>
</file>