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B9" w:rsidRPr="009365B9" w:rsidRDefault="009365B9" w:rsidP="009365B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9365B9">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65B9" w:rsidRPr="009365B9" w:rsidRDefault="009365B9" w:rsidP="009365B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9365B9">
        <w:rPr>
          <w:rFonts w:ascii="Calibri" w:eastAsia="Calibri" w:hAnsi="Calibri" w:cs="Calibri"/>
          <w:color w:val="FF0000"/>
          <w:sz w:val="16"/>
          <w:szCs w:val="16"/>
          <w:lang w:val="es-CO" w:eastAsia="fr-FR"/>
        </w:rPr>
        <w:t>El contenido total y fiel de la decisión debe ser verificado en la Secretaría de esta Sala.</w:t>
      </w:r>
    </w:p>
    <w:p w:rsidR="009365B9" w:rsidRPr="009365B9" w:rsidRDefault="009365B9" w:rsidP="009365B9">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9365B9">
        <w:rPr>
          <w:rFonts w:ascii="Calibri" w:hAnsi="Calibri" w:cs="Calibri"/>
          <w:color w:val="222222"/>
          <w:sz w:val="18"/>
          <w:szCs w:val="18"/>
          <w:lang w:val="es-CO" w:eastAsia="fr-FR"/>
        </w:rPr>
        <w:t>Providencia:</w:t>
      </w:r>
      <w:r w:rsidRPr="009365B9">
        <w:rPr>
          <w:rFonts w:ascii="Calibri" w:hAnsi="Calibri" w:cs="Calibri"/>
          <w:color w:val="222222"/>
          <w:sz w:val="18"/>
          <w:szCs w:val="18"/>
          <w:lang w:val="es-CO" w:eastAsia="fr-FR"/>
        </w:rPr>
        <w:tab/>
        <w:t>Sentencia  – 1ª instancia – 14 de septiembre de 2017</w:t>
      </w:r>
    </w:p>
    <w:p w:rsidR="009365B9" w:rsidRPr="009365B9" w:rsidRDefault="009365B9" w:rsidP="009365B9">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9365B9">
        <w:rPr>
          <w:rFonts w:ascii="Calibri" w:eastAsia="Calibri" w:hAnsi="Calibri" w:cs="Calibri"/>
          <w:color w:val="222222"/>
          <w:sz w:val="18"/>
          <w:szCs w:val="18"/>
          <w:lang w:val="es-CO" w:eastAsia="fr-FR"/>
        </w:rPr>
        <w:t>Proceso:    </w:t>
      </w:r>
      <w:r w:rsidRPr="009365B9">
        <w:rPr>
          <w:rFonts w:ascii="Calibri" w:eastAsia="Calibri" w:hAnsi="Calibri" w:cs="Calibri"/>
          <w:color w:val="222222"/>
          <w:sz w:val="18"/>
          <w:szCs w:val="18"/>
          <w:lang w:val="es-CO" w:eastAsia="fr-FR"/>
        </w:rPr>
        <w:tab/>
      </w:r>
      <w:r w:rsidRPr="009365B9">
        <w:rPr>
          <w:rFonts w:ascii="Calibri" w:eastAsia="Calibri" w:hAnsi="Calibri" w:cs="Calibri"/>
          <w:color w:val="222222"/>
          <w:spacing w:val="-6"/>
          <w:sz w:val="18"/>
          <w:szCs w:val="18"/>
          <w:lang w:val="es-CO" w:eastAsia="fr-FR"/>
        </w:rPr>
        <w:t>Acción de Tutela – Declara improcedente la acción</w:t>
      </w:r>
      <w:r>
        <w:rPr>
          <w:rFonts w:ascii="Calibri" w:eastAsia="Calibri" w:hAnsi="Calibri" w:cs="Calibri"/>
          <w:color w:val="222222"/>
          <w:spacing w:val="-6"/>
          <w:sz w:val="18"/>
          <w:szCs w:val="18"/>
          <w:lang w:val="es-CO" w:eastAsia="fr-FR"/>
        </w:rPr>
        <w:t xml:space="preserve"> y niega amparo</w:t>
      </w:r>
    </w:p>
    <w:p w:rsidR="009365B9" w:rsidRPr="009365B9" w:rsidRDefault="009365B9" w:rsidP="009365B9">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9365B9">
        <w:rPr>
          <w:rFonts w:ascii="Calibri" w:eastAsia="Calibri" w:hAnsi="Calibri" w:cs="Calibri"/>
          <w:color w:val="222222"/>
          <w:sz w:val="18"/>
          <w:szCs w:val="18"/>
          <w:lang w:val="es-CO" w:eastAsia="fr-FR"/>
        </w:rPr>
        <w:t>Radicación Nro. :</w:t>
      </w:r>
      <w:r w:rsidRPr="009365B9">
        <w:rPr>
          <w:rFonts w:ascii="Calibri" w:eastAsia="Calibri" w:hAnsi="Calibri" w:cs="Calibri"/>
          <w:color w:val="222222"/>
          <w:sz w:val="18"/>
          <w:szCs w:val="18"/>
          <w:lang w:val="es-CO" w:eastAsia="fr-FR"/>
        </w:rPr>
        <w:tab/>
      </w:r>
      <w:r w:rsidRPr="009365B9">
        <w:rPr>
          <w:rFonts w:ascii="Calibri" w:eastAsia="Calibri" w:hAnsi="Calibri" w:cs="Calibri"/>
          <w:bCs/>
          <w:spacing w:val="-6"/>
          <w:sz w:val="18"/>
          <w:szCs w:val="18"/>
          <w:lang w:val="es-ES_tradnl" w:eastAsia="en-US"/>
        </w:rPr>
        <w:t>2017-01012-00</w:t>
      </w:r>
    </w:p>
    <w:p w:rsidR="009365B9" w:rsidRPr="009365B9" w:rsidRDefault="009365B9" w:rsidP="009365B9">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9365B9">
        <w:rPr>
          <w:rFonts w:ascii="Calibri" w:eastAsia="Calibri" w:hAnsi="Calibri" w:cs="Calibri"/>
          <w:bCs/>
          <w:iCs/>
          <w:color w:val="222222"/>
          <w:sz w:val="18"/>
          <w:szCs w:val="18"/>
          <w:lang w:eastAsia="fr-FR"/>
        </w:rPr>
        <w:t xml:space="preserve">Accionante: </w:t>
      </w:r>
      <w:r w:rsidRPr="009365B9">
        <w:rPr>
          <w:rFonts w:ascii="Calibri" w:eastAsia="Calibri" w:hAnsi="Calibri" w:cs="Calibri"/>
          <w:bCs/>
          <w:iCs/>
          <w:color w:val="222222"/>
          <w:sz w:val="18"/>
          <w:szCs w:val="18"/>
          <w:lang w:eastAsia="fr-FR"/>
        </w:rPr>
        <w:tab/>
        <w:t>MARCELA CUARTAS MAZO</w:t>
      </w:r>
    </w:p>
    <w:p w:rsidR="009365B9" w:rsidRPr="009365B9" w:rsidRDefault="009365B9" w:rsidP="009365B9">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9365B9">
        <w:rPr>
          <w:rFonts w:ascii="Calibri" w:eastAsia="Calibri" w:hAnsi="Calibri" w:cs="Calibri"/>
          <w:color w:val="222222"/>
          <w:sz w:val="18"/>
          <w:szCs w:val="18"/>
          <w:lang w:val="es-CO" w:eastAsia="fr-FR"/>
        </w:rPr>
        <w:t>Accionado:</w:t>
      </w:r>
      <w:r w:rsidRPr="009365B9">
        <w:rPr>
          <w:rFonts w:ascii="Calibri" w:eastAsia="Calibri" w:hAnsi="Calibri" w:cs="Calibri"/>
          <w:color w:val="222222"/>
          <w:sz w:val="18"/>
          <w:szCs w:val="18"/>
          <w:lang w:val="es-CO" w:eastAsia="fr-FR"/>
        </w:rPr>
        <w:tab/>
      </w:r>
      <w:r w:rsidRPr="009365B9">
        <w:rPr>
          <w:rFonts w:ascii="Calibri" w:eastAsia="Calibri" w:hAnsi="Calibri" w:cs="Calibri"/>
          <w:bCs/>
          <w:iCs/>
          <w:color w:val="222222"/>
          <w:sz w:val="18"/>
          <w:szCs w:val="18"/>
          <w:lang w:eastAsia="fr-FR"/>
        </w:rPr>
        <w:t>JUZGADO QUINTO CIVIL DEL CIRCUITO DE PEREIRA</w:t>
      </w:r>
      <w:r>
        <w:rPr>
          <w:rFonts w:ascii="Calibri" w:eastAsia="Calibri" w:hAnsi="Calibri" w:cs="Calibri"/>
          <w:bCs/>
          <w:iCs/>
          <w:color w:val="222222"/>
          <w:sz w:val="18"/>
          <w:szCs w:val="18"/>
          <w:lang w:eastAsia="fr-FR"/>
        </w:rPr>
        <w:t xml:space="preserve"> Y OTRO</w:t>
      </w:r>
    </w:p>
    <w:p w:rsidR="009365B9" w:rsidRPr="009365B9" w:rsidRDefault="009365B9" w:rsidP="009365B9">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9365B9">
        <w:rPr>
          <w:rFonts w:ascii="Calibri" w:eastAsia="Calibri" w:hAnsi="Calibri" w:cs="Calibri"/>
          <w:color w:val="222222"/>
          <w:sz w:val="18"/>
          <w:szCs w:val="18"/>
          <w:lang w:val="es-CO" w:eastAsia="fr-FR"/>
        </w:rPr>
        <w:t>Magistrado Ponente: </w:t>
      </w:r>
      <w:r w:rsidRPr="009365B9">
        <w:rPr>
          <w:rFonts w:ascii="Calibri" w:eastAsia="Calibri" w:hAnsi="Calibri" w:cs="Calibri"/>
          <w:color w:val="222222"/>
          <w:sz w:val="18"/>
          <w:szCs w:val="18"/>
          <w:lang w:val="es-CO" w:eastAsia="fr-FR"/>
        </w:rPr>
        <w:tab/>
      </w:r>
      <w:proofErr w:type="spellStart"/>
      <w:r w:rsidRPr="009365B9">
        <w:rPr>
          <w:rFonts w:ascii="Calibri" w:eastAsia="Calibri" w:hAnsi="Calibri" w:cs="Calibri"/>
          <w:bCs/>
          <w:iCs/>
          <w:color w:val="222222"/>
          <w:sz w:val="18"/>
          <w:szCs w:val="18"/>
          <w:lang w:eastAsia="fr-FR"/>
        </w:rPr>
        <w:t>DUBERNEY</w:t>
      </w:r>
      <w:proofErr w:type="spellEnd"/>
      <w:r w:rsidRPr="009365B9">
        <w:rPr>
          <w:rFonts w:ascii="Calibri" w:eastAsia="Calibri" w:hAnsi="Calibri" w:cs="Calibri"/>
          <w:bCs/>
          <w:iCs/>
          <w:color w:val="222222"/>
          <w:sz w:val="18"/>
          <w:szCs w:val="18"/>
          <w:lang w:eastAsia="fr-FR"/>
        </w:rPr>
        <w:t xml:space="preserve"> GRISALES HERRERA</w:t>
      </w:r>
    </w:p>
    <w:p w:rsidR="009365B9" w:rsidRPr="009365B9" w:rsidRDefault="009365B9" w:rsidP="009365B9">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9365B9" w:rsidRDefault="009365B9" w:rsidP="009365B9">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9365B9">
        <w:rPr>
          <w:rFonts w:ascii="Calibri" w:eastAsia="Calibri" w:hAnsi="Calibri" w:cs="Calibri"/>
          <w:b/>
          <w:bCs/>
          <w:iCs/>
          <w:color w:val="222222"/>
          <w:sz w:val="18"/>
          <w:szCs w:val="18"/>
          <w:lang w:val="es-CO" w:eastAsia="fr-FR"/>
        </w:rPr>
        <w:t xml:space="preserve">Temas: </w:t>
      </w:r>
      <w:r w:rsidRPr="009365B9">
        <w:rPr>
          <w:rFonts w:ascii="Calibri" w:eastAsia="Calibri" w:hAnsi="Calibri" w:cs="Calibri"/>
          <w:b/>
          <w:bCs/>
          <w:iCs/>
          <w:color w:val="222222"/>
          <w:sz w:val="18"/>
          <w:szCs w:val="18"/>
          <w:lang w:val="es-CO" w:eastAsia="fr-FR"/>
        </w:rPr>
        <w:tab/>
        <w:t>DEBIDO PROCESO / TUTELA CONTRA PROVIDENCIA JUDICIAL / CARÁCTER RESIDUAL DE LA ACCIÓN DE TUTELA / IMPROCEDENCIA.</w:t>
      </w:r>
      <w:r w:rsidRPr="009365B9">
        <w:rPr>
          <w:rFonts w:ascii="Calibri" w:eastAsia="Calibri" w:hAnsi="Calibri" w:cs="Calibri"/>
          <w:bCs/>
          <w:iCs/>
          <w:color w:val="222222"/>
          <w:sz w:val="18"/>
          <w:szCs w:val="18"/>
          <w:lang w:val="es-CO" w:eastAsia="fr-FR"/>
        </w:rPr>
        <w:t xml:space="preserve"> </w:t>
      </w:r>
      <w:r w:rsidRPr="009365B9">
        <w:rPr>
          <w:rFonts w:ascii="Calibri" w:eastAsia="Calibri" w:hAnsi="Calibri" w:cs="Calibri"/>
          <w:bCs/>
          <w:iCs/>
          <w:color w:val="222222"/>
          <w:sz w:val="18"/>
          <w:szCs w:val="18"/>
          <w:lang w:val="es-ES_tradnl" w:eastAsia="fr-FR"/>
        </w:rPr>
        <w:t xml:space="preserve">De acuerdo con el acervo probatorio, se tiene que en el trámite incidental la accionante fue sancionada por el </w:t>
      </w:r>
      <w:r w:rsidRPr="009365B9">
        <w:rPr>
          <w:rFonts w:ascii="Calibri" w:eastAsia="Calibri" w:hAnsi="Calibri" w:cs="Calibri"/>
          <w:bCs/>
          <w:i/>
          <w:iCs/>
          <w:color w:val="222222"/>
          <w:sz w:val="18"/>
          <w:szCs w:val="18"/>
          <w:lang w:val="es-ES_tradnl" w:eastAsia="fr-FR"/>
        </w:rPr>
        <w:t>a quo</w:t>
      </w:r>
      <w:r w:rsidRPr="009365B9">
        <w:rPr>
          <w:rFonts w:ascii="Calibri" w:eastAsia="Calibri" w:hAnsi="Calibri" w:cs="Calibri"/>
          <w:bCs/>
          <w:iCs/>
          <w:color w:val="222222"/>
          <w:sz w:val="18"/>
          <w:szCs w:val="18"/>
          <w:lang w:val="es-ES_tradnl" w:eastAsia="fr-FR"/>
        </w:rPr>
        <w:t xml:space="preserve"> mediante proveído del 09-08-2017 (Folios 50, este cuaderno), luego el 29-08-2017 se acercó un memorial referente al cumplimiento de la sentencia de tutela y la falta de legitimación por pasiva de la </w:t>
      </w:r>
      <w:proofErr w:type="spellStart"/>
      <w:r w:rsidRPr="009365B9">
        <w:rPr>
          <w:rFonts w:ascii="Calibri" w:eastAsia="Calibri" w:hAnsi="Calibri" w:cs="Calibri"/>
          <w:bCs/>
          <w:iCs/>
          <w:color w:val="222222"/>
          <w:sz w:val="18"/>
          <w:szCs w:val="18"/>
          <w:lang w:val="es-ES_tradnl" w:eastAsia="fr-FR"/>
        </w:rPr>
        <w:t>incidentada</w:t>
      </w:r>
      <w:proofErr w:type="spellEnd"/>
      <w:r w:rsidRPr="009365B9">
        <w:rPr>
          <w:rFonts w:ascii="Calibri" w:eastAsia="Calibri" w:hAnsi="Calibri" w:cs="Calibri"/>
          <w:bCs/>
          <w:iCs/>
          <w:color w:val="222222"/>
          <w:sz w:val="18"/>
          <w:szCs w:val="18"/>
          <w:lang w:val="es-ES_tradnl" w:eastAsia="fr-FR"/>
        </w:rPr>
        <w:t xml:space="preserve"> (Folio 50, y 51 a 54, ibídem), y finalmente en sede de consulta se confirmó la sanción con auto del 04-09-2017 (Folios 50 y 55 a 56, ibídem). </w:t>
      </w:r>
      <w:r w:rsidRPr="009365B9">
        <w:rPr>
          <w:rFonts w:ascii="Calibri" w:eastAsia="Calibri" w:hAnsi="Calibri" w:cs="Calibri"/>
          <w:bCs/>
          <w:iCs/>
          <w:color w:val="222222"/>
          <w:sz w:val="18"/>
          <w:szCs w:val="18"/>
          <w:lang w:eastAsia="fr-FR"/>
        </w:rPr>
        <w:t>Así las cosas, hay que decir el amparo frente al Juzgado primero Civil Municipal de Pereira es prematuro, puesto que para la época en que se presentó (30-08-2017) (Folio 28, ib.) la consulta del auto sancionatorio aún no había sido desatada por el superior jerárquico, por manera que es improcedente</w:t>
      </w:r>
      <w:r w:rsidRPr="009365B9">
        <w:rPr>
          <w:rFonts w:ascii="Calibri" w:eastAsia="Calibri" w:hAnsi="Calibri" w:cs="Calibri"/>
          <w:bCs/>
          <w:iCs/>
          <w:color w:val="222222"/>
          <w:sz w:val="18"/>
          <w:szCs w:val="18"/>
          <w:lang w:val="es-CO" w:eastAsia="fr-FR"/>
        </w:rPr>
        <w:t>.</w:t>
      </w:r>
      <w:r w:rsidRPr="009365B9">
        <w:rPr>
          <w:rFonts w:ascii="Calibri" w:eastAsia="Calibri" w:hAnsi="Calibri" w:cs="Calibri"/>
          <w:bCs/>
          <w:iCs/>
          <w:color w:val="222222"/>
          <w:sz w:val="18"/>
          <w:szCs w:val="18"/>
          <w:lang w:eastAsia="fr-FR"/>
        </w:rPr>
        <w:t xml:space="preserve"> Era necesario esperar a que el </w:t>
      </w:r>
      <w:r w:rsidRPr="009365B9">
        <w:rPr>
          <w:rFonts w:ascii="Calibri" w:eastAsia="Calibri" w:hAnsi="Calibri" w:cs="Calibri"/>
          <w:bCs/>
          <w:i/>
          <w:iCs/>
          <w:color w:val="222222"/>
          <w:sz w:val="18"/>
          <w:szCs w:val="18"/>
          <w:lang w:eastAsia="fr-FR"/>
        </w:rPr>
        <w:t xml:space="preserve">ad </w:t>
      </w:r>
      <w:proofErr w:type="spellStart"/>
      <w:r w:rsidRPr="009365B9">
        <w:rPr>
          <w:rFonts w:ascii="Calibri" w:eastAsia="Calibri" w:hAnsi="Calibri" w:cs="Calibri"/>
          <w:bCs/>
          <w:i/>
          <w:iCs/>
          <w:color w:val="222222"/>
          <w:sz w:val="18"/>
          <w:szCs w:val="18"/>
          <w:lang w:eastAsia="fr-FR"/>
        </w:rPr>
        <w:t>quem</w:t>
      </w:r>
      <w:proofErr w:type="spellEnd"/>
      <w:r w:rsidRPr="009365B9">
        <w:rPr>
          <w:rFonts w:ascii="Calibri" w:eastAsia="Calibri" w:hAnsi="Calibri" w:cs="Calibri"/>
          <w:bCs/>
          <w:iCs/>
          <w:color w:val="222222"/>
          <w:sz w:val="18"/>
          <w:szCs w:val="18"/>
          <w:lang w:eastAsia="fr-FR"/>
        </w:rPr>
        <w:t xml:space="preserve"> decidiera en sede de consulta si revocaba la sanción antes de promover la acción de tutela; el procedimiento ordinario todavía se estaba adelantando (Artículo 52, Decreto 2591 de 1991)</w:t>
      </w:r>
      <w:r w:rsidRPr="009365B9">
        <w:rPr>
          <w:rFonts w:ascii="Calibri" w:eastAsia="Calibri" w:hAnsi="Calibri" w:cs="Calibri"/>
          <w:bCs/>
          <w:iCs/>
          <w:color w:val="222222"/>
          <w:sz w:val="18"/>
          <w:szCs w:val="18"/>
          <w:lang w:val="es-CO" w:eastAsia="fr-FR"/>
        </w:rPr>
        <w:t xml:space="preserve">. </w:t>
      </w:r>
      <w:r w:rsidRPr="009365B9">
        <w:rPr>
          <w:rFonts w:ascii="Calibri" w:eastAsia="Calibri" w:hAnsi="Calibri" w:cs="Calibri"/>
          <w:bCs/>
          <w:iCs/>
          <w:color w:val="222222"/>
          <w:sz w:val="18"/>
          <w:szCs w:val="18"/>
          <w:lang w:eastAsia="fr-FR"/>
        </w:rPr>
        <w:t xml:space="preserve">Así lo ha dispuesto la jurisprudencia de la CC, criterio también expuesto por la CSJ. No es dable flexibilizar el análisis de la procedibilidad porque la actora nada arguyó y menos acreditó de forma que se pudiera estimar </w:t>
      </w:r>
      <w:r w:rsidRPr="009365B9">
        <w:rPr>
          <w:rFonts w:ascii="Calibri" w:eastAsia="Calibri" w:hAnsi="Calibri" w:cs="Calibri"/>
          <w:bCs/>
          <w:iCs/>
          <w:color w:val="222222"/>
          <w:sz w:val="18"/>
          <w:szCs w:val="18"/>
          <w:lang w:val="es-CO" w:eastAsia="fr-FR"/>
        </w:rPr>
        <w:t>que es una persona que requiere de protección reforzada</w:t>
      </w:r>
      <w:r w:rsidRPr="009365B9">
        <w:rPr>
          <w:rFonts w:ascii="Calibri" w:eastAsia="Calibri" w:hAnsi="Calibri" w:cs="Calibri"/>
          <w:bCs/>
          <w:iCs/>
          <w:color w:val="222222"/>
          <w:sz w:val="18"/>
          <w:szCs w:val="18"/>
          <w:lang w:eastAsia="fr-FR"/>
        </w:rPr>
        <w:t>.</w:t>
      </w:r>
      <w:r>
        <w:rPr>
          <w:rFonts w:ascii="Calibri" w:eastAsia="Calibri" w:hAnsi="Calibri" w:cs="Calibri"/>
          <w:bCs/>
          <w:iCs/>
          <w:color w:val="222222"/>
          <w:sz w:val="18"/>
          <w:szCs w:val="18"/>
          <w:lang w:eastAsia="fr-FR"/>
        </w:rPr>
        <w:t xml:space="preserve"> </w:t>
      </w:r>
      <w:r w:rsidRPr="009365B9">
        <w:rPr>
          <w:rFonts w:ascii="Calibri" w:eastAsia="Calibri" w:hAnsi="Calibri" w:cs="Calibri"/>
          <w:b/>
          <w:bCs/>
          <w:iCs/>
          <w:color w:val="222222"/>
          <w:sz w:val="18"/>
          <w:szCs w:val="18"/>
          <w:lang w:eastAsia="fr-FR"/>
        </w:rPr>
        <w:t>INEXISTENCIA DE LA SITUACIÓN ARGÜIDA / NIEGA.</w:t>
      </w:r>
      <w:r w:rsidRPr="009365B9">
        <w:rPr>
          <w:rFonts w:ascii="Calibri" w:eastAsia="Calibri" w:hAnsi="Calibri" w:cs="Calibri"/>
          <w:bCs/>
          <w:iCs/>
          <w:color w:val="222222"/>
          <w:sz w:val="18"/>
          <w:szCs w:val="18"/>
          <w:lang w:eastAsia="fr-FR"/>
        </w:rPr>
        <w:t xml:space="preserve"> </w:t>
      </w:r>
      <w:r w:rsidRPr="009365B9">
        <w:rPr>
          <w:rFonts w:ascii="Calibri" w:eastAsia="Calibri" w:hAnsi="Calibri" w:cs="Calibri"/>
          <w:bCs/>
          <w:iCs/>
          <w:color w:val="222222"/>
          <w:sz w:val="18"/>
          <w:szCs w:val="18"/>
          <w:lang w:val="es-ES_tradnl" w:eastAsia="fr-FR"/>
        </w:rPr>
        <w:t xml:space="preserve">En lo tocante con el Juzgado Quinto Civil del Circuito local, halla la Sala, sin necesidad de adentrarse en el análisis de los presupuestos generales de procedibilidad, que debe negarse la acción constitucional, </w:t>
      </w:r>
      <w:r w:rsidRPr="009365B9">
        <w:rPr>
          <w:rFonts w:ascii="Calibri" w:eastAsia="Calibri" w:hAnsi="Calibri" w:cs="Calibri"/>
          <w:bCs/>
          <w:iCs/>
          <w:color w:val="222222"/>
          <w:sz w:val="18"/>
          <w:szCs w:val="18"/>
          <w:lang w:val="es-CO" w:eastAsia="fr-FR"/>
        </w:rPr>
        <w:t>en razón a la ausencia de hechos vulneradores o amenazantes. P</w:t>
      </w:r>
      <w:r w:rsidRPr="009365B9">
        <w:rPr>
          <w:rFonts w:ascii="Calibri" w:eastAsia="Calibri" w:hAnsi="Calibri" w:cs="Calibri"/>
          <w:bCs/>
          <w:iCs/>
          <w:color w:val="222222"/>
          <w:sz w:val="18"/>
          <w:szCs w:val="18"/>
          <w:lang w:eastAsia="fr-FR"/>
        </w:rPr>
        <w:t xml:space="preserve">ara la época en que se radicó el amparo (30-08-2017) el </w:t>
      </w:r>
      <w:r w:rsidRPr="009365B9">
        <w:rPr>
          <w:rFonts w:ascii="Calibri" w:eastAsia="Calibri" w:hAnsi="Calibri" w:cs="Calibri"/>
          <w:bCs/>
          <w:i/>
          <w:iCs/>
          <w:color w:val="222222"/>
          <w:sz w:val="18"/>
          <w:szCs w:val="18"/>
          <w:lang w:eastAsia="fr-FR"/>
        </w:rPr>
        <w:t xml:space="preserve">ad </w:t>
      </w:r>
      <w:proofErr w:type="spellStart"/>
      <w:r w:rsidRPr="009365B9">
        <w:rPr>
          <w:rFonts w:ascii="Calibri" w:eastAsia="Calibri" w:hAnsi="Calibri" w:cs="Calibri"/>
          <w:bCs/>
          <w:i/>
          <w:iCs/>
          <w:color w:val="222222"/>
          <w:sz w:val="18"/>
          <w:szCs w:val="18"/>
          <w:lang w:eastAsia="fr-FR"/>
        </w:rPr>
        <w:t>quem</w:t>
      </w:r>
      <w:proofErr w:type="spellEnd"/>
      <w:r w:rsidRPr="009365B9">
        <w:rPr>
          <w:rFonts w:ascii="Calibri" w:eastAsia="Calibri" w:hAnsi="Calibri" w:cs="Calibri"/>
          <w:bCs/>
          <w:iCs/>
          <w:color w:val="222222"/>
          <w:sz w:val="18"/>
          <w:szCs w:val="18"/>
          <w:lang w:eastAsia="fr-FR"/>
        </w:rPr>
        <w:t xml:space="preserve"> todavía no había resuelto la consulta del auto sancionatorio, por lo tanto, </w:t>
      </w:r>
      <w:r w:rsidRPr="009365B9">
        <w:rPr>
          <w:rFonts w:ascii="Calibri" w:eastAsia="Calibri" w:hAnsi="Calibri" w:cs="Calibri"/>
          <w:bCs/>
          <w:iCs/>
          <w:color w:val="222222"/>
          <w:sz w:val="18"/>
          <w:szCs w:val="18"/>
          <w:lang w:val="es-CO" w:eastAsia="fr-FR"/>
        </w:rPr>
        <w:t>los defectos especiales endilgados se pregonaban de una decisión inexistente.</w:t>
      </w:r>
    </w:p>
    <w:p w:rsidR="009365B9" w:rsidRPr="009365B9" w:rsidRDefault="009365B9" w:rsidP="009365B9">
      <w:pPr>
        <w:widowControl/>
        <w:tabs>
          <w:tab w:val="left" w:pos="1843"/>
          <w:tab w:val="left" w:pos="2432"/>
        </w:tabs>
        <w:autoSpaceDE/>
        <w:autoSpaceDN/>
        <w:adjustRightInd/>
        <w:spacing w:after="200"/>
        <w:jc w:val="both"/>
        <w:rPr>
          <w:rFonts w:ascii="Calibri" w:eastAsia="Calibri" w:hAnsi="Calibri" w:cs="Calibri"/>
          <w:b/>
          <w:bCs/>
          <w:iCs/>
          <w:color w:val="222222"/>
          <w:sz w:val="18"/>
          <w:szCs w:val="18"/>
          <w:lang w:val="es-CO" w:eastAsia="fr-FR"/>
        </w:rPr>
      </w:pPr>
    </w:p>
    <w:p w:rsidR="006870B9" w:rsidRPr="006870B9" w:rsidRDefault="00D33F03" w:rsidP="006870B9">
      <w:pPr>
        <w:pStyle w:val="Sansinterligne"/>
        <w:tabs>
          <w:tab w:val="left" w:pos="3579"/>
        </w:tabs>
        <w:spacing w:line="360" w:lineRule="auto"/>
        <w:jc w:val="center"/>
        <w:rPr>
          <w:rFonts w:ascii="Georgia" w:hAnsi="Georgia" w:cs="Arial"/>
          <w:w w:val="140"/>
          <w:sz w:val="14"/>
        </w:rPr>
      </w:pPr>
      <w:r w:rsidRPr="006870B9">
        <w:rPr>
          <w:rFonts w:ascii="Georgia" w:hAnsi="Georgia"/>
          <w:noProof/>
          <w:lang w:val="fr-FR" w:eastAsia="fr-FR"/>
        </w:rPr>
        <w:drawing>
          <wp:anchor distT="0" distB="0" distL="114300" distR="114300" simplePos="0" relativeHeight="251659264" behindDoc="0" locked="0" layoutInCell="1" allowOverlap="1" wp14:anchorId="42740B0D" wp14:editId="78D8C185">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0B9">
        <w:rPr>
          <w:rFonts w:ascii="Georgia" w:hAnsi="Georgia" w:cs="Arial"/>
          <w:w w:val="140"/>
        </w:rPr>
        <w:br w:type="textWrapping" w:clear="all"/>
      </w:r>
      <w:r w:rsidR="006870B9" w:rsidRPr="006870B9">
        <w:rPr>
          <w:rFonts w:ascii="Georgia" w:hAnsi="Georgia" w:cs="Arial"/>
          <w:w w:val="140"/>
          <w:sz w:val="14"/>
        </w:rPr>
        <w:t>REPUBLICA DE COLOMBIA</w:t>
      </w:r>
    </w:p>
    <w:p w:rsidR="006870B9" w:rsidRPr="006870B9" w:rsidRDefault="006870B9" w:rsidP="006870B9">
      <w:pPr>
        <w:pStyle w:val="Sansinterligne"/>
        <w:tabs>
          <w:tab w:val="center" w:pos="4987"/>
          <w:tab w:val="left" w:pos="8449"/>
        </w:tabs>
        <w:spacing w:line="360" w:lineRule="auto"/>
        <w:jc w:val="center"/>
        <w:rPr>
          <w:rFonts w:ascii="Georgia" w:hAnsi="Georgia" w:cs="Arial"/>
          <w:w w:val="140"/>
        </w:rPr>
      </w:pPr>
      <w:r w:rsidRPr="006870B9">
        <w:rPr>
          <w:rFonts w:ascii="Georgia" w:hAnsi="Georgia" w:cs="Arial"/>
          <w:w w:val="140"/>
          <w:sz w:val="14"/>
        </w:rPr>
        <w:t>RAMA JUDICIAL DEL PODER PÚBLICO</w:t>
      </w:r>
    </w:p>
    <w:p w:rsidR="006870B9" w:rsidRPr="006870B9" w:rsidRDefault="006870B9" w:rsidP="006870B9">
      <w:pPr>
        <w:pStyle w:val="Sansinterligne"/>
        <w:spacing w:line="360" w:lineRule="auto"/>
        <w:jc w:val="center"/>
        <w:rPr>
          <w:rFonts w:ascii="Georgia" w:hAnsi="Georgia" w:cs="Arial"/>
          <w:w w:val="140"/>
          <w:sz w:val="16"/>
        </w:rPr>
      </w:pPr>
      <w:r w:rsidRPr="006870B9">
        <w:rPr>
          <w:rFonts w:ascii="Georgia" w:hAnsi="Georgia" w:cs="Arial"/>
          <w:w w:val="140"/>
          <w:sz w:val="18"/>
        </w:rPr>
        <w:t>T</w:t>
      </w:r>
      <w:r w:rsidRPr="006870B9">
        <w:rPr>
          <w:rFonts w:ascii="Georgia" w:hAnsi="Georgia" w:cs="Arial"/>
          <w:w w:val="140"/>
          <w:sz w:val="16"/>
        </w:rPr>
        <w:t>RIBUNAL</w:t>
      </w:r>
      <w:r w:rsidRPr="006870B9">
        <w:rPr>
          <w:rFonts w:ascii="Georgia" w:hAnsi="Georgia" w:cs="Arial"/>
          <w:w w:val="140"/>
          <w:sz w:val="18"/>
        </w:rPr>
        <w:t xml:space="preserve"> S</w:t>
      </w:r>
      <w:r w:rsidRPr="006870B9">
        <w:rPr>
          <w:rFonts w:ascii="Georgia" w:hAnsi="Georgia" w:cs="Arial"/>
          <w:w w:val="140"/>
          <w:sz w:val="16"/>
        </w:rPr>
        <w:t xml:space="preserve">UPERIOR DEL </w:t>
      </w:r>
      <w:r w:rsidRPr="006870B9">
        <w:rPr>
          <w:rFonts w:ascii="Georgia" w:hAnsi="Georgia" w:cs="Arial"/>
          <w:w w:val="140"/>
          <w:sz w:val="18"/>
        </w:rPr>
        <w:t>D</w:t>
      </w:r>
      <w:r w:rsidRPr="006870B9">
        <w:rPr>
          <w:rFonts w:ascii="Georgia" w:hAnsi="Georgia" w:cs="Arial"/>
          <w:w w:val="140"/>
          <w:sz w:val="16"/>
        </w:rPr>
        <w:t>ISTRITO</w:t>
      </w:r>
      <w:r w:rsidRPr="006870B9">
        <w:rPr>
          <w:rFonts w:ascii="Georgia" w:hAnsi="Georgia" w:cs="Arial"/>
          <w:w w:val="140"/>
          <w:sz w:val="18"/>
        </w:rPr>
        <w:t xml:space="preserve"> J</w:t>
      </w:r>
      <w:r w:rsidRPr="006870B9">
        <w:rPr>
          <w:rFonts w:ascii="Georgia" w:hAnsi="Georgia" w:cs="Arial"/>
          <w:w w:val="140"/>
          <w:sz w:val="16"/>
        </w:rPr>
        <w:t>UDICIAL</w:t>
      </w:r>
    </w:p>
    <w:p w:rsidR="006870B9" w:rsidRPr="006870B9" w:rsidRDefault="006870B9" w:rsidP="006870B9">
      <w:pPr>
        <w:pStyle w:val="Sansinterligne"/>
        <w:spacing w:line="360" w:lineRule="auto"/>
        <w:jc w:val="center"/>
        <w:rPr>
          <w:rFonts w:ascii="Georgia" w:hAnsi="Georgia" w:cs="Arial"/>
          <w:w w:val="140"/>
          <w:sz w:val="16"/>
          <w:szCs w:val="18"/>
        </w:rPr>
      </w:pPr>
      <w:r w:rsidRPr="006870B9">
        <w:rPr>
          <w:rFonts w:ascii="Georgia" w:hAnsi="Georgia" w:cs="Arial"/>
          <w:w w:val="140"/>
          <w:sz w:val="18"/>
          <w:szCs w:val="18"/>
        </w:rPr>
        <w:t>S</w:t>
      </w:r>
      <w:r w:rsidRPr="006870B9">
        <w:rPr>
          <w:rFonts w:ascii="Georgia" w:hAnsi="Georgia" w:cs="Arial"/>
          <w:w w:val="140"/>
          <w:sz w:val="16"/>
          <w:szCs w:val="18"/>
        </w:rPr>
        <w:t>ALA</w:t>
      </w:r>
      <w:r w:rsidRPr="006870B9">
        <w:rPr>
          <w:rFonts w:ascii="Georgia" w:hAnsi="Georgia" w:cs="Arial"/>
          <w:w w:val="140"/>
          <w:sz w:val="14"/>
          <w:szCs w:val="18"/>
        </w:rPr>
        <w:t xml:space="preserve"> </w:t>
      </w:r>
      <w:r w:rsidRPr="006870B9">
        <w:rPr>
          <w:rFonts w:ascii="Georgia" w:hAnsi="Georgia" w:cs="Arial"/>
          <w:w w:val="140"/>
          <w:sz w:val="16"/>
          <w:szCs w:val="18"/>
        </w:rPr>
        <w:t xml:space="preserve">DE </w:t>
      </w:r>
      <w:r w:rsidRPr="006870B9">
        <w:rPr>
          <w:rFonts w:ascii="Georgia" w:hAnsi="Georgia" w:cs="Arial"/>
          <w:w w:val="140"/>
          <w:sz w:val="18"/>
          <w:szCs w:val="18"/>
        </w:rPr>
        <w:t>D</w:t>
      </w:r>
      <w:r w:rsidRPr="006870B9">
        <w:rPr>
          <w:rFonts w:ascii="Georgia" w:hAnsi="Georgia" w:cs="Arial"/>
          <w:w w:val="140"/>
          <w:sz w:val="16"/>
          <w:szCs w:val="18"/>
        </w:rPr>
        <w:t>ECISIÓN</w:t>
      </w:r>
      <w:r w:rsidRPr="006870B9">
        <w:rPr>
          <w:rFonts w:ascii="Georgia" w:hAnsi="Georgia" w:cs="Arial"/>
          <w:w w:val="140"/>
          <w:sz w:val="18"/>
          <w:szCs w:val="18"/>
        </w:rPr>
        <w:t xml:space="preserve"> C</w:t>
      </w:r>
      <w:r w:rsidRPr="006870B9">
        <w:rPr>
          <w:rFonts w:ascii="Georgia" w:hAnsi="Georgia" w:cs="Arial"/>
          <w:w w:val="140"/>
          <w:sz w:val="16"/>
          <w:szCs w:val="18"/>
        </w:rPr>
        <w:t>IVIL –</w:t>
      </w:r>
      <w:r w:rsidRPr="006870B9">
        <w:rPr>
          <w:rFonts w:ascii="Georgia" w:hAnsi="Georgia" w:cs="Arial"/>
          <w:w w:val="140"/>
          <w:sz w:val="18"/>
          <w:szCs w:val="18"/>
        </w:rPr>
        <w:t>F</w:t>
      </w:r>
      <w:r w:rsidRPr="006870B9">
        <w:rPr>
          <w:rFonts w:ascii="Georgia" w:hAnsi="Georgia" w:cs="Arial"/>
          <w:w w:val="140"/>
          <w:sz w:val="16"/>
          <w:szCs w:val="18"/>
        </w:rPr>
        <w:t xml:space="preserve">AMILIA – </w:t>
      </w:r>
      <w:r w:rsidRPr="006870B9">
        <w:rPr>
          <w:rFonts w:ascii="Georgia" w:hAnsi="Georgia" w:cs="Arial"/>
          <w:w w:val="140"/>
          <w:sz w:val="18"/>
          <w:szCs w:val="18"/>
        </w:rPr>
        <w:t>D</w:t>
      </w:r>
      <w:r w:rsidRPr="006870B9">
        <w:rPr>
          <w:rFonts w:ascii="Georgia" w:hAnsi="Georgia" w:cs="Arial"/>
          <w:w w:val="140"/>
          <w:sz w:val="16"/>
          <w:szCs w:val="18"/>
        </w:rPr>
        <w:t>ISTRITO</w:t>
      </w:r>
      <w:r w:rsidRPr="006870B9">
        <w:rPr>
          <w:rFonts w:ascii="Georgia" w:hAnsi="Georgia" w:cs="Arial"/>
          <w:w w:val="140"/>
          <w:sz w:val="18"/>
          <w:szCs w:val="18"/>
        </w:rPr>
        <w:t xml:space="preserve"> D</w:t>
      </w:r>
      <w:r w:rsidRPr="006870B9">
        <w:rPr>
          <w:rFonts w:ascii="Georgia" w:hAnsi="Georgia" w:cs="Arial"/>
          <w:w w:val="140"/>
          <w:sz w:val="16"/>
          <w:szCs w:val="18"/>
        </w:rPr>
        <w:t>E</w:t>
      </w:r>
      <w:r w:rsidRPr="006870B9">
        <w:rPr>
          <w:rFonts w:ascii="Georgia" w:hAnsi="Georgia" w:cs="Arial"/>
          <w:w w:val="140"/>
          <w:sz w:val="18"/>
          <w:szCs w:val="18"/>
        </w:rPr>
        <w:t xml:space="preserve"> P</w:t>
      </w:r>
      <w:r w:rsidRPr="006870B9">
        <w:rPr>
          <w:rFonts w:ascii="Georgia" w:hAnsi="Georgia" w:cs="Arial"/>
          <w:w w:val="140"/>
          <w:sz w:val="16"/>
          <w:szCs w:val="18"/>
        </w:rPr>
        <w:t>EREIRA</w:t>
      </w:r>
    </w:p>
    <w:p w:rsidR="00D33F03" w:rsidRPr="006870B9" w:rsidRDefault="006870B9" w:rsidP="006870B9">
      <w:pPr>
        <w:pStyle w:val="Sansinterligne"/>
        <w:tabs>
          <w:tab w:val="left" w:pos="3579"/>
        </w:tabs>
        <w:spacing w:line="360" w:lineRule="auto"/>
        <w:jc w:val="center"/>
        <w:rPr>
          <w:rFonts w:ascii="Georgia" w:hAnsi="Georgia" w:cs="Arial"/>
          <w:w w:val="140"/>
          <w:sz w:val="16"/>
          <w:szCs w:val="18"/>
        </w:rPr>
      </w:pPr>
      <w:r w:rsidRPr="006870B9">
        <w:rPr>
          <w:rFonts w:ascii="Georgia" w:hAnsi="Georgia" w:cs="Arial"/>
          <w:w w:val="140"/>
          <w:sz w:val="18"/>
          <w:szCs w:val="18"/>
        </w:rPr>
        <w:t>D</w:t>
      </w:r>
      <w:r w:rsidRPr="006870B9">
        <w:rPr>
          <w:rFonts w:ascii="Georgia" w:hAnsi="Georgia" w:cs="Arial"/>
          <w:w w:val="140"/>
          <w:sz w:val="16"/>
          <w:szCs w:val="18"/>
        </w:rPr>
        <w:t xml:space="preserve">EPARTAMENTO </w:t>
      </w:r>
      <w:r w:rsidRPr="006870B9">
        <w:rPr>
          <w:rFonts w:ascii="Georgia" w:hAnsi="Georgia" w:cs="Arial"/>
          <w:w w:val="140"/>
          <w:sz w:val="18"/>
          <w:szCs w:val="18"/>
        </w:rPr>
        <w:t>D</w:t>
      </w:r>
      <w:r w:rsidRPr="006870B9">
        <w:rPr>
          <w:rFonts w:ascii="Georgia" w:hAnsi="Georgia" w:cs="Arial"/>
          <w:w w:val="140"/>
          <w:sz w:val="16"/>
          <w:szCs w:val="18"/>
        </w:rPr>
        <w:t xml:space="preserve">E </w:t>
      </w:r>
      <w:r w:rsidRPr="006870B9">
        <w:rPr>
          <w:rFonts w:ascii="Georgia" w:hAnsi="Georgia" w:cs="Arial"/>
          <w:w w:val="140"/>
          <w:sz w:val="18"/>
          <w:szCs w:val="18"/>
        </w:rPr>
        <w:t>R</w:t>
      </w:r>
      <w:r w:rsidRPr="006870B9">
        <w:rPr>
          <w:rFonts w:ascii="Georgia" w:hAnsi="Georgia" w:cs="Arial"/>
          <w:w w:val="140"/>
          <w:sz w:val="16"/>
          <w:szCs w:val="18"/>
        </w:rPr>
        <w:t>ISARALDA</w:t>
      </w:r>
    </w:p>
    <w:p w:rsidR="00486062" w:rsidRPr="006870B9" w:rsidRDefault="00486062" w:rsidP="00ED7F33">
      <w:pPr>
        <w:spacing w:line="360" w:lineRule="auto"/>
        <w:jc w:val="center"/>
        <w:rPr>
          <w:rFonts w:ascii="Georgia" w:hAnsi="Georgia" w:cs="Arial"/>
          <w:w w:val="140"/>
          <w:szCs w:val="18"/>
        </w:rPr>
      </w:pPr>
    </w:p>
    <w:p w:rsidR="006870B9" w:rsidRPr="006870B9" w:rsidRDefault="00970930" w:rsidP="006870B9">
      <w:pPr>
        <w:tabs>
          <w:tab w:val="left" w:pos="720"/>
        </w:tabs>
        <w:spacing w:line="360" w:lineRule="auto"/>
        <w:rPr>
          <w:rFonts w:ascii="Georgia" w:hAnsi="Georgia" w:cs="Arial"/>
          <w:sz w:val="22"/>
          <w:szCs w:val="22"/>
        </w:rPr>
      </w:pPr>
      <w:r w:rsidRPr="006870B9">
        <w:rPr>
          <w:rFonts w:ascii="Georgia" w:hAnsi="Georgia" w:cs="Arial"/>
          <w:sz w:val="22"/>
          <w:szCs w:val="22"/>
        </w:rPr>
        <w:tab/>
      </w:r>
      <w:r w:rsidR="00D70A1B" w:rsidRPr="006870B9">
        <w:rPr>
          <w:rFonts w:ascii="Georgia" w:hAnsi="Georgia" w:cs="Arial"/>
          <w:sz w:val="22"/>
          <w:szCs w:val="22"/>
        </w:rPr>
        <w:tab/>
      </w:r>
      <w:r w:rsidR="006870B9" w:rsidRPr="006870B9">
        <w:rPr>
          <w:rFonts w:ascii="Georgia" w:hAnsi="Georgia" w:cs="Arial"/>
          <w:sz w:val="22"/>
          <w:szCs w:val="22"/>
        </w:rPr>
        <w:t>Asunto</w:t>
      </w:r>
      <w:r w:rsidR="006870B9" w:rsidRPr="006870B9">
        <w:rPr>
          <w:rFonts w:ascii="Georgia" w:hAnsi="Georgia" w:cs="Arial"/>
          <w:sz w:val="22"/>
          <w:szCs w:val="22"/>
        </w:rPr>
        <w:tab/>
      </w:r>
      <w:r w:rsidR="006870B9" w:rsidRPr="006870B9">
        <w:rPr>
          <w:rFonts w:ascii="Georgia" w:hAnsi="Georgia" w:cs="Arial"/>
          <w:sz w:val="22"/>
          <w:szCs w:val="22"/>
        </w:rPr>
        <w:tab/>
      </w:r>
      <w:r w:rsidR="006870B9" w:rsidRPr="006870B9">
        <w:rPr>
          <w:rFonts w:ascii="Georgia" w:hAnsi="Georgia" w:cs="Arial"/>
          <w:sz w:val="22"/>
          <w:szCs w:val="22"/>
        </w:rPr>
        <w:tab/>
        <w:t>: Sentencia de tutela en primera instancia</w:t>
      </w:r>
    </w:p>
    <w:p w:rsidR="006870B9" w:rsidRPr="006870B9" w:rsidRDefault="006870B9" w:rsidP="006870B9">
      <w:pPr>
        <w:pStyle w:val="Corpsdetexte"/>
        <w:spacing w:line="360" w:lineRule="auto"/>
        <w:ind w:left="1416"/>
        <w:rPr>
          <w:rFonts w:ascii="Georgia" w:hAnsi="Georgia" w:cs="Arial"/>
          <w:sz w:val="22"/>
        </w:rPr>
      </w:pPr>
      <w:r w:rsidRPr="006870B9">
        <w:rPr>
          <w:rFonts w:ascii="Georgia" w:hAnsi="Georgia" w:cs="Arial"/>
          <w:sz w:val="22"/>
        </w:rPr>
        <w:t>Accionante</w:t>
      </w:r>
      <w:r w:rsidRPr="006870B9">
        <w:rPr>
          <w:rFonts w:ascii="Georgia" w:hAnsi="Georgia" w:cs="Arial"/>
          <w:sz w:val="22"/>
        </w:rPr>
        <w:tab/>
      </w:r>
      <w:r w:rsidRPr="006870B9">
        <w:rPr>
          <w:rFonts w:ascii="Georgia" w:hAnsi="Georgia" w:cs="Arial"/>
          <w:sz w:val="22"/>
        </w:rPr>
        <w:tab/>
        <w:t>: Marcela Cuartas Mazo</w:t>
      </w:r>
    </w:p>
    <w:p w:rsidR="006870B9" w:rsidRPr="006870B9" w:rsidRDefault="006870B9" w:rsidP="006870B9">
      <w:pPr>
        <w:pStyle w:val="Corpsdetexte"/>
        <w:spacing w:line="360" w:lineRule="auto"/>
        <w:ind w:left="1416"/>
        <w:rPr>
          <w:rFonts w:ascii="Georgia" w:hAnsi="Georgia" w:cs="Arial"/>
          <w:sz w:val="22"/>
        </w:rPr>
      </w:pPr>
      <w:r w:rsidRPr="006870B9">
        <w:rPr>
          <w:rFonts w:ascii="Georgia" w:hAnsi="Georgia" w:cs="Arial"/>
          <w:sz w:val="22"/>
        </w:rPr>
        <w:t>Accionado (s)</w:t>
      </w:r>
      <w:r w:rsidRPr="006870B9">
        <w:rPr>
          <w:rFonts w:ascii="Georgia" w:hAnsi="Georgia" w:cs="Arial"/>
          <w:sz w:val="22"/>
        </w:rPr>
        <w:tab/>
      </w:r>
      <w:r w:rsidRPr="006870B9">
        <w:rPr>
          <w:rFonts w:ascii="Georgia" w:hAnsi="Georgia" w:cs="Arial"/>
          <w:sz w:val="22"/>
        </w:rPr>
        <w:tab/>
        <w:t xml:space="preserve">: Juzgado Primero Civil Municipal de Pereira </w:t>
      </w:r>
    </w:p>
    <w:p w:rsidR="006870B9" w:rsidRPr="006870B9" w:rsidRDefault="006870B9" w:rsidP="006870B9">
      <w:pPr>
        <w:pStyle w:val="Corpsdetexte"/>
        <w:tabs>
          <w:tab w:val="clear" w:pos="3540"/>
          <w:tab w:val="clear" w:pos="4248"/>
        </w:tabs>
        <w:spacing w:line="360" w:lineRule="auto"/>
        <w:ind w:left="3544" w:hanging="2126"/>
        <w:rPr>
          <w:rFonts w:ascii="Georgia" w:hAnsi="Georgia" w:cs="Arial"/>
          <w:sz w:val="22"/>
          <w:szCs w:val="22"/>
        </w:rPr>
      </w:pPr>
      <w:r w:rsidRPr="006870B9">
        <w:rPr>
          <w:rFonts w:ascii="Georgia" w:hAnsi="Georgia" w:cs="Arial"/>
          <w:sz w:val="22"/>
          <w:szCs w:val="22"/>
        </w:rPr>
        <w:t>Vinculado (s)</w:t>
      </w:r>
      <w:r w:rsidRPr="006870B9">
        <w:rPr>
          <w:rFonts w:ascii="Georgia" w:hAnsi="Georgia" w:cs="Arial"/>
          <w:sz w:val="22"/>
          <w:szCs w:val="22"/>
        </w:rPr>
        <w:tab/>
      </w:r>
      <w:r w:rsidRPr="006870B9">
        <w:rPr>
          <w:rFonts w:ascii="Georgia" w:hAnsi="Georgia" w:cs="Arial"/>
          <w:sz w:val="22"/>
          <w:szCs w:val="22"/>
        </w:rPr>
        <w:tab/>
        <w:t xml:space="preserve">: </w:t>
      </w:r>
      <w:r>
        <w:rPr>
          <w:rFonts w:ascii="Georgia" w:hAnsi="Georgia" w:cs="Arial"/>
          <w:sz w:val="22"/>
          <w:szCs w:val="22"/>
        </w:rPr>
        <w:t xml:space="preserve">Juzgado Quinto Civil del Circuito de Pereira </w:t>
      </w:r>
      <w:r w:rsidRPr="006870B9">
        <w:rPr>
          <w:rFonts w:ascii="Georgia" w:hAnsi="Georgia" w:cs="Arial"/>
          <w:sz w:val="22"/>
          <w:szCs w:val="22"/>
        </w:rPr>
        <w:t>y otros</w:t>
      </w:r>
    </w:p>
    <w:p w:rsidR="006870B9" w:rsidRPr="006870B9" w:rsidRDefault="006870B9" w:rsidP="006870B9">
      <w:pPr>
        <w:pStyle w:val="Corpsdetexte"/>
        <w:spacing w:line="360" w:lineRule="auto"/>
        <w:ind w:left="1416"/>
        <w:rPr>
          <w:rFonts w:ascii="Georgia" w:hAnsi="Georgia" w:cs="Arial"/>
          <w:sz w:val="22"/>
        </w:rPr>
      </w:pPr>
      <w:r w:rsidRPr="006870B9">
        <w:rPr>
          <w:rFonts w:ascii="Georgia" w:hAnsi="Georgia" w:cs="Arial"/>
          <w:sz w:val="22"/>
        </w:rPr>
        <w:t>Radicación</w:t>
      </w:r>
      <w:r w:rsidRPr="006870B9">
        <w:rPr>
          <w:rFonts w:ascii="Georgia" w:hAnsi="Georgia" w:cs="Arial"/>
          <w:sz w:val="22"/>
        </w:rPr>
        <w:tab/>
      </w:r>
      <w:r w:rsidRPr="006870B9">
        <w:rPr>
          <w:rFonts w:ascii="Georgia" w:hAnsi="Georgia" w:cs="Arial"/>
          <w:sz w:val="22"/>
        </w:rPr>
        <w:tab/>
        <w:t>: 2017-</w:t>
      </w:r>
      <w:r>
        <w:rPr>
          <w:rFonts w:ascii="Georgia" w:hAnsi="Georgia" w:cs="Arial"/>
          <w:sz w:val="22"/>
        </w:rPr>
        <w:t>01012</w:t>
      </w:r>
      <w:r w:rsidRPr="006870B9">
        <w:rPr>
          <w:rFonts w:ascii="Georgia" w:hAnsi="Georgia" w:cs="Arial"/>
          <w:sz w:val="22"/>
        </w:rPr>
        <w:t>-00 (Interna No.</w:t>
      </w:r>
      <w:r>
        <w:rPr>
          <w:rFonts w:ascii="Georgia" w:hAnsi="Georgia" w:cs="Arial"/>
          <w:sz w:val="22"/>
        </w:rPr>
        <w:t>1012</w:t>
      </w:r>
      <w:r w:rsidRPr="006870B9">
        <w:rPr>
          <w:rFonts w:ascii="Georgia" w:hAnsi="Georgia" w:cs="Arial"/>
          <w:sz w:val="22"/>
        </w:rPr>
        <w:t>)</w:t>
      </w:r>
    </w:p>
    <w:p w:rsidR="006870B9" w:rsidRPr="006870B9" w:rsidRDefault="006870B9" w:rsidP="006870B9">
      <w:pPr>
        <w:pStyle w:val="Corpsdetexte"/>
        <w:spacing w:line="360" w:lineRule="auto"/>
        <w:rPr>
          <w:rFonts w:ascii="Georgia" w:hAnsi="Georgia" w:cs="Arial"/>
          <w:sz w:val="22"/>
          <w:szCs w:val="21"/>
        </w:rPr>
      </w:pPr>
      <w:r w:rsidRPr="006870B9">
        <w:rPr>
          <w:rFonts w:ascii="Georgia" w:hAnsi="Georgia" w:cs="Arial"/>
          <w:sz w:val="22"/>
          <w:szCs w:val="22"/>
        </w:rPr>
        <w:tab/>
      </w:r>
      <w:r w:rsidRPr="006870B9">
        <w:rPr>
          <w:rFonts w:ascii="Georgia" w:hAnsi="Georgia" w:cs="Arial"/>
          <w:sz w:val="22"/>
          <w:szCs w:val="22"/>
        </w:rPr>
        <w:tab/>
        <w:t>Temas</w:t>
      </w:r>
      <w:r w:rsidRPr="006870B9">
        <w:rPr>
          <w:rFonts w:ascii="Georgia" w:hAnsi="Georgia" w:cs="Arial"/>
          <w:sz w:val="22"/>
          <w:szCs w:val="22"/>
        </w:rPr>
        <w:tab/>
      </w:r>
      <w:r w:rsidRPr="006870B9">
        <w:rPr>
          <w:rFonts w:ascii="Georgia" w:hAnsi="Georgia" w:cs="Arial"/>
          <w:sz w:val="22"/>
          <w:szCs w:val="22"/>
        </w:rPr>
        <w:tab/>
      </w:r>
      <w:r w:rsidRPr="006870B9">
        <w:rPr>
          <w:rFonts w:ascii="Georgia" w:hAnsi="Georgia" w:cs="Arial"/>
          <w:sz w:val="22"/>
          <w:szCs w:val="22"/>
        </w:rPr>
        <w:tab/>
        <w:t xml:space="preserve">: </w:t>
      </w:r>
      <w:r w:rsidR="00D66123">
        <w:rPr>
          <w:rFonts w:ascii="Georgia" w:hAnsi="Georgia" w:cs="Arial"/>
          <w:sz w:val="22"/>
          <w:szCs w:val="21"/>
        </w:rPr>
        <w:t>Subsidiariedad –</w:t>
      </w:r>
      <w:r w:rsidR="00C10753">
        <w:rPr>
          <w:rFonts w:ascii="Georgia" w:hAnsi="Georgia" w:cs="Arial"/>
          <w:sz w:val="22"/>
          <w:szCs w:val="21"/>
        </w:rPr>
        <w:t xml:space="preserve"> </w:t>
      </w:r>
      <w:r w:rsidR="005533CB">
        <w:rPr>
          <w:rFonts w:ascii="Georgia" w:hAnsi="Georgia" w:cs="Arial"/>
          <w:sz w:val="22"/>
          <w:szCs w:val="21"/>
        </w:rPr>
        <w:t>Inexistencia f</w:t>
      </w:r>
      <w:r w:rsidR="00D66123">
        <w:rPr>
          <w:rFonts w:ascii="Georgia" w:hAnsi="Georgia" w:cs="Arial"/>
          <w:sz w:val="22"/>
          <w:szCs w:val="21"/>
        </w:rPr>
        <w:t>áctica</w:t>
      </w:r>
    </w:p>
    <w:p w:rsidR="006870B9" w:rsidRPr="006870B9" w:rsidRDefault="006870B9" w:rsidP="006870B9">
      <w:pPr>
        <w:pStyle w:val="Corpsdetexte"/>
        <w:spacing w:line="360" w:lineRule="auto"/>
        <w:rPr>
          <w:rFonts w:ascii="Georgia" w:hAnsi="Georgia"/>
          <w:sz w:val="22"/>
          <w:szCs w:val="22"/>
        </w:rPr>
      </w:pPr>
      <w:r w:rsidRPr="006870B9">
        <w:rPr>
          <w:rFonts w:ascii="Georgia" w:hAnsi="Georgia"/>
          <w:sz w:val="22"/>
          <w:szCs w:val="22"/>
        </w:rPr>
        <w:tab/>
      </w:r>
      <w:r w:rsidRPr="006870B9">
        <w:rPr>
          <w:rFonts w:ascii="Georgia" w:hAnsi="Georgia"/>
          <w:sz w:val="22"/>
          <w:szCs w:val="22"/>
        </w:rPr>
        <w:tab/>
        <w:t>Magistrado Ponente</w:t>
      </w:r>
      <w:r w:rsidRPr="006870B9">
        <w:rPr>
          <w:rFonts w:ascii="Georgia" w:hAnsi="Georgia"/>
          <w:sz w:val="22"/>
          <w:szCs w:val="22"/>
        </w:rPr>
        <w:tab/>
        <w:t xml:space="preserve">: </w:t>
      </w:r>
      <w:proofErr w:type="spellStart"/>
      <w:r w:rsidRPr="006870B9">
        <w:rPr>
          <w:rFonts w:ascii="Georgia" w:hAnsi="Georgia"/>
          <w:smallCaps/>
          <w:sz w:val="22"/>
          <w:szCs w:val="22"/>
        </w:rPr>
        <w:t>Duberney</w:t>
      </w:r>
      <w:proofErr w:type="spellEnd"/>
      <w:r w:rsidRPr="006870B9">
        <w:rPr>
          <w:rFonts w:ascii="Georgia" w:hAnsi="Georgia"/>
          <w:smallCaps/>
          <w:sz w:val="22"/>
          <w:szCs w:val="22"/>
        </w:rPr>
        <w:t xml:space="preserve"> Grisales Herrera</w:t>
      </w:r>
    </w:p>
    <w:p w:rsidR="00BC68E9" w:rsidRPr="006870B9" w:rsidRDefault="00BC68E9" w:rsidP="00BC68E9">
      <w:pPr>
        <w:spacing w:line="360" w:lineRule="auto"/>
        <w:ind w:left="708" w:firstLine="708"/>
        <w:rPr>
          <w:rFonts w:ascii="Georgia" w:hAnsi="Georgia" w:cs="Arial"/>
          <w:b/>
          <w:bCs/>
          <w:sz w:val="22"/>
          <w:szCs w:val="22"/>
        </w:rPr>
      </w:pPr>
      <w:r w:rsidRPr="006870B9">
        <w:rPr>
          <w:rFonts w:ascii="Georgia" w:hAnsi="Georgia"/>
          <w:sz w:val="22"/>
          <w:szCs w:val="22"/>
        </w:rPr>
        <w:t>Acta número</w:t>
      </w:r>
      <w:r w:rsidRPr="006870B9">
        <w:rPr>
          <w:rFonts w:ascii="Georgia" w:hAnsi="Georgia"/>
          <w:sz w:val="22"/>
          <w:szCs w:val="22"/>
        </w:rPr>
        <w:tab/>
      </w:r>
      <w:r w:rsidRPr="006870B9">
        <w:rPr>
          <w:rFonts w:ascii="Georgia" w:hAnsi="Georgia"/>
          <w:sz w:val="22"/>
          <w:szCs w:val="22"/>
        </w:rPr>
        <w:tab/>
        <w:t xml:space="preserve">: </w:t>
      </w:r>
      <w:r>
        <w:rPr>
          <w:rFonts w:ascii="Georgia" w:hAnsi="Georgia"/>
          <w:sz w:val="22"/>
          <w:szCs w:val="22"/>
        </w:rPr>
        <w:t>476 de 14-09-2017</w:t>
      </w:r>
    </w:p>
    <w:p w:rsidR="00BC68E9" w:rsidRPr="006870B9" w:rsidRDefault="00BC68E9" w:rsidP="00BC68E9">
      <w:pPr>
        <w:pBdr>
          <w:bottom w:val="double" w:sz="6" w:space="1" w:color="auto"/>
        </w:pBdr>
        <w:spacing w:line="360" w:lineRule="auto"/>
        <w:jc w:val="center"/>
        <w:rPr>
          <w:rFonts w:ascii="Georgia" w:hAnsi="Georgia" w:cs="Arial"/>
          <w:b/>
          <w:bCs/>
          <w:sz w:val="8"/>
          <w:szCs w:val="22"/>
        </w:rPr>
      </w:pPr>
    </w:p>
    <w:p w:rsidR="00BC68E9" w:rsidRPr="006870B9" w:rsidRDefault="00BC68E9" w:rsidP="00BC68E9">
      <w:pPr>
        <w:spacing w:line="360" w:lineRule="auto"/>
        <w:jc w:val="center"/>
        <w:rPr>
          <w:rFonts w:ascii="Georgia" w:hAnsi="Georgia" w:cs="Arial"/>
          <w:b/>
          <w:bCs/>
          <w:sz w:val="22"/>
          <w:szCs w:val="22"/>
        </w:rPr>
      </w:pPr>
    </w:p>
    <w:p w:rsidR="00BC68E9" w:rsidRPr="006870B9" w:rsidRDefault="00BC68E9" w:rsidP="00BC68E9">
      <w:pPr>
        <w:spacing w:line="360" w:lineRule="auto"/>
        <w:jc w:val="center"/>
        <w:rPr>
          <w:rFonts w:ascii="Georgia" w:hAnsi="Georgia" w:cs="Arial"/>
          <w:iCs/>
          <w:sz w:val="28"/>
          <w:szCs w:val="28"/>
          <w:lang w:val="es-CO"/>
        </w:rPr>
      </w:pPr>
      <w:r w:rsidRPr="006870B9">
        <w:rPr>
          <w:rFonts w:ascii="Georgia" w:hAnsi="Georgia" w:cs="Arial"/>
          <w:iCs/>
          <w:smallCaps/>
          <w:sz w:val="28"/>
          <w:szCs w:val="28"/>
          <w:lang w:val="es-CO"/>
        </w:rPr>
        <w:t xml:space="preserve">Pereira, R., </w:t>
      </w:r>
      <w:r>
        <w:rPr>
          <w:rFonts w:ascii="Georgia" w:hAnsi="Georgia" w:cs="Arial"/>
          <w:iCs/>
          <w:smallCaps/>
          <w:sz w:val="28"/>
          <w:szCs w:val="28"/>
          <w:lang w:val="es-CO"/>
        </w:rPr>
        <w:t xml:space="preserve">catorce </w:t>
      </w:r>
      <w:r w:rsidRPr="006870B9">
        <w:rPr>
          <w:rFonts w:ascii="Georgia" w:hAnsi="Georgia" w:cs="Arial"/>
          <w:iCs/>
          <w:smallCaps/>
          <w:sz w:val="28"/>
          <w:szCs w:val="28"/>
          <w:lang w:val="es-CO"/>
        </w:rPr>
        <w:t>(</w:t>
      </w:r>
      <w:r>
        <w:rPr>
          <w:rFonts w:ascii="Georgia" w:hAnsi="Georgia" w:cs="Arial"/>
          <w:iCs/>
          <w:smallCaps/>
          <w:sz w:val="28"/>
          <w:szCs w:val="28"/>
          <w:lang w:val="es-CO"/>
        </w:rPr>
        <w:t>14</w:t>
      </w:r>
      <w:r w:rsidRPr="006870B9">
        <w:rPr>
          <w:rFonts w:ascii="Georgia" w:hAnsi="Georgia" w:cs="Arial"/>
          <w:iCs/>
          <w:smallCaps/>
          <w:sz w:val="28"/>
          <w:szCs w:val="28"/>
          <w:lang w:val="es-CO"/>
        </w:rPr>
        <w:t>) de septiembre de dos mil diecisiete (2017)</w:t>
      </w:r>
      <w:r w:rsidRPr="006870B9">
        <w:rPr>
          <w:rFonts w:ascii="Georgia" w:hAnsi="Georgia" w:cs="Arial"/>
          <w:iCs/>
          <w:sz w:val="28"/>
          <w:szCs w:val="28"/>
          <w:lang w:val="es-CO"/>
        </w:rPr>
        <w:t>.</w:t>
      </w:r>
    </w:p>
    <w:p w:rsidR="001D44AC" w:rsidRPr="00F27881" w:rsidRDefault="001D44AC" w:rsidP="006870B9">
      <w:pPr>
        <w:pStyle w:val="Corpsdetexte"/>
        <w:spacing w:line="360" w:lineRule="auto"/>
        <w:rPr>
          <w:rFonts w:ascii="Georgia" w:hAnsi="Georgia" w:cs="Arial"/>
          <w:b/>
          <w:bCs/>
          <w:sz w:val="22"/>
          <w:lang w:val="es-CO"/>
        </w:rPr>
      </w:pPr>
    </w:p>
    <w:p w:rsidR="0099045D" w:rsidRPr="003D7D46" w:rsidRDefault="003D7D46" w:rsidP="0099045D">
      <w:pPr>
        <w:pStyle w:val="Corpsdetexte"/>
        <w:numPr>
          <w:ilvl w:val="0"/>
          <w:numId w:val="1"/>
        </w:numPr>
        <w:spacing w:line="360" w:lineRule="auto"/>
        <w:rPr>
          <w:rFonts w:ascii="Georgia" w:hAnsi="Georgia"/>
          <w:sz w:val="24"/>
          <w:szCs w:val="24"/>
        </w:rPr>
      </w:pPr>
      <w:r w:rsidRPr="003D7D46">
        <w:rPr>
          <w:rFonts w:ascii="Georgia" w:hAnsi="Georgia"/>
          <w:sz w:val="24"/>
          <w:szCs w:val="24"/>
        </w:rPr>
        <w:t>EL ASUNTO POR DECIDIR</w:t>
      </w:r>
    </w:p>
    <w:p w:rsidR="00134F0A" w:rsidRPr="00F27881" w:rsidRDefault="00134F0A" w:rsidP="0099045D">
      <w:pPr>
        <w:pStyle w:val="Corpsdetexte"/>
        <w:spacing w:line="360" w:lineRule="auto"/>
        <w:rPr>
          <w:rFonts w:ascii="Georgia" w:hAnsi="Georgia"/>
          <w:sz w:val="22"/>
          <w:szCs w:val="24"/>
        </w:rPr>
      </w:pPr>
    </w:p>
    <w:p w:rsidR="0099045D" w:rsidRPr="006870B9" w:rsidRDefault="0026743C" w:rsidP="0099045D">
      <w:pPr>
        <w:pStyle w:val="Corpsdetexte"/>
        <w:spacing w:line="360" w:lineRule="auto"/>
        <w:rPr>
          <w:rFonts w:ascii="Georgia" w:hAnsi="Georgia"/>
          <w:sz w:val="24"/>
          <w:szCs w:val="24"/>
        </w:rPr>
      </w:pPr>
      <w:r w:rsidRPr="006870B9">
        <w:rPr>
          <w:rFonts w:ascii="Georgia" w:hAnsi="Georgia"/>
          <w:sz w:val="24"/>
          <w:szCs w:val="24"/>
        </w:rPr>
        <w:t>L</w:t>
      </w:r>
      <w:r w:rsidR="00134F0A" w:rsidRPr="006870B9">
        <w:rPr>
          <w:rFonts w:ascii="Georgia" w:hAnsi="Georgia"/>
          <w:sz w:val="24"/>
          <w:szCs w:val="24"/>
        </w:rPr>
        <w:t xml:space="preserve">a acción constitucional </w:t>
      </w:r>
      <w:r w:rsidR="00B71787" w:rsidRPr="006870B9">
        <w:rPr>
          <w:rFonts w:ascii="Georgia" w:hAnsi="Georgia"/>
          <w:sz w:val="24"/>
          <w:szCs w:val="24"/>
        </w:rPr>
        <w:t>en referencia</w:t>
      </w:r>
      <w:r w:rsidR="00134F0A" w:rsidRPr="006870B9">
        <w:rPr>
          <w:rFonts w:ascii="Georgia" w:hAnsi="Georgia"/>
          <w:sz w:val="24"/>
          <w:szCs w:val="24"/>
        </w:rPr>
        <w:t xml:space="preserve">, </w:t>
      </w:r>
      <w:r w:rsidR="008B0C9A" w:rsidRPr="006870B9">
        <w:rPr>
          <w:rFonts w:ascii="Georgia" w:hAnsi="Georgia"/>
          <w:sz w:val="24"/>
          <w:szCs w:val="24"/>
        </w:rPr>
        <w:t xml:space="preserve">una vez se ha surtido </w:t>
      </w:r>
      <w:r w:rsidR="0057516E" w:rsidRPr="006870B9">
        <w:rPr>
          <w:rFonts w:ascii="Georgia" w:hAnsi="Georgia"/>
          <w:sz w:val="24"/>
          <w:szCs w:val="24"/>
        </w:rPr>
        <w:t xml:space="preserve">el trámite </w:t>
      </w:r>
      <w:r w:rsidR="00CD4E89" w:rsidRPr="006870B9">
        <w:rPr>
          <w:rFonts w:ascii="Georgia" w:hAnsi="Georgia"/>
          <w:sz w:val="24"/>
          <w:szCs w:val="24"/>
        </w:rPr>
        <w:t>procedimental respectivo</w:t>
      </w:r>
      <w:r w:rsidR="00134F0A" w:rsidRPr="006870B9">
        <w:rPr>
          <w:rFonts w:ascii="Georgia" w:hAnsi="Georgia"/>
          <w:sz w:val="24"/>
          <w:szCs w:val="24"/>
        </w:rPr>
        <w:t>, sin que se aprecien causales de nulidad que la invaliden.</w:t>
      </w:r>
    </w:p>
    <w:p w:rsidR="000147A2" w:rsidRDefault="000147A2" w:rsidP="0099045D">
      <w:pPr>
        <w:pStyle w:val="Corpsdetexte"/>
        <w:spacing w:line="360" w:lineRule="auto"/>
        <w:rPr>
          <w:rFonts w:ascii="Georgia" w:hAnsi="Georgia"/>
          <w:sz w:val="22"/>
          <w:szCs w:val="24"/>
        </w:rPr>
      </w:pPr>
    </w:p>
    <w:p w:rsidR="009365B9" w:rsidRDefault="009365B9" w:rsidP="0099045D">
      <w:pPr>
        <w:pStyle w:val="Corpsdetexte"/>
        <w:spacing w:line="360" w:lineRule="auto"/>
        <w:rPr>
          <w:rFonts w:ascii="Georgia" w:hAnsi="Georgia"/>
          <w:sz w:val="22"/>
          <w:szCs w:val="24"/>
        </w:rPr>
      </w:pPr>
    </w:p>
    <w:p w:rsidR="009365B9" w:rsidRPr="00F27881" w:rsidRDefault="009365B9" w:rsidP="0099045D">
      <w:pPr>
        <w:pStyle w:val="Corpsdetexte"/>
        <w:spacing w:line="360" w:lineRule="auto"/>
        <w:rPr>
          <w:rFonts w:ascii="Georgia" w:hAnsi="Georgia"/>
          <w:sz w:val="22"/>
          <w:szCs w:val="24"/>
        </w:rPr>
      </w:pPr>
    </w:p>
    <w:p w:rsidR="0099045D" w:rsidRPr="003D7D46" w:rsidRDefault="003D7D46" w:rsidP="0099045D">
      <w:pPr>
        <w:pStyle w:val="Corpsdetexte"/>
        <w:numPr>
          <w:ilvl w:val="0"/>
          <w:numId w:val="1"/>
        </w:numPr>
        <w:spacing w:line="360" w:lineRule="auto"/>
        <w:rPr>
          <w:rFonts w:ascii="Georgia" w:hAnsi="Georgia"/>
          <w:sz w:val="24"/>
          <w:szCs w:val="28"/>
        </w:rPr>
      </w:pPr>
      <w:r w:rsidRPr="003D7D46">
        <w:rPr>
          <w:rFonts w:ascii="Georgia" w:hAnsi="Georgia"/>
          <w:sz w:val="24"/>
          <w:szCs w:val="28"/>
        </w:rPr>
        <w:lastRenderedPageBreak/>
        <w:t>LA SÍNTESIS DE LOS SUPUESTOS FÁCTICOS RELEVANTES</w:t>
      </w:r>
    </w:p>
    <w:p w:rsidR="0099045D" w:rsidRPr="00F27881" w:rsidRDefault="0099045D" w:rsidP="0099045D">
      <w:pPr>
        <w:pStyle w:val="Corpsdetexte"/>
        <w:spacing w:line="360" w:lineRule="auto"/>
        <w:rPr>
          <w:rFonts w:ascii="Georgia" w:hAnsi="Georgia" w:cs="Arial"/>
          <w:sz w:val="22"/>
          <w:szCs w:val="24"/>
        </w:rPr>
      </w:pPr>
    </w:p>
    <w:p w:rsidR="006870B9" w:rsidRPr="007C23E2" w:rsidRDefault="006870B9" w:rsidP="006870B9">
      <w:pPr>
        <w:spacing w:line="360" w:lineRule="auto"/>
        <w:jc w:val="both"/>
        <w:rPr>
          <w:rFonts w:ascii="Georgia" w:hAnsi="Georgia" w:cs="Arial"/>
          <w:lang w:val="es-CO"/>
        </w:rPr>
      </w:pPr>
      <w:r>
        <w:rPr>
          <w:rFonts w:ascii="Georgia" w:hAnsi="Georgia" w:cs="Arial"/>
          <w:lang w:val="es-CO"/>
        </w:rPr>
        <w:t>Mencionó</w:t>
      </w:r>
      <w:r w:rsidRPr="007C23E2">
        <w:rPr>
          <w:rFonts w:ascii="Georgia" w:hAnsi="Georgia" w:cs="Arial"/>
          <w:lang w:val="es-CO"/>
        </w:rPr>
        <w:t xml:space="preserve"> </w:t>
      </w:r>
      <w:r>
        <w:rPr>
          <w:rFonts w:ascii="Georgia" w:hAnsi="Georgia" w:cs="Arial"/>
          <w:lang w:val="es-CO"/>
        </w:rPr>
        <w:t xml:space="preserve">la actora que en su contra se adelantan varios incidentes de desacato ante el Juzgado Primero Civil Municipal de Pereira, entre ellos, el radicado al No.2017-00701-00 en el que fue sancionada, pese a que el 03-08-2017 se dio respuesta de fondo al derecho de petición, además de que no es la empleada encargada de cumplir el fallo, circunstancias que puso de presente a los estrados judiciales accionados, mas guardaron silencio </w:t>
      </w:r>
      <w:r w:rsidRPr="007C23E2">
        <w:rPr>
          <w:rFonts w:ascii="Georgia" w:hAnsi="Georgia" w:cs="Arial"/>
        </w:rPr>
        <w:t xml:space="preserve">(Folios </w:t>
      </w:r>
      <w:r>
        <w:rPr>
          <w:rFonts w:ascii="Georgia" w:hAnsi="Georgia" w:cs="Arial"/>
        </w:rPr>
        <w:t>2 a 9</w:t>
      </w:r>
      <w:r w:rsidRPr="007C23E2">
        <w:rPr>
          <w:rFonts w:ascii="Georgia" w:hAnsi="Georgia" w:cs="Arial"/>
        </w:rPr>
        <w:t>, este cuaderno)</w:t>
      </w:r>
      <w:r>
        <w:rPr>
          <w:rFonts w:ascii="Georgia" w:hAnsi="Georgia" w:cs="Arial"/>
        </w:rPr>
        <w:t xml:space="preserve"> (La tutela solo se admitió respecto del incidente No.2017-00701-00, folio 37, este cuaderno)</w:t>
      </w:r>
      <w:r w:rsidRPr="007C23E2">
        <w:rPr>
          <w:rFonts w:ascii="Georgia" w:hAnsi="Georgia" w:cs="Arial"/>
        </w:rPr>
        <w:t xml:space="preserve">. </w:t>
      </w:r>
    </w:p>
    <w:p w:rsidR="00E110FE" w:rsidRPr="00F27881" w:rsidRDefault="00E110FE" w:rsidP="00533ABA">
      <w:pPr>
        <w:spacing w:line="360" w:lineRule="auto"/>
        <w:jc w:val="both"/>
        <w:rPr>
          <w:rFonts w:ascii="Georgia" w:hAnsi="Georgia" w:cs="Arial"/>
          <w:sz w:val="22"/>
        </w:rPr>
      </w:pPr>
    </w:p>
    <w:p w:rsidR="006870B9" w:rsidRPr="006870B9" w:rsidRDefault="006870B9" w:rsidP="006870B9">
      <w:pPr>
        <w:pStyle w:val="Corpsdetexte"/>
        <w:numPr>
          <w:ilvl w:val="0"/>
          <w:numId w:val="1"/>
        </w:numPr>
        <w:spacing w:line="360" w:lineRule="auto"/>
        <w:rPr>
          <w:rFonts w:ascii="Georgia" w:hAnsi="Georgia"/>
          <w:sz w:val="24"/>
          <w:szCs w:val="24"/>
        </w:rPr>
      </w:pPr>
      <w:r w:rsidRPr="006870B9">
        <w:rPr>
          <w:rFonts w:ascii="Georgia" w:hAnsi="Georgia"/>
          <w:sz w:val="24"/>
          <w:szCs w:val="24"/>
        </w:rPr>
        <w:t>EL DERECHO INVOCADO</w:t>
      </w:r>
    </w:p>
    <w:p w:rsidR="006870B9" w:rsidRPr="00F27881" w:rsidRDefault="006870B9" w:rsidP="006870B9">
      <w:pPr>
        <w:pStyle w:val="Corpsdetexte"/>
        <w:spacing w:line="360" w:lineRule="auto"/>
        <w:rPr>
          <w:rFonts w:ascii="Georgia" w:hAnsi="Georgia"/>
          <w:sz w:val="22"/>
          <w:szCs w:val="24"/>
          <w:lang w:val="es-CO"/>
        </w:rPr>
      </w:pPr>
    </w:p>
    <w:p w:rsidR="006870B9" w:rsidRPr="006870B9" w:rsidRDefault="006870B9" w:rsidP="006870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870B9">
        <w:rPr>
          <w:rFonts w:ascii="Georgia" w:hAnsi="Georgia" w:cs="Arial"/>
          <w:spacing w:val="-3"/>
          <w:lang w:val="es-ES_tradnl"/>
        </w:rPr>
        <w:t>Se invocan los derechos a la libertad individual y al debido proceso (Folio 9, este cuaderno).</w:t>
      </w:r>
    </w:p>
    <w:p w:rsidR="00533ABA" w:rsidRPr="00F27881"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2"/>
        </w:rPr>
      </w:pPr>
    </w:p>
    <w:p w:rsidR="006870B9" w:rsidRPr="006870B9" w:rsidRDefault="006870B9" w:rsidP="006870B9">
      <w:pPr>
        <w:pStyle w:val="Corpsdetexte"/>
        <w:numPr>
          <w:ilvl w:val="0"/>
          <w:numId w:val="1"/>
        </w:numPr>
        <w:spacing w:line="360" w:lineRule="auto"/>
        <w:rPr>
          <w:rFonts w:ascii="Georgia" w:hAnsi="Georgia"/>
          <w:sz w:val="24"/>
          <w:szCs w:val="24"/>
        </w:rPr>
      </w:pPr>
      <w:r w:rsidRPr="006870B9">
        <w:rPr>
          <w:rFonts w:ascii="Georgia" w:hAnsi="Georgia"/>
          <w:sz w:val="24"/>
          <w:szCs w:val="24"/>
        </w:rPr>
        <w:t xml:space="preserve">LAS PETICIONES DE PROTECCIÓN </w:t>
      </w:r>
    </w:p>
    <w:p w:rsidR="006870B9" w:rsidRPr="00F27881" w:rsidRDefault="006870B9" w:rsidP="006870B9">
      <w:pPr>
        <w:pStyle w:val="Corpsdetexte"/>
        <w:spacing w:line="360" w:lineRule="auto"/>
        <w:ind w:left="360"/>
        <w:rPr>
          <w:rFonts w:ascii="Georgia" w:hAnsi="Georgia"/>
          <w:sz w:val="22"/>
          <w:szCs w:val="24"/>
        </w:rPr>
      </w:pPr>
    </w:p>
    <w:p w:rsidR="006870B9" w:rsidRPr="006870B9" w:rsidRDefault="006870B9" w:rsidP="006870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870B9">
        <w:rPr>
          <w:rFonts w:ascii="Georgia" w:hAnsi="Georgia" w:cs="Arial"/>
        </w:rPr>
        <w:t xml:space="preserve">Pretende la actora que se conceda la protección de los derechos invocados y, en consecuencia,  se deje sin efectos la sanción impuesta; asimismo, que se prevenga al accionado para que los requerimientos en los incidentes de desacato sean dirigidos a los señores Luis Carlos Gómez Jaramillo y Luis </w:t>
      </w:r>
      <w:proofErr w:type="spellStart"/>
      <w:r w:rsidRPr="006870B9">
        <w:rPr>
          <w:rFonts w:ascii="Georgia" w:hAnsi="Georgia" w:cs="Arial"/>
        </w:rPr>
        <w:t>Freddyur</w:t>
      </w:r>
      <w:proofErr w:type="spellEnd"/>
      <w:r w:rsidRPr="006870B9">
        <w:rPr>
          <w:rFonts w:ascii="Georgia" w:hAnsi="Georgia" w:cs="Arial"/>
        </w:rPr>
        <w:t xml:space="preserve"> </w:t>
      </w:r>
      <w:proofErr w:type="spellStart"/>
      <w:r w:rsidRPr="006870B9">
        <w:rPr>
          <w:rFonts w:ascii="Georgia" w:hAnsi="Georgia" w:cs="Arial"/>
        </w:rPr>
        <w:t>Tivar</w:t>
      </w:r>
      <w:proofErr w:type="spellEnd"/>
      <w:r w:rsidRPr="006870B9">
        <w:rPr>
          <w:rFonts w:ascii="Georgia" w:hAnsi="Georgia" w:cs="Arial"/>
        </w:rPr>
        <w:t xml:space="preserve">, y no la vincule; también que tenga en cuenta que los servicios requeridos por los </w:t>
      </w:r>
      <w:proofErr w:type="spellStart"/>
      <w:r w:rsidRPr="006870B9">
        <w:rPr>
          <w:rFonts w:ascii="Georgia" w:hAnsi="Georgia" w:cs="Arial"/>
        </w:rPr>
        <w:t>incidentantes</w:t>
      </w:r>
      <w:proofErr w:type="spellEnd"/>
      <w:r w:rsidRPr="006870B9">
        <w:rPr>
          <w:rFonts w:ascii="Georgia" w:hAnsi="Georgia" w:cs="Arial"/>
        </w:rPr>
        <w:t xml:space="preserve"> ya están programados </w:t>
      </w:r>
      <w:r w:rsidRPr="006870B9">
        <w:rPr>
          <w:rFonts w:ascii="Georgia" w:hAnsi="Georgia" w:cs="Arial"/>
          <w:spacing w:val="-3"/>
          <w:lang w:val="es-ES_tradnl"/>
        </w:rPr>
        <w:t>(Folios 9, ibídem).</w:t>
      </w:r>
    </w:p>
    <w:p w:rsidR="00533ABA" w:rsidRPr="00F27881" w:rsidRDefault="00533ABA" w:rsidP="00533ABA">
      <w:pPr>
        <w:pStyle w:val="Sansinterligne"/>
        <w:spacing w:line="360" w:lineRule="auto"/>
        <w:jc w:val="both"/>
        <w:rPr>
          <w:rFonts w:ascii="Georgia" w:hAnsi="Georgia" w:cs="Arial"/>
          <w:sz w:val="22"/>
          <w:szCs w:val="24"/>
        </w:rPr>
      </w:pPr>
    </w:p>
    <w:p w:rsidR="00533ABA" w:rsidRPr="003D7D46" w:rsidRDefault="003D7D46" w:rsidP="00533ABA">
      <w:pPr>
        <w:pStyle w:val="Sansinterligne"/>
        <w:numPr>
          <w:ilvl w:val="0"/>
          <w:numId w:val="1"/>
        </w:numPr>
        <w:spacing w:line="360" w:lineRule="auto"/>
        <w:jc w:val="both"/>
        <w:rPr>
          <w:rFonts w:ascii="Georgia" w:hAnsi="Georgia"/>
          <w:szCs w:val="28"/>
        </w:rPr>
      </w:pPr>
      <w:r w:rsidRPr="003D7D46">
        <w:rPr>
          <w:rFonts w:ascii="Georgia" w:hAnsi="Georgia"/>
          <w:szCs w:val="28"/>
        </w:rPr>
        <w:t>LA SÍNTESIS DE LA CRÓNICA PROCESAL</w:t>
      </w:r>
    </w:p>
    <w:p w:rsidR="00533ABA" w:rsidRPr="00F27881" w:rsidRDefault="00533ABA" w:rsidP="00533ABA">
      <w:pPr>
        <w:pStyle w:val="Sansinterligne"/>
        <w:tabs>
          <w:tab w:val="left" w:pos="1200"/>
        </w:tabs>
        <w:spacing w:line="360" w:lineRule="auto"/>
        <w:jc w:val="both"/>
        <w:rPr>
          <w:rFonts w:ascii="Georgia" w:hAnsi="Georgia"/>
          <w:sz w:val="22"/>
          <w:szCs w:val="24"/>
        </w:rPr>
      </w:pPr>
    </w:p>
    <w:p w:rsidR="006870B9" w:rsidRPr="007C23E2" w:rsidRDefault="006870B9" w:rsidP="006870B9">
      <w:pPr>
        <w:spacing w:line="360" w:lineRule="auto"/>
        <w:jc w:val="both"/>
        <w:rPr>
          <w:rFonts w:ascii="Georgia" w:hAnsi="Georgia" w:cs="Arial"/>
        </w:rPr>
      </w:pPr>
      <w:r w:rsidRPr="007C23E2">
        <w:rPr>
          <w:rFonts w:ascii="Georgia" w:hAnsi="Georgia"/>
        </w:rPr>
        <w:t xml:space="preserve">En reparto ordinario del </w:t>
      </w:r>
      <w:r>
        <w:rPr>
          <w:rFonts w:ascii="Georgia" w:hAnsi="Georgia"/>
        </w:rPr>
        <w:t xml:space="preserve">01-09-2017 </w:t>
      </w:r>
      <w:r w:rsidRPr="007C23E2">
        <w:rPr>
          <w:rFonts w:ascii="Georgia" w:hAnsi="Georgia"/>
        </w:rPr>
        <w:t xml:space="preserve">se </w:t>
      </w:r>
      <w:r>
        <w:rPr>
          <w:rFonts w:ascii="Georgia" w:hAnsi="Georgia"/>
        </w:rPr>
        <w:t>asignó</w:t>
      </w:r>
      <w:r w:rsidRPr="007C23E2">
        <w:rPr>
          <w:rFonts w:ascii="Georgia" w:hAnsi="Georgia"/>
        </w:rPr>
        <w:t xml:space="preserve"> a este Despacho</w:t>
      </w:r>
      <w:r w:rsidRPr="007C23E2">
        <w:rPr>
          <w:rFonts w:ascii="Georgia" w:hAnsi="Georgia" w:cs="Arial"/>
          <w:color w:val="000000"/>
        </w:rPr>
        <w:t xml:space="preserve">, con providencia del </w:t>
      </w:r>
      <w:r>
        <w:rPr>
          <w:rFonts w:ascii="Georgia" w:hAnsi="Georgia" w:cs="Arial"/>
          <w:color w:val="000000"/>
        </w:rPr>
        <w:t>mismo día se admitió la acción la relacionada con el incidente de desacato No.2017-00701-00</w:t>
      </w:r>
      <w:r w:rsidRPr="007C23E2">
        <w:rPr>
          <w:rFonts w:ascii="Georgia" w:hAnsi="Georgia" w:cs="Arial"/>
          <w:color w:val="000000"/>
        </w:rPr>
        <w:t xml:space="preserve">, </w:t>
      </w:r>
      <w:r w:rsidRPr="007C23E2">
        <w:rPr>
          <w:rFonts w:ascii="Georgia" w:hAnsi="Georgia"/>
        </w:rPr>
        <w:t>se ordenó vincular a quienes se estimó conveniente y se dispuso notificar a la partes</w:t>
      </w:r>
      <w:r w:rsidRPr="007C23E2">
        <w:rPr>
          <w:rFonts w:ascii="Georgia" w:hAnsi="Georgia" w:cs="Arial"/>
          <w:color w:val="000000"/>
        </w:rPr>
        <w:t xml:space="preserve">, </w:t>
      </w:r>
      <w:r w:rsidRPr="007C23E2">
        <w:rPr>
          <w:rFonts w:ascii="Georgia" w:hAnsi="Georgia"/>
        </w:rPr>
        <w:t>entre otros ordenamientos (Folio</w:t>
      </w:r>
      <w:r>
        <w:rPr>
          <w:rFonts w:ascii="Georgia" w:hAnsi="Georgia"/>
        </w:rPr>
        <w:t>s</w:t>
      </w:r>
      <w:r w:rsidRPr="007C23E2">
        <w:rPr>
          <w:rFonts w:ascii="Georgia" w:hAnsi="Georgia"/>
        </w:rPr>
        <w:t xml:space="preserve"> </w:t>
      </w:r>
      <w:r>
        <w:rPr>
          <w:rFonts w:ascii="Georgia" w:hAnsi="Georgia"/>
        </w:rPr>
        <w:t>37</w:t>
      </w:r>
      <w:r w:rsidRPr="007C23E2">
        <w:rPr>
          <w:rFonts w:ascii="Georgia" w:hAnsi="Georgia"/>
        </w:rPr>
        <w:t>, ibídem)</w:t>
      </w:r>
      <w:r w:rsidRPr="007C23E2">
        <w:rPr>
          <w:rFonts w:ascii="Georgia" w:hAnsi="Georgia" w:cs="Arial"/>
          <w:color w:val="000000"/>
        </w:rPr>
        <w:t xml:space="preserve">. Fueron debidamente enterados los extremos de la acción (Folios </w:t>
      </w:r>
      <w:r>
        <w:rPr>
          <w:rFonts w:ascii="Georgia" w:hAnsi="Georgia" w:cs="Arial"/>
          <w:color w:val="000000"/>
        </w:rPr>
        <w:t>38 a 44</w:t>
      </w:r>
      <w:r w:rsidRPr="007C23E2">
        <w:rPr>
          <w:rFonts w:ascii="Georgia" w:hAnsi="Georgia" w:cs="Arial"/>
          <w:color w:val="000000"/>
        </w:rPr>
        <w:t>, ibídem).</w:t>
      </w:r>
      <w:r w:rsidRPr="007C23E2">
        <w:rPr>
          <w:rFonts w:ascii="Georgia" w:hAnsi="Georgia" w:cs="Arial"/>
        </w:rPr>
        <w:t xml:space="preserve"> </w:t>
      </w:r>
      <w:r>
        <w:rPr>
          <w:rFonts w:ascii="Georgia" w:hAnsi="Georgia" w:cs="Arial"/>
        </w:rPr>
        <w:t xml:space="preserve">Contestó la señora Clemencia Sánchez de Camelo (Folios </w:t>
      </w:r>
      <w:r w:rsidR="003D7D46">
        <w:rPr>
          <w:rFonts w:ascii="Georgia" w:hAnsi="Georgia" w:cs="Arial"/>
        </w:rPr>
        <w:t>46 y 47</w:t>
      </w:r>
      <w:r>
        <w:rPr>
          <w:rFonts w:ascii="Georgia" w:hAnsi="Georgia" w:cs="Arial"/>
        </w:rPr>
        <w:t xml:space="preserve">, </w:t>
      </w:r>
      <w:r w:rsidR="003D7D46">
        <w:rPr>
          <w:rFonts w:ascii="Georgia" w:hAnsi="Georgia" w:cs="Arial"/>
        </w:rPr>
        <w:t>ib.</w:t>
      </w:r>
      <w:r>
        <w:rPr>
          <w:rFonts w:ascii="Georgia" w:hAnsi="Georgia" w:cs="Arial"/>
        </w:rPr>
        <w:t xml:space="preserve">). El </w:t>
      </w:r>
      <w:r w:rsidR="003D7D46">
        <w:rPr>
          <w:rFonts w:ascii="Georgia" w:hAnsi="Georgia" w:cs="Arial"/>
        </w:rPr>
        <w:t>07</w:t>
      </w:r>
      <w:r>
        <w:rPr>
          <w:rFonts w:ascii="Georgia" w:hAnsi="Georgia" w:cs="Arial"/>
        </w:rPr>
        <w:t xml:space="preserve">-09-2017 se efectuó la inspección judicial (Folio </w:t>
      </w:r>
      <w:r w:rsidR="003D7D46">
        <w:rPr>
          <w:rFonts w:ascii="Georgia" w:hAnsi="Georgia" w:cs="Arial"/>
        </w:rPr>
        <w:t>50</w:t>
      </w:r>
      <w:r>
        <w:rPr>
          <w:rFonts w:ascii="Georgia" w:hAnsi="Georgia" w:cs="Arial"/>
        </w:rPr>
        <w:t>, ib.).</w:t>
      </w:r>
    </w:p>
    <w:p w:rsidR="00554E96" w:rsidRPr="00F27881" w:rsidRDefault="00554E96" w:rsidP="003C676B">
      <w:pPr>
        <w:spacing w:line="360" w:lineRule="auto"/>
        <w:jc w:val="both"/>
        <w:rPr>
          <w:rFonts w:ascii="Georgia" w:hAnsi="Georgia"/>
          <w:sz w:val="22"/>
        </w:rPr>
      </w:pPr>
    </w:p>
    <w:p w:rsidR="00554E96" w:rsidRPr="003D7D46" w:rsidRDefault="003D7D46" w:rsidP="00554E96">
      <w:pPr>
        <w:numPr>
          <w:ilvl w:val="0"/>
          <w:numId w:val="18"/>
        </w:numPr>
        <w:spacing w:line="360" w:lineRule="auto"/>
        <w:jc w:val="both"/>
        <w:rPr>
          <w:rFonts w:ascii="Georgia" w:hAnsi="Georgia"/>
        </w:rPr>
      </w:pPr>
      <w:r w:rsidRPr="003D7D46">
        <w:rPr>
          <w:rFonts w:ascii="Georgia" w:hAnsi="Georgia"/>
        </w:rPr>
        <w:t>LA SINOPSIS DE LA RESPUESTA</w:t>
      </w:r>
    </w:p>
    <w:p w:rsidR="00554E96" w:rsidRPr="00F27881" w:rsidRDefault="00554E96" w:rsidP="00554E96">
      <w:pPr>
        <w:spacing w:line="360" w:lineRule="auto"/>
        <w:jc w:val="both"/>
        <w:rPr>
          <w:rFonts w:ascii="Georgia" w:hAnsi="Georgia"/>
          <w:sz w:val="22"/>
        </w:rPr>
      </w:pPr>
    </w:p>
    <w:p w:rsidR="003D7D46" w:rsidRDefault="003D7D46" w:rsidP="003D7D46">
      <w:pPr>
        <w:spacing w:line="360" w:lineRule="auto"/>
        <w:jc w:val="both"/>
        <w:rPr>
          <w:rFonts w:ascii="Georgia" w:hAnsi="Georgia"/>
        </w:rPr>
      </w:pPr>
      <w:r>
        <w:rPr>
          <w:rFonts w:ascii="Georgia" w:hAnsi="Georgia" w:cs="Arial"/>
        </w:rPr>
        <w:t xml:space="preserve">La señora Clemencia Sánchez de Camelo refirió que la accionante no le ha dado respuesta al derecho de petición en deliberado desacato a la orden de tutela </w:t>
      </w:r>
      <w:r>
        <w:rPr>
          <w:rFonts w:ascii="Georgia" w:hAnsi="Georgia"/>
        </w:rPr>
        <w:t>(Folios 46 y 47, ib.).</w:t>
      </w:r>
    </w:p>
    <w:p w:rsidR="003D7D46" w:rsidRPr="00F27881" w:rsidRDefault="003D7D46" w:rsidP="003D7D46">
      <w:pPr>
        <w:spacing w:line="360" w:lineRule="auto"/>
        <w:jc w:val="both"/>
        <w:rPr>
          <w:rFonts w:ascii="Georgia" w:hAnsi="Georgia"/>
          <w:sz w:val="22"/>
        </w:rPr>
      </w:pPr>
    </w:p>
    <w:p w:rsidR="003D7D46" w:rsidRPr="007C23E2" w:rsidRDefault="003D7D46" w:rsidP="003D7D46">
      <w:pPr>
        <w:pStyle w:val="Paragraphedeliste"/>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3D7D46" w:rsidRPr="00F27881" w:rsidRDefault="003D7D46" w:rsidP="003D7D46">
      <w:pPr>
        <w:pStyle w:val="Corpsdetexte"/>
        <w:spacing w:line="360" w:lineRule="auto"/>
        <w:ind w:left="400"/>
        <w:rPr>
          <w:rFonts w:ascii="Georgia" w:hAnsi="Georgia"/>
          <w:sz w:val="22"/>
          <w:szCs w:val="24"/>
        </w:rPr>
      </w:pPr>
    </w:p>
    <w:p w:rsidR="003D7D46" w:rsidRPr="00F27881" w:rsidRDefault="003D7D46" w:rsidP="003D7D46">
      <w:pPr>
        <w:pStyle w:val="Corpsdetexte"/>
        <w:numPr>
          <w:ilvl w:val="1"/>
          <w:numId w:val="18"/>
        </w:numPr>
        <w:tabs>
          <w:tab w:val="clear" w:pos="0"/>
          <w:tab w:val="clear" w:pos="708"/>
          <w:tab w:val="left" w:pos="709"/>
        </w:tabs>
        <w:spacing w:line="360" w:lineRule="auto"/>
        <w:ind w:left="709" w:hanging="709"/>
        <w:rPr>
          <w:rFonts w:ascii="Georgia" w:hAnsi="Georgia" w:cs="Arial"/>
          <w:color w:val="000000"/>
          <w:sz w:val="24"/>
          <w:szCs w:val="24"/>
        </w:rPr>
      </w:pPr>
      <w:r w:rsidRPr="00F27881">
        <w:rPr>
          <w:rFonts w:ascii="Georgia" w:hAnsi="Georgia"/>
          <w:smallCaps/>
          <w:sz w:val="24"/>
          <w:szCs w:val="24"/>
        </w:rPr>
        <w:t xml:space="preserve">La competencia. </w:t>
      </w:r>
      <w:r w:rsidRPr="00F27881">
        <w:rPr>
          <w:rFonts w:ascii="Georgia" w:hAnsi="Georgia" w:cs="Arial"/>
          <w:sz w:val="24"/>
          <w:szCs w:val="24"/>
        </w:rPr>
        <w:t xml:space="preserve">Este Tribunal es competente para conocer la acción en razón a que es el superior jerárquico del </w:t>
      </w:r>
      <w:r w:rsidRPr="00F27881">
        <w:rPr>
          <w:rFonts w:ascii="Georgia" w:hAnsi="Georgia" w:cs="Arial"/>
          <w:color w:val="000000"/>
          <w:sz w:val="24"/>
          <w:szCs w:val="24"/>
        </w:rPr>
        <w:t>Juzgado Quinto Civil del Circuito de Pereira.</w:t>
      </w:r>
    </w:p>
    <w:p w:rsidR="003D7D46" w:rsidRPr="00F27881" w:rsidRDefault="003D7D46" w:rsidP="003D7D46">
      <w:pPr>
        <w:pStyle w:val="Paragraphedeliste"/>
        <w:spacing w:line="360" w:lineRule="auto"/>
        <w:rPr>
          <w:rFonts w:ascii="Georgia" w:hAnsi="Georgia" w:cs="Arial"/>
          <w:sz w:val="22"/>
        </w:rPr>
      </w:pPr>
    </w:p>
    <w:p w:rsidR="003D7D46" w:rsidRPr="00F27881" w:rsidRDefault="003D7D46" w:rsidP="003D7D46">
      <w:pPr>
        <w:pStyle w:val="Corpsdetexte"/>
        <w:numPr>
          <w:ilvl w:val="1"/>
          <w:numId w:val="18"/>
        </w:numPr>
        <w:spacing w:line="360" w:lineRule="auto"/>
        <w:rPr>
          <w:rFonts w:ascii="Georgia" w:hAnsi="Georgia" w:cs="Arial"/>
          <w:sz w:val="24"/>
          <w:szCs w:val="24"/>
        </w:rPr>
      </w:pPr>
      <w:r w:rsidRPr="00F27881">
        <w:rPr>
          <w:rFonts w:ascii="Georgia" w:hAnsi="Georgia"/>
          <w:smallCaps/>
          <w:sz w:val="24"/>
          <w:szCs w:val="24"/>
        </w:rPr>
        <w:t xml:space="preserve">El problema jurídico a resolver. </w:t>
      </w:r>
      <w:r w:rsidRPr="00F27881">
        <w:rPr>
          <w:rFonts w:ascii="Georgia" w:hAnsi="Georgia" w:cs="Arial"/>
          <w:sz w:val="24"/>
          <w:szCs w:val="24"/>
        </w:rPr>
        <w:t xml:space="preserve">¿Los Despachos Judiciales accionados han vulnerado o amenazado los derechos fundamentales de la accionante, según lo expuesto en los escritos de tutela?   </w:t>
      </w:r>
    </w:p>
    <w:p w:rsidR="003D7D46" w:rsidRPr="00F27881" w:rsidRDefault="003D7D46" w:rsidP="003D7D46">
      <w:pPr>
        <w:spacing w:line="360" w:lineRule="auto"/>
        <w:rPr>
          <w:rFonts w:ascii="Georgia" w:hAnsi="Georgia" w:cs="Arial"/>
          <w:sz w:val="22"/>
        </w:rPr>
      </w:pPr>
    </w:p>
    <w:p w:rsidR="003D7D46" w:rsidRPr="00F27881" w:rsidRDefault="003D7D46" w:rsidP="003D7D46">
      <w:pPr>
        <w:pStyle w:val="Paragraphedeliste"/>
        <w:numPr>
          <w:ilvl w:val="1"/>
          <w:numId w:val="18"/>
        </w:numPr>
        <w:spacing w:line="360" w:lineRule="auto"/>
        <w:rPr>
          <w:rFonts w:ascii="Georgia" w:hAnsi="Georgia" w:cs="Arial"/>
          <w:smallCaps/>
        </w:rPr>
      </w:pPr>
      <w:r w:rsidRPr="00F27881">
        <w:rPr>
          <w:rFonts w:ascii="Georgia" w:hAnsi="Georgia" w:cs="Arial"/>
          <w:smallCaps/>
        </w:rPr>
        <w:t>Los presupuestos generales de procedencia</w:t>
      </w:r>
    </w:p>
    <w:p w:rsidR="003D7D46" w:rsidRPr="00F27881" w:rsidRDefault="003D7D46" w:rsidP="003D7D46">
      <w:pPr>
        <w:pStyle w:val="Paragraphedeliste"/>
        <w:spacing w:line="360" w:lineRule="auto"/>
        <w:ind w:left="720"/>
        <w:rPr>
          <w:rFonts w:ascii="Georgia" w:hAnsi="Georgia" w:cs="Arial"/>
          <w:sz w:val="22"/>
        </w:rPr>
      </w:pPr>
    </w:p>
    <w:p w:rsidR="003D7D46" w:rsidRPr="00F27881" w:rsidRDefault="003D7D46" w:rsidP="00F27881">
      <w:pPr>
        <w:pStyle w:val="Corpsdetexte"/>
        <w:numPr>
          <w:ilvl w:val="2"/>
          <w:numId w:val="18"/>
        </w:numPr>
        <w:spacing w:line="360" w:lineRule="auto"/>
        <w:rPr>
          <w:rFonts w:ascii="Georgia" w:hAnsi="Georgia" w:cs="Arial"/>
          <w:sz w:val="24"/>
          <w:szCs w:val="24"/>
        </w:rPr>
      </w:pPr>
      <w:r w:rsidRPr="00F27881">
        <w:rPr>
          <w:rFonts w:ascii="Georgia" w:hAnsi="Georgia"/>
          <w:smallCaps/>
          <w:sz w:val="22"/>
          <w:szCs w:val="24"/>
        </w:rPr>
        <w:t>La legitimación en la causa</w:t>
      </w:r>
      <w:r w:rsidRPr="00F27881">
        <w:rPr>
          <w:rFonts w:ascii="Georgia" w:hAnsi="Georgia"/>
          <w:smallCaps/>
          <w:sz w:val="24"/>
          <w:szCs w:val="24"/>
        </w:rPr>
        <w:t xml:space="preserve">. </w:t>
      </w:r>
      <w:r w:rsidRPr="00F27881">
        <w:rPr>
          <w:rFonts w:ascii="Georgia" w:hAnsi="Georgia" w:cs="Arial"/>
          <w:sz w:val="24"/>
          <w:szCs w:val="24"/>
          <w:lang w:val="es-ES"/>
        </w:rPr>
        <w:t xml:space="preserve">Se cumple por activa dado que la actora es la </w:t>
      </w:r>
      <w:proofErr w:type="spellStart"/>
      <w:r w:rsidRPr="00F27881">
        <w:rPr>
          <w:rFonts w:ascii="Georgia" w:hAnsi="Georgia" w:cs="Arial"/>
          <w:sz w:val="24"/>
          <w:szCs w:val="24"/>
          <w:lang w:val="es-ES"/>
        </w:rPr>
        <w:t>incidentada</w:t>
      </w:r>
      <w:proofErr w:type="spellEnd"/>
      <w:r w:rsidRPr="00F27881">
        <w:rPr>
          <w:rFonts w:ascii="Georgia" w:hAnsi="Georgia" w:cs="Arial"/>
          <w:sz w:val="24"/>
          <w:szCs w:val="24"/>
          <w:lang w:val="es-ES"/>
        </w:rPr>
        <w:t xml:space="preserve"> en el trámite donde se reprocha la falta al debido proceso</w:t>
      </w:r>
      <w:r w:rsidRPr="00F27881">
        <w:rPr>
          <w:rFonts w:ascii="Georgia" w:hAnsi="Georgia" w:cs="Arial"/>
          <w:sz w:val="24"/>
          <w:szCs w:val="24"/>
        </w:rPr>
        <w:t xml:space="preserve">. Y por pasiva, lo son los despachos judiciales accionados porque fueron </w:t>
      </w:r>
      <w:r w:rsidRPr="00F27881">
        <w:rPr>
          <w:rFonts w:ascii="Georgia" w:hAnsi="Georgia" w:cs="Arial"/>
          <w:sz w:val="24"/>
          <w:szCs w:val="24"/>
          <w:lang w:val="es-CO"/>
        </w:rPr>
        <w:t>las autoridades que tomaron las decisiones cuestionadas</w:t>
      </w:r>
      <w:r w:rsidRPr="00F27881">
        <w:rPr>
          <w:rFonts w:ascii="Georgia" w:hAnsi="Georgia" w:cs="Arial"/>
          <w:sz w:val="24"/>
          <w:szCs w:val="24"/>
        </w:rPr>
        <w:t>.</w:t>
      </w:r>
    </w:p>
    <w:p w:rsidR="00907C22" w:rsidRPr="00F27881" w:rsidRDefault="00907C22" w:rsidP="00F27881">
      <w:pPr>
        <w:pStyle w:val="Paragraphedeliste"/>
        <w:spacing w:line="360" w:lineRule="auto"/>
        <w:ind w:left="720"/>
        <w:jc w:val="both"/>
        <w:rPr>
          <w:rFonts w:ascii="Georgia" w:hAnsi="Georgia"/>
          <w:smallCaps/>
          <w:sz w:val="22"/>
        </w:rPr>
      </w:pPr>
    </w:p>
    <w:p w:rsidR="003D7D46" w:rsidRPr="00F27881" w:rsidRDefault="003D7D46" w:rsidP="00F27881">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2"/>
          <w:szCs w:val="24"/>
          <w:lang w:val="es-ES"/>
        </w:rPr>
      </w:pPr>
      <w:r w:rsidRPr="00F27881">
        <w:rPr>
          <w:rFonts w:ascii="Georgia" w:hAnsi="Georgia" w:cs="Arial"/>
          <w:smallCaps/>
          <w:sz w:val="22"/>
          <w:szCs w:val="24"/>
          <w:lang w:val="es-ES"/>
        </w:rPr>
        <w:t xml:space="preserve">La procedencia frente a decisiones dentro de un incidente de desacato </w:t>
      </w:r>
    </w:p>
    <w:p w:rsidR="003D7D46" w:rsidRPr="00F27881" w:rsidRDefault="003D7D46" w:rsidP="00F27881">
      <w:pPr>
        <w:pStyle w:val="Paragraphedeliste"/>
        <w:spacing w:line="360" w:lineRule="auto"/>
        <w:rPr>
          <w:rFonts w:ascii="Georgia" w:hAnsi="Georgia" w:cs="Arial"/>
          <w:smallCaps/>
          <w:sz w:val="22"/>
        </w:rPr>
      </w:pPr>
    </w:p>
    <w:p w:rsidR="003D7D46" w:rsidRPr="00F27881" w:rsidRDefault="003D7D46" w:rsidP="00F278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rPr>
      </w:pPr>
      <w:r w:rsidRPr="00F27881">
        <w:rPr>
          <w:rFonts w:ascii="Georgia" w:hAnsi="Georgia" w:cs="Arial"/>
          <w:sz w:val="24"/>
          <w:szCs w:val="24"/>
        </w:rPr>
        <w:t>La jurisprudencia</w:t>
      </w:r>
      <w:r w:rsidRPr="00F27881">
        <w:rPr>
          <w:rStyle w:val="Appelnotedebasdep"/>
          <w:rFonts w:ascii="Georgia" w:hAnsi="Georgia"/>
          <w:sz w:val="24"/>
          <w:szCs w:val="24"/>
        </w:rPr>
        <w:footnoteReference w:id="1"/>
      </w:r>
      <w:r w:rsidRPr="00F27881">
        <w:rPr>
          <w:rFonts w:ascii="Georgia" w:hAnsi="Georgia" w:cs="Arial"/>
          <w:sz w:val="24"/>
          <w:szCs w:val="24"/>
        </w:rPr>
        <w:t xml:space="preserve"> ha sido reiterativa en sostener que es posible excepcionalmente rebatir por intermedio del amparo constitucional las decisiones que ponen fin a un incidente de desacato a fallo de tutela cuando se adviertan comprometidos los derechos fundamentales de las partes intervinientes, esencialmente el derecho al debido proceso. </w:t>
      </w:r>
    </w:p>
    <w:p w:rsidR="003D7D46" w:rsidRPr="00F27881" w:rsidRDefault="003D7D46" w:rsidP="003D7D4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2"/>
          <w:szCs w:val="24"/>
        </w:rPr>
      </w:pPr>
    </w:p>
    <w:p w:rsidR="003D7D46" w:rsidRPr="00F27881" w:rsidRDefault="003D7D46" w:rsidP="003D7D4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i/>
          <w:sz w:val="24"/>
          <w:szCs w:val="24"/>
          <w:lang w:val="es-CO"/>
        </w:rPr>
      </w:pPr>
      <w:r w:rsidRPr="00F27881">
        <w:rPr>
          <w:rFonts w:ascii="Georgia" w:hAnsi="Georgia" w:cs="Arial"/>
          <w:sz w:val="24"/>
          <w:szCs w:val="24"/>
        </w:rPr>
        <w:t>Asimismo, el máximo ente constitucional, en cuanto a los requisitos de procedibilidad</w:t>
      </w:r>
      <w:r w:rsidRPr="00F27881">
        <w:rPr>
          <w:rStyle w:val="Appelnotedebasdep"/>
          <w:rFonts w:ascii="Georgia" w:hAnsi="Georgia"/>
          <w:i/>
          <w:sz w:val="24"/>
          <w:szCs w:val="24"/>
          <w:lang w:val="es-ES"/>
        </w:rPr>
        <w:footnoteReference w:id="2"/>
      </w:r>
      <w:r w:rsidRPr="00F27881">
        <w:rPr>
          <w:rFonts w:ascii="Georgia" w:hAnsi="Georgia" w:cs="Arial"/>
          <w:sz w:val="24"/>
          <w:szCs w:val="24"/>
        </w:rPr>
        <w:t xml:space="preserve"> </w:t>
      </w:r>
      <w:r w:rsidRPr="00F27881">
        <w:rPr>
          <w:rFonts w:ascii="Georgia" w:hAnsi="Georgia" w:cs="Arial"/>
          <w:i/>
          <w:sz w:val="22"/>
          <w:szCs w:val="24"/>
        </w:rPr>
        <w:t xml:space="preserve">“(…) </w:t>
      </w:r>
      <w:r w:rsidRPr="00F27881">
        <w:rPr>
          <w:rFonts w:ascii="Georgia" w:hAnsi="Georgia" w:cs="Arial"/>
          <w:i/>
          <w:sz w:val="22"/>
          <w:szCs w:val="24"/>
          <w:lang w:val="es-ES"/>
        </w:rPr>
        <w:t xml:space="preserve">ha aclarado que la acción de amparo procede en este caso cuando, </w:t>
      </w:r>
      <w:r w:rsidRPr="00F27881">
        <w:rPr>
          <w:rFonts w:ascii="Georgia" w:hAnsi="Georgia" w:cs="Arial"/>
          <w:i/>
          <w:sz w:val="22"/>
          <w:szCs w:val="24"/>
          <w:u w:val="single"/>
          <w:lang w:val="es-ES"/>
        </w:rPr>
        <w:t>(i) además de estar ejecutoriada la providencia que resuelve el desacato, se (ii) reúnan los requisitos generales y se (iii) configure por lo menos una de las causales especiales de procedibilidad de la acción de tutela contra providencias judiciales</w:t>
      </w:r>
      <w:r w:rsidRPr="00F27881">
        <w:rPr>
          <w:rFonts w:ascii="Georgia" w:hAnsi="Georgia" w:cs="Arial"/>
          <w:i/>
          <w:sz w:val="22"/>
          <w:szCs w:val="24"/>
          <w:lang w:val="es-ES"/>
        </w:rPr>
        <w:t>. (…)”</w:t>
      </w:r>
      <w:r w:rsidRPr="00F27881">
        <w:rPr>
          <w:rFonts w:ascii="Georgia" w:hAnsi="Georgia" w:cs="Arial"/>
          <w:i/>
          <w:sz w:val="24"/>
          <w:szCs w:val="24"/>
          <w:lang w:val="es-ES"/>
        </w:rPr>
        <w:t xml:space="preserve"> </w:t>
      </w:r>
      <w:r w:rsidRPr="00F27881">
        <w:rPr>
          <w:rFonts w:ascii="Georgia" w:hAnsi="Georgia" w:cs="Arial"/>
          <w:sz w:val="24"/>
          <w:szCs w:val="24"/>
          <w:lang w:val="es-ES"/>
        </w:rPr>
        <w:t>(</w:t>
      </w:r>
      <w:proofErr w:type="spellStart"/>
      <w:r w:rsidRPr="00F27881">
        <w:rPr>
          <w:rFonts w:ascii="Georgia" w:hAnsi="Georgia" w:cs="Arial"/>
          <w:sz w:val="24"/>
          <w:szCs w:val="24"/>
          <w:lang w:val="es-ES"/>
        </w:rPr>
        <w:t>Sublíneas</w:t>
      </w:r>
      <w:proofErr w:type="spellEnd"/>
      <w:r w:rsidRPr="00F27881">
        <w:rPr>
          <w:rFonts w:ascii="Georgia" w:hAnsi="Georgia" w:cs="Arial"/>
          <w:sz w:val="24"/>
          <w:szCs w:val="24"/>
          <w:lang w:val="es-ES"/>
        </w:rPr>
        <w:t xml:space="preserve"> de esta Sala)</w:t>
      </w:r>
      <w:r w:rsidRPr="00F27881">
        <w:rPr>
          <w:rFonts w:ascii="Georgia" w:hAnsi="Georgia" w:cs="Arial"/>
          <w:sz w:val="24"/>
          <w:szCs w:val="24"/>
          <w:lang w:val="es-CO"/>
        </w:rPr>
        <w:t>.</w:t>
      </w:r>
    </w:p>
    <w:p w:rsidR="003D7D46" w:rsidRPr="00F27881" w:rsidRDefault="003D7D46" w:rsidP="003D7D4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2"/>
          <w:szCs w:val="24"/>
          <w:lang w:val="es-ES"/>
        </w:rPr>
      </w:pPr>
    </w:p>
    <w:p w:rsidR="003D7D46" w:rsidRPr="00F27881" w:rsidRDefault="003D7D46" w:rsidP="003D7D4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i/>
          <w:iCs/>
          <w:sz w:val="24"/>
          <w:szCs w:val="24"/>
          <w:bdr w:val="none" w:sz="0" w:space="0" w:color="auto" w:frame="1"/>
          <w:shd w:val="clear" w:color="auto" w:fill="FFFFFF"/>
        </w:rPr>
      </w:pPr>
      <w:r w:rsidRPr="00F27881">
        <w:rPr>
          <w:rFonts w:ascii="Georgia" w:hAnsi="Georgia" w:cs="Arial"/>
          <w:sz w:val="24"/>
          <w:szCs w:val="24"/>
          <w:lang w:val="es-ES"/>
        </w:rPr>
        <w:t>También, ha referido que</w:t>
      </w:r>
      <w:r w:rsidRPr="00F27881">
        <w:rPr>
          <w:rStyle w:val="Appelnotedebasdep"/>
          <w:rFonts w:ascii="Georgia" w:hAnsi="Georgia"/>
          <w:i/>
          <w:iCs/>
          <w:sz w:val="24"/>
          <w:szCs w:val="24"/>
          <w:bdr w:val="none" w:sz="0" w:space="0" w:color="auto" w:frame="1"/>
          <w:shd w:val="clear" w:color="auto" w:fill="FFFFFF"/>
        </w:rPr>
        <w:footnoteReference w:id="3"/>
      </w:r>
      <w:r w:rsidRPr="00F27881">
        <w:rPr>
          <w:rFonts w:ascii="Georgia" w:hAnsi="Georgia" w:cs="Arial"/>
          <w:sz w:val="24"/>
          <w:szCs w:val="24"/>
          <w:lang w:val="es-ES"/>
        </w:rPr>
        <w:t xml:space="preserve">: </w:t>
      </w:r>
      <w:r w:rsidRPr="00F27881">
        <w:rPr>
          <w:rFonts w:ascii="Georgia" w:hAnsi="Georgia" w:cs="Arial"/>
          <w:i/>
          <w:iCs/>
          <w:sz w:val="22"/>
          <w:szCs w:val="24"/>
          <w:bdr w:val="none" w:sz="0" w:space="0" w:color="auto" w:frame="1"/>
          <w:shd w:val="clear" w:color="auto" w:fill="FFFFFF"/>
        </w:rPr>
        <w:t xml:space="preserve">“(…) </w:t>
      </w:r>
      <w:r w:rsidRPr="00F27881">
        <w:rPr>
          <w:rFonts w:ascii="Georgia" w:hAnsi="Georgia" w:cs="Arial"/>
          <w:i/>
          <w:iCs/>
          <w:sz w:val="22"/>
          <w:szCs w:val="24"/>
          <w:u w:val="single"/>
          <w:bdr w:val="none" w:sz="0" w:space="0" w:color="auto" w:frame="1"/>
          <w:shd w:val="clear" w:color="auto" w:fill="FFFFFF"/>
        </w:rPr>
        <w:t>(i) los argumentos del accionante en el trámite del incidente de desacato y en la acción de tutela deben ser consistentes; (ii) no deben existir alegaciones nuevas, que debieron ser argumentadas en el incidente de desacato; y (iii) no se puede recurrir a la solicitud de nuevas pruebas que no fueron originalmente solicitadas y que el juez no tenía que practicar de oficio (…)</w:t>
      </w:r>
      <w:r w:rsidRPr="00F27881">
        <w:rPr>
          <w:rFonts w:ascii="Georgia" w:hAnsi="Georgia" w:cs="Arial"/>
          <w:i/>
          <w:iCs/>
          <w:sz w:val="22"/>
          <w:szCs w:val="24"/>
          <w:bdr w:val="none" w:sz="0" w:space="0" w:color="auto" w:frame="1"/>
          <w:shd w:val="clear" w:color="auto" w:fill="FFFFFF"/>
        </w:rPr>
        <w:t>”</w:t>
      </w:r>
      <w:r w:rsidRPr="00F27881">
        <w:rPr>
          <w:rFonts w:ascii="Georgia" w:hAnsi="Georgia" w:cs="Arial"/>
          <w:i/>
          <w:iCs/>
          <w:sz w:val="24"/>
          <w:szCs w:val="24"/>
          <w:bdr w:val="none" w:sz="0" w:space="0" w:color="auto" w:frame="1"/>
          <w:shd w:val="clear" w:color="auto" w:fill="FFFFFF"/>
        </w:rPr>
        <w:t xml:space="preserve"> </w:t>
      </w:r>
      <w:r w:rsidRPr="00F27881">
        <w:rPr>
          <w:rFonts w:ascii="Georgia" w:hAnsi="Georgia" w:cs="Arial"/>
          <w:iCs/>
          <w:sz w:val="24"/>
          <w:szCs w:val="24"/>
          <w:bdr w:val="none" w:sz="0" w:space="0" w:color="auto" w:frame="1"/>
          <w:shd w:val="clear" w:color="auto" w:fill="FFFFFF"/>
        </w:rPr>
        <w:t>(Subrayas fuera del texto original).</w:t>
      </w:r>
    </w:p>
    <w:p w:rsidR="006953ED" w:rsidRPr="006870B9" w:rsidRDefault="006953ED" w:rsidP="006953E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i/>
          <w:iCs/>
          <w:color w:val="2D2D2D"/>
          <w:sz w:val="22"/>
          <w:szCs w:val="28"/>
          <w:bdr w:val="none" w:sz="0" w:space="0" w:color="auto" w:frame="1"/>
          <w:shd w:val="clear" w:color="auto" w:fill="FFFFFF"/>
        </w:rPr>
      </w:pPr>
    </w:p>
    <w:p w:rsidR="00F27881" w:rsidRPr="00F27881" w:rsidRDefault="00F27881" w:rsidP="00F27881">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F27881">
        <w:rPr>
          <w:rFonts w:ascii="Georgia" w:hAnsi="Georgia" w:cs="Verdana"/>
          <w:smallCaps/>
          <w:spacing w:val="0"/>
          <w:sz w:val="22"/>
          <w:szCs w:val="24"/>
          <w:lang w:val="es-ES"/>
        </w:rPr>
        <w:t>Las sub-reglas de análisis en la procedibilidad frente a decisiones judiciales</w:t>
      </w:r>
    </w:p>
    <w:p w:rsidR="00F27881" w:rsidRPr="00F27881" w:rsidRDefault="00F27881" w:rsidP="00F27881">
      <w:pPr>
        <w:pStyle w:val="Corpsdetexte"/>
        <w:spacing w:line="360" w:lineRule="auto"/>
        <w:rPr>
          <w:rFonts w:ascii="Georgia" w:hAnsi="Georgia" w:cs="Arial"/>
          <w:sz w:val="22"/>
          <w:szCs w:val="24"/>
          <w:lang w:val="es-CO"/>
        </w:rPr>
      </w:pPr>
    </w:p>
    <w:p w:rsidR="00F27881" w:rsidRPr="00F27881" w:rsidRDefault="00F27881" w:rsidP="00F27881">
      <w:pPr>
        <w:pStyle w:val="Corpsdetexte"/>
        <w:shd w:val="clear" w:color="auto" w:fill="FFFFFF" w:themeFill="background1"/>
        <w:spacing w:line="360" w:lineRule="auto"/>
        <w:rPr>
          <w:rFonts w:ascii="Georgia" w:hAnsi="Georgia" w:cs="Arial"/>
          <w:sz w:val="24"/>
          <w:szCs w:val="24"/>
        </w:rPr>
      </w:pPr>
      <w:r w:rsidRPr="00F27881">
        <w:rPr>
          <w:rFonts w:ascii="Georgia" w:hAnsi="Georgia" w:cs="Arial"/>
          <w:sz w:val="24"/>
          <w:szCs w:val="24"/>
        </w:rPr>
        <w:t xml:space="preserve">Desde la sentencia C-543 </w:t>
      </w:r>
      <w:r w:rsidRPr="00F27881">
        <w:rPr>
          <w:rFonts w:ascii="Georgia" w:hAnsi="Georgia"/>
          <w:sz w:val="24"/>
          <w:szCs w:val="24"/>
        </w:rPr>
        <w:t xml:space="preserve"> </w:t>
      </w:r>
      <w:r w:rsidRPr="00F27881">
        <w:rPr>
          <w:rFonts w:ascii="Georgia" w:hAnsi="Georgia" w:cs="Arial"/>
          <w:sz w:val="24"/>
          <w:szCs w:val="24"/>
        </w:rPr>
        <w:t xml:space="preserve">de  1992,  que examinó en constitucionalidad, los artículos 11, 12 y 40 del Decreto 2591 de 1991, declarados ajustados a la Carta, inicia la línea </w:t>
      </w:r>
      <w:r w:rsidRPr="00F27881">
        <w:rPr>
          <w:rFonts w:ascii="Georgia" w:hAnsi="Georgia" w:cs="Arial"/>
          <w:sz w:val="24"/>
          <w:szCs w:val="24"/>
        </w:rPr>
        <w:lastRenderedPageBreak/>
        <w:t>jurisprudencial en torno a la tutela contra providencias judiciales, que ha evolucionado hasta una re-definición dogmática entre 2003 y 2005</w:t>
      </w:r>
      <w:r w:rsidRPr="00F27881">
        <w:rPr>
          <w:rStyle w:val="Appelnotedebasdep"/>
          <w:rFonts w:ascii="Georgia" w:hAnsi="Georgia" w:cs="Arial"/>
          <w:sz w:val="24"/>
          <w:szCs w:val="24"/>
        </w:rPr>
        <w:footnoteReference w:id="4"/>
      </w:r>
      <w:r w:rsidRPr="00F27881">
        <w:rPr>
          <w:rFonts w:ascii="Georgia" w:hAnsi="Georgia" w:cs="Arial"/>
          <w:sz w:val="24"/>
          <w:szCs w:val="24"/>
        </w:rPr>
        <w:t xml:space="preserve">, básicamente sustituyó la expresión “vías de hecho” por la de “causales genéricas de procedibilidad” y ensanchó las causales especiales, pasando de cuatro (4) a ocho (8).  En el mismo sentido Quiroga </w:t>
      </w:r>
      <w:proofErr w:type="spellStart"/>
      <w:r w:rsidRPr="00F27881">
        <w:rPr>
          <w:rFonts w:ascii="Georgia" w:hAnsi="Georgia" w:cs="Arial"/>
          <w:sz w:val="24"/>
          <w:szCs w:val="24"/>
        </w:rPr>
        <w:t>Natale</w:t>
      </w:r>
      <w:proofErr w:type="spellEnd"/>
      <w:r w:rsidRPr="00F27881">
        <w:rPr>
          <w:rStyle w:val="Appelnotedebasdep"/>
          <w:rFonts w:ascii="Georgia" w:hAnsi="Georgia"/>
          <w:sz w:val="24"/>
          <w:szCs w:val="24"/>
        </w:rPr>
        <w:footnoteReference w:id="5"/>
      </w:r>
      <w:r w:rsidRPr="00F27881">
        <w:rPr>
          <w:rFonts w:ascii="Georgia" w:hAnsi="Georgia" w:cs="Arial"/>
          <w:sz w:val="24"/>
          <w:szCs w:val="24"/>
        </w:rPr>
        <w:t>.</w:t>
      </w:r>
    </w:p>
    <w:p w:rsidR="00F27881" w:rsidRPr="00F27881" w:rsidRDefault="00F27881" w:rsidP="00F27881">
      <w:pPr>
        <w:pStyle w:val="Corpsdetexte"/>
        <w:shd w:val="clear" w:color="auto" w:fill="FFFFFF" w:themeFill="background1"/>
        <w:spacing w:line="360" w:lineRule="auto"/>
        <w:rPr>
          <w:rFonts w:ascii="Georgia" w:hAnsi="Georgia" w:cs="Arial"/>
          <w:sz w:val="22"/>
          <w:szCs w:val="24"/>
        </w:rPr>
      </w:pPr>
    </w:p>
    <w:p w:rsidR="00F27881" w:rsidRPr="00F27881" w:rsidRDefault="00F27881" w:rsidP="00F27881">
      <w:pPr>
        <w:pStyle w:val="Corpsdetexte"/>
        <w:shd w:val="clear" w:color="auto" w:fill="FFFFFF" w:themeFill="background1"/>
        <w:spacing w:line="360" w:lineRule="auto"/>
        <w:rPr>
          <w:rFonts w:ascii="Georgia" w:hAnsi="Georgia" w:cs="Arial"/>
          <w:sz w:val="24"/>
          <w:szCs w:val="24"/>
        </w:rPr>
      </w:pPr>
      <w:r w:rsidRPr="00F27881">
        <w:rPr>
          <w:rFonts w:ascii="Georgia" w:hAnsi="Georgia" w:cs="Arial"/>
          <w:sz w:val="24"/>
          <w:szCs w:val="24"/>
        </w:rPr>
        <w:t xml:space="preserve">Ahora, en frente del examen que se reclama en sede constitucional, resulta de mayúscula trascendencia, precisar que </w:t>
      </w:r>
      <w:r w:rsidRPr="00F27881">
        <w:rPr>
          <w:rFonts w:ascii="Georgia" w:hAnsi="Georgia" w:cs="Arial"/>
          <w:sz w:val="24"/>
          <w:szCs w:val="24"/>
          <w:u w:val="single"/>
        </w:rPr>
        <w:t>se trata de un juicio de validez y no de corrección</w:t>
      </w:r>
      <w:r w:rsidRPr="00F27881">
        <w:rPr>
          <w:rFonts w:ascii="Georgia" w:hAnsi="Georgia" w:cs="Arial"/>
          <w:sz w:val="24"/>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w:t>
      </w:r>
    </w:p>
    <w:p w:rsidR="00F27881" w:rsidRPr="00F27881" w:rsidRDefault="00F27881" w:rsidP="00F27881">
      <w:pPr>
        <w:pStyle w:val="Corpsdetexte"/>
        <w:shd w:val="clear" w:color="auto" w:fill="FFFFFF" w:themeFill="background1"/>
        <w:spacing w:line="360" w:lineRule="auto"/>
        <w:rPr>
          <w:rFonts w:ascii="Georgia" w:hAnsi="Georgia" w:cs="Arial"/>
          <w:sz w:val="24"/>
          <w:szCs w:val="24"/>
        </w:rPr>
      </w:pPr>
      <w:proofErr w:type="gramStart"/>
      <w:r w:rsidRPr="00F27881">
        <w:rPr>
          <w:rFonts w:ascii="Georgia" w:hAnsi="Georgia" w:cs="Arial"/>
          <w:sz w:val="24"/>
          <w:szCs w:val="24"/>
        </w:rPr>
        <w:t>protector</w:t>
      </w:r>
      <w:proofErr w:type="gramEnd"/>
      <w:r w:rsidRPr="00F27881">
        <w:rPr>
          <w:rFonts w:ascii="Georgia" w:hAnsi="Georgia" w:cs="Arial"/>
          <w:sz w:val="24"/>
          <w:szCs w:val="24"/>
        </w:rPr>
        <w:t>.  Así lo explicó la Colegiatura constitucional</w:t>
      </w:r>
      <w:r w:rsidRPr="00F27881">
        <w:rPr>
          <w:rStyle w:val="Appelnotedebasdep"/>
          <w:rFonts w:ascii="Georgia" w:hAnsi="Georgia" w:cs="Arial"/>
          <w:sz w:val="24"/>
          <w:szCs w:val="24"/>
        </w:rPr>
        <w:footnoteReference w:id="6"/>
      </w:r>
      <w:r w:rsidRPr="00F27881">
        <w:rPr>
          <w:rFonts w:ascii="Georgia" w:hAnsi="Georgia" w:cs="Arial"/>
          <w:sz w:val="24"/>
          <w:szCs w:val="24"/>
        </w:rPr>
        <w:t>.</w:t>
      </w:r>
    </w:p>
    <w:p w:rsidR="00F27881" w:rsidRPr="00F27881" w:rsidRDefault="00F27881" w:rsidP="00F27881">
      <w:pPr>
        <w:pStyle w:val="Corpsdetexte"/>
        <w:shd w:val="clear" w:color="auto" w:fill="FFFFFF" w:themeFill="background1"/>
        <w:spacing w:line="360" w:lineRule="auto"/>
        <w:rPr>
          <w:rFonts w:ascii="Georgia" w:hAnsi="Georgia" w:cs="Arial"/>
          <w:sz w:val="22"/>
          <w:szCs w:val="24"/>
        </w:rPr>
      </w:pPr>
    </w:p>
    <w:p w:rsidR="00F27881" w:rsidRPr="00F27881" w:rsidRDefault="00F27881" w:rsidP="00F27881">
      <w:pPr>
        <w:pStyle w:val="Corpsdetexte"/>
        <w:shd w:val="clear" w:color="auto" w:fill="FFFFFF" w:themeFill="background1"/>
        <w:spacing w:line="360" w:lineRule="auto"/>
        <w:rPr>
          <w:rFonts w:ascii="Georgia" w:hAnsi="Georgia" w:cs="Arial"/>
          <w:sz w:val="24"/>
          <w:szCs w:val="24"/>
        </w:rPr>
      </w:pPr>
      <w:r w:rsidRPr="00F27881">
        <w:rPr>
          <w:rFonts w:ascii="Georgia" w:hAnsi="Georgia" w:cs="Arial"/>
          <w:sz w:val="24"/>
          <w:szCs w:val="24"/>
        </w:rPr>
        <w:t xml:space="preserve">Los requisitos generales de procedibilidad, explicados en amplitud en la sentencia C-590 de </w:t>
      </w:r>
    </w:p>
    <w:p w:rsidR="00F27881" w:rsidRPr="00F27881" w:rsidRDefault="00F27881" w:rsidP="00F27881">
      <w:pPr>
        <w:pStyle w:val="Corpsdetexte"/>
        <w:shd w:val="clear" w:color="auto" w:fill="FFFFFF" w:themeFill="background1"/>
        <w:spacing w:line="360" w:lineRule="auto"/>
        <w:rPr>
          <w:rFonts w:ascii="Georgia" w:hAnsi="Georgia" w:cs="Arial"/>
          <w:sz w:val="24"/>
          <w:szCs w:val="24"/>
        </w:rPr>
      </w:pPr>
      <w:r w:rsidRPr="00F27881">
        <w:rPr>
          <w:rFonts w:ascii="Georgia" w:hAnsi="Georgia" w:cs="Arial"/>
          <w:sz w:val="24"/>
          <w:szCs w:val="24"/>
        </w:rPr>
        <w:t>2005</w:t>
      </w:r>
      <w:r w:rsidRPr="00F27881">
        <w:rPr>
          <w:rStyle w:val="Appelnotedebasdep"/>
          <w:rFonts w:ascii="Georgia" w:hAnsi="Georgia" w:cs="Arial"/>
          <w:sz w:val="24"/>
          <w:szCs w:val="24"/>
        </w:rPr>
        <w:footnoteReference w:id="7"/>
      </w:r>
      <w:r w:rsidRPr="00F27881">
        <w:rPr>
          <w:rFonts w:ascii="Georgia" w:hAnsi="Georgia" w:cs="Arial"/>
          <w:sz w:val="24"/>
          <w:szCs w:val="24"/>
        </w:rPr>
        <w:t xml:space="preserve">  y  reiterados  en  la consolidada línea jurisprudencial de la CC</w:t>
      </w:r>
      <w:r w:rsidRPr="00F27881">
        <w:rPr>
          <w:rStyle w:val="Appelnotedebasdep"/>
          <w:rFonts w:ascii="Georgia" w:hAnsi="Georgia" w:cs="Arial"/>
          <w:sz w:val="24"/>
          <w:szCs w:val="24"/>
        </w:rPr>
        <w:footnoteReference w:id="8"/>
      </w:r>
      <w:r w:rsidRPr="00F27881">
        <w:rPr>
          <w:rFonts w:ascii="Georgia" w:hAnsi="Georgia" w:cs="Arial"/>
          <w:sz w:val="24"/>
          <w:szCs w:val="24"/>
        </w:rPr>
        <w:t xml:space="preserve"> (2017)</w:t>
      </w:r>
      <w:r w:rsidRPr="00F27881">
        <w:rPr>
          <w:rStyle w:val="Appelnotedebasdep"/>
          <w:rFonts w:ascii="Georgia" w:hAnsi="Georgia"/>
          <w:sz w:val="24"/>
          <w:szCs w:val="24"/>
        </w:rPr>
        <w:footnoteReference w:id="9"/>
      </w:r>
      <w:r w:rsidRPr="00F27881">
        <w:rPr>
          <w:rFonts w:ascii="Georgia" w:hAnsi="Georgia" w:cs="Arial"/>
          <w:sz w:val="24"/>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27881">
        <w:rPr>
          <w:rStyle w:val="Appelnotedebasdep"/>
          <w:rFonts w:ascii="Georgia" w:hAnsi="Georgia"/>
          <w:sz w:val="24"/>
          <w:szCs w:val="24"/>
        </w:rPr>
        <w:footnoteReference w:id="10"/>
      </w:r>
      <w:r w:rsidRPr="00F27881">
        <w:rPr>
          <w:rFonts w:ascii="Georgia" w:hAnsi="Georgia" w:cs="Arial"/>
          <w:sz w:val="24"/>
          <w:szCs w:val="24"/>
        </w:rPr>
        <w:t>.</w:t>
      </w:r>
    </w:p>
    <w:p w:rsidR="00F27881" w:rsidRPr="00F27881" w:rsidRDefault="00F27881" w:rsidP="00F27881">
      <w:pPr>
        <w:pStyle w:val="Corpsdetexte"/>
        <w:shd w:val="clear" w:color="auto" w:fill="FFFFFF" w:themeFill="background1"/>
        <w:spacing w:line="360" w:lineRule="auto"/>
        <w:rPr>
          <w:rFonts w:ascii="Georgia" w:hAnsi="Georgia" w:cs="Arial"/>
          <w:sz w:val="22"/>
          <w:szCs w:val="24"/>
        </w:rPr>
      </w:pPr>
    </w:p>
    <w:p w:rsidR="00F27881" w:rsidRDefault="00F27881" w:rsidP="00F27881">
      <w:pPr>
        <w:pStyle w:val="Corpsdetexte"/>
        <w:shd w:val="clear" w:color="auto" w:fill="FFFFFF" w:themeFill="background1"/>
        <w:spacing w:line="360" w:lineRule="auto"/>
        <w:rPr>
          <w:rFonts w:ascii="Georgia" w:hAnsi="Georgia" w:cs="Arial"/>
          <w:sz w:val="24"/>
          <w:szCs w:val="24"/>
        </w:rPr>
      </w:pPr>
      <w:r w:rsidRPr="00F27881">
        <w:rPr>
          <w:rFonts w:ascii="Georgia" w:hAnsi="Georgia" w:cs="Arial"/>
          <w:sz w:val="24"/>
          <w:szCs w:val="24"/>
        </w:rPr>
        <w:t xml:space="preserve">De otra parte, como requisitos o causales especiales de procedibilidad, se han definido los siguientes: (i) Defecto orgánico, (ii) Defecto procedimental absoluto, (iii) Defecto fáctico, (iv) Error inducido, </w:t>
      </w:r>
      <w:r w:rsidRPr="00C10753">
        <w:rPr>
          <w:rFonts w:ascii="Georgia" w:hAnsi="Georgia" w:cs="Arial"/>
          <w:sz w:val="24"/>
          <w:szCs w:val="24"/>
        </w:rPr>
        <w:t>(v) Decisión sin motivación</w:t>
      </w:r>
      <w:r w:rsidRPr="00F27881">
        <w:rPr>
          <w:rFonts w:ascii="Georgia" w:hAnsi="Georgia" w:cs="Arial"/>
          <w:sz w:val="24"/>
          <w:szCs w:val="24"/>
        </w:rPr>
        <w:t>, (vi) Defecto material o sustantivo; (vii) Desconocimiento del precedente; y, por último, (viii) violación directa de la Carta.  Un sistemático recuento puede leerse en la obra de los doctores Catalina Botero Marino</w:t>
      </w:r>
      <w:r w:rsidRPr="00F27881">
        <w:rPr>
          <w:rFonts w:ascii="Georgia" w:hAnsi="Georgia" w:cs="Arial"/>
          <w:sz w:val="24"/>
          <w:szCs w:val="24"/>
          <w:vertAlign w:val="superscript"/>
        </w:rPr>
        <w:footnoteReference w:id="11"/>
      </w:r>
      <w:r w:rsidRPr="00F27881">
        <w:rPr>
          <w:rFonts w:ascii="Georgia" w:hAnsi="Georgia" w:cs="Arial"/>
          <w:sz w:val="24"/>
          <w:szCs w:val="24"/>
        </w:rPr>
        <w:t xml:space="preserve"> y Quinche Ramírez</w:t>
      </w:r>
      <w:r w:rsidRPr="00F27881">
        <w:rPr>
          <w:rStyle w:val="Appelnotedebasdep"/>
          <w:rFonts w:ascii="Georgia" w:hAnsi="Georgia" w:cs="Arial"/>
          <w:sz w:val="24"/>
          <w:szCs w:val="24"/>
        </w:rPr>
        <w:footnoteReference w:id="12"/>
      </w:r>
      <w:r w:rsidRPr="00F27881">
        <w:rPr>
          <w:rFonts w:ascii="Georgia" w:hAnsi="Georgia" w:cs="Arial"/>
          <w:sz w:val="24"/>
          <w:szCs w:val="24"/>
        </w:rPr>
        <w:t>.</w:t>
      </w:r>
    </w:p>
    <w:p w:rsidR="008379BB" w:rsidRPr="008379BB" w:rsidRDefault="008379BB" w:rsidP="00F27881">
      <w:pPr>
        <w:pStyle w:val="Corpsdetexte"/>
        <w:shd w:val="clear" w:color="auto" w:fill="FFFFFF" w:themeFill="background1"/>
        <w:spacing w:line="360" w:lineRule="auto"/>
        <w:rPr>
          <w:rFonts w:ascii="Georgia" w:hAnsi="Georgia" w:cs="Arial"/>
          <w:sz w:val="22"/>
          <w:szCs w:val="24"/>
        </w:rPr>
      </w:pPr>
    </w:p>
    <w:p w:rsidR="008379BB" w:rsidRPr="007C23E2" w:rsidRDefault="008379BB" w:rsidP="008379BB">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8379BB" w:rsidRPr="008379BB" w:rsidRDefault="008379BB" w:rsidP="008379BB">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 w:val="22"/>
          <w:szCs w:val="24"/>
        </w:rPr>
      </w:pPr>
    </w:p>
    <w:p w:rsidR="008379BB" w:rsidRPr="008379BB" w:rsidRDefault="008379BB" w:rsidP="008379BB">
      <w:pPr>
        <w:pStyle w:val="Corpsdetexte"/>
        <w:tabs>
          <w:tab w:val="clear" w:pos="0"/>
        </w:tabs>
        <w:spacing w:line="360" w:lineRule="auto"/>
        <w:rPr>
          <w:rFonts w:ascii="Georgia" w:hAnsi="Georgia" w:cs="Arial"/>
          <w:sz w:val="24"/>
          <w:szCs w:val="24"/>
          <w:u w:val="single"/>
        </w:rPr>
      </w:pPr>
      <w:r w:rsidRPr="008379BB">
        <w:rPr>
          <w:rFonts w:ascii="Georgia" w:hAnsi="Georgia" w:cs="Arial"/>
          <w:sz w:val="24"/>
          <w:szCs w:val="24"/>
        </w:rPr>
        <w:lastRenderedPageBreak/>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8379BB" w:rsidRPr="008379BB" w:rsidRDefault="008379BB" w:rsidP="008379BB">
      <w:pPr>
        <w:pStyle w:val="Corpsdetexte"/>
        <w:tabs>
          <w:tab w:val="clear" w:pos="0"/>
        </w:tabs>
        <w:spacing w:line="360" w:lineRule="auto"/>
        <w:rPr>
          <w:rFonts w:ascii="Georgia" w:hAnsi="Georgia" w:cs="Arial"/>
          <w:sz w:val="22"/>
          <w:szCs w:val="24"/>
          <w:u w:val="single"/>
        </w:rPr>
      </w:pPr>
    </w:p>
    <w:p w:rsidR="008379BB" w:rsidRPr="004E68FB" w:rsidRDefault="008379BB" w:rsidP="008379BB">
      <w:pPr>
        <w:pStyle w:val="Corpsdetexte"/>
        <w:tabs>
          <w:tab w:val="clear" w:pos="0"/>
        </w:tabs>
        <w:spacing w:line="360" w:lineRule="auto"/>
        <w:rPr>
          <w:rFonts w:ascii="Georgia" w:hAnsi="Georgia" w:cs="Arial"/>
          <w:i/>
          <w:sz w:val="22"/>
          <w:szCs w:val="24"/>
        </w:rPr>
      </w:pPr>
      <w:r w:rsidRPr="008379BB">
        <w:rPr>
          <w:rFonts w:ascii="Georgia" w:hAnsi="Georgia"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 w:val="24"/>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Appelnotedebasdep"/>
          <w:rFonts w:ascii="Georgia" w:hAnsi="Georgia" w:cs="Arial"/>
          <w:i/>
          <w:sz w:val="22"/>
          <w:szCs w:val="24"/>
        </w:rPr>
        <w:footnoteReference w:id="13"/>
      </w:r>
      <w:r w:rsidRPr="004E68FB">
        <w:rPr>
          <w:rFonts w:ascii="Georgia" w:hAnsi="Georgia" w:cs="Arial"/>
          <w:i/>
          <w:sz w:val="22"/>
          <w:szCs w:val="24"/>
        </w:rPr>
        <w:t>.</w:t>
      </w:r>
    </w:p>
    <w:p w:rsidR="008379BB" w:rsidRPr="008379BB" w:rsidRDefault="008379BB" w:rsidP="008379BB">
      <w:pPr>
        <w:pStyle w:val="Corpsdetexte"/>
        <w:tabs>
          <w:tab w:val="clear" w:pos="0"/>
        </w:tabs>
        <w:spacing w:line="360" w:lineRule="auto"/>
        <w:rPr>
          <w:rFonts w:ascii="Georgia" w:hAnsi="Georgia" w:cs="Arial"/>
          <w:sz w:val="24"/>
          <w:szCs w:val="24"/>
          <w:lang w:val="es-CO"/>
        </w:rPr>
      </w:pPr>
    </w:p>
    <w:p w:rsidR="008379BB" w:rsidRPr="008379BB" w:rsidRDefault="008379BB" w:rsidP="008379BB">
      <w:pPr>
        <w:pStyle w:val="Corpsdetexte"/>
        <w:tabs>
          <w:tab w:val="clear" w:pos="0"/>
        </w:tabs>
        <w:spacing w:line="360" w:lineRule="auto"/>
        <w:rPr>
          <w:rFonts w:ascii="Georgia" w:hAnsi="Georgia" w:cs="Arial"/>
          <w:sz w:val="24"/>
          <w:szCs w:val="24"/>
        </w:rPr>
      </w:pPr>
      <w:r w:rsidRPr="008379BB">
        <w:rPr>
          <w:rFonts w:ascii="Georgia" w:hAnsi="Georgia" w:cs="Arial"/>
          <w:sz w:val="24"/>
          <w:szCs w:val="24"/>
        </w:rPr>
        <w:t>Conforme  a  lo  sostenido  por  la  CC</w:t>
      </w:r>
      <w:r w:rsidRPr="008379BB">
        <w:rPr>
          <w:rStyle w:val="Appelnotedebasdep"/>
          <w:rFonts w:ascii="Georgia" w:hAnsi="Georgia"/>
          <w:color w:val="000000"/>
          <w:sz w:val="24"/>
          <w:szCs w:val="24"/>
          <w:shd w:val="clear" w:color="auto" w:fill="FFFFFF"/>
        </w:rPr>
        <w:footnoteReference w:id="14"/>
      </w:r>
      <w:r w:rsidRPr="008379BB">
        <w:rPr>
          <w:rFonts w:ascii="Georgia" w:hAnsi="Georgia" w:cs="Arial"/>
          <w:sz w:val="24"/>
          <w:szCs w:val="24"/>
        </w:rPr>
        <w:t xml:space="preserve">,  deben  agotarse los recursos ordinarios de defensa, </w:t>
      </w:r>
    </w:p>
    <w:p w:rsidR="008379BB" w:rsidRPr="008379BB" w:rsidRDefault="008379BB" w:rsidP="008379BB">
      <w:pPr>
        <w:pStyle w:val="Corpsdetexte"/>
        <w:tabs>
          <w:tab w:val="clear" w:pos="0"/>
        </w:tabs>
        <w:spacing w:line="360" w:lineRule="auto"/>
        <w:rPr>
          <w:rFonts w:ascii="Georgia" w:hAnsi="Georgia" w:cs="Arial"/>
          <w:sz w:val="24"/>
          <w:szCs w:val="24"/>
        </w:rPr>
      </w:pPr>
      <w:r w:rsidRPr="008379BB">
        <w:rPr>
          <w:rFonts w:ascii="Georgia" w:hAnsi="Georgia" w:cs="Arial"/>
          <w:sz w:val="24"/>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Appelnotedebasdep"/>
          <w:rFonts w:ascii="Georgia" w:hAnsi="Georgia" w:cs="Arial"/>
          <w:sz w:val="22"/>
          <w:szCs w:val="24"/>
        </w:rPr>
        <w:footnoteReference w:id="15"/>
      </w:r>
      <w:r w:rsidRPr="004E68FB">
        <w:rPr>
          <w:rFonts w:ascii="Georgia" w:hAnsi="Georgia" w:cs="Arial"/>
          <w:sz w:val="22"/>
          <w:szCs w:val="24"/>
        </w:rPr>
        <w:t xml:space="preserve">. </w:t>
      </w:r>
      <w:r w:rsidRPr="008379BB">
        <w:rPr>
          <w:rFonts w:ascii="Georgia" w:hAnsi="Georgia" w:cs="Arial"/>
          <w:sz w:val="24"/>
          <w:szCs w:val="24"/>
        </w:rPr>
        <w:t>Además, ha sido reiterativa en su criterio</w:t>
      </w:r>
      <w:r w:rsidRPr="008379BB">
        <w:rPr>
          <w:rStyle w:val="Appelnotedebasdep"/>
          <w:rFonts w:ascii="Georgia" w:hAnsi="Georgia"/>
          <w:sz w:val="24"/>
          <w:szCs w:val="24"/>
        </w:rPr>
        <w:footnoteReference w:id="16"/>
      </w:r>
      <w:r w:rsidRPr="008379BB">
        <w:rPr>
          <w:rFonts w:ascii="Georgia" w:hAnsi="Georgia" w:cs="Arial"/>
          <w:sz w:val="24"/>
          <w:szCs w:val="24"/>
        </w:rPr>
        <w:t>.También la CSJ se ha referido al tema</w:t>
      </w:r>
      <w:r w:rsidRPr="008379BB">
        <w:rPr>
          <w:rStyle w:val="Appelnotedebasdep"/>
          <w:rFonts w:ascii="Georgia" w:hAnsi="Georgia" w:cs="Arial"/>
          <w:sz w:val="24"/>
          <w:szCs w:val="24"/>
        </w:rPr>
        <w:footnoteReference w:id="17"/>
      </w:r>
      <w:r w:rsidRPr="008379BB">
        <w:rPr>
          <w:rFonts w:ascii="Georgia" w:hAnsi="Georgia" w:cs="Arial"/>
          <w:sz w:val="24"/>
          <w:szCs w:val="24"/>
        </w:rPr>
        <w:t xml:space="preserve">, </w:t>
      </w:r>
      <w:proofErr w:type="spellStart"/>
      <w:r w:rsidRPr="008379BB">
        <w:rPr>
          <w:rFonts w:ascii="Georgia" w:hAnsi="Georgia" w:cs="Arial"/>
          <w:sz w:val="24"/>
          <w:szCs w:val="24"/>
        </w:rPr>
        <w:t>prohija</w:t>
      </w:r>
      <w:proofErr w:type="spellEnd"/>
      <w:r w:rsidRPr="008379BB">
        <w:rPr>
          <w:rFonts w:ascii="Georgia" w:hAnsi="Georgia" w:cs="Arial"/>
          <w:sz w:val="24"/>
          <w:szCs w:val="24"/>
        </w:rPr>
        <w:t xml:space="preserve"> la improcedencia de la tutela por aplicación del principio de subsidiariedad.</w:t>
      </w:r>
    </w:p>
    <w:p w:rsidR="00384DD3" w:rsidRPr="006870B9" w:rsidRDefault="00384DD3" w:rsidP="00384DD3">
      <w:pPr>
        <w:pStyle w:val="Corpsdetexte"/>
        <w:spacing w:line="360" w:lineRule="auto"/>
        <w:rPr>
          <w:rFonts w:ascii="Georgia" w:hAnsi="Georgia"/>
          <w:szCs w:val="22"/>
        </w:rPr>
      </w:pPr>
    </w:p>
    <w:p w:rsidR="004E68FB" w:rsidRDefault="00811889" w:rsidP="004E68FB">
      <w:pPr>
        <w:pStyle w:val="Paragraphedeliste"/>
        <w:numPr>
          <w:ilvl w:val="0"/>
          <w:numId w:val="18"/>
        </w:numPr>
        <w:spacing w:line="360" w:lineRule="auto"/>
        <w:ind w:right="51"/>
        <w:jc w:val="both"/>
        <w:rPr>
          <w:rFonts w:ascii="Georgia" w:hAnsi="Georgia" w:cs="Arial"/>
          <w:lang w:val="es-ES_tradnl"/>
        </w:rPr>
      </w:pPr>
      <w:r w:rsidRPr="006870B9">
        <w:rPr>
          <w:rFonts w:ascii="Georgia" w:hAnsi="Georgia" w:cs="Arial"/>
          <w:lang w:val="es-ES_tradnl"/>
        </w:rPr>
        <w:t>EL ANÁLISIS DEL CASO EN CONCRETO</w:t>
      </w:r>
    </w:p>
    <w:p w:rsidR="00CD5841" w:rsidRDefault="00CD5841" w:rsidP="004E68FB">
      <w:pPr>
        <w:spacing w:line="360" w:lineRule="auto"/>
        <w:jc w:val="both"/>
        <w:rPr>
          <w:rFonts w:ascii="Georgia" w:hAnsi="Georgia" w:cs="Arial"/>
          <w:lang w:val="es-ES_tradnl"/>
        </w:rPr>
      </w:pPr>
    </w:p>
    <w:p w:rsidR="005F1E45" w:rsidRPr="005F1E45" w:rsidRDefault="005F1E45" w:rsidP="005F1E45">
      <w:pPr>
        <w:pStyle w:val="Paragraphedeliste"/>
        <w:numPr>
          <w:ilvl w:val="1"/>
          <w:numId w:val="18"/>
        </w:numPr>
        <w:spacing w:line="360" w:lineRule="auto"/>
        <w:jc w:val="both"/>
        <w:rPr>
          <w:rFonts w:ascii="Georgia" w:hAnsi="Georgia" w:cs="Arial"/>
          <w:smallCaps/>
          <w:lang w:val="es-ES_tradnl"/>
        </w:rPr>
      </w:pPr>
      <w:r w:rsidRPr="005F1E45">
        <w:rPr>
          <w:rFonts w:ascii="Georgia" w:hAnsi="Georgia" w:cs="Arial"/>
          <w:smallCaps/>
          <w:lang w:val="es-ES_tradnl"/>
        </w:rPr>
        <w:t>La subsidiariedad</w:t>
      </w:r>
    </w:p>
    <w:p w:rsidR="005F1E45" w:rsidRPr="005F1E45" w:rsidRDefault="005F1E45" w:rsidP="005F1E45">
      <w:pPr>
        <w:pStyle w:val="Paragraphedeliste"/>
        <w:spacing w:line="360" w:lineRule="auto"/>
        <w:ind w:left="720"/>
        <w:jc w:val="both"/>
        <w:rPr>
          <w:rFonts w:ascii="Georgia" w:hAnsi="Georgia" w:cs="Arial"/>
          <w:lang w:val="es-ES_tradnl"/>
        </w:rPr>
      </w:pPr>
    </w:p>
    <w:p w:rsidR="004E68FB" w:rsidRPr="004E68FB" w:rsidRDefault="004E68FB" w:rsidP="004E68FB">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Appelnotedebasdep"/>
          <w:rFonts w:ascii="Georgia" w:hAnsi="Georgia" w:cs="Arial"/>
        </w:rPr>
        <w:footnoteReference w:id="18"/>
      </w:r>
      <w:r w:rsidRPr="004E68FB">
        <w:rPr>
          <w:rFonts w:ascii="Georgia" w:hAnsi="Georgia" w:cs="Arial"/>
          <w:lang w:val="es-ES_tradnl"/>
        </w:rPr>
        <w:t>.</w:t>
      </w:r>
    </w:p>
    <w:p w:rsidR="004E68FB" w:rsidRPr="00CD5841" w:rsidRDefault="004E68FB" w:rsidP="004E68FB">
      <w:pPr>
        <w:pStyle w:val="Corpsdetexte"/>
        <w:spacing w:line="360" w:lineRule="auto"/>
        <w:ind w:left="400"/>
        <w:rPr>
          <w:rFonts w:ascii="Georgia" w:hAnsi="Georgia"/>
          <w:sz w:val="22"/>
          <w:szCs w:val="24"/>
        </w:rPr>
      </w:pPr>
    </w:p>
    <w:p w:rsidR="004E68FB" w:rsidRPr="004E68FB" w:rsidRDefault="004E68FB" w:rsidP="004E68FB">
      <w:pPr>
        <w:widowControl/>
        <w:autoSpaceDE/>
        <w:autoSpaceDN/>
        <w:adjustRightInd/>
        <w:spacing w:line="360" w:lineRule="auto"/>
        <w:jc w:val="both"/>
        <w:rPr>
          <w:rFonts w:ascii="Georgia" w:hAnsi="Georgia" w:cs="Arial"/>
          <w:lang w:val="es-ES_tradnl"/>
        </w:rPr>
      </w:pPr>
      <w:r w:rsidRPr="004E68FB">
        <w:rPr>
          <w:rFonts w:ascii="Georgia" w:hAnsi="Georgia" w:cs="Arial"/>
          <w:lang w:val="es-ES_tradnl"/>
        </w:rPr>
        <w:lastRenderedPageBreak/>
        <w:t xml:space="preserve">De acuerdo con el acervo probatorio, se tiene que en el trámite incidental la accionante fue sancionada por el </w:t>
      </w:r>
      <w:r w:rsidRPr="004E68FB">
        <w:rPr>
          <w:rFonts w:ascii="Georgia" w:hAnsi="Georgia" w:cs="Arial"/>
          <w:i/>
          <w:lang w:val="es-ES_tradnl"/>
        </w:rPr>
        <w:t>a quo</w:t>
      </w:r>
      <w:r w:rsidRPr="004E68FB">
        <w:rPr>
          <w:rFonts w:ascii="Georgia" w:hAnsi="Georgia" w:cs="Arial"/>
          <w:lang w:val="es-ES_tradnl"/>
        </w:rPr>
        <w:t xml:space="preserve"> mediante proveído del </w:t>
      </w:r>
      <w:r>
        <w:rPr>
          <w:rFonts w:ascii="Georgia" w:hAnsi="Georgia" w:cs="Arial"/>
          <w:lang w:val="es-ES_tradnl"/>
        </w:rPr>
        <w:t>09-08-</w:t>
      </w:r>
      <w:r w:rsidRPr="004E68FB">
        <w:rPr>
          <w:rFonts w:ascii="Georgia" w:hAnsi="Georgia" w:cs="Arial"/>
          <w:lang w:val="es-ES_tradnl"/>
        </w:rPr>
        <w:t xml:space="preserve">2017 (Folios </w:t>
      </w:r>
      <w:r>
        <w:rPr>
          <w:rFonts w:ascii="Georgia" w:hAnsi="Georgia" w:cs="Arial"/>
          <w:lang w:val="es-ES_tradnl"/>
        </w:rPr>
        <w:t>50</w:t>
      </w:r>
      <w:r w:rsidRPr="004E68FB">
        <w:rPr>
          <w:rFonts w:ascii="Georgia" w:hAnsi="Georgia" w:cs="Arial"/>
          <w:lang w:val="es-ES_tradnl"/>
        </w:rPr>
        <w:t>, este cuaderno)</w:t>
      </w:r>
      <w:r>
        <w:rPr>
          <w:rFonts w:ascii="Georgia" w:hAnsi="Georgia" w:cs="Arial"/>
          <w:lang w:val="es-ES_tradnl"/>
        </w:rPr>
        <w:t xml:space="preserve">, </w:t>
      </w:r>
      <w:r w:rsidR="005F1E45">
        <w:rPr>
          <w:rFonts w:ascii="Georgia" w:hAnsi="Georgia" w:cs="Arial"/>
          <w:lang w:val="es-ES_tradnl"/>
        </w:rPr>
        <w:t xml:space="preserve">luego </w:t>
      </w:r>
      <w:r>
        <w:rPr>
          <w:rFonts w:ascii="Georgia" w:hAnsi="Georgia" w:cs="Arial"/>
          <w:lang w:val="es-ES_tradnl"/>
        </w:rPr>
        <w:t xml:space="preserve">el 29-08-2017 se acercó </w:t>
      </w:r>
      <w:r w:rsidR="00C10753">
        <w:rPr>
          <w:rFonts w:ascii="Georgia" w:hAnsi="Georgia" w:cs="Arial"/>
          <w:lang w:val="es-ES_tradnl"/>
        </w:rPr>
        <w:t xml:space="preserve">un </w:t>
      </w:r>
      <w:r w:rsidR="00213D6E">
        <w:rPr>
          <w:rFonts w:ascii="Georgia" w:hAnsi="Georgia" w:cs="Arial"/>
          <w:lang w:val="es-ES_tradnl"/>
        </w:rPr>
        <w:t xml:space="preserve">memorial </w:t>
      </w:r>
      <w:r>
        <w:rPr>
          <w:rFonts w:ascii="Georgia" w:hAnsi="Georgia" w:cs="Arial"/>
          <w:lang w:val="es-ES_tradnl"/>
        </w:rPr>
        <w:t xml:space="preserve">referente al cumplimiento de la sentencia de tutela y la falta de legitimación por pasiva de la </w:t>
      </w:r>
      <w:proofErr w:type="spellStart"/>
      <w:r>
        <w:rPr>
          <w:rFonts w:ascii="Georgia" w:hAnsi="Georgia" w:cs="Arial"/>
          <w:lang w:val="es-ES_tradnl"/>
        </w:rPr>
        <w:t>incidentada</w:t>
      </w:r>
      <w:proofErr w:type="spellEnd"/>
      <w:r>
        <w:rPr>
          <w:rFonts w:ascii="Georgia" w:hAnsi="Georgia" w:cs="Arial"/>
          <w:lang w:val="es-ES_tradnl"/>
        </w:rPr>
        <w:t xml:space="preserve"> (Folio 50, y 51 a 54, ibídem), y</w:t>
      </w:r>
      <w:r w:rsidR="005F1E45">
        <w:rPr>
          <w:rFonts w:ascii="Georgia" w:hAnsi="Georgia" w:cs="Arial"/>
          <w:lang w:val="es-ES_tradnl"/>
        </w:rPr>
        <w:t xml:space="preserve"> finalmente </w:t>
      </w:r>
      <w:r>
        <w:rPr>
          <w:rFonts w:ascii="Georgia" w:hAnsi="Georgia" w:cs="Arial"/>
          <w:lang w:val="es-ES_tradnl"/>
        </w:rPr>
        <w:t xml:space="preserve">en sede de consulta </w:t>
      </w:r>
      <w:r w:rsidRPr="004E68FB">
        <w:rPr>
          <w:rFonts w:ascii="Georgia" w:hAnsi="Georgia" w:cs="Arial"/>
          <w:lang w:val="es-ES_tradnl"/>
        </w:rPr>
        <w:t xml:space="preserve">se confirmó </w:t>
      </w:r>
      <w:r>
        <w:rPr>
          <w:rFonts w:ascii="Georgia" w:hAnsi="Georgia" w:cs="Arial"/>
          <w:lang w:val="es-ES_tradnl"/>
        </w:rPr>
        <w:t xml:space="preserve">la sanción </w:t>
      </w:r>
      <w:r w:rsidRPr="004E68FB">
        <w:rPr>
          <w:rFonts w:ascii="Georgia" w:hAnsi="Georgia" w:cs="Arial"/>
          <w:lang w:val="es-ES_tradnl"/>
        </w:rPr>
        <w:t xml:space="preserve">con auto del </w:t>
      </w:r>
      <w:r>
        <w:rPr>
          <w:rFonts w:ascii="Georgia" w:hAnsi="Georgia" w:cs="Arial"/>
          <w:lang w:val="es-ES_tradnl"/>
        </w:rPr>
        <w:t>04-09-2017</w:t>
      </w:r>
      <w:r w:rsidRPr="004E68FB">
        <w:rPr>
          <w:rFonts w:ascii="Georgia" w:hAnsi="Georgia" w:cs="Arial"/>
          <w:lang w:val="es-ES_tradnl"/>
        </w:rPr>
        <w:t xml:space="preserve"> (Folios </w:t>
      </w:r>
      <w:r>
        <w:rPr>
          <w:rFonts w:ascii="Georgia" w:hAnsi="Georgia" w:cs="Arial"/>
          <w:lang w:val="es-ES_tradnl"/>
        </w:rPr>
        <w:t>50 y 55 a 56</w:t>
      </w:r>
      <w:r w:rsidRPr="004E68FB">
        <w:rPr>
          <w:rFonts w:ascii="Georgia" w:hAnsi="Georgia" w:cs="Arial"/>
          <w:lang w:val="es-ES_tradnl"/>
        </w:rPr>
        <w:t>, ibídem).</w:t>
      </w:r>
      <w:r w:rsidR="00C10753">
        <w:rPr>
          <w:rFonts w:ascii="Georgia" w:hAnsi="Georgia" w:cs="Arial"/>
          <w:lang w:val="es-ES_tradnl"/>
        </w:rPr>
        <w:t xml:space="preserve"> </w:t>
      </w:r>
    </w:p>
    <w:p w:rsidR="004E68FB" w:rsidRPr="00CD5841" w:rsidRDefault="004E68FB" w:rsidP="004E68FB">
      <w:pPr>
        <w:pStyle w:val="Paragraphedeliste"/>
        <w:widowControl/>
        <w:autoSpaceDE/>
        <w:autoSpaceDN/>
        <w:adjustRightInd/>
        <w:spacing w:line="360" w:lineRule="auto"/>
        <w:ind w:left="400"/>
        <w:jc w:val="both"/>
        <w:rPr>
          <w:rFonts w:ascii="Georgia" w:hAnsi="Georgia" w:cs="Arial"/>
          <w:sz w:val="22"/>
          <w:lang w:val="es-ES_tradnl"/>
        </w:rPr>
      </w:pPr>
    </w:p>
    <w:p w:rsidR="004E68FB" w:rsidRPr="004E68FB" w:rsidRDefault="004E68FB" w:rsidP="004E68FB">
      <w:pPr>
        <w:spacing w:line="360" w:lineRule="auto"/>
        <w:jc w:val="both"/>
        <w:rPr>
          <w:rFonts w:ascii="Georgia" w:hAnsi="Georgia" w:cs="Arial"/>
        </w:rPr>
      </w:pPr>
      <w:r>
        <w:rPr>
          <w:rFonts w:ascii="Georgia" w:hAnsi="Georgia" w:cs="Arial"/>
        </w:rPr>
        <w:t>Así las cosas</w:t>
      </w:r>
      <w:r w:rsidRPr="004E68FB">
        <w:rPr>
          <w:rFonts w:ascii="Georgia" w:hAnsi="Georgia" w:cs="Arial"/>
        </w:rPr>
        <w:t xml:space="preserve">, hay que decir </w:t>
      </w:r>
      <w:r>
        <w:rPr>
          <w:rFonts w:ascii="Georgia" w:hAnsi="Georgia" w:cs="Arial"/>
        </w:rPr>
        <w:t xml:space="preserve">el amparo </w:t>
      </w:r>
      <w:r w:rsidR="00213D6E">
        <w:rPr>
          <w:rFonts w:ascii="Georgia" w:hAnsi="Georgia" w:cs="Arial"/>
        </w:rPr>
        <w:t>frente al Juzgado primero Civil Municipal de Pereira</w:t>
      </w:r>
      <w:r w:rsidR="006603C2">
        <w:rPr>
          <w:rFonts w:ascii="Georgia" w:hAnsi="Georgia" w:cs="Arial"/>
        </w:rPr>
        <w:t xml:space="preserve"> es prematuro</w:t>
      </w:r>
      <w:r w:rsidRPr="004E68FB">
        <w:rPr>
          <w:rFonts w:ascii="Georgia" w:hAnsi="Georgia" w:cs="Arial"/>
        </w:rPr>
        <w:t xml:space="preserve">, </w:t>
      </w:r>
      <w:r>
        <w:rPr>
          <w:rFonts w:ascii="Georgia" w:hAnsi="Georgia" w:cs="Arial"/>
        </w:rPr>
        <w:t>pues</w:t>
      </w:r>
      <w:r w:rsidR="00213D6E">
        <w:rPr>
          <w:rFonts w:ascii="Georgia" w:hAnsi="Georgia" w:cs="Arial"/>
        </w:rPr>
        <w:t xml:space="preserve">to que </w:t>
      </w:r>
      <w:r>
        <w:rPr>
          <w:rFonts w:ascii="Georgia" w:hAnsi="Georgia" w:cs="Arial"/>
        </w:rPr>
        <w:t xml:space="preserve">para la época en que se presentó (30-08-2017) (Folio 28, ib.) </w:t>
      </w:r>
      <w:r w:rsidR="00213D6E">
        <w:rPr>
          <w:rFonts w:ascii="Georgia" w:hAnsi="Georgia" w:cs="Arial"/>
        </w:rPr>
        <w:t>la consulta del auto sancionatorio aún no había sido desatada por el superior jerárquico</w:t>
      </w:r>
      <w:r w:rsidRPr="004E68FB">
        <w:rPr>
          <w:rFonts w:ascii="Georgia" w:hAnsi="Georgia" w:cs="Arial"/>
        </w:rPr>
        <w:t>, por manera que es improcedente</w:t>
      </w:r>
      <w:r w:rsidRPr="004E68FB">
        <w:rPr>
          <w:rFonts w:ascii="Georgia" w:hAnsi="Georgia" w:cs="Arial"/>
          <w:lang w:val="es-CO"/>
        </w:rPr>
        <w:t>.</w:t>
      </w:r>
      <w:r w:rsidRPr="004E68FB">
        <w:rPr>
          <w:rFonts w:ascii="Georgia" w:hAnsi="Georgia" w:cs="Arial"/>
        </w:rPr>
        <w:t xml:space="preserve"> </w:t>
      </w:r>
      <w:r w:rsidR="006603C2">
        <w:rPr>
          <w:rFonts w:ascii="Georgia" w:hAnsi="Georgia" w:cs="Arial"/>
        </w:rPr>
        <w:t xml:space="preserve">Era necesario </w:t>
      </w:r>
      <w:r w:rsidR="006603C2" w:rsidRPr="004E68FB">
        <w:rPr>
          <w:rFonts w:ascii="Georgia" w:hAnsi="Georgia" w:cs="Arial"/>
        </w:rPr>
        <w:t xml:space="preserve">esperar a que </w:t>
      </w:r>
      <w:r w:rsidR="006603C2">
        <w:rPr>
          <w:rFonts w:ascii="Georgia" w:hAnsi="Georgia" w:cs="Arial"/>
        </w:rPr>
        <w:t xml:space="preserve">el </w:t>
      </w:r>
      <w:r w:rsidR="006603C2" w:rsidRPr="006603C2">
        <w:rPr>
          <w:rFonts w:ascii="Georgia" w:hAnsi="Georgia" w:cs="Arial"/>
          <w:i/>
        </w:rPr>
        <w:t xml:space="preserve">ad </w:t>
      </w:r>
      <w:proofErr w:type="spellStart"/>
      <w:r w:rsidR="006603C2" w:rsidRPr="006603C2">
        <w:rPr>
          <w:rFonts w:ascii="Georgia" w:hAnsi="Georgia" w:cs="Arial"/>
          <w:i/>
        </w:rPr>
        <w:t>quem</w:t>
      </w:r>
      <w:proofErr w:type="spellEnd"/>
      <w:r w:rsidR="006603C2">
        <w:rPr>
          <w:rFonts w:ascii="Georgia" w:hAnsi="Georgia" w:cs="Arial"/>
        </w:rPr>
        <w:t xml:space="preserve"> decidiera en sede de consulta si revocaba la sanción </w:t>
      </w:r>
      <w:r w:rsidR="006603C2" w:rsidRPr="004E68FB">
        <w:rPr>
          <w:rFonts w:ascii="Georgia" w:hAnsi="Georgia" w:cs="Arial"/>
        </w:rPr>
        <w:t xml:space="preserve">antes de promover </w:t>
      </w:r>
      <w:r w:rsidR="006603C2">
        <w:rPr>
          <w:rFonts w:ascii="Georgia" w:hAnsi="Georgia" w:cs="Arial"/>
        </w:rPr>
        <w:t>la acción de tutela; el procedimiento ordinario todavía se estaba adelantando (Artículo 52, Decreto 2591 de 1991)</w:t>
      </w:r>
      <w:r w:rsidR="006603C2" w:rsidRPr="004E68FB">
        <w:rPr>
          <w:rFonts w:ascii="Georgia" w:hAnsi="Georgia" w:cs="Arial"/>
          <w:lang w:val="es-CO"/>
        </w:rPr>
        <w:t>.</w:t>
      </w:r>
      <w:r w:rsidR="006603C2">
        <w:rPr>
          <w:rFonts w:ascii="Georgia" w:hAnsi="Georgia" w:cs="Arial"/>
          <w:lang w:val="es-CO"/>
        </w:rPr>
        <w:t xml:space="preserve"> </w:t>
      </w:r>
      <w:r w:rsidRPr="004E68FB">
        <w:rPr>
          <w:rFonts w:ascii="Georgia" w:hAnsi="Georgia" w:cs="Arial"/>
        </w:rPr>
        <w:t>Así lo ha dispuesto la jurisprudencia de la CC</w:t>
      </w:r>
      <w:r w:rsidRPr="00571582">
        <w:rPr>
          <w:vertAlign w:val="superscript"/>
        </w:rPr>
        <w:footnoteReference w:id="19"/>
      </w:r>
      <w:r w:rsidRPr="004E68FB">
        <w:rPr>
          <w:rFonts w:ascii="Georgia" w:hAnsi="Georgia" w:cs="Arial"/>
        </w:rPr>
        <w:t>, criterio también expuesto por la CSJ</w:t>
      </w:r>
      <w:r w:rsidRPr="00571582">
        <w:rPr>
          <w:vertAlign w:val="superscript"/>
        </w:rPr>
        <w:footnoteReference w:id="20"/>
      </w:r>
      <w:r w:rsidRPr="004E68FB">
        <w:rPr>
          <w:rFonts w:ascii="Georgia" w:hAnsi="Georgia" w:cs="Arial"/>
        </w:rPr>
        <w:t xml:space="preserve">. </w:t>
      </w:r>
    </w:p>
    <w:p w:rsidR="004E68FB" w:rsidRPr="00CD5841" w:rsidRDefault="004E68FB" w:rsidP="004E68FB">
      <w:pPr>
        <w:pStyle w:val="Paragraphedeliste"/>
        <w:spacing w:line="360" w:lineRule="auto"/>
        <w:ind w:left="400"/>
        <w:jc w:val="both"/>
        <w:rPr>
          <w:rFonts w:ascii="Georgia" w:hAnsi="Georgia" w:cs="Arial"/>
          <w:sz w:val="22"/>
        </w:rPr>
      </w:pPr>
    </w:p>
    <w:p w:rsidR="004E68FB" w:rsidRPr="00CD5841" w:rsidRDefault="004E68FB" w:rsidP="00CD5841">
      <w:pPr>
        <w:spacing w:line="360" w:lineRule="auto"/>
        <w:jc w:val="both"/>
        <w:rPr>
          <w:rFonts w:ascii="Georgia" w:hAnsi="Georgia"/>
        </w:rPr>
      </w:pPr>
      <w:r w:rsidRPr="00CD5841">
        <w:rPr>
          <w:rFonts w:ascii="Georgia" w:hAnsi="Georgia"/>
        </w:rPr>
        <w:t xml:space="preserve">No es dable flexibilizar el análisis de la procedibilidad porque la actora nada arguyó y menos acreditó de forma que se pudiera estimar </w:t>
      </w:r>
      <w:r w:rsidRPr="00CD5841">
        <w:rPr>
          <w:rFonts w:ascii="Georgia" w:hAnsi="Georgia" w:cs="Arial"/>
          <w:bCs/>
          <w:szCs w:val="22"/>
          <w:lang w:val="es-CO"/>
        </w:rPr>
        <w:t>que es una persona que requiere de protección reforzada</w:t>
      </w:r>
      <w:r w:rsidRPr="007C23E2">
        <w:rPr>
          <w:rStyle w:val="Appelnotedebasdep"/>
          <w:rFonts w:ascii="Georgia" w:hAnsi="Georgia"/>
          <w:bCs/>
          <w:szCs w:val="22"/>
          <w:lang w:val="es-CO"/>
        </w:rPr>
        <w:footnoteReference w:id="21"/>
      </w:r>
      <w:r w:rsidRPr="00CD5841">
        <w:rPr>
          <w:rFonts w:ascii="Georgia" w:hAnsi="Georgia"/>
        </w:rPr>
        <w:t>.</w:t>
      </w:r>
    </w:p>
    <w:p w:rsidR="004E68FB" w:rsidRPr="004E68FB" w:rsidRDefault="004E68FB" w:rsidP="004E68FB">
      <w:pPr>
        <w:pStyle w:val="Paragraphedeliste"/>
        <w:spacing w:line="360" w:lineRule="auto"/>
        <w:ind w:left="400" w:right="51"/>
        <w:jc w:val="both"/>
        <w:rPr>
          <w:rFonts w:ascii="Georgia" w:hAnsi="Georgia"/>
        </w:rPr>
      </w:pPr>
    </w:p>
    <w:p w:rsidR="004E68FB" w:rsidRPr="00CD5841" w:rsidRDefault="004E68FB" w:rsidP="00CD5841">
      <w:pPr>
        <w:spacing w:line="360" w:lineRule="auto"/>
        <w:ind w:right="51"/>
        <w:jc w:val="both"/>
        <w:rPr>
          <w:rFonts w:ascii="Georgia" w:hAnsi="Georgia" w:cs="Arial"/>
          <w:iCs/>
          <w:bdr w:val="none" w:sz="0" w:space="0" w:color="auto" w:frame="1"/>
        </w:rPr>
      </w:pPr>
      <w:r w:rsidRPr="00CD5841">
        <w:rPr>
          <w:rFonts w:ascii="Georgia" w:hAnsi="Georgia" w:cs="Arial"/>
          <w:lang w:val="es-ES_tradnl"/>
        </w:rPr>
        <w:t xml:space="preserve">Bajo estas condiciones, </w:t>
      </w:r>
      <w:r w:rsidR="005F1E45">
        <w:rPr>
          <w:rFonts w:ascii="Georgia" w:hAnsi="Georgia" w:cs="Arial"/>
          <w:lang w:val="es-ES_tradnl"/>
        </w:rPr>
        <w:t xml:space="preserve">se insiste que </w:t>
      </w:r>
      <w:r w:rsidR="006603C2">
        <w:rPr>
          <w:rFonts w:ascii="Georgia" w:hAnsi="Georgia" w:cs="Arial"/>
          <w:lang w:val="es-ES_tradnl"/>
        </w:rPr>
        <w:t xml:space="preserve">el </w:t>
      </w:r>
      <w:r w:rsidRPr="00CD5841">
        <w:rPr>
          <w:rFonts w:ascii="Georgia" w:hAnsi="Georgia" w:cs="Arial"/>
          <w:lang w:val="es-ES_tradnl"/>
        </w:rPr>
        <w:t xml:space="preserve">presente amparo </w:t>
      </w:r>
      <w:r w:rsidR="006603C2">
        <w:rPr>
          <w:rFonts w:ascii="Georgia" w:hAnsi="Georgia" w:cs="Arial"/>
          <w:lang w:val="es-CO"/>
        </w:rPr>
        <w:t xml:space="preserve">es improcedente frente al </w:t>
      </w:r>
      <w:r w:rsidR="006603C2" w:rsidRPr="006603C2">
        <w:rPr>
          <w:rFonts w:ascii="Georgia" w:hAnsi="Georgia" w:cs="Arial"/>
          <w:i/>
          <w:lang w:val="es-CO"/>
        </w:rPr>
        <w:t>a quo</w:t>
      </w:r>
      <w:r w:rsidR="005F1E45">
        <w:rPr>
          <w:rFonts w:ascii="Georgia" w:hAnsi="Georgia" w:cs="Arial"/>
          <w:i/>
          <w:lang w:val="es-CO"/>
        </w:rPr>
        <w:t xml:space="preserve">, </w:t>
      </w:r>
      <w:r w:rsidR="006603C2">
        <w:rPr>
          <w:rFonts w:ascii="Georgia" w:hAnsi="Georgia" w:cs="Arial"/>
          <w:lang w:val="es-CO"/>
        </w:rPr>
        <w:t xml:space="preserve"> </w:t>
      </w:r>
      <w:r w:rsidRPr="00CD5841">
        <w:rPr>
          <w:rFonts w:ascii="Georgia" w:hAnsi="Georgia" w:cs="Arial"/>
          <w:lang w:val="es-ES_tradnl"/>
        </w:rPr>
        <w:t>toda vez que se incumple con uno de los siete (7) requisitos generales de procedibilidad, esto es, el de la subsidiariedad</w:t>
      </w:r>
      <w:r w:rsidR="005F1E45">
        <w:rPr>
          <w:rFonts w:ascii="Georgia" w:hAnsi="Georgia" w:cs="Arial"/>
          <w:lang w:val="es-ES_tradnl"/>
        </w:rPr>
        <w:t>.</w:t>
      </w:r>
      <w:r w:rsidR="006603C2">
        <w:rPr>
          <w:rFonts w:ascii="Georgia" w:hAnsi="Georgia" w:cs="Arial"/>
          <w:iCs/>
          <w:bdr w:val="none" w:sz="0" w:space="0" w:color="auto" w:frame="1"/>
        </w:rPr>
        <w:t xml:space="preserve"> </w:t>
      </w:r>
      <w:r w:rsidR="005F1E45">
        <w:rPr>
          <w:rFonts w:ascii="Georgia" w:hAnsi="Georgia" w:cs="Arial"/>
          <w:iCs/>
          <w:bdr w:val="none" w:sz="0" w:space="0" w:color="auto" w:frame="1"/>
        </w:rPr>
        <w:t>L</w:t>
      </w:r>
      <w:r w:rsidR="006603C2">
        <w:rPr>
          <w:rFonts w:ascii="Georgia" w:hAnsi="Georgia" w:cs="Arial"/>
          <w:iCs/>
          <w:bdr w:val="none" w:sz="0" w:space="0" w:color="auto" w:frame="1"/>
        </w:rPr>
        <w:t>a cuestión aquí debatida aún no se había decidido definitivamente.</w:t>
      </w:r>
    </w:p>
    <w:p w:rsidR="004E68FB" w:rsidRPr="007C23E2" w:rsidRDefault="004E68FB" w:rsidP="004E68FB">
      <w:pPr>
        <w:pStyle w:val="Corpsdetexte"/>
        <w:spacing w:line="360" w:lineRule="auto"/>
        <w:ind w:left="400"/>
        <w:rPr>
          <w:rFonts w:ascii="Georgia" w:hAnsi="Georgia"/>
        </w:rPr>
      </w:pPr>
    </w:p>
    <w:p w:rsidR="004E68FB" w:rsidRPr="005F1E45" w:rsidRDefault="005F1E45" w:rsidP="005F1E45">
      <w:pPr>
        <w:pStyle w:val="Paragraphedeliste"/>
        <w:numPr>
          <w:ilvl w:val="1"/>
          <w:numId w:val="18"/>
        </w:numPr>
        <w:spacing w:line="360" w:lineRule="auto"/>
        <w:ind w:right="567"/>
        <w:jc w:val="both"/>
        <w:rPr>
          <w:rFonts w:ascii="Georgia" w:hAnsi="Georgia" w:cs="Arial"/>
          <w:iCs/>
          <w:smallCaps/>
          <w:lang w:val="es-CO" w:eastAsia="es-CO"/>
        </w:rPr>
      </w:pPr>
      <w:r w:rsidRPr="005F1E45">
        <w:rPr>
          <w:rFonts w:ascii="Georgia" w:hAnsi="Georgia" w:cs="Arial"/>
          <w:iCs/>
          <w:smallCaps/>
          <w:lang w:val="es-CO" w:eastAsia="es-CO"/>
        </w:rPr>
        <w:t xml:space="preserve">Inexistencia </w:t>
      </w:r>
      <w:r w:rsidR="006603C2" w:rsidRPr="005F1E45">
        <w:rPr>
          <w:rFonts w:ascii="Georgia" w:hAnsi="Georgia" w:cs="Arial"/>
          <w:iCs/>
          <w:smallCaps/>
          <w:lang w:val="es-CO" w:eastAsia="es-CO"/>
        </w:rPr>
        <w:t xml:space="preserve">fáctica </w:t>
      </w:r>
    </w:p>
    <w:p w:rsidR="004E68FB" w:rsidRDefault="004E68FB" w:rsidP="004E68FB">
      <w:pPr>
        <w:pStyle w:val="Paragraphedeliste"/>
        <w:spacing w:line="360" w:lineRule="auto"/>
        <w:ind w:left="720" w:right="567"/>
        <w:jc w:val="both"/>
        <w:rPr>
          <w:rFonts w:ascii="Georgia" w:hAnsi="Georgia" w:cs="Arial"/>
          <w:iCs/>
          <w:sz w:val="20"/>
          <w:lang w:val="es-CO" w:eastAsia="es-CO"/>
        </w:rPr>
      </w:pPr>
    </w:p>
    <w:p w:rsidR="003A1C0A" w:rsidRDefault="006603C2" w:rsidP="005F1E45">
      <w:pPr>
        <w:widowControl/>
        <w:spacing w:line="360" w:lineRule="auto"/>
        <w:jc w:val="both"/>
        <w:rPr>
          <w:rFonts w:ascii="Georgia" w:hAnsi="Georgia"/>
          <w:lang w:val="es-CO"/>
        </w:rPr>
      </w:pPr>
      <w:r>
        <w:rPr>
          <w:rFonts w:ascii="Georgia" w:hAnsi="Georgia" w:cs="Arial"/>
          <w:lang w:val="es-ES_tradnl"/>
        </w:rPr>
        <w:t>En lo tocante con el Juzgado Quinto Civil del Circuito local, h</w:t>
      </w:r>
      <w:r w:rsidRPr="00EB1DBB">
        <w:rPr>
          <w:rFonts w:ascii="Georgia" w:hAnsi="Georgia" w:cs="Arial"/>
          <w:lang w:val="es-ES_tradnl"/>
        </w:rPr>
        <w:t>alla la Sala</w:t>
      </w:r>
      <w:r w:rsidRPr="00EB1DBB">
        <w:rPr>
          <w:rFonts w:ascii="Georgia" w:hAnsi="Georgia"/>
          <w:lang w:val="es-ES_tradnl"/>
        </w:rPr>
        <w:t xml:space="preserve">, sin necesidad de adentrarse en el análisis de los presupuestos </w:t>
      </w:r>
      <w:r w:rsidR="005F1E45">
        <w:rPr>
          <w:rFonts w:ascii="Georgia" w:hAnsi="Georgia"/>
          <w:lang w:val="es-ES_tradnl"/>
        </w:rPr>
        <w:t xml:space="preserve">generales </w:t>
      </w:r>
      <w:r w:rsidRPr="00EB1DBB">
        <w:rPr>
          <w:rFonts w:ascii="Georgia" w:hAnsi="Georgia"/>
          <w:lang w:val="es-ES_tradnl"/>
        </w:rPr>
        <w:t xml:space="preserve">de procedibilidad, que debe negarse </w:t>
      </w:r>
      <w:r>
        <w:rPr>
          <w:rFonts w:ascii="Georgia" w:hAnsi="Georgia"/>
          <w:lang w:val="es-ES_tradnl"/>
        </w:rPr>
        <w:t>la acción constitucional</w:t>
      </w:r>
      <w:r w:rsidRPr="00EB1DBB">
        <w:rPr>
          <w:rFonts w:ascii="Georgia" w:hAnsi="Georgia"/>
          <w:lang w:val="es-ES_tradnl"/>
        </w:rPr>
        <w:t xml:space="preserve">, </w:t>
      </w:r>
      <w:r w:rsidRPr="00EB1DBB">
        <w:rPr>
          <w:rFonts w:ascii="Georgia" w:hAnsi="Georgia"/>
          <w:lang w:val="es-CO"/>
        </w:rPr>
        <w:t xml:space="preserve">en razón a la </w:t>
      </w:r>
      <w:r w:rsidR="003A1C0A">
        <w:rPr>
          <w:rFonts w:ascii="Georgia" w:hAnsi="Georgia"/>
          <w:lang w:val="es-CO"/>
        </w:rPr>
        <w:t>ausencia</w:t>
      </w:r>
      <w:r w:rsidRPr="00EB1DBB">
        <w:rPr>
          <w:rFonts w:ascii="Georgia" w:hAnsi="Georgia"/>
          <w:lang w:val="es-CO"/>
        </w:rPr>
        <w:t xml:space="preserve"> de hechos vulneradores o amenazantes</w:t>
      </w:r>
      <w:r w:rsidR="003A1C0A">
        <w:rPr>
          <w:rFonts w:ascii="Georgia" w:hAnsi="Georgia"/>
          <w:lang w:val="es-CO"/>
        </w:rPr>
        <w:t>.</w:t>
      </w:r>
    </w:p>
    <w:p w:rsidR="003A1C0A" w:rsidRDefault="003A1C0A" w:rsidP="005F1E45">
      <w:pPr>
        <w:widowControl/>
        <w:spacing w:line="360" w:lineRule="auto"/>
        <w:jc w:val="both"/>
        <w:rPr>
          <w:rFonts w:ascii="Georgia" w:hAnsi="Georgia"/>
          <w:lang w:val="es-CO"/>
        </w:rPr>
      </w:pPr>
    </w:p>
    <w:p w:rsidR="005F1E45" w:rsidRPr="005F1E45" w:rsidRDefault="003A1C0A" w:rsidP="005F1E45">
      <w:pPr>
        <w:widowControl/>
        <w:spacing w:line="360" w:lineRule="auto"/>
        <w:jc w:val="both"/>
        <w:rPr>
          <w:rFonts w:ascii="Georgia" w:hAnsi="Georgia" w:cs="Arial"/>
          <w:lang w:val="es-CO"/>
        </w:rPr>
      </w:pPr>
      <w:r>
        <w:rPr>
          <w:rFonts w:ascii="Georgia" w:hAnsi="Georgia"/>
          <w:lang w:val="es-CO"/>
        </w:rPr>
        <w:t>P</w:t>
      </w:r>
      <w:r w:rsidR="006603C2">
        <w:rPr>
          <w:rFonts w:ascii="Georgia" w:hAnsi="Georgia" w:cs="Arial"/>
        </w:rPr>
        <w:t xml:space="preserve">ara la época en que se radicó </w:t>
      </w:r>
      <w:r>
        <w:rPr>
          <w:rFonts w:ascii="Georgia" w:hAnsi="Georgia" w:cs="Arial"/>
        </w:rPr>
        <w:t xml:space="preserve">el amparo </w:t>
      </w:r>
      <w:r w:rsidR="006603C2">
        <w:rPr>
          <w:rFonts w:ascii="Georgia" w:hAnsi="Georgia" w:cs="Arial"/>
        </w:rPr>
        <w:t xml:space="preserve">(30-08-2017) </w:t>
      </w:r>
      <w:r>
        <w:rPr>
          <w:rFonts w:ascii="Georgia" w:hAnsi="Georgia" w:cs="Arial"/>
        </w:rPr>
        <w:t xml:space="preserve">el </w:t>
      </w:r>
      <w:r w:rsidRPr="003A1C0A">
        <w:rPr>
          <w:rFonts w:ascii="Georgia" w:hAnsi="Georgia" w:cs="Arial"/>
          <w:i/>
        </w:rPr>
        <w:t xml:space="preserve">ad </w:t>
      </w:r>
      <w:proofErr w:type="spellStart"/>
      <w:r w:rsidRPr="003A1C0A">
        <w:rPr>
          <w:rFonts w:ascii="Georgia" w:hAnsi="Georgia" w:cs="Arial"/>
          <w:i/>
        </w:rPr>
        <w:t>quem</w:t>
      </w:r>
      <w:proofErr w:type="spellEnd"/>
      <w:r>
        <w:rPr>
          <w:rFonts w:ascii="Georgia" w:hAnsi="Georgia" w:cs="Arial"/>
        </w:rPr>
        <w:t xml:space="preserve"> </w:t>
      </w:r>
      <w:r w:rsidR="006603C2">
        <w:rPr>
          <w:rFonts w:ascii="Georgia" w:hAnsi="Georgia" w:cs="Arial"/>
        </w:rPr>
        <w:t>todavía no había resuelto la consulta del auto sancionatorio</w:t>
      </w:r>
      <w:r>
        <w:rPr>
          <w:rFonts w:ascii="Georgia" w:hAnsi="Georgia" w:cs="Arial"/>
        </w:rPr>
        <w:t xml:space="preserve">, por lo tanto, </w:t>
      </w:r>
      <w:r>
        <w:rPr>
          <w:rFonts w:ascii="Georgia" w:hAnsi="Georgia" w:cs="Arial"/>
          <w:lang w:val="es-CO"/>
        </w:rPr>
        <w:t>los defectos especiales endilgados se pregonaban</w:t>
      </w:r>
      <w:r w:rsidR="005F1E45">
        <w:rPr>
          <w:rFonts w:ascii="Georgia" w:hAnsi="Georgia" w:cs="Arial"/>
          <w:lang w:val="es-CO"/>
        </w:rPr>
        <w:t xml:space="preserve"> de una decisión </w:t>
      </w:r>
      <w:r>
        <w:rPr>
          <w:rFonts w:ascii="Georgia" w:hAnsi="Georgia" w:cs="Arial"/>
          <w:lang w:val="es-CO"/>
        </w:rPr>
        <w:t>inexistente</w:t>
      </w:r>
      <w:r w:rsidR="005F1E45" w:rsidRPr="005F1E45">
        <w:rPr>
          <w:rFonts w:ascii="Georgia" w:hAnsi="Georgia" w:cs="Arial"/>
          <w:lang w:val="es-CO"/>
        </w:rPr>
        <w:t>.</w:t>
      </w:r>
    </w:p>
    <w:p w:rsidR="006603C2" w:rsidRPr="006603C2" w:rsidRDefault="006603C2" w:rsidP="006603C2">
      <w:pPr>
        <w:widowControl/>
        <w:spacing w:line="360" w:lineRule="auto"/>
        <w:jc w:val="both"/>
        <w:rPr>
          <w:rFonts w:ascii="Georgia" w:hAnsi="Georgia" w:cs="Arial"/>
        </w:rPr>
      </w:pPr>
    </w:p>
    <w:p w:rsidR="005F1E45" w:rsidRDefault="003A1C0A" w:rsidP="006603C2">
      <w:pPr>
        <w:widowControl/>
        <w:spacing w:line="360" w:lineRule="auto"/>
        <w:jc w:val="both"/>
        <w:rPr>
          <w:rFonts w:ascii="Georgia" w:hAnsi="Georgia" w:cs="Arial"/>
        </w:rPr>
      </w:pPr>
      <w:r>
        <w:rPr>
          <w:rFonts w:ascii="Georgia" w:hAnsi="Georgia" w:cs="Arial"/>
          <w:lang w:val="es-CO"/>
        </w:rPr>
        <w:t xml:space="preserve">Es cierto que </w:t>
      </w:r>
      <w:r w:rsidR="006603C2" w:rsidRPr="007169AF">
        <w:rPr>
          <w:rFonts w:ascii="Georgia" w:hAnsi="Georgia" w:cs="Arial"/>
          <w:lang w:val="es-CO"/>
        </w:rPr>
        <w:t xml:space="preserve">a estas alturas </w:t>
      </w:r>
      <w:r w:rsidR="006603C2">
        <w:rPr>
          <w:rFonts w:ascii="Georgia" w:hAnsi="Georgia" w:cs="Arial"/>
          <w:lang w:val="es-CO"/>
        </w:rPr>
        <w:t xml:space="preserve">hay </w:t>
      </w:r>
      <w:r w:rsidR="006603C2" w:rsidRPr="007169AF">
        <w:rPr>
          <w:rFonts w:ascii="Georgia" w:hAnsi="Georgia" w:cs="Arial"/>
          <w:lang w:val="es-CO"/>
        </w:rPr>
        <w:t xml:space="preserve">pronunciamiento </w:t>
      </w:r>
      <w:r>
        <w:rPr>
          <w:rFonts w:ascii="Georgia" w:hAnsi="Georgia" w:cs="Arial"/>
          <w:lang w:val="es-CO"/>
        </w:rPr>
        <w:t xml:space="preserve">que confirma la sanción impuesta por la jueza de conocimiento que </w:t>
      </w:r>
      <w:r w:rsidR="006603C2" w:rsidRPr="007169AF">
        <w:rPr>
          <w:rFonts w:ascii="Georgia" w:hAnsi="Georgia" w:cs="Arial"/>
          <w:lang w:val="es-CO"/>
        </w:rPr>
        <w:t xml:space="preserve">data del </w:t>
      </w:r>
      <w:r w:rsidR="005F1E45">
        <w:rPr>
          <w:rFonts w:ascii="Georgia" w:hAnsi="Georgia" w:cs="Arial"/>
          <w:lang w:val="es-CO"/>
        </w:rPr>
        <w:t xml:space="preserve">04-09-2017 </w:t>
      </w:r>
      <w:r w:rsidR="006603C2">
        <w:rPr>
          <w:rFonts w:ascii="Georgia" w:hAnsi="Georgia" w:cs="Arial"/>
        </w:rPr>
        <w:t>(Folio</w:t>
      </w:r>
      <w:r w:rsidR="005F1E45">
        <w:rPr>
          <w:rFonts w:ascii="Georgia" w:hAnsi="Georgia" w:cs="Arial"/>
        </w:rPr>
        <w:t>s</w:t>
      </w:r>
      <w:r w:rsidR="006603C2">
        <w:rPr>
          <w:rFonts w:ascii="Georgia" w:hAnsi="Georgia" w:cs="Arial"/>
        </w:rPr>
        <w:t xml:space="preserve"> </w:t>
      </w:r>
      <w:r w:rsidR="005F1E45">
        <w:rPr>
          <w:rFonts w:ascii="Georgia" w:hAnsi="Georgia" w:cs="Arial"/>
        </w:rPr>
        <w:t>55 y 56, ib.), pero es inviable para esta Magistratura en sede de tutela realizar el análisis constitucional de esa decisión sobreviviente, acaeció durante el trámite del amparo.</w:t>
      </w:r>
    </w:p>
    <w:p w:rsidR="00EA794A" w:rsidRDefault="00EA794A" w:rsidP="006603C2">
      <w:pPr>
        <w:widowControl/>
        <w:spacing w:line="360" w:lineRule="auto"/>
        <w:jc w:val="both"/>
        <w:rPr>
          <w:rFonts w:ascii="Georgia" w:hAnsi="Georgia" w:cs="Arial"/>
        </w:rPr>
      </w:pPr>
    </w:p>
    <w:p w:rsidR="00EA794A" w:rsidRDefault="00EA794A" w:rsidP="00EA794A">
      <w:pPr>
        <w:widowControl/>
        <w:spacing w:line="360" w:lineRule="auto"/>
        <w:jc w:val="both"/>
        <w:rPr>
          <w:rFonts w:ascii="Georgia" w:hAnsi="Georgia" w:cs="Arial"/>
          <w:lang w:val="es-CO"/>
        </w:rPr>
      </w:pPr>
      <w:r>
        <w:rPr>
          <w:rFonts w:ascii="Georgia" w:hAnsi="Georgia" w:cs="Arial"/>
        </w:rPr>
        <w:t xml:space="preserve">No obstante lo dicho, por virtud de la especial </w:t>
      </w:r>
      <w:r w:rsidR="008E793D">
        <w:rPr>
          <w:rFonts w:ascii="Georgia" w:hAnsi="Georgia" w:cs="Arial"/>
        </w:rPr>
        <w:t>finalidad</w:t>
      </w:r>
      <w:r>
        <w:rPr>
          <w:rFonts w:ascii="Georgia" w:hAnsi="Georgia" w:cs="Arial"/>
        </w:rPr>
        <w:t xml:space="preserve"> de los tramites incidentales, cual es procurar el cumplimiento de la orden tutelar, la parte </w:t>
      </w:r>
      <w:proofErr w:type="spellStart"/>
      <w:r>
        <w:rPr>
          <w:rFonts w:ascii="Georgia" w:hAnsi="Georgia" w:cs="Arial"/>
        </w:rPr>
        <w:t>incidentanda</w:t>
      </w:r>
      <w:proofErr w:type="spellEnd"/>
      <w:r>
        <w:rPr>
          <w:rFonts w:ascii="Georgia" w:hAnsi="Georgia" w:cs="Arial"/>
        </w:rPr>
        <w:t xml:space="preserve"> puede en cualquier momento, inclusive, aun existiendo decisión de consulta que</w:t>
      </w:r>
      <w:r w:rsidR="008E793D">
        <w:rPr>
          <w:rFonts w:ascii="Georgia" w:hAnsi="Georgia" w:cs="Arial"/>
        </w:rPr>
        <w:t xml:space="preserve"> confirme</w:t>
      </w:r>
      <w:r>
        <w:rPr>
          <w:rFonts w:ascii="Georgia" w:hAnsi="Georgia" w:cs="Arial"/>
        </w:rPr>
        <w:t xml:space="preserve"> la sanción, demostrar que se atendió el fallo a efectos de que sea </w:t>
      </w:r>
      <w:proofErr w:type="spellStart"/>
      <w:r>
        <w:rPr>
          <w:rFonts w:ascii="Georgia" w:hAnsi="Georgia" w:cs="Arial"/>
        </w:rPr>
        <w:t>inejecutada</w:t>
      </w:r>
      <w:proofErr w:type="spellEnd"/>
      <w:r>
        <w:rPr>
          <w:rFonts w:ascii="Georgia" w:hAnsi="Georgia" w:cs="Arial"/>
        </w:rPr>
        <w:t xml:space="preserve">. </w:t>
      </w:r>
      <w:r>
        <w:rPr>
          <w:rFonts w:ascii="Georgia" w:hAnsi="Georgia" w:cs="Arial"/>
          <w:lang w:val="es-CO"/>
        </w:rPr>
        <w:t xml:space="preserve">Los </w:t>
      </w:r>
      <w:proofErr w:type="spellStart"/>
      <w:r>
        <w:rPr>
          <w:rFonts w:ascii="Georgia" w:hAnsi="Georgia" w:cs="Arial"/>
          <w:lang w:val="es-CO"/>
        </w:rPr>
        <w:t>incidentados</w:t>
      </w:r>
      <w:proofErr w:type="spellEnd"/>
      <w:r>
        <w:rPr>
          <w:rFonts w:ascii="Georgia" w:hAnsi="Georgia" w:cs="Arial"/>
          <w:lang w:val="es-CO"/>
        </w:rPr>
        <w:t xml:space="preserve"> </w:t>
      </w:r>
      <w:r w:rsidRPr="002541E9">
        <w:rPr>
          <w:rFonts w:ascii="Georgia" w:hAnsi="Georgia" w:cs="Arial"/>
          <w:lang w:val="es-CO"/>
        </w:rPr>
        <w:t xml:space="preserve">pueden: </w:t>
      </w:r>
      <w:r w:rsidRPr="002541E9">
        <w:rPr>
          <w:rFonts w:ascii="Georgia" w:hAnsi="Georgia" w:cs="Arial"/>
          <w:i/>
          <w:sz w:val="22"/>
          <w:lang w:val="es-CO"/>
        </w:rPr>
        <w:t>“(…)  librarse  de  las  sanciones impuestas incluso si el acatamiento se da luego de consultada y confirmada la sanción, siempre y cuando se acredite el cumplimiento del fallo de tutela (…)”</w:t>
      </w:r>
      <w:r w:rsidRPr="002541E9">
        <w:rPr>
          <w:rFonts w:ascii="Georgia" w:hAnsi="Georgia" w:cs="Arial"/>
          <w:sz w:val="22"/>
          <w:vertAlign w:val="superscript"/>
          <w:lang w:val="es-CO"/>
        </w:rPr>
        <w:footnoteReference w:id="22"/>
      </w:r>
      <w:r w:rsidRPr="002541E9">
        <w:rPr>
          <w:rFonts w:ascii="Georgia" w:hAnsi="Georgia" w:cs="Arial"/>
          <w:i/>
          <w:sz w:val="22"/>
          <w:lang w:val="es-CO"/>
        </w:rPr>
        <w:t xml:space="preserve">. </w:t>
      </w:r>
      <w:r>
        <w:rPr>
          <w:rFonts w:ascii="Georgia" w:hAnsi="Georgia" w:cs="Arial"/>
          <w:lang w:val="es-CO"/>
        </w:rPr>
        <w:t xml:space="preserve">Discernimiento compartido </w:t>
      </w:r>
      <w:r w:rsidRPr="002541E9">
        <w:rPr>
          <w:rFonts w:ascii="Georgia" w:hAnsi="Georgia" w:cs="Arial"/>
          <w:lang w:val="es-CO"/>
        </w:rPr>
        <w:t>por la CSJ</w:t>
      </w:r>
      <w:r w:rsidRPr="002541E9">
        <w:rPr>
          <w:rStyle w:val="Appelnotedebasdep"/>
          <w:rFonts w:ascii="Arial" w:hAnsi="Arial" w:cs="Arial"/>
        </w:rPr>
        <w:footnoteReference w:id="23"/>
      </w:r>
      <w:r w:rsidRPr="002541E9">
        <w:rPr>
          <w:rFonts w:ascii="Georgia" w:hAnsi="Georgia" w:cs="Arial"/>
          <w:lang w:val="es-CO"/>
        </w:rPr>
        <w:t>.</w:t>
      </w:r>
      <w:r>
        <w:rPr>
          <w:rFonts w:ascii="Arial" w:hAnsi="Arial" w:cs="Arial"/>
        </w:rPr>
        <w:t xml:space="preserve"> </w:t>
      </w:r>
      <w:r w:rsidRPr="002541E9">
        <w:rPr>
          <w:rFonts w:ascii="Georgia" w:hAnsi="Georgia" w:cs="Arial"/>
          <w:lang w:val="es-CO"/>
        </w:rPr>
        <w:t xml:space="preserve"> </w:t>
      </w:r>
    </w:p>
    <w:p w:rsidR="00EA794A" w:rsidRPr="002541E9" w:rsidRDefault="00EA794A" w:rsidP="00EA794A">
      <w:pPr>
        <w:widowControl/>
        <w:spacing w:line="360" w:lineRule="auto"/>
        <w:jc w:val="both"/>
        <w:rPr>
          <w:rFonts w:ascii="Georgia" w:hAnsi="Georgia" w:cs="Arial"/>
          <w:lang w:val="es-CO"/>
        </w:rPr>
      </w:pPr>
    </w:p>
    <w:p w:rsidR="008E793D" w:rsidRDefault="00EA794A" w:rsidP="00EA794A">
      <w:pPr>
        <w:spacing w:line="360" w:lineRule="auto"/>
        <w:jc w:val="both"/>
        <w:rPr>
          <w:rFonts w:ascii="Georgia" w:hAnsi="Georgia" w:cs="Arial"/>
        </w:rPr>
      </w:pPr>
      <w:r>
        <w:rPr>
          <w:rFonts w:ascii="Georgia" w:hAnsi="Georgia" w:cs="Arial"/>
        </w:rPr>
        <w:t xml:space="preserve">Además, aunque no sea objeto de análisis, valga la pena recordar la obligación de los jueces de que en sus providencias despachen de manera suficiente las peticiones con fundamento probatorio y jurídico, o por lo menos </w:t>
      </w:r>
      <w:r w:rsidR="008E793D">
        <w:rPr>
          <w:rFonts w:ascii="Georgia" w:hAnsi="Georgia" w:cs="Arial"/>
        </w:rPr>
        <w:t xml:space="preserve">justifiquen </w:t>
      </w:r>
      <w:r>
        <w:rPr>
          <w:rFonts w:ascii="Georgia" w:hAnsi="Georgia" w:cs="Arial"/>
        </w:rPr>
        <w:t>el motivo por el cual se abstienen de pronunciarse</w:t>
      </w:r>
      <w:r w:rsidR="008E793D">
        <w:rPr>
          <w:rStyle w:val="Appelnotedebasdep"/>
          <w:rFonts w:ascii="Georgia" w:hAnsi="Georgia"/>
        </w:rPr>
        <w:footnoteReference w:id="24"/>
      </w:r>
      <w:r>
        <w:rPr>
          <w:rFonts w:ascii="Georgia" w:hAnsi="Georgia" w:cs="Arial"/>
        </w:rPr>
        <w:t xml:space="preserve">. Lo anterior, porque llama la atención la falta de motivación </w:t>
      </w:r>
      <w:r w:rsidR="00BC68E9">
        <w:rPr>
          <w:rFonts w:ascii="Georgia" w:hAnsi="Georgia" w:cs="Arial"/>
        </w:rPr>
        <w:t xml:space="preserve">de </w:t>
      </w:r>
      <w:r>
        <w:rPr>
          <w:rFonts w:ascii="Georgia" w:hAnsi="Georgia" w:cs="Arial"/>
        </w:rPr>
        <w:t xml:space="preserve">la Jueza del Circuito </w:t>
      </w:r>
      <w:r w:rsidR="008E793D">
        <w:rPr>
          <w:rFonts w:ascii="Georgia" w:hAnsi="Georgia" w:cs="Arial"/>
        </w:rPr>
        <w:t xml:space="preserve">para dejar de proveer respecto del memorial que arrimó la parte </w:t>
      </w:r>
      <w:proofErr w:type="spellStart"/>
      <w:r w:rsidR="008E793D">
        <w:rPr>
          <w:rFonts w:ascii="Georgia" w:hAnsi="Georgia" w:cs="Arial"/>
        </w:rPr>
        <w:t>incidentada</w:t>
      </w:r>
      <w:proofErr w:type="spellEnd"/>
      <w:r w:rsidR="008E793D">
        <w:rPr>
          <w:rFonts w:ascii="Georgia" w:hAnsi="Georgia" w:cs="Arial"/>
        </w:rPr>
        <w:t xml:space="preserve"> y en el que se alega la </w:t>
      </w:r>
      <w:r w:rsidR="00BC68E9">
        <w:rPr>
          <w:rFonts w:ascii="Georgia" w:hAnsi="Georgia" w:cs="Arial"/>
        </w:rPr>
        <w:t xml:space="preserve">carencia </w:t>
      </w:r>
      <w:r w:rsidR="008E793D">
        <w:rPr>
          <w:rFonts w:ascii="Georgia" w:hAnsi="Georgia" w:cs="Arial"/>
        </w:rPr>
        <w:t xml:space="preserve">de legitimación, aspecto trascendente a la hora de velar por el cumplimiento del fallo de tutela e imponer alguna sanción. </w:t>
      </w:r>
    </w:p>
    <w:p w:rsidR="00EA794A" w:rsidRDefault="00EA794A" w:rsidP="006603C2">
      <w:pPr>
        <w:widowControl/>
        <w:spacing w:line="360" w:lineRule="auto"/>
        <w:jc w:val="both"/>
        <w:rPr>
          <w:rFonts w:ascii="Georgia" w:hAnsi="Georgia" w:cs="Arial"/>
        </w:rPr>
      </w:pPr>
    </w:p>
    <w:p w:rsidR="00205C64" w:rsidRPr="006870B9" w:rsidRDefault="00205C64" w:rsidP="00260F52">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4"/>
          <w:szCs w:val="24"/>
        </w:rPr>
      </w:pPr>
      <w:r w:rsidRPr="006870B9">
        <w:rPr>
          <w:rFonts w:ascii="Georgia" w:hAnsi="Georgia" w:cs="Arial"/>
          <w:sz w:val="24"/>
          <w:szCs w:val="24"/>
        </w:rPr>
        <w:t xml:space="preserve">LAS CONCLUSIONES </w:t>
      </w:r>
    </w:p>
    <w:p w:rsidR="00E649FA" w:rsidRPr="008E793D" w:rsidRDefault="00E649FA" w:rsidP="0063381F">
      <w:pPr>
        <w:pStyle w:val="Corpsdetexte"/>
        <w:tabs>
          <w:tab w:val="clear" w:pos="708"/>
        </w:tabs>
        <w:spacing w:line="360" w:lineRule="auto"/>
        <w:rPr>
          <w:rFonts w:ascii="Georgia" w:hAnsi="Georgia" w:cs="Arial"/>
          <w:sz w:val="24"/>
          <w:szCs w:val="24"/>
          <w:lang w:val="es-ES"/>
        </w:rPr>
      </w:pPr>
    </w:p>
    <w:p w:rsidR="003A1C0A" w:rsidRPr="007C23E2" w:rsidRDefault="003A1C0A" w:rsidP="003A1C0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Con fundamento en las consideraciones expuestas, en los acápites anteriores</w:t>
      </w:r>
      <w:r>
        <w:rPr>
          <w:rFonts w:ascii="Georgia" w:hAnsi="Georgia" w:cs="Arial"/>
        </w:rPr>
        <w:t xml:space="preserve"> (i) S</w:t>
      </w:r>
      <w:r w:rsidRPr="007C23E2">
        <w:rPr>
          <w:rFonts w:ascii="Georgia" w:hAnsi="Georgia" w:cs="Arial"/>
        </w:rPr>
        <w:t xml:space="preserve">e declarará improcedente </w:t>
      </w:r>
      <w:r>
        <w:rPr>
          <w:rFonts w:ascii="Georgia" w:hAnsi="Georgia" w:cs="Arial"/>
        </w:rPr>
        <w:t>la acción de tutela</w:t>
      </w:r>
      <w:r w:rsidR="00D66123">
        <w:rPr>
          <w:rFonts w:ascii="Georgia" w:hAnsi="Georgia" w:cs="Arial"/>
        </w:rPr>
        <w:t xml:space="preserve"> contra el Juzgado Primero Civil Municipal de Pereira</w:t>
      </w:r>
      <w:r w:rsidRPr="007C23E2">
        <w:rPr>
          <w:rFonts w:ascii="Georgia" w:hAnsi="Georgia" w:cs="Arial"/>
          <w:lang w:val="es-ES_tradnl"/>
        </w:rPr>
        <w:t>, por faltar el presupuesto de la subsidiariedad</w:t>
      </w:r>
      <w:r w:rsidR="00D66123">
        <w:rPr>
          <w:rFonts w:ascii="Georgia" w:hAnsi="Georgia" w:cs="Arial"/>
          <w:lang w:val="es-ES_tradnl"/>
        </w:rPr>
        <w:t>; y, (ii) Se negará frente al Juzgado Quinto Civil del Circuito local, por ausencia fáctica</w:t>
      </w:r>
      <w:r w:rsidRPr="007C23E2">
        <w:rPr>
          <w:rFonts w:ascii="Georgia" w:hAnsi="Georgia" w:cs="Arial"/>
        </w:rPr>
        <w:t>.</w:t>
      </w:r>
    </w:p>
    <w:p w:rsidR="003A1C0A" w:rsidRPr="00E445DE" w:rsidRDefault="003A1C0A" w:rsidP="003A1C0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3A1C0A" w:rsidRDefault="003A1C0A" w:rsidP="003A1C0A">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9365B9" w:rsidRDefault="009365B9" w:rsidP="003A1C0A">
      <w:pPr>
        <w:tabs>
          <w:tab w:val="left" w:pos="-720"/>
        </w:tabs>
        <w:suppressAutoHyphens/>
        <w:spacing w:line="360" w:lineRule="auto"/>
        <w:jc w:val="both"/>
        <w:rPr>
          <w:rFonts w:ascii="Georgia" w:hAnsi="Georgia" w:cs="Arial"/>
        </w:rPr>
      </w:pPr>
    </w:p>
    <w:p w:rsidR="009365B9" w:rsidRDefault="009365B9" w:rsidP="003A1C0A">
      <w:pPr>
        <w:tabs>
          <w:tab w:val="left" w:pos="-720"/>
        </w:tabs>
        <w:suppressAutoHyphens/>
        <w:spacing w:line="360" w:lineRule="auto"/>
        <w:jc w:val="both"/>
        <w:rPr>
          <w:rFonts w:ascii="Georgia" w:hAnsi="Georgia" w:cs="Arial"/>
        </w:rPr>
      </w:pPr>
    </w:p>
    <w:p w:rsidR="009365B9" w:rsidRPr="007C23E2" w:rsidRDefault="009365B9" w:rsidP="003A1C0A">
      <w:pPr>
        <w:tabs>
          <w:tab w:val="left" w:pos="-720"/>
        </w:tabs>
        <w:suppressAutoHyphens/>
        <w:spacing w:line="360" w:lineRule="auto"/>
        <w:jc w:val="both"/>
        <w:rPr>
          <w:rFonts w:ascii="Georgia" w:hAnsi="Georgia" w:cs="Arial"/>
        </w:rPr>
      </w:pPr>
    </w:p>
    <w:p w:rsidR="0063381F" w:rsidRPr="00D66123" w:rsidRDefault="0063381F" w:rsidP="00426EA6">
      <w:pPr>
        <w:pStyle w:val="Corpsdetexte"/>
        <w:spacing w:line="360" w:lineRule="auto"/>
        <w:jc w:val="center"/>
        <w:rPr>
          <w:rFonts w:ascii="Georgia" w:hAnsi="Georgia" w:cs="Arial"/>
          <w:bCs/>
          <w:smallCaps/>
          <w:sz w:val="24"/>
          <w:szCs w:val="24"/>
        </w:rPr>
      </w:pPr>
      <w:r w:rsidRPr="00D66123">
        <w:rPr>
          <w:rFonts w:ascii="Georgia" w:hAnsi="Georgia" w:cs="Arial"/>
          <w:bCs/>
          <w:smallCaps/>
          <w:sz w:val="24"/>
          <w:szCs w:val="24"/>
        </w:rPr>
        <w:lastRenderedPageBreak/>
        <w:t xml:space="preserve">F A L </w:t>
      </w:r>
      <w:proofErr w:type="spellStart"/>
      <w:r w:rsidRPr="00D66123">
        <w:rPr>
          <w:rFonts w:ascii="Georgia" w:hAnsi="Georgia" w:cs="Arial"/>
          <w:bCs/>
          <w:smallCaps/>
          <w:sz w:val="24"/>
          <w:szCs w:val="24"/>
        </w:rPr>
        <w:t>L</w:t>
      </w:r>
      <w:proofErr w:type="spellEnd"/>
      <w:r w:rsidRPr="00D66123">
        <w:rPr>
          <w:rFonts w:ascii="Georgia" w:hAnsi="Georgia" w:cs="Arial"/>
          <w:bCs/>
          <w:smallCaps/>
          <w:sz w:val="24"/>
          <w:szCs w:val="24"/>
        </w:rPr>
        <w:t xml:space="preserve"> A,</w:t>
      </w:r>
    </w:p>
    <w:p w:rsidR="0063381F" w:rsidRPr="00D66123" w:rsidRDefault="0063381F" w:rsidP="00426EA6">
      <w:pPr>
        <w:pStyle w:val="Corpsdetexte"/>
        <w:spacing w:line="360" w:lineRule="auto"/>
        <w:jc w:val="center"/>
        <w:rPr>
          <w:rFonts w:ascii="Georgia" w:hAnsi="Georgia" w:cs="Arial"/>
          <w:bCs/>
          <w:smallCaps/>
          <w:sz w:val="24"/>
          <w:szCs w:val="24"/>
        </w:rPr>
      </w:pPr>
    </w:p>
    <w:p w:rsidR="00D66123" w:rsidRPr="00D66123" w:rsidRDefault="00D66123" w:rsidP="00D66123">
      <w:pPr>
        <w:pStyle w:val="Corpsdetexte"/>
        <w:numPr>
          <w:ilvl w:val="0"/>
          <w:numId w:val="6"/>
        </w:numPr>
        <w:tabs>
          <w:tab w:val="clear" w:pos="720"/>
          <w:tab w:val="num" w:pos="360"/>
        </w:tabs>
        <w:spacing w:line="360" w:lineRule="auto"/>
        <w:ind w:left="360"/>
        <w:rPr>
          <w:rFonts w:ascii="Georgia" w:hAnsi="Georgia"/>
          <w:sz w:val="24"/>
          <w:szCs w:val="24"/>
        </w:rPr>
      </w:pPr>
      <w:r w:rsidRPr="00D66123">
        <w:rPr>
          <w:rFonts w:ascii="Georgia" w:hAnsi="Georgia"/>
          <w:sz w:val="24"/>
          <w:szCs w:val="24"/>
        </w:rPr>
        <w:t xml:space="preserve">DECLARAR IMPROCEDENTE la acción de tutela presentada por la señora Marcela Cuartas Mazo contra </w:t>
      </w:r>
      <w:r>
        <w:rPr>
          <w:rFonts w:ascii="Georgia" w:hAnsi="Georgia"/>
          <w:sz w:val="24"/>
          <w:szCs w:val="24"/>
        </w:rPr>
        <w:t xml:space="preserve">el </w:t>
      </w:r>
      <w:r w:rsidRPr="00D66123">
        <w:rPr>
          <w:rFonts w:ascii="Georgia" w:hAnsi="Georgia" w:cs="Arial"/>
          <w:sz w:val="24"/>
          <w:szCs w:val="24"/>
          <w:lang w:val="es-ES"/>
        </w:rPr>
        <w:t xml:space="preserve">Juzgado Primero Civil Municipal de Pereira. </w:t>
      </w:r>
    </w:p>
    <w:p w:rsidR="00D66123" w:rsidRPr="00D66123" w:rsidRDefault="00D66123" w:rsidP="00D66123">
      <w:pPr>
        <w:pStyle w:val="Corpsdetexte"/>
        <w:tabs>
          <w:tab w:val="clear" w:pos="708"/>
        </w:tabs>
        <w:spacing w:line="360" w:lineRule="auto"/>
        <w:ind w:left="360"/>
        <w:rPr>
          <w:rFonts w:ascii="Georgia" w:hAnsi="Georgia"/>
          <w:sz w:val="24"/>
          <w:szCs w:val="24"/>
        </w:rPr>
      </w:pPr>
    </w:p>
    <w:p w:rsidR="00D66123" w:rsidRDefault="00D66123" w:rsidP="00D66123">
      <w:pPr>
        <w:pStyle w:val="Corpsdetexte"/>
        <w:numPr>
          <w:ilvl w:val="0"/>
          <w:numId w:val="6"/>
        </w:numPr>
        <w:tabs>
          <w:tab w:val="clear" w:pos="720"/>
          <w:tab w:val="num" w:pos="360"/>
        </w:tabs>
        <w:spacing w:line="360" w:lineRule="auto"/>
        <w:ind w:left="360"/>
        <w:rPr>
          <w:rFonts w:ascii="Georgia" w:hAnsi="Georgia"/>
          <w:sz w:val="24"/>
          <w:szCs w:val="24"/>
        </w:rPr>
      </w:pPr>
      <w:r>
        <w:rPr>
          <w:rFonts w:ascii="Georgia" w:hAnsi="Georgia"/>
          <w:sz w:val="24"/>
          <w:szCs w:val="24"/>
        </w:rPr>
        <w:t>NEGAR el amparo constitucional frente al Juzgado Quinto Civil del Circuito de esta municipalidad.</w:t>
      </w:r>
    </w:p>
    <w:p w:rsidR="00D66123" w:rsidRDefault="00D66123" w:rsidP="00D66123">
      <w:pPr>
        <w:pStyle w:val="Paragraphedeliste"/>
        <w:rPr>
          <w:rFonts w:ascii="Georgia" w:hAnsi="Georgia"/>
        </w:rPr>
      </w:pPr>
    </w:p>
    <w:p w:rsidR="00D66123" w:rsidRPr="00D66123" w:rsidRDefault="00D66123" w:rsidP="00D66123">
      <w:pPr>
        <w:pStyle w:val="Corpsdetexte"/>
        <w:numPr>
          <w:ilvl w:val="0"/>
          <w:numId w:val="6"/>
        </w:numPr>
        <w:tabs>
          <w:tab w:val="clear" w:pos="720"/>
          <w:tab w:val="num" w:pos="360"/>
        </w:tabs>
        <w:spacing w:line="360" w:lineRule="auto"/>
        <w:ind w:left="360"/>
        <w:rPr>
          <w:rFonts w:ascii="Georgia" w:hAnsi="Georgia"/>
          <w:sz w:val="24"/>
          <w:szCs w:val="24"/>
        </w:rPr>
      </w:pPr>
      <w:r w:rsidRPr="00D66123">
        <w:rPr>
          <w:rFonts w:ascii="Georgia" w:hAnsi="Georgia"/>
          <w:sz w:val="24"/>
          <w:szCs w:val="24"/>
        </w:rPr>
        <w:t>REMITIR este expediente, a la CC para su eventual revisión, de no ser impugnada.</w:t>
      </w:r>
    </w:p>
    <w:p w:rsidR="00D66123" w:rsidRPr="00D66123" w:rsidRDefault="00D66123" w:rsidP="00D66123">
      <w:pPr>
        <w:pStyle w:val="Corpsdetexte"/>
        <w:tabs>
          <w:tab w:val="clear" w:pos="708"/>
        </w:tabs>
        <w:spacing w:line="360" w:lineRule="auto"/>
        <w:ind w:left="360"/>
        <w:rPr>
          <w:rFonts w:ascii="Georgia" w:hAnsi="Georgia"/>
          <w:sz w:val="24"/>
          <w:szCs w:val="24"/>
        </w:rPr>
      </w:pPr>
    </w:p>
    <w:p w:rsidR="00D66123" w:rsidRPr="00D66123" w:rsidRDefault="00D66123" w:rsidP="00D66123">
      <w:pPr>
        <w:pStyle w:val="Corpsdetexte"/>
        <w:numPr>
          <w:ilvl w:val="0"/>
          <w:numId w:val="6"/>
        </w:numPr>
        <w:tabs>
          <w:tab w:val="clear" w:pos="720"/>
          <w:tab w:val="num" w:pos="360"/>
        </w:tabs>
        <w:spacing w:line="360" w:lineRule="auto"/>
        <w:ind w:left="360"/>
        <w:rPr>
          <w:rFonts w:ascii="Georgia" w:hAnsi="Georgia"/>
          <w:sz w:val="24"/>
          <w:szCs w:val="24"/>
        </w:rPr>
      </w:pPr>
      <w:r w:rsidRPr="00D66123">
        <w:rPr>
          <w:rFonts w:ascii="Georgia" w:hAnsi="Georgia"/>
          <w:sz w:val="24"/>
          <w:szCs w:val="24"/>
        </w:rPr>
        <w:t>ORDENAR el archivo del expediente, surtidos los trámites anteriores.</w:t>
      </w:r>
    </w:p>
    <w:p w:rsidR="00522F30" w:rsidRPr="00D66123" w:rsidRDefault="00522F30" w:rsidP="00126266">
      <w:pPr>
        <w:pStyle w:val="Corpsdetexte"/>
        <w:spacing w:line="360" w:lineRule="auto"/>
        <w:jc w:val="center"/>
        <w:rPr>
          <w:rFonts w:ascii="Georgia" w:hAnsi="Georgia"/>
          <w:smallCaps/>
          <w:sz w:val="24"/>
          <w:szCs w:val="24"/>
        </w:rPr>
      </w:pPr>
    </w:p>
    <w:p w:rsidR="00AD7C0B" w:rsidRPr="00D66123" w:rsidRDefault="00AD7C0B" w:rsidP="00AD7C0B">
      <w:pPr>
        <w:pStyle w:val="Corpsdetexte"/>
        <w:spacing w:line="360" w:lineRule="auto"/>
        <w:jc w:val="center"/>
        <w:rPr>
          <w:rFonts w:ascii="Georgia" w:hAnsi="Georgia"/>
          <w:smallCaps/>
          <w:sz w:val="24"/>
          <w:szCs w:val="24"/>
          <w:lang w:val="en-US"/>
        </w:rPr>
      </w:pPr>
      <w:proofErr w:type="spellStart"/>
      <w:r w:rsidRPr="00D66123">
        <w:rPr>
          <w:rFonts w:ascii="Georgia" w:hAnsi="Georgia"/>
          <w:smallCaps/>
          <w:sz w:val="24"/>
          <w:szCs w:val="24"/>
          <w:lang w:val="en-US"/>
        </w:rPr>
        <w:t>Notifíquese</w:t>
      </w:r>
      <w:proofErr w:type="spellEnd"/>
      <w:r w:rsidRPr="00D66123">
        <w:rPr>
          <w:rFonts w:ascii="Georgia" w:hAnsi="Georgia"/>
          <w:smallCaps/>
          <w:sz w:val="24"/>
          <w:szCs w:val="24"/>
          <w:lang w:val="en-US"/>
        </w:rPr>
        <w:t>,</w:t>
      </w:r>
    </w:p>
    <w:p w:rsidR="00AD7C0B" w:rsidRPr="00D66123" w:rsidRDefault="00AD7C0B" w:rsidP="00AD7C0B">
      <w:pPr>
        <w:pStyle w:val="Corpsdetexte"/>
        <w:spacing w:line="360" w:lineRule="auto"/>
        <w:jc w:val="center"/>
        <w:rPr>
          <w:rFonts w:ascii="Georgia" w:hAnsi="Georgia"/>
          <w:sz w:val="24"/>
          <w:szCs w:val="24"/>
          <w:lang w:val="en-US"/>
        </w:rPr>
      </w:pPr>
    </w:p>
    <w:p w:rsidR="00AD7C0B" w:rsidRDefault="00AD7C0B" w:rsidP="00AD7C0B">
      <w:pPr>
        <w:pStyle w:val="Corpsdetexte"/>
        <w:spacing w:line="360" w:lineRule="auto"/>
        <w:jc w:val="center"/>
        <w:rPr>
          <w:rFonts w:ascii="Georgia" w:hAnsi="Georgia"/>
          <w:sz w:val="22"/>
          <w:szCs w:val="24"/>
          <w:lang w:val="en-US"/>
        </w:rPr>
      </w:pPr>
    </w:p>
    <w:p w:rsidR="008E793D" w:rsidRPr="006870B9" w:rsidRDefault="008E793D" w:rsidP="00AD7C0B">
      <w:pPr>
        <w:pStyle w:val="Corpsdetexte"/>
        <w:spacing w:line="360" w:lineRule="auto"/>
        <w:jc w:val="center"/>
        <w:rPr>
          <w:rFonts w:ascii="Georgia" w:hAnsi="Georgia"/>
          <w:sz w:val="22"/>
          <w:szCs w:val="24"/>
          <w:lang w:val="en-US"/>
        </w:rPr>
      </w:pPr>
    </w:p>
    <w:p w:rsidR="00AD7C0B" w:rsidRPr="006870B9" w:rsidRDefault="00AD7C0B" w:rsidP="00AD7C0B">
      <w:pPr>
        <w:pStyle w:val="Corpsdetexte"/>
        <w:spacing w:line="360" w:lineRule="auto"/>
        <w:jc w:val="center"/>
        <w:rPr>
          <w:rFonts w:ascii="Georgia" w:hAnsi="Georgia"/>
          <w:sz w:val="12"/>
          <w:szCs w:val="24"/>
          <w:lang w:val="en-US"/>
        </w:rPr>
      </w:pP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870B9">
        <w:rPr>
          <w:rFonts w:ascii="Georgia" w:hAnsi="Georgia" w:cs="Arial"/>
          <w:i/>
          <w:spacing w:val="-3"/>
          <w:w w:val="150"/>
          <w:sz w:val="28"/>
          <w:lang w:val="en-US"/>
        </w:rPr>
        <w:t>D</w:t>
      </w:r>
      <w:r w:rsidRPr="006870B9">
        <w:rPr>
          <w:rFonts w:ascii="Georgia" w:hAnsi="Georgia" w:cs="Arial"/>
          <w:i/>
          <w:spacing w:val="-3"/>
          <w:w w:val="150"/>
          <w:sz w:val="18"/>
          <w:szCs w:val="16"/>
          <w:lang w:val="en-US"/>
        </w:rPr>
        <w:t xml:space="preserve">UBERNEY </w:t>
      </w:r>
      <w:r w:rsidRPr="006870B9">
        <w:rPr>
          <w:rFonts w:ascii="Georgia" w:hAnsi="Georgia" w:cs="Arial"/>
          <w:i/>
          <w:spacing w:val="-3"/>
          <w:w w:val="150"/>
          <w:sz w:val="28"/>
          <w:lang w:val="en-US"/>
        </w:rPr>
        <w:t>G</w:t>
      </w:r>
      <w:r w:rsidRPr="006870B9">
        <w:rPr>
          <w:rFonts w:ascii="Georgia" w:hAnsi="Georgia" w:cs="Arial"/>
          <w:i/>
          <w:spacing w:val="-3"/>
          <w:w w:val="150"/>
          <w:sz w:val="18"/>
          <w:szCs w:val="16"/>
          <w:lang w:val="en-US"/>
        </w:rPr>
        <w:t xml:space="preserve">RISALES </w:t>
      </w:r>
      <w:r w:rsidRPr="006870B9">
        <w:rPr>
          <w:rFonts w:ascii="Georgia" w:hAnsi="Georgia" w:cs="Arial"/>
          <w:i/>
          <w:spacing w:val="-3"/>
          <w:w w:val="150"/>
          <w:sz w:val="28"/>
          <w:lang w:val="en-US"/>
        </w:rPr>
        <w:t>H</w:t>
      </w:r>
      <w:r w:rsidRPr="006870B9">
        <w:rPr>
          <w:rFonts w:ascii="Georgia" w:hAnsi="Georgia" w:cs="Arial"/>
          <w:i/>
          <w:spacing w:val="-3"/>
          <w:w w:val="150"/>
          <w:sz w:val="18"/>
          <w:szCs w:val="16"/>
          <w:lang w:val="en-US"/>
        </w:rPr>
        <w:t>ERRERA</w:t>
      </w: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870B9">
        <w:rPr>
          <w:rFonts w:ascii="Georgia" w:hAnsi="Georgia" w:cs="Arial"/>
          <w:i/>
          <w:spacing w:val="-3"/>
          <w:w w:val="150"/>
          <w:sz w:val="28"/>
          <w:lang w:val="en-US"/>
        </w:rPr>
        <w:t>M</w:t>
      </w:r>
      <w:r w:rsidRPr="006870B9">
        <w:rPr>
          <w:rFonts w:ascii="Georgia" w:hAnsi="Georgia" w:cs="Arial"/>
          <w:i/>
          <w:spacing w:val="-3"/>
          <w:w w:val="150"/>
          <w:lang w:val="en-US"/>
        </w:rPr>
        <w:t xml:space="preserve"> </w:t>
      </w:r>
      <w:r w:rsidRPr="006870B9">
        <w:rPr>
          <w:rFonts w:ascii="Georgia" w:hAnsi="Georgia" w:cs="Arial"/>
          <w:i/>
          <w:spacing w:val="-3"/>
          <w:w w:val="150"/>
          <w:sz w:val="18"/>
          <w:szCs w:val="20"/>
          <w:lang w:val="en-US"/>
        </w:rPr>
        <w:t>A G I S T R A D O</w:t>
      </w: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lang w:val="en-US"/>
        </w:rPr>
      </w:pP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0"/>
          <w:lang w:val="en-US"/>
        </w:rPr>
      </w:pP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48"/>
          <w:lang w:val="en-US"/>
        </w:rPr>
      </w:pP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6870B9">
        <w:rPr>
          <w:rFonts w:ascii="Georgia" w:hAnsi="Georgia"/>
          <w:i/>
          <w:w w:val="150"/>
          <w:sz w:val="28"/>
          <w:szCs w:val="18"/>
          <w:lang w:val="en-US"/>
        </w:rPr>
        <w:t>E</w:t>
      </w:r>
      <w:r w:rsidRPr="006870B9">
        <w:rPr>
          <w:rFonts w:ascii="Georgia" w:hAnsi="Georgia"/>
          <w:i/>
          <w:w w:val="150"/>
          <w:sz w:val="18"/>
          <w:szCs w:val="18"/>
          <w:lang w:val="en-US"/>
        </w:rPr>
        <w:t>DDER</w:t>
      </w:r>
      <w:r w:rsidRPr="006870B9">
        <w:rPr>
          <w:rFonts w:ascii="Georgia" w:hAnsi="Georgia"/>
          <w:i/>
          <w:w w:val="150"/>
          <w:sz w:val="18"/>
          <w:lang w:val="en-US"/>
        </w:rPr>
        <w:t xml:space="preserve"> </w:t>
      </w:r>
      <w:r w:rsidRPr="006870B9">
        <w:rPr>
          <w:rFonts w:ascii="Georgia" w:hAnsi="Georgia"/>
          <w:i/>
          <w:w w:val="150"/>
          <w:sz w:val="28"/>
          <w:lang w:val="en-US"/>
        </w:rPr>
        <w:t>J</w:t>
      </w:r>
      <w:r w:rsidRPr="006870B9">
        <w:rPr>
          <w:rFonts w:ascii="Georgia" w:hAnsi="Georgia"/>
          <w:i/>
          <w:w w:val="150"/>
          <w:sz w:val="18"/>
          <w:szCs w:val="18"/>
          <w:lang w:val="en-US"/>
        </w:rPr>
        <w:t xml:space="preserve">IMMY </w:t>
      </w:r>
      <w:r w:rsidRPr="006870B9">
        <w:rPr>
          <w:rFonts w:ascii="Georgia" w:hAnsi="Georgia"/>
          <w:i/>
          <w:w w:val="150"/>
          <w:sz w:val="28"/>
          <w:lang w:val="en-US"/>
        </w:rPr>
        <w:t>S</w:t>
      </w:r>
      <w:r w:rsidRPr="006870B9">
        <w:rPr>
          <w:rFonts w:ascii="Georgia" w:hAnsi="Georgia"/>
          <w:i/>
          <w:w w:val="150"/>
          <w:sz w:val="18"/>
          <w:szCs w:val="18"/>
          <w:lang w:val="en-US"/>
        </w:rPr>
        <w:t xml:space="preserve">ÁNCHEZ </w:t>
      </w:r>
      <w:r w:rsidRPr="006870B9">
        <w:rPr>
          <w:rFonts w:ascii="Georgia" w:hAnsi="Georgia"/>
          <w:i/>
          <w:w w:val="150"/>
          <w:sz w:val="28"/>
          <w:szCs w:val="18"/>
          <w:lang w:val="en-US"/>
        </w:rPr>
        <w:t>C.</w:t>
      </w:r>
      <w:r w:rsidRPr="006870B9">
        <w:rPr>
          <w:rFonts w:ascii="Georgia" w:hAnsi="Georgia"/>
          <w:i/>
          <w:w w:val="150"/>
          <w:sz w:val="28"/>
          <w:szCs w:val="18"/>
          <w:lang w:val="en-US"/>
        </w:rPr>
        <w:tab/>
      </w:r>
      <w:r w:rsidRPr="006870B9">
        <w:rPr>
          <w:rFonts w:ascii="Georgia" w:hAnsi="Georgia"/>
          <w:i/>
          <w:w w:val="150"/>
          <w:sz w:val="28"/>
          <w:szCs w:val="18"/>
          <w:lang w:val="en-US"/>
        </w:rPr>
        <w:tab/>
      </w:r>
      <w:r w:rsidRPr="006870B9">
        <w:rPr>
          <w:rFonts w:ascii="Georgia" w:hAnsi="Georgia" w:cs="Arial"/>
          <w:i/>
          <w:spacing w:val="-3"/>
          <w:w w:val="150"/>
          <w:sz w:val="28"/>
          <w:szCs w:val="18"/>
          <w:lang w:val="en-US"/>
        </w:rPr>
        <w:t>J</w:t>
      </w:r>
      <w:r w:rsidRPr="006870B9">
        <w:rPr>
          <w:rFonts w:ascii="Georgia" w:hAnsi="Georgia" w:cs="Arial"/>
          <w:i/>
          <w:spacing w:val="-3"/>
          <w:w w:val="150"/>
          <w:sz w:val="18"/>
          <w:szCs w:val="18"/>
          <w:lang w:val="en-US"/>
        </w:rPr>
        <w:t xml:space="preserve">AIME </w:t>
      </w:r>
      <w:r w:rsidRPr="006870B9">
        <w:rPr>
          <w:rFonts w:ascii="Georgia" w:hAnsi="Georgia" w:cs="Arial"/>
          <w:i/>
          <w:spacing w:val="-3"/>
          <w:w w:val="150"/>
          <w:sz w:val="28"/>
          <w:szCs w:val="18"/>
          <w:lang w:val="en-US"/>
        </w:rPr>
        <w:t>A</w:t>
      </w:r>
      <w:r w:rsidRPr="006870B9">
        <w:rPr>
          <w:rFonts w:ascii="Georgia" w:hAnsi="Georgia"/>
          <w:i/>
          <w:w w:val="150"/>
          <w:sz w:val="18"/>
          <w:szCs w:val="18"/>
          <w:lang w:val="en-US"/>
        </w:rPr>
        <w:t xml:space="preserve">LBERTO </w:t>
      </w:r>
      <w:r w:rsidRPr="006870B9">
        <w:rPr>
          <w:rFonts w:ascii="Georgia" w:hAnsi="Georgia" w:cs="Arial"/>
          <w:i/>
          <w:spacing w:val="-3"/>
          <w:w w:val="150"/>
          <w:sz w:val="28"/>
          <w:szCs w:val="18"/>
          <w:lang w:val="en-US"/>
        </w:rPr>
        <w:t>S</w:t>
      </w:r>
      <w:r w:rsidRPr="006870B9">
        <w:rPr>
          <w:rFonts w:ascii="Georgia" w:hAnsi="Georgia" w:cs="Arial"/>
          <w:i/>
          <w:spacing w:val="-3"/>
          <w:w w:val="150"/>
          <w:sz w:val="18"/>
          <w:szCs w:val="16"/>
          <w:lang w:val="en-US"/>
        </w:rPr>
        <w:t xml:space="preserve">ARAZA </w:t>
      </w:r>
      <w:r w:rsidRPr="006870B9">
        <w:rPr>
          <w:rFonts w:ascii="Georgia" w:hAnsi="Georgia" w:cs="Arial"/>
          <w:i/>
          <w:spacing w:val="-3"/>
          <w:w w:val="150"/>
          <w:sz w:val="28"/>
          <w:szCs w:val="18"/>
          <w:lang w:val="en-US"/>
        </w:rPr>
        <w:t>N.</w:t>
      </w: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6870B9">
        <w:rPr>
          <w:rFonts w:ascii="Georgia" w:hAnsi="Georgia" w:cs="Arial"/>
          <w:i/>
          <w:w w:val="150"/>
          <w:sz w:val="28"/>
          <w:lang w:val="en-US"/>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p>
    <w:p w:rsidR="00AD7C0B" w:rsidRPr="006870B9"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8"/>
          <w:szCs w:val="10"/>
          <w:lang w:val="en-US"/>
        </w:rPr>
      </w:pPr>
      <w:r w:rsidRPr="006870B9">
        <w:rPr>
          <w:rFonts w:ascii="Georgia" w:hAnsi="Georgia"/>
          <w:w w:val="150"/>
          <w:sz w:val="8"/>
          <w:szCs w:val="10"/>
          <w:lang w:val="en-US"/>
        </w:rPr>
        <w:t>DGH/ODCD/</w:t>
      </w:r>
      <w:r w:rsidR="00293B28">
        <w:rPr>
          <w:rFonts w:ascii="Georgia" w:hAnsi="Georgia"/>
          <w:w w:val="150"/>
          <w:sz w:val="8"/>
          <w:szCs w:val="10"/>
          <w:lang w:val="en-US"/>
        </w:rPr>
        <w:t>2017</w:t>
      </w:r>
    </w:p>
    <w:sectPr w:rsidR="00AD7C0B" w:rsidRPr="006870B9" w:rsidSect="009365B9">
      <w:headerReference w:type="default" r:id="rId10"/>
      <w:footerReference w:type="default" r:id="rId11"/>
      <w:pgSz w:w="12242" w:h="18722" w:code="14"/>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F0" w:rsidRDefault="004846F0" w:rsidP="0099045D">
      <w:r>
        <w:separator/>
      </w:r>
    </w:p>
  </w:endnote>
  <w:endnote w:type="continuationSeparator" w:id="0">
    <w:p w:rsidR="004846F0" w:rsidRDefault="004846F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28" w:rsidRPr="008E793D" w:rsidRDefault="00262928" w:rsidP="0013771A">
    <w:pPr>
      <w:pStyle w:val="Pieddepage"/>
      <w:pBdr>
        <w:bottom w:val="double" w:sz="6" w:space="1" w:color="auto"/>
      </w:pBdr>
      <w:spacing w:line="360" w:lineRule="auto"/>
      <w:jc w:val="right"/>
      <w:rPr>
        <w:rFonts w:ascii="Arial" w:hAnsi="Arial" w:cs="Arial"/>
        <w:i/>
        <w:spacing w:val="20"/>
        <w:w w:val="200"/>
        <w:sz w:val="2"/>
        <w:szCs w:val="10"/>
        <w:lang w:val="es-CO"/>
      </w:rPr>
    </w:pPr>
  </w:p>
  <w:p w:rsidR="00262928" w:rsidRPr="001F36DC" w:rsidRDefault="00262928" w:rsidP="0013771A">
    <w:pPr>
      <w:pStyle w:val="Pieddepage"/>
      <w:spacing w:line="360" w:lineRule="auto"/>
      <w:jc w:val="right"/>
      <w:rPr>
        <w:rFonts w:ascii="Arial" w:hAnsi="Arial" w:cs="Arial"/>
        <w:i/>
        <w:spacing w:val="20"/>
        <w:w w:val="200"/>
        <w:sz w:val="14"/>
        <w:szCs w:val="10"/>
        <w:lang w:val="es-CO"/>
      </w:rPr>
    </w:pPr>
  </w:p>
  <w:p w:rsidR="00262928" w:rsidRPr="00D8475F" w:rsidRDefault="00262928" w:rsidP="0013771A">
    <w:pPr>
      <w:pStyle w:val="Pieddepage"/>
      <w:spacing w:line="360" w:lineRule="auto"/>
      <w:jc w:val="right"/>
      <w:rPr>
        <w:rFonts w:ascii="Arial" w:hAnsi="Arial" w:cs="Arial"/>
        <w:spacing w:val="20"/>
        <w:w w:val="200"/>
        <w:sz w:val="10"/>
        <w:szCs w:val="10"/>
        <w:lang w:val="es-CO"/>
      </w:rPr>
    </w:pPr>
    <w:r w:rsidRPr="00D8475F">
      <w:rPr>
        <w:rFonts w:ascii="Arial" w:hAnsi="Arial" w:cs="Arial"/>
        <w:spacing w:val="20"/>
        <w:w w:val="200"/>
        <w:sz w:val="14"/>
        <w:szCs w:val="10"/>
        <w:lang w:val="es-CO"/>
      </w:rPr>
      <w:t>T</w:t>
    </w:r>
    <w:r w:rsidRPr="00D8475F">
      <w:rPr>
        <w:rFonts w:ascii="Arial" w:hAnsi="Arial" w:cs="Arial"/>
        <w:spacing w:val="20"/>
        <w:w w:val="200"/>
        <w:sz w:val="10"/>
        <w:szCs w:val="10"/>
        <w:lang w:val="es-CO"/>
      </w:rPr>
      <w:t xml:space="preserve">RIBUNAL </w:t>
    </w:r>
    <w:r w:rsidRPr="00D8475F">
      <w:rPr>
        <w:rFonts w:ascii="Arial" w:hAnsi="Arial" w:cs="Arial"/>
        <w:spacing w:val="20"/>
        <w:w w:val="200"/>
        <w:sz w:val="14"/>
        <w:szCs w:val="10"/>
        <w:lang w:val="es-CO"/>
      </w:rPr>
      <w:t>S</w:t>
    </w:r>
    <w:r w:rsidRPr="00D8475F">
      <w:rPr>
        <w:rFonts w:ascii="Arial" w:hAnsi="Arial" w:cs="Arial"/>
        <w:spacing w:val="20"/>
        <w:w w:val="200"/>
        <w:sz w:val="10"/>
        <w:szCs w:val="10"/>
        <w:lang w:val="es-CO"/>
      </w:rPr>
      <w:t xml:space="preserve">UPERIOR DE </w:t>
    </w:r>
    <w:r w:rsidRPr="00D8475F">
      <w:rPr>
        <w:rFonts w:ascii="Arial" w:hAnsi="Arial" w:cs="Arial"/>
        <w:spacing w:val="20"/>
        <w:w w:val="200"/>
        <w:sz w:val="14"/>
        <w:szCs w:val="10"/>
        <w:lang w:val="es-CO"/>
      </w:rPr>
      <w:t>P</w:t>
    </w:r>
    <w:r w:rsidRPr="00D8475F">
      <w:rPr>
        <w:rFonts w:ascii="Arial" w:hAnsi="Arial" w:cs="Arial"/>
        <w:spacing w:val="20"/>
        <w:w w:val="200"/>
        <w:sz w:val="10"/>
        <w:szCs w:val="10"/>
        <w:lang w:val="es-CO"/>
      </w:rPr>
      <w:t>EREIRA</w:t>
    </w:r>
  </w:p>
  <w:p w:rsidR="00262928" w:rsidRPr="00D8475F" w:rsidRDefault="00262928" w:rsidP="0013771A">
    <w:pPr>
      <w:pStyle w:val="Pieddepage"/>
      <w:jc w:val="right"/>
      <w:rPr>
        <w:lang w:val="es-CO"/>
      </w:rPr>
    </w:pPr>
    <w:r w:rsidRPr="00D8475F">
      <w:rPr>
        <w:rFonts w:ascii="Arial" w:hAnsi="Arial" w:cs="Arial"/>
        <w:spacing w:val="20"/>
        <w:w w:val="200"/>
        <w:sz w:val="10"/>
        <w:szCs w:val="10"/>
        <w:lang w:val="es-CO"/>
      </w:rPr>
      <w:t xml:space="preserve">MP </w:t>
    </w:r>
    <w:r w:rsidRPr="00D8475F">
      <w:rPr>
        <w:rFonts w:ascii="Arial" w:hAnsi="Arial" w:cs="Arial"/>
        <w:spacing w:val="20"/>
        <w:w w:val="200"/>
        <w:sz w:val="12"/>
        <w:szCs w:val="10"/>
        <w:lang w:val="es-CO"/>
      </w:rPr>
      <w:t>D</w:t>
    </w:r>
    <w:r w:rsidRPr="00D8475F">
      <w:rPr>
        <w:rFonts w:ascii="Arial" w:hAnsi="Arial" w:cs="Arial"/>
        <w:spacing w:val="20"/>
        <w:w w:val="200"/>
        <w:sz w:val="8"/>
        <w:szCs w:val="10"/>
        <w:lang w:val="es-CO"/>
      </w:rPr>
      <w:t>UBERNEY</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G</w:t>
    </w:r>
    <w:r w:rsidRPr="00D8475F">
      <w:rPr>
        <w:rFonts w:ascii="Arial" w:hAnsi="Arial" w:cs="Arial"/>
        <w:spacing w:val="20"/>
        <w:w w:val="200"/>
        <w:sz w:val="8"/>
        <w:szCs w:val="10"/>
        <w:lang w:val="es-CO"/>
      </w:rPr>
      <w:t>RISALES</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H</w:t>
    </w:r>
    <w:r w:rsidRPr="00D8475F">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F0" w:rsidRDefault="004846F0" w:rsidP="0099045D">
      <w:r>
        <w:separator/>
      </w:r>
    </w:p>
  </w:footnote>
  <w:footnote w:type="continuationSeparator" w:id="0">
    <w:p w:rsidR="004846F0" w:rsidRDefault="004846F0" w:rsidP="0099045D">
      <w:r>
        <w:continuationSeparator/>
      </w:r>
    </w:p>
  </w:footnote>
  <w:footnote w:id="1">
    <w:p w:rsidR="003D7D46" w:rsidRPr="009365B9" w:rsidRDefault="003D7D46" w:rsidP="003D7D46">
      <w:pPr>
        <w:pStyle w:val="Notedebasdepage"/>
        <w:jc w:val="both"/>
        <w:rPr>
          <w:lang w:val="fr-FR"/>
        </w:rPr>
      </w:pPr>
      <w:r w:rsidRPr="00B8003D">
        <w:rPr>
          <w:rStyle w:val="Appelnotedebasdep"/>
          <w:rFonts w:ascii="Calibri" w:hAnsi="Calibri"/>
        </w:rPr>
        <w:footnoteRef/>
      </w:r>
      <w:r w:rsidRPr="009365B9">
        <w:rPr>
          <w:rFonts w:ascii="Calibri" w:hAnsi="Calibri"/>
          <w:lang w:val="fr-FR"/>
        </w:rPr>
        <w:t xml:space="preserve"> </w:t>
      </w:r>
      <w:r w:rsidRPr="009365B9">
        <w:rPr>
          <w:lang w:val="fr-FR"/>
        </w:rPr>
        <w:t xml:space="preserve">CC. </w:t>
      </w:r>
      <w:r w:rsidR="004846F0">
        <w:fldChar w:fldCharType="begin"/>
      </w:r>
      <w:r w:rsidR="004846F0" w:rsidRPr="009365B9">
        <w:rPr>
          <w:lang w:val="fr-FR"/>
        </w:rPr>
        <w:instrText xml:space="preserve"> HYPERLINK "http://www.corteconstitucional.gov.co/sentencias/2015/T-271-15.rtf" </w:instrText>
      </w:r>
      <w:r w:rsidR="004846F0">
        <w:fldChar w:fldCharType="separate"/>
      </w:r>
      <w:r w:rsidRPr="009365B9">
        <w:rPr>
          <w:rStyle w:val="Lienhypertexte"/>
          <w:color w:val="auto"/>
          <w:u w:val="none"/>
          <w:bdr w:val="none" w:sz="0" w:space="0" w:color="auto" w:frame="1"/>
          <w:shd w:val="clear" w:color="auto" w:fill="FFFFFF"/>
          <w:lang w:val="fr-FR"/>
        </w:rPr>
        <w:t>T-271 de 2015</w:t>
      </w:r>
      <w:r w:rsidR="004846F0">
        <w:rPr>
          <w:rStyle w:val="Lienhypertexte"/>
          <w:color w:val="auto"/>
          <w:u w:val="none"/>
          <w:bdr w:val="none" w:sz="0" w:space="0" w:color="auto" w:frame="1"/>
          <w:shd w:val="clear" w:color="auto" w:fill="FFFFFF"/>
        </w:rPr>
        <w:fldChar w:fldCharType="end"/>
      </w:r>
      <w:r w:rsidRPr="009365B9">
        <w:rPr>
          <w:lang w:val="fr-FR"/>
        </w:rPr>
        <w:t>.</w:t>
      </w:r>
    </w:p>
  </w:footnote>
  <w:footnote w:id="2">
    <w:p w:rsidR="003D7D46" w:rsidRPr="009365B9" w:rsidRDefault="003D7D46" w:rsidP="003D7D46">
      <w:pPr>
        <w:pStyle w:val="Notedebasdepage"/>
        <w:jc w:val="both"/>
        <w:rPr>
          <w:lang w:val="fr-FR"/>
        </w:rPr>
      </w:pPr>
      <w:r w:rsidRPr="0011170E">
        <w:rPr>
          <w:rStyle w:val="Appelnotedebasdep"/>
        </w:rPr>
        <w:footnoteRef/>
      </w:r>
      <w:r w:rsidRPr="009365B9">
        <w:rPr>
          <w:lang w:val="fr-FR"/>
        </w:rPr>
        <w:t xml:space="preserve"> CC. </w:t>
      </w:r>
      <w:r w:rsidRPr="009365B9">
        <w:rPr>
          <w:shd w:val="clear" w:color="auto" w:fill="FFFFFF"/>
          <w:lang w:val="fr-FR"/>
        </w:rPr>
        <w:t>T-171 y T-583 de 2009, reiteradas en la sentencia T-271 de 2015.</w:t>
      </w:r>
    </w:p>
  </w:footnote>
  <w:footnote w:id="3">
    <w:p w:rsidR="003D7D46" w:rsidRPr="009365B9" w:rsidRDefault="003D7D46" w:rsidP="003D7D46">
      <w:pPr>
        <w:pStyle w:val="Notedebasdepage"/>
        <w:jc w:val="both"/>
        <w:rPr>
          <w:lang w:val="fr-FR"/>
        </w:rPr>
      </w:pPr>
      <w:r w:rsidRPr="0011170E">
        <w:rPr>
          <w:rStyle w:val="Appelnotedebasdep"/>
        </w:rPr>
        <w:footnoteRef/>
      </w:r>
      <w:r w:rsidRPr="009365B9">
        <w:rPr>
          <w:lang w:val="fr-FR"/>
        </w:rPr>
        <w:t xml:space="preserve"> CC. </w:t>
      </w:r>
      <w:r w:rsidRPr="009365B9">
        <w:rPr>
          <w:shd w:val="clear" w:color="auto" w:fill="FFFFFF"/>
          <w:lang w:val="fr-FR"/>
        </w:rPr>
        <w:t>T-1113 de 2005.</w:t>
      </w:r>
    </w:p>
  </w:footnote>
  <w:footnote w:id="4">
    <w:p w:rsidR="00F27881" w:rsidRPr="0011170E" w:rsidRDefault="00F27881" w:rsidP="00F27881">
      <w:pPr>
        <w:pStyle w:val="Notedebasdepage"/>
        <w:jc w:val="both"/>
      </w:pPr>
      <w:r w:rsidRPr="0011170E">
        <w:rPr>
          <w:rStyle w:val="Appelnotedebasdep"/>
        </w:rPr>
        <w:footnoteRef/>
      </w:r>
      <w:r w:rsidRPr="0011170E">
        <w:t xml:space="preserve"> QUINCHE R., Manuel F. Vías de hecho, acción de tutela contra providencias, Editorial Temis SA, Bogotá, 2013, p.103.</w:t>
      </w:r>
    </w:p>
  </w:footnote>
  <w:footnote w:id="5">
    <w:p w:rsidR="00F27881" w:rsidRPr="0011170E" w:rsidRDefault="00F27881" w:rsidP="00F27881">
      <w:pPr>
        <w:pStyle w:val="Notedebasdepage"/>
        <w:jc w:val="both"/>
      </w:pPr>
      <w:r w:rsidRPr="0011170E">
        <w:rPr>
          <w:rStyle w:val="Appelnotedebasdep"/>
        </w:rPr>
        <w:footnoteRef/>
      </w:r>
      <w:r w:rsidRPr="0011170E">
        <w:t xml:space="preserve"> QUIROGA N., Édgar A. Tutela contra decisiones judiciales, Universidad Santo Tomás y editorial Ibáñez, Bogotá DC, 2014, p.83.</w:t>
      </w:r>
    </w:p>
  </w:footnote>
  <w:footnote w:id="6">
    <w:p w:rsidR="00F27881" w:rsidRPr="009365B9" w:rsidRDefault="00F27881" w:rsidP="00F27881">
      <w:pPr>
        <w:pStyle w:val="Notedebasdepage"/>
        <w:jc w:val="both"/>
        <w:rPr>
          <w:lang w:val="fr-FR"/>
        </w:rPr>
      </w:pPr>
      <w:r w:rsidRPr="0011170E">
        <w:rPr>
          <w:rStyle w:val="Appelnotedebasdep"/>
        </w:rPr>
        <w:footnoteRef/>
      </w:r>
      <w:r w:rsidRPr="009365B9">
        <w:rPr>
          <w:lang w:val="fr-FR"/>
        </w:rPr>
        <w:t xml:space="preserve"> CC. T-917 de 2011.</w:t>
      </w:r>
    </w:p>
  </w:footnote>
  <w:footnote w:id="7">
    <w:p w:rsidR="00F27881" w:rsidRPr="009365B9" w:rsidRDefault="00F27881" w:rsidP="00F27881">
      <w:pPr>
        <w:pStyle w:val="Notedebasdepage"/>
        <w:jc w:val="both"/>
        <w:rPr>
          <w:lang w:val="fr-FR"/>
        </w:rPr>
      </w:pPr>
      <w:r w:rsidRPr="0011170E">
        <w:rPr>
          <w:rStyle w:val="Appelnotedebasdep"/>
        </w:rPr>
        <w:footnoteRef/>
      </w:r>
      <w:r w:rsidRPr="009365B9">
        <w:rPr>
          <w:lang w:val="fr-FR"/>
        </w:rPr>
        <w:t xml:space="preserve"> CC. C-590 de 2005.</w:t>
      </w:r>
    </w:p>
  </w:footnote>
  <w:footnote w:id="8">
    <w:p w:rsidR="00F27881" w:rsidRPr="009365B9" w:rsidRDefault="00F27881" w:rsidP="00F27881">
      <w:pPr>
        <w:pStyle w:val="Notedebasdepage"/>
        <w:jc w:val="both"/>
        <w:rPr>
          <w:lang w:val="fr-FR"/>
        </w:rPr>
      </w:pPr>
      <w:r w:rsidRPr="0011170E">
        <w:rPr>
          <w:rStyle w:val="Appelnotedebasdep"/>
        </w:rPr>
        <w:footnoteRef/>
      </w:r>
      <w:r w:rsidRPr="009365B9">
        <w:rPr>
          <w:lang w:val="fr-FR"/>
        </w:rPr>
        <w:t xml:space="preserve"> CC. </w:t>
      </w:r>
      <w:r w:rsidRPr="009365B9">
        <w:rPr>
          <w:bCs/>
          <w:lang w:val="fr-FR"/>
        </w:rPr>
        <w:t>SU-222 de 2016</w:t>
      </w:r>
      <w:r w:rsidRPr="009365B9">
        <w:rPr>
          <w:lang w:val="fr-FR"/>
        </w:rPr>
        <w:t>.</w:t>
      </w:r>
    </w:p>
  </w:footnote>
  <w:footnote w:id="9">
    <w:p w:rsidR="00F27881" w:rsidRPr="009365B9" w:rsidRDefault="00F27881" w:rsidP="00F27881">
      <w:pPr>
        <w:pStyle w:val="Notedebasdepage"/>
        <w:rPr>
          <w:b/>
          <w:bCs/>
          <w:lang w:val="fr-FR"/>
        </w:rPr>
      </w:pPr>
      <w:r w:rsidRPr="0011170E">
        <w:rPr>
          <w:rStyle w:val="Appelnotedebasdep"/>
        </w:rPr>
        <w:footnoteRef/>
      </w:r>
      <w:r w:rsidRPr="009365B9">
        <w:rPr>
          <w:lang w:val="fr-FR"/>
        </w:rPr>
        <w:t xml:space="preserve"> </w:t>
      </w:r>
      <w:r w:rsidRPr="009365B9">
        <w:rPr>
          <w:bCs/>
          <w:lang w:val="fr-FR"/>
        </w:rPr>
        <w:t>CC. T-137 de 2017.</w:t>
      </w:r>
    </w:p>
  </w:footnote>
  <w:footnote w:id="10">
    <w:p w:rsidR="00F27881" w:rsidRPr="00F27881" w:rsidRDefault="00F27881" w:rsidP="00F27881">
      <w:pPr>
        <w:pStyle w:val="Notedebasdepage"/>
        <w:rPr>
          <w:lang w:val="es-CO"/>
        </w:rPr>
      </w:pPr>
      <w:r w:rsidRPr="00F27881">
        <w:rPr>
          <w:rStyle w:val="Appelnotedebasdep"/>
        </w:rPr>
        <w:footnoteRef/>
      </w:r>
      <w:r w:rsidRPr="00F27881">
        <w:t xml:space="preserve"> </w:t>
      </w:r>
      <w:r w:rsidRPr="00F27881">
        <w:rPr>
          <w:lang w:val="es-MX"/>
        </w:rPr>
        <w:t>CC. T-307 de 2015.</w:t>
      </w:r>
    </w:p>
  </w:footnote>
  <w:footnote w:id="11">
    <w:p w:rsidR="00F27881" w:rsidRPr="00F27881" w:rsidRDefault="00F27881" w:rsidP="00F27881">
      <w:pPr>
        <w:pStyle w:val="Notedebasdepage"/>
        <w:jc w:val="both"/>
      </w:pPr>
      <w:r w:rsidRPr="00F27881">
        <w:rPr>
          <w:vertAlign w:val="superscript"/>
        </w:rPr>
        <w:footnoteRef/>
      </w:r>
      <w:r w:rsidRPr="00F27881">
        <w:t xml:space="preserve"> ESCUELA JUDICIAL RODRIGO LARA BONILLA. </w:t>
      </w:r>
      <w:r w:rsidRPr="00F27881">
        <w:rPr>
          <w:lang w:val="es-CO"/>
        </w:rPr>
        <w:t xml:space="preserve">La acción de tutela en el ordenamiento constitucional colombiano, Universidad Nacional de Colombia, Catalina Botero Marino, </w:t>
      </w:r>
      <w:proofErr w:type="spellStart"/>
      <w:r w:rsidRPr="00F27881">
        <w:rPr>
          <w:lang w:val="es-CO"/>
        </w:rPr>
        <w:t>Ediprime</w:t>
      </w:r>
      <w:proofErr w:type="spellEnd"/>
      <w:r w:rsidRPr="00F27881">
        <w:rPr>
          <w:lang w:val="es-CO"/>
        </w:rPr>
        <w:t xml:space="preserve"> Ltda., 2006, p.61-75.</w:t>
      </w:r>
    </w:p>
  </w:footnote>
  <w:footnote w:id="12">
    <w:p w:rsidR="00F27881" w:rsidRPr="00F27881" w:rsidRDefault="00F27881" w:rsidP="00F27881">
      <w:pPr>
        <w:pStyle w:val="Notedebasdepage"/>
        <w:jc w:val="both"/>
      </w:pPr>
      <w:r w:rsidRPr="00F27881">
        <w:rPr>
          <w:rStyle w:val="Appelnotedebasdep"/>
        </w:rPr>
        <w:footnoteRef/>
      </w:r>
      <w:r w:rsidRPr="00F27881">
        <w:t xml:space="preserve"> QUINCHE R., Manuel F. La acción de tutela, el amparo en Colombia, Bogotá DC, 2011, p.233-285.</w:t>
      </w:r>
    </w:p>
  </w:footnote>
  <w:footnote w:id="13">
    <w:p w:rsidR="008379BB" w:rsidRPr="009365B9" w:rsidRDefault="008379BB" w:rsidP="008379BB">
      <w:pPr>
        <w:pStyle w:val="Notedebasdepage"/>
        <w:jc w:val="both"/>
        <w:rPr>
          <w:lang w:val="fr-FR"/>
        </w:rPr>
      </w:pPr>
      <w:r w:rsidRPr="0011170E">
        <w:rPr>
          <w:rStyle w:val="Appelnotedebasdep"/>
        </w:rPr>
        <w:footnoteRef/>
      </w:r>
      <w:r w:rsidRPr="009365B9">
        <w:rPr>
          <w:lang w:val="fr-FR"/>
        </w:rPr>
        <w:t xml:space="preserve"> CC. T-134 de 1994. </w:t>
      </w:r>
    </w:p>
  </w:footnote>
  <w:footnote w:id="14">
    <w:p w:rsidR="008379BB" w:rsidRPr="009365B9" w:rsidRDefault="008379BB" w:rsidP="008379BB">
      <w:pPr>
        <w:pStyle w:val="Notedebasdepage"/>
        <w:rPr>
          <w:lang w:val="fr-FR"/>
        </w:rPr>
      </w:pPr>
      <w:r w:rsidRPr="0011170E">
        <w:rPr>
          <w:rStyle w:val="Appelnotedebasdep"/>
        </w:rPr>
        <w:footnoteRef/>
      </w:r>
      <w:r w:rsidRPr="009365B9">
        <w:rPr>
          <w:lang w:val="fr-FR"/>
        </w:rPr>
        <w:t xml:space="preserve"> CC. T-103 de 2014.</w:t>
      </w:r>
    </w:p>
  </w:footnote>
  <w:footnote w:id="15">
    <w:p w:rsidR="008379BB" w:rsidRPr="009365B9" w:rsidRDefault="008379BB" w:rsidP="008379BB">
      <w:pPr>
        <w:pStyle w:val="Notedebasdepage"/>
        <w:jc w:val="both"/>
        <w:rPr>
          <w:lang w:val="fr-FR"/>
        </w:rPr>
      </w:pPr>
      <w:r w:rsidRPr="0011170E">
        <w:rPr>
          <w:rStyle w:val="Appelnotedebasdep"/>
        </w:rPr>
        <w:footnoteRef/>
      </w:r>
      <w:r w:rsidRPr="009365B9">
        <w:rPr>
          <w:lang w:val="fr-FR"/>
        </w:rPr>
        <w:t xml:space="preserve"> CC. T-567 de 1998.</w:t>
      </w:r>
    </w:p>
  </w:footnote>
  <w:footnote w:id="16">
    <w:p w:rsidR="008379BB" w:rsidRPr="009365B9" w:rsidRDefault="008379BB" w:rsidP="008379BB">
      <w:pPr>
        <w:pStyle w:val="Notedebasdepage"/>
        <w:jc w:val="both"/>
        <w:rPr>
          <w:lang w:val="fr-FR"/>
        </w:rPr>
      </w:pPr>
      <w:r w:rsidRPr="0011170E">
        <w:rPr>
          <w:rStyle w:val="Appelnotedebasdep"/>
        </w:rPr>
        <w:footnoteRef/>
      </w:r>
      <w:r w:rsidRPr="009365B9">
        <w:rPr>
          <w:lang w:val="fr-FR"/>
        </w:rPr>
        <w:t xml:space="preserve"> CC. T-001 de 2017, T-038, 106 de 2017, </w:t>
      </w:r>
      <w:r w:rsidRPr="009365B9">
        <w:rPr>
          <w:bCs/>
          <w:bdr w:val="none" w:sz="0" w:space="0" w:color="auto" w:frame="1"/>
          <w:shd w:val="clear" w:color="auto" w:fill="FFFFFF"/>
          <w:lang w:val="fr-FR"/>
        </w:rPr>
        <w:t xml:space="preserve">T-037 de 2016, T-120 de 2016 y </w:t>
      </w:r>
      <w:r w:rsidRPr="009365B9">
        <w:rPr>
          <w:lang w:val="fr-FR"/>
        </w:rPr>
        <w:t>T-662 de 2013.</w:t>
      </w:r>
      <w:r w:rsidRPr="009365B9">
        <w:rPr>
          <w:b/>
          <w:bCs/>
          <w:color w:val="2D2D2D"/>
          <w:bdr w:val="none" w:sz="0" w:space="0" w:color="auto" w:frame="1"/>
          <w:shd w:val="clear" w:color="auto" w:fill="FFFFFF"/>
          <w:lang w:val="fr-FR"/>
        </w:rPr>
        <w:t xml:space="preserve"> </w:t>
      </w:r>
    </w:p>
  </w:footnote>
  <w:footnote w:id="17">
    <w:p w:rsidR="008379BB" w:rsidRPr="0011170E" w:rsidRDefault="008379BB" w:rsidP="008379BB">
      <w:pPr>
        <w:pStyle w:val="Notedebasdepage"/>
        <w:jc w:val="both"/>
      </w:pPr>
      <w:r w:rsidRPr="0011170E">
        <w:rPr>
          <w:rStyle w:val="Appelnotedebasdep"/>
        </w:rPr>
        <w:footnoteRef/>
      </w:r>
      <w:r w:rsidRPr="0011170E">
        <w:t xml:space="preserve"> </w:t>
      </w:r>
      <w:r w:rsidRPr="0011170E">
        <w:rPr>
          <w:lang w:val="es-CO"/>
        </w:rPr>
        <w:t xml:space="preserve">CSJ, Civil. </w:t>
      </w:r>
      <w:r w:rsidRPr="0011170E">
        <w:t xml:space="preserve">STC2349-2017, </w:t>
      </w:r>
      <w:r w:rsidRPr="0011170E">
        <w:rPr>
          <w:lang w:val="es-CO"/>
        </w:rPr>
        <w:t xml:space="preserve">STC3931-2016, </w:t>
      </w:r>
      <w:r w:rsidRPr="0011170E">
        <w:t xml:space="preserve">STC6121-2015 </w:t>
      </w:r>
      <w:r w:rsidRPr="0011170E">
        <w:rPr>
          <w:lang w:val="es-CO"/>
        </w:rPr>
        <w:t>y sentencia del 02-09-2014, MP: Margarita Cabello B., No.23001-22-14-000-2014-00097-01;</w:t>
      </w:r>
    </w:p>
  </w:footnote>
  <w:footnote w:id="18">
    <w:p w:rsidR="004E68FB" w:rsidRPr="009365B9" w:rsidRDefault="004E68FB" w:rsidP="004E68FB">
      <w:pPr>
        <w:pStyle w:val="Notedebasdepage"/>
        <w:jc w:val="both"/>
        <w:rPr>
          <w:lang w:val="fr-FR"/>
        </w:rPr>
      </w:pPr>
      <w:r w:rsidRPr="0011170E">
        <w:rPr>
          <w:rStyle w:val="Appelnotedebasdep"/>
        </w:rPr>
        <w:footnoteRef/>
      </w:r>
      <w:r w:rsidRPr="009365B9">
        <w:rPr>
          <w:lang w:val="fr-FR"/>
        </w:rPr>
        <w:t xml:space="preserve"> CC. T-103 de 2014 y </w:t>
      </w:r>
      <w:r w:rsidRPr="009365B9">
        <w:rPr>
          <w:bCs/>
          <w:lang w:val="fr-FR"/>
        </w:rPr>
        <w:t>SU-297 de 2015.</w:t>
      </w:r>
    </w:p>
  </w:footnote>
  <w:footnote w:id="19">
    <w:p w:rsidR="004E68FB" w:rsidRPr="0011170E" w:rsidRDefault="004E68FB" w:rsidP="004E68FB">
      <w:pPr>
        <w:pStyle w:val="Notedebasdepage"/>
        <w:jc w:val="both"/>
        <w:rPr>
          <w:lang w:val="es-CO"/>
        </w:rPr>
      </w:pPr>
      <w:r w:rsidRPr="0011170E">
        <w:rPr>
          <w:rStyle w:val="Appelnotedebasdep"/>
        </w:rPr>
        <w:footnoteRef/>
      </w:r>
      <w:r w:rsidRPr="009365B9">
        <w:rPr>
          <w:lang w:val="fr-FR"/>
        </w:rPr>
        <w:t xml:space="preserve"> CC. T-103 de 2014. </w:t>
      </w:r>
      <w:r w:rsidRPr="0011170E">
        <w:rPr>
          <w:lang w:val="es-CO"/>
        </w:rPr>
        <w:t xml:space="preserve">En esta providencia la Corte estableció </w:t>
      </w:r>
      <w:r w:rsidRPr="0011170E">
        <w:rPr>
          <w:i/>
          <w:lang w:val="es-CO"/>
        </w:rPr>
        <w:t xml:space="preserve">“(…) </w:t>
      </w:r>
      <w:r w:rsidRPr="0011170E">
        <w:rPr>
          <w:i/>
        </w:rPr>
        <w:t xml:space="preserve">que el principio de subsidiariedad de la acción de tutela envuelve tres características importantes que llevan a su improcedencia contra providencias judiciales, a saber: (i) </w:t>
      </w:r>
      <w:r w:rsidRPr="0011170E">
        <w:rPr>
          <w:i/>
          <w:u w:val="single"/>
        </w:rPr>
        <w:t>el asunto está en trámite</w:t>
      </w:r>
      <w:r w:rsidRPr="0011170E">
        <w:rPr>
          <w:i/>
        </w:rPr>
        <w:t>; (ii) no se han agotado los medios de defensa judicial ordinarios y extraordinarios; y (iii) se usa para revivir etapas procesales en donde se dejaron de emplear los recursos previstos en el ordenamiento jurídico (…)”</w:t>
      </w:r>
      <w:r w:rsidRPr="0011170E">
        <w:rPr>
          <w:lang w:val="es-CO"/>
        </w:rPr>
        <w:t xml:space="preserve"> </w:t>
      </w:r>
    </w:p>
  </w:footnote>
  <w:footnote w:id="20">
    <w:p w:rsidR="004E68FB" w:rsidRPr="009365B9" w:rsidRDefault="004E68FB" w:rsidP="004E68FB">
      <w:pPr>
        <w:pStyle w:val="Notedebasdepage"/>
        <w:jc w:val="both"/>
        <w:rPr>
          <w:lang w:val="fr-FR"/>
        </w:rPr>
      </w:pPr>
      <w:r w:rsidRPr="0011170E">
        <w:rPr>
          <w:rStyle w:val="Appelnotedebasdep"/>
        </w:rPr>
        <w:footnoteRef/>
      </w:r>
      <w:r w:rsidRPr="009365B9">
        <w:rPr>
          <w:lang w:val="fr-FR"/>
        </w:rPr>
        <w:t xml:space="preserve"> CSJ, Sala Civil. STC3950-2016.</w:t>
      </w:r>
    </w:p>
  </w:footnote>
  <w:footnote w:id="21">
    <w:p w:rsidR="004E68FB" w:rsidRPr="009365B9" w:rsidRDefault="004E68FB" w:rsidP="004E68FB">
      <w:pPr>
        <w:pStyle w:val="Notedebasdepage"/>
        <w:rPr>
          <w:lang w:val="fr-FR"/>
        </w:rPr>
      </w:pPr>
      <w:r w:rsidRPr="0011170E">
        <w:rPr>
          <w:rStyle w:val="Appelnotedebasdep"/>
        </w:rPr>
        <w:footnoteRef/>
      </w:r>
      <w:r w:rsidRPr="009365B9">
        <w:rPr>
          <w:lang w:val="fr-FR"/>
        </w:rPr>
        <w:t xml:space="preserve"> CC. T-717 de 2011.</w:t>
      </w:r>
    </w:p>
  </w:footnote>
  <w:footnote w:id="22">
    <w:p w:rsidR="00EA794A" w:rsidRPr="0011170E" w:rsidRDefault="00EA794A" w:rsidP="00EA794A">
      <w:pPr>
        <w:pStyle w:val="Notedebasdepage"/>
        <w:jc w:val="both"/>
        <w:rPr>
          <w:lang w:val="es-CO"/>
        </w:rPr>
      </w:pPr>
      <w:r w:rsidRPr="0011170E">
        <w:rPr>
          <w:rStyle w:val="Appelnotedebasdep"/>
        </w:rPr>
        <w:footnoteRef/>
      </w:r>
      <w:r w:rsidRPr="0011170E">
        <w:t xml:space="preserve"> </w:t>
      </w:r>
      <w:r w:rsidRPr="0011170E">
        <w:rPr>
          <w:lang w:val="es-MX"/>
        </w:rPr>
        <w:t>CC. Auto 181 de 2015.</w:t>
      </w:r>
    </w:p>
  </w:footnote>
  <w:footnote w:id="23">
    <w:p w:rsidR="00EA794A" w:rsidRPr="0011170E" w:rsidRDefault="00EA794A" w:rsidP="00EA794A">
      <w:pPr>
        <w:pStyle w:val="Notedebasdepage"/>
        <w:jc w:val="both"/>
        <w:rPr>
          <w:lang w:val="es-CO"/>
        </w:rPr>
      </w:pPr>
      <w:r w:rsidRPr="0011170E">
        <w:rPr>
          <w:rStyle w:val="Appelnotedebasdep"/>
          <w:lang w:val="es-CO"/>
        </w:rPr>
        <w:footnoteRef/>
      </w:r>
      <w:r w:rsidRPr="0011170E">
        <w:rPr>
          <w:lang w:val="es-CO"/>
        </w:rPr>
        <w:t xml:space="preserve"> CSJ, Sala Civil. STC5793-2017. Con similares argumentos la STC8448-2014: </w:t>
      </w:r>
      <w:r w:rsidRPr="0011170E">
        <w:rPr>
          <w:i/>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 w:id="24">
    <w:p w:rsidR="008E793D" w:rsidRPr="008E793D" w:rsidRDefault="008E793D">
      <w:pPr>
        <w:pStyle w:val="Notedebasdepage"/>
        <w:rPr>
          <w:lang w:val="es-CO"/>
        </w:rPr>
      </w:pPr>
      <w:r>
        <w:rPr>
          <w:rStyle w:val="Appelnotedebasdep"/>
        </w:rPr>
        <w:footnoteRef/>
      </w:r>
      <w:r>
        <w:t xml:space="preserve"> </w:t>
      </w:r>
      <w:r>
        <w:rPr>
          <w:lang w:val="es-CO"/>
        </w:rPr>
        <w:t>CC. T-453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B9" w:rsidRPr="007C23E2" w:rsidRDefault="006870B9" w:rsidP="006870B9">
    <w:pPr>
      <w:pStyle w:val="En-tte"/>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9365B9">
      <w:rPr>
        <w:rFonts w:ascii="Georgia" w:hAnsi="Georgia" w:cs="Calibri"/>
        <w:i/>
        <w:noProof/>
        <w:sz w:val="20"/>
      </w:rPr>
      <w:t>1</w:t>
    </w:r>
    <w:r w:rsidRPr="007C23E2">
      <w:rPr>
        <w:rFonts w:ascii="Georgia" w:hAnsi="Georgia" w:cs="Calibri"/>
        <w:i/>
        <w:sz w:val="20"/>
      </w:rPr>
      <w:fldChar w:fldCharType="end"/>
    </w:r>
  </w:p>
  <w:p w:rsidR="00262928" w:rsidRPr="006870B9" w:rsidRDefault="006870B9" w:rsidP="006870B9">
    <w:pPr>
      <w:pStyle w:val="En-tte"/>
      <w:ind w:right="360"/>
      <w:jc w:val="both"/>
      <w:rPr>
        <w:rFonts w:ascii="Georgia" w:hAnsi="Georgia" w:cs="Calibri"/>
        <w:i/>
        <w:sz w:val="20"/>
        <w:szCs w:val="22"/>
      </w:rPr>
    </w:pPr>
    <w:r w:rsidRPr="007C23E2">
      <w:rPr>
        <w:rFonts w:ascii="Georgia" w:hAnsi="Georgia" w:cs="Calibri"/>
        <w:i/>
        <w:sz w:val="20"/>
        <w:szCs w:val="22"/>
      </w:rPr>
      <w:t>EXPEDIENTE No.2017-</w:t>
    </w:r>
    <w:r>
      <w:rPr>
        <w:rFonts w:ascii="Georgia" w:hAnsi="Georgia" w:cs="Calibri"/>
        <w:i/>
        <w:sz w:val="20"/>
        <w:szCs w:val="22"/>
      </w:rPr>
      <w:t>01012</w:t>
    </w:r>
    <w:r w:rsidRPr="007C23E2">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5FD295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C71849"/>
    <w:multiLevelType w:val="hybridMultilevel"/>
    <w:tmpl w:val="A718B148"/>
    <w:lvl w:ilvl="0" w:tplc="3FD2B606">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D581253"/>
    <w:multiLevelType w:val="multilevel"/>
    <w:tmpl w:val="E7E4BC3C"/>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5">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1"/>
  </w:num>
  <w:num w:numId="3">
    <w:abstractNumId w:val="20"/>
  </w:num>
  <w:num w:numId="4">
    <w:abstractNumId w:val="8"/>
  </w:num>
  <w:num w:numId="5">
    <w:abstractNumId w:val="40"/>
  </w:num>
  <w:num w:numId="6">
    <w:abstractNumId w:val="3"/>
  </w:num>
  <w:num w:numId="7">
    <w:abstractNumId w:val="28"/>
  </w:num>
  <w:num w:numId="8">
    <w:abstractNumId w:val="5"/>
  </w:num>
  <w:num w:numId="9">
    <w:abstractNumId w:val="41"/>
  </w:num>
  <w:num w:numId="10">
    <w:abstractNumId w:val="29"/>
  </w:num>
  <w:num w:numId="11">
    <w:abstractNumId w:val="26"/>
  </w:num>
  <w:num w:numId="12">
    <w:abstractNumId w:val="33"/>
  </w:num>
  <w:num w:numId="13">
    <w:abstractNumId w:val="16"/>
  </w:num>
  <w:num w:numId="14">
    <w:abstractNumId w:val="18"/>
  </w:num>
  <w:num w:numId="15">
    <w:abstractNumId w:val="24"/>
  </w:num>
  <w:num w:numId="16">
    <w:abstractNumId w:val="10"/>
  </w:num>
  <w:num w:numId="17">
    <w:abstractNumId w:val="25"/>
  </w:num>
  <w:num w:numId="18">
    <w:abstractNumId w:val="13"/>
  </w:num>
  <w:num w:numId="19">
    <w:abstractNumId w:val="11"/>
  </w:num>
  <w:num w:numId="20">
    <w:abstractNumId w:val="4"/>
  </w:num>
  <w:num w:numId="21">
    <w:abstractNumId w:val="45"/>
  </w:num>
  <w:num w:numId="22">
    <w:abstractNumId w:val="36"/>
  </w:num>
  <w:num w:numId="23">
    <w:abstractNumId w:val="34"/>
  </w:num>
  <w:num w:numId="24">
    <w:abstractNumId w:val="9"/>
  </w:num>
  <w:num w:numId="25">
    <w:abstractNumId w:val="32"/>
  </w:num>
  <w:num w:numId="26">
    <w:abstractNumId w:val="19"/>
  </w:num>
  <w:num w:numId="27">
    <w:abstractNumId w:val="23"/>
  </w:num>
  <w:num w:numId="28">
    <w:abstractNumId w:val="27"/>
  </w:num>
  <w:num w:numId="29">
    <w:abstractNumId w:val="6"/>
  </w:num>
  <w:num w:numId="30">
    <w:abstractNumId w:val="17"/>
  </w:num>
  <w:num w:numId="31">
    <w:abstractNumId w:val="1"/>
  </w:num>
  <w:num w:numId="32">
    <w:abstractNumId w:val="43"/>
  </w:num>
  <w:num w:numId="33">
    <w:abstractNumId w:val="7"/>
  </w:num>
  <w:num w:numId="34">
    <w:abstractNumId w:val="15"/>
  </w:num>
  <w:num w:numId="35">
    <w:abstractNumId w:val="39"/>
  </w:num>
  <w:num w:numId="36">
    <w:abstractNumId w:val="42"/>
  </w:num>
  <w:num w:numId="37">
    <w:abstractNumId w:val="31"/>
  </w:num>
  <w:num w:numId="38">
    <w:abstractNumId w:val="30"/>
  </w:num>
  <w:num w:numId="39">
    <w:abstractNumId w:val="35"/>
  </w:num>
  <w:num w:numId="40">
    <w:abstractNumId w:val="2"/>
  </w:num>
  <w:num w:numId="41">
    <w:abstractNumId w:val="0"/>
  </w:num>
  <w:num w:numId="42">
    <w:abstractNumId w:val="12"/>
  </w:num>
  <w:num w:numId="43">
    <w:abstractNumId w:val="14"/>
  </w:num>
  <w:num w:numId="44">
    <w:abstractNumId w:val="22"/>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27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0F0A"/>
    <w:rsid w:val="000710BC"/>
    <w:rsid w:val="00071118"/>
    <w:rsid w:val="00071266"/>
    <w:rsid w:val="000717F8"/>
    <w:rsid w:val="00071A7A"/>
    <w:rsid w:val="000723F4"/>
    <w:rsid w:val="00072496"/>
    <w:rsid w:val="00072B92"/>
    <w:rsid w:val="00073248"/>
    <w:rsid w:val="000735CB"/>
    <w:rsid w:val="00073642"/>
    <w:rsid w:val="000738C1"/>
    <w:rsid w:val="00073953"/>
    <w:rsid w:val="00074032"/>
    <w:rsid w:val="000742DF"/>
    <w:rsid w:val="0007464B"/>
    <w:rsid w:val="000748CD"/>
    <w:rsid w:val="0007491E"/>
    <w:rsid w:val="00074DC5"/>
    <w:rsid w:val="000756CD"/>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7DA"/>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6EC1"/>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A785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134E"/>
    <w:rsid w:val="000C151C"/>
    <w:rsid w:val="000C185C"/>
    <w:rsid w:val="000C1994"/>
    <w:rsid w:val="000C19BF"/>
    <w:rsid w:val="000C21AE"/>
    <w:rsid w:val="000C3702"/>
    <w:rsid w:val="000C37C0"/>
    <w:rsid w:val="000C3A32"/>
    <w:rsid w:val="000C401A"/>
    <w:rsid w:val="000C494A"/>
    <w:rsid w:val="000C571C"/>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2B67"/>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2A8"/>
    <w:rsid w:val="0017043E"/>
    <w:rsid w:val="00170840"/>
    <w:rsid w:val="00171238"/>
    <w:rsid w:val="0017166B"/>
    <w:rsid w:val="00172400"/>
    <w:rsid w:val="00172C20"/>
    <w:rsid w:val="00173831"/>
    <w:rsid w:val="001747C9"/>
    <w:rsid w:val="001749B7"/>
    <w:rsid w:val="001753AB"/>
    <w:rsid w:val="001755DC"/>
    <w:rsid w:val="00175C70"/>
    <w:rsid w:val="00175D2D"/>
    <w:rsid w:val="00176C9B"/>
    <w:rsid w:val="001778CF"/>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610"/>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4433"/>
    <w:rsid w:val="001F4532"/>
    <w:rsid w:val="001F464C"/>
    <w:rsid w:val="001F4656"/>
    <w:rsid w:val="001F4AEC"/>
    <w:rsid w:val="001F4C55"/>
    <w:rsid w:val="001F4D67"/>
    <w:rsid w:val="001F5FAD"/>
    <w:rsid w:val="001F657C"/>
    <w:rsid w:val="001F6A2A"/>
    <w:rsid w:val="001F7109"/>
    <w:rsid w:val="001F71B3"/>
    <w:rsid w:val="001F7452"/>
    <w:rsid w:val="001F7FF4"/>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B0"/>
    <w:rsid w:val="00211BD4"/>
    <w:rsid w:val="00212487"/>
    <w:rsid w:val="002129F5"/>
    <w:rsid w:val="00213147"/>
    <w:rsid w:val="00213459"/>
    <w:rsid w:val="00213B67"/>
    <w:rsid w:val="00213D6E"/>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2DC3"/>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9D8"/>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24D"/>
    <w:rsid w:val="002406FB"/>
    <w:rsid w:val="00240756"/>
    <w:rsid w:val="00240E83"/>
    <w:rsid w:val="00241CA6"/>
    <w:rsid w:val="00241CE6"/>
    <w:rsid w:val="00242322"/>
    <w:rsid w:val="00242498"/>
    <w:rsid w:val="002425AF"/>
    <w:rsid w:val="0024289B"/>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500"/>
    <w:rsid w:val="00260F52"/>
    <w:rsid w:val="00261879"/>
    <w:rsid w:val="00261A51"/>
    <w:rsid w:val="00262566"/>
    <w:rsid w:val="00262928"/>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28"/>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3D8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08"/>
    <w:rsid w:val="002E45D7"/>
    <w:rsid w:val="002E4781"/>
    <w:rsid w:val="002E4CD9"/>
    <w:rsid w:val="002E4EEE"/>
    <w:rsid w:val="002E5BE7"/>
    <w:rsid w:val="002E5C3E"/>
    <w:rsid w:val="002E6116"/>
    <w:rsid w:val="002E6D89"/>
    <w:rsid w:val="002E6EE5"/>
    <w:rsid w:val="002E708B"/>
    <w:rsid w:val="002E70C2"/>
    <w:rsid w:val="002E7528"/>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26"/>
    <w:rsid w:val="003049B7"/>
    <w:rsid w:val="00304C7E"/>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6F0"/>
    <w:rsid w:val="00325780"/>
    <w:rsid w:val="0032597C"/>
    <w:rsid w:val="00325FDA"/>
    <w:rsid w:val="003266C0"/>
    <w:rsid w:val="00326944"/>
    <w:rsid w:val="00326BCE"/>
    <w:rsid w:val="00326C60"/>
    <w:rsid w:val="003271C1"/>
    <w:rsid w:val="00327614"/>
    <w:rsid w:val="003276D6"/>
    <w:rsid w:val="00330025"/>
    <w:rsid w:val="00332750"/>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6EDC"/>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8B3"/>
    <w:rsid w:val="003969B3"/>
    <w:rsid w:val="00396F9B"/>
    <w:rsid w:val="00397153"/>
    <w:rsid w:val="00397174"/>
    <w:rsid w:val="00397548"/>
    <w:rsid w:val="00397E40"/>
    <w:rsid w:val="003A018C"/>
    <w:rsid w:val="003A0BE6"/>
    <w:rsid w:val="003A1A7C"/>
    <w:rsid w:val="003A1BF0"/>
    <w:rsid w:val="003A1C0A"/>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876"/>
    <w:rsid w:val="003C61F1"/>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0F4"/>
    <w:rsid w:val="003D4557"/>
    <w:rsid w:val="003D45B1"/>
    <w:rsid w:val="003D46EB"/>
    <w:rsid w:val="003D475E"/>
    <w:rsid w:val="003D4FD9"/>
    <w:rsid w:val="003D5150"/>
    <w:rsid w:val="003D5956"/>
    <w:rsid w:val="003D5FC6"/>
    <w:rsid w:val="003D6337"/>
    <w:rsid w:val="003D65B3"/>
    <w:rsid w:val="003D6763"/>
    <w:rsid w:val="003D6BEE"/>
    <w:rsid w:val="003D7D46"/>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EA6"/>
    <w:rsid w:val="00427104"/>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66C5"/>
    <w:rsid w:val="00457293"/>
    <w:rsid w:val="00457916"/>
    <w:rsid w:val="0045796C"/>
    <w:rsid w:val="00457EAB"/>
    <w:rsid w:val="00457F29"/>
    <w:rsid w:val="004603A5"/>
    <w:rsid w:val="00460B4B"/>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5D9"/>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6F0"/>
    <w:rsid w:val="00484970"/>
    <w:rsid w:val="00484979"/>
    <w:rsid w:val="004855F2"/>
    <w:rsid w:val="00485FF1"/>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87E"/>
    <w:rsid w:val="00493D0E"/>
    <w:rsid w:val="00493D43"/>
    <w:rsid w:val="00493E24"/>
    <w:rsid w:val="004940D6"/>
    <w:rsid w:val="00494F4B"/>
    <w:rsid w:val="00495F80"/>
    <w:rsid w:val="00495FB0"/>
    <w:rsid w:val="00496858"/>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CDF"/>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8FB"/>
    <w:rsid w:val="004E6C03"/>
    <w:rsid w:val="004E6D93"/>
    <w:rsid w:val="004E6E4A"/>
    <w:rsid w:val="004E71AB"/>
    <w:rsid w:val="004E727B"/>
    <w:rsid w:val="004E7B1B"/>
    <w:rsid w:val="004E7C6A"/>
    <w:rsid w:val="004F03F3"/>
    <w:rsid w:val="004F0607"/>
    <w:rsid w:val="004F0E54"/>
    <w:rsid w:val="004F13EF"/>
    <w:rsid w:val="004F1603"/>
    <w:rsid w:val="004F1AB9"/>
    <w:rsid w:val="004F1CFF"/>
    <w:rsid w:val="004F2D5C"/>
    <w:rsid w:val="004F34AC"/>
    <w:rsid w:val="004F3596"/>
    <w:rsid w:val="004F3618"/>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2D24"/>
    <w:rsid w:val="00514033"/>
    <w:rsid w:val="00514104"/>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30302"/>
    <w:rsid w:val="00530837"/>
    <w:rsid w:val="00530E49"/>
    <w:rsid w:val="00531375"/>
    <w:rsid w:val="00531979"/>
    <w:rsid w:val="00532567"/>
    <w:rsid w:val="00532631"/>
    <w:rsid w:val="0053291C"/>
    <w:rsid w:val="00532E37"/>
    <w:rsid w:val="00533861"/>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3CB"/>
    <w:rsid w:val="00553562"/>
    <w:rsid w:val="00553F9C"/>
    <w:rsid w:val="0055407B"/>
    <w:rsid w:val="00554E41"/>
    <w:rsid w:val="00554E96"/>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4E00"/>
    <w:rsid w:val="005652BE"/>
    <w:rsid w:val="00565F2A"/>
    <w:rsid w:val="005668FF"/>
    <w:rsid w:val="00566C2A"/>
    <w:rsid w:val="00566E18"/>
    <w:rsid w:val="00566FD2"/>
    <w:rsid w:val="00567185"/>
    <w:rsid w:val="00567558"/>
    <w:rsid w:val="00567722"/>
    <w:rsid w:val="0057016E"/>
    <w:rsid w:val="005707BB"/>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B0772"/>
    <w:rsid w:val="005B0C3F"/>
    <w:rsid w:val="005B117C"/>
    <w:rsid w:val="005B147B"/>
    <w:rsid w:val="005B14A2"/>
    <w:rsid w:val="005B161F"/>
    <w:rsid w:val="005B17A4"/>
    <w:rsid w:val="005B2951"/>
    <w:rsid w:val="005B2BC6"/>
    <w:rsid w:val="005B38CC"/>
    <w:rsid w:val="005B3C2E"/>
    <w:rsid w:val="005B3E44"/>
    <w:rsid w:val="005B41D2"/>
    <w:rsid w:val="005B51EB"/>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4871"/>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4A5"/>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1E45"/>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2"/>
    <w:rsid w:val="006603C7"/>
    <w:rsid w:val="006605EB"/>
    <w:rsid w:val="00660D53"/>
    <w:rsid w:val="00660EA3"/>
    <w:rsid w:val="006625F6"/>
    <w:rsid w:val="0066271D"/>
    <w:rsid w:val="00662BBA"/>
    <w:rsid w:val="00662C36"/>
    <w:rsid w:val="00662CC5"/>
    <w:rsid w:val="00663838"/>
    <w:rsid w:val="00663C56"/>
    <w:rsid w:val="00664006"/>
    <w:rsid w:val="00664DAF"/>
    <w:rsid w:val="00665243"/>
    <w:rsid w:val="0066535D"/>
    <w:rsid w:val="00665851"/>
    <w:rsid w:val="00667E9D"/>
    <w:rsid w:val="00670818"/>
    <w:rsid w:val="00670D07"/>
    <w:rsid w:val="00671540"/>
    <w:rsid w:val="00671690"/>
    <w:rsid w:val="0067180D"/>
    <w:rsid w:val="00671E37"/>
    <w:rsid w:val="0067249F"/>
    <w:rsid w:val="006726E4"/>
    <w:rsid w:val="00672D56"/>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A81"/>
    <w:rsid w:val="00683DC4"/>
    <w:rsid w:val="00683DF5"/>
    <w:rsid w:val="00684255"/>
    <w:rsid w:val="00684CBB"/>
    <w:rsid w:val="00685170"/>
    <w:rsid w:val="006857EF"/>
    <w:rsid w:val="0068618F"/>
    <w:rsid w:val="00686353"/>
    <w:rsid w:val="006869C9"/>
    <w:rsid w:val="00686A03"/>
    <w:rsid w:val="00686B34"/>
    <w:rsid w:val="00686E0E"/>
    <w:rsid w:val="006870B9"/>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3ED"/>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9CA"/>
    <w:rsid w:val="006C2BA9"/>
    <w:rsid w:val="006C2BB6"/>
    <w:rsid w:val="006C2CDF"/>
    <w:rsid w:val="006C3C38"/>
    <w:rsid w:val="006C45C5"/>
    <w:rsid w:val="006C45EE"/>
    <w:rsid w:val="006C4ED5"/>
    <w:rsid w:val="006C52DA"/>
    <w:rsid w:val="006C57E6"/>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236"/>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0D"/>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AB3"/>
    <w:rsid w:val="00724BAB"/>
    <w:rsid w:val="00724F6C"/>
    <w:rsid w:val="0072524B"/>
    <w:rsid w:val="007257CB"/>
    <w:rsid w:val="00725D77"/>
    <w:rsid w:val="00725E62"/>
    <w:rsid w:val="007263B2"/>
    <w:rsid w:val="007266D3"/>
    <w:rsid w:val="00726918"/>
    <w:rsid w:val="00727095"/>
    <w:rsid w:val="0072769D"/>
    <w:rsid w:val="0073083F"/>
    <w:rsid w:val="007316C0"/>
    <w:rsid w:val="00731783"/>
    <w:rsid w:val="00731978"/>
    <w:rsid w:val="00731A9A"/>
    <w:rsid w:val="00731ABD"/>
    <w:rsid w:val="00731BD2"/>
    <w:rsid w:val="00731D53"/>
    <w:rsid w:val="00731DFD"/>
    <w:rsid w:val="00732540"/>
    <w:rsid w:val="007325BD"/>
    <w:rsid w:val="0073284C"/>
    <w:rsid w:val="007328EE"/>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FEC"/>
    <w:rsid w:val="00746514"/>
    <w:rsid w:val="00746707"/>
    <w:rsid w:val="00746775"/>
    <w:rsid w:val="00746A59"/>
    <w:rsid w:val="00747715"/>
    <w:rsid w:val="00747E14"/>
    <w:rsid w:val="00750723"/>
    <w:rsid w:val="007507D7"/>
    <w:rsid w:val="00750900"/>
    <w:rsid w:val="00750FB3"/>
    <w:rsid w:val="00751486"/>
    <w:rsid w:val="0075174C"/>
    <w:rsid w:val="00752A57"/>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43"/>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CD0"/>
    <w:rsid w:val="007E1F07"/>
    <w:rsid w:val="007E247C"/>
    <w:rsid w:val="007E25A8"/>
    <w:rsid w:val="007E2877"/>
    <w:rsid w:val="007E293D"/>
    <w:rsid w:val="007E2B6E"/>
    <w:rsid w:val="007E2E20"/>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F7"/>
    <w:rsid w:val="0083382D"/>
    <w:rsid w:val="008338A8"/>
    <w:rsid w:val="0083390C"/>
    <w:rsid w:val="00833DE6"/>
    <w:rsid w:val="0083490B"/>
    <w:rsid w:val="00835883"/>
    <w:rsid w:val="00836314"/>
    <w:rsid w:val="00836BDF"/>
    <w:rsid w:val="00836DC6"/>
    <w:rsid w:val="00836EE1"/>
    <w:rsid w:val="00837222"/>
    <w:rsid w:val="008375BC"/>
    <w:rsid w:val="008379BB"/>
    <w:rsid w:val="00837C04"/>
    <w:rsid w:val="00837DF1"/>
    <w:rsid w:val="0084022E"/>
    <w:rsid w:val="00840E09"/>
    <w:rsid w:val="00840E35"/>
    <w:rsid w:val="0084128F"/>
    <w:rsid w:val="00841BFC"/>
    <w:rsid w:val="00841F94"/>
    <w:rsid w:val="008420D6"/>
    <w:rsid w:val="00842D42"/>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60B9"/>
    <w:rsid w:val="0088687D"/>
    <w:rsid w:val="00886BF5"/>
    <w:rsid w:val="00887886"/>
    <w:rsid w:val="00887F89"/>
    <w:rsid w:val="00887FBC"/>
    <w:rsid w:val="008904A3"/>
    <w:rsid w:val="008904C0"/>
    <w:rsid w:val="00890E2D"/>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9F2"/>
    <w:rsid w:val="008A616E"/>
    <w:rsid w:val="008A69A5"/>
    <w:rsid w:val="008A7371"/>
    <w:rsid w:val="008A76B9"/>
    <w:rsid w:val="008A7CE9"/>
    <w:rsid w:val="008A7F47"/>
    <w:rsid w:val="008B0267"/>
    <w:rsid w:val="008B0423"/>
    <w:rsid w:val="008B06B5"/>
    <w:rsid w:val="008B0828"/>
    <w:rsid w:val="008B0C9A"/>
    <w:rsid w:val="008B2994"/>
    <w:rsid w:val="008B2EDF"/>
    <w:rsid w:val="008B2EF0"/>
    <w:rsid w:val="008B315C"/>
    <w:rsid w:val="008B33AD"/>
    <w:rsid w:val="008B33F0"/>
    <w:rsid w:val="008B388E"/>
    <w:rsid w:val="008B3DD9"/>
    <w:rsid w:val="008B3E0A"/>
    <w:rsid w:val="008B3EEA"/>
    <w:rsid w:val="008B476E"/>
    <w:rsid w:val="008B4AA7"/>
    <w:rsid w:val="008B5070"/>
    <w:rsid w:val="008B5574"/>
    <w:rsid w:val="008B5601"/>
    <w:rsid w:val="008B5977"/>
    <w:rsid w:val="008B59BD"/>
    <w:rsid w:val="008B5E17"/>
    <w:rsid w:val="008B6389"/>
    <w:rsid w:val="008B6600"/>
    <w:rsid w:val="008B6837"/>
    <w:rsid w:val="008B7434"/>
    <w:rsid w:val="008B7596"/>
    <w:rsid w:val="008B7BE0"/>
    <w:rsid w:val="008C049F"/>
    <w:rsid w:val="008C066E"/>
    <w:rsid w:val="008C06DE"/>
    <w:rsid w:val="008C192F"/>
    <w:rsid w:val="008C1F29"/>
    <w:rsid w:val="008C25A0"/>
    <w:rsid w:val="008C2F27"/>
    <w:rsid w:val="008C2FCA"/>
    <w:rsid w:val="008C30A2"/>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93D"/>
    <w:rsid w:val="008E7D5F"/>
    <w:rsid w:val="008E7FF0"/>
    <w:rsid w:val="008F12F4"/>
    <w:rsid w:val="008F14F3"/>
    <w:rsid w:val="008F15C1"/>
    <w:rsid w:val="008F1C31"/>
    <w:rsid w:val="008F1C9A"/>
    <w:rsid w:val="008F1E3E"/>
    <w:rsid w:val="008F23F5"/>
    <w:rsid w:val="008F29C0"/>
    <w:rsid w:val="008F30BF"/>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8EB"/>
    <w:rsid w:val="00907C22"/>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E02"/>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5B9"/>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54F"/>
    <w:rsid w:val="009C28F2"/>
    <w:rsid w:val="009C2DCA"/>
    <w:rsid w:val="009C2E56"/>
    <w:rsid w:val="009C39AD"/>
    <w:rsid w:val="009C3B9F"/>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29"/>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1E"/>
    <w:rsid w:val="009F7D38"/>
    <w:rsid w:val="00A001AE"/>
    <w:rsid w:val="00A008D7"/>
    <w:rsid w:val="00A00F14"/>
    <w:rsid w:val="00A01100"/>
    <w:rsid w:val="00A0111C"/>
    <w:rsid w:val="00A01492"/>
    <w:rsid w:val="00A015FA"/>
    <w:rsid w:val="00A01E43"/>
    <w:rsid w:val="00A01FCB"/>
    <w:rsid w:val="00A02057"/>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D7C0B"/>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1DD"/>
    <w:rsid w:val="00B108D7"/>
    <w:rsid w:val="00B10D70"/>
    <w:rsid w:val="00B111DF"/>
    <w:rsid w:val="00B112C9"/>
    <w:rsid w:val="00B116E4"/>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886"/>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5C1"/>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03D"/>
    <w:rsid w:val="00B80548"/>
    <w:rsid w:val="00B80992"/>
    <w:rsid w:val="00B81C26"/>
    <w:rsid w:val="00B81D32"/>
    <w:rsid w:val="00B82AA8"/>
    <w:rsid w:val="00B82FE4"/>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B7860"/>
    <w:rsid w:val="00BC0023"/>
    <w:rsid w:val="00BC0402"/>
    <w:rsid w:val="00BC049D"/>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8E9"/>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7CB"/>
    <w:rsid w:val="00BF2A90"/>
    <w:rsid w:val="00BF2BAF"/>
    <w:rsid w:val="00BF30F8"/>
    <w:rsid w:val="00BF3772"/>
    <w:rsid w:val="00BF3D3F"/>
    <w:rsid w:val="00BF417F"/>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4DD"/>
    <w:rsid w:val="00C078A6"/>
    <w:rsid w:val="00C0799F"/>
    <w:rsid w:val="00C07ADA"/>
    <w:rsid w:val="00C07B2B"/>
    <w:rsid w:val="00C07D00"/>
    <w:rsid w:val="00C10144"/>
    <w:rsid w:val="00C10753"/>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A4F"/>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29F3"/>
    <w:rsid w:val="00C62B03"/>
    <w:rsid w:val="00C62B84"/>
    <w:rsid w:val="00C62BFF"/>
    <w:rsid w:val="00C62FC5"/>
    <w:rsid w:val="00C6321D"/>
    <w:rsid w:val="00C639A4"/>
    <w:rsid w:val="00C641FE"/>
    <w:rsid w:val="00C6434C"/>
    <w:rsid w:val="00C64B2B"/>
    <w:rsid w:val="00C64CF4"/>
    <w:rsid w:val="00C65079"/>
    <w:rsid w:val="00C650DE"/>
    <w:rsid w:val="00C6536F"/>
    <w:rsid w:val="00C656F4"/>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E55"/>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64A"/>
    <w:rsid w:val="00CA12AE"/>
    <w:rsid w:val="00CA1434"/>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CCA"/>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FF7"/>
    <w:rsid w:val="00CB4807"/>
    <w:rsid w:val="00CB5067"/>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5841"/>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597"/>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9B9"/>
    <w:rsid w:val="00CF3B13"/>
    <w:rsid w:val="00CF3B75"/>
    <w:rsid w:val="00CF3C52"/>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3F03"/>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4255"/>
    <w:rsid w:val="00D4436F"/>
    <w:rsid w:val="00D446E3"/>
    <w:rsid w:val="00D4494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123"/>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0D30"/>
    <w:rsid w:val="00D814EB"/>
    <w:rsid w:val="00D8161D"/>
    <w:rsid w:val="00D81ABC"/>
    <w:rsid w:val="00D82503"/>
    <w:rsid w:val="00D8279D"/>
    <w:rsid w:val="00D829EF"/>
    <w:rsid w:val="00D82B10"/>
    <w:rsid w:val="00D82B13"/>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303"/>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BC6"/>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11B"/>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3D7"/>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45C"/>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2DE3"/>
    <w:rsid w:val="00E62F1F"/>
    <w:rsid w:val="00E64683"/>
    <w:rsid w:val="00E649FA"/>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E4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5815"/>
    <w:rsid w:val="00EA614B"/>
    <w:rsid w:val="00EA6363"/>
    <w:rsid w:val="00EA698B"/>
    <w:rsid w:val="00EA6A9F"/>
    <w:rsid w:val="00EA6ED9"/>
    <w:rsid w:val="00EA73BB"/>
    <w:rsid w:val="00EA7889"/>
    <w:rsid w:val="00EA794A"/>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4E5E"/>
    <w:rsid w:val="00EB5036"/>
    <w:rsid w:val="00EB5067"/>
    <w:rsid w:val="00EB64A7"/>
    <w:rsid w:val="00EB6A69"/>
    <w:rsid w:val="00EB6EB4"/>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742E"/>
    <w:rsid w:val="00EF7E9E"/>
    <w:rsid w:val="00EF7FA8"/>
    <w:rsid w:val="00F0001C"/>
    <w:rsid w:val="00F00977"/>
    <w:rsid w:val="00F00EDA"/>
    <w:rsid w:val="00F014E5"/>
    <w:rsid w:val="00F0165D"/>
    <w:rsid w:val="00F017B0"/>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4D4E"/>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881"/>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0D2"/>
    <w:rsid w:val="00FB4F27"/>
    <w:rsid w:val="00FB59B5"/>
    <w:rsid w:val="00FB5E7E"/>
    <w:rsid w:val="00FB602A"/>
    <w:rsid w:val="00FB6998"/>
    <w:rsid w:val="00FB6B39"/>
    <w:rsid w:val="00FB6CFE"/>
    <w:rsid w:val="00FB74AD"/>
    <w:rsid w:val="00FC06A3"/>
    <w:rsid w:val="00FC107E"/>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Policepardfaut"/>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Policepardfaut"/>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
    <w:name w:val="Título #1_"/>
    <w:basedOn w:val="Policepardfaut"/>
    <w:link w:val="Ttulo10"/>
    <w:rsid w:val="000B6226"/>
    <w:rPr>
      <w:rFonts w:ascii="Bookman Old Style" w:eastAsia="Bookman Old Style" w:hAnsi="Bookman Old Style" w:cs="Bookman Old Style"/>
      <w:b/>
      <w:bCs/>
      <w:shd w:val="clear" w:color="auto" w:fill="FFFFFF"/>
    </w:rPr>
  </w:style>
  <w:style w:type="paragraph" w:customStyle="1" w:styleId="Ttulo10">
    <w:name w:val="Título #1"/>
    <w:basedOn w:val="Normal"/>
    <w:link w:val="Ttulo1"/>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Policepardfaut"/>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Policepardfaut"/>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
    <w:name w:val="Título #1_"/>
    <w:basedOn w:val="Policepardfaut"/>
    <w:link w:val="Ttulo10"/>
    <w:rsid w:val="000B6226"/>
    <w:rPr>
      <w:rFonts w:ascii="Bookman Old Style" w:eastAsia="Bookman Old Style" w:hAnsi="Bookman Old Style" w:cs="Bookman Old Style"/>
      <w:b/>
      <w:bCs/>
      <w:shd w:val="clear" w:color="auto" w:fill="FFFFFF"/>
    </w:rPr>
  </w:style>
  <w:style w:type="paragraph" w:customStyle="1" w:styleId="Ttulo10">
    <w:name w:val="Título #1"/>
    <w:basedOn w:val="Normal"/>
    <w:link w:val="Ttulo1"/>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55DC-804D-4682-B213-3A8758B7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2017-09-14T19:21:00Z</cp:lastPrinted>
  <dcterms:created xsi:type="dcterms:W3CDTF">2017-09-13T14:58:00Z</dcterms:created>
  <dcterms:modified xsi:type="dcterms:W3CDTF">2017-11-01T09:35:00Z</dcterms:modified>
</cp:coreProperties>
</file>