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C6" w:rsidRPr="00C927C6" w:rsidRDefault="00C927C6" w:rsidP="00C927C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C927C6">
        <w:rPr>
          <w:rFonts w:ascii="Calibri" w:eastAsia="Calibri" w:hAnsi="Calibri" w:cs="Calibri"/>
          <w:color w:val="FF0000"/>
          <w:sz w:val="16"/>
          <w:szCs w:val="16"/>
          <w:lang w:val="es-CO" w:eastAsia="fr-FR"/>
        </w:rPr>
        <w:t xml:space="preserve">El siguiente es el documento presentado por el Magistrado. </w:t>
      </w:r>
    </w:p>
    <w:p w:rsidR="00C927C6" w:rsidRPr="00C927C6" w:rsidRDefault="00C927C6" w:rsidP="00C927C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C927C6">
        <w:rPr>
          <w:rFonts w:ascii="Calibri" w:eastAsia="Calibri" w:hAnsi="Calibri" w:cs="Calibri"/>
          <w:color w:val="FF0000"/>
          <w:sz w:val="16"/>
          <w:szCs w:val="16"/>
          <w:lang w:val="es-CO" w:eastAsia="fr-FR"/>
        </w:rPr>
        <w:t>El contenido total y fiel debe ser verificado en la Secretaría de esta Sala.</w:t>
      </w:r>
      <w:r w:rsidRPr="00C927C6">
        <w:rPr>
          <w:rFonts w:ascii="Calibri" w:eastAsia="Calibri" w:hAnsi="Calibri" w:cs="Calibri"/>
          <w:color w:val="222222"/>
          <w:sz w:val="18"/>
          <w:szCs w:val="18"/>
          <w:lang w:val="es-CO" w:eastAsia="fr-FR"/>
        </w:rPr>
        <w:t> </w:t>
      </w:r>
    </w:p>
    <w:p w:rsidR="00C927C6" w:rsidRPr="00C927C6" w:rsidRDefault="00C927C6" w:rsidP="00C927C6">
      <w:pPr>
        <w:shd w:val="clear" w:color="auto" w:fill="FFFFFF"/>
        <w:ind w:left="2124" w:hanging="2124"/>
        <w:jc w:val="both"/>
        <w:rPr>
          <w:rFonts w:ascii="Calibri" w:hAnsi="Calibri" w:cs="Calibri"/>
          <w:color w:val="222222"/>
          <w:sz w:val="18"/>
          <w:szCs w:val="18"/>
          <w:lang w:val="es-CO" w:eastAsia="fr-FR"/>
        </w:rPr>
      </w:pPr>
      <w:r w:rsidRPr="00C927C6">
        <w:rPr>
          <w:rFonts w:ascii="Calibri" w:hAnsi="Calibri" w:cs="Calibri"/>
          <w:color w:val="222222"/>
          <w:sz w:val="18"/>
          <w:szCs w:val="18"/>
          <w:lang w:val="es-CO" w:eastAsia="fr-FR"/>
        </w:rPr>
        <w:t>Providencia:</w:t>
      </w:r>
      <w:r w:rsidRPr="00C927C6">
        <w:rPr>
          <w:rFonts w:ascii="Calibri" w:hAnsi="Calibri" w:cs="Calibri"/>
          <w:color w:val="222222"/>
          <w:sz w:val="18"/>
          <w:szCs w:val="18"/>
          <w:lang w:val="es-CO" w:eastAsia="fr-FR"/>
        </w:rPr>
        <w:tab/>
        <w:t>Auto  - 2ª instancia - 03 de noviembre de 2017</w:t>
      </w:r>
    </w:p>
    <w:p w:rsidR="00C927C6" w:rsidRPr="00C927C6" w:rsidRDefault="00C927C6" w:rsidP="00C927C6">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C927C6">
        <w:rPr>
          <w:rFonts w:ascii="Calibri" w:eastAsia="Calibri" w:hAnsi="Calibri" w:cs="Calibri"/>
          <w:color w:val="222222"/>
          <w:sz w:val="18"/>
          <w:szCs w:val="18"/>
          <w:lang w:val="es-CO" w:eastAsia="fr-FR"/>
        </w:rPr>
        <w:t xml:space="preserve">Proceso: </w:t>
      </w:r>
      <w:r w:rsidRPr="00C927C6">
        <w:rPr>
          <w:rFonts w:ascii="Calibri" w:eastAsia="Calibri" w:hAnsi="Calibri" w:cs="Calibri"/>
          <w:color w:val="222222"/>
          <w:sz w:val="18"/>
          <w:szCs w:val="18"/>
          <w:lang w:val="es-CO" w:eastAsia="fr-FR"/>
        </w:rPr>
        <w:tab/>
      </w:r>
      <w:r w:rsidRPr="00C927C6">
        <w:rPr>
          <w:rFonts w:ascii="Calibri" w:eastAsia="Calibri" w:hAnsi="Calibri" w:cs="Calibri"/>
          <w:color w:val="222222"/>
          <w:sz w:val="18"/>
          <w:szCs w:val="18"/>
          <w:lang w:val="es-CO" w:eastAsia="fr-FR"/>
        </w:rPr>
        <w:tab/>
      </w:r>
      <w:r w:rsidRPr="00C927C6">
        <w:rPr>
          <w:rFonts w:ascii="Calibri" w:eastAsia="Calibri" w:hAnsi="Calibri" w:cs="Calibri"/>
          <w:color w:val="222222"/>
          <w:sz w:val="18"/>
          <w:szCs w:val="18"/>
          <w:lang w:val="es-CO" w:eastAsia="fr-FR"/>
        </w:rPr>
        <w:tab/>
      </w:r>
      <w:r w:rsidRPr="00C927C6">
        <w:rPr>
          <w:rFonts w:ascii="Calibri" w:eastAsia="Calibri" w:hAnsi="Calibri" w:cs="Calibri"/>
          <w:color w:val="222222"/>
          <w:spacing w:val="-6"/>
          <w:sz w:val="18"/>
          <w:szCs w:val="18"/>
          <w:lang w:val="es-CO" w:eastAsia="fr-FR"/>
        </w:rPr>
        <w:t xml:space="preserve">Verbal </w:t>
      </w:r>
      <w:r w:rsidRPr="00C927C6">
        <w:rPr>
          <w:rFonts w:ascii="Calibri" w:hAnsi="Calibri" w:cs="Calibri"/>
          <w:color w:val="222222"/>
          <w:sz w:val="18"/>
          <w:szCs w:val="18"/>
          <w:lang w:val="es-CO" w:eastAsia="fr-FR"/>
        </w:rPr>
        <w:t>–</w:t>
      </w:r>
      <w:r w:rsidRPr="00C927C6">
        <w:rPr>
          <w:rFonts w:ascii="Calibri" w:eastAsia="Calibri" w:hAnsi="Calibri" w:cs="Calibri"/>
          <w:color w:val="222222"/>
          <w:spacing w:val="-6"/>
          <w:sz w:val="18"/>
          <w:szCs w:val="18"/>
          <w:lang w:val="es-CO" w:eastAsia="fr-FR"/>
        </w:rPr>
        <w:t xml:space="preserve"> Revoca rechazo de la demanda y la inadmite</w:t>
      </w:r>
    </w:p>
    <w:p w:rsidR="00C927C6" w:rsidRPr="00C927C6" w:rsidRDefault="00C927C6" w:rsidP="00C927C6">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C927C6">
        <w:rPr>
          <w:rFonts w:ascii="Calibri" w:eastAsia="Calibri" w:hAnsi="Calibri" w:cs="Calibri"/>
          <w:color w:val="222222"/>
          <w:sz w:val="18"/>
          <w:szCs w:val="18"/>
          <w:lang w:val="es-CO" w:eastAsia="fr-FR"/>
        </w:rPr>
        <w:t>Radicación Nro. :</w:t>
      </w:r>
      <w:r w:rsidRPr="00C927C6">
        <w:rPr>
          <w:rFonts w:ascii="Calibri" w:eastAsia="Calibri" w:hAnsi="Calibri" w:cs="Calibri"/>
          <w:color w:val="222222"/>
          <w:sz w:val="18"/>
          <w:szCs w:val="18"/>
          <w:lang w:val="es-CO" w:eastAsia="fr-FR"/>
        </w:rPr>
        <w:tab/>
        <w:t xml:space="preserve">  </w:t>
      </w:r>
      <w:r w:rsidRPr="00C927C6">
        <w:rPr>
          <w:rFonts w:ascii="Calibri" w:eastAsia="Calibri" w:hAnsi="Calibri" w:cs="Calibri"/>
          <w:color w:val="222222"/>
          <w:sz w:val="18"/>
          <w:szCs w:val="18"/>
          <w:lang w:val="es-CO" w:eastAsia="fr-FR"/>
        </w:rPr>
        <w:tab/>
        <w:t xml:space="preserve"> </w:t>
      </w:r>
      <w:r w:rsidRPr="00C927C6">
        <w:rPr>
          <w:rFonts w:ascii="Calibri" w:eastAsia="Calibri" w:hAnsi="Calibri" w:cs="Calibri"/>
          <w:bCs/>
          <w:color w:val="222222"/>
          <w:sz w:val="18"/>
          <w:szCs w:val="18"/>
          <w:lang w:eastAsia="fr-FR"/>
        </w:rPr>
        <w:t>2017-00056-01</w:t>
      </w:r>
    </w:p>
    <w:p w:rsidR="00C927C6" w:rsidRPr="00C927C6" w:rsidRDefault="00C927C6" w:rsidP="00C927C6">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C927C6">
        <w:rPr>
          <w:rFonts w:ascii="Calibri" w:eastAsia="Calibri" w:hAnsi="Calibri" w:cs="Calibri"/>
          <w:color w:val="222222"/>
          <w:sz w:val="18"/>
          <w:szCs w:val="18"/>
          <w:lang w:val="es-MX" w:eastAsia="fr-FR"/>
        </w:rPr>
        <w:t>Demandante:</w:t>
      </w:r>
      <w:r w:rsidRPr="00C927C6">
        <w:rPr>
          <w:rFonts w:ascii="Calibri" w:eastAsia="Calibri" w:hAnsi="Calibri" w:cs="Calibri"/>
          <w:color w:val="222222"/>
          <w:sz w:val="18"/>
          <w:szCs w:val="18"/>
          <w:lang w:val="es-MX" w:eastAsia="fr-FR"/>
        </w:rPr>
        <w:tab/>
      </w:r>
      <w:r w:rsidRPr="00C927C6">
        <w:rPr>
          <w:rFonts w:ascii="Calibri" w:eastAsia="Calibri" w:hAnsi="Calibri" w:cs="Calibri"/>
          <w:color w:val="222222"/>
          <w:sz w:val="18"/>
          <w:szCs w:val="18"/>
          <w:lang w:val="es-MX" w:eastAsia="fr-FR"/>
        </w:rPr>
        <w:tab/>
      </w:r>
      <w:r w:rsidRPr="00C927C6">
        <w:rPr>
          <w:rFonts w:ascii="Calibri" w:eastAsia="Calibri" w:hAnsi="Calibri" w:cs="Calibri"/>
          <w:bCs/>
          <w:color w:val="222222"/>
          <w:sz w:val="18"/>
          <w:szCs w:val="18"/>
          <w:lang w:eastAsia="fr-FR"/>
        </w:rPr>
        <w:tab/>
      </w:r>
      <w:r w:rsidRPr="00C927C6">
        <w:rPr>
          <w:rFonts w:ascii="Calibri" w:eastAsia="Calibri" w:hAnsi="Calibri" w:cs="Calibri"/>
          <w:bCs/>
          <w:iCs/>
          <w:color w:val="222222"/>
          <w:sz w:val="18"/>
          <w:szCs w:val="18"/>
          <w:lang w:val="es-419" w:eastAsia="fr-FR"/>
        </w:rPr>
        <w:t>JUAN CARLOS GONZÁLEZ GIRALDO</w:t>
      </w:r>
    </w:p>
    <w:p w:rsidR="00C927C6" w:rsidRPr="00C927C6" w:rsidRDefault="00C927C6" w:rsidP="00C927C6">
      <w:pPr>
        <w:shd w:val="clear" w:color="auto" w:fill="FFFFFF"/>
        <w:tabs>
          <w:tab w:val="left" w:pos="1418"/>
          <w:tab w:val="left" w:pos="2127"/>
        </w:tabs>
        <w:jc w:val="both"/>
        <w:rPr>
          <w:rFonts w:ascii="Calibri" w:eastAsia="Calibri" w:hAnsi="Calibri" w:cs="Calibri"/>
          <w:color w:val="222222"/>
          <w:sz w:val="18"/>
          <w:szCs w:val="18"/>
          <w:lang w:eastAsia="fr-FR"/>
        </w:rPr>
      </w:pPr>
      <w:r w:rsidRPr="00C927C6">
        <w:rPr>
          <w:rFonts w:ascii="Calibri" w:eastAsia="Calibri" w:hAnsi="Calibri" w:cs="Calibri"/>
          <w:bCs/>
          <w:color w:val="222222"/>
          <w:sz w:val="18"/>
          <w:szCs w:val="18"/>
          <w:lang w:val="es-ES_tradnl" w:eastAsia="fr-FR"/>
        </w:rPr>
        <w:t>Demandado:</w:t>
      </w:r>
      <w:r w:rsidRPr="00C927C6">
        <w:rPr>
          <w:rFonts w:ascii="Calibri" w:eastAsia="Calibri" w:hAnsi="Calibri" w:cs="Calibri"/>
          <w:bCs/>
          <w:color w:val="222222"/>
          <w:sz w:val="18"/>
          <w:szCs w:val="18"/>
          <w:lang w:val="es-ES_tradnl" w:eastAsia="fr-FR"/>
        </w:rPr>
        <w:tab/>
      </w:r>
      <w:r w:rsidRPr="00C927C6">
        <w:rPr>
          <w:rFonts w:ascii="Calibri" w:eastAsia="Calibri" w:hAnsi="Calibri" w:cs="Calibri"/>
          <w:bCs/>
          <w:color w:val="222222"/>
          <w:sz w:val="18"/>
          <w:szCs w:val="18"/>
          <w:lang w:val="es-ES_tradnl" w:eastAsia="fr-FR"/>
        </w:rPr>
        <w:tab/>
      </w:r>
      <w:r w:rsidRPr="00C927C6">
        <w:rPr>
          <w:rFonts w:ascii="Calibri" w:eastAsia="Calibri" w:hAnsi="Calibri" w:cs="Calibri"/>
          <w:bCs/>
          <w:iCs/>
          <w:color w:val="222222"/>
          <w:sz w:val="18"/>
          <w:szCs w:val="18"/>
          <w:lang w:val="es-419" w:eastAsia="fr-FR"/>
        </w:rPr>
        <w:t>CATHERINE ALBARRACÍN BAÑOL Y OTROS</w:t>
      </w:r>
    </w:p>
    <w:p w:rsidR="00C927C6" w:rsidRPr="00C927C6" w:rsidRDefault="00C927C6" w:rsidP="00C927C6">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C927C6">
        <w:rPr>
          <w:rFonts w:ascii="Calibri" w:eastAsia="Calibri" w:hAnsi="Calibri" w:cs="Calibri"/>
          <w:color w:val="222222"/>
          <w:sz w:val="18"/>
          <w:szCs w:val="18"/>
          <w:lang w:val="es-MX" w:eastAsia="fr-FR"/>
        </w:rPr>
        <w:t xml:space="preserve">Magistrado Ponente: </w:t>
      </w:r>
      <w:r w:rsidRPr="00C927C6">
        <w:rPr>
          <w:rFonts w:ascii="Calibri" w:eastAsia="Calibri" w:hAnsi="Calibri" w:cs="Calibri"/>
          <w:color w:val="222222"/>
          <w:sz w:val="18"/>
          <w:szCs w:val="18"/>
          <w:lang w:val="es-MX" w:eastAsia="fr-FR"/>
        </w:rPr>
        <w:tab/>
      </w:r>
      <w:r w:rsidRPr="00C927C6">
        <w:rPr>
          <w:rFonts w:ascii="Calibri" w:eastAsia="Calibri" w:hAnsi="Calibri" w:cs="Calibri"/>
          <w:color w:val="222222"/>
          <w:sz w:val="18"/>
          <w:szCs w:val="18"/>
          <w:lang w:val="es-MX" w:eastAsia="fr-FR"/>
        </w:rPr>
        <w:tab/>
      </w:r>
      <w:proofErr w:type="spellStart"/>
      <w:r w:rsidRPr="00C927C6">
        <w:rPr>
          <w:rFonts w:ascii="Calibri" w:eastAsia="Calibri" w:hAnsi="Calibri" w:cs="Calibri"/>
          <w:bCs/>
          <w:iCs/>
          <w:color w:val="222222"/>
          <w:sz w:val="18"/>
          <w:szCs w:val="18"/>
          <w:lang w:val="es-CO" w:eastAsia="fr-FR"/>
        </w:rPr>
        <w:t>DUBERNEY</w:t>
      </w:r>
      <w:proofErr w:type="spellEnd"/>
      <w:r w:rsidRPr="00C927C6">
        <w:rPr>
          <w:rFonts w:ascii="Calibri" w:eastAsia="Calibri" w:hAnsi="Calibri" w:cs="Calibri"/>
          <w:bCs/>
          <w:iCs/>
          <w:color w:val="222222"/>
          <w:sz w:val="18"/>
          <w:szCs w:val="18"/>
          <w:lang w:val="es-CO" w:eastAsia="fr-FR"/>
        </w:rPr>
        <w:t xml:space="preserve"> GRISALES HERRERA</w:t>
      </w:r>
    </w:p>
    <w:p w:rsidR="00C927C6" w:rsidRPr="00C927C6" w:rsidRDefault="00C927C6" w:rsidP="00C927C6">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C927C6" w:rsidRPr="00C927C6" w:rsidRDefault="00C927C6" w:rsidP="00C927C6">
      <w:pPr>
        <w:shd w:val="clear" w:color="auto" w:fill="FFFFFF"/>
        <w:spacing w:after="200"/>
        <w:jc w:val="both"/>
        <w:rPr>
          <w:rFonts w:ascii="Calibri" w:eastAsia="Calibri" w:hAnsi="Calibri" w:cs="Calibri"/>
          <w:bCs/>
          <w:iCs/>
          <w:color w:val="222222"/>
          <w:sz w:val="18"/>
          <w:szCs w:val="18"/>
          <w:lang w:val="es-CO" w:eastAsia="fr-FR"/>
        </w:rPr>
      </w:pPr>
      <w:r w:rsidRPr="00C927C6">
        <w:rPr>
          <w:rFonts w:ascii="Calibri" w:eastAsia="Calibri" w:hAnsi="Calibri" w:cs="Calibri"/>
          <w:b/>
          <w:color w:val="222222"/>
          <w:sz w:val="18"/>
          <w:szCs w:val="18"/>
          <w:lang w:val="es-MX" w:eastAsia="fr-FR"/>
        </w:rPr>
        <w:t>Temas:</w:t>
      </w:r>
      <w:r w:rsidRPr="00C927C6">
        <w:rPr>
          <w:rFonts w:ascii="Calibri" w:eastAsia="Calibri" w:hAnsi="Calibri" w:cs="Calibri"/>
          <w:b/>
          <w:color w:val="222222"/>
          <w:sz w:val="18"/>
          <w:szCs w:val="18"/>
          <w:lang w:val="es-MX" w:eastAsia="fr-FR"/>
        </w:rPr>
        <w:tab/>
      </w:r>
      <w:r w:rsidRPr="00C927C6">
        <w:rPr>
          <w:rFonts w:ascii="Calibri" w:eastAsia="Calibri" w:hAnsi="Calibri" w:cs="Calibri"/>
          <w:b/>
          <w:color w:val="222222"/>
          <w:sz w:val="18"/>
          <w:szCs w:val="18"/>
          <w:lang w:val="es-MX" w:eastAsia="fr-FR"/>
        </w:rPr>
        <w:tab/>
      </w:r>
      <w:r w:rsidRPr="00C927C6">
        <w:rPr>
          <w:rFonts w:ascii="Calibri" w:eastAsia="Calibri" w:hAnsi="Calibri" w:cs="Calibri"/>
          <w:b/>
          <w:color w:val="222222"/>
          <w:sz w:val="18"/>
          <w:szCs w:val="18"/>
          <w:lang w:val="es-MX" w:eastAsia="fr-FR"/>
        </w:rPr>
        <w:tab/>
        <w:t xml:space="preserve">INADMISIÓN DE LA DEMANDA. </w:t>
      </w:r>
      <w:r w:rsidRPr="00C927C6">
        <w:rPr>
          <w:rFonts w:ascii="Calibri" w:eastAsia="Calibri" w:hAnsi="Calibri" w:cs="Calibri"/>
          <w:color w:val="222222"/>
          <w:sz w:val="18"/>
          <w:szCs w:val="18"/>
          <w:lang w:val="es-MX" w:eastAsia="fr-FR"/>
        </w:rPr>
        <w:t>[S]</w:t>
      </w:r>
      <w:proofErr w:type="spellStart"/>
      <w:r w:rsidRPr="00C927C6">
        <w:rPr>
          <w:rFonts w:ascii="Calibri" w:eastAsia="Calibri" w:hAnsi="Calibri" w:cs="Calibri"/>
          <w:bCs/>
          <w:iCs/>
          <w:color w:val="222222"/>
          <w:sz w:val="18"/>
          <w:szCs w:val="18"/>
          <w:lang w:val="es-CO" w:eastAsia="fr-FR"/>
        </w:rPr>
        <w:t>e</w:t>
      </w:r>
      <w:proofErr w:type="spellEnd"/>
      <w:r w:rsidRPr="00C927C6">
        <w:rPr>
          <w:rFonts w:ascii="Calibri" w:eastAsia="Calibri" w:hAnsi="Calibri" w:cs="Calibri"/>
          <w:bCs/>
          <w:iCs/>
          <w:color w:val="222222"/>
          <w:sz w:val="18"/>
          <w:szCs w:val="18"/>
          <w:lang w:val="es-CO" w:eastAsia="fr-FR"/>
        </w:rPr>
        <w:t xml:space="preserve"> aprecia que la decisión apelada habrá de revocarse, pues a ninguna de las causales establecidas en el artículo 90, ib., se aviene, dado que el avalúo catastral actualizado no es un anexo de la demanda; reconoce la Sala que el actor dejó de discutir esa irregular exigencia, incluso de sus actuaciones se desprende que aceptó la obligación de traer el documento, pero lo cierto es que la inadmisión de la demanda fue desacertada. (…) Sin embargo, el escrito incumple con el requisito de la estimación de la cuantía, pues se tasó en la suma de $156.920.400, de conformidad con el avalúo comercial aportado con la demanda, cuando debió hacerse acorde con los avalúos catastrales de cada uno de los inmuebles (Artículos 26-3º, 82-9º y 90-1º, ib.), recuérdese que la simple afirmación de la parte es suficiente. También se aprecia que el poder contiene información errada en torno a los bienes pretendidos en usucapión; si bien en el artículo 74, ib., solo se exige la determinación  e identificación clara de los asuntos (Tipo de proceso y pretensiones), lo cierto es que aquella información adicional, discordante con el objeto de la demanda, atenta contra la claridad que debe tener ese anexo, por lo tanto, es indispensable que se corrija. </w:t>
      </w:r>
      <w:r w:rsidRPr="00C927C6">
        <w:rPr>
          <w:rFonts w:ascii="Calibri" w:eastAsia="Calibri" w:hAnsi="Calibri" w:cs="Calibri"/>
          <w:bCs/>
          <w:iCs/>
          <w:color w:val="222222"/>
          <w:sz w:val="18"/>
          <w:szCs w:val="18"/>
          <w:lang w:eastAsia="fr-FR"/>
        </w:rPr>
        <w:t xml:space="preserve">En ese orden de ideas, se inadmitirá la demanda para que se enmienden las mentadas inconsistencia. </w:t>
      </w:r>
      <w:r w:rsidRPr="00C927C6">
        <w:rPr>
          <w:rFonts w:ascii="Calibri" w:eastAsia="Calibri" w:hAnsi="Calibri" w:cs="Calibri"/>
          <w:bCs/>
          <w:iCs/>
          <w:color w:val="222222"/>
          <w:sz w:val="18"/>
          <w:szCs w:val="18"/>
          <w:lang w:val="es-CO" w:eastAsia="fr-FR"/>
        </w:rPr>
        <w:t xml:space="preserve">Sin que sobre acotar, como ya se ha dicho en decisiones anteriores de esta misma Sala Unitaria, que aunque parezca impropio que en un mismo asunto se emitan dos decisiones </w:t>
      </w:r>
      <w:proofErr w:type="spellStart"/>
      <w:r w:rsidRPr="00C927C6">
        <w:rPr>
          <w:rFonts w:ascii="Calibri" w:eastAsia="Calibri" w:hAnsi="Calibri" w:cs="Calibri"/>
          <w:bCs/>
          <w:iCs/>
          <w:color w:val="222222"/>
          <w:sz w:val="18"/>
          <w:szCs w:val="18"/>
          <w:lang w:val="es-CO" w:eastAsia="fr-FR"/>
        </w:rPr>
        <w:t>inadmisorias</w:t>
      </w:r>
      <w:proofErr w:type="spellEnd"/>
      <w:r w:rsidRPr="00C927C6">
        <w:rPr>
          <w:rFonts w:ascii="Calibri" w:eastAsia="Calibri" w:hAnsi="Calibri" w:cs="Calibri"/>
          <w:bCs/>
          <w:iCs/>
          <w:color w:val="222222"/>
          <w:sz w:val="18"/>
          <w:szCs w:val="18"/>
          <w:lang w:val="es-CO" w:eastAsia="fr-FR"/>
        </w:rPr>
        <w:t xml:space="preserve"> de la demanda, la parte demandante en forma alguna ha tenido la oportunidad de sanear las falencias aquí enrostradas.</w:t>
      </w:r>
    </w:p>
    <w:p w:rsidR="00C927C6" w:rsidRDefault="00C927C6" w:rsidP="00FE5476">
      <w:pPr>
        <w:pStyle w:val="Sansinterligne"/>
        <w:tabs>
          <w:tab w:val="left" w:pos="3579"/>
        </w:tabs>
        <w:spacing w:line="360" w:lineRule="auto"/>
        <w:ind w:left="3579" w:hanging="3579"/>
        <w:jc w:val="center"/>
        <w:rPr>
          <w:rFonts w:ascii="Georgia" w:hAnsi="Georgia" w:cs="Arial"/>
          <w:w w:val="140"/>
          <w:sz w:val="14"/>
          <w:lang w:val="es-CO"/>
        </w:rPr>
      </w:pPr>
    </w:p>
    <w:p w:rsidR="00C927C6" w:rsidRDefault="00C927C6"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r w:rsidRPr="00C858FA">
        <w:rPr>
          <w:rFonts w:ascii="Georgia" w:hAnsi="Georgia"/>
          <w:noProof/>
          <w:lang w:val="fr-FR" w:eastAsia="fr-FR"/>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C858FA" w:rsidRDefault="00FE5476" w:rsidP="00FE5476">
      <w:pPr>
        <w:pStyle w:val="Sansinterligne"/>
        <w:tabs>
          <w:tab w:val="left" w:pos="3579"/>
        </w:tabs>
        <w:spacing w:line="360" w:lineRule="auto"/>
        <w:ind w:left="3579" w:hanging="3579"/>
        <w:jc w:val="center"/>
        <w:rPr>
          <w:rFonts w:ascii="Georgia" w:hAnsi="Georgia" w:cs="Arial"/>
          <w:w w:val="140"/>
          <w:sz w:val="14"/>
          <w:lang w:val="es-CO"/>
        </w:rPr>
      </w:pPr>
      <w:r w:rsidRPr="00C858FA">
        <w:rPr>
          <w:rFonts w:ascii="Georgia" w:hAnsi="Georgia" w:cs="Arial"/>
          <w:w w:val="140"/>
          <w:sz w:val="14"/>
          <w:lang w:val="es-CO"/>
        </w:rPr>
        <w:t>REPUBLICA DE COLOMBIA</w:t>
      </w:r>
    </w:p>
    <w:p w:rsidR="00FE5476" w:rsidRPr="00C858FA" w:rsidRDefault="00FE5476" w:rsidP="00FE5476">
      <w:pPr>
        <w:pStyle w:val="Sansinterligne"/>
        <w:tabs>
          <w:tab w:val="center" w:pos="4987"/>
          <w:tab w:val="left" w:pos="8449"/>
        </w:tabs>
        <w:spacing w:line="360" w:lineRule="auto"/>
        <w:jc w:val="center"/>
        <w:rPr>
          <w:rFonts w:ascii="Georgia" w:hAnsi="Georgia" w:cs="Arial"/>
          <w:w w:val="140"/>
          <w:lang w:val="es-CO"/>
        </w:rPr>
      </w:pPr>
      <w:r w:rsidRPr="00C858FA">
        <w:rPr>
          <w:rFonts w:ascii="Georgia" w:hAnsi="Georgia" w:cs="Arial"/>
          <w:w w:val="140"/>
          <w:sz w:val="14"/>
          <w:lang w:val="es-CO"/>
        </w:rPr>
        <w:t>RAMA JUDICIAL DEL PODER PÚBLICO</w:t>
      </w:r>
    </w:p>
    <w:p w:rsidR="00FE5476" w:rsidRPr="00C858FA" w:rsidRDefault="00FE5476" w:rsidP="00FE5476">
      <w:pPr>
        <w:pStyle w:val="Sansinterligne"/>
        <w:spacing w:line="360" w:lineRule="auto"/>
        <w:jc w:val="center"/>
        <w:rPr>
          <w:rFonts w:ascii="Georgia" w:hAnsi="Georgia" w:cs="Arial"/>
          <w:w w:val="140"/>
          <w:sz w:val="16"/>
          <w:lang w:val="es-CO"/>
        </w:rPr>
      </w:pPr>
      <w:r w:rsidRPr="00C858FA">
        <w:rPr>
          <w:rFonts w:ascii="Georgia" w:hAnsi="Georgia" w:cs="Arial"/>
          <w:w w:val="140"/>
          <w:sz w:val="18"/>
          <w:lang w:val="es-CO"/>
        </w:rPr>
        <w:t>T</w:t>
      </w:r>
      <w:r w:rsidRPr="00C858FA">
        <w:rPr>
          <w:rFonts w:ascii="Georgia" w:hAnsi="Georgia" w:cs="Arial"/>
          <w:w w:val="140"/>
          <w:sz w:val="16"/>
          <w:lang w:val="es-CO"/>
        </w:rPr>
        <w:t>RIBUNAL</w:t>
      </w:r>
      <w:r w:rsidRPr="00C858FA">
        <w:rPr>
          <w:rFonts w:ascii="Georgia" w:hAnsi="Georgia" w:cs="Arial"/>
          <w:w w:val="140"/>
          <w:sz w:val="18"/>
          <w:lang w:val="es-CO"/>
        </w:rPr>
        <w:t xml:space="preserve"> S</w:t>
      </w:r>
      <w:r w:rsidRPr="00C858FA">
        <w:rPr>
          <w:rFonts w:ascii="Georgia" w:hAnsi="Georgia" w:cs="Arial"/>
          <w:w w:val="140"/>
          <w:sz w:val="16"/>
          <w:lang w:val="es-CO"/>
        </w:rPr>
        <w:t xml:space="preserve">UPERIOR DEL </w:t>
      </w:r>
      <w:r w:rsidRPr="00C858FA">
        <w:rPr>
          <w:rFonts w:ascii="Georgia" w:hAnsi="Georgia" w:cs="Arial"/>
          <w:w w:val="140"/>
          <w:sz w:val="18"/>
          <w:lang w:val="es-CO"/>
        </w:rPr>
        <w:t>D</w:t>
      </w:r>
      <w:r w:rsidRPr="00C858FA">
        <w:rPr>
          <w:rFonts w:ascii="Georgia" w:hAnsi="Georgia" w:cs="Arial"/>
          <w:w w:val="140"/>
          <w:sz w:val="16"/>
          <w:lang w:val="es-CO"/>
        </w:rPr>
        <w:t>ISTRITO</w:t>
      </w:r>
      <w:r w:rsidRPr="00C858FA">
        <w:rPr>
          <w:rFonts w:ascii="Georgia" w:hAnsi="Georgia" w:cs="Arial"/>
          <w:w w:val="140"/>
          <w:sz w:val="18"/>
          <w:lang w:val="es-CO"/>
        </w:rPr>
        <w:t xml:space="preserve"> J</w:t>
      </w:r>
      <w:r w:rsidRPr="00C858FA">
        <w:rPr>
          <w:rFonts w:ascii="Georgia" w:hAnsi="Georgia" w:cs="Arial"/>
          <w:w w:val="140"/>
          <w:sz w:val="16"/>
          <w:lang w:val="es-CO"/>
        </w:rPr>
        <w:t>UDICIAL</w:t>
      </w:r>
    </w:p>
    <w:p w:rsidR="00FE5476" w:rsidRPr="00C858FA" w:rsidRDefault="00FE5476" w:rsidP="00FE5476">
      <w:pPr>
        <w:pStyle w:val="Sansinterligne"/>
        <w:spacing w:line="360" w:lineRule="auto"/>
        <w:jc w:val="center"/>
        <w:rPr>
          <w:rFonts w:ascii="Georgia" w:hAnsi="Georgia" w:cs="Arial"/>
          <w:w w:val="140"/>
          <w:sz w:val="16"/>
          <w:szCs w:val="18"/>
          <w:lang w:val="es-CO"/>
        </w:rPr>
      </w:pPr>
      <w:r w:rsidRPr="00C858FA">
        <w:rPr>
          <w:rFonts w:ascii="Georgia" w:hAnsi="Georgia" w:cs="Arial"/>
          <w:w w:val="140"/>
          <w:sz w:val="18"/>
          <w:szCs w:val="16"/>
        </w:rPr>
        <w:t>S</w:t>
      </w:r>
      <w:r w:rsidRPr="00C858FA">
        <w:rPr>
          <w:rFonts w:ascii="Georgia" w:hAnsi="Georgia" w:cs="Arial"/>
          <w:w w:val="140"/>
          <w:sz w:val="16"/>
          <w:szCs w:val="14"/>
        </w:rPr>
        <w:t xml:space="preserve">ALA </w:t>
      </w:r>
      <w:r w:rsidRPr="00C858FA">
        <w:rPr>
          <w:rFonts w:ascii="Georgia" w:hAnsi="Georgia" w:cs="Arial"/>
          <w:w w:val="140"/>
          <w:sz w:val="18"/>
          <w:szCs w:val="18"/>
        </w:rPr>
        <w:t>U</w:t>
      </w:r>
      <w:r w:rsidRPr="00C858FA">
        <w:rPr>
          <w:rFonts w:ascii="Georgia" w:hAnsi="Georgia" w:cs="Arial"/>
          <w:w w:val="140"/>
          <w:sz w:val="16"/>
          <w:szCs w:val="16"/>
        </w:rPr>
        <w:t>NITARIA</w:t>
      </w:r>
      <w:r w:rsidRPr="00C858FA">
        <w:rPr>
          <w:rFonts w:ascii="Georgia" w:hAnsi="Georgia" w:cs="Arial"/>
          <w:w w:val="140"/>
          <w:sz w:val="14"/>
          <w:szCs w:val="14"/>
        </w:rPr>
        <w:t xml:space="preserve"> </w:t>
      </w:r>
      <w:r w:rsidRPr="00C858FA">
        <w:rPr>
          <w:rFonts w:ascii="Georgia" w:hAnsi="Georgia" w:cs="Arial"/>
          <w:w w:val="140"/>
          <w:sz w:val="18"/>
          <w:szCs w:val="16"/>
        </w:rPr>
        <w:t>C</w:t>
      </w:r>
      <w:r w:rsidRPr="00C858FA">
        <w:rPr>
          <w:rFonts w:ascii="Georgia" w:hAnsi="Georgia" w:cs="Arial"/>
          <w:w w:val="140"/>
          <w:sz w:val="16"/>
          <w:szCs w:val="16"/>
        </w:rPr>
        <w:t>IVIL</w:t>
      </w:r>
      <w:r w:rsidRPr="00C858FA">
        <w:rPr>
          <w:rFonts w:ascii="Georgia" w:hAnsi="Georgia" w:cs="Arial"/>
          <w:w w:val="140"/>
          <w:sz w:val="14"/>
          <w:szCs w:val="14"/>
        </w:rPr>
        <w:t xml:space="preserve">– </w:t>
      </w:r>
      <w:r w:rsidRPr="00C858FA">
        <w:rPr>
          <w:rFonts w:ascii="Georgia" w:hAnsi="Georgia" w:cs="Arial"/>
          <w:w w:val="140"/>
          <w:sz w:val="18"/>
          <w:szCs w:val="16"/>
        </w:rPr>
        <w:t>F</w:t>
      </w:r>
      <w:r w:rsidRPr="00C858FA">
        <w:rPr>
          <w:rFonts w:ascii="Georgia" w:hAnsi="Georgia" w:cs="Arial"/>
          <w:w w:val="140"/>
          <w:sz w:val="16"/>
          <w:szCs w:val="16"/>
        </w:rPr>
        <w:t xml:space="preserve">AMILIA – </w:t>
      </w:r>
      <w:r w:rsidRPr="00C858FA">
        <w:rPr>
          <w:rFonts w:ascii="Georgia" w:hAnsi="Georgia" w:cs="Arial"/>
          <w:w w:val="140"/>
          <w:sz w:val="18"/>
          <w:szCs w:val="16"/>
        </w:rPr>
        <w:t>D</w:t>
      </w:r>
      <w:r w:rsidRPr="00C858FA">
        <w:rPr>
          <w:rFonts w:ascii="Georgia" w:hAnsi="Georgia" w:cs="Arial"/>
          <w:w w:val="140"/>
          <w:sz w:val="16"/>
          <w:szCs w:val="16"/>
        </w:rPr>
        <w:t xml:space="preserve">ISTRITO DE </w:t>
      </w:r>
      <w:r w:rsidRPr="00C858FA">
        <w:rPr>
          <w:rFonts w:ascii="Georgia" w:hAnsi="Georgia" w:cs="Arial"/>
          <w:w w:val="140"/>
          <w:sz w:val="18"/>
          <w:szCs w:val="16"/>
        </w:rPr>
        <w:t>P</w:t>
      </w:r>
      <w:r w:rsidRPr="00C858FA">
        <w:rPr>
          <w:rFonts w:ascii="Georgia" w:hAnsi="Georgia" w:cs="Arial"/>
          <w:w w:val="140"/>
          <w:sz w:val="16"/>
          <w:szCs w:val="16"/>
        </w:rPr>
        <w:t>EREIRA</w:t>
      </w:r>
    </w:p>
    <w:p w:rsidR="00AC5058" w:rsidRPr="00C858FA" w:rsidRDefault="00AC5058" w:rsidP="00FE5476">
      <w:pPr>
        <w:pStyle w:val="Sansinterligne"/>
        <w:spacing w:line="360" w:lineRule="auto"/>
        <w:jc w:val="center"/>
        <w:rPr>
          <w:rFonts w:ascii="Georgia" w:hAnsi="Georgia" w:cs="Arial"/>
          <w:w w:val="140"/>
          <w:sz w:val="16"/>
          <w:szCs w:val="16"/>
          <w:lang w:val="es-CO"/>
        </w:rPr>
      </w:pPr>
      <w:r w:rsidRPr="00C858FA">
        <w:rPr>
          <w:rFonts w:ascii="Georgia" w:hAnsi="Georgia" w:cs="Arial"/>
          <w:w w:val="140"/>
          <w:sz w:val="16"/>
          <w:szCs w:val="18"/>
        </w:rPr>
        <w:t>D</w:t>
      </w:r>
      <w:r w:rsidR="00B30904" w:rsidRPr="00C858FA">
        <w:rPr>
          <w:rFonts w:ascii="Georgia" w:hAnsi="Georgia" w:cs="Arial"/>
          <w:w w:val="140"/>
          <w:sz w:val="16"/>
          <w:szCs w:val="18"/>
        </w:rPr>
        <w:t xml:space="preserve"> </w:t>
      </w:r>
      <w:r w:rsidRPr="00C858FA">
        <w:rPr>
          <w:rFonts w:ascii="Georgia" w:hAnsi="Georgia" w:cs="Arial"/>
          <w:w w:val="140"/>
          <w:sz w:val="14"/>
          <w:szCs w:val="16"/>
        </w:rPr>
        <w:t>E</w:t>
      </w:r>
      <w:r w:rsidR="00B30904" w:rsidRPr="00C858FA">
        <w:rPr>
          <w:rFonts w:ascii="Georgia" w:hAnsi="Georgia" w:cs="Arial"/>
          <w:w w:val="140"/>
          <w:sz w:val="14"/>
          <w:szCs w:val="16"/>
        </w:rPr>
        <w:t xml:space="preserve"> </w:t>
      </w:r>
      <w:r w:rsidRPr="00C858FA">
        <w:rPr>
          <w:rFonts w:ascii="Georgia" w:hAnsi="Georgia" w:cs="Arial"/>
          <w:w w:val="140"/>
          <w:sz w:val="14"/>
          <w:szCs w:val="16"/>
        </w:rPr>
        <w:t>P</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30904" w:rsidRPr="00C858FA">
        <w:rPr>
          <w:rFonts w:ascii="Georgia" w:hAnsi="Georgia" w:cs="Arial"/>
          <w:w w:val="140"/>
          <w:sz w:val="14"/>
          <w:szCs w:val="16"/>
        </w:rPr>
        <w:t xml:space="preserve"> </w:t>
      </w:r>
      <w:r w:rsidRPr="00C858FA">
        <w:rPr>
          <w:rFonts w:ascii="Georgia" w:hAnsi="Georgia" w:cs="Arial"/>
          <w:w w:val="140"/>
          <w:sz w:val="14"/>
          <w:szCs w:val="16"/>
        </w:rPr>
        <w:t>R</w:t>
      </w:r>
      <w:r w:rsidR="00B30904" w:rsidRPr="00C858FA">
        <w:rPr>
          <w:rFonts w:ascii="Georgia" w:hAnsi="Georgia" w:cs="Arial"/>
          <w:w w:val="140"/>
          <w:sz w:val="14"/>
          <w:szCs w:val="16"/>
        </w:rPr>
        <w:t xml:space="preserve"> </w:t>
      </w:r>
      <w:r w:rsidRPr="00C858FA">
        <w:rPr>
          <w:rFonts w:ascii="Georgia" w:hAnsi="Georgia" w:cs="Arial"/>
          <w:w w:val="140"/>
          <w:sz w:val="14"/>
          <w:szCs w:val="16"/>
        </w:rPr>
        <w:t>T</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82EA3" w:rsidRPr="00C858FA">
        <w:rPr>
          <w:rFonts w:ascii="Georgia" w:hAnsi="Georgia" w:cs="Arial"/>
          <w:w w:val="140"/>
          <w:sz w:val="14"/>
          <w:szCs w:val="16"/>
        </w:rPr>
        <w:t xml:space="preserve"> </w:t>
      </w:r>
      <w:r w:rsidRPr="00C858FA">
        <w:rPr>
          <w:rFonts w:ascii="Georgia" w:hAnsi="Georgia" w:cs="Arial"/>
          <w:w w:val="140"/>
          <w:sz w:val="14"/>
          <w:szCs w:val="16"/>
        </w:rPr>
        <w:t>M</w:t>
      </w:r>
      <w:r w:rsidR="00B30904" w:rsidRPr="00C858FA">
        <w:rPr>
          <w:rFonts w:ascii="Georgia" w:hAnsi="Georgia" w:cs="Arial"/>
          <w:w w:val="140"/>
          <w:sz w:val="14"/>
          <w:szCs w:val="16"/>
        </w:rPr>
        <w:t xml:space="preserve"> </w:t>
      </w:r>
      <w:r w:rsidRPr="00C858FA">
        <w:rPr>
          <w:rFonts w:ascii="Georgia" w:hAnsi="Georgia" w:cs="Arial"/>
          <w:w w:val="140"/>
          <w:sz w:val="14"/>
          <w:szCs w:val="16"/>
        </w:rPr>
        <w:t>E</w:t>
      </w:r>
      <w:r w:rsidR="00B30904" w:rsidRPr="00C858FA">
        <w:rPr>
          <w:rFonts w:ascii="Georgia" w:hAnsi="Georgia" w:cs="Arial"/>
          <w:w w:val="140"/>
          <w:sz w:val="14"/>
          <w:szCs w:val="16"/>
        </w:rPr>
        <w:t xml:space="preserve"> </w:t>
      </w:r>
      <w:r w:rsidRPr="00C858FA">
        <w:rPr>
          <w:rFonts w:ascii="Georgia" w:hAnsi="Georgia" w:cs="Arial"/>
          <w:w w:val="140"/>
          <w:sz w:val="14"/>
          <w:szCs w:val="16"/>
        </w:rPr>
        <w:t>N</w:t>
      </w:r>
      <w:r w:rsidR="00B30904" w:rsidRPr="00C858FA">
        <w:rPr>
          <w:rFonts w:ascii="Georgia" w:hAnsi="Georgia" w:cs="Arial"/>
          <w:w w:val="140"/>
          <w:sz w:val="14"/>
          <w:szCs w:val="16"/>
        </w:rPr>
        <w:t xml:space="preserve"> </w:t>
      </w:r>
      <w:r w:rsidRPr="00C858FA">
        <w:rPr>
          <w:rFonts w:ascii="Georgia" w:hAnsi="Georgia" w:cs="Arial"/>
          <w:w w:val="140"/>
          <w:sz w:val="14"/>
          <w:szCs w:val="16"/>
        </w:rPr>
        <w:t>T</w:t>
      </w:r>
      <w:r w:rsidR="00B30904" w:rsidRPr="00C858FA">
        <w:rPr>
          <w:rFonts w:ascii="Georgia" w:hAnsi="Georgia" w:cs="Arial"/>
          <w:w w:val="140"/>
          <w:sz w:val="14"/>
          <w:szCs w:val="16"/>
        </w:rPr>
        <w:t xml:space="preserve"> </w:t>
      </w:r>
      <w:r w:rsidRPr="00C858FA">
        <w:rPr>
          <w:rFonts w:ascii="Georgia" w:hAnsi="Georgia" w:cs="Arial"/>
          <w:w w:val="140"/>
          <w:sz w:val="14"/>
          <w:szCs w:val="16"/>
        </w:rPr>
        <w:t xml:space="preserve">O </w:t>
      </w:r>
      <w:r w:rsidR="00B30904" w:rsidRPr="00C858FA">
        <w:rPr>
          <w:rFonts w:ascii="Georgia" w:hAnsi="Georgia" w:cs="Arial"/>
          <w:w w:val="140"/>
          <w:sz w:val="14"/>
          <w:szCs w:val="16"/>
        </w:rPr>
        <w:t xml:space="preserve">  </w:t>
      </w:r>
      <w:r w:rsidRPr="00C858FA">
        <w:rPr>
          <w:rFonts w:ascii="Georgia" w:hAnsi="Georgia" w:cs="Arial"/>
          <w:w w:val="140"/>
          <w:sz w:val="14"/>
          <w:szCs w:val="16"/>
        </w:rPr>
        <w:t>D</w:t>
      </w:r>
      <w:r w:rsidR="00B30904" w:rsidRPr="00C858FA">
        <w:rPr>
          <w:rFonts w:ascii="Georgia" w:hAnsi="Georgia" w:cs="Arial"/>
          <w:w w:val="140"/>
          <w:sz w:val="14"/>
          <w:szCs w:val="16"/>
        </w:rPr>
        <w:t xml:space="preserve"> </w:t>
      </w:r>
      <w:r w:rsidRPr="00C858FA">
        <w:rPr>
          <w:rFonts w:ascii="Georgia" w:hAnsi="Georgia" w:cs="Arial"/>
          <w:w w:val="140"/>
          <w:sz w:val="14"/>
          <w:szCs w:val="16"/>
        </w:rPr>
        <w:t>E</w:t>
      </w:r>
      <w:r w:rsidR="00B30904" w:rsidRPr="00C858FA">
        <w:rPr>
          <w:rFonts w:ascii="Georgia" w:hAnsi="Georgia" w:cs="Arial"/>
          <w:w w:val="140"/>
          <w:sz w:val="14"/>
          <w:szCs w:val="16"/>
        </w:rPr>
        <w:t xml:space="preserve"> </w:t>
      </w:r>
      <w:r w:rsidRPr="00C858FA">
        <w:rPr>
          <w:rFonts w:ascii="Georgia" w:hAnsi="Georgia" w:cs="Arial"/>
          <w:w w:val="140"/>
          <w:sz w:val="14"/>
          <w:szCs w:val="16"/>
        </w:rPr>
        <w:t>L</w:t>
      </w:r>
      <w:r w:rsidR="00B30904" w:rsidRPr="00C858FA">
        <w:rPr>
          <w:rFonts w:ascii="Georgia" w:hAnsi="Georgia" w:cs="Arial"/>
          <w:w w:val="140"/>
          <w:sz w:val="14"/>
          <w:szCs w:val="16"/>
        </w:rPr>
        <w:t xml:space="preserve"> </w:t>
      </w:r>
      <w:r w:rsidRPr="00C858FA">
        <w:rPr>
          <w:rFonts w:ascii="Georgia" w:hAnsi="Georgia" w:cs="Arial"/>
          <w:w w:val="140"/>
          <w:sz w:val="12"/>
          <w:szCs w:val="14"/>
        </w:rPr>
        <w:t xml:space="preserve"> </w:t>
      </w:r>
      <w:r w:rsidR="00B30904" w:rsidRPr="00C858FA">
        <w:rPr>
          <w:rFonts w:ascii="Georgia" w:hAnsi="Georgia" w:cs="Arial"/>
          <w:w w:val="140"/>
          <w:sz w:val="12"/>
          <w:szCs w:val="14"/>
        </w:rPr>
        <w:t xml:space="preserve">  </w:t>
      </w:r>
      <w:r w:rsidRPr="00C858FA">
        <w:rPr>
          <w:rFonts w:ascii="Georgia" w:hAnsi="Georgia" w:cs="Arial"/>
          <w:w w:val="140"/>
          <w:sz w:val="16"/>
          <w:szCs w:val="16"/>
        </w:rPr>
        <w:t>R</w:t>
      </w:r>
      <w:r w:rsidR="00B30904" w:rsidRPr="00C858FA">
        <w:rPr>
          <w:rFonts w:ascii="Georgia" w:hAnsi="Georgia" w:cs="Arial"/>
          <w:w w:val="140"/>
          <w:sz w:val="16"/>
          <w:szCs w:val="16"/>
        </w:rPr>
        <w:t xml:space="preserve"> </w:t>
      </w:r>
      <w:r w:rsidRPr="00C858FA">
        <w:rPr>
          <w:rFonts w:ascii="Georgia" w:hAnsi="Georgia" w:cs="Arial"/>
          <w:w w:val="140"/>
          <w:sz w:val="14"/>
          <w:szCs w:val="16"/>
        </w:rPr>
        <w:t>I</w:t>
      </w:r>
      <w:r w:rsidR="00B30904" w:rsidRPr="00C858FA">
        <w:rPr>
          <w:rFonts w:ascii="Georgia" w:hAnsi="Georgia" w:cs="Arial"/>
          <w:w w:val="140"/>
          <w:sz w:val="14"/>
          <w:szCs w:val="16"/>
        </w:rPr>
        <w:t xml:space="preserve"> </w:t>
      </w:r>
      <w:r w:rsidRPr="00C858FA">
        <w:rPr>
          <w:rFonts w:ascii="Georgia" w:hAnsi="Georgia" w:cs="Arial"/>
          <w:w w:val="140"/>
          <w:sz w:val="14"/>
          <w:szCs w:val="16"/>
        </w:rPr>
        <w:t>S</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30904" w:rsidRPr="00C858FA">
        <w:rPr>
          <w:rFonts w:ascii="Georgia" w:hAnsi="Georgia" w:cs="Arial"/>
          <w:w w:val="140"/>
          <w:sz w:val="14"/>
          <w:szCs w:val="16"/>
        </w:rPr>
        <w:t xml:space="preserve"> </w:t>
      </w:r>
      <w:r w:rsidRPr="00C858FA">
        <w:rPr>
          <w:rFonts w:ascii="Georgia" w:hAnsi="Georgia" w:cs="Arial"/>
          <w:w w:val="140"/>
          <w:sz w:val="14"/>
          <w:szCs w:val="16"/>
        </w:rPr>
        <w:t>R</w:t>
      </w:r>
      <w:r w:rsidR="00B30904" w:rsidRPr="00C858FA">
        <w:rPr>
          <w:rFonts w:ascii="Georgia" w:hAnsi="Georgia" w:cs="Arial"/>
          <w:w w:val="140"/>
          <w:sz w:val="14"/>
          <w:szCs w:val="16"/>
        </w:rPr>
        <w:t xml:space="preserve"> </w:t>
      </w:r>
      <w:r w:rsidRPr="00C858FA">
        <w:rPr>
          <w:rFonts w:ascii="Georgia" w:hAnsi="Georgia" w:cs="Arial"/>
          <w:w w:val="140"/>
          <w:sz w:val="14"/>
          <w:szCs w:val="16"/>
        </w:rPr>
        <w:t>A</w:t>
      </w:r>
      <w:r w:rsidR="00B30904" w:rsidRPr="00C858FA">
        <w:rPr>
          <w:rFonts w:ascii="Georgia" w:hAnsi="Georgia" w:cs="Arial"/>
          <w:w w:val="140"/>
          <w:sz w:val="14"/>
          <w:szCs w:val="16"/>
        </w:rPr>
        <w:t xml:space="preserve"> </w:t>
      </w:r>
      <w:r w:rsidRPr="00C858FA">
        <w:rPr>
          <w:rFonts w:ascii="Georgia" w:hAnsi="Georgia" w:cs="Arial"/>
          <w:w w:val="140"/>
          <w:sz w:val="14"/>
          <w:szCs w:val="16"/>
        </w:rPr>
        <w:t>L</w:t>
      </w:r>
      <w:r w:rsidR="00B30904" w:rsidRPr="00C858FA">
        <w:rPr>
          <w:rFonts w:ascii="Georgia" w:hAnsi="Georgia" w:cs="Arial"/>
          <w:w w:val="140"/>
          <w:sz w:val="14"/>
          <w:szCs w:val="16"/>
        </w:rPr>
        <w:t xml:space="preserve"> </w:t>
      </w:r>
      <w:r w:rsidRPr="00C858FA">
        <w:rPr>
          <w:rFonts w:ascii="Georgia" w:hAnsi="Georgia" w:cs="Arial"/>
          <w:w w:val="140"/>
          <w:sz w:val="14"/>
          <w:szCs w:val="16"/>
        </w:rPr>
        <w:t>D</w:t>
      </w:r>
      <w:r w:rsidR="00B30904" w:rsidRPr="00C858FA">
        <w:rPr>
          <w:rFonts w:ascii="Georgia" w:hAnsi="Georgia" w:cs="Arial"/>
          <w:w w:val="140"/>
          <w:sz w:val="14"/>
          <w:szCs w:val="16"/>
        </w:rPr>
        <w:t xml:space="preserve"> </w:t>
      </w:r>
      <w:r w:rsidRPr="00C858FA">
        <w:rPr>
          <w:rFonts w:ascii="Georgia" w:hAnsi="Georgia" w:cs="Arial"/>
          <w:w w:val="140"/>
          <w:sz w:val="14"/>
          <w:szCs w:val="16"/>
        </w:rPr>
        <w:t>A</w:t>
      </w:r>
    </w:p>
    <w:p w:rsidR="00AC5058" w:rsidRPr="00C858FA" w:rsidRDefault="00AC5058" w:rsidP="00AC5058">
      <w:pPr>
        <w:spacing w:line="360" w:lineRule="auto"/>
        <w:jc w:val="center"/>
        <w:rPr>
          <w:rFonts w:ascii="Georgia" w:hAnsi="Georgia" w:cs="Arial"/>
          <w:b/>
          <w:bCs/>
          <w:sz w:val="22"/>
          <w:szCs w:val="22"/>
        </w:rPr>
      </w:pPr>
    </w:p>
    <w:p w:rsidR="00AC5058" w:rsidRPr="00C858FA" w:rsidRDefault="00AC5058" w:rsidP="00FE5476">
      <w:pPr>
        <w:pStyle w:val="Corpsdetexte"/>
        <w:spacing w:line="360" w:lineRule="auto"/>
        <w:ind w:left="708" w:firstLine="708"/>
        <w:rPr>
          <w:rFonts w:ascii="Georgia" w:hAnsi="Georgia" w:cs="Arial"/>
          <w:szCs w:val="22"/>
        </w:rPr>
      </w:pPr>
      <w:r w:rsidRPr="00C858FA">
        <w:rPr>
          <w:rFonts w:ascii="Georgia" w:hAnsi="Georgia" w:cs="Arial"/>
          <w:szCs w:val="22"/>
        </w:rPr>
        <w:t>Asunto</w:t>
      </w:r>
      <w:r w:rsidRPr="00C858FA">
        <w:rPr>
          <w:rFonts w:ascii="Georgia" w:hAnsi="Georgia" w:cs="Arial"/>
          <w:szCs w:val="22"/>
        </w:rPr>
        <w:tab/>
      </w:r>
      <w:r w:rsidR="00AF5080" w:rsidRPr="00C858FA">
        <w:rPr>
          <w:rFonts w:ascii="Georgia" w:hAnsi="Georgia" w:cs="Arial"/>
          <w:szCs w:val="22"/>
        </w:rPr>
        <w:tab/>
      </w:r>
      <w:r w:rsidRPr="00C858FA">
        <w:rPr>
          <w:rFonts w:ascii="Georgia" w:hAnsi="Georgia" w:cs="Arial"/>
          <w:szCs w:val="22"/>
        </w:rPr>
        <w:tab/>
      </w:r>
      <w:r w:rsidRPr="00C858FA">
        <w:rPr>
          <w:rFonts w:ascii="Georgia" w:hAnsi="Georgia" w:cs="Arial"/>
          <w:szCs w:val="22"/>
        </w:rPr>
        <w:tab/>
        <w:t xml:space="preserve">: </w:t>
      </w:r>
      <w:r w:rsidR="00714652" w:rsidRPr="00C858FA">
        <w:rPr>
          <w:rFonts w:ascii="Georgia" w:hAnsi="Georgia" w:cs="Arial"/>
          <w:szCs w:val="22"/>
        </w:rPr>
        <w:t>A</w:t>
      </w:r>
      <w:r w:rsidR="00B506FA" w:rsidRPr="00C858FA">
        <w:rPr>
          <w:rFonts w:ascii="Georgia" w:hAnsi="Georgia" w:cs="Arial"/>
          <w:szCs w:val="22"/>
        </w:rPr>
        <w:t xml:space="preserve">pelación </w:t>
      </w:r>
      <w:r w:rsidR="00714652" w:rsidRPr="00C858FA">
        <w:rPr>
          <w:rFonts w:ascii="Georgia" w:hAnsi="Georgia" w:cs="Arial"/>
          <w:szCs w:val="22"/>
        </w:rPr>
        <w:t xml:space="preserve">de </w:t>
      </w:r>
      <w:r w:rsidR="007D3015" w:rsidRPr="00C858FA">
        <w:rPr>
          <w:rFonts w:ascii="Georgia" w:hAnsi="Georgia" w:cs="Arial"/>
          <w:szCs w:val="22"/>
        </w:rPr>
        <w:t xml:space="preserve">auto </w:t>
      </w:r>
      <w:r w:rsidR="00B506FA" w:rsidRPr="00C858FA">
        <w:rPr>
          <w:rFonts w:ascii="Georgia" w:hAnsi="Georgia" w:cs="Arial"/>
          <w:szCs w:val="22"/>
        </w:rPr>
        <w:t>interlocutorio</w:t>
      </w:r>
    </w:p>
    <w:p w:rsidR="00D811AA" w:rsidRPr="00C858FA" w:rsidRDefault="00D811AA" w:rsidP="00FE5476">
      <w:pPr>
        <w:pStyle w:val="Corpsdetexte"/>
        <w:spacing w:line="360" w:lineRule="auto"/>
        <w:ind w:left="708"/>
        <w:rPr>
          <w:rFonts w:ascii="Georgia" w:hAnsi="Georgia" w:cs="Arial"/>
          <w:szCs w:val="22"/>
        </w:rPr>
      </w:pPr>
      <w:r w:rsidRPr="00C858FA">
        <w:rPr>
          <w:rFonts w:ascii="Georgia" w:hAnsi="Georgia" w:cs="Arial"/>
          <w:szCs w:val="22"/>
        </w:rPr>
        <w:tab/>
        <w:t>Tipo de proceso</w:t>
      </w:r>
      <w:r w:rsidRPr="00C858FA">
        <w:rPr>
          <w:rFonts w:ascii="Georgia" w:hAnsi="Georgia" w:cs="Arial"/>
          <w:szCs w:val="22"/>
        </w:rPr>
        <w:tab/>
      </w:r>
      <w:r w:rsidRPr="00C858FA">
        <w:rPr>
          <w:rFonts w:ascii="Georgia" w:hAnsi="Georgia" w:cs="Arial"/>
          <w:szCs w:val="22"/>
        </w:rPr>
        <w:tab/>
        <w:t xml:space="preserve">: </w:t>
      </w:r>
      <w:r w:rsidR="00DA56B3" w:rsidRPr="00C858FA">
        <w:rPr>
          <w:rFonts w:ascii="Georgia" w:hAnsi="Georgia" w:cs="Arial"/>
          <w:szCs w:val="22"/>
        </w:rPr>
        <w:t xml:space="preserve">Verbal – </w:t>
      </w:r>
      <w:r w:rsidR="00C858FA">
        <w:rPr>
          <w:rFonts w:ascii="Georgia" w:hAnsi="Georgia" w:cs="Arial"/>
          <w:szCs w:val="22"/>
        </w:rPr>
        <w:t>Pertenencia</w:t>
      </w:r>
    </w:p>
    <w:p w:rsidR="00D811AA" w:rsidRPr="00C858FA" w:rsidRDefault="00D811AA" w:rsidP="00FE5476">
      <w:pPr>
        <w:pStyle w:val="Corpsdetexte"/>
        <w:spacing w:line="360" w:lineRule="auto"/>
        <w:ind w:left="708"/>
        <w:rPr>
          <w:rFonts w:ascii="Georgia" w:hAnsi="Georgia" w:cs="Arial"/>
          <w:szCs w:val="22"/>
        </w:rPr>
      </w:pPr>
      <w:r w:rsidRPr="00C858FA">
        <w:rPr>
          <w:rFonts w:ascii="Georgia" w:hAnsi="Georgia" w:cs="Arial"/>
          <w:szCs w:val="22"/>
        </w:rPr>
        <w:tab/>
      </w:r>
      <w:r w:rsidR="00DA56B3" w:rsidRPr="00C858FA">
        <w:rPr>
          <w:rFonts w:ascii="Georgia" w:hAnsi="Georgia" w:cs="Arial"/>
          <w:szCs w:val="22"/>
        </w:rPr>
        <w:t>Demandante (s)</w:t>
      </w:r>
      <w:r w:rsidRPr="00C858FA">
        <w:rPr>
          <w:rFonts w:ascii="Georgia" w:hAnsi="Georgia" w:cs="Arial"/>
          <w:szCs w:val="22"/>
        </w:rPr>
        <w:tab/>
      </w:r>
      <w:r w:rsidRPr="00C858FA">
        <w:rPr>
          <w:rFonts w:ascii="Georgia" w:hAnsi="Georgia" w:cs="Arial"/>
          <w:szCs w:val="22"/>
        </w:rPr>
        <w:tab/>
        <w:t xml:space="preserve">: </w:t>
      </w:r>
      <w:r w:rsidR="00C858FA">
        <w:rPr>
          <w:rFonts w:ascii="Georgia" w:hAnsi="Georgia" w:cs="Arial"/>
          <w:szCs w:val="22"/>
        </w:rPr>
        <w:t xml:space="preserve">Juan Carlos González Giraldo </w:t>
      </w:r>
    </w:p>
    <w:p w:rsidR="00D811AA" w:rsidRPr="00C858FA" w:rsidRDefault="00DA56B3" w:rsidP="00FE5476">
      <w:pPr>
        <w:spacing w:line="360" w:lineRule="auto"/>
        <w:ind w:left="708" w:firstLine="708"/>
        <w:rPr>
          <w:rFonts w:ascii="Georgia" w:hAnsi="Georgia" w:cs="Arial"/>
          <w:sz w:val="18"/>
          <w:szCs w:val="18"/>
        </w:rPr>
      </w:pPr>
      <w:r w:rsidRPr="00C858FA">
        <w:rPr>
          <w:rFonts w:ascii="Georgia" w:hAnsi="Georgia" w:cs="Arial"/>
          <w:sz w:val="22"/>
          <w:szCs w:val="22"/>
        </w:rPr>
        <w:t>Demandado (s)</w:t>
      </w:r>
      <w:r w:rsidR="00D811AA" w:rsidRPr="00C858FA">
        <w:rPr>
          <w:rFonts w:ascii="Georgia" w:hAnsi="Georgia" w:cs="Arial"/>
          <w:sz w:val="22"/>
          <w:szCs w:val="22"/>
        </w:rPr>
        <w:tab/>
      </w:r>
      <w:r w:rsidR="00D811AA" w:rsidRPr="00C858FA">
        <w:rPr>
          <w:rFonts w:ascii="Georgia" w:hAnsi="Georgia" w:cs="Arial"/>
          <w:sz w:val="22"/>
          <w:szCs w:val="22"/>
        </w:rPr>
        <w:tab/>
        <w:t xml:space="preserve">: </w:t>
      </w:r>
      <w:r w:rsidR="00C858FA">
        <w:rPr>
          <w:rFonts w:ascii="Georgia" w:hAnsi="Georgia" w:cs="Arial"/>
          <w:sz w:val="22"/>
          <w:szCs w:val="22"/>
        </w:rPr>
        <w:t xml:space="preserve">Catherine Albarracín </w:t>
      </w:r>
      <w:proofErr w:type="spellStart"/>
      <w:r w:rsidR="00C858FA">
        <w:rPr>
          <w:rFonts w:ascii="Georgia" w:hAnsi="Georgia" w:cs="Arial"/>
          <w:sz w:val="22"/>
          <w:szCs w:val="22"/>
        </w:rPr>
        <w:t>Bañol</w:t>
      </w:r>
      <w:proofErr w:type="spellEnd"/>
      <w:r w:rsidR="00C858FA">
        <w:rPr>
          <w:rFonts w:ascii="Georgia" w:hAnsi="Georgia" w:cs="Arial"/>
          <w:sz w:val="22"/>
          <w:szCs w:val="22"/>
        </w:rPr>
        <w:t xml:space="preserve"> y otros</w:t>
      </w:r>
    </w:p>
    <w:p w:rsidR="00D811AA" w:rsidRPr="00C858FA" w:rsidRDefault="00D811AA" w:rsidP="00FE5476">
      <w:pPr>
        <w:spacing w:line="360" w:lineRule="auto"/>
        <w:ind w:left="708" w:firstLine="708"/>
        <w:rPr>
          <w:rFonts w:ascii="Georgia" w:hAnsi="Georgia" w:cs="Arial"/>
          <w:sz w:val="22"/>
          <w:szCs w:val="22"/>
        </w:rPr>
      </w:pPr>
      <w:r w:rsidRPr="00C858FA">
        <w:rPr>
          <w:rFonts w:ascii="Georgia" w:hAnsi="Georgia" w:cs="Arial"/>
          <w:sz w:val="22"/>
          <w:szCs w:val="22"/>
        </w:rPr>
        <w:t xml:space="preserve">Procedencia </w:t>
      </w:r>
      <w:r w:rsidRPr="00C858FA">
        <w:rPr>
          <w:rFonts w:ascii="Georgia" w:hAnsi="Georgia" w:cs="Arial"/>
          <w:sz w:val="22"/>
          <w:szCs w:val="22"/>
        </w:rPr>
        <w:tab/>
      </w:r>
      <w:r w:rsidRPr="00C858FA">
        <w:rPr>
          <w:rFonts w:ascii="Georgia" w:hAnsi="Georgia" w:cs="Arial"/>
          <w:sz w:val="22"/>
          <w:szCs w:val="22"/>
        </w:rPr>
        <w:tab/>
      </w:r>
      <w:r w:rsidRPr="00C858FA">
        <w:rPr>
          <w:rFonts w:ascii="Georgia" w:hAnsi="Georgia" w:cs="Arial"/>
          <w:sz w:val="22"/>
          <w:szCs w:val="22"/>
        </w:rPr>
        <w:tab/>
        <w:t xml:space="preserve">: Juzgado Civil del Circuito de </w:t>
      </w:r>
      <w:r w:rsidR="00C858FA">
        <w:rPr>
          <w:rFonts w:ascii="Georgia" w:hAnsi="Georgia" w:cs="Arial"/>
          <w:sz w:val="22"/>
          <w:szCs w:val="22"/>
        </w:rPr>
        <w:t>Dosquebradas</w:t>
      </w:r>
    </w:p>
    <w:p w:rsidR="00D811AA" w:rsidRPr="00C858FA" w:rsidRDefault="00D811AA" w:rsidP="00FE5476">
      <w:pPr>
        <w:spacing w:line="360" w:lineRule="auto"/>
        <w:ind w:left="708" w:firstLine="708"/>
        <w:rPr>
          <w:rFonts w:ascii="Georgia" w:hAnsi="Georgia" w:cs="Arial"/>
          <w:sz w:val="22"/>
          <w:szCs w:val="22"/>
        </w:rPr>
      </w:pPr>
      <w:r w:rsidRPr="00C858FA">
        <w:rPr>
          <w:rFonts w:ascii="Georgia" w:hAnsi="Georgia" w:cs="Arial"/>
          <w:sz w:val="22"/>
          <w:szCs w:val="22"/>
        </w:rPr>
        <w:t>Radicación</w:t>
      </w:r>
      <w:r w:rsidRPr="00C858FA">
        <w:rPr>
          <w:rFonts w:ascii="Georgia" w:hAnsi="Georgia" w:cs="Arial"/>
          <w:sz w:val="22"/>
          <w:szCs w:val="22"/>
        </w:rPr>
        <w:tab/>
      </w:r>
      <w:r w:rsidRPr="00C858FA">
        <w:rPr>
          <w:rFonts w:ascii="Georgia" w:hAnsi="Georgia" w:cs="Arial"/>
          <w:sz w:val="22"/>
          <w:szCs w:val="22"/>
        </w:rPr>
        <w:tab/>
      </w:r>
      <w:r w:rsidRPr="00C858FA">
        <w:rPr>
          <w:rFonts w:ascii="Georgia" w:hAnsi="Georgia" w:cs="Arial"/>
          <w:sz w:val="22"/>
          <w:szCs w:val="22"/>
        </w:rPr>
        <w:tab/>
        <w:t xml:space="preserve">: </w:t>
      </w:r>
      <w:r w:rsidR="00C858FA">
        <w:rPr>
          <w:rFonts w:ascii="Georgia" w:hAnsi="Georgia" w:cs="Arial"/>
          <w:sz w:val="22"/>
          <w:szCs w:val="22"/>
        </w:rPr>
        <w:t>2017-00056-01</w:t>
      </w:r>
    </w:p>
    <w:p w:rsidR="00AF385C" w:rsidRPr="00C858FA" w:rsidRDefault="00AF5080" w:rsidP="00FE5476">
      <w:pPr>
        <w:spacing w:line="360" w:lineRule="auto"/>
        <w:ind w:left="708"/>
        <w:jc w:val="both"/>
        <w:rPr>
          <w:rFonts w:ascii="Georgia" w:hAnsi="Georgia" w:cs="Arial"/>
          <w:sz w:val="22"/>
          <w:szCs w:val="22"/>
        </w:rPr>
      </w:pPr>
      <w:r w:rsidRPr="00C858FA">
        <w:rPr>
          <w:rFonts w:ascii="Georgia" w:hAnsi="Georgia"/>
          <w:sz w:val="22"/>
          <w:szCs w:val="22"/>
        </w:rPr>
        <w:tab/>
      </w:r>
      <w:r w:rsidR="00AF385C" w:rsidRPr="00C858FA">
        <w:rPr>
          <w:rFonts w:ascii="Georgia" w:hAnsi="Georgia" w:cs="Arial"/>
          <w:sz w:val="22"/>
          <w:szCs w:val="22"/>
        </w:rPr>
        <w:t>Tema</w:t>
      </w:r>
      <w:r w:rsidR="00153450" w:rsidRPr="00C858FA">
        <w:rPr>
          <w:rFonts w:ascii="Georgia" w:hAnsi="Georgia" w:cs="Arial"/>
          <w:sz w:val="22"/>
          <w:szCs w:val="22"/>
        </w:rPr>
        <w:t>s</w:t>
      </w:r>
      <w:r w:rsidR="00AF385C" w:rsidRPr="00C858FA">
        <w:rPr>
          <w:rFonts w:ascii="Georgia" w:hAnsi="Georgia" w:cs="Arial"/>
          <w:sz w:val="22"/>
          <w:szCs w:val="22"/>
        </w:rPr>
        <w:tab/>
      </w:r>
      <w:r w:rsidR="00AF385C" w:rsidRPr="00C858FA">
        <w:rPr>
          <w:rFonts w:ascii="Georgia" w:hAnsi="Georgia" w:cs="Arial"/>
          <w:sz w:val="22"/>
          <w:szCs w:val="22"/>
        </w:rPr>
        <w:tab/>
      </w:r>
      <w:r w:rsidRPr="00C858FA">
        <w:rPr>
          <w:rFonts w:ascii="Georgia" w:hAnsi="Georgia" w:cs="Arial"/>
          <w:sz w:val="22"/>
          <w:szCs w:val="22"/>
        </w:rPr>
        <w:tab/>
      </w:r>
      <w:r w:rsidR="00AF385C" w:rsidRPr="00C858FA">
        <w:rPr>
          <w:rFonts w:ascii="Georgia" w:hAnsi="Georgia" w:cs="Arial"/>
          <w:sz w:val="22"/>
          <w:szCs w:val="22"/>
        </w:rPr>
        <w:tab/>
        <w:t xml:space="preserve">: </w:t>
      </w:r>
      <w:r w:rsidR="00442EE2" w:rsidRPr="00C858FA">
        <w:rPr>
          <w:rFonts w:ascii="Georgia" w:hAnsi="Georgia" w:cs="Arial"/>
          <w:sz w:val="22"/>
          <w:szCs w:val="22"/>
        </w:rPr>
        <w:t>Causales de inadmisión</w:t>
      </w:r>
      <w:r w:rsidR="00C858FA">
        <w:rPr>
          <w:rFonts w:ascii="Georgia" w:hAnsi="Georgia" w:cs="Arial"/>
          <w:sz w:val="22"/>
          <w:szCs w:val="22"/>
        </w:rPr>
        <w:t xml:space="preserve"> – Factor de competencia</w:t>
      </w:r>
    </w:p>
    <w:p w:rsidR="00AC5058" w:rsidRPr="00C858FA" w:rsidRDefault="00F30001" w:rsidP="00FE5476">
      <w:pPr>
        <w:spacing w:line="360" w:lineRule="auto"/>
        <w:ind w:left="708" w:firstLine="708"/>
        <w:rPr>
          <w:rFonts w:ascii="Georgia" w:hAnsi="Georgia" w:cs="Arial"/>
          <w:sz w:val="22"/>
          <w:szCs w:val="22"/>
        </w:rPr>
      </w:pPr>
      <w:proofErr w:type="spellStart"/>
      <w:r w:rsidRPr="00C858FA">
        <w:rPr>
          <w:rFonts w:ascii="Georgia" w:hAnsi="Georgia" w:cs="Arial"/>
          <w:sz w:val="22"/>
          <w:szCs w:val="22"/>
        </w:rPr>
        <w:t>Mag</w:t>
      </w:r>
      <w:proofErr w:type="spellEnd"/>
      <w:r w:rsidRPr="00C858FA">
        <w:rPr>
          <w:rFonts w:ascii="Georgia" w:hAnsi="Georgia" w:cs="Arial"/>
          <w:sz w:val="22"/>
          <w:szCs w:val="22"/>
        </w:rPr>
        <w:t>. S</w:t>
      </w:r>
      <w:r w:rsidR="00AC5058" w:rsidRPr="00C858FA">
        <w:rPr>
          <w:rFonts w:ascii="Georgia" w:hAnsi="Georgia" w:cs="Arial"/>
          <w:sz w:val="22"/>
          <w:szCs w:val="22"/>
        </w:rPr>
        <w:t>ustanciador</w:t>
      </w:r>
      <w:r w:rsidR="00AC5058" w:rsidRPr="00C858FA">
        <w:rPr>
          <w:rFonts w:ascii="Georgia" w:hAnsi="Georgia" w:cs="Arial"/>
          <w:sz w:val="22"/>
          <w:szCs w:val="22"/>
        </w:rPr>
        <w:tab/>
      </w:r>
      <w:r w:rsidR="00AF5080" w:rsidRPr="00C858FA">
        <w:rPr>
          <w:rFonts w:ascii="Georgia" w:hAnsi="Georgia" w:cs="Arial"/>
          <w:sz w:val="22"/>
          <w:szCs w:val="22"/>
        </w:rPr>
        <w:tab/>
      </w:r>
      <w:r w:rsidR="00AC5058" w:rsidRPr="00C858FA">
        <w:rPr>
          <w:rFonts w:ascii="Georgia" w:hAnsi="Georgia" w:cs="Arial"/>
          <w:sz w:val="22"/>
          <w:szCs w:val="22"/>
        </w:rPr>
        <w:t xml:space="preserve">: </w:t>
      </w:r>
      <w:proofErr w:type="spellStart"/>
      <w:r w:rsidR="00AC5058" w:rsidRPr="00C858FA">
        <w:rPr>
          <w:rFonts w:ascii="Georgia" w:hAnsi="Georgia" w:cs="Arial"/>
          <w:smallCaps/>
          <w:sz w:val="22"/>
          <w:szCs w:val="22"/>
        </w:rPr>
        <w:t>Duberney</w:t>
      </w:r>
      <w:proofErr w:type="spellEnd"/>
      <w:r w:rsidR="00AC5058" w:rsidRPr="00C858FA">
        <w:rPr>
          <w:rFonts w:ascii="Georgia" w:hAnsi="Georgia" w:cs="Arial"/>
          <w:smallCaps/>
          <w:sz w:val="22"/>
          <w:szCs w:val="22"/>
        </w:rPr>
        <w:t xml:space="preserve"> Grisales Herrera</w:t>
      </w:r>
    </w:p>
    <w:p w:rsidR="00AC5058" w:rsidRPr="00C858FA" w:rsidRDefault="00AC5058" w:rsidP="00AC5058">
      <w:pPr>
        <w:pStyle w:val="Titre"/>
        <w:pBdr>
          <w:bottom w:val="double" w:sz="6" w:space="1" w:color="auto"/>
        </w:pBdr>
        <w:spacing w:line="360" w:lineRule="auto"/>
        <w:rPr>
          <w:rFonts w:ascii="Georgia" w:hAnsi="Georgia"/>
          <w:b w:val="0"/>
          <w:bCs w:val="0"/>
          <w:i w:val="0"/>
          <w:iCs w:val="0"/>
          <w:spacing w:val="-3"/>
        </w:rPr>
      </w:pPr>
    </w:p>
    <w:p w:rsidR="00DA52A9" w:rsidRPr="00C858FA" w:rsidRDefault="00DA52A9" w:rsidP="00AC5058">
      <w:pPr>
        <w:pStyle w:val="Titre"/>
        <w:spacing w:line="360" w:lineRule="auto"/>
        <w:rPr>
          <w:rFonts w:ascii="Georgia" w:hAnsi="Georgia"/>
          <w:b w:val="0"/>
          <w:bCs w:val="0"/>
          <w:i w:val="0"/>
          <w:iCs w:val="0"/>
          <w:spacing w:val="-3"/>
        </w:rPr>
      </w:pPr>
    </w:p>
    <w:p w:rsidR="00AC5058" w:rsidRPr="00C858FA" w:rsidRDefault="00715B01" w:rsidP="00AC5058">
      <w:pPr>
        <w:pStyle w:val="Titre"/>
        <w:spacing w:line="360" w:lineRule="auto"/>
        <w:rPr>
          <w:rFonts w:ascii="Georgia" w:hAnsi="Georgia"/>
          <w:b w:val="0"/>
          <w:bCs w:val="0"/>
          <w:i w:val="0"/>
          <w:spacing w:val="-3"/>
        </w:rPr>
      </w:pPr>
      <w:r w:rsidRPr="00C858FA">
        <w:rPr>
          <w:rFonts w:ascii="Georgia" w:hAnsi="Georgia"/>
          <w:b w:val="0"/>
          <w:bCs w:val="0"/>
          <w:i w:val="0"/>
          <w:smallCaps/>
          <w:spacing w:val="-3"/>
          <w:sz w:val="28"/>
        </w:rPr>
        <w:t xml:space="preserve">Pereira, R., </w:t>
      </w:r>
      <w:r w:rsidR="00E3584D">
        <w:rPr>
          <w:rFonts w:ascii="Georgia" w:hAnsi="Georgia"/>
          <w:b w:val="0"/>
          <w:bCs w:val="0"/>
          <w:i w:val="0"/>
          <w:smallCaps/>
          <w:spacing w:val="-3"/>
          <w:sz w:val="28"/>
        </w:rPr>
        <w:t>tres</w:t>
      </w:r>
      <w:r w:rsidR="00C858FA">
        <w:rPr>
          <w:rFonts w:ascii="Georgia" w:hAnsi="Georgia"/>
          <w:b w:val="0"/>
          <w:bCs w:val="0"/>
          <w:i w:val="0"/>
          <w:smallCaps/>
          <w:spacing w:val="-3"/>
          <w:sz w:val="28"/>
        </w:rPr>
        <w:t xml:space="preserve"> </w:t>
      </w:r>
      <w:r w:rsidR="005C5B79" w:rsidRPr="00C858FA">
        <w:rPr>
          <w:rFonts w:ascii="Georgia" w:hAnsi="Georgia"/>
          <w:b w:val="0"/>
          <w:bCs w:val="0"/>
          <w:i w:val="0"/>
          <w:smallCaps/>
          <w:spacing w:val="-3"/>
          <w:sz w:val="28"/>
        </w:rPr>
        <w:t>(</w:t>
      </w:r>
      <w:r w:rsidR="00E3584D">
        <w:rPr>
          <w:rFonts w:ascii="Georgia" w:hAnsi="Georgia"/>
          <w:b w:val="0"/>
          <w:bCs w:val="0"/>
          <w:i w:val="0"/>
          <w:smallCaps/>
          <w:spacing w:val="-3"/>
          <w:sz w:val="28"/>
        </w:rPr>
        <w:t>3</w:t>
      </w:r>
      <w:r w:rsidR="005C5B79" w:rsidRPr="00C858FA">
        <w:rPr>
          <w:rFonts w:ascii="Georgia" w:hAnsi="Georgia"/>
          <w:b w:val="0"/>
          <w:bCs w:val="0"/>
          <w:i w:val="0"/>
          <w:smallCaps/>
          <w:spacing w:val="-3"/>
          <w:sz w:val="28"/>
        </w:rPr>
        <w:t>)</w:t>
      </w:r>
      <w:r w:rsidR="00AC5058" w:rsidRPr="00C858FA">
        <w:rPr>
          <w:rFonts w:ascii="Georgia" w:hAnsi="Georgia"/>
          <w:b w:val="0"/>
          <w:bCs w:val="0"/>
          <w:i w:val="0"/>
          <w:smallCaps/>
          <w:spacing w:val="-3"/>
          <w:sz w:val="28"/>
        </w:rPr>
        <w:t xml:space="preserve"> de </w:t>
      </w:r>
      <w:r w:rsidR="00C858FA">
        <w:rPr>
          <w:rFonts w:ascii="Georgia" w:hAnsi="Georgia"/>
          <w:b w:val="0"/>
          <w:bCs w:val="0"/>
          <w:i w:val="0"/>
          <w:smallCaps/>
          <w:spacing w:val="-3"/>
          <w:sz w:val="28"/>
        </w:rPr>
        <w:t xml:space="preserve">noviembre </w:t>
      </w:r>
      <w:r w:rsidR="00AC5058" w:rsidRPr="00C858FA">
        <w:rPr>
          <w:rFonts w:ascii="Georgia" w:hAnsi="Georgia"/>
          <w:b w:val="0"/>
          <w:bCs w:val="0"/>
          <w:i w:val="0"/>
          <w:smallCaps/>
          <w:spacing w:val="-3"/>
          <w:sz w:val="28"/>
        </w:rPr>
        <w:t xml:space="preserve">de dos mil </w:t>
      </w:r>
      <w:r w:rsidR="00C858FA">
        <w:rPr>
          <w:rFonts w:ascii="Georgia" w:hAnsi="Georgia"/>
          <w:b w:val="0"/>
          <w:bCs w:val="0"/>
          <w:i w:val="0"/>
          <w:smallCaps/>
          <w:spacing w:val="-3"/>
          <w:sz w:val="28"/>
        </w:rPr>
        <w:t xml:space="preserve">diecisiete </w:t>
      </w:r>
      <w:r w:rsidR="00DA56B3" w:rsidRPr="00C858FA">
        <w:rPr>
          <w:rFonts w:ascii="Georgia" w:hAnsi="Georgia"/>
          <w:b w:val="0"/>
          <w:bCs w:val="0"/>
          <w:i w:val="0"/>
          <w:smallCaps/>
          <w:spacing w:val="-3"/>
          <w:sz w:val="28"/>
        </w:rPr>
        <w:t>(</w:t>
      </w:r>
      <w:r w:rsidR="00C858FA">
        <w:rPr>
          <w:rFonts w:ascii="Georgia" w:hAnsi="Georgia"/>
          <w:b w:val="0"/>
          <w:bCs w:val="0"/>
          <w:i w:val="0"/>
          <w:smallCaps/>
          <w:spacing w:val="-3"/>
          <w:sz w:val="28"/>
        </w:rPr>
        <w:t>2017</w:t>
      </w:r>
      <w:r w:rsidR="00AC5058" w:rsidRPr="00C858FA">
        <w:rPr>
          <w:rFonts w:ascii="Georgia" w:hAnsi="Georgia"/>
          <w:b w:val="0"/>
          <w:bCs w:val="0"/>
          <w:i w:val="0"/>
          <w:smallCaps/>
          <w:spacing w:val="-3"/>
          <w:sz w:val="28"/>
        </w:rPr>
        <w:t>)</w:t>
      </w:r>
      <w:r w:rsidR="00AC5058" w:rsidRPr="00C858FA">
        <w:rPr>
          <w:rFonts w:ascii="Georgia" w:hAnsi="Georgia"/>
          <w:b w:val="0"/>
          <w:bCs w:val="0"/>
          <w:i w:val="0"/>
          <w:spacing w:val="-3"/>
          <w:sz w:val="28"/>
        </w:rPr>
        <w:t>.</w:t>
      </w:r>
    </w:p>
    <w:p w:rsidR="009167BE" w:rsidRPr="00C858FA" w:rsidRDefault="009167BE" w:rsidP="003C5E61">
      <w:pPr>
        <w:pStyle w:val="Sansinterligne"/>
        <w:spacing w:line="360" w:lineRule="auto"/>
        <w:rPr>
          <w:rFonts w:ascii="Georgia" w:hAnsi="Georgia" w:cs="Arial"/>
          <w:sz w:val="24"/>
        </w:rPr>
      </w:pPr>
    </w:p>
    <w:p w:rsidR="00356104" w:rsidRPr="00C858FA" w:rsidRDefault="00356104" w:rsidP="00356104">
      <w:pPr>
        <w:pStyle w:val="Sansinterligne"/>
        <w:numPr>
          <w:ilvl w:val="0"/>
          <w:numId w:val="4"/>
        </w:numPr>
        <w:spacing w:line="360" w:lineRule="auto"/>
        <w:jc w:val="both"/>
        <w:rPr>
          <w:rFonts w:ascii="Georgia" w:hAnsi="Georgia" w:cs="Arial"/>
          <w:sz w:val="24"/>
        </w:rPr>
      </w:pPr>
      <w:r w:rsidRPr="00C858FA">
        <w:rPr>
          <w:rFonts w:ascii="Georgia" w:hAnsi="Georgia" w:cs="Arial"/>
          <w:sz w:val="32"/>
        </w:rPr>
        <w:t>E</w:t>
      </w:r>
      <w:r w:rsidRPr="00C858FA">
        <w:rPr>
          <w:rFonts w:ascii="Georgia" w:hAnsi="Georgia" w:cs="Arial"/>
          <w:sz w:val="24"/>
        </w:rPr>
        <w:t>L ASUNTO POR DECIDIR</w:t>
      </w:r>
    </w:p>
    <w:p w:rsidR="00356104" w:rsidRPr="00C858FA" w:rsidRDefault="00356104" w:rsidP="00356104">
      <w:pPr>
        <w:pStyle w:val="Sansinterligne"/>
        <w:spacing w:line="360" w:lineRule="auto"/>
        <w:jc w:val="both"/>
        <w:rPr>
          <w:rFonts w:ascii="Georgia" w:hAnsi="Georgia" w:cs="Arial"/>
          <w:sz w:val="24"/>
        </w:rPr>
      </w:pPr>
    </w:p>
    <w:p w:rsidR="00356104" w:rsidRPr="00C858FA" w:rsidRDefault="00BF496F" w:rsidP="00356104">
      <w:pPr>
        <w:pStyle w:val="Sansinterligne"/>
        <w:spacing w:line="360" w:lineRule="auto"/>
        <w:jc w:val="both"/>
        <w:rPr>
          <w:rFonts w:ascii="Georgia" w:hAnsi="Georgia" w:cs="Arial"/>
          <w:sz w:val="28"/>
        </w:rPr>
      </w:pPr>
      <w:r w:rsidRPr="00C858FA">
        <w:rPr>
          <w:rFonts w:ascii="Georgia" w:hAnsi="Georgia" w:cs="Arial"/>
          <w:sz w:val="24"/>
        </w:rPr>
        <w:t xml:space="preserve">La apelación que presentó, en el proceso referenciado ya, el apoderado judicial de </w:t>
      </w:r>
      <w:r w:rsidR="004E704C" w:rsidRPr="00C858FA">
        <w:rPr>
          <w:rFonts w:ascii="Georgia" w:hAnsi="Georgia" w:cs="Arial"/>
          <w:sz w:val="24"/>
        </w:rPr>
        <w:t xml:space="preserve">la </w:t>
      </w:r>
      <w:r w:rsidR="00B21B22" w:rsidRPr="00C858FA">
        <w:rPr>
          <w:rFonts w:ascii="Georgia" w:hAnsi="Georgia" w:cs="Arial"/>
          <w:sz w:val="24"/>
        </w:rPr>
        <w:t xml:space="preserve">parte </w:t>
      </w:r>
      <w:r w:rsidR="00DA56B3" w:rsidRPr="00C858FA">
        <w:rPr>
          <w:rFonts w:ascii="Georgia" w:hAnsi="Georgia" w:cs="Arial"/>
          <w:sz w:val="24"/>
        </w:rPr>
        <w:t>actora</w:t>
      </w:r>
      <w:r w:rsidR="00B21B22" w:rsidRPr="00C858FA">
        <w:rPr>
          <w:rFonts w:ascii="Georgia" w:hAnsi="Georgia" w:cs="Arial"/>
          <w:sz w:val="24"/>
        </w:rPr>
        <w:t>,</w:t>
      </w:r>
      <w:r w:rsidR="008B706D" w:rsidRPr="00C858FA">
        <w:rPr>
          <w:rFonts w:ascii="Georgia" w:hAnsi="Georgia" w:cs="Arial"/>
          <w:sz w:val="24"/>
        </w:rPr>
        <w:t xml:space="preserve"> </w:t>
      </w:r>
      <w:r w:rsidR="00356104" w:rsidRPr="00C858FA">
        <w:rPr>
          <w:rFonts w:ascii="Georgia" w:hAnsi="Georgia" w:cs="Arial"/>
          <w:sz w:val="24"/>
        </w:rPr>
        <w:t xml:space="preserve">contra </w:t>
      </w:r>
      <w:r w:rsidR="00B21B22" w:rsidRPr="00C858FA">
        <w:rPr>
          <w:rFonts w:ascii="Georgia" w:hAnsi="Georgia" w:cs="Arial"/>
          <w:sz w:val="24"/>
        </w:rPr>
        <w:t xml:space="preserve">el auto </w:t>
      </w:r>
      <w:r w:rsidR="00A5226B" w:rsidRPr="00C858FA">
        <w:rPr>
          <w:rFonts w:ascii="Georgia" w:hAnsi="Georgia" w:cs="Arial"/>
          <w:sz w:val="24"/>
        </w:rPr>
        <w:t xml:space="preserve">que </w:t>
      </w:r>
      <w:r w:rsidRPr="00C858FA">
        <w:rPr>
          <w:rFonts w:ascii="Georgia" w:hAnsi="Georgia" w:cs="Arial"/>
          <w:sz w:val="24"/>
        </w:rPr>
        <w:t>rechazó la demanda presentada</w:t>
      </w:r>
      <w:r w:rsidR="00B428D0" w:rsidRPr="00C858FA">
        <w:rPr>
          <w:rFonts w:ascii="Georgia" w:hAnsi="Georgia" w:cs="Arial"/>
          <w:sz w:val="24"/>
        </w:rPr>
        <w:t xml:space="preserve">, </w:t>
      </w:r>
      <w:r w:rsidRPr="00C858FA">
        <w:rPr>
          <w:rFonts w:ascii="Georgia" w:hAnsi="Georgia" w:cs="Arial"/>
          <w:sz w:val="24"/>
        </w:rPr>
        <w:t xml:space="preserve">de acuerdo a las apreciaciones </w:t>
      </w:r>
      <w:r w:rsidR="008B4305" w:rsidRPr="00C858FA">
        <w:rPr>
          <w:rFonts w:ascii="Georgia" w:hAnsi="Georgia" w:cs="Arial"/>
          <w:sz w:val="24"/>
        </w:rPr>
        <w:t>jurídicas,</w:t>
      </w:r>
      <w:r w:rsidRPr="00C858FA">
        <w:rPr>
          <w:rFonts w:ascii="Georgia" w:hAnsi="Georgia" w:cs="Arial"/>
          <w:sz w:val="24"/>
        </w:rPr>
        <w:t xml:space="preserve"> que a continuación se esgrimen</w:t>
      </w:r>
      <w:r w:rsidR="007751D3" w:rsidRPr="00C858FA">
        <w:rPr>
          <w:rFonts w:ascii="Georgia" w:hAnsi="Georgia" w:cs="Arial"/>
          <w:sz w:val="24"/>
        </w:rPr>
        <w:t>.</w:t>
      </w:r>
    </w:p>
    <w:p w:rsidR="00E910D3" w:rsidRDefault="00E910D3" w:rsidP="00356104">
      <w:pPr>
        <w:pStyle w:val="Sansinterligne"/>
        <w:spacing w:line="360" w:lineRule="auto"/>
        <w:jc w:val="both"/>
        <w:rPr>
          <w:rFonts w:ascii="Georgia" w:hAnsi="Georgia" w:cs="Arial"/>
          <w:sz w:val="24"/>
        </w:rPr>
      </w:pPr>
    </w:p>
    <w:p w:rsidR="00C927C6" w:rsidRPr="00C858FA" w:rsidRDefault="00C927C6" w:rsidP="00356104">
      <w:pPr>
        <w:pStyle w:val="Sansinterligne"/>
        <w:spacing w:line="360" w:lineRule="auto"/>
        <w:jc w:val="both"/>
        <w:rPr>
          <w:rFonts w:ascii="Georgia" w:hAnsi="Georgia" w:cs="Arial"/>
          <w:sz w:val="24"/>
        </w:rPr>
      </w:pPr>
    </w:p>
    <w:p w:rsidR="00356104" w:rsidRPr="00C858FA" w:rsidRDefault="00356104" w:rsidP="00356104">
      <w:pPr>
        <w:pStyle w:val="Sansinterligne"/>
        <w:numPr>
          <w:ilvl w:val="0"/>
          <w:numId w:val="4"/>
        </w:numPr>
        <w:spacing w:line="360" w:lineRule="auto"/>
        <w:jc w:val="both"/>
        <w:rPr>
          <w:rFonts w:ascii="Georgia" w:hAnsi="Georgia" w:cs="Arial"/>
          <w:sz w:val="24"/>
        </w:rPr>
      </w:pPr>
      <w:r w:rsidRPr="00C858FA">
        <w:rPr>
          <w:rFonts w:ascii="Georgia" w:hAnsi="Georgia" w:cs="Arial"/>
          <w:sz w:val="32"/>
        </w:rPr>
        <w:lastRenderedPageBreak/>
        <w:t>L</w:t>
      </w:r>
      <w:r w:rsidRPr="00C858FA">
        <w:rPr>
          <w:rFonts w:ascii="Georgia" w:hAnsi="Georgia" w:cs="Arial"/>
          <w:sz w:val="24"/>
        </w:rPr>
        <w:t>A PROVIDENCIA RECURRIDA</w:t>
      </w:r>
    </w:p>
    <w:p w:rsidR="00356104" w:rsidRPr="00C858FA" w:rsidRDefault="00356104" w:rsidP="00356104">
      <w:pPr>
        <w:pStyle w:val="Sansinterligne"/>
        <w:spacing w:line="360" w:lineRule="auto"/>
        <w:jc w:val="both"/>
        <w:rPr>
          <w:rFonts w:ascii="Georgia" w:hAnsi="Georgia" w:cs="Arial"/>
          <w:sz w:val="24"/>
        </w:rPr>
      </w:pPr>
    </w:p>
    <w:p w:rsidR="00847809" w:rsidRPr="00C858FA" w:rsidRDefault="00C858FA" w:rsidP="00356104">
      <w:pPr>
        <w:spacing w:line="360" w:lineRule="auto"/>
        <w:jc w:val="both"/>
        <w:rPr>
          <w:rFonts w:ascii="Georgia" w:hAnsi="Georgia" w:cs="Arial"/>
          <w:szCs w:val="22"/>
        </w:rPr>
      </w:pPr>
      <w:r>
        <w:rPr>
          <w:rFonts w:ascii="Georgia" w:hAnsi="Georgia" w:cs="Arial"/>
          <w:szCs w:val="22"/>
        </w:rPr>
        <w:t>F</w:t>
      </w:r>
      <w:r w:rsidR="00C021ED" w:rsidRPr="00C858FA">
        <w:rPr>
          <w:rFonts w:ascii="Georgia" w:hAnsi="Georgia" w:cs="Arial"/>
          <w:szCs w:val="22"/>
        </w:rPr>
        <w:t xml:space="preserve">echada el día </w:t>
      </w:r>
      <w:r>
        <w:rPr>
          <w:rFonts w:ascii="Georgia" w:hAnsi="Georgia" w:cs="Arial"/>
          <w:szCs w:val="22"/>
        </w:rPr>
        <w:t>11-08-2017, sostuvo que no se puede reemplazar el requisito de ley del avalúo catastral por un dictamen pericial que da cuenta del avalúo comercial de los bienes pretendidos en usucapión</w:t>
      </w:r>
      <w:r w:rsidR="00272060" w:rsidRPr="00C858FA">
        <w:rPr>
          <w:rFonts w:ascii="Georgia" w:hAnsi="Georgia" w:cs="Arial"/>
          <w:szCs w:val="22"/>
        </w:rPr>
        <w:t xml:space="preserve"> </w:t>
      </w:r>
      <w:r w:rsidR="00C36263" w:rsidRPr="00C858FA">
        <w:rPr>
          <w:rFonts w:ascii="Georgia" w:hAnsi="Georgia" w:cs="Arial"/>
          <w:szCs w:val="22"/>
        </w:rPr>
        <w:t>(Folio</w:t>
      </w:r>
      <w:r w:rsidR="00EF584D" w:rsidRPr="00C858FA">
        <w:rPr>
          <w:rFonts w:ascii="Georgia" w:hAnsi="Georgia" w:cs="Arial"/>
          <w:szCs w:val="22"/>
        </w:rPr>
        <w:t xml:space="preserve"> </w:t>
      </w:r>
      <w:r>
        <w:rPr>
          <w:rFonts w:ascii="Georgia" w:hAnsi="Georgia" w:cs="Arial"/>
          <w:szCs w:val="22"/>
        </w:rPr>
        <w:t>169</w:t>
      </w:r>
      <w:r w:rsidR="00C36263" w:rsidRPr="00C858FA">
        <w:rPr>
          <w:rFonts w:ascii="Georgia" w:hAnsi="Georgia" w:cs="Arial"/>
          <w:szCs w:val="22"/>
        </w:rPr>
        <w:t>, cuaderno No.1).</w:t>
      </w:r>
    </w:p>
    <w:p w:rsidR="00195B8C" w:rsidRPr="00C858FA" w:rsidRDefault="00195B8C" w:rsidP="00847809">
      <w:pPr>
        <w:spacing w:line="360" w:lineRule="auto"/>
        <w:jc w:val="both"/>
        <w:rPr>
          <w:rFonts w:ascii="Georgia" w:hAnsi="Georgia" w:cs="Arial"/>
          <w:szCs w:val="22"/>
        </w:rPr>
      </w:pPr>
    </w:p>
    <w:p w:rsidR="00356104" w:rsidRPr="00C858FA" w:rsidRDefault="00356104" w:rsidP="00356104">
      <w:pPr>
        <w:pStyle w:val="Sansinterligne"/>
        <w:numPr>
          <w:ilvl w:val="0"/>
          <w:numId w:val="4"/>
        </w:numPr>
        <w:spacing w:line="360" w:lineRule="auto"/>
        <w:jc w:val="both"/>
        <w:rPr>
          <w:rFonts w:ascii="Georgia" w:hAnsi="Georgia" w:cs="Arial"/>
          <w:sz w:val="24"/>
        </w:rPr>
      </w:pPr>
      <w:r w:rsidRPr="00C858FA">
        <w:rPr>
          <w:rFonts w:ascii="Georgia" w:hAnsi="Georgia" w:cs="Arial"/>
          <w:sz w:val="32"/>
        </w:rPr>
        <w:t>L</w:t>
      </w:r>
      <w:r w:rsidRPr="00C858FA">
        <w:rPr>
          <w:rFonts w:ascii="Georgia" w:hAnsi="Georgia" w:cs="Arial"/>
          <w:sz w:val="24"/>
        </w:rPr>
        <w:t xml:space="preserve">A SÍNTESIS DE LA </w:t>
      </w:r>
      <w:r w:rsidR="00953DFF" w:rsidRPr="00C858FA">
        <w:rPr>
          <w:rFonts w:ascii="Georgia" w:hAnsi="Georgia" w:cs="Arial"/>
          <w:sz w:val="24"/>
        </w:rPr>
        <w:t>APELACIÓN</w:t>
      </w:r>
    </w:p>
    <w:p w:rsidR="00EF584D" w:rsidRPr="00C858FA" w:rsidRDefault="00EF584D" w:rsidP="00356104">
      <w:pPr>
        <w:pStyle w:val="Sansinterligne"/>
        <w:spacing w:line="360" w:lineRule="auto"/>
        <w:jc w:val="both"/>
        <w:rPr>
          <w:rFonts w:ascii="Georgia" w:hAnsi="Georgia" w:cs="Arial"/>
          <w:sz w:val="24"/>
        </w:rPr>
      </w:pPr>
    </w:p>
    <w:p w:rsidR="00A83F98" w:rsidRPr="00C858FA" w:rsidRDefault="009B0A4D" w:rsidP="00356104">
      <w:pPr>
        <w:pStyle w:val="Sansinterligne"/>
        <w:spacing w:line="360" w:lineRule="auto"/>
        <w:jc w:val="both"/>
        <w:rPr>
          <w:rFonts w:ascii="Georgia" w:hAnsi="Georgia" w:cs="Arial"/>
          <w:sz w:val="24"/>
        </w:rPr>
      </w:pPr>
      <w:r w:rsidRPr="00C858FA">
        <w:rPr>
          <w:rFonts w:ascii="Georgia" w:hAnsi="Georgia" w:cs="Arial"/>
          <w:sz w:val="24"/>
        </w:rPr>
        <w:t>Se pide la revocatoria íntegra de la providencia cuestionada</w:t>
      </w:r>
      <w:r w:rsidR="00271E83" w:rsidRPr="00C858FA">
        <w:rPr>
          <w:rFonts w:ascii="Georgia" w:hAnsi="Georgia" w:cs="Arial"/>
          <w:sz w:val="24"/>
        </w:rPr>
        <w:t>,</w:t>
      </w:r>
      <w:r w:rsidRPr="00C858FA">
        <w:rPr>
          <w:rFonts w:ascii="Georgia" w:hAnsi="Georgia" w:cs="Arial"/>
          <w:sz w:val="24"/>
        </w:rPr>
        <w:t xml:space="preserve"> para que en su lugar se </w:t>
      </w:r>
      <w:r w:rsidR="00EF584D" w:rsidRPr="00C858FA">
        <w:rPr>
          <w:rFonts w:ascii="Georgia" w:hAnsi="Georgia" w:cs="Arial"/>
          <w:sz w:val="24"/>
        </w:rPr>
        <w:t>admita la demanda</w:t>
      </w:r>
      <w:r w:rsidR="003E0D30">
        <w:rPr>
          <w:rFonts w:ascii="Georgia" w:hAnsi="Georgia" w:cs="Arial"/>
          <w:sz w:val="24"/>
        </w:rPr>
        <w:t>; a</w:t>
      </w:r>
      <w:r w:rsidR="007C05FE" w:rsidRPr="00C858FA">
        <w:rPr>
          <w:rFonts w:ascii="Georgia" w:hAnsi="Georgia" w:cs="Arial"/>
          <w:sz w:val="24"/>
        </w:rPr>
        <w:t>duce</w:t>
      </w:r>
      <w:r w:rsidR="006C2B60" w:rsidRPr="00C858FA">
        <w:rPr>
          <w:rFonts w:ascii="Georgia" w:hAnsi="Georgia" w:cs="Arial"/>
          <w:sz w:val="24"/>
        </w:rPr>
        <w:t xml:space="preserve"> </w:t>
      </w:r>
      <w:r w:rsidR="003E0D30">
        <w:rPr>
          <w:rFonts w:ascii="Georgia" w:hAnsi="Georgia" w:cs="Arial"/>
          <w:sz w:val="24"/>
        </w:rPr>
        <w:t>que por la imposibilidad de obtener el avalúo catastral acercó uno comercial</w:t>
      </w:r>
      <w:r w:rsidR="00B30612">
        <w:rPr>
          <w:rFonts w:ascii="Georgia" w:hAnsi="Georgia" w:cs="Arial"/>
          <w:sz w:val="24"/>
        </w:rPr>
        <w:t>,</w:t>
      </w:r>
      <w:r w:rsidR="003E0D30">
        <w:rPr>
          <w:rFonts w:ascii="Georgia" w:hAnsi="Georgia" w:cs="Arial"/>
          <w:sz w:val="24"/>
        </w:rPr>
        <w:t xml:space="preserve"> que pide sea tenido en cuenta para establecer la cuantía del proceso </w:t>
      </w:r>
      <w:r w:rsidR="0044720D" w:rsidRPr="00C858FA">
        <w:rPr>
          <w:rFonts w:ascii="Georgia" w:hAnsi="Georgia" w:cs="Arial"/>
          <w:sz w:val="24"/>
        </w:rPr>
        <w:t>(</w:t>
      </w:r>
      <w:r w:rsidR="00AD543B" w:rsidRPr="00C858FA">
        <w:rPr>
          <w:rFonts w:ascii="Georgia" w:hAnsi="Georgia" w:cs="Arial"/>
          <w:sz w:val="24"/>
        </w:rPr>
        <w:t>F</w:t>
      </w:r>
      <w:r w:rsidR="0044720D" w:rsidRPr="00C858FA">
        <w:rPr>
          <w:rFonts w:ascii="Georgia" w:hAnsi="Georgia" w:cs="Arial"/>
          <w:sz w:val="24"/>
        </w:rPr>
        <w:t>olio</w:t>
      </w:r>
      <w:r w:rsidR="00274CB6" w:rsidRPr="00C858FA">
        <w:rPr>
          <w:rFonts w:ascii="Georgia" w:hAnsi="Georgia" w:cs="Arial"/>
          <w:sz w:val="24"/>
        </w:rPr>
        <w:t xml:space="preserve">s </w:t>
      </w:r>
      <w:r w:rsidR="003E0D30">
        <w:rPr>
          <w:rFonts w:ascii="Georgia" w:hAnsi="Georgia" w:cs="Arial"/>
          <w:sz w:val="24"/>
        </w:rPr>
        <w:t>170 a 172</w:t>
      </w:r>
      <w:r w:rsidR="00AD543B" w:rsidRPr="00C858FA">
        <w:rPr>
          <w:rFonts w:ascii="Georgia" w:hAnsi="Georgia" w:cs="Arial"/>
          <w:sz w:val="24"/>
        </w:rPr>
        <w:t xml:space="preserve">, </w:t>
      </w:r>
      <w:r w:rsidR="00A640EB" w:rsidRPr="00C858FA">
        <w:rPr>
          <w:rFonts w:ascii="Georgia" w:hAnsi="Georgia" w:cs="Arial"/>
        </w:rPr>
        <w:t>cuaderno No.1</w:t>
      </w:r>
      <w:r w:rsidR="002550C8" w:rsidRPr="00C858FA">
        <w:rPr>
          <w:rFonts w:ascii="Georgia" w:hAnsi="Georgia" w:cs="Arial"/>
          <w:sz w:val="24"/>
        </w:rPr>
        <w:t>).</w:t>
      </w:r>
    </w:p>
    <w:p w:rsidR="006A7F66" w:rsidRPr="00C858FA" w:rsidRDefault="006A7F66" w:rsidP="00356104">
      <w:pPr>
        <w:pStyle w:val="Sansinterligne"/>
        <w:spacing w:line="360" w:lineRule="auto"/>
        <w:jc w:val="both"/>
        <w:rPr>
          <w:rFonts w:ascii="Georgia" w:hAnsi="Georgia" w:cs="Arial"/>
          <w:sz w:val="24"/>
        </w:rPr>
      </w:pPr>
    </w:p>
    <w:p w:rsidR="00A640EB" w:rsidRPr="00C858FA" w:rsidRDefault="00A640EB" w:rsidP="00A640EB">
      <w:pPr>
        <w:numPr>
          <w:ilvl w:val="0"/>
          <w:numId w:val="4"/>
        </w:numPr>
        <w:spacing w:line="360" w:lineRule="auto"/>
        <w:jc w:val="both"/>
        <w:rPr>
          <w:rFonts w:ascii="Georgia" w:hAnsi="Georgia" w:cs="Arial"/>
        </w:rPr>
      </w:pPr>
      <w:r w:rsidRPr="00C858FA">
        <w:rPr>
          <w:rFonts w:ascii="Georgia" w:hAnsi="Georgia" w:cs="Arial"/>
          <w:sz w:val="32"/>
        </w:rPr>
        <w:t>L</w:t>
      </w:r>
      <w:r w:rsidRPr="00C858FA">
        <w:rPr>
          <w:rFonts w:ascii="Georgia" w:hAnsi="Georgia" w:cs="Arial"/>
        </w:rPr>
        <w:t>AS ESTIMACIONES JURÍDICAS PARA DECIDIR</w:t>
      </w:r>
    </w:p>
    <w:p w:rsidR="003E0D30" w:rsidRPr="00490B75" w:rsidRDefault="003E0D30" w:rsidP="003E0D30">
      <w:pPr>
        <w:pStyle w:val="Textopredeterminado"/>
        <w:numPr>
          <w:ilvl w:val="1"/>
          <w:numId w:val="4"/>
        </w:numPr>
        <w:spacing w:line="360" w:lineRule="auto"/>
        <w:jc w:val="both"/>
        <w:rPr>
          <w:rFonts w:ascii="Georgia" w:hAnsi="Georgia" w:cs="Arial"/>
          <w:szCs w:val="22"/>
          <w:lang w:val="es-MX"/>
        </w:rPr>
      </w:pPr>
      <w:r w:rsidRPr="00490B75">
        <w:rPr>
          <w:rFonts w:ascii="Georgia" w:hAnsi="Georgia" w:cs="Arial"/>
          <w:smallCaps/>
          <w:color w:val="auto"/>
        </w:rPr>
        <w:t>La competencia funcional</w:t>
      </w:r>
      <w:r w:rsidRPr="00490B75">
        <w:rPr>
          <w:rFonts w:ascii="Georgia" w:hAnsi="Georgia" w:cs="Arial"/>
          <w:color w:val="auto"/>
        </w:rPr>
        <w:t xml:space="preserve">. </w:t>
      </w:r>
      <w:r w:rsidRPr="00490B75">
        <w:rPr>
          <w:rFonts w:ascii="Georgia" w:hAnsi="Georgia" w:cs="Arial"/>
          <w:szCs w:val="22"/>
        </w:rPr>
        <w:t xml:space="preserve">La facultad jurídica para resolver esta controversia radica en esta Colegiatura por el factor funcional (Artículo 32-1º, CGP), dada su condición de </w:t>
      </w:r>
      <w:r w:rsidRPr="00490B75">
        <w:rPr>
          <w:rFonts w:ascii="Georgia" w:hAnsi="Georgia" w:cs="Arial"/>
          <w:szCs w:val="22"/>
          <w:lang w:val="es-MX"/>
        </w:rPr>
        <w:t>superiora jerárquica del Juzgado</w:t>
      </w:r>
      <w:r w:rsidRPr="00490B75">
        <w:rPr>
          <w:rFonts w:ascii="Georgia" w:hAnsi="Georgia" w:cs="Arial"/>
        </w:rPr>
        <w:t xml:space="preserve"> </w:t>
      </w:r>
      <w:r w:rsidRPr="00490B75">
        <w:rPr>
          <w:rFonts w:ascii="Georgia" w:hAnsi="Georgia" w:cs="Arial"/>
          <w:szCs w:val="22"/>
          <w:lang w:val="es-MX"/>
        </w:rPr>
        <w:t>emisor de la decisión apelada.</w:t>
      </w:r>
    </w:p>
    <w:p w:rsidR="003E0D30" w:rsidRPr="00490B75" w:rsidRDefault="003E0D30" w:rsidP="003E0D30">
      <w:pPr>
        <w:pStyle w:val="Sansinterligne"/>
        <w:spacing w:line="360" w:lineRule="auto"/>
        <w:ind w:left="720"/>
        <w:jc w:val="both"/>
        <w:rPr>
          <w:rFonts w:ascii="Georgia" w:hAnsi="Georgia" w:cs="Arial"/>
          <w:sz w:val="18"/>
        </w:rPr>
      </w:pPr>
    </w:p>
    <w:p w:rsidR="003E0D30" w:rsidRPr="00490B75" w:rsidRDefault="003E0D30" w:rsidP="003E0D30">
      <w:pPr>
        <w:pStyle w:val="Paragraphedeliste"/>
        <w:widowControl w:val="0"/>
        <w:numPr>
          <w:ilvl w:val="1"/>
          <w:numId w:val="4"/>
        </w:numPr>
        <w:autoSpaceDE w:val="0"/>
        <w:autoSpaceDN w:val="0"/>
        <w:adjustRightInd w:val="0"/>
        <w:spacing w:line="360" w:lineRule="auto"/>
        <w:jc w:val="both"/>
        <w:rPr>
          <w:rFonts w:ascii="Georgia" w:hAnsi="Georgia" w:cs="Arial"/>
          <w:lang w:val="es-MX"/>
        </w:rPr>
      </w:pPr>
      <w:r w:rsidRPr="00490B75">
        <w:rPr>
          <w:rFonts w:ascii="Georgia" w:hAnsi="Georgia" w:cs="Arial"/>
          <w:smallCaps/>
          <w:lang w:val="es-CO"/>
        </w:rPr>
        <w:t>Los presupuestos de viabilidad del recurso</w:t>
      </w:r>
      <w:r w:rsidRPr="00490B75">
        <w:rPr>
          <w:rFonts w:ascii="Georgia" w:hAnsi="Georgia" w:cs="Arial"/>
          <w:lang w:val="es-CO"/>
        </w:rPr>
        <w:t>. Siempre es indispensable la revisión de los supuestos de viabilidad del recurso</w:t>
      </w:r>
      <w:r>
        <w:rPr>
          <w:rFonts w:ascii="Georgia" w:hAnsi="Georgia" w:cs="Arial"/>
          <w:lang w:val="es-CO"/>
        </w:rPr>
        <w:t xml:space="preserve"> </w:t>
      </w:r>
      <w:r>
        <w:rPr>
          <w:rFonts w:ascii="Georgia" w:hAnsi="Georgia" w:cs="Arial"/>
        </w:rPr>
        <w:t xml:space="preserve">o </w:t>
      </w:r>
      <w:r w:rsidRPr="00893D63">
        <w:rPr>
          <w:rFonts w:ascii="Georgia" w:hAnsi="Georgia" w:cs="Arial"/>
          <w:i/>
          <w:sz w:val="22"/>
        </w:rPr>
        <w:t>condiciones para tener la posibilidad de recurrir</w:t>
      </w:r>
      <w:r>
        <w:rPr>
          <w:rStyle w:val="Appelnotedebasdep"/>
          <w:rFonts w:ascii="Georgia" w:hAnsi="Georgia"/>
          <w:i/>
          <w:sz w:val="22"/>
        </w:rPr>
        <w:footnoteReference w:id="1"/>
      </w:r>
      <w:r w:rsidRPr="00490B75">
        <w:rPr>
          <w:rFonts w:ascii="Georgia" w:hAnsi="Georgia" w:cs="Arial"/>
          <w:lang w:val="es-CO"/>
        </w:rPr>
        <w:t xml:space="preserve">, </w:t>
      </w:r>
      <w:r w:rsidRPr="006B6DCD">
        <w:rPr>
          <w:rFonts w:ascii="Georgia" w:hAnsi="Georgia" w:cs="Arial"/>
        </w:rPr>
        <w:t>al decir de la doctrina procesal nacional</w:t>
      </w:r>
      <w:r w:rsidRPr="00490B75">
        <w:rPr>
          <w:rFonts w:ascii="Georgia" w:hAnsi="Georgia"/>
          <w:vertAlign w:val="superscript"/>
          <w:lang w:val="es-CO"/>
        </w:rPr>
        <w:t xml:space="preserve"> </w:t>
      </w:r>
      <w:r w:rsidRPr="00490B75">
        <w:rPr>
          <w:rFonts w:ascii="Georgia" w:hAnsi="Georgia"/>
          <w:vertAlign w:val="superscript"/>
          <w:lang w:val="es-CO"/>
        </w:rPr>
        <w:footnoteReference w:id="2"/>
      </w:r>
      <w:r w:rsidRPr="00490B75">
        <w:rPr>
          <w:rFonts w:ascii="Georgia" w:hAnsi="Georgia" w:cs="Arial"/>
          <w:vertAlign w:val="superscript"/>
          <w:lang w:val="es-CO"/>
        </w:rPr>
        <w:t>-</w:t>
      </w:r>
      <w:r w:rsidRPr="00490B75">
        <w:rPr>
          <w:rFonts w:ascii="Georgia" w:hAnsi="Georgia"/>
          <w:vertAlign w:val="superscript"/>
          <w:lang w:val="es-CO"/>
        </w:rPr>
        <w:footnoteReference w:id="3"/>
      </w:r>
      <w:r w:rsidRPr="00490B75">
        <w:rPr>
          <w:rFonts w:ascii="Georgia" w:hAnsi="Georgia" w:cs="Arial"/>
          <w:lang w:val="es-CO"/>
        </w:rPr>
        <w:t xml:space="preserve">, a efectos de examinar el tema discutido por vía de apelación. </w:t>
      </w:r>
    </w:p>
    <w:p w:rsidR="003E0D30" w:rsidRDefault="003E0D30" w:rsidP="003E0D30">
      <w:pPr>
        <w:spacing w:line="360" w:lineRule="auto"/>
        <w:ind w:left="720"/>
        <w:jc w:val="both"/>
        <w:rPr>
          <w:rFonts w:ascii="Georgia" w:hAnsi="Georgia" w:cs="Arial"/>
          <w:sz w:val="22"/>
        </w:rPr>
      </w:pPr>
    </w:p>
    <w:p w:rsidR="003E0D30" w:rsidRPr="00490B75" w:rsidRDefault="003E0D30" w:rsidP="003E0D30">
      <w:pPr>
        <w:spacing w:line="360" w:lineRule="auto"/>
        <w:ind w:left="720"/>
        <w:jc w:val="both"/>
        <w:rPr>
          <w:rFonts w:ascii="Georgia" w:hAnsi="Georgia" w:cs="Arial"/>
          <w:lang w:val="es-MX"/>
        </w:rPr>
      </w:pPr>
      <w:r w:rsidRPr="00490B75">
        <w:rPr>
          <w:rFonts w:ascii="Georgia" w:hAnsi="Georgia" w:cs="Arial"/>
          <w:lang w:val="es-CO"/>
        </w:rPr>
        <w:t>Se dice que son ellos una serie de exigencias normativas formales que permiten su trámite y aseguran su decisión.  Y como anota el profesor López B</w:t>
      </w:r>
      <w:r>
        <w:rPr>
          <w:rFonts w:ascii="Georgia" w:hAnsi="Georgia" w:cs="Arial"/>
          <w:lang w:val="es-CO"/>
        </w:rPr>
        <w:t>.</w:t>
      </w:r>
      <w:r w:rsidRPr="00490B75">
        <w:rPr>
          <w:rFonts w:ascii="Georgia" w:hAnsi="Georgia" w:cs="Arial"/>
          <w:vertAlign w:val="superscript"/>
          <w:lang w:val="es-CO"/>
        </w:rPr>
        <w:footnoteReference w:id="4"/>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Y lo explica el profesor Rojas G</w:t>
      </w:r>
      <w:r>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3E0D30" w:rsidRPr="00490B75" w:rsidRDefault="003E0D30" w:rsidP="003E0D30">
      <w:pPr>
        <w:spacing w:line="360" w:lineRule="auto"/>
        <w:ind w:left="720"/>
        <w:jc w:val="both"/>
        <w:rPr>
          <w:rFonts w:ascii="Georgia" w:hAnsi="Georgia" w:cs="Arial"/>
          <w:sz w:val="22"/>
        </w:rPr>
      </w:pPr>
    </w:p>
    <w:p w:rsidR="003E0D30" w:rsidRPr="00490B75" w:rsidRDefault="003E0D30" w:rsidP="003E0D30">
      <w:pPr>
        <w:spacing w:line="360" w:lineRule="auto"/>
        <w:ind w:left="720"/>
        <w:jc w:val="both"/>
        <w:rPr>
          <w:rFonts w:ascii="Georgia" w:hAnsi="Georgia" w:cs="Arial"/>
        </w:rPr>
      </w:pPr>
      <w:r w:rsidRPr="00490B75">
        <w:rPr>
          <w:rFonts w:ascii="Georgia" w:hAnsi="Georgia" w:cs="Arial"/>
        </w:rPr>
        <w:t xml:space="preserve">Los requisitos son concurrentes, ausente uno debe desecharse el estudio de la impugnación. Para este caso se encuentran cumplidos, hay legitimación en la parte que recurre porque hay mengua de sus intereses con la decisión atacada, el </w:t>
      </w:r>
      <w:r w:rsidRPr="00490B75">
        <w:rPr>
          <w:rFonts w:ascii="Georgia" w:hAnsi="Georgia" w:cs="Arial"/>
        </w:rPr>
        <w:lastRenderedPageBreak/>
        <w:t>recurso es tempestivo,  la  aludida  providencia es susceptible de apelación (321-</w:t>
      </w:r>
      <w:r>
        <w:rPr>
          <w:rFonts w:ascii="Georgia" w:hAnsi="Georgia" w:cs="Arial"/>
        </w:rPr>
        <w:t>2</w:t>
      </w:r>
      <w:r w:rsidRPr="00490B75">
        <w:rPr>
          <w:rFonts w:ascii="Georgia" w:hAnsi="Georgia" w:cs="Arial"/>
        </w:rPr>
        <w:t>º, CGP) y está cumplida la carga procesal de la sustentación (Artículo 322-3º, CGP).</w:t>
      </w:r>
    </w:p>
    <w:p w:rsidR="003E0D30" w:rsidRPr="00490B75" w:rsidRDefault="003E0D30" w:rsidP="003E0D30">
      <w:pPr>
        <w:spacing w:line="360" w:lineRule="auto"/>
        <w:ind w:left="720"/>
        <w:jc w:val="both"/>
        <w:rPr>
          <w:rFonts w:ascii="Georgia" w:hAnsi="Georgia" w:cs="Arial"/>
          <w:sz w:val="20"/>
        </w:rPr>
      </w:pPr>
    </w:p>
    <w:p w:rsidR="003E0D30" w:rsidRPr="00490B75" w:rsidRDefault="003E0D30" w:rsidP="003E0D30">
      <w:pPr>
        <w:pStyle w:val="Paragraphedeliste"/>
        <w:widowControl w:val="0"/>
        <w:numPr>
          <w:ilvl w:val="1"/>
          <w:numId w:val="4"/>
        </w:numPr>
        <w:autoSpaceDE w:val="0"/>
        <w:autoSpaceDN w:val="0"/>
        <w:adjustRightInd w:val="0"/>
        <w:spacing w:line="360" w:lineRule="auto"/>
        <w:jc w:val="both"/>
        <w:rPr>
          <w:rFonts w:ascii="Georgia" w:hAnsi="Georgia" w:cs="Arial"/>
          <w:szCs w:val="22"/>
          <w:lang w:val="es-CO"/>
        </w:rPr>
      </w:pPr>
      <w:r w:rsidRPr="00490B75">
        <w:rPr>
          <w:rFonts w:ascii="Georgia" w:hAnsi="Georgia" w:cs="Arial"/>
          <w:smallCaps/>
          <w:szCs w:val="26"/>
          <w:lang w:val="es-CO"/>
        </w:rPr>
        <w:t xml:space="preserve">El problema jurídico a resolver. </w:t>
      </w:r>
      <w:r w:rsidRPr="00490B75">
        <w:rPr>
          <w:rFonts w:ascii="Georgia" w:hAnsi="Georgia"/>
          <w:lang w:val="es-CO"/>
        </w:rPr>
        <w:t xml:space="preserve">¿Se debe revocar, modificar o confirmar el auto que </w:t>
      </w:r>
      <w:r>
        <w:rPr>
          <w:rFonts w:ascii="Georgia" w:hAnsi="Georgia"/>
          <w:lang w:val="es-CO"/>
        </w:rPr>
        <w:t>rechazó la demanda</w:t>
      </w:r>
      <w:r w:rsidRPr="00490B75">
        <w:rPr>
          <w:rFonts w:ascii="Georgia" w:hAnsi="Georgia"/>
          <w:lang w:val="es-CO"/>
        </w:rPr>
        <w:t xml:space="preserve">, </w:t>
      </w:r>
      <w:r>
        <w:rPr>
          <w:rFonts w:ascii="Georgia" w:hAnsi="Georgia"/>
          <w:lang w:val="es-CO"/>
        </w:rPr>
        <w:t xml:space="preserve">dictado </w:t>
      </w:r>
      <w:r w:rsidRPr="00490B75">
        <w:rPr>
          <w:rFonts w:ascii="Georgia" w:hAnsi="Georgia"/>
          <w:lang w:val="es-CO"/>
        </w:rPr>
        <w:t xml:space="preserve">por el Juzgado Civil del Circuito de </w:t>
      </w:r>
      <w:r>
        <w:rPr>
          <w:rFonts w:ascii="Georgia" w:hAnsi="Georgia"/>
          <w:lang w:val="es-CO"/>
        </w:rPr>
        <w:t>Dosquebradas</w:t>
      </w:r>
      <w:r w:rsidRPr="00490B75">
        <w:rPr>
          <w:rFonts w:ascii="Georgia" w:hAnsi="Georgia"/>
          <w:lang w:val="es-CO"/>
        </w:rPr>
        <w:t xml:space="preserve">, según la argumentación de la apelación interpuesta por la parte </w:t>
      </w:r>
      <w:r>
        <w:rPr>
          <w:rFonts w:ascii="Georgia" w:hAnsi="Georgia"/>
          <w:lang w:val="es-CO"/>
        </w:rPr>
        <w:t>demandante</w:t>
      </w:r>
      <w:r w:rsidRPr="00490B75">
        <w:rPr>
          <w:rFonts w:ascii="Georgia" w:hAnsi="Georgia" w:cs="Arial"/>
          <w:szCs w:val="22"/>
          <w:lang w:val="es-CO"/>
        </w:rPr>
        <w:t>?</w:t>
      </w:r>
    </w:p>
    <w:p w:rsidR="003E0D30" w:rsidRPr="003E0D30" w:rsidRDefault="003E0D30" w:rsidP="003E0D30">
      <w:pPr>
        <w:widowControl w:val="0"/>
        <w:overflowPunct w:val="0"/>
        <w:autoSpaceDE w:val="0"/>
        <w:autoSpaceDN w:val="0"/>
        <w:adjustRightInd w:val="0"/>
        <w:spacing w:line="360" w:lineRule="auto"/>
        <w:ind w:left="720"/>
        <w:jc w:val="both"/>
        <w:rPr>
          <w:rFonts w:ascii="Georgia" w:hAnsi="Georgia" w:cs="Arial"/>
          <w:lang w:val="es-CO"/>
        </w:rPr>
      </w:pPr>
    </w:p>
    <w:p w:rsidR="003E0D30" w:rsidRPr="003E0D30" w:rsidRDefault="003E0D30" w:rsidP="003E0D30">
      <w:pPr>
        <w:widowControl w:val="0"/>
        <w:numPr>
          <w:ilvl w:val="1"/>
          <w:numId w:val="4"/>
        </w:numPr>
        <w:overflowPunct w:val="0"/>
        <w:autoSpaceDE w:val="0"/>
        <w:autoSpaceDN w:val="0"/>
        <w:adjustRightInd w:val="0"/>
        <w:spacing w:line="360" w:lineRule="auto"/>
        <w:jc w:val="both"/>
        <w:rPr>
          <w:rFonts w:ascii="Georgia" w:hAnsi="Georgia" w:cs="Arial"/>
          <w:lang w:val="es-CO"/>
        </w:rPr>
      </w:pPr>
      <w:r w:rsidRPr="00490B75">
        <w:rPr>
          <w:rFonts w:ascii="Georgia" w:hAnsi="Georgia" w:cs="Arial"/>
          <w:smallCaps/>
          <w:sz w:val="26"/>
          <w:szCs w:val="26"/>
          <w:lang w:val="es-CO"/>
        </w:rPr>
        <w:t xml:space="preserve">La resolución del problema jurídico planteado. </w:t>
      </w:r>
    </w:p>
    <w:p w:rsidR="003E0D30" w:rsidRDefault="003E0D30" w:rsidP="003E0D30">
      <w:pPr>
        <w:pStyle w:val="Paragraphedeliste"/>
        <w:spacing w:line="360" w:lineRule="auto"/>
        <w:rPr>
          <w:rFonts w:ascii="Georgia" w:hAnsi="Georgia" w:cs="Arial"/>
          <w:lang w:val="es-CO"/>
        </w:rPr>
      </w:pPr>
    </w:p>
    <w:p w:rsidR="003E0D30" w:rsidRPr="00490B75" w:rsidRDefault="003E0D30" w:rsidP="003E0D30">
      <w:pPr>
        <w:widowControl w:val="0"/>
        <w:overflowPunct w:val="0"/>
        <w:autoSpaceDE w:val="0"/>
        <w:autoSpaceDN w:val="0"/>
        <w:adjustRightInd w:val="0"/>
        <w:spacing w:line="360" w:lineRule="auto"/>
        <w:jc w:val="both"/>
        <w:rPr>
          <w:rFonts w:ascii="Georgia" w:hAnsi="Georgia" w:cs="Arial"/>
          <w:lang w:val="es-CO"/>
        </w:rPr>
      </w:pPr>
      <w:r w:rsidRPr="00490B75">
        <w:rPr>
          <w:rFonts w:ascii="Georgia" w:hAnsi="Georgia" w:cs="Arial"/>
          <w:lang w:val="es-CO"/>
        </w:rPr>
        <w:t>Delimitados por el marco argumental formulado en la alzada, en acatamiento del artículo 328</w:t>
      </w:r>
      <w:r>
        <w:rPr>
          <w:rFonts w:ascii="Georgia" w:hAnsi="Georgia" w:cs="Arial"/>
          <w:lang w:val="es-CO"/>
        </w:rPr>
        <w:t xml:space="preserve">, </w:t>
      </w:r>
      <w:r w:rsidR="00622E8B">
        <w:rPr>
          <w:rFonts w:ascii="Georgia" w:hAnsi="Georgia" w:cs="Arial"/>
          <w:lang w:val="es-CO"/>
        </w:rPr>
        <w:t>ibídem</w:t>
      </w:r>
      <w:r w:rsidRPr="00490B75">
        <w:rPr>
          <w:rFonts w:ascii="Georgia" w:hAnsi="Georgia" w:cs="Arial"/>
          <w:lang w:val="es-CO"/>
        </w:rPr>
        <w:t>, se examinará el asunto litigioso, con desarrollo de los precisos aspectos cuestionados.</w:t>
      </w:r>
    </w:p>
    <w:p w:rsidR="003E0D30" w:rsidRDefault="003E0D30" w:rsidP="00227AB5">
      <w:pPr>
        <w:pStyle w:val="Sansinterligne"/>
        <w:spacing w:line="360" w:lineRule="auto"/>
        <w:jc w:val="both"/>
        <w:rPr>
          <w:rFonts w:ascii="Georgia" w:hAnsi="Georgia"/>
          <w:sz w:val="24"/>
        </w:rPr>
      </w:pPr>
    </w:p>
    <w:p w:rsidR="00227AB5" w:rsidRPr="00C858FA" w:rsidRDefault="00227AB5" w:rsidP="00227AB5">
      <w:pPr>
        <w:pStyle w:val="Sansinterligne"/>
        <w:spacing w:line="360" w:lineRule="auto"/>
        <w:jc w:val="both"/>
        <w:rPr>
          <w:rFonts w:ascii="Georgia" w:hAnsi="Georgia"/>
          <w:sz w:val="24"/>
        </w:rPr>
      </w:pPr>
      <w:r w:rsidRPr="00C858FA">
        <w:rPr>
          <w:rFonts w:ascii="Georgia" w:hAnsi="Georgia"/>
          <w:sz w:val="24"/>
        </w:rPr>
        <w:t xml:space="preserve">Importante anotar que de acuerdo con el artículo </w:t>
      </w:r>
      <w:r w:rsidR="003E0D30">
        <w:rPr>
          <w:rFonts w:ascii="Georgia" w:hAnsi="Georgia"/>
          <w:sz w:val="24"/>
        </w:rPr>
        <w:t xml:space="preserve">90, </w:t>
      </w:r>
      <w:r w:rsidR="00622E8B">
        <w:rPr>
          <w:rFonts w:ascii="Georgia" w:hAnsi="Georgia"/>
          <w:sz w:val="24"/>
        </w:rPr>
        <w:t>ibídem</w:t>
      </w:r>
      <w:r w:rsidRPr="00C858FA">
        <w:rPr>
          <w:rFonts w:ascii="Georgia" w:hAnsi="Georgia"/>
          <w:sz w:val="24"/>
        </w:rPr>
        <w:t xml:space="preserve">, la alzada del auto de rechazo de la demanda, comprende su inadmisión, por ende es imperativo que el análisis de ahora, se extienda a lo resuelto en el proveído del </w:t>
      </w:r>
      <w:r w:rsidR="003E0D30">
        <w:rPr>
          <w:rFonts w:ascii="Georgia" w:hAnsi="Georgia"/>
          <w:sz w:val="24"/>
        </w:rPr>
        <w:t>12-07-2017 (Folio</w:t>
      </w:r>
      <w:r w:rsidRPr="00C858FA">
        <w:rPr>
          <w:rFonts w:ascii="Georgia" w:hAnsi="Georgia"/>
          <w:sz w:val="24"/>
        </w:rPr>
        <w:t xml:space="preserve"> </w:t>
      </w:r>
      <w:r w:rsidR="003E0D30">
        <w:rPr>
          <w:rFonts w:ascii="Georgia" w:hAnsi="Georgia"/>
          <w:sz w:val="24"/>
        </w:rPr>
        <w:t>167</w:t>
      </w:r>
      <w:r w:rsidRPr="00C858FA">
        <w:rPr>
          <w:rFonts w:ascii="Georgia" w:hAnsi="Georgia"/>
          <w:sz w:val="24"/>
        </w:rPr>
        <w:t xml:space="preserve">, ibídem). Esto sirve para entender que de revocarse el rechazo, se modifica la decisión </w:t>
      </w:r>
      <w:proofErr w:type="spellStart"/>
      <w:r w:rsidRPr="00C858FA">
        <w:rPr>
          <w:rFonts w:ascii="Georgia" w:hAnsi="Georgia"/>
          <w:sz w:val="24"/>
        </w:rPr>
        <w:t>inadmisoria</w:t>
      </w:r>
      <w:proofErr w:type="spellEnd"/>
      <w:r w:rsidRPr="00C858FA">
        <w:rPr>
          <w:rStyle w:val="Appelnotedebasdep"/>
          <w:rFonts w:ascii="Georgia" w:hAnsi="Georgia"/>
          <w:sz w:val="24"/>
        </w:rPr>
        <w:footnoteReference w:id="6"/>
      </w:r>
      <w:r w:rsidRPr="00C858FA">
        <w:rPr>
          <w:rFonts w:ascii="Georgia" w:hAnsi="Georgia"/>
          <w:sz w:val="24"/>
        </w:rPr>
        <w:t>.</w:t>
      </w:r>
    </w:p>
    <w:p w:rsidR="00227AB5" w:rsidRPr="00C858FA" w:rsidRDefault="00227AB5" w:rsidP="00CA0ECE">
      <w:pPr>
        <w:pStyle w:val="Paragraphedeliste"/>
        <w:tabs>
          <w:tab w:val="left" w:pos="360"/>
        </w:tabs>
        <w:spacing w:line="360" w:lineRule="auto"/>
        <w:ind w:left="0"/>
        <w:jc w:val="both"/>
        <w:rPr>
          <w:rFonts w:ascii="Georgia" w:hAnsi="Georgia" w:cs="Arial"/>
          <w:color w:val="FF0000"/>
          <w:szCs w:val="22"/>
        </w:rPr>
      </w:pPr>
    </w:p>
    <w:p w:rsidR="00E117CD" w:rsidRPr="003E0D30" w:rsidRDefault="00E117CD" w:rsidP="00E117CD">
      <w:pPr>
        <w:pStyle w:val="Textopredeterminado"/>
        <w:numPr>
          <w:ilvl w:val="2"/>
          <w:numId w:val="4"/>
        </w:numPr>
        <w:spacing w:line="360" w:lineRule="auto"/>
        <w:jc w:val="both"/>
        <w:textAlignment w:val="auto"/>
        <w:rPr>
          <w:rFonts w:ascii="Georgia" w:hAnsi="Georgia" w:cs="Arial"/>
          <w:smallCaps/>
        </w:rPr>
      </w:pPr>
      <w:r w:rsidRPr="003E0D30">
        <w:rPr>
          <w:rFonts w:ascii="Georgia" w:hAnsi="Georgia" w:cs="Arial"/>
          <w:smallCaps/>
        </w:rPr>
        <w:t>El rechazo de la demanda previa inadmisión</w:t>
      </w:r>
    </w:p>
    <w:p w:rsidR="00E117CD" w:rsidRPr="00C858FA" w:rsidRDefault="00E117CD" w:rsidP="00E117CD">
      <w:pPr>
        <w:pStyle w:val="Sansinterligne"/>
        <w:spacing w:line="360" w:lineRule="auto"/>
        <w:jc w:val="both"/>
        <w:rPr>
          <w:rFonts w:ascii="Georgia" w:hAnsi="Georgia" w:cs="Arial"/>
          <w:sz w:val="24"/>
          <w:szCs w:val="24"/>
        </w:rPr>
      </w:pPr>
    </w:p>
    <w:p w:rsidR="00E117CD" w:rsidRPr="00C858FA" w:rsidRDefault="00E117CD" w:rsidP="00E117CD">
      <w:pPr>
        <w:pStyle w:val="Cuerpodeltexto0"/>
        <w:shd w:val="clear" w:color="auto" w:fill="auto"/>
        <w:spacing w:after="0" w:line="360" w:lineRule="auto"/>
        <w:ind w:right="23"/>
        <w:rPr>
          <w:rFonts w:ascii="Georgia" w:hAnsi="Georgia" w:cs="Arial"/>
          <w:color w:val="000000"/>
          <w:sz w:val="24"/>
          <w:szCs w:val="24"/>
        </w:rPr>
      </w:pPr>
      <w:r w:rsidRPr="00C858FA">
        <w:rPr>
          <w:rFonts w:ascii="Georgia" w:hAnsi="Georgia" w:cs="Arial"/>
          <w:color w:val="000000"/>
          <w:sz w:val="24"/>
          <w:szCs w:val="24"/>
        </w:rPr>
        <w:t>La demanda con que se inicia todo proceso, debe ajustarse a determinados requisitos consagrados de manera general en el artículo 82</w:t>
      </w:r>
      <w:r w:rsidR="00622E8B">
        <w:rPr>
          <w:rFonts w:ascii="Georgia" w:hAnsi="Georgia" w:cs="Arial"/>
          <w:color w:val="000000"/>
          <w:sz w:val="24"/>
          <w:szCs w:val="24"/>
        </w:rPr>
        <w:t>, ibídem</w:t>
      </w:r>
      <w:r w:rsidRPr="00C858FA">
        <w:rPr>
          <w:rFonts w:ascii="Georgia" w:hAnsi="Georgia" w:cs="Arial"/>
          <w:color w:val="000000"/>
          <w:sz w:val="24"/>
          <w:szCs w:val="24"/>
        </w:rPr>
        <w:t xml:space="preserve">, en algunos casos hay que acatar el artículo 83 del mismo estatuto procedimental o en veces acompañar los anexos del artículo 84, </w:t>
      </w:r>
      <w:r w:rsidR="00622E8B">
        <w:rPr>
          <w:rFonts w:ascii="Georgia" w:hAnsi="Georgia" w:cs="Arial"/>
          <w:color w:val="000000"/>
          <w:sz w:val="24"/>
          <w:szCs w:val="24"/>
        </w:rPr>
        <w:t>ib.</w:t>
      </w:r>
      <w:r w:rsidRPr="00C858FA">
        <w:rPr>
          <w:rFonts w:ascii="Georgia" w:hAnsi="Georgia" w:cs="Arial"/>
          <w:color w:val="000000"/>
          <w:sz w:val="24"/>
          <w:szCs w:val="24"/>
        </w:rPr>
        <w:t xml:space="preserve">, o prescritos en otra norma particular (Por ejemplo en los artículos </w:t>
      </w:r>
      <w:r w:rsidR="00622E8B">
        <w:rPr>
          <w:rFonts w:ascii="Georgia" w:hAnsi="Georgia" w:cs="Arial"/>
          <w:color w:val="000000"/>
          <w:sz w:val="24"/>
          <w:szCs w:val="24"/>
        </w:rPr>
        <w:t xml:space="preserve">375-5º, </w:t>
      </w:r>
      <w:r w:rsidRPr="00C858FA">
        <w:rPr>
          <w:rFonts w:ascii="Georgia" w:hAnsi="Georgia" w:cs="Arial"/>
          <w:color w:val="000000"/>
          <w:sz w:val="24"/>
          <w:szCs w:val="24"/>
        </w:rPr>
        <w:t>384</w:t>
      </w:r>
      <w:r w:rsidR="00622E8B">
        <w:rPr>
          <w:rFonts w:ascii="Georgia" w:hAnsi="Georgia" w:cs="Arial"/>
          <w:color w:val="000000"/>
          <w:sz w:val="24"/>
          <w:szCs w:val="24"/>
        </w:rPr>
        <w:t>-1º</w:t>
      </w:r>
      <w:r w:rsidRPr="00C858FA">
        <w:rPr>
          <w:rFonts w:ascii="Georgia" w:hAnsi="Georgia" w:cs="Arial"/>
          <w:color w:val="000000"/>
          <w:sz w:val="24"/>
          <w:szCs w:val="24"/>
        </w:rPr>
        <w:t xml:space="preserve">, 422, </w:t>
      </w:r>
      <w:r w:rsidR="00622E8B">
        <w:rPr>
          <w:rFonts w:ascii="Georgia" w:hAnsi="Georgia" w:cs="Arial"/>
          <w:color w:val="000000"/>
          <w:sz w:val="24"/>
          <w:szCs w:val="24"/>
        </w:rPr>
        <w:t>ib.</w:t>
      </w:r>
      <w:r w:rsidRPr="00C858FA">
        <w:rPr>
          <w:rFonts w:ascii="Georgia" w:hAnsi="Georgia" w:cs="Arial"/>
          <w:color w:val="000000"/>
          <w:sz w:val="24"/>
          <w:szCs w:val="24"/>
        </w:rPr>
        <w:t>). Esa exigencia, por lo general, pretende precaver nulidades procesales.</w:t>
      </w:r>
    </w:p>
    <w:p w:rsidR="00E117CD" w:rsidRPr="00C858FA" w:rsidRDefault="00E117CD" w:rsidP="00E117CD">
      <w:pPr>
        <w:pStyle w:val="Cuerpodeltexto0"/>
        <w:shd w:val="clear" w:color="auto" w:fill="auto"/>
        <w:spacing w:after="0" w:line="360" w:lineRule="auto"/>
        <w:ind w:right="23"/>
        <w:rPr>
          <w:rFonts w:ascii="Georgia" w:hAnsi="Georgia" w:cs="Arial"/>
          <w:color w:val="000000"/>
          <w:sz w:val="24"/>
          <w:szCs w:val="24"/>
        </w:rPr>
      </w:pPr>
    </w:p>
    <w:p w:rsidR="00E117CD" w:rsidRPr="00C858FA" w:rsidRDefault="00E117CD" w:rsidP="00E117CD">
      <w:pPr>
        <w:pStyle w:val="Cuerpodeltexto0"/>
        <w:shd w:val="clear" w:color="auto" w:fill="auto"/>
        <w:spacing w:after="0" w:line="360" w:lineRule="auto"/>
        <w:ind w:right="23"/>
        <w:rPr>
          <w:rFonts w:ascii="Georgia" w:hAnsi="Georgia" w:cs="Arial"/>
          <w:color w:val="000000"/>
          <w:sz w:val="24"/>
          <w:szCs w:val="24"/>
        </w:rPr>
      </w:pPr>
      <w:r w:rsidRPr="00C858FA">
        <w:rPr>
          <w:rFonts w:ascii="Georgia" w:hAnsi="Georgia" w:cs="Arial"/>
          <w:color w:val="000000"/>
          <w:sz w:val="24"/>
          <w:szCs w:val="24"/>
        </w:rPr>
        <w:t>Ahora, el artículo 90</w:t>
      </w:r>
      <w:r w:rsidR="00622E8B">
        <w:rPr>
          <w:rFonts w:ascii="Georgia" w:hAnsi="Georgia" w:cs="Arial"/>
          <w:color w:val="000000"/>
          <w:sz w:val="24"/>
          <w:szCs w:val="24"/>
        </w:rPr>
        <w:t>,</w:t>
      </w:r>
      <w:r w:rsidRPr="00C858FA">
        <w:rPr>
          <w:rFonts w:ascii="Georgia" w:hAnsi="Georgia" w:cs="Arial"/>
          <w:color w:val="000000"/>
          <w:sz w:val="24"/>
          <w:szCs w:val="24"/>
        </w:rPr>
        <w:t xml:space="preserve"> </w:t>
      </w:r>
      <w:r w:rsidR="00622E8B">
        <w:rPr>
          <w:rFonts w:ascii="Georgia" w:hAnsi="Georgia" w:cs="Arial"/>
          <w:color w:val="000000"/>
          <w:sz w:val="24"/>
          <w:szCs w:val="24"/>
        </w:rPr>
        <w:t>ib.</w:t>
      </w:r>
      <w:r w:rsidRPr="00C858FA">
        <w:rPr>
          <w:rFonts w:ascii="Georgia" w:hAnsi="Georgia" w:cs="Arial"/>
          <w:color w:val="000000"/>
          <w:sz w:val="24"/>
          <w:szCs w:val="24"/>
        </w:rPr>
        <w:t xml:space="preserve">, contiene las causales de inadmisión del libelo y autoriza al juez (a), para que conceda cinco (5) días, para su saneamiento, so pena de rechazo. Y no se trata de meras formalidades, la citada regla en la forma dispuesta en el CPC (Artículo 85), fue declarada exequible por la </w:t>
      </w:r>
      <w:r w:rsidR="00622E8B">
        <w:rPr>
          <w:rFonts w:ascii="Georgia" w:hAnsi="Georgia" w:cs="Arial"/>
          <w:color w:val="000000"/>
          <w:sz w:val="24"/>
          <w:szCs w:val="24"/>
        </w:rPr>
        <w:t>CC</w:t>
      </w:r>
      <w:r w:rsidRPr="00C858FA">
        <w:rPr>
          <w:rStyle w:val="Appelnotedebasdep"/>
          <w:rFonts w:ascii="Georgia" w:hAnsi="Georgia"/>
          <w:color w:val="000000"/>
          <w:sz w:val="24"/>
          <w:szCs w:val="24"/>
        </w:rPr>
        <w:footnoteReference w:id="7"/>
      </w:r>
      <w:r w:rsidRPr="00C858FA">
        <w:rPr>
          <w:rFonts w:ascii="Georgia" w:hAnsi="Georgia" w:cs="Arial"/>
          <w:color w:val="000000"/>
          <w:sz w:val="24"/>
          <w:szCs w:val="24"/>
        </w:rPr>
        <w:t>, al estimar que no desconoce el debido proceso ni el derecho sustancial, pues contiene exigencias razonables. V</w:t>
      </w:r>
      <w:r w:rsidR="00CE670D" w:rsidRPr="00C858FA">
        <w:rPr>
          <w:rFonts w:ascii="Georgia" w:hAnsi="Georgia" w:cs="Arial"/>
          <w:color w:val="000000"/>
          <w:sz w:val="24"/>
          <w:szCs w:val="24"/>
        </w:rPr>
        <w:t>á</w:t>
      </w:r>
      <w:r w:rsidRPr="00C858FA">
        <w:rPr>
          <w:rFonts w:ascii="Georgia" w:hAnsi="Georgia" w:cs="Arial"/>
          <w:color w:val="000000"/>
          <w:sz w:val="24"/>
          <w:szCs w:val="24"/>
        </w:rPr>
        <w:t xml:space="preserve">lido recalcar que esa doctrina jurisprudencial es aplicable al CGP, pues a pesar de que esa regulación </w:t>
      </w:r>
      <w:r w:rsidRPr="00C858FA">
        <w:rPr>
          <w:rFonts w:ascii="Georgia" w:hAnsi="Georgia"/>
          <w:sz w:val="24"/>
          <w:szCs w:val="24"/>
        </w:rPr>
        <w:t>modificó algunos tópicos de lo estatuido para este aspecto en el CPC, no hubo cambios sustanciales. Esa Corporación</w:t>
      </w:r>
      <w:r w:rsidRPr="00C858FA">
        <w:rPr>
          <w:rFonts w:ascii="Georgia" w:hAnsi="Georgia" w:cs="Arial"/>
          <w:color w:val="000000"/>
          <w:sz w:val="24"/>
          <w:szCs w:val="24"/>
        </w:rPr>
        <w:t xml:space="preserve"> sostuvo en su momento:</w:t>
      </w:r>
    </w:p>
    <w:p w:rsidR="00CE670D" w:rsidRPr="00C858FA" w:rsidRDefault="00CE670D" w:rsidP="00E117CD">
      <w:pPr>
        <w:pStyle w:val="Cuerpodeltexto0"/>
        <w:shd w:val="clear" w:color="auto" w:fill="auto"/>
        <w:spacing w:after="0" w:line="360" w:lineRule="auto"/>
        <w:ind w:right="23"/>
        <w:rPr>
          <w:rFonts w:ascii="Georgia" w:hAnsi="Georgia" w:cs="Arial"/>
          <w:color w:val="000000"/>
          <w:sz w:val="24"/>
          <w:szCs w:val="24"/>
        </w:rPr>
      </w:pPr>
    </w:p>
    <w:p w:rsidR="00E117CD" w:rsidRPr="00C858FA" w:rsidRDefault="000F5B0C" w:rsidP="000F5B0C">
      <w:pPr>
        <w:pStyle w:val="Cuerpodeltexto0"/>
        <w:shd w:val="clear" w:color="auto" w:fill="auto"/>
        <w:spacing w:after="0" w:line="240" w:lineRule="auto"/>
        <w:ind w:left="567" w:right="567"/>
        <w:rPr>
          <w:rFonts w:ascii="Georgia" w:hAnsi="Georgia" w:cs="Arial"/>
          <w:color w:val="000000"/>
          <w:sz w:val="24"/>
          <w:szCs w:val="24"/>
        </w:rPr>
      </w:pPr>
      <w:r w:rsidRPr="00C858FA">
        <w:rPr>
          <w:rFonts w:ascii="Georgia" w:hAnsi="Georgia" w:cs="Arial"/>
          <w:color w:val="000000"/>
          <w:sz w:val="24"/>
          <w:szCs w:val="24"/>
        </w:rPr>
        <w:t>La exigencia de estos requisitos encuentra su razón de ser, al considerarse que la demanda es un acto de postulación, a través del cual la persona que la impetra, ejercita un derecho frente al Estado, pone en funcionamiento el aparato judicial y propicia, la iniciación de una relación procesal.</w:t>
      </w:r>
    </w:p>
    <w:p w:rsidR="000F5B0C" w:rsidRPr="00C858FA" w:rsidRDefault="000F5B0C" w:rsidP="000F5B0C">
      <w:pPr>
        <w:pStyle w:val="Cuerpodeltexto0"/>
        <w:shd w:val="clear" w:color="auto" w:fill="auto"/>
        <w:spacing w:after="0" w:line="240" w:lineRule="auto"/>
        <w:ind w:left="567" w:right="567"/>
        <w:rPr>
          <w:rFonts w:ascii="Georgia" w:hAnsi="Georgia" w:cs="Arial"/>
          <w:color w:val="000000"/>
          <w:sz w:val="24"/>
          <w:szCs w:val="24"/>
        </w:rPr>
      </w:pPr>
    </w:p>
    <w:p w:rsidR="0092254F" w:rsidRPr="00C858FA" w:rsidRDefault="0092254F" w:rsidP="000F5B0C">
      <w:pPr>
        <w:pStyle w:val="Cuerpodeltexto0"/>
        <w:shd w:val="clear" w:color="auto" w:fill="auto"/>
        <w:spacing w:after="0" w:line="240" w:lineRule="auto"/>
        <w:ind w:left="567" w:right="567"/>
        <w:rPr>
          <w:rFonts w:ascii="Georgia" w:hAnsi="Georgia" w:cs="Arial"/>
          <w:color w:val="000000"/>
          <w:sz w:val="24"/>
          <w:szCs w:val="24"/>
        </w:rPr>
      </w:pPr>
      <w:r w:rsidRPr="00C858FA">
        <w:rPr>
          <w:rFonts w:ascii="Georgia" w:hAnsi="Georgia" w:cs="Arial"/>
          <w:color w:val="000000"/>
          <w:sz w:val="24"/>
          <w:szCs w:val="24"/>
        </w:rPr>
        <w:t xml:space="preserve">… </w:t>
      </w:r>
    </w:p>
    <w:p w:rsidR="0092254F" w:rsidRPr="00C858FA" w:rsidRDefault="0092254F" w:rsidP="000F5B0C">
      <w:pPr>
        <w:pStyle w:val="Cuerpodeltexto0"/>
        <w:shd w:val="clear" w:color="auto" w:fill="auto"/>
        <w:spacing w:after="0" w:line="240" w:lineRule="auto"/>
        <w:ind w:left="567" w:right="567"/>
        <w:rPr>
          <w:rFonts w:ascii="Georgia" w:hAnsi="Georgia" w:cs="Arial"/>
          <w:color w:val="000000"/>
          <w:sz w:val="24"/>
          <w:szCs w:val="24"/>
        </w:rPr>
      </w:pPr>
    </w:p>
    <w:p w:rsidR="00E117CD" w:rsidRPr="00C858FA" w:rsidRDefault="00E117CD" w:rsidP="00E117CD">
      <w:pPr>
        <w:autoSpaceDE w:val="0"/>
        <w:autoSpaceDN w:val="0"/>
        <w:adjustRightInd w:val="0"/>
        <w:ind w:left="567" w:right="567"/>
        <w:jc w:val="both"/>
        <w:rPr>
          <w:rFonts w:ascii="Georgia" w:hAnsi="Georgia" w:cs="Arial"/>
          <w:lang w:val="es-ES_tradnl"/>
        </w:rPr>
      </w:pPr>
      <w:r w:rsidRPr="00C858FA">
        <w:rPr>
          <w:rFonts w:ascii="Georgia" w:hAnsi="Georgia" w:cs="Arial"/>
          <w:lang w:val="es-ES_tradnl"/>
        </w:rPr>
        <w:t xml:space="preserve">Entonces, debe entenderse que el auto que inadmite una demanda lleva consigo la procedencia o improcedencia posterior de la misma, </w:t>
      </w:r>
      <w:r w:rsidRPr="00C858FA">
        <w:rPr>
          <w:rFonts w:ascii="Georgia" w:hAnsi="Georgia" w:cs="Arial"/>
          <w:u w:val="single"/>
          <w:lang w:val="es-ES_tradnl"/>
        </w:rPr>
        <w:t>pues es el demandante quien cuenta con la carga de subsanar los defectos de que ella adolezca</w:t>
      </w:r>
      <w:r w:rsidRPr="00C858FA">
        <w:rPr>
          <w:rFonts w:ascii="Georgia" w:hAnsi="Georgia" w:cs="Arial"/>
          <w:lang w:val="es-ES_tradnl"/>
        </w:rPr>
        <w:t>, defectos que han sido establecidos previamente por el legislador y que son señalados por el juez de conocimiento para que sean corregidos.</w:t>
      </w:r>
    </w:p>
    <w:p w:rsidR="00622E8B" w:rsidRPr="00C858FA" w:rsidRDefault="00622E8B" w:rsidP="00622E8B">
      <w:pPr>
        <w:autoSpaceDE w:val="0"/>
        <w:autoSpaceDN w:val="0"/>
        <w:adjustRightInd w:val="0"/>
        <w:ind w:left="567" w:right="567"/>
        <w:jc w:val="both"/>
        <w:rPr>
          <w:rFonts w:ascii="Georgia" w:hAnsi="Georgia" w:cs="Arial"/>
          <w:lang w:val="es-ES_tradnl"/>
        </w:rPr>
      </w:pPr>
    </w:p>
    <w:p w:rsidR="00E117CD" w:rsidRPr="00C858FA" w:rsidRDefault="00E117CD" w:rsidP="00E117CD">
      <w:pPr>
        <w:pStyle w:val="Cuerpodeltexto0"/>
        <w:shd w:val="clear" w:color="auto" w:fill="auto"/>
        <w:spacing w:after="0" w:line="240" w:lineRule="auto"/>
        <w:ind w:left="567" w:right="567"/>
        <w:rPr>
          <w:rFonts w:ascii="Georgia" w:hAnsi="Georgia" w:cs="Arial"/>
          <w:color w:val="000000"/>
          <w:sz w:val="24"/>
          <w:szCs w:val="24"/>
        </w:rPr>
      </w:pPr>
      <w:r w:rsidRPr="00C858FA">
        <w:rPr>
          <w:rFonts w:ascii="Georgia" w:hAnsi="Georgia" w:cs="Arial"/>
          <w:sz w:val="24"/>
          <w:szCs w:val="24"/>
          <w:lang w:val="es-ES_tradnl"/>
        </w:rPr>
        <w:t xml:space="preserve">3.4. Significa lo anterior, que al regularse de manera específica el estatuto procesal se contempló una serie de requisitos, con el fin de evitar un desgaste en el aparato judicial, pues </w:t>
      </w:r>
      <w:r w:rsidRPr="00C858FA">
        <w:rPr>
          <w:rFonts w:ascii="Georgia" w:hAnsi="Georgia" w:cs="Arial"/>
          <w:sz w:val="24"/>
          <w:szCs w:val="24"/>
          <w:u w:val="single"/>
          <w:lang w:val="es-ES_tradnl"/>
        </w:rPr>
        <w:t xml:space="preserve">en cierta medida lo que se pretende, es garantizar el éxito del proceso, evitando un fallo inocuo, o que la presentación de un escrito no involucre en sí mismo una controversia, es decir que no haya una </w:t>
      </w:r>
      <w:proofErr w:type="spellStart"/>
      <w:r w:rsidRPr="00C858FA">
        <w:rPr>
          <w:rFonts w:ascii="Georgia" w:hAnsi="Georgia" w:cs="Arial"/>
          <w:sz w:val="24"/>
          <w:szCs w:val="24"/>
          <w:u w:val="single"/>
          <w:lang w:val="es-ES_tradnl"/>
        </w:rPr>
        <w:t>litis</w:t>
      </w:r>
      <w:proofErr w:type="spellEnd"/>
      <w:r w:rsidRPr="00C858FA">
        <w:rPr>
          <w:rFonts w:ascii="Georgia" w:hAnsi="Georgia" w:cs="Arial"/>
          <w:sz w:val="24"/>
          <w:szCs w:val="24"/>
          <w:u w:val="single"/>
          <w:lang w:val="es-ES_tradnl"/>
        </w:rPr>
        <w:t xml:space="preserve"> definida.</w:t>
      </w:r>
    </w:p>
    <w:p w:rsidR="00E117CD" w:rsidRPr="00C858FA" w:rsidRDefault="00E117CD" w:rsidP="00E117CD">
      <w:pPr>
        <w:pStyle w:val="Cuerpodeltexto0"/>
        <w:shd w:val="clear" w:color="auto" w:fill="auto"/>
        <w:spacing w:after="0" w:line="240" w:lineRule="auto"/>
        <w:ind w:left="567" w:right="23"/>
        <w:rPr>
          <w:rFonts w:ascii="Georgia" w:hAnsi="Georgia" w:cs="Arial"/>
          <w:color w:val="000000"/>
          <w:sz w:val="24"/>
          <w:szCs w:val="24"/>
        </w:rPr>
      </w:pPr>
    </w:p>
    <w:p w:rsidR="00E117CD" w:rsidRPr="00C858FA" w:rsidRDefault="00E117CD" w:rsidP="00E117CD">
      <w:pPr>
        <w:pStyle w:val="Cuerpodeltexto0"/>
        <w:shd w:val="clear" w:color="auto" w:fill="auto"/>
        <w:spacing w:after="0" w:line="240" w:lineRule="auto"/>
        <w:ind w:left="567" w:right="23"/>
        <w:rPr>
          <w:rFonts w:ascii="Georgia" w:hAnsi="Georgia" w:cs="Arial"/>
          <w:color w:val="000000"/>
          <w:sz w:val="24"/>
          <w:szCs w:val="24"/>
        </w:rPr>
      </w:pPr>
      <w:r w:rsidRPr="00C858FA">
        <w:rPr>
          <w:rFonts w:ascii="Georgia" w:hAnsi="Georgia" w:cs="Arial"/>
          <w:color w:val="000000"/>
          <w:sz w:val="24"/>
          <w:szCs w:val="24"/>
        </w:rPr>
        <w:t>…</w:t>
      </w:r>
    </w:p>
    <w:p w:rsidR="00E117CD" w:rsidRPr="00C858FA" w:rsidRDefault="00E117CD" w:rsidP="00E117CD">
      <w:pPr>
        <w:pStyle w:val="Cuerpodeltexto0"/>
        <w:shd w:val="clear" w:color="auto" w:fill="auto"/>
        <w:spacing w:after="0" w:line="240" w:lineRule="auto"/>
        <w:ind w:left="567" w:right="23"/>
        <w:rPr>
          <w:rFonts w:ascii="Georgia" w:hAnsi="Georgia" w:cs="Arial"/>
          <w:color w:val="000000"/>
          <w:sz w:val="24"/>
          <w:szCs w:val="24"/>
        </w:rPr>
      </w:pPr>
    </w:p>
    <w:p w:rsidR="00E117CD" w:rsidRPr="00C858FA" w:rsidRDefault="00E117CD" w:rsidP="00E117CD">
      <w:pPr>
        <w:autoSpaceDE w:val="0"/>
        <w:autoSpaceDN w:val="0"/>
        <w:adjustRightInd w:val="0"/>
        <w:ind w:left="567" w:right="567"/>
        <w:jc w:val="both"/>
        <w:rPr>
          <w:rFonts w:ascii="Georgia" w:hAnsi="Georgia" w:cs="Arial"/>
          <w:lang w:val="es-ES_tradnl"/>
        </w:rPr>
      </w:pPr>
      <w:r w:rsidRPr="00C858FA">
        <w:rPr>
          <w:rFonts w:ascii="Georgia" w:hAnsi="Georgia" w:cs="Arial"/>
          <w:lang w:val="es-ES_tradnl"/>
        </w:rPr>
        <w:t xml:space="preserve">De aceptarse entonces que la inclusión de ciertos requisitos de forma, desconocen la garantía del debido proceso, sería como aceptar la existencia de procesos sin ley, </w:t>
      </w:r>
      <w:r w:rsidRPr="00C858FA">
        <w:rPr>
          <w:rFonts w:ascii="Georgia" w:hAnsi="Georgia" w:cs="Arial"/>
          <w:u w:val="single"/>
          <w:lang w:val="es-ES_tradnl"/>
        </w:rPr>
        <w:t>pues cada trámite procesal debe estar previamente definido en la ley</w:t>
      </w:r>
      <w:r w:rsidRPr="00C858FA">
        <w:rPr>
          <w:rFonts w:ascii="Georgia" w:hAnsi="Georgia" w:cs="Arial"/>
          <w:lang w:val="es-ES_tradnl"/>
        </w:rPr>
        <w:t xml:space="preserve"> y esto es precisamente para proteger tanto a las personas que acuden a instancias judiciales, como al Estado para que en su actividad no exista un desgaste innecesario que involucre procedimientos inocuos.</w:t>
      </w:r>
    </w:p>
    <w:p w:rsidR="00E117CD" w:rsidRPr="00C858FA" w:rsidRDefault="00E117CD" w:rsidP="00E117CD">
      <w:pPr>
        <w:autoSpaceDE w:val="0"/>
        <w:autoSpaceDN w:val="0"/>
        <w:adjustRightInd w:val="0"/>
        <w:ind w:left="567" w:right="567"/>
        <w:jc w:val="both"/>
        <w:rPr>
          <w:rFonts w:ascii="Georgia" w:hAnsi="Georgia" w:cs="Arial"/>
          <w:lang w:val="es-ES_tradnl"/>
        </w:rPr>
      </w:pPr>
    </w:p>
    <w:p w:rsidR="00E117CD" w:rsidRPr="00C858FA" w:rsidRDefault="00E117CD" w:rsidP="00E117CD">
      <w:pPr>
        <w:pStyle w:val="Cuerpodeltexto0"/>
        <w:shd w:val="clear" w:color="auto" w:fill="auto"/>
        <w:spacing w:after="0" w:line="240" w:lineRule="auto"/>
        <w:ind w:left="567" w:right="567"/>
        <w:rPr>
          <w:rFonts w:ascii="Georgia" w:hAnsi="Georgia" w:cs="Arial"/>
          <w:color w:val="000000"/>
          <w:sz w:val="24"/>
          <w:szCs w:val="24"/>
          <w:u w:val="single"/>
        </w:rPr>
      </w:pPr>
      <w:r w:rsidRPr="00C858FA">
        <w:rPr>
          <w:rFonts w:ascii="Georgia" w:hAnsi="Georgia" w:cs="Arial"/>
          <w:sz w:val="24"/>
          <w:szCs w:val="24"/>
          <w:u w:val="single"/>
          <w:lang w:val="es-ES_tradnl"/>
        </w:rPr>
        <w:t>La norma demandada al establecer unos requisitos mínimos razonables para la admisión de la demanda, busca hacer más viable el derecho a la administración de justicia, garantizando los derechos de quienes intervienen en el proceso.</w:t>
      </w:r>
      <w:r w:rsidRPr="00C858FA">
        <w:rPr>
          <w:rFonts w:ascii="Georgia" w:hAnsi="Georgia" w:cs="Arial"/>
          <w:sz w:val="24"/>
          <w:szCs w:val="24"/>
          <w:lang w:val="es-ES_tradnl"/>
        </w:rPr>
        <w:t xml:space="preserve">  La </w:t>
      </w:r>
      <w:proofErr w:type="spellStart"/>
      <w:r w:rsidRPr="00C858FA">
        <w:rPr>
          <w:rFonts w:ascii="Georgia" w:hAnsi="Georgia" w:cs="Arial"/>
          <w:sz w:val="24"/>
          <w:szCs w:val="24"/>
          <w:lang w:val="es-ES_tradnl"/>
        </w:rPr>
        <w:t>sublínea</w:t>
      </w:r>
      <w:proofErr w:type="spellEnd"/>
      <w:r w:rsidRPr="00C858FA">
        <w:rPr>
          <w:rFonts w:ascii="Georgia" w:hAnsi="Georgia" w:cs="Arial"/>
          <w:sz w:val="24"/>
          <w:szCs w:val="24"/>
          <w:lang w:val="es-ES_tradnl"/>
        </w:rPr>
        <w:t xml:space="preserve"> está puesta a propósito.</w:t>
      </w:r>
    </w:p>
    <w:p w:rsidR="00622E8B" w:rsidRDefault="00622E8B" w:rsidP="00E117CD">
      <w:pPr>
        <w:pStyle w:val="Sansinterligne"/>
        <w:spacing w:line="360" w:lineRule="auto"/>
        <w:jc w:val="both"/>
        <w:rPr>
          <w:rFonts w:ascii="Georgia" w:hAnsi="Georgia" w:cs="Arial"/>
          <w:sz w:val="24"/>
          <w:szCs w:val="24"/>
          <w:lang w:val="es-CO"/>
        </w:rPr>
      </w:pPr>
    </w:p>
    <w:p w:rsidR="00E117CD" w:rsidRDefault="00E117CD" w:rsidP="00E117CD">
      <w:pPr>
        <w:pStyle w:val="Sansinterligne"/>
        <w:spacing w:line="360" w:lineRule="auto"/>
        <w:jc w:val="both"/>
        <w:rPr>
          <w:rFonts w:ascii="Georgia" w:hAnsi="Georgia" w:cs="Arial"/>
          <w:sz w:val="24"/>
          <w:szCs w:val="24"/>
        </w:rPr>
      </w:pPr>
      <w:r w:rsidRPr="00C858FA">
        <w:rPr>
          <w:rFonts w:ascii="Georgia" w:hAnsi="Georgia" w:cs="Arial"/>
          <w:sz w:val="24"/>
          <w:szCs w:val="24"/>
          <w:lang w:val="es-CO"/>
        </w:rPr>
        <w:t xml:space="preserve">Ahora, debe considerarse que tratándose de causales que afectan la </w:t>
      </w:r>
      <w:r w:rsidRPr="00C858FA">
        <w:rPr>
          <w:rFonts w:ascii="Georgia" w:hAnsi="Georgia" w:cs="Arial"/>
          <w:i/>
          <w:sz w:val="24"/>
          <w:szCs w:val="24"/>
          <w:lang w:val="es-CO"/>
        </w:rPr>
        <w:t>tutela judicial efectiva</w:t>
      </w:r>
      <w:r w:rsidRPr="00C858FA">
        <w:rPr>
          <w:rFonts w:ascii="Georgia" w:hAnsi="Georgia" w:cs="Arial"/>
          <w:sz w:val="24"/>
          <w:szCs w:val="24"/>
          <w:lang w:val="es-CO"/>
        </w:rPr>
        <w:t xml:space="preserve"> o el derecho de acceso a la administración de justicia, la interpretación se hace de forma restrictiva, tal como dispone de antaño </w:t>
      </w:r>
      <w:r w:rsidRPr="00C858FA">
        <w:rPr>
          <w:rFonts w:ascii="Georgia" w:hAnsi="Georgia" w:cs="Arial"/>
          <w:sz w:val="24"/>
          <w:szCs w:val="24"/>
        </w:rPr>
        <w:t>la Ley 153 de 1887, y comprende tanto la justicia ordinaria</w:t>
      </w:r>
      <w:r w:rsidRPr="00C858FA">
        <w:rPr>
          <w:rStyle w:val="Appelnotedebasdep"/>
          <w:rFonts w:ascii="Georgia" w:hAnsi="Georgia" w:cs="Arial"/>
          <w:sz w:val="24"/>
          <w:szCs w:val="24"/>
        </w:rPr>
        <w:footnoteReference w:id="8"/>
      </w:r>
      <w:r w:rsidRPr="00C858FA">
        <w:rPr>
          <w:rFonts w:ascii="Georgia" w:hAnsi="Georgia" w:cs="Arial"/>
          <w:sz w:val="24"/>
          <w:szCs w:val="24"/>
        </w:rPr>
        <w:t>, como constitucional</w:t>
      </w:r>
      <w:r w:rsidRPr="00C858FA">
        <w:rPr>
          <w:rStyle w:val="Appelnotedebasdep"/>
          <w:rFonts w:ascii="Georgia" w:hAnsi="Georgia" w:cs="Arial"/>
          <w:sz w:val="24"/>
          <w:szCs w:val="24"/>
        </w:rPr>
        <w:footnoteReference w:id="9"/>
      </w:r>
      <w:r w:rsidRPr="00C858FA">
        <w:rPr>
          <w:rFonts w:ascii="Georgia" w:hAnsi="Georgia" w:cs="Arial"/>
          <w:sz w:val="24"/>
          <w:szCs w:val="24"/>
        </w:rPr>
        <w:t>, en los siguientes términos:</w:t>
      </w:r>
    </w:p>
    <w:p w:rsidR="00622E8B" w:rsidRPr="00C858FA" w:rsidRDefault="00622E8B" w:rsidP="00E117CD">
      <w:pPr>
        <w:pStyle w:val="Sansinterligne"/>
        <w:spacing w:line="360" w:lineRule="auto"/>
        <w:jc w:val="both"/>
        <w:rPr>
          <w:rFonts w:ascii="Georgia" w:hAnsi="Georgia" w:cs="Arial"/>
        </w:rPr>
      </w:pPr>
    </w:p>
    <w:p w:rsidR="00E117CD" w:rsidRPr="00C858FA" w:rsidRDefault="00E117CD" w:rsidP="00E117CD">
      <w:pPr>
        <w:pStyle w:val="Cuerpodeltexto0"/>
        <w:shd w:val="clear" w:color="auto" w:fill="auto"/>
        <w:spacing w:after="0" w:line="240" w:lineRule="auto"/>
        <w:ind w:left="567" w:right="567"/>
        <w:rPr>
          <w:rFonts w:ascii="Georgia" w:hAnsi="Georgia" w:cs="Arial"/>
          <w:sz w:val="24"/>
          <w:szCs w:val="28"/>
          <w:shd w:val="clear" w:color="auto" w:fill="FFFFFF"/>
        </w:rPr>
      </w:pPr>
      <w:r w:rsidRPr="00C858FA">
        <w:rPr>
          <w:rFonts w:ascii="Georgia" w:hAnsi="Georgia" w:cs="Arial"/>
          <w:sz w:val="24"/>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C858FA">
        <w:rPr>
          <w:rFonts w:ascii="Georgia" w:hAnsi="Georgia" w:cs="Arial"/>
          <w:sz w:val="24"/>
          <w:szCs w:val="28"/>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C858FA">
        <w:rPr>
          <w:rFonts w:ascii="Georgia" w:hAnsi="Georgia" w:cs="Arial"/>
          <w:sz w:val="24"/>
          <w:szCs w:val="28"/>
          <w:shd w:val="clear" w:color="auto" w:fill="FFFFFF"/>
        </w:rPr>
        <w:t xml:space="preserve">.  </w:t>
      </w:r>
      <w:proofErr w:type="spellStart"/>
      <w:r w:rsidRPr="00C858FA">
        <w:rPr>
          <w:rFonts w:ascii="Georgia" w:hAnsi="Georgia" w:cs="Arial"/>
          <w:sz w:val="24"/>
          <w:szCs w:val="28"/>
          <w:shd w:val="clear" w:color="auto" w:fill="FFFFFF"/>
        </w:rPr>
        <w:t>Sublínea</w:t>
      </w:r>
      <w:proofErr w:type="spellEnd"/>
      <w:r w:rsidRPr="00C858FA">
        <w:rPr>
          <w:rFonts w:ascii="Georgia" w:hAnsi="Georgia" w:cs="Arial"/>
          <w:sz w:val="24"/>
          <w:szCs w:val="28"/>
          <w:shd w:val="clear" w:color="auto" w:fill="FFFFFF"/>
        </w:rPr>
        <w:t xml:space="preserve"> ajena al original.</w:t>
      </w:r>
    </w:p>
    <w:p w:rsidR="003D75DB" w:rsidRPr="00E11988" w:rsidRDefault="003D75DB" w:rsidP="003D75DB">
      <w:pPr>
        <w:pStyle w:val="Paragraphedeliste"/>
        <w:overflowPunct w:val="0"/>
        <w:autoSpaceDE w:val="0"/>
        <w:autoSpaceDN w:val="0"/>
        <w:adjustRightInd w:val="0"/>
        <w:spacing w:line="360" w:lineRule="auto"/>
        <w:jc w:val="both"/>
        <w:textAlignment w:val="baseline"/>
        <w:rPr>
          <w:rFonts w:ascii="Georgia" w:hAnsi="Georgia" w:cs="Arial"/>
          <w:sz w:val="28"/>
        </w:rPr>
      </w:pPr>
    </w:p>
    <w:p w:rsidR="00E11988" w:rsidRDefault="000A0B04" w:rsidP="00EA6DBB">
      <w:pPr>
        <w:pStyle w:val="Cuerpodeltexto0"/>
        <w:shd w:val="clear" w:color="auto" w:fill="auto"/>
        <w:spacing w:after="0" w:line="360" w:lineRule="auto"/>
        <w:rPr>
          <w:rFonts w:ascii="Georgia" w:hAnsi="Georgia" w:cs="Arial"/>
          <w:sz w:val="24"/>
          <w:szCs w:val="24"/>
          <w:lang w:val="es-CO"/>
        </w:rPr>
      </w:pPr>
      <w:r w:rsidRPr="00BA7870">
        <w:rPr>
          <w:rFonts w:ascii="Georgia" w:hAnsi="Georgia" w:cs="Arial"/>
          <w:sz w:val="24"/>
          <w:szCs w:val="24"/>
          <w:lang w:val="es-CO"/>
        </w:rPr>
        <w:t>El artículo 26-3º, ib.</w:t>
      </w:r>
      <w:r w:rsidR="00BA7870">
        <w:rPr>
          <w:rFonts w:ascii="Georgia" w:hAnsi="Georgia" w:cs="Arial"/>
          <w:sz w:val="24"/>
          <w:szCs w:val="24"/>
          <w:lang w:val="es-CO"/>
        </w:rPr>
        <w:t xml:space="preserve">, reglamenta </w:t>
      </w:r>
      <w:r w:rsidR="00E11988">
        <w:rPr>
          <w:rFonts w:ascii="Georgia" w:hAnsi="Georgia" w:cs="Arial"/>
          <w:sz w:val="24"/>
          <w:szCs w:val="24"/>
          <w:lang w:val="es-CO"/>
        </w:rPr>
        <w:t xml:space="preserve">la competencia por el factor cuantía </w:t>
      </w:r>
      <w:r w:rsidRPr="00BA7870">
        <w:rPr>
          <w:rFonts w:ascii="Georgia" w:hAnsi="Georgia" w:cs="Arial"/>
          <w:sz w:val="24"/>
          <w:szCs w:val="24"/>
          <w:lang w:val="es-CO"/>
        </w:rPr>
        <w:t xml:space="preserve">en los </w:t>
      </w:r>
      <w:r w:rsidR="00416810" w:rsidRPr="00BA7870">
        <w:rPr>
          <w:rFonts w:ascii="Georgia" w:hAnsi="Georgia" w:cs="Arial"/>
          <w:sz w:val="24"/>
          <w:szCs w:val="24"/>
          <w:lang w:val="es-CO"/>
        </w:rPr>
        <w:t>procesos de</w:t>
      </w:r>
      <w:r w:rsidRPr="00BA7870">
        <w:rPr>
          <w:rFonts w:ascii="Georgia" w:hAnsi="Georgia" w:cs="Arial"/>
          <w:sz w:val="24"/>
          <w:szCs w:val="24"/>
          <w:lang w:val="es-CO"/>
        </w:rPr>
        <w:t xml:space="preserve"> declaración de </w:t>
      </w:r>
      <w:r w:rsidR="00416810" w:rsidRPr="00BA7870">
        <w:rPr>
          <w:rFonts w:ascii="Georgia" w:hAnsi="Georgia" w:cs="Arial"/>
          <w:sz w:val="24"/>
          <w:szCs w:val="24"/>
          <w:lang w:val="es-CO"/>
        </w:rPr>
        <w:t>pertenencia</w:t>
      </w:r>
      <w:r w:rsidR="00E11988">
        <w:rPr>
          <w:rFonts w:ascii="Georgia" w:hAnsi="Georgia" w:cs="Arial"/>
          <w:sz w:val="24"/>
          <w:szCs w:val="24"/>
          <w:lang w:val="es-CO"/>
        </w:rPr>
        <w:t xml:space="preserve"> y </w:t>
      </w:r>
      <w:r w:rsidR="00F73F2B">
        <w:rPr>
          <w:rFonts w:ascii="Georgia" w:hAnsi="Georgia" w:cs="Arial"/>
          <w:sz w:val="24"/>
          <w:szCs w:val="24"/>
          <w:lang w:val="es-CO"/>
        </w:rPr>
        <w:t xml:space="preserve">establece que se </w:t>
      </w:r>
      <w:r w:rsidR="00BA7870">
        <w:rPr>
          <w:rFonts w:ascii="Georgia" w:hAnsi="Georgia" w:cs="Arial"/>
          <w:sz w:val="24"/>
          <w:szCs w:val="24"/>
          <w:lang w:val="es-CO"/>
        </w:rPr>
        <w:t>fija</w:t>
      </w:r>
      <w:r w:rsidR="00E11988">
        <w:rPr>
          <w:rFonts w:ascii="Georgia" w:hAnsi="Georgia" w:cs="Arial"/>
          <w:sz w:val="24"/>
          <w:szCs w:val="24"/>
          <w:lang w:val="es-CO"/>
        </w:rPr>
        <w:t>rá</w:t>
      </w:r>
      <w:r w:rsidR="00416810" w:rsidRPr="00BA7870">
        <w:rPr>
          <w:rFonts w:ascii="Georgia" w:hAnsi="Georgia" w:cs="Arial"/>
          <w:sz w:val="24"/>
          <w:szCs w:val="24"/>
          <w:lang w:val="es-CO"/>
        </w:rPr>
        <w:t xml:space="preserve"> con el avalúo catastral de los </w:t>
      </w:r>
      <w:r w:rsidR="00416810" w:rsidRPr="00BA7870">
        <w:rPr>
          <w:rFonts w:ascii="Georgia" w:hAnsi="Georgia" w:cs="Arial"/>
          <w:sz w:val="24"/>
          <w:szCs w:val="24"/>
          <w:lang w:val="es-CO"/>
        </w:rPr>
        <w:lastRenderedPageBreak/>
        <w:t xml:space="preserve">inmuebles, sin </w:t>
      </w:r>
      <w:r w:rsidR="00E11988">
        <w:rPr>
          <w:rFonts w:ascii="Georgia" w:hAnsi="Georgia" w:cs="Arial"/>
          <w:sz w:val="24"/>
          <w:szCs w:val="24"/>
          <w:lang w:val="es-CO"/>
        </w:rPr>
        <w:t xml:space="preserve">imponer </w:t>
      </w:r>
      <w:r w:rsidR="00F73F2B">
        <w:rPr>
          <w:rFonts w:ascii="Georgia" w:hAnsi="Georgia" w:cs="Arial"/>
          <w:sz w:val="24"/>
          <w:szCs w:val="24"/>
          <w:lang w:val="es-CO"/>
        </w:rPr>
        <w:t xml:space="preserve">al interesado </w:t>
      </w:r>
      <w:r w:rsidR="00E11988">
        <w:rPr>
          <w:rFonts w:ascii="Georgia" w:hAnsi="Georgia" w:cs="Arial"/>
          <w:sz w:val="24"/>
          <w:szCs w:val="24"/>
          <w:lang w:val="es-CO"/>
        </w:rPr>
        <w:t xml:space="preserve">la obligación </w:t>
      </w:r>
      <w:r w:rsidR="00F73F2B">
        <w:rPr>
          <w:rFonts w:ascii="Georgia" w:hAnsi="Georgia" w:cs="Arial"/>
          <w:sz w:val="24"/>
          <w:szCs w:val="24"/>
          <w:lang w:val="es-CO"/>
        </w:rPr>
        <w:t xml:space="preserve">de </w:t>
      </w:r>
      <w:r w:rsidR="00A811BC">
        <w:rPr>
          <w:rFonts w:ascii="Georgia" w:hAnsi="Georgia" w:cs="Arial"/>
          <w:sz w:val="24"/>
          <w:szCs w:val="24"/>
          <w:lang w:val="es-CO"/>
        </w:rPr>
        <w:t xml:space="preserve">anexar </w:t>
      </w:r>
      <w:r w:rsidR="00F73F2B">
        <w:rPr>
          <w:rFonts w:ascii="Georgia" w:hAnsi="Georgia" w:cs="Arial"/>
          <w:sz w:val="24"/>
          <w:szCs w:val="24"/>
          <w:lang w:val="es-CO"/>
        </w:rPr>
        <w:t xml:space="preserve">una </w:t>
      </w:r>
      <w:r w:rsidR="00E11988">
        <w:rPr>
          <w:rFonts w:ascii="Georgia" w:hAnsi="Georgia" w:cs="Arial"/>
          <w:sz w:val="24"/>
          <w:szCs w:val="24"/>
          <w:lang w:val="es-CO"/>
        </w:rPr>
        <w:t>certificación catastral</w:t>
      </w:r>
      <w:r w:rsidR="00A811BC">
        <w:rPr>
          <w:rFonts w:ascii="Georgia" w:hAnsi="Georgia" w:cs="Arial"/>
          <w:sz w:val="24"/>
          <w:szCs w:val="24"/>
          <w:lang w:val="es-CO"/>
        </w:rPr>
        <w:t>;</w:t>
      </w:r>
      <w:r w:rsidR="00E11988">
        <w:rPr>
          <w:rFonts w:ascii="Georgia" w:hAnsi="Georgia" w:cs="Arial"/>
          <w:sz w:val="24"/>
          <w:szCs w:val="24"/>
          <w:lang w:val="es-CO"/>
        </w:rPr>
        <w:t xml:space="preserve"> </w:t>
      </w:r>
      <w:r w:rsidR="00A811BC">
        <w:rPr>
          <w:rFonts w:ascii="Georgia" w:hAnsi="Georgia" w:cs="Arial"/>
          <w:sz w:val="24"/>
          <w:szCs w:val="24"/>
          <w:lang w:val="es-CO"/>
        </w:rPr>
        <w:t xml:space="preserve">tampoco reseña </w:t>
      </w:r>
      <w:r w:rsidR="00416810" w:rsidRPr="00BA7870">
        <w:rPr>
          <w:rFonts w:ascii="Georgia" w:hAnsi="Georgia" w:cs="Arial"/>
          <w:sz w:val="24"/>
          <w:szCs w:val="24"/>
          <w:lang w:val="es-CO"/>
        </w:rPr>
        <w:t xml:space="preserve">ningún otro tipo </w:t>
      </w:r>
      <w:r w:rsidR="00BA7870">
        <w:rPr>
          <w:rFonts w:ascii="Georgia" w:hAnsi="Georgia" w:cs="Arial"/>
          <w:sz w:val="24"/>
          <w:szCs w:val="24"/>
          <w:lang w:val="es-CO"/>
        </w:rPr>
        <w:t xml:space="preserve">de fuente </w:t>
      </w:r>
      <w:r w:rsidR="00416810" w:rsidRPr="00BA7870">
        <w:rPr>
          <w:rFonts w:ascii="Georgia" w:hAnsi="Georgia" w:cs="Arial"/>
          <w:sz w:val="24"/>
          <w:szCs w:val="24"/>
          <w:lang w:val="es-CO"/>
        </w:rPr>
        <w:t>que pueda suplir este requisito de la demanda. Su redacción es clara</w:t>
      </w:r>
      <w:r w:rsidR="00BA7870" w:rsidRPr="00BA7870">
        <w:rPr>
          <w:rFonts w:ascii="Georgia" w:hAnsi="Georgia" w:cs="Arial"/>
          <w:sz w:val="24"/>
          <w:szCs w:val="24"/>
          <w:lang w:val="es-CO"/>
        </w:rPr>
        <w:t xml:space="preserve"> y </w:t>
      </w:r>
      <w:r w:rsidR="00416810" w:rsidRPr="00BA7870">
        <w:rPr>
          <w:rFonts w:ascii="Georgia" w:hAnsi="Georgia" w:cs="Arial"/>
          <w:sz w:val="24"/>
          <w:szCs w:val="24"/>
          <w:lang w:val="es-CO"/>
        </w:rPr>
        <w:t>específica</w:t>
      </w:r>
      <w:r w:rsidR="00BA7870" w:rsidRPr="00BA7870">
        <w:rPr>
          <w:rFonts w:ascii="Georgia" w:hAnsi="Georgia" w:cs="Arial"/>
          <w:sz w:val="24"/>
          <w:szCs w:val="24"/>
          <w:lang w:val="es-CO"/>
        </w:rPr>
        <w:t xml:space="preserve">, no da lugar </w:t>
      </w:r>
      <w:r w:rsidR="00477813">
        <w:rPr>
          <w:rFonts w:ascii="Georgia" w:hAnsi="Georgia" w:cs="Arial"/>
          <w:sz w:val="24"/>
          <w:szCs w:val="24"/>
          <w:lang w:val="es-CO"/>
        </w:rPr>
        <w:t xml:space="preserve">a </w:t>
      </w:r>
      <w:r w:rsidR="00BA7870" w:rsidRPr="00BA7870">
        <w:rPr>
          <w:rFonts w:ascii="Georgia" w:hAnsi="Georgia" w:cs="Arial"/>
          <w:sz w:val="24"/>
          <w:szCs w:val="24"/>
          <w:lang w:val="es-CO"/>
        </w:rPr>
        <w:t xml:space="preserve">duda alguna. </w:t>
      </w:r>
    </w:p>
    <w:p w:rsidR="00E11988" w:rsidRDefault="00E11988" w:rsidP="00EA6DBB">
      <w:pPr>
        <w:pStyle w:val="Cuerpodeltexto0"/>
        <w:shd w:val="clear" w:color="auto" w:fill="auto"/>
        <w:spacing w:after="0" w:line="360" w:lineRule="auto"/>
        <w:rPr>
          <w:rFonts w:ascii="Georgia" w:hAnsi="Georgia" w:cs="Arial"/>
          <w:sz w:val="24"/>
          <w:szCs w:val="24"/>
          <w:lang w:val="es-CO"/>
        </w:rPr>
      </w:pPr>
    </w:p>
    <w:p w:rsidR="00E11988" w:rsidRDefault="00E11988" w:rsidP="00EA6DBB">
      <w:pPr>
        <w:pStyle w:val="Cuerpodeltexto0"/>
        <w:shd w:val="clear" w:color="auto" w:fill="auto"/>
        <w:spacing w:after="0" w:line="360" w:lineRule="auto"/>
        <w:rPr>
          <w:rFonts w:ascii="Georgia" w:hAnsi="Georgia" w:cs="Arial"/>
          <w:sz w:val="24"/>
          <w:szCs w:val="24"/>
          <w:lang w:val="es-CO"/>
        </w:rPr>
      </w:pPr>
      <w:r>
        <w:rPr>
          <w:rFonts w:ascii="Georgia" w:hAnsi="Georgia" w:cs="Arial"/>
          <w:sz w:val="24"/>
          <w:szCs w:val="24"/>
          <w:lang w:val="es-CO"/>
        </w:rPr>
        <w:t xml:space="preserve">Los artículos 82 y </w:t>
      </w:r>
      <w:proofErr w:type="spellStart"/>
      <w:r>
        <w:rPr>
          <w:rFonts w:ascii="Georgia" w:hAnsi="Georgia" w:cs="Arial"/>
          <w:sz w:val="24"/>
          <w:szCs w:val="24"/>
          <w:lang w:val="es-CO"/>
        </w:rPr>
        <w:t>ss</w:t>
      </w:r>
      <w:proofErr w:type="spellEnd"/>
      <w:r>
        <w:rPr>
          <w:rFonts w:ascii="Georgia" w:hAnsi="Georgia" w:cs="Arial"/>
          <w:sz w:val="24"/>
          <w:szCs w:val="24"/>
          <w:lang w:val="es-CO"/>
        </w:rPr>
        <w:t xml:space="preserve">, ib., </w:t>
      </w:r>
      <w:r w:rsidR="004A68D8">
        <w:rPr>
          <w:rFonts w:ascii="Georgia" w:hAnsi="Georgia" w:cs="Arial"/>
          <w:sz w:val="24"/>
          <w:szCs w:val="24"/>
          <w:lang w:val="es-CO"/>
        </w:rPr>
        <w:t xml:space="preserve">como se advirtió en precedencia, </w:t>
      </w:r>
      <w:r>
        <w:rPr>
          <w:rFonts w:ascii="Georgia" w:hAnsi="Georgia" w:cs="Arial"/>
          <w:sz w:val="24"/>
          <w:szCs w:val="24"/>
          <w:lang w:val="es-CO"/>
        </w:rPr>
        <w:t xml:space="preserve">refieren los requisitos y anexos que deben cumplirse para </w:t>
      </w:r>
      <w:r w:rsidR="00F73F2B">
        <w:rPr>
          <w:rFonts w:ascii="Georgia" w:hAnsi="Georgia" w:cs="Arial"/>
          <w:sz w:val="24"/>
          <w:szCs w:val="24"/>
          <w:lang w:val="es-CO"/>
        </w:rPr>
        <w:t xml:space="preserve">presentar una </w:t>
      </w:r>
      <w:r>
        <w:rPr>
          <w:rFonts w:ascii="Georgia" w:hAnsi="Georgia" w:cs="Arial"/>
          <w:sz w:val="24"/>
          <w:szCs w:val="24"/>
          <w:lang w:val="es-CO"/>
        </w:rPr>
        <w:t>demanda, indispensable</w:t>
      </w:r>
      <w:r w:rsidR="00F73F2B">
        <w:rPr>
          <w:rFonts w:ascii="Georgia" w:hAnsi="Georgia" w:cs="Arial"/>
          <w:sz w:val="24"/>
          <w:szCs w:val="24"/>
          <w:lang w:val="es-CO"/>
        </w:rPr>
        <w:t>s</w:t>
      </w:r>
      <w:r>
        <w:rPr>
          <w:rFonts w:ascii="Georgia" w:hAnsi="Georgia" w:cs="Arial"/>
          <w:sz w:val="24"/>
          <w:szCs w:val="24"/>
          <w:lang w:val="es-CO"/>
        </w:rPr>
        <w:t xml:space="preserve"> para su admisión y trámite, </w:t>
      </w:r>
      <w:r w:rsidR="00F73F2B">
        <w:rPr>
          <w:rFonts w:ascii="Georgia" w:hAnsi="Georgia" w:cs="Arial"/>
          <w:sz w:val="24"/>
          <w:szCs w:val="24"/>
          <w:lang w:val="es-CO"/>
        </w:rPr>
        <w:t>mas</w:t>
      </w:r>
      <w:r>
        <w:rPr>
          <w:rFonts w:ascii="Georgia" w:hAnsi="Georgia" w:cs="Arial"/>
          <w:sz w:val="24"/>
          <w:szCs w:val="24"/>
          <w:lang w:val="es-CO"/>
        </w:rPr>
        <w:t xml:space="preserve"> ninguno de ellos hace alusión </w:t>
      </w:r>
      <w:r w:rsidR="00F73F2B">
        <w:rPr>
          <w:rFonts w:ascii="Georgia" w:hAnsi="Georgia" w:cs="Arial"/>
          <w:sz w:val="24"/>
          <w:szCs w:val="24"/>
          <w:lang w:val="es-CO"/>
        </w:rPr>
        <w:t xml:space="preserve">a </w:t>
      </w:r>
      <w:r>
        <w:rPr>
          <w:rFonts w:ascii="Georgia" w:hAnsi="Georgia" w:cs="Arial"/>
          <w:sz w:val="24"/>
          <w:szCs w:val="24"/>
          <w:lang w:val="es-CO"/>
        </w:rPr>
        <w:t xml:space="preserve">documento que </w:t>
      </w:r>
      <w:r w:rsidR="00F73F2B">
        <w:rPr>
          <w:rFonts w:ascii="Georgia" w:hAnsi="Georgia" w:cs="Arial"/>
          <w:sz w:val="24"/>
          <w:szCs w:val="24"/>
          <w:lang w:val="es-CO"/>
        </w:rPr>
        <w:t xml:space="preserve">dé </w:t>
      </w:r>
      <w:r>
        <w:rPr>
          <w:rFonts w:ascii="Georgia" w:hAnsi="Georgia" w:cs="Arial"/>
          <w:sz w:val="24"/>
          <w:szCs w:val="24"/>
          <w:lang w:val="es-CO"/>
        </w:rPr>
        <w:t xml:space="preserve">cuenta sobre el avalúo catastral; </w:t>
      </w:r>
      <w:r w:rsidR="00A811BC">
        <w:rPr>
          <w:rFonts w:ascii="Georgia" w:hAnsi="Georgia" w:cs="Arial"/>
          <w:sz w:val="24"/>
          <w:szCs w:val="24"/>
          <w:lang w:val="es-CO"/>
        </w:rPr>
        <w:t xml:space="preserve">ni siquiera </w:t>
      </w:r>
      <w:r>
        <w:rPr>
          <w:rFonts w:ascii="Georgia" w:hAnsi="Georgia" w:cs="Arial"/>
          <w:sz w:val="24"/>
          <w:szCs w:val="24"/>
          <w:lang w:val="es-CO"/>
        </w:rPr>
        <w:t xml:space="preserve">esa exigencia la contempla el artículo 375, ib., especial para procesos de pertenencia.  </w:t>
      </w:r>
    </w:p>
    <w:p w:rsidR="00F73F2B" w:rsidRDefault="00F73F2B" w:rsidP="00EA6DBB">
      <w:pPr>
        <w:pStyle w:val="Cuerpodeltexto0"/>
        <w:shd w:val="clear" w:color="auto" w:fill="auto"/>
        <w:spacing w:after="0" w:line="360" w:lineRule="auto"/>
        <w:rPr>
          <w:rFonts w:ascii="Georgia" w:hAnsi="Georgia" w:cs="Arial"/>
          <w:sz w:val="24"/>
          <w:szCs w:val="24"/>
          <w:lang w:val="es-CO"/>
        </w:rPr>
      </w:pPr>
    </w:p>
    <w:p w:rsidR="00AD7403" w:rsidRDefault="00AD7403" w:rsidP="00EA6DBB">
      <w:pPr>
        <w:pStyle w:val="Cuerpodeltexto0"/>
        <w:shd w:val="clear" w:color="auto" w:fill="auto"/>
        <w:spacing w:after="0" w:line="360" w:lineRule="auto"/>
        <w:rPr>
          <w:rFonts w:ascii="Georgia" w:hAnsi="Georgia" w:cs="Arial"/>
          <w:sz w:val="24"/>
          <w:szCs w:val="24"/>
          <w:lang w:val="es-CO"/>
        </w:rPr>
      </w:pPr>
      <w:r>
        <w:rPr>
          <w:rFonts w:ascii="Georgia" w:hAnsi="Georgia" w:cs="Arial"/>
          <w:sz w:val="24"/>
          <w:szCs w:val="24"/>
          <w:lang w:val="es-CO"/>
        </w:rPr>
        <w:t>Ahora</w:t>
      </w:r>
      <w:r w:rsidR="00A811BC">
        <w:rPr>
          <w:rFonts w:ascii="Georgia" w:hAnsi="Georgia" w:cs="Arial"/>
          <w:sz w:val="24"/>
          <w:szCs w:val="24"/>
          <w:lang w:val="es-CO"/>
        </w:rPr>
        <w:t>,</w:t>
      </w:r>
      <w:r>
        <w:rPr>
          <w:rFonts w:ascii="Georgia" w:hAnsi="Georgia" w:cs="Arial"/>
          <w:sz w:val="24"/>
          <w:szCs w:val="24"/>
          <w:lang w:val="es-CO"/>
        </w:rPr>
        <w:t xml:space="preserve"> como se trata de un elemento definitorio de la competencia, debe entonces la parte </w:t>
      </w:r>
      <w:r w:rsidR="00A811BC">
        <w:rPr>
          <w:rFonts w:ascii="Georgia" w:hAnsi="Georgia" w:cs="Arial"/>
          <w:sz w:val="24"/>
          <w:szCs w:val="24"/>
          <w:lang w:val="es-CO"/>
        </w:rPr>
        <w:t xml:space="preserve">demandante, de </w:t>
      </w:r>
      <w:r>
        <w:rPr>
          <w:rFonts w:ascii="Georgia" w:hAnsi="Georgia" w:cs="Arial"/>
          <w:sz w:val="24"/>
          <w:szCs w:val="24"/>
          <w:lang w:val="es-CO"/>
        </w:rPr>
        <w:t xml:space="preserve">conformidad con los artículos 82-9º y 26-3º, ib., estimar en la demanda la cuantía conforme al avalúo catastral, esto es, </w:t>
      </w:r>
      <w:r w:rsidRPr="00446945">
        <w:rPr>
          <w:rFonts w:ascii="Georgia" w:hAnsi="Georgia" w:cs="Arial"/>
          <w:sz w:val="24"/>
          <w:szCs w:val="24"/>
          <w:u w:val="single"/>
          <w:lang w:val="es-CO"/>
        </w:rPr>
        <w:t xml:space="preserve">simplemente mencionar el valor </w:t>
      </w:r>
      <w:r w:rsidR="00B30612">
        <w:rPr>
          <w:rFonts w:ascii="Georgia" w:hAnsi="Georgia" w:cs="Arial"/>
          <w:sz w:val="24"/>
          <w:szCs w:val="24"/>
          <w:u w:val="single"/>
          <w:lang w:val="es-CO"/>
        </w:rPr>
        <w:t xml:space="preserve">que </w:t>
      </w:r>
      <w:r w:rsidRPr="00446945">
        <w:rPr>
          <w:rFonts w:ascii="Georgia" w:hAnsi="Georgia" w:cs="Arial"/>
          <w:sz w:val="24"/>
          <w:szCs w:val="24"/>
          <w:u w:val="single"/>
          <w:lang w:val="es-CO"/>
        </w:rPr>
        <w:t>corresponde al mentado avalúo</w:t>
      </w:r>
      <w:r>
        <w:rPr>
          <w:rFonts w:ascii="Georgia" w:hAnsi="Georgia" w:cs="Arial"/>
          <w:sz w:val="24"/>
          <w:szCs w:val="24"/>
          <w:lang w:val="es-CO"/>
        </w:rPr>
        <w:t xml:space="preserve">, </w:t>
      </w:r>
      <w:r w:rsidR="00A811BC">
        <w:rPr>
          <w:rFonts w:ascii="Georgia" w:hAnsi="Georgia" w:cs="Arial"/>
          <w:sz w:val="24"/>
          <w:szCs w:val="24"/>
          <w:lang w:val="es-CO"/>
        </w:rPr>
        <w:t xml:space="preserve">innecesario es que traiga </w:t>
      </w:r>
      <w:r>
        <w:rPr>
          <w:rFonts w:ascii="Georgia" w:hAnsi="Georgia" w:cs="Arial"/>
          <w:sz w:val="24"/>
          <w:szCs w:val="24"/>
          <w:lang w:val="es-CO"/>
        </w:rPr>
        <w:t xml:space="preserve">soporte alguno. </w:t>
      </w:r>
    </w:p>
    <w:p w:rsidR="009C647B" w:rsidRDefault="009C647B" w:rsidP="00EA6DBB">
      <w:pPr>
        <w:pStyle w:val="Cuerpodeltexto0"/>
        <w:shd w:val="clear" w:color="auto" w:fill="auto"/>
        <w:spacing w:after="0" w:line="360" w:lineRule="auto"/>
        <w:rPr>
          <w:rFonts w:ascii="Georgia" w:hAnsi="Georgia" w:cs="Arial"/>
          <w:sz w:val="24"/>
          <w:szCs w:val="24"/>
          <w:lang w:val="es-CO"/>
        </w:rPr>
      </w:pPr>
    </w:p>
    <w:p w:rsidR="009C647B" w:rsidRDefault="009C647B" w:rsidP="009C647B">
      <w:pPr>
        <w:pStyle w:val="Cuerpodeltexto0"/>
        <w:shd w:val="clear" w:color="auto" w:fill="auto"/>
        <w:spacing w:after="0" w:line="360" w:lineRule="auto"/>
        <w:rPr>
          <w:rFonts w:ascii="Georgia" w:hAnsi="Georgia" w:cs="Arial"/>
          <w:sz w:val="24"/>
          <w:szCs w:val="24"/>
        </w:rPr>
      </w:pPr>
      <w:r>
        <w:rPr>
          <w:rFonts w:ascii="Georgia" w:hAnsi="Georgia" w:cs="Arial"/>
          <w:sz w:val="24"/>
          <w:szCs w:val="24"/>
        </w:rPr>
        <w:t>Al respecto concepto doctrinario</w:t>
      </w:r>
      <w:r>
        <w:rPr>
          <w:rStyle w:val="Appelnotedebasdep"/>
          <w:rFonts w:ascii="Georgia" w:hAnsi="Georgia"/>
          <w:sz w:val="24"/>
          <w:szCs w:val="24"/>
        </w:rPr>
        <w:footnoteReference w:id="10"/>
      </w:r>
      <w:r>
        <w:rPr>
          <w:rFonts w:ascii="Georgia" w:hAnsi="Georgia" w:cs="Arial"/>
          <w:sz w:val="24"/>
          <w:szCs w:val="24"/>
        </w:rPr>
        <w:t xml:space="preserve"> que comparte esta Magistratura: </w:t>
      </w:r>
      <w:r w:rsidRPr="00914EA3">
        <w:rPr>
          <w:rFonts w:ascii="Georgia" w:hAnsi="Georgia" w:cs="Arial"/>
          <w:i/>
          <w:sz w:val="22"/>
          <w:szCs w:val="24"/>
        </w:rPr>
        <w:t>“(…) Por supuesto que no es exigible el certificado de la autoridad catastral como anexo de la demanda, pues si la ley no lo requiere es porque se presume la buena fe del demandante cuando indica el avalúo, sin perjuicio de que la contraparte pueda discutirlo (…)”</w:t>
      </w:r>
      <w:r w:rsidR="00446945">
        <w:rPr>
          <w:rFonts w:ascii="Georgia" w:hAnsi="Georgia" w:cs="Arial"/>
          <w:i/>
          <w:sz w:val="22"/>
          <w:szCs w:val="24"/>
        </w:rPr>
        <w:t>.</w:t>
      </w:r>
      <w:r>
        <w:rPr>
          <w:rFonts w:ascii="Georgia" w:hAnsi="Georgia" w:cs="Arial"/>
          <w:sz w:val="24"/>
          <w:szCs w:val="24"/>
        </w:rPr>
        <w:t xml:space="preserve">   </w:t>
      </w:r>
    </w:p>
    <w:p w:rsidR="00A811BC" w:rsidRDefault="00A811BC" w:rsidP="00EA6DBB">
      <w:pPr>
        <w:pStyle w:val="Cuerpodeltexto0"/>
        <w:shd w:val="clear" w:color="auto" w:fill="auto"/>
        <w:spacing w:after="0" w:line="360" w:lineRule="auto"/>
        <w:rPr>
          <w:rFonts w:ascii="Georgia" w:hAnsi="Georgia" w:cs="Arial"/>
          <w:sz w:val="24"/>
          <w:szCs w:val="24"/>
          <w:lang w:val="es-CO"/>
        </w:rPr>
      </w:pPr>
    </w:p>
    <w:p w:rsidR="00AB3E4E" w:rsidRDefault="00AB3E4E" w:rsidP="00AB3E4E">
      <w:pPr>
        <w:pStyle w:val="Cuerpodeltexto0"/>
        <w:shd w:val="clear" w:color="auto" w:fill="auto"/>
        <w:spacing w:after="0" w:line="360" w:lineRule="auto"/>
        <w:rPr>
          <w:rFonts w:ascii="Georgia" w:hAnsi="Georgia" w:cs="Arial"/>
          <w:sz w:val="24"/>
          <w:szCs w:val="24"/>
        </w:rPr>
      </w:pPr>
      <w:r>
        <w:rPr>
          <w:rFonts w:ascii="Georgia" w:hAnsi="Georgia" w:cs="Arial"/>
          <w:sz w:val="24"/>
          <w:szCs w:val="24"/>
        </w:rPr>
        <w:t>Recuérdese que la parte demandada cuando conteste la demanda tendrá la oportunidad de formular la excepción previa de falta de competencia (Artículo 100-1º, ib.), si es que considera que la cuantía señalada por el demandante es superior a la dispuesta en el avaluó catastral</w:t>
      </w:r>
      <w:r w:rsidR="00446945">
        <w:rPr>
          <w:rFonts w:ascii="Georgia" w:hAnsi="Georgia" w:cs="Arial"/>
          <w:sz w:val="24"/>
          <w:szCs w:val="24"/>
        </w:rPr>
        <w:t>, lo que deberá probar</w:t>
      </w:r>
      <w:r>
        <w:rPr>
          <w:rFonts w:ascii="Georgia" w:hAnsi="Georgia" w:cs="Arial"/>
          <w:sz w:val="24"/>
          <w:szCs w:val="24"/>
        </w:rPr>
        <w:t>.</w:t>
      </w:r>
    </w:p>
    <w:p w:rsidR="00AB3E4E" w:rsidRDefault="00AB3E4E" w:rsidP="00EA6DBB">
      <w:pPr>
        <w:pStyle w:val="Cuerpodeltexto0"/>
        <w:shd w:val="clear" w:color="auto" w:fill="auto"/>
        <w:spacing w:after="0" w:line="360" w:lineRule="auto"/>
        <w:rPr>
          <w:rFonts w:ascii="Georgia" w:hAnsi="Georgia" w:cs="Arial"/>
          <w:sz w:val="24"/>
          <w:szCs w:val="24"/>
          <w:lang w:val="es-CO"/>
        </w:rPr>
      </w:pPr>
    </w:p>
    <w:p w:rsidR="00F73F2B" w:rsidRDefault="00F73F2B" w:rsidP="00EA6DBB">
      <w:pPr>
        <w:pStyle w:val="Cuerpodeltexto0"/>
        <w:shd w:val="clear" w:color="auto" w:fill="auto"/>
        <w:spacing w:after="0" w:line="360" w:lineRule="auto"/>
        <w:rPr>
          <w:rFonts w:ascii="Georgia" w:hAnsi="Georgia" w:cs="Arial"/>
          <w:sz w:val="24"/>
          <w:szCs w:val="24"/>
          <w:lang w:val="es-CO"/>
        </w:rPr>
      </w:pPr>
      <w:r>
        <w:rPr>
          <w:rFonts w:ascii="Georgia" w:hAnsi="Georgia" w:cs="Arial"/>
          <w:sz w:val="24"/>
          <w:szCs w:val="24"/>
          <w:lang w:val="es-CO"/>
        </w:rPr>
        <w:t>Así las cosas, la jueza de conocimiento no debió exigir a la parte actora que acercara dicha certificación</w:t>
      </w:r>
      <w:r w:rsidR="00AD7403">
        <w:rPr>
          <w:rFonts w:ascii="Georgia" w:hAnsi="Georgia" w:cs="Arial"/>
          <w:sz w:val="24"/>
          <w:szCs w:val="24"/>
          <w:lang w:val="es-CO"/>
        </w:rPr>
        <w:t>,</w:t>
      </w:r>
      <w:r>
        <w:rPr>
          <w:rFonts w:ascii="Georgia" w:hAnsi="Georgia" w:cs="Arial"/>
          <w:sz w:val="24"/>
          <w:szCs w:val="24"/>
          <w:lang w:val="es-CO"/>
        </w:rPr>
        <w:t xml:space="preserve"> </w:t>
      </w:r>
      <w:r w:rsidR="00AD7403">
        <w:rPr>
          <w:rFonts w:ascii="Georgia" w:hAnsi="Georgia" w:cs="Arial"/>
          <w:sz w:val="24"/>
          <w:szCs w:val="24"/>
          <w:lang w:val="es-CO"/>
        </w:rPr>
        <w:t xml:space="preserve">es </w:t>
      </w:r>
      <w:r>
        <w:rPr>
          <w:rFonts w:ascii="Georgia" w:hAnsi="Georgia" w:cs="Arial"/>
          <w:sz w:val="24"/>
          <w:szCs w:val="24"/>
          <w:lang w:val="es-CO"/>
        </w:rPr>
        <w:t>una carga innecesaria que entorpece el acceso a la administración de justicia</w:t>
      </w:r>
      <w:r w:rsidR="00A811BC">
        <w:rPr>
          <w:rFonts w:ascii="Georgia" w:hAnsi="Georgia" w:cs="Arial"/>
          <w:sz w:val="24"/>
          <w:szCs w:val="24"/>
          <w:lang w:val="es-CO"/>
        </w:rPr>
        <w:t xml:space="preserve"> (Artículo 2º, ib</w:t>
      </w:r>
      <w:r w:rsidR="00E3584D">
        <w:rPr>
          <w:rFonts w:ascii="Georgia" w:hAnsi="Georgia" w:cs="Arial"/>
          <w:sz w:val="24"/>
          <w:szCs w:val="24"/>
          <w:lang w:val="es-CO"/>
        </w:rPr>
        <w:t>.)</w:t>
      </w:r>
      <w:r w:rsidR="00446945">
        <w:rPr>
          <w:rFonts w:ascii="Georgia" w:hAnsi="Georgia" w:cs="Arial"/>
          <w:sz w:val="24"/>
          <w:szCs w:val="24"/>
          <w:lang w:val="es-CO"/>
        </w:rPr>
        <w:t xml:space="preserve">. </w:t>
      </w:r>
      <w:r w:rsidR="00E3584D">
        <w:rPr>
          <w:rFonts w:ascii="Georgia" w:hAnsi="Georgia" w:cs="Arial"/>
          <w:sz w:val="24"/>
          <w:szCs w:val="24"/>
          <w:lang w:val="es-CO"/>
        </w:rPr>
        <w:t xml:space="preserve">El </w:t>
      </w:r>
      <w:r>
        <w:rPr>
          <w:rFonts w:ascii="Georgia" w:hAnsi="Georgia" w:cs="Arial"/>
          <w:sz w:val="24"/>
          <w:szCs w:val="24"/>
          <w:lang w:val="es-CO"/>
        </w:rPr>
        <w:t xml:space="preserve">funcionario judicial cuando estudia la admisibilidad </w:t>
      </w:r>
      <w:r w:rsidR="00AD7403">
        <w:rPr>
          <w:rFonts w:ascii="Georgia" w:hAnsi="Georgia" w:cs="Arial"/>
          <w:sz w:val="24"/>
          <w:szCs w:val="24"/>
          <w:lang w:val="es-CO"/>
        </w:rPr>
        <w:t xml:space="preserve">de la demanda solo le corresponde </w:t>
      </w:r>
      <w:r>
        <w:rPr>
          <w:rFonts w:ascii="Georgia" w:hAnsi="Georgia" w:cs="Arial"/>
          <w:sz w:val="24"/>
          <w:szCs w:val="24"/>
          <w:lang w:val="es-CO"/>
        </w:rPr>
        <w:t xml:space="preserve">verificar el cumplimiento de </w:t>
      </w:r>
      <w:r w:rsidR="00AD7403">
        <w:rPr>
          <w:rFonts w:ascii="Georgia" w:hAnsi="Georgia" w:cs="Arial"/>
          <w:sz w:val="24"/>
          <w:szCs w:val="24"/>
          <w:lang w:val="es-CO"/>
        </w:rPr>
        <w:t xml:space="preserve">los </w:t>
      </w:r>
      <w:r>
        <w:rPr>
          <w:rFonts w:ascii="Georgia" w:hAnsi="Georgia" w:cs="Arial"/>
          <w:sz w:val="24"/>
          <w:szCs w:val="24"/>
          <w:lang w:val="es-CO"/>
        </w:rPr>
        <w:t xml:space="preserve">requisitos contemplados en las normas </w:t>
      </w:r>
      <w:r w:rsidR="004A68D8">
        <w:rPr>
          <w:rFonts w:ascii="Georgia" w:hAnsi="Georgia" w:cs="Arial"/>
          <w:sz w:val="24"/>
          <w:szCs w:val="24"/>
          <w:lang w:val="es-CO"/>
        </w:rPr>
        <w:t xml:space="preserve">previamente </w:t>
      </w:r>
      <w:r>
        <w:rPr>
          <w:rFonts w:ascii="Georgia" w:hAnsi="Georgia" w:cs="Arial"/>
          <w:sz w:val="24"/>
          <w:szCs w:val="24"/>
          <w:lang w:val="es-CO"/>
        </w:rPr>
        <w:t xml:space="preserve">aludidas, independientemente de que </w:t>
      </w:r>
      <w:r w:rsidR="00AD7403">
        <w:rPr>
          <w:rFonts w:ascii="Georgia" w:hAnsi="Georgia" w:cs="Arial"/>
          <w:sz w:val="24"/>
          <w:szCs w:val="24"/>
          <w:lang w:val="es-CO"/>
        </w:rPr>
        <w:t>considere conveniente que alguna otra precisión o documento hagan parte de la demanda</w:t>
      </w:r>
      <w:r w:rsidR="00AB3E4E">
        <w:rPr>
          <w:rFonts w:ascii="Georgia" w:hAnsi="Georgia" w:cs="Arial"/>
          <w:sz w:val="24"/>
          <w:szCs w:val="24"/>
          <w:lang w:val="es-CO"/>
        </w:rPr>
        <w:t xml:space="preserve">, se trata de circunstancias que pueden ser discutidas durante el trámite </w:t>
      </w:r>
      <w:r w:rsidR="00446945">
        <w:rPr>
          <w:rFonts w:ascii="Georgia" w:hAnsi="Georgia" w:cs="Arial"/>
          <w:sz w:val="24"/>
          <w:szCs w:val="24"/>
          <w:lang w:val="es-CO"/>
        </w:rPr>
        <w:t>del proceso</w:t>
      </w:r>
      <w:r>
        <w:rPr>
          <w:rFonts w:ascii="Georgia" w:hAnsi="Georgia" w:cs="Arial"/>
          <w:sz w:val="24"/>
          <w:szCs w:val="24"/>
          <w:lang w:val="es-CO"/>
        </w:rPr>
        <w:t xml:space="preserve">. </w:t>
      </w:r>
    </w:p>
    <w:p w:rsidR="00AD7403" w:rsidRDefault="00AD7403" w:rsidP="00EA6DBB">
      <w:pPr>
        <w:pStyle w:val="Cuerpodeltexto0"/>
        <w:shd w:val="clear" w:color="auto" w:fill="auto"/>
        <w:spacing w:after="0" w:line="360" w:lineRule="auto"/>
        <w:rPr>
          <w:rFonts w:ascii="Georgia" w:hAnsi="Georgia" w:cs="Arial"/>
          <w:sz w:val="24"/>
          <w:szCs w:val="24"/>
          <w:lang w:val="es-CO"/>
        </w:rPr>
      </w:pPr>
    </w:p>
    <w:p w:rsidR="00AD7403" w:rsidRDefault="009C647B" w:rsidP="00EA6DBB">
      <w:pPr>
        <w:pStyle w:val="Cuerpodeltexto0"/>
        <w:shd w:val="clear" w:color="auto" w:fill="auto"/>
        <w:spacing w:after="0" w:line="360" w:lineRule="auto"/>
        <w:rPr>
          <w:rFonts w:ascii="Georgia" w:hAnsi="Georgia" w:cs="Arial"/>
          <w:sz w:val="24"/>
          <w:szCs w:val="24"/>
          <w:lang w:val="es-CO"/>
        </w:rPr>
      </w:pPr>
      <w:r>
        <w:rPr>
          <w:rFonts w:ascii="Georgia" w:hAnsi="Georgia" w:cs="Arial"/>
          <w:sz w:val="24"/>
          <w:szCs w:val="24"/>
          <w:lang w:val="es-CO"/>
        </w:rPr>
        <w:t xml:space="preserve">Pese al yerro advertido, considera esta Magistratura que la juzgadora de instancia acertó cuando desechó el avalúo comercial como supletorio del avalúo catastral, iterase que el artículo 26-3º, ib., carece de excepción, no alude a </w:t>
      </w:r>
      <w:r w:rsidRPr="00BA7870">
        <w:rPr>
          <w:rFonts w:ascii="Georgia" w:hAnsi="Georgia" w:cs="Arial"/>
          <w:sz w:val="24"/>
          <w:szCs w:val="24"/>
          <w:lang w:val="es-CO"/>
        </w:rPr>
        <w:t xml:space="preserve">otro tipo </w:t>
      </w:r>
      <w:r>
        <w:rPr>
          <w:rFonts w:ascii="Georgia" w:hAnsi="Georgia" w:cs="Arial"/>
          <w:sz w:val="24"/>
          <w:szCs w:val="24"/>
          <w:lang w:val="es-CO"/>
        </w:rPr>
        <w:t xml:space="preserve">de fuente informativa, de tal suerte, que son infundadas las apreciaciones del </w:t>
      </w:r>
      <w:proofErr w:type="spellStart"/>
      <w:r>
        <w:rPr>
          <w:rFonts w:ascii="Georgia" w:hAnsi="Georgia" w:cs="Arial"/>
          <w:sz w:val="24"/>
          <w:szCs w:val="24"/>
          <w:lang w:val="es-CO"/>
        </w:rPr>
        <w:t>opugnante</w:t>
      </w:r>
      <w:proofErr w:type="spellEnd"/>
      <w:r>
        <w:rPr>
          <w:rFonts w:ascii="Georgia" w:hAnsi="Georgia" w:cs="Arial"/>
          <w:sz w:val="24"/>
          <w:szCs w:val="24"/>
          <w:lang w:val="es-CO"/>
        </w:rPr>
        <w:t xml:space="preserve"> cuando exige que sea tenido en cuanta para definir la cuantía.</w:t>
      </w:r>
    </w:p>
    <w:p w:rsidR="009C647B" w:rsidRDefault="009C647B" w:rsidP="00EA6DBB">
      <w:pPr>
        <w:pStyle w:val="Cuerpodeltexto0"/>
        <w:shd w:val="clear" w:color="auto" w:fill="auto"/>
        <w:spacing w:after="0" w:line="360" w:lineRule="auto"/>
        <w:rPr>
          <w:rFonts w:ascii="Georgia" w:hAnsi="Georgia" w:cs="Arial"/>
          <w:sz w:val="24"/>
          <w:szCs w:val="24"/>
          <w:lang w:val="es-CO"/>
        </w:rPr>
      </w:pPr>
    </w:p>
    <w:p w:rsidR="009C647B" w:rsidRDefault="009C647B" w:rsidP="009C647B">
      <w:pPr>
        <w:pStyle w:val="Cuerpodeltexto0"/>
        <w:shd w:val="clear" w:color="auto" w:fill="auto"/>
        <w:spacing w:after="0" w:line="360" w:lineRule="auto"/>
        <w:rPr>
          <w:rFonts w:ascii="Georgia" w:hAnsi="Georgia" w:cs="Arial"/>
          <w:sz w:val="24"/>
          <w:szCs w:val="24"/>
        </w:rPr>
      </w:pPr>
      <w:r>
        <w:rPr>
          <w:rFonts w:ascii="Georgia" w:hAnsi="Georgia" w:cs="Arial"/>
          <w:sz w:val="24"/>
          <w:szCs w:val="24"/>
          <w:lang w:val="es-CO"/>
        </w:rPr>
        <w:t xml:space="preserve">Válido es acotar que el resultado del trabajo pericial dista en mucho del valor que el IGAC fija para cada predio en particular, siempre inferior al primero, reza el parágrafo 2º, artículo 8º, Resolución No.70 de 2011: </w:t>
      </w:r>
      <w:r w:rsidRPr="00477813">
        <w:rPr>
          <w:rFonts w:ascii="Georgia" w:hAnsi="Georgia" w:cs="Arial"/>
          <w:i/>
          <w:sz w:val="22"/>
          <w:szCs w:val="24"/>
        </w:rPr>
        <w:t xml:space="preserve">“(…) El avalúo catastral es el valor asignado a cada predio por la autoridad catastral (…), tomando como referencia los valores del mercado inmobiliario, </w:t>
      </w:r>
      <w:r w:rsidRPr="00477813">
        <w:rPr>
          <w:rFonts w:ascii="Georgia" w:hAnsi="Georgia" w:cs="Arial"/>
          <w:i/>
          <w:sz w:val="22"/>
          <w:szCs w:val="24"/>
          <w:u w:val="single"/>
        </w:rPr>
        <w:t>sin que en ningún caso los supere</w:t>
      </w:r>
      <w:r w:rsidRPr="00477813">
        <w:rPr>
          <w:rFonts w:ascii="Georgia" w:hAnsi="Georgia" w:cs="Arial"/>
          <w:i/>
          <w:sz w:val="22"/>
          <w:szCs w:val="24"/>
        </w:rPr>
        <w:t>. (…)”</w:t>
      </w:r>
      <w:r w:rsidR="00B30612">
        <w:rPr>
          <w:rFonts w:ascii="Georgia" w:hAnsi="Georgia" w:cs="Arial"/>
          <w:i/>
          <w:sz w:val="22"/>
          <w:szCs w:val="24"/>
        </w:rPr>
        <w:t xml:space="preserve"> </w:t>
      </w:r>
      <w:r w:rsidR="00B30612" w:rsidRPr="00B30612">
        <w:rPr>
          <w:rFonts w:ascii="Georgia" w:hAnsi="Georgia" w:cs="Arial"/>
          <w:sz w:val="22"/>
          <w:szCs w:val="24"/>
        </w:rPr>
        <w:t>(Resaltado de la Sala)</w:t>
      </w:r>
      <w:r>
        <w:rPr>
          <w:rFonts w:ascii="Georgia" w:hAnsi="Georgia" w:cs="Arial"/>
          <w:i/>
          <w:sz w:val="22"/>
          <w:szCs w:val="24"/>
        </w:rPr>
        <w:t xml:space="preserve">; </w:t>
      </w:r>
      <w:r w:rsidRPr="003633C3">
        <w:rPr>
          <w:rFonts w:ascii="Georgia" w:hAnsi="Georgia" w:cs="Arial"/>
          <w:sz w:val="24"/>
          <w:szCs w:val="24"/>
        </w:rPr>
        <w:t>por lo tanto, no puede ser utilizado para definir la competencia</w:t>
      </w:r>
      <w:r>
        <w:rPr>
          <w:rFonts w:ascii="Georgia" w:hAnsi="Georgia" w:cs="Arial"/>
          <w:sz w:val="24"/>
          <w:szCs w:val="24"/>
        </w:rPr>
        <w:t xml:space="preserve">, su valor superior rara vez daría lugar a que un juez municipal pudiera conocer de un proceso de pertenencia. </w:t>
      </w:r>
    </w:p>
    <w:p w:rsidR="009C647B" w:rsidRDefault="009C647B" w:rsidP="009C647B">
      <w:pPr>
        <w:pStyle w:val="Cuerpodeltexto0"/>
        <w:shd w:val="clear" w:color="auto" w:fill="auto"/>
        <w:spacing w:after="0" w:line="360" w:lineRule="auto"/>
        <w:rPr>
          <w:rFonts w:ascii="Georgia" w:hAnsi="Georgia" w:cs="Arial"/>
          <w:sz w:val="24"/>
          <w:szCs w:val="24"/>
        </w:rPr>
      </w:pPr>
    </w:p>
    <w:p w:rsidR="009C647B" w:rsidRDefault="009C647B" w:rsidP="009C647B">
      <w:pPr>
        <w:pStyle w:val="Cuerpodeltexto0"/>
        <w:shd w:val="clear" w:color="auto" w:fill="auto"/>
        <w:spacing w:after="0" w:line="360" w:lineRule="auto"/>
        <w:rPr>
          <w:rFonts w:ascii="Georgia" w:hAnsi="Georgia" w:cs="Arial"/>
          <w:sz w:val="24"/>
          <w:szCs w:val="24"/>
        </w:rPr>
      </w:pPr>
      <w:r>
        <w:rPr>
          <w:rFonts w:ascii="Georgia" w:hAnsi="Georgia" w:cs="Arial"/>
          <w:sz w:val="24"/>
          <w:szCs w:val="24"/>
        </w:rPr>
        <w:t>Tampoco se acepta la justificación del actor fundada en la imposibilidad de obtener el certificado catastral</w:t>
      </w:r>
      <w:r w:rsidR="00AB3E4E">
        <w:rPr>
          <w:rFonts w:ascii="Georgia" w:hAnsi="Georgia" w:cs="Arial"/>
          <w:sz w:val="24"/>
          <w:szCs w:val="24"/>
        </w:rPr>
        <w:t xml:space="preserve"> (Que no es anexo de la demanda)</w:t>
      </w:r>
      <w:r>
        <w:rPr>
          <w:rFonts w:ascii="Georgia" w:hAnsi="Georgia" w:cs="Arial"/>
          <w:sz w:val="24"/>
          <w:szCs w:val="24"/>
        </w:rPr>
        <w:t>, la petición que formuló ante IGAC (Folio 154, ib.) nunca obtuvo respuesta negativa, recibió fue un comunicado con el que se le enteraba sobre la improcedencia de un trámite administrativo requerido por un tercero (Folio 155, ib.), de tal suerte que es dable que la autoridad catastral pueda acceder a su pedimento.</w:t>
      </w:r>
    </w:p>
    <w:p w:rsidR="009C647B" w:rsidRDefault="009C647B" w:rsidP="009C647B">
      <w:pPr>
        <w:pStyle w:val="Cuerpodeltexto0"/>
        <w:shd w:val="clear" w:color="auto" w:fill="auto"/>
        <w:spacing w:after="0" w:line="360" w:lineRule="auto"/>
        <w:rPr>
          <w:rFonts w:ascii="Georgia" w:hAnsi="Georgia" w:cs="Arial"/>
          <w:sz w:val="24"/>
          <w:szCs w:val="24"/>
        </w:rPr>
      </w:pPr>
    </w:p>
    <w:p w:rsidR="009C647B" w:rsidRDefault="009C647B" w:rsidP="009C647B">
      <w:pPr>
        <w:pStyle w:val="Cuerpodeltexto0"/>
        <w:shd w:val="clear" w:color="auto" w:fill="auto"/>
        <w:spacing w:after="0" w:line="360" w:lineRule="auto"/>
        <w:rPr>
          <w:rFonts w:ascii="Georgia" w:hAnsi="Georgia" w:cs="Arial"/>
          <w:sz w:val="24"/>
          <w:szCs w:val="24"/>
        </w:rPr>
      </w:pPr>
      <w:r>
        <w:rPr>
          <w:rFonts w:ascii="Georgia" w:hAnsi="Georgia" w:cs="Arial"/>
          <w:sz w:val="24"/>
          <w:szCs w:val="24"/>
        </w:rPr>
        <w:t xml:space="preserve">Además, como uno de los objetivos de catastro es </w:t>
      </w:r>
      <w:r w:rsidRPr="00793091">
        <w:rPr>
          <w:rFonts w:ascii="Georgia" w:hAnsi="Georgia" w:cs="Arial"/>
          <w:i/>
          <w:sz w:val="22"/>
          <w:szCs w:val="24"/>
        </w:rPr>
        <w:t>“(…) Establecer la base para la liquidación del impuesto predial unificado y de otros gravámenes y tasas que tengan su fundamento en el avalúo catastral</w:t>
      </w:r>
      <w:r>
        <w:rPr>
          <w:rFonts w:ascii="Georgia" w:hAnsi="Georgia" w:cs="Arial"/>
          <w:i/>
          <w:sz w:val="22"/>
          <w:szCs w:val="24"/>
        </w:rPr>
        <w:t xml:space="preserve"> </w:t>
      </w:r>
      <w:r w:rsidRPr="00793091">
        <w:rPr>
          <w:rFonts w:ascii="Georgia" w:hAnsi="Georgia" w:cs="Arial"/>
          <w:i/>
          <w:sz w:val="22"/>
          <w:szCs w:val="24"/>
        </w:rPr>
        <w:t>(…)”</w:t>
      </w:r>
      <w:r w:rsidRPr="00793091">
        <w:rPr>
          <w:rFonts w:ascii="Georgia" w:hAnsi="Georgia" w:cs="Arial"/>
          <w:sz w:val="22"/>
          <w:szCs w:val="24"/>
        </w:rPr>
        <w:t xml:space="preserve"> </w:t>
      </w:r>
      <w:r>
        <w:rPr>
          <w:rFonts w:ascii="Georgia" w:hAnsi="Georgia" w:cs="Arial"/>
          <w:sz w:val="24"/>
          <w:szCs w:val="24"/>
        </w:rPr>
        <w:t>(Artículo 106-3º Resolución No.70 de 2011), es dable que obtenga dicha información del recibo de impuesto predial de cada uno de los lotes solicitados en usucapión.</w:t>
      </w:r>
    </w:p>
    <w:p w:rsidR="009C647B" w:rsidRPr="00766E15" w:rsidRDefault="009C647B" w:rsidP="00EA6DBB">
      <w:pPr>
        <w:pStyle w:val="Cuerpodeltexto0"/>
        <w:shd w:val="clear" w:color="auto" w:fill="auto"/>
        <w:spacing w:after="0" w:line="360" w:lineRule="auto"/>
        <w:rPr>
          <w:rFonts w:ascii="Georgia" w:hAnsi="Georgia" w:cs="Arial"/>
          <w:sz w:val="24"/>
          <w:szCs w:val="24"/>
          <w:lang w:val="es-CO"/>
        </w:rPr>
      </w:pPr>
    </w:p>
    <w:p w:rsidR="00AC218A" w:rsidRDefault="00D158A7" w:rsidP="00AC218A">
      <w:pPr>
        <w:pStyle w:val="Textopredeterminado"/>
        <w:spacing w:line="360" w:lineRule="auto"/>
        <w:jc w:val="both"/>
        <w:rPr>
          <w:rFonts w:ascii="Arial" w:hAnsi="Arial" w:cs="Arial"/>
          <w:szCs w:val="24"/>
        </w:rPr>
      </w:pPr>
      <w:r w:rsidRPr="00766E15">
        <w:rPr>
          <w:rFonts w:ascii="Georgia" w:hAnsi="Georgia" w:cs="Arial"/>
          <w:szCs w:val="24"/>
        </w:rPr>
        <w:t xml:space="preserve">Según lo expuesto, </w:t>
      </w:r>
      <w:r w:rsidR="00766E15" w:rsidRPr="00766E15">
        <w:rPr>
          <w:rFonts w:ascii="Georgia" w:hAnsi="Georgia" w:cs="Arial"/>
        </w:rPr>
        <w:t xml:space="preserve">se aprecia que la decisión apelada habrá de revocarse, pues a ninguna de las causales establecidas en el artículo </w:t>
      </w:r>
      <w:r w:rsidR="00766E15">
        <w:rPr>
          <w:rFonts w:ascii="Georgia" w:hAnsi="Georgia" w:cs="Arial"/>
        </w:rPr>
        <w:t xml:space="preserve">90, ib., </w:t>
      </w:r>
      <w:r w:rsidR="00766E15" w:rsidRPr="00766E15">
        <w:rPr>
          <w:rFonts w:ascii="Georgia" w:hAnsi="Georgia" w:cs="Arial"/>
        </w:rPr>
        <w:t xml:space="preserve">se aviene, </w:t>
      </w:r>
      <w:r w:rsidR="00766E15">
        <w:rPr>
          <w:rFonts w:ascii="Georgia" w:hAnsi="Georgia" w:cs="Arial"/>
        </w:rPr>
        <w:t xml:space="preserve">dado que el avalúo catastral actualizado no es un anexo de la demanda; reconoce la Sala que el actor dejó de discutir esa </w:t>
      </w:r>
      <w:r w:rsidR="00AC218A">
        <w:rPr>
          <w:rFonts w:ascii="Georgia" w:hAnsi="Georgia" w:cs="Arial"/>
        </w:rPr>
        <w:t>irregular exigencia</w:t>
      </w:r>
      <w:r w:rsidR="00766E15">
        <w:rPr>
          <w:rFonts w:ascii="Georgia" w:hAnsi="Georgia" w:cs="Arial"/>
        </w:rPr>
        <w:t xml:space="preserve">, incluso de sus actuaciones se desprende que aceptó la obligación de traer </w:t>
      </w:r>
      <w:r w:rsidR="00AC218A">
        <w:rPr>
          <w:rFonts w:ascii="Georgia" w:hAnsi="Georgia" w:cs="Arial"/>
        </w:rPr>
        <w:t xml:space="preserve">el </w:t>
      </w:r>
      <w:r w:rsidR="00766E15">
        <w:rPr>
          <w:rFonts w:ascii="Georgia" w:hAnsi="Georgia" w:cs="Arial"/>
        </w:rPr>
        <w:t>documento, pero lo cierto es que la inadmisión de la demanda fue desacertada</w:t>
      </w:r>
      <w:r w:rsidR="00AC218A">
        <w:rPr>
          <w:rFonts w:ascii="Arial" w:hAnsi="Arial" w:cs="Arial"/>
          <w:szCs w:val="24"/>
        </w:rPr>
        <w:t xml:space="preserve">. </w:t>
      </w:r>
    </w:p>
    <w:p w:rsidR="00AC218A" w:rsidRDefault="00AC218A" w:rsidP="00AC218A">
      <w:pPr>
        <w:pStyle w:val="Textopredeterminado"/>
        <w:spacing w:line="360" w:lineRule="auto"/>
        <w:jc w:val="both"/>
        <w:rPr>
          <w:rFonts w:ascii="Arial" w:hAnsi="Arial" w:cs="Arial"/>
          <w:szCs w:val="24"/>
        </w:rPr>
      </w:pPr>
    </w:p>
    <w:p w:rsidR="00585759" w:rsidRDefault="00AC218A" w:rsidP="00585759">
      <w:pPr>
        <w:pStyle w:val="Textopredeterminado"/>
        <w:spacing w:line="360" w:lineRule="auto"/>
        <w:jc w:val="both"/>
        <w:rPr>
          <w:rFonts w:ascii="Georgia" w:hAnsi="Georgia"/>
          <w:szCs w:val="22"/>
        </w:rPr>
      </w:pPr>
      <w:r w:rsidRPr="00AC218A">
        <w:rPr>
          <w:rFonts w:ascii="Georgia" w:hAnsi="Georgia" w:cs="Arial"/>
          <w:szCs w:val="24"/>
        </w:rPr>
        <w:t xml:space="preserve">No obstante, </w:t>
      </w:r>
      <w:r w:rsidRPr="00AC218A">
        <w:rPr>
          <w:rFonts w:ascii="Georgia" w:hAnsi="Georgia" w:cs="Arial"/>
        </w:rPr>
        <w:t xml:space="preserve">corresponde ahora, examinar los presupuestos procesales en su integridad, para determinar </w:t>
      </w:r>
      <w:r>
        <w:rPr>
          <w:rFonts w:ascii="Georgia" w:hAnsi="Georgia" w:cs="Arial"/>
        </w:rPr>
        <w:t xml:space="preserve">la admisibilidad </w:t>
      </w:r>
      <w:r w:rsidR="00E3584D">
        <w:rPr>
          <w:rFonts w:ascii="Georgia" w:hAnsi="Georgia" w:cs="Arial"/>
        </w:rPr>
        <w:t xml:space="preserve">de la demanda propuesta para iniciar el proceso </w:t>
      </w:r>
      <w:r>
        <w:rPr>
          <w:rFonts w:ascii="Georgia" w:hAnsi="Georgia" w:cs="Arial"/>
        </w:rPr>
        <w:t>verbal</w:t>
      </w:r>
      <w:r w:rsidRPr="00AC218A">
        <w:rPr>
          <w:rFonts w:ascii="Georgia" w:hAnsi="Georgia" w:cs="Arial"/>
        </w:rPr>
        <w:t>.</w:t>
      </w:r>
      <w:r>
        <w:rPr>
          <w:rFonts w:ascii="Georgia" w:hAnsi="Georgia" w:cs="Arial"/>
        </w:rPr>
        <w:t xml:space="preserve"> </w:t>
      </w:r>
      <w:r w:rsidR="00585759">
        <w:rPr>
          <w:rFonts w:ascii="Georgia" w:hAnsi="Georgia"/>
          <w:szCs w:val="22"/>
        </w:rPr>
        <w:t>Del libelo se tiene que en efecto hay competencia por el factor territorial, pues los bienes se encuentran ubicados en el municipio de Dosquebradas</w:t>
      </w:r>
      <w:r>
        <w:rPr>
          <w:rFonts w:ascii="Georgia" w:hAnsi="Georgia"/>
          <w:szCs w:val="22"/>
        </w:rPr>
        <w:t xml:space="preserve">; </w:t>
      </w:r>
      <w:r w:rsidR="00585759">
        <w:rPr>
          <w:rFonts w:ascii="Georgia" w:hAnsi="Georgia"/>
          <w:szCs w:val="22"/>
        </w:rPr>
        <w:t>existe capacidad para ser parte y para comparecer, en los demandante y demandados, quienes son personas naturales, mayores de edad</w:t>
      </w:r>
      <w:r>
        <w:rPr>
          <w:rFonts w:ascii="Georgia" w:hAnsi="Georgia"/>
          <w:szCs w:val="22"/>
        </w:rPr>
        <w:t>; y, se anexaron los certificados de tradición en los que constan las personas que figuran como titulares de derechos reales principales (Folios 64 a 67, ib.).</w:t>
      </w:r>
      <w:r w:rsidR="00585759">
        <w:rPr>
          <w:rFonts w:ascii="Georgia" w:hAnsi="Georgia"/>
          <w:szCs w:val="22"/>
        </w:rPr>
        <w:t xml:space="preserve"> </w:t>
      </w:r>
    </w:p>
    <w:p w:rsidR="00585759" w:rsidRDefault="00585759" w:rsidP="00585759">
      <w:pPr>
        <w:pStyle w:val="Textopredeterminado"/>
        <w:spacing w:line="360" w:lineRule="auto"/>
        <w:jc w:val="both"/>
        <w:rPr>
          <w:rFonts w:ascii="Georgia" w:hAnsi="Georgia"/>
          <w:szCs w:val="22"/>
        </w:rPr>
      </w:pPr>
    </w:p>
    <w:p w:rsidR="002A6328" w:rsidRDefault="00AC218A" w:rsidP="008C1E89">
      <w:pPr>
        <w:pStyle w:val="Textopredeterminado"/>
        <w:spacing w:line="360" w:lineRule="auto"/>
        <w:jc w:val="both"/>
        <w:rPr>
          <w:rFonts w:ascii="Georgia" w:hAnsi="Georgia"/>
          <w:szCs w:val="24"/>
        </w:rPr>
      </w:pPr>
      <w:r>
        <w:rPr>
          <w:rFonts w:ascii="Georgia" w:hAnsi="Georgia"/>
          <w:szCs w:val="22"/>
        </w:rPr>
        <w:t>Sin embargo</w:t>
      </w:r>
      <w:r w:rsidR="00585759">
        <w:rPr>
          <w:rFonts w:ascii="Georgia" w:hAnsi="Georgia"/>
          <w:szCs w:val="22"/>
        </w:rPr>
        <w:t xml:space="preserve">, </w:t>
      </w:r>
      <w:r w:rsidR="00585759">
        <w:rPr>
          <w:rFonts w:ascii="Georgia" w:hAnsi="Georgia"/>
          <w:szCs w:val="24"/>
        </w:rPr>
        <w:t xml:space="preserve">el escrito incumple </w:t>
      </w:r>
      <w:r>
        <w:rPr>
          <w:rFonts w:ascii="Georgia" w:hAnsi="Georgia"/>
          <w:szCs w:val="24"/>
        </w:rPr>
        <w:t xml:space="preserve">con el requisito de la estimación de la cuantía, pues se tasó en la suma de $156.920.400, de conformidad con el avalúo comercial aportado con </w:t>
      </w:r>
      <w:r>
        <w:rPr>
          <w:rFonts w:ascii="Georgia" w:hAnsi="Georgia"/>
          <w:szCs w:val="24"/>
        </w:rPr>
        <w:lastRenderedPageBreak/>
        <w:t>la demanda, cuando debió hacer</w:t>
      </w:r>
      <w:r w:rsidR="00B30612">
        <w:rPr>
          <w:rFonts w:ascii="Georgia" w:hAnsi="Georgia"/>
          <w:szCs w:val="24"/>
        </w:rPr>
        <w:t>se</w:t>
      </w:r>
      <w:r>
        <w:rPr>
          <w:rFonts w:ascii="Georgia" w:hAnsi="Georgia"/>
          <w:szCs w:val="24"/>
        </w:rPr>
        <w:t xml:space="preserve"> acorde con los avalúos catastrales de cada uno de los inmuebles</w:t>
      </w:r>
      <w:r w:rsidR="00B30612">
        <w:rPr>
          <w:rFonts w:ascii="Georgia" w:hAnsi="Georgia"/>
          <w:szCs w:val="24"/>
        </w:rPr>
        <w:t xml:space="preserve"> (Artículos 26-3º, 82-9º y 90-1º, ib.)</w:t>
      </w:r>
      <w:r>
        <w:rPr>
          <w:rFonts w:ascii="Georgia" w:hAnsi="Georgia"/>
          <w:szCs w:val="24"/>
        </w:rPr>
        <w:t xml:space="preserve">, recuérdese que la simple </w:t>
      </w:r>
      <w:r w:rsidR="002A6328">
        <w:rPr>
          <w:rFonts w:ascii="Georgia" w:hAnsi="Georgia"/>
          <w:szCs w:val="24"/>
        </w:rPr>
        <w:t>afirmación de la parte es suficiente.</w:t>
      </w:r>
    </w:p>
    <w:p w:rsidR="002A6328" w:rsidRDefault="002A6328" w:rsidP="008C1E89">
      <w:pPr>
        <w:pStyle w:val="Textopredeterminado"/>
        <w:spacing w:line="360" w:lineRule="auto"/>
        <w:jc w:val="both"/>
        <w:rPr>
          <w:rFonts w:ascii="Georgia" w:hAnsi="Georgia"/>
          <w:szCs w:val="24"/>
        </w:rPr>
      </w:pPr>
    </w:p>
    <w:p w:rsidR="002A6328" w:rsidRDefault="008C1E89" w:rsidP="008C1E89">
      <w:pPr>
        <w:pStyle w:val="Textopredeterminado"/>
        <w:spacing w:line="360" w:lineRule="auto"/>
        <w:jc w:val="both"/>
        <w:rPr>
          <w:rFonts w:ascii="Georgia" w:hAnsi="Georgia"/>
          <w:szCs w:val="24"/>
        </w:rPr>
      </w:pPr>
      <w:r>
        <w:rPr>
          <w:rFonts w:ascii="Georgia" w:hAnsi="Georgia"/>
          <w:szCs w:val="24"/>
        </w:rPr>
        <w:t xml:space="preserve">También </w:t>
      </w:r>
      <w:r w:rsidR="002A6328">
        <w:rPr>
          <w:rFonts w:ascii="Georgia" w:hAnsi="Georgia"/>
          <w:szCs w:val="24"/>
        </w:rPr>
        <w:t>se aprecia que el poder contiene información errada en torno a los bienes pretendidos en usucapión; si bien en el artículo 74, ib., solo se exige la determinación  e identificación clara de los asuntos (Tipo de proceso y pretensiones), lo cierto es que aquella información adicional</w:t>
      </w:r>
      <w:r w:rsidR="00E3584D">
        <w:rPr>
          <w:rFonts w:ascii="Georgia" w:hAnsi="Georgia"/>
          <w:szCs w:val="24"/>
        </w:rPr>
        <w:t>,</w:t>
      </w:r>
      <w:r w:rsidR="002A6328">
        <w:rPr>
          <w:rFonts w:ascii="Georgia" w:hAnsi="Georgia"/>
          <w:szCs w:val="24"/>
        </w:rPr>
        <w:t xml:space="preserve"> </w:t>
      </w:r>
      <w:r w:rsidR="00E3584D">
        <w:rPr>
          <w:rFonts w:ascii="Georgia" w:hAnsi="Georgia"/>
          <w:szCs w:val="24"/>
        </w:rPr>
        <w:t>dis</w:t>
      </w:r>
      <w:r w:rsidR="002A6328">
        <w:rPr>
          <w:rFonts w:ascii="Georgia" w:hAnsi="Georgia"/>
          <w:szCs w:val="24"/>
        </w:rPr>
        <w:t>cordante con el objeto de la demanda</w:t>
      </w:r>
      <w:r w:rsidR="00E3584D">
        <w:rPr>
          <w:rFonts w:ascii="Georgia" w:hAnsi="Georgia"/>
          <w:szCs w:val="24"/>
        </w:rPr>
        <w:t>,</w:t>
      </w:r>
      <w:r w:rsidR="002A6328">
        <w:rPr>
          <w:rFonts w:ascii="Georgia" w:hAnsi="Georgia"/>
          <w:szCs w:val="24"/>
        </w:rPr>
        <w:t xml:space="preserve"> atenta contra la claridad que debe tener ese anexo, por lo tanto, es indispensable que se corrija.</w:t>
      </w:r>
    </w:p>
    <w:p w:rsidR="002A6328" w:rsidRDefault="002A6328" w:rsidP="008C1E89">
      <w:pPr>
        <w:pStyle w:val="Textopredeterminado"/>
        <w:spacing w:line="360" w:lineRule="auto"/>
        <w:jc w:val="both"/>
        <w:rPr>
          <w:rFonts w:ascii="Georgia" w:hAnsi="Georgia"/>
          <w:szCs w:val="24"/>
        </w:rPr>
      </w:pPr>
    </w:p>
    <w:p w:rsidR="00E3584D" w:rsidRPr="000E281E" w:rsidRDefault="002A6328" w:rsidP="00E3584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rPr>
        <w:t xml:space="preserve">En ese orden de ideas, </w:t>
      </w:r>
      <w:r w:rsidR="005338DB">
        <w:rPr>
          <w:rFonts w:ascii="Georgia" w:hAnsi="Georgia"/>
        </w:rPr>
        <w:t xml:space="preserve">se inadmitirá la demanda para </w:t>
      </w:r>
      <w:r>
        <w:rPr>
          <w:rFonts w:ascii="Georgia" w:hAnsi="Georgia"/>
        </w:rPr>
        <w:t xml:space="preserve">que </w:t>
      </w:r>
      <w:r w:rsidR="005338DB">
        <w:rPr>
          <w:rFonts w:ascii="Georgia" w:hAnsi="Georgia"/>
        </w:rPr>
        <w:t xml:space="preserve">se </w:t>
      </w:r>
      <w:r>
        <w:rPr>
          <w:rFonts w:ascii="Georgia" w:hAnsi="Georgia"/>
        </w:rPr>
        <w:t xml:space="preserve">enmienden las mentadas </w:t>
      </w:r>
      <w:r w:rsidR="005338DB">
        <w:rPr>
          <w:rFonts w:ascii="Georgia" w:hAnsi="Georgia"/>
        </w:rPr>
        <w:t>inconsistencia</w:t>
      </w:r>
      <w:r>
        <w:rPr>
          <w:rFonts w:ascii="Georgia" w:hAnsi="Georgia"/>
        </w:rPr>
        <w:t>.</w:t>
      </w:r>
      <w:r w:rsidR="005338DB">
        <w:rPr>
          <w:rFonts w:ascii="Georgia" w:hAnsi="Georgia"/>
        </w:rPr>
        <w:t xml:space="preserve"> </w:t>
      </w:r>
      <w:r w:rsidR="00E3584D">
        <w:rPr>
          <w:rFonts w:ascii="Georgia" w:hAnsi="Georgia" w:cs="Arial"/>
          <w:lang w:val="es-CO"/>
        </w:rPr>
        <w:t>Sin que sobre acotar</w:t>
      </w:r>
      <w:r w:rsidR="00E3584D" w:rsidRPr="008B12BE">
        <w:rPr>
          <w:rFonts w:ascii="Georgia" w:hAnsi="Georgia" w:cs="Arial"/>
          <w:lang w:val="es-CO"/>
        </w:rPr>
        <w:t xml:space="preserve">, </w:t>
      </w:r>
      <w:r w:rsidR="00E3584D">
        <w:rPr>
          <w:rFonts w:ascii="Georgia" w:hAnsi="Georgia" w:cs="Arial"/>
          <w:lang w:val="es-CO"/>
        </w:rPr>
        <w:t>como ya se ha dicho en decisiones anteriores de esta misma Sala Unitaria</w:t>
      </w:r>
      <w:r w:rsidR="00E3584D" w:rsidRPr="00365D87">
        <w:rPr>
          <w:rStyle w:val="Appelnotedebasdep"/>
          <w:rFonts w:ascii="Georgia" w:hAnsi="Georgia"/>
          <w:sz w:val="28"/>
        </w:rPr>
        <w:footnoteReference w:id="11"/>
      </w:r>
      <w:r w:rsidR="00E3584D">
        <w:rPr>
          <w:rFonts w:ascii="Georgia" w:hAnsi="Georgia" w:cs="Arial"/>
          <w:lang w:val="es-CO"/>
        </w:rPr>
        <w:t xml:space="preserve">, que </w:t>
      </w:r>
      <w:r w:rsidR="00E3584D" w:rsidRPr="008B12BE">
        <w:rPr>
          <w:rFonts w:ascii="Georgia" w:hAnsi="Georgia" w:cs="Arial"/>
          <w:lang w:val="es-CO"/>
        </w:rPr>
        <w:t xml:space="preserve">aunque parezca impropio que en un mismo asunto se emitan dos decisiones </w:t>
      </w:r>
      <w:proofErr w:type="spellStart"/>
      <w:r w:rsidR="00E3584D" w:rsidRPr="008B12BE">
        <w:rPr>
          <w:rFonts w:ascii="Georgia" w:hAnsi="Georgia" w:cs="Arial"/>
          <w:lang w:val="es-CO"/>
        </w:rPr>
        <w:t>inadmisorias</w:t>
      </w:r>
      <w:proofErr w:type="spellEnd"/>
      <w:r w:rsidR="00E3584D" w:rsidRPr="008B12BE">
        <w:rPr>
          <w:rFonts w:ascii="Georgia" w:hAnsi="Georgia" w:cs="Arial"/>
          <w:lang w:val="es-CO"/>
        </w:rPr>
        <w:t xml:space="preserve"> de la demanda, la parte </w:t>
      </w:r>
      <w:r w:rsidR="00E3584D">
        <w:rPr>
          <w:rFonts w:ascii="Georgia" w:hAnsi="Georgia" w:cs="Arial"/>
          <w:lang w:val="es-CO"/>
        </w:rPr>
        <w:t xml:space="preserve">demandante </w:t>
      </w:r>
      <w:r w:rsidR="00E3584D" w:rsidRPr="008B12BE">
        <w:rPr>
          <w:rFonts w:ascii="Georgia" w:hAnsi="Georgia" w:cs="Arial"/>
          <w:lang w:val="es-CO"/>
        </w:rPr>
        <w:t>en forma alguna ha tenido la oportunidad de sanear la</w:t>
      </w:r>
      <w:r w:rsidR="00E3584D">
        <w:rPr>
          <w:rFonts w:ascii="Georgia" w:hAnsi="Georgia" w:cs="Arial"/>
          <w:lang w:val="es-CO"/>
        </w:rPr>
        <w:t>s</w:t>
      </w:r>
      <w:r w:rsidR="00E3584D" w:rsidRPr="008B12BE">
        <w:rPr>
          <w:rFonts w:ascii="Georgia" w:hAnsi="Georgia" w:cs="Arial"/>
          <w:lang w:val="es-CO"/>
        </w:rPr>
        <w:t xml:space="preserve"> falencia</w:t>
      </w:r>
      <w:r w:rsidR="00E3584D">
        <w:rPr>
          <w:rFonts w:ascii="Georgia" w:hAnsi="Georgia" w:cs="Arial"/>
          <w:lang w:val="es-CO"/>
        </w:rPr>
        <w:t>s</w:t>
      </w:r>
      <w:r w:rsidR="00E3584D" w:rsidRPr="008B12BE">
        <w:rPr>
          <w:rFonts w:ascii="Georgia" w:hAnsi="Georgia" w:cs="Arial"/>
          <w:lang w:val="es-CO"/>
        </w:rPr>
        <w:t xml:space="preserve"> aquí enrostrada</w:t>
      </w:r>
      <w:r w:rsidR="00E3584D">
        <w:rPr>
          <w:rFonts w:ascii="Georgia" w:hAnsi="Georgia" w:cs="Arial"/>
          <w:lang w:val="es-CO"/>
        </w:rPr>
        <w:t>s</w:t>
      </w:r>
      <w:r w:rsidR="00E3584D" w:rsidRPr="008B12BE">
        <w:rPr>
          <w:rFonts w:ascii="Georgia" w:hAnsi="Georgia" w:cs="Arial"/>
          <w:lang w:val="es-CO"/>
        </w:rPr>
        <w:t>.</w:t>
      </w:r>
    </w:p>
    <w:p w:rsidR="004C1C7B" w:rsidRPr="00C858FA" w:rsidRDefault="004C1C7B" w:rsidP="00E70527">
      <w:pPr>
        <w:spacing w:line="360" w:lineRule="auto"/>
        <w:jc w:val="both"/>
        <w:rPr>
          <w:rFonts w:ascii="Georgia" w:eastAsia="Tahoma" w:hAnsi="Georgia" w:cs="Arial"/>
          <w:lang w:val="es-CO"/>
        </w:rPr>
      </w:pPr>
    </w:p>
    <w:p w:rsidR="00117A8D" w:rsidRPr="00C858FA" w:rsidRDefault="00117A8D" w:rsidP="00117A8D">
      <w:pPr>
        <w:pStyle w:val="Paragraphedeliste"/>
        <w:numPr>
          <w:ilvl w:val="0"/>
          <w:numId w:val="4"/>
        </w:numPr>
        <w:spacing w:line="360" w:lineRule="auto"/>
        <w:jc w:val="both"/>
        <w:rPr>
          <w:rFonts w:ascii="Georgia" w:hAnsi="Georgia" w:cs="Arial"/>
          <w:lang w:val="es-ES_tradnl"/>
        </w:rPr>
      </w:pPr>
      <w:r w:rsidRPr="00C858FA">
        <w:rPr>
          <w:rFonts w:ascii="Georgia" w:hAnsi="Georgia" w:cs="Arial"/>
          <w:sz w:val="32"/>
          <w:szCs w:val="22"/>
        </w:rPr>
        <w:t>L</w:t>
      </w:r>
      <w:r w:rsidRPr="00C858FA">
        <w:rPr>
          <w:rFonts w:ascii="Georgia" w:hAnsi="Georgia" w:cs="Arial"/>
          <w:szCs w:val="22"/>
        </w:rPr>
        <w:t>AS DECISIONES FINALES</w:t>
      </w:r>
    </w:p>
    <w:p w:rsidR="008C1E89" w:rsidRDefault="008C1E89" w:rsidP="008C1E89">
      <w:pPr>
        <w:pStyle w:val="Textopredeterminado"/>
        <w:spacing w:line="360" w:lineRule="auto"/>
        <w:jc w:val="both"/>
        <w:rPr>
          <w:rFonts w:ascii="Georgia" w:hAnsi="Georgia" w:cs="Arial"/>
        </w:rPr>
      </w:pPr>
      <w:r>
        <w:rPr>
          <w:rFonts w:ascii="Georgia" w:hAnsi="Georgia" w:cs="Arial"/>
        </w:rPr>
        <w:t>En armonía con las premisas apuntadas: (i) Se revocará la providencia recurrida para en su lugar inadmitir la demanda; (ii) Se concederán cinco (5) días para su corrección, so pena de rechazo; el plazo correrá desde la fecha de emisión del auto de “</w:t>
      </w:r>
      <w:r>
        <w:rPr>
          <w:rFonts w:ascii="Georgia" w:hAnsi="Georgia" w:cs="Arial"/>
          <w:i/>
        </w:rPr>
        <w:t>estarse a lo dispuesto por este Tribunal</w:t>
      </w:r>
      <w:r>
        <w:rPr>
          <w:rFonts w:ascii="Georgia" w:hAnsi="Georgia" w:cs="Arial"/>
        </w:rPr>
        <w:t>”; (iii) No hay lugar a condena en costas, en esta instancia, pues la alzada triunfó (Artículo 365, CGP); (iii) Se advertirá que conforme al artículo 35, CGP, esta decisión es irrecurrible; y, (iv) Se ordenará la devolución del expediente al juzgado de origen.</w:t>
      </w:r>
    </w:p>
    <w:p w:rsidR="006A619F" w:rsidRPr="00C858FA" w:rsidRDefault="006A619F" w:rsidP="009B2569">
      <w:pPr>
        <w:spacing w:line="360" w:lineRule="auto"/>
        <w:jc w:val="both"/>
        <w:rPr>
          <w:rFonts w:ascii="Georgia" w:hAnsi="Georgia" w:cs="Arial"/>
        </w:rPr>
      </w:pPr>
    </w:p>
    <w:p w:rsidR="009B2569" w:rsidRPr="00C858FA" w:rsidRDefault="009B2569" w:rsidP="00D5377E">
      <w:pPr>
        <w:tabs>
          <w:tab w:val="left" w:pos="-720"/>
        </w:tabs>
        <w:suppressAutoHyphens/>
        <w:spacing w:line="360" w:lineRule="auto"/>
        <w:jc w:val="both"/>
        <w:rPr>
          <w:rFonts w:ascii="Georgia" w:hAnsi="Georgia" w:cs="Arial"/>
        </w:rPr>
      </w:pPr>
      <w:r w:rsidRPr="00C858FA">
        <w:rPr>
          <w:rFonts w:ascii="Georgia" w:hAnsi="Georgia" w:cs="Arial"/>
        </w:rPr>
        <w:t xml:space="preserve">En mérito de lo discurrido en los acápites precedentes, el </w:t>
      </w:r>
      <w:r w:rsidRPr="00C858FA">
        <w:rPr>
          <w:rFonts w:ascii="Georgia" w:hAnsi="Georgia" w:cs="Arial"/>
          <w:smallCaps/>
        </w:rPr>
        <w:t>Tribunal Superior del Distrito Judicial de Pereira, Sala Unitaria de Decisión</w:t>
      </w:r>
      <w:r w:rsidRPr="00C858FA">
        <w:rPr>
          <w:rFonts w:ascii="Georgia" w:hAnsi="Georgia" w:cs="Arial"/>
        </w:rPr>
        <w:t>,</w:t>
      </w:r>
      <w:r w:rsidR="00D5377E" w:rsidRPr="00C858FA">
        <w:rPr>
          <w:rFonts w:ascii="Georgia" w:hAnsi="Georgia" w:cs="Arial"/>
        </w:rPr>
        <w:t xml:space="preserve"> </w:t>
      </w:r>
    </w:p>
    <w:p w:rsidR="00D5377E" w:rsidRPr="00C858FA" w:rsidRDefault="00D5377E" w:rsidP="00D5377E">
      <w:pPr>
        <w:tabs>
          <w:tab w:val="left" w:pos="-720"/>
        </w:tabs>
        <w:suppressAutoHyphens/>
        <w:spacing w:line="360" w:lineRule="auto"/>
        <w:jc w:val="both"/>
        <w:rPr>
          <w:rFonts w:ascii="Georgia" w:hAnsi="Georgia" w:cs="Arial"/>
          <w:sz w:val="18"/>
        </w:rPr>
      </w:pPr>
    </w:p>
    <w:p w:rsidR="009B2569" w:rsidRPr="00C858FA" w:rsidRDefault="009B2569" w:rsidP="009B2569">
      <w:pPr>
        <w:pStyle w:val="Sansinterligne"/>
        <w:spacing w:line="360" w:lineRule="auto"/>
        <w:jc w:val="center"/>
        <w:rPr>
          <w:rFonts w:ascii="Georgia" w:hAnsi="Georgia" w:cs="Arial"/>
          <w:sz w:val="24"/>
          <w:szCs w:val="24"/>
        </w:rPr>
      </w:pPr>
      <w:r w:rsidRPr="00C858FA">
        <w:rPr>
          <w:rFonts w:ascii="Georgia" w:hAnsi="Georgia" w:cs="Arial"/>
          <w:sz w:val="24"/>
          <w:szCs w:val="24"/>
        </w:rPr>
        <w:t>R E S U E L V E,</w:t>
      </w:r>
    </w:p>
    <w:p w:rsidR="00D5377E" w:rsidRPr="00C858FA" w:rsidRDefault="00D5377E" w:rsidP="001D43CC">
      <w:pPr>
        <w:pStyle w:val="Textopredeterminado"/>
        <w:spacing w:line="360" w:lineRule="auto"/>
        <w:ind w:left="360"/>
        <w:jc w:val="both"/>
        <w:textAlignment w:val="auto"/>
        <w:rPr>
          <w:rFonts w:ascii="Georgia" w:hAnsi="Georgia" w:cs="Arial"/>
          <w:sz w:val="16"/>
          <w:szCs w:val="24"/>
        </w:rPr>
      </w:pPr>
    </w:p>
    <w:p w:rsidR="008C1E89" w:rsidRDefault="008C1E89" w:rsidP="008C1E89">
      <w:pPr>
        <w:numPr>
          <w:ilvl w:val="0"/>
          <w:numId w:val="19"/>
        </w:numPr>
        <w:tabs>
          <w:tab w:val="clear" w:pos="360"/>
          <w:tab w:val="num" w:pos="720"/>
        </w:tabs>
        <w:autoSpaceDN w:val="0"/>
        <w:spacing w:line="360" w:lineRule="auto"/>
        <w:jc w:val="both"/>
        <w:rPr>
          <w:rFonts w:ascii="Georgia" w:hAnsi="Georgia" w:cs="Arial"/>
          <w:lang w:val="es-CO"/>
        </w:rPr>
      </w:pPr>
      <w:r>
        <w:rPr>
          <w:rFonts w:ascii="Georgia" w:hAnsi="Georgia" w:cs="Arial"/>
          <w:szCs w:val="22"/>
        </w:rPr>
        <w:t xml:space="preserve">REVOCAR </w:t>
      </w:r>
      <w:r>
        <w:rPr>
          <w:rFonts w:ascii="Georgia" w:hAnsi="Georgia" w:cs="Arial"/>
        </w:rPr>
        <w:t>el auto de fecha 11-08-2017 proferido por el Juzgado</w:t>
      </w:r>
      <w:r>
        <w:rPr>
          <w:rFonts w:ascii="Georgia" w:hAnsi="Georgia" w:cs="Arial"/>
          <w:lang w:val="es-CO"/>
        </w:rPr>
        <w:t xml:space="preserve"> Civil del Circuito de Dosquebradas,</w:t>
      </w:r>
      <w:r>
        <w:rPr>
          <w:rFonts w:ascii="Georgia" w:hAnsi="Georgia" w:cs="Arial"/>
          <w:spacing w:val="-3"/>
          <w:lang w:val="es-ES_tradnl"/>
        </w:rPr>
        <w:t xml:space="preserve"> por lo dicho en esta providencia.</w:t>
      </w:r>
    </w:p>
    <w:p w:rsidR="008C1E89" w:rsidRDefault="008C1E89" w:rsidP="008C1E89">
      <w:pPr>
        <w:autoSpaceDN w:val="0"/>
        <w:spacing w:line="360" w:lineRule="auto"/>
        <w:ind w:left="360"/>
        <w:jc w:val="both"/>
        <w:rPr>
          <w:rFonts w:ascii="Georgia" w:hAnsi="Georgia" w:cs="Arial"/>
          <w:lang w:val="es-CO"/>
        </w:rPr>
      </w:pPr>
    </w:p>
    <w:p w:rsidR="008C1E89" w:rsidRDefault="008C1E89" w:rsidP="008C1E89">
      <w:pPr>
        <w:numPr>
          <w:ilvl w:val="0"/>
          <w:numId w:val="19"/>
        </w:numPr>
        <w:tabs>
          <w:tab w:val="clear" w:pos="360"/>
          <w:tab w:val="num" w:pos="720"/>
        </w:tabs>
        <w:autoSpaceDN w:val="0"/>
        <w:spacing w:line="360" w:lineRule="auto"/>
        <w:jc w:val="both"/>
        <w:rPr>
          <w:rFonts w:ascii="Georgia" w:hAnsi="Georgia" w:cs="Arial"/>
          <w:lang w:val="es-CO"/>
        </w:rPr>
      </w:pPr>
      <w:r>
        <w:rPr>
          <w:rFonts w:ascii="Georgia" w:hAnsi="Georgia" w:cs="Arial"/>
          <w:szCs w:val="22"/>
        </w:rPr>
        <w:t>INADMITIR, en consecuencia, la demanda presentada por el señor Juan Carlos González Giraldo</w:t>
      </w:r>
      <w:r>
        <w:rPr>
          <w:rFonts w:ascii="Georgia" w:hAnsi="Georgia" w:cs="Arial"/>
          <w:lang w:val="es-CO"/>
        </w:rPr>
        <w:t xml:space="preserve">. </w:t>
      </w:r>
    </w:p>
    <w:p w:rsidR="008C1E89" w:rsidRDefault="008C1E89" w:rsidP="008C1E89">
      <w:pPr>
        <w:pStyle w:val="Sansinterligne"/>
        <w:spacing w:line="360" w:lineRule="auto"/>
        <w:jc w:val="center"/>
        <w:rPr>
          <w:rFonts w:ascii="Georgia" w:hAnsi="Georgia" w:cs="Arial"/>
          <w:szCs w:val="24"/>
        </w:rPr>
      </w:pPr>
    </w:p>
    <w:p w:rsidR="008C1E89" w:rsidRDefault="008C1E89" w:rsidP="008C1E89">
      <w:pPr>
        <w:pStyle w:val="Textopredeterminado"/>
        <w:numPr>
          <w:ilvl w:val="0"/>
          <w:numId w:val="19"/>
        </w:numPr>
        <w:spacing w:line="360" w:lineRule="auto"/>
        <w:jc w:val="both"/>
        <w:textAlignment w:val="auto"/>
        <w:rPr>
          <w:rFonts w:ascii="Georgia" w:hAnsi="Georgia" w:cs="Arial"/>
          <w:szCs w:val="22"/>
        </w:rPr>
      </w:pPr>
      <w:r>
        <w:rPr>
          <w:rFonts w:ascii="Georgia" w:hAnsi="Georgia" w:cs="Arial"/>
          <w:szCs w:val="22"/>
        </w:rPr>
        <w:lastRenderedPageBreak/>
        <w:t>CONCEDER cinco (5) días para el saneamiento de la demanda, so pena de rechazarla.  El plazo se computará desde la fecha de expedición del auto de “</w:t>
      </w:r>
      <w:r>
        <w:rPr>
          <w:rFonts w:ascii="Georgia" w:hAnsi="Georgia" w:cs="Arial"/>
          <w:i/>
          <w:szCs w:val="22"/>
        </w:rPr>
        <w:t>estarse a lo resuelto por este Tribunal</w:t>
      </w:r>
      <w:r>
        <w:rPr>
          <w:rFonts w:ascii="Georgia" w:hAnsi="Georgia" w:cs="Arial"/>
          <w:szCs w:val="22"/>
        </w:rPr>
        <w:t>”.</w:t>
      </w:r>
    </w:p>
    <w:p w:rsidR="008C1E89" w:rsidRDefault="008C1E89" w:rsidP="008C1E89">
      <w:pPr>
        <w:pStyle w:val="Sansinterligne"/>
        <w:spacing w:line="360" w:lineRule="auto"/>
        <w:jc w:val="center"/>
        <w:rPr>
          <w:rFonts w:ascii="Georgia" w:hAnsi="Georgia" w:cs="Arial"/>
          <w:szCs w:val="24"/>
        </w:rPr>
      </w:pPr>
    </w:p>
    <w:p w:rsidR="008C1E89" w:rsidRDefault="008C1E89" w:rsidP="008C1E89">
      <w:pPr>
        <w:numPr>
          <w:ilvl w:val="0"/>
          <w:numId w:val="19"/>
        </w:numPr>
        <w:tabs>
          <w:tab w:val="clear" w:pos="360"/>
          <w:tab w:val="num" w:pos="720"/>
        </w:tabs>
        <w:autoSpaceDN w:val="0"/>
        <w:spacing w:line="360" w:lineRule="auto"/>
        <w:jc w:val="both"/>
        <w:rPr>
          <w:rFonts w:ascii="Georgia" w:hAnsi="Georgia" w:cs="Arial"/>
          <w:lang w:val="es-CO"/>
        </w:rPr>
      </w:pPr>
      <w:r>
        <w:rPr>
          <w:rFonts w:ascii="Georgia" w:hAnsi="Georgia" w:cs="Arial"/>
          <w:szCs w:val="22"/>
        </w:rPr>
        <w:t>NO CONDENAR en costas en esta instancia</w:t>
      </w:r>
      <w:r>
        <w:rPr>
          <w:rFonts w:ascii="Georgia" w:hAnsi="Georgia" w:cs="Arial"/>
          <w:lang w:val="es-CO"/>
        </w:rPr>
        <w:t>.</w:t>
      </w:r>
    </w:p>
    <w:p w:rsidR="008C1E89" w:rsidRDefault="008C1E89" w:rsidP="008C1E89">
      <w:pPr>
        <w:pStyle w:val="Sansinterligne"/>
        <w:spacing w:line="360" w:lineRule="auto"/>
        <w:jc w:val="center"/>
        <w:rPr>
          <w:rFonts w:ascii="Georgia" w:hAnsi="Georgia" w:cs="Arial"/>
          <w:szCs w:val="24"/>
        </w:rPr>
      </w:pPr>
    </w:p>
    <w:p w:rsidR="008C1E89" w:rsidRDefault="008C1E89" w:rsidP="008C1E89">
      <w:pPr>
        <w:numPr>
          <w:ilvl w:val="0"/>
          <w:numId w:val="19"/>
        </w:numPr>
        <w:tabs>
          <w:tab w:val="clear" w:pos="360"/>
          <w:tab w:val="num" w:pos="720"/>
        </w:tabs>
        <w:autoSpaceDN w:val="0"/>
        <w:spacing w:line="360" w:lineRule="auto"/>
        <w:jc w:val="both"/>
        <w:rPr>
          <w:rFonts w:ascii="Georgia" w:hAnsi="Georgia" w:cs="Arial"/>
          <w:lang w:val="es-CO"/>
        </w:rPr>
      </w:pPr>
      <w:r>
        <w:rPr>
          <w:rFonts w:ascii="Georgia" w:hAnsi="Georgia" w:cs="Arial"/>
          <w:lang w:val="es-CO"/>
        </w:rPr>
        <w:t>ADVERTIR que esta decisión es irrecurrible.</w:t>
      </w:r>
    </w:p>
    <w:p w:rsidR="00EC3126" w:rsidRDefault="00EC3126" w:rsidP="00EC3126">
      <w:pPr>
        <w:autoSpaceDN w:val="0"/>
        <w:spacing w:line="360" w:lineRule="auto"/>
        <w:jc w:val="both"/>
        <w:rPr>
          <w:rFonts w:ascii="Georgia" w:hAnsi="Georgia" w:cs="Arial"/>
          <w:lang w:val="es-CO"/>
        </w:rPr>
      </w:pPr>
    </w:p>
    <w:p w:rsidR="008C1E89" w:rsidRDefault="008C1E89" w:rsidP="008C1E89">
      <w:pPr>
        <w:numPr>
          <w:ilvl w:val="0"/>
          <w:numId w:val="19"/>
        </w:numPr>
        <w:tabs>
          <w:tab w:val="clear" w:pos="360"/>
          <w:tab w:val="num" w:pos="720"/>
        </w:tabs>
        <w:autoSpaceDN w:val="0"/>
        <w:spacing w:line="360" w:lineRule="auto"/>
        <w:jc w:val="both"/>
        <w:rPr>
          <w:rFonts w:ascii="Georgia" w:hAnsi="Georgia" w:cs="Arial"/>
          <w:lang w:val="es-CO"/>
        </w:rPr>
      </w:pPr>
      <w:r>
        <w:rPr>
          <w:rFonts w:ascii="Georgia" w:hAnsi="Georgia" w:cs="Arial"/>
          <w:lang w:val="es-CO"/>
        </w:rPr>
        <w:t>DEVOLVER el expediente al Despacho de origen, por conducto de la Secretaría de esta Corporación.</w:t>
      </w:r>
    </w:p>
    <w:p w:rsidR="00D5377E" w:rsidRPr="00C858FA" w:rsidRDefault="00D5377E" w:rsidP="00D5377E">
      <w:pPr>
        <w:pStyle w:val="Paragraphedeliste"/>
        <w:rPr>
          <w:rFonts w:ascii="Georgia" w:hAnsi="Georgia" w:cs="Arial"/>
        </w:rPr>
      </w:pPr>
    </w:p>
    <w:p w:rsidR="005F57E8" w:rsidRPr="00C858FA" w:rsidRDefault="00356104" w:rsidP="004A7356">
      <w:pPr>
        <w:pStyle w:val="Sansinterligne"/>
        <w:tabs>
          <w:tab w:val="center" w:pos="4845"/>
          <w:tab w:val="left" w:pos="6463"/>
        </w:tabs>
        <w:spacing w:line="360" w:lineRule="auto"/>
        <w:jc w:val="center"/>
        <w:rPr>
          <w:rFonts w:ascii="Georgia" w:hAnsi="Georgia" w:cs="Arial"/>
          <w:smallCaps/>
          <w:spacing w:val="20"/>
          <w:w w:val="150"/>
          <w:lang w:val="en-US"/>
        </w:rPr>
      </w:pPr>
      <w:proofErr w:type="spellStart"/>
      <w:r w:rsidRPr="00C858FA">
        <w:rPr>
          <w:rFonts w:ascii="Georgia" w:hAnsi="Georgia" w:cs="Arial"/>
          <w:smallCaps/>
          <w:sz w:val="28"/>
          <w:lang w:val="en-US"/>
        </w:rPr>
        <w:t>Notifíquese</w:t>
      </w:r>
      <w:proofErr w:type="spellEnd"/>
      <w:r w:rsidRPr="00C858FA">
        <w:rPr>
          <w:rFonts w:ascii="Georgia" w:hAnsi="Georgia" w:cs="Arial"/>
          <w:smallCaps/>
          <w:sz w:val="28"/>
          <w:lang w:val="en-US"/>
        </w:rPr>
        <w:t>,</w:t>
      </w:r>
    </w:p>
    <w:p w:rsidR="00671EAF" w:rsidRDefault="00671EAF" w:rsidP="004A7356">
      <w:pPr>
        <w:pStyle w:val="Sansinterligne"/>
        <w:spacing w:line="360" w:lineRule="auto"/>
        <w:jc w:val="center"/>
        <w:rPr>
          <w:rFonts w:ascii="Georgia" w:hAnsi="Georgia" w:cs="Arial"/>
          <w:spacing w:val="20"/>
          <w:w w:val="150"/>
          <w:sz w:val="24"/>
          <w:szCs w:val="24"/>
          <w:lang w:val="en-US"/>
        </w:rPr>
      </w:pPr>
    </w:p>
    <w:p w:rsidR="005338DB" w:rsidRPr="00E3584D" w:rsidRDefault="005338DB" w:rsidP="004A7356">
      <w:pPr>
        <w:pStyle w:val="Sansinterligne"/>
        <w:spacing w:line="360" w:lineRule="auto"/>
        <w:jc w:val="center"/>
        <w:rPr>
          <w:rFonts w:ascii="Georgia" w:hAnsi="Georgia" w:cs="Arial"/>
          <w:spacing w:val="20"/>
          <w:w w:val="150"/>
          <w:sz w:val="40"/>
          <w:szCs w:val="24"/>
          <w:lang w:val="en-US"/>
        </w:rPr>
      </w:pPr>
    </w:p>
    <w:p w:rsidR="00671EAF" w:rsidRPr="00C858FA" w:rsidRDefault="00A96538" w:rsidP="00A96538">
      <w:pPr>
        <w:pStyle w:val="Sansinterligne"/>
        <w:spacing w:line="360" w:lineRule="auto"/>
        <w:jc w:val="right"/>
        <w:rPr>
          <w:rFonts w:ascii="Georgia" w:hAnsi="Georgia" w:cs="Arial"/>
          <w:spacing w:val="20"/>
          <w:w w:val="150"/>
          <w:sz w:val="24"/>
          <w:szCs w:val="24"/>
          <w:lang w:val="en-US"/>
        </w:rPr>
      </w:pPr>
      <w:r w:rsidRPr="00C858FA">
        <w:rPr>
          <w:rFonts w:ascii="Georgia" w:hAnsi="Georgia"/>
          <w:i/>
          <w:w w:val="150"/>
          <w:sz w:val="10"/>
          <w:szCs w:val="12"/>
          <w:lang w:val="en-GB"/>
        </w:rPr>
        <w:t>DGH /</w:t>
      </w:r>
      <w:r w:rsidR="00D5377E" w:rsidRPr="00C858FA">
        <w:rPr>
          <w:rFonts w:ascii="Georgia" w:hAnsi="Georgia"/>
          <w:i/>
          <w:w w:val="150"/>
          <w:sz w:val="10"/>
          <w:szCs w:val="12"/>
          <w:lang w:val="en-GB"/>
        </w:rPr>
        <w:t xml:space="preserve"> </w:t>
      </w:r>
      <w:r w:rsidR="00E3584D">
        <w:rPr>
          <w:rFonts w:ascii="Georgia" w:hAnsi="Georgia"/>
          <w:i/>
          <w:w w:val="150"/>
          <w:sz w:val="10"/>
          <w:szCs w:val="12"/>
          <w:lang w:val="en-GB"/>
        </w:rPr>
        <w:t xml:space="preserve">ODCD </w:t>
      </w:r>
      <w:r w:rsidR="00E3584D" w:rsidRPr="00C858FA">
        <w:rPr>
          <w:rFonts w:ascii="Georgia" w:hAnsi="Georgia"/>
          <w:i/>
          <w:w w:val="150"/>
          <w:sz w:val="10"/>
          <w:szCs w:val="12"/>
          <w:lang w:val="en-GB"/>
        </w:rPr>
        <w:t>/ 2017</w:t>
      </w:r>
    </w:p>
    <w:p w:rsidR="00412B9B" w:rsidRPr="00C858FA" w:rsidRDefault="00412B9B" w:rsidP="000C0B10">
      <w:pPr>
        <w:pStyle w:val="Corpsdetexte"/>
        <w:spacing w:line="360" w:lineRule="auto"/>
        <w:jc w:val="center"/>
        <w:rPr>
          <w:rFonts w:ascii="Georgia" w:hAnsi="Georgia"/>
          <w:w w:val="150"/>
          <w:sz w:val="20"/>
          <w:lang w:val="en-US"/>
        </w:rPr>
      </w:pPr>
      <w:r w:rsidRPr="00C858FA">
        <w:rPr>
          <w:rFonts w:ascii="Georgia" w:hAnsi="Georgia"/>
          <w:w w:val="150"/>
          <w:sz w:val="24"/>
          <w:szCs w:val="24"/>
          <w:lang w:val="en-US"/>
        </w:rPr>
        <w:t>D</w:t>
      </w:r>
      <w:r w:rsidRPr="00C858FA">
        <w:rPr>
          <w:rFonts w:ascii="Georgia" w:hAnsi="Georgia"/>
          <w:w w:val="150"/>
          <w:sz w:val="20"/>
          <w:szCs w:val="18"/>
          <w:lang w:val="en-US"/>
        </w:rPr>
        <w:t xml:space="preserve">UBERNEY </w:t>
      </w:r>
      <w:r w:rsidRPr="00C858FA">
        <w:rPr>
          <w:rFonts w:ascii="Georgia" w:hAnsi="Georgia"/>
          <w:w w:val="150"/>
          <w:sz w:val="24"/>
          <w:szCs w:val="24"/>
          <w:lang w:val="en-US"/>
        </w:rPr>
        <w:t>G</w:t>
      </w:r>
      <w:r w:rsidRPr="00C858FA">
        <w:rPr>
          <w:rFonts w:ascii="Georgia" w:hAnsi="Georgia"/>
          <w:w w:val="150"/>
          <w:sz w:val="20"/>
          <w:szCs w:val="18"/>
          <w:lang w:val="en-US"/>
        </w:rPr>
        <w:t xml:space="preserve">RISALES </w:t>
      </w:r>
      <w:r w:rsidRPr="00C858FA">
        <w:rPr>
          <w:rFonts w:ascii="Georgia" w:hAnsi="Georgia"/>
          <w:w w:val="150"/>
          <w:sz w:val="24"/>
          <w:szCs w:val="24"/>
          <w:lang w:val="en-US"/>
        </w:rPr>
        <w:t>H</w:t>
      </w:r>
      <w:r w:rsidRPr="00C858FA">
        <w:rPr>
          <w:rFonts w:ascii="Georgia" w:hAnsi="Georgia"/>
          <w:w w:val="150"/>
          <w:sz w:val="20"/>
          <w:szCs w:val="18"/>
          <w:lang w:val="en-US"/>
        </w:rPr>
        <w:t>ERRERA</w:t>
      </w:r>
    </w:p>
    <w:p w:rsidR="00671EAF" w:rsidRPr="00C858FA" w:rsidRDefault="00412B9B" w:rsidP="00A96538">
      <w:pPr>
        <w:pStyle w:val="Corpsdetexte"/>
        <w:spacing w:line="360" w:lineRule="auto"/>
        <w:jc w:val="center"/>
        <w:rPr>
          <w:rFonts w:ascii="Georgia" w:hAnsi="Georgia"/>
          <w:w w:val="150"/>
          <w:sz w:val="18"/>
          <w:lang w:val="en-US"/>
        </w:rPr>
      </w:pPr>
      <w:r w:rsidRPr="00C858FA">
        <w:rPr>
          <w:rFonts w:ascii="Georgia" w:hAnsi="Georgia"/>
          <w:w w:val="150"/>
          <w:sz w:val="20"/>
          <w:szCs w:val="24"/>
          <w:lang w:val="en-US"/>
        </w:rPr>
        <w:t xml:space="preserve">M </w:t>
      </w:r>
      <w:r w:rsidRPr="00C858FA">
        <w:rPr>
          <w:rFonts w:ascii="Georgia" w:hAnsi="Georgia"/>
          <w:w w:val="150"/>
          <w:sz w:val="18"/>
          <w:lang w:val="en-US"/>
        </w:rPr>
        <w:t>A G I S T R A D O</w:t>
      </w:r>
    </w:p>
    <w:p w:rsidR="00AB3E4E" w:rsidRDefault="00E3584D" w:rsidP="00A96538">
      <w:pPr>
        <w:pStyle w:val="Corpsdetexte"/>
        <w:spacing w:line="360" w:lineRule="auto"/>
        <w:jc w:val="center"/>
        <w:rPr>
          <w:rFonts w:ascii="Georgia" w:hAnsi="Georgia"/>
          <w:w w:val="150"/>
          <w:sz w:val="18"/>
          <w:lang w:val="en-US"/>
        </w:rPr>
      </w:pPr>
      <w:r w:rsidRPr="00C858FA">
        <w:rPr>
          <w:rFonts w:ascii="Georgia" w:hAnsi="Georgia"/>
          <w:noProof/>
          <w:lang w:val="fr-FR" w:eastAsia="fr-FR"/>
        </w:rPr>
        <mc:AlternateContent>
          <mc:Choice Requires="wps">
            <w:drawing>
              <wp:anchor distT="0" distB="0" distL="114300" distR="114300" simplePos="0" relativeHeight="251661312" behindDoc="0" locked="0" layoutInCell="1" allowOverlap="1" wp14:anchorId="3F707464" wp14:editId="582DF419">
                <wp:simplePos x="0" y="0"/>
                <wp:positionH relativeFrom="margin">
                  <wp:posOffset>1729105</wp:posOffset>
                </wp:positionH>
                <wp:positionV relativeFrom="paragraph">
                  <wp:posOffset>35106</wp:posOffset>
                </wp:positionV>
                <wp:extent cx="2521585" cy="1257300"/>
                <wp:effectExtent l="19050" t="19050" r="1206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9B2569" w:rsidRPr="0069377F" w:rsidRDefault="009B2569" w:rsidP="009B2569">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ansinterligne"/>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9B2569" w:rsidRPr="0069377F" w:rsidRDefault="009B2569" w:rsidP="009B2569">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rect w14:anchorId="3F707464" id="Rectangle 7" o:spid="_x0000_s1026" style="position:absolute;left:0;text-align:left;margin-left:136.15pt;margin-top:2.75pt;width:198.5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" strokeweight="2.25pt">
                <v:stroke linestyle="thickThin"/>
                <v:textbo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v:textbox>
                <w10:wrap anchorx="margin"/>
              </v:rect>
            </w:pict>
          </mc:Fallback>
        </mc:AlternateContent>
      </w:r>
    </w:p>
    <w:p w:rsidR="00AB3E4E" w:rsidRDefault="00AB3E4E">
      <w:pPr>
        <w:rPr>
          <w:rFonts w:ascii="Georgia" w:hAnsi="Georgia"/>
          <w:w w:val="150"/>
          <w:sz w:val="18"/>
          <w:szCs w:val="20"/>
          <w:lang w:val="en-US"/>
        </w:rPr>
      </w:pPr>
    </w:p>
    <w:sectPr w:rsidR="00AB3E4E" w:rsidSect="009C7CA6">
      <w:headerReference w:type="even" r:id="rId10"/>
      <w:headerReference w:type="default" r:id="rId11"/>
      <w:footerReference w:type="default" r:id="rId12"/>
      <w:pgSz w:w="12242" w:h="18722" w:code="14"/>
      <w:pgMar w:top="1134" w:right="1134" w:bottom="1134"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60" w:rsidRDefault="00A67560" w:rsidP="004D2025">
      <w:r>
        <w:separator/>
      </w:r>
    </w:p>
  </w:endnote>
  <w:endnote w:type="continuationSeparator" w:id="0">
    <w:p w:rsidR="00A67560" w:rsidRDefault="00A67560"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A2" w:rsidRPr="00622E8B" w:rsidRDefault="00F013A2" w:rsidP="00F013A2">
    <w:pPr>
      <w:pStyle w:val="Pieddepage"/>
      <w:pBdr>
        <w:bottom w:val="double" w:sz="6" w:space="1" w:color="auto"/>
      </w:pBdr>
      <w:spacing w:line="360" w:lineRule="auto"/>
      <w:jc w:val="right"/>
      <w:rPr>
        <w:rFonts w:ascii="Georgia" w:hAnsi="Georgia" w:cs="Arial"/>
        <w:spacing w:val="20"/>
        <w:w w:val="200"/>
        <w:sz w:val="6"/>
        <w:szCs w:val="10"/>
      </w:rPr>
    </w:pPr>
  </w:p>
  <w:p w:rsidR="00F013A2" w:rsidRPr="00C858FA" w:rsidRDefault="00F013A2" w:rsidP="00F013A2">
    <w:pPr>
      <w:pStyle w:val="Pieddepage"/>
      <w:spacing w:line="360" w:lineRule="auto"/>
      <w:jc w:val="right"/>
      <w:rPr>
        <w:rFonts w:ascii="Georgia" w:hAnsi="Georgia" w:cs="Arial"/>
        <w:i/>
        <w:spacing w:val="20"/>
        <w:w w:val="200"/>
        <w:sz w:val="14"/>
        <w:szCs w:val="10"/>
      </w:rPr>
    </w:pPr>
  </w:p>
  <w:p w:rsidR="00F013A2" w:rsidRPr="00C858FA" w:rsidRDefault="00F013A2" w:rsidP="00F013A2">
    <w:pPr>
      <w:pStyle w:val="Pieddepage"/>
      <w:spacing w:line="360" w:lineRule="auto"/>
      <w:jc w:val="right"/>
      <w:rPr>
        <w:rFonts w:ascii="Georgia" w:hAnsi="Georgia" w:cs="Arial"/>
        <w:i/>
        <w:spacing w:val="20"/>
        <w:w w:val="200"/>
        <w:sz w:val="10"/>
        <w:szCs w:val="10"/>
      </w:rPr>
    </w:pPr>
    <w:r w:rsidRPr="00C858FA">
      <w:rPr>
        <w:rFonts w:ascii="Georgia" w:hAnsi="Georgia" w:cs="Arial"/>
        <w:i/>
        <w:spacing w:val="20"/>
        <w:w w:val="200"/>
        <w:sz w:val="14"/>
        <w:szCs w:val="10"/>
      </w:rPr>
      <w:t>T</w:t>
    </w:r>
    <w:r w:rsidRPr="00C858FA">
      <w:rPr>
        <w:rFonts w:ascii="Georgia" w:hAnsi="Georgia" w:cs="Arial"/>
        <w:i/>
        <w:spacing w:val="20"/>
        <w:w w:val="200"/>
        <w:sz w:val="10"/>
        <w:szCs w:val="10"/>
      </w:rPr>
      <w:t xml:space="preserve">RIBUNAL </w:t>
    </w:r>
    <w:r w:rsidRPr="00C858FA">
      <w:rPr>
        <w:rFonts w:ascii="Georgia" w:hAnsi="Georgia" w:cs="Arial"/>
        <w:i/>
        <w:spacing w:val="20"/>
        <w:w w:val="200"/>
        <w:sz w:val="14"/>
        <w:szCs w:val="10"/>
      </w:rPr>
      <w:t>S</w:t>
    </w:r>
    <w:r w:rsidRPr="00C858FA">
      <w:rPr>
        <w:rFonts w:ascii="Georgia" w:hAnsi="Georgia" w:cs="Arial"/>
        <w:i/>
        <w:spacing w:val="20"/>
        <w:w w:val="200"/>
        <w:sz w:val="10"/>
        <w:szCs w:val="10"/>
      </w:rPr>
      <w:t xml:space="preserve">UPERIOR DE </w:t>
    </w:r>
    <w:r w:rsidRPr="00C858FA">
      <w:rPr>
        <w:rFonts w:ascii="Georgia" w:hAnsi="Georgia" w:cs="Arial"/>
        <w:i/>
        <w:spacing w:val="20"/>
        <w:w w:val="200"/>
        <w:sz w:val="14"/>
        <w:szCs w:val="10"/>
      </w:rPr>
      <w:t>P</w:t>
    </w:r>
    <w:r w:rsidRPr="00C858FA">
      <w:rPr>
        <w:rFonts w:ascii="Georgia" w:hAnsi="Georgia" w:cs="Arial"/>
        <w:i/>
        <w:spacing w:val="20"/>
        <w:w w:val="200"/>
        <w:sz w:val="10"/>
        <w:szCs w:val="10"/>
      </w:rPr>
      <w:t>EREIRA</w:t>
    </w:r>
  </w:p>
  <w:p w:rsidR="00441A24" w:rsidRPr="00C858FA" w:rsidRDefault="00F013A2" w:rsidP="00F013A2">
    <w:pPr>
      <w:pStyle w:val="Pieddepage"/>
      <w:jc w:val="right"/>
      <w:rPr>
        <w:rFonts w:ascii="Georgia" w:hAnsi="Georgia"/>
      </w:rPr>
    </w:pPr>
    <w:r w:rsidRPr="00C858FA">
      <w:rPr>
        <w:rFonts w:ascii="Georgia" w:hAnsi="Georgia" w:cs="Arial"/>
        <w:i/>
        <w:spacing w:val="20"/>
        <w:w w:val="200"/>
        <w:sz w:val="10"/>
        <w:szCs w:val="10"/>
      </w:rPr>
      <w:t>MP D</w:t>
    </w:r>
    <w:r w:rsidRPr="00C858FA">
      <w:rPr>
        <w:rFonts w:ascii="Georgia" w:hAnsi="Georgia" w:cs="Arial"/>
        <w:i/>
        <w:spacing w:val="20"/>
        <w:w w:val="200"/>
        <w:sz w:val="8"/>
        <w:szCs w:val="10"/>
      </w:rPr>
      <w:t>UBERNEY</w:t>
    </w:r>
    <w:r w:rsidRPr="00C858FA">
      <w:rPr>
        <w:rFonts w:ascii="Georgia" w:hAnsi="Georgia" w:cs="Arial"/>
        <w:i/>
        <w:spacing w:val="20"/>
        <w:w w:val="200"/>
        <w:sz w:val="10"/>
        <w:szCs w:val="10"/>
      </w:rPr>
      <w:t xml:space="preserve"> G</w:t>
    </w:r>
    <w:r w:rsidRPr="00C858FA">
      <w:rPr>
        <w:rFonts w:ascii="Georgia" w:hAnsi="Georgia" w:cs="Arial"/>
        <w:i/>
        <w:spacing w:val="20"/>
        <w:w w:val="200"/>
        <w:sz w:val="8"/>
        <w:szCs w:val="10"/>
      </w:rPr>
      <w:t>RISALES</w:t>
    </w:r>
    <w:r w:rsidRPr="00C858FA">
      <w:rPr>
        <w:rFonts w:ascii="Georgia" w:hAnsi="Georgia" w:cs="Arial"/>
        <w:i/>
        <w:spacing w:val="20"/>
        <w:w w:val="200"/>
        <w:sz w:val="10"/>
        <w:szCs w:val="10"/>
      </w:rPr>
      <w:t xml:space="preserve"> H</w:t>
    </w:r>
    <w:r w:rsidRPr="00C858FA">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60" w:rsidRDefault="00A67560" w:rsidP="004D2025">
      <w:r>
        <w:separator/>
      </w:r>
    </w:p>
  </w:footnote>
  <w:footnote w:type="continuationSeparator" w:id="0">
    <w:p w:rsidR="00A67560" w:rsidRDefault="00A67560" w:rsidP="004D2025">
      <w:r>
        <w:continuationSeparator/>
      </w:r>
    </w:p>
  </w:footnote>
  <w:footnote w:id="1">
    <w:p w:rsidR="003E0D30" w:rsidRPr="003D75DB" w:rsidRDefault="003E0D30" w:rsidP="003E0D30">
      <w:pPr>
        <w:pStyle w:val="Notedebasdepage"/>
        <w:jc w:val="both"/>
        <w:rPr>
          <w:lang w:val="es-CO"/>
        </w:rPr>
      </w:pPr>
      <w:r>
        <w:rPr>
          <w:rStyle w:val="Appelnotedebasdep"/>
        </w:rPr>
        <w:footnoteRef/>
      </w:r>
      <w:r>
        <w:t xml:space="preserve"> </w:t>
      </w:r>
      <w:r w:rsidRPr="003D75DB">
        <w:rPr>
          <w:lang w:val="es-CO"/>
        </w:rPr>
        <w:t>ESCOBAR V. Édgar G. Los recursos en el Código General del Proceso. Librería jurídica Sánchez R. Ltda. 2015, p.37.</w:t>
      </w:r>
    </w:p>
  </w:footnote>
  <w:footnote w:id="2">
    <w:p w:rsidR="003E0D30" w:rsidRPr="003D75DB" w:rsidRDefault="003E0D30" w:rsidP="003E0D30">
      <w:pPr>
        <w:pStyle w:val="Notedebasdepage"/>
        <w:jc w:val="both"/>
      </w:pPr>
      <w:r w:rsidRPr="003D75DB">
        <w:rPr>
          <w:vertAlign w:val="superscript"/>
        </w:rPr>
        <w:footnoteRef/>
      </w:r>
      <w:r w:rsidRPr="003D75DB">
        <w:t xml:space="preserve"> </w:t>
      </w:r>
      <w:r w:rsidRPr="003D75DB">
        <w:rPr>
          <w:lang w:val="es-CO"/>
        </w:rPr>
        <w:t xml:space="preserve">LÓPEZ B., Hernán F. Código General del Proceso, parte general, Bogotá DC, </w:t>
      </w:r>
      <w:proofErr w:type="spellStart"/>
      <w:r w:rsidRPr="003D75DB">
        <w:rPr>
          <w:lang w:val="es-CO"/>
        </w:rPr>
        <w:t>Dupré</w:t>
      </w:r>
      <w:proofErr w:type="spellEnd"/>
      <w:r w:rsidRPr="003D75DB">
        <w:rPr>
          <w:lang w:val="es-CO"/>
        </w:rPr>
        <w:t xml:space="preserve"> editores, 2016, </w:t>
      </w:r>
      <w:proofErr w:type="spellStart"/>
      <w:r w:rsidRPr="003D75DB">
        <w:rPr>
          <w:lang w:val="es-CO"/>
        </w:rPr>
        <w:t>p.769</w:t>
      </w:r>
      <w:proofErr w:type="spellEnd"/>
      <w:r w:rsidRPr="003D75DB">
        <w:rPr>
          <w:lang w:val="es-CO"/>
        </w:rPr>
        <w:t>-776</w:t>
      </w:r>
      <w:r w:rsidRPr="003D75DB">
        <w:t>.</w:t>
      </w:r>
    </w:p>
  </w:footnote>
  <w:footnote w:id="3">
    <w:p w:rsidR="003E0D30" w:rsidRPr="003D75DB" w:rsidRDefault="003E0D30" w:rsidP="003E0D30">
      <w:pPr>
        <w:pStyle w:val="Notedebasdepage"/>
        <w:jc w:val="both"/>
      </w:pPr>
      <w:r w:rsidRPr="003D75DB">
        <w:rPr>
          <w:vertAlign w:val="superscript"/>
        </w:rPr>
        <w:footnoteRef/>
      </w:r>
      <w:r w:rsidRPr="003D75DB">
        <w:t xml:space="preserve"> PARRA Q., Jairo. Derecho procesal civil, tomo I, Santafé de Bogotá D.C., Temis, 1992, p.276.</w:t>
      </w:r>
    </w:p>
  </w:footnote>
  <w:footnote w:id="4">
    <w:p w:rsidR="003E0D30" w:rsidRPr="003D75DB" w:rsidRDefault="003E0D30" w:rsidP="003E0D30">
      <w:pPr>
        <w:pStyle w:val="Sansinterligne"/>
        <w:jc w:val="both"/>
        <w:rPr>
          <w:rFonts w:ascii="Times New Roman" w:hAnsi="Times New Roman"/>
          <w:sz w:val="20"/>
          <w:szCs w:val="20"/>
        </w:rPr>
      </w:pPr>
      <w:r w:rsidRPr="003D75DB">
        <w:rPr>
          <w:rFonts w:ascii="Times New Roman" w:hAnsi="Times New Roman"/>
          <w:sz w:val="20"/>
          <w:szCs w:val="20"/>
          <w:vertAlign w:val="superscript"/>
        </w:rPr>
        <w:footnoteRef/>
      </w:r>
      <w:r w:rsidRPr="003D75DB">
        <w:rPr>
          <w:rFonts w:ascii="Times New Roman" w:hAnsi="Times New Roman"/>
          <w:sz w:val="20"/>
          <w:szCs w:val="20"/>
        </w:rPr>
        <w:t xml:space="preserve"> LÓPEZ B., Hernán F. Ob. cit., p. 769.</w:t>
      </w:r>
    </w:p>
  </w:footnote>
  <w:footnote w:id="5">
    <w:p w:rsidR="003E0D30" w:rsidRPr="003D75DB" w:rsidRDefault="003E0D30" w:rsidP="003E0D30">
      <w:pPr>
        <w:pStyle w:val="Notedebasdepage"/>
        <w:jc w:val="both"/>
        <w:rPr>
          <w:lang w:val="es-CO"/>
        </w:rPr>
      </w:pPr>
      <w:r w:rsidRPr="003D75DB">
        <w:rPr>
          <w:rStyle w:val="Appelnotedebasdep"/>
        </w:rPr>
        <w:footnoteRef/>
      </w:r>
      <w:r w:rsidRPr="003D75DB">
        <w:t xml:space="preserve"> </w:t>
      </w:r>
      <w:r w:rsidRPr="003D75DB">
        <w:rPr>
          <w:lang w:val="es-CO"/>
        </w:rPr>
        <w:t>ROJAS G., Miguel E. Lecciones de derecho procesal, procedimiento civil, tomo II, ESAJU, 2013, 5ª edición, Bogotá DC, p.332.</w:t>
      </w:r>
    </w:p>
  </w:footnote>
  <w:footnote w:id="6">
    <w:p w:rsidR="00227AB5" w:rsidRPr="00C927C6" w:rsidRDefault="00227AB5" w:rsidP="00227AB5">
      <w:pPr>
        <w:pStyle w:val="Notedebasdepage"/>
        <w:jc w:val="both"/>
        <w:rPr>
          <w:spacing w:val="-6"/>
          <w:lang w:val="es-CO"/>
        </w:rPr>
      </w:pPr>
      <w:r w:rsidRPr="003D75DB">
        <w:rPr>
          <w:rStyle w:val="Appelnotedebasdep"/>
        </w:rPr>
        <w:footnoteRef/>
      </w:r>
      <w:r w:rsidRPr="003D75DB">
        <w:t xml:space="preserve"> </w:t>
      </w:r>
      <w:r w:rsidRPr="00C927C6">
        <w:rPr>
          <w:spacing w:val="-6"/>
          <w:lang w:val="es-CO"/>
        </w:rPr>
        <w:t>AZULA C</w:t>
      </w:r>
      <w:r w:rsidR="003D75DB" w:rsidRPr="00C927C6">
        <w:rPr>
          <w:spacing w:val="-6"/>
          <w:lang w:val="es-CO"/>
        </w:rPr>
        <w:t>.</w:t>
      </w:r>
      <w:r w:rsidRPr="00C927C6">
        <w:rPr>
          <w:spacing w:val="-6"/>
          <w:lang w:val="es-CO"/>
        </w:rPr>
        <w:t>, Jaime. Manual de derecho procesal civil, tomo II, cuarta edición, editorial Temis, Bogotá DC, 1994, p.128.</w:t>
      </w:r>
    </w:p>
  </w:footnote>
  <w:footnote w:id="7">
    <w:p w:rsidR="00E117CD" w:rsidRPr="003D75DB" w:rsidRDefault="00E117CD" w:rsidP="00E117CD">
      <w:pPr>
        <w:pStyle w:val="Notedebasdepage"/>
        <w:rPr>
          <w:lang w:val="es-CO"/>
        </w:rPr>
      </w:pPr>
      <w:r w:rsidRPr="003D75DB">
        <w:rPr>
          <w:rStyle w:val="Appelnotedebasdep"/>
        </w:rPr>
        <w:footnoteRef/>
      </w:r>
      <w:r w:rsidRPr="003D75DB">
        <w:t xml:space="preserve"> </w:t>
      </w:r>
      <w:r w:rsidR="00622E8B" w:rsidRPr="003D75DB">
        <w:rPr>
          <w:lang w:val="es-CO"/>
        </w:rPr>
        <w:t>CC</w:t>
      </w:r>
      <w:r w:rsidRPr="003D75DB">
        <w:rPr>
          <w:lang w:val="es-CO"/>
        </w:rPr>
        <w:t>. C-833 de 2002.</w:t>
      </w:r>
    </w:p>
  </w:footnote>
  <w:footnote w:id="8">
    <w:p w:rsidR="00E117CD" w:rsidRPr="003D75DB" w:rsidRDefault="00E117CD" w:rsidP="00E117CD">
      <w:pPr>
        <w:pStyle w:val="Notedebasdepage"/>
        <w:rPr>
          <w:lang w:val="es-CO"/>
        </w:rPr>
      </w:pPr>
      <w:r w:rsidRPr="003D75DB">
        <w:rPr>
          <w:rStyle w:val="Appelnotedebasdep"/>
        </w:rPr>
        <w:footnoteRef/>
      </w:r>
      <w:r w:rsidRPr="003D75DB">
        <w:t xml:space="preserve"> </w:t>
      </w:r>
      <w:r w:rsidR="00D158A7">
        <w:t>CSJ</w:t>
      </w:r>
      <w:r w:rsidRPr="003D75DB">
        <w:t xml:space="preserve">, Civil.  </w:t>
      </w:r>
      <w:r w:rsidRPr="003D75DB">
        <w:rPr>
          <w:lang w:val="es-CO"/>
        </w:rPr>
        <w:t>Sentencia del 28-06-1963; MP: Enrique López de la Pava.</w:t>
      </w:r>
    </w:p>
  </w:footnote>
  <w:footnote w:id="9">
    <w:p w:rsidR="00E117CD" w:rsidRPr="003D75DB" w:rsidRDefault="00E117CD" w:rsidP="00E117CD">
      <w:pPr>
        <w:pStyle w:val="Notedebasdepage"/>
        <w:jc w:val="both"/>
        <w:rPr>
          <w:lang w:val="es-CO"/>
        </w:rPr>
      </w:pPr>
      <w:r w:rsidRPr="003D75DB">
        <w:rPr>
          <w:rStyle w:val="Appelnotedebasdep"/>
        </w:rPr>
        <w:footnoteRef/>
      </w:r>
      <w:r w:rsidRPr="003D75DB">
        <w:t xml:space="preserve"> </w:t>
      </w:r>
      <w:r w:rsidR="00D158A7">
        <w:t>CC</w:t>
      </w:r>
      <w:r w:rsidRPr="003D75DB">
        <w:t xml:space="preserve">. </w:t>
      </w:r>
      <w:r w:rsidRPr="003D75DB">
        <w:rPr>
          <w:lang w:val="es-CO"/>
        </w:rPr>
        <w:t>C-273 de 1999.</w:t>
      </w:r>
    </w:p>
  </w:footnote>
  <w:footnote w:id="10">
    <w:p w:rsidR="009C647B" w:rsidRPr="00914EA3" w:rsidRDefault="009C647B" w:rsidP="009C647B">
      <w:pPr>
        <w:pStyle w:val="Notedebasdepage"/>
        <w:rPr>
          <w:lang w:val="es-CO"/>
        </w:rPr>
      </w:pPr>
      <w:r>
        <w:rPr>
          <w:rStyle w:val="Appelnotedebasdep"/>
        </w:rPr>
        <w:footnoteRef/>
      </w:r>
      <w:r>
        <w:t xml:space="preserve"> </w:t>
      </w:r>
      <w:r w:rsidRPr="003D75DB">
        <w:rPr>
          <w:lang w:val="es-CO"/>
        </w:rPr>
        <w:t xml:space="preserve">ROJAS G., Miguel E. Lecciones de derecho procesal, </w:t>
      </w:r>
      <w:r>
        <w:rPr>
          <w:lang w:val="es-CO"/>
        </w:rPr>
        <w:t>procesos de conocimiento</w:t>
      </w:r>
      <w:r w:rsidRPr="003D75DB">
        <w:rPr>
          <w:lang w:val="es-CO"/>
        </w:rPr>
        <w:t xml:space="preserve">, tomo </w:t>
      </w:r>
      <w:r>
        <w:rPr>
          <w:lang w:val="es-CO"/>
        </w:rPr>
        <w:t>IV</w:t>
      </w:r>
      <w:r w:rsidRPr="003D75DB">
        <w:rPr>
          <w:lang w:val="es-CO"/>
        </w:rPr>
        <w:t xml:space="preserve">, ESAJU, </w:t>
      </w:r>
      <w:r>
        <w:rPr>
          <w:lang w:val="es-CO"/>
        </w:rPr>
        <w:t>2016</w:t>
      </w:r>
      <w:r w:rsidRPr="003D75DB">
        <w:rPr>
          <w:lang w:val="es-CO"/>
        </w:rPr>
        <w:t>, Bogotá DC, p.</w:t>
      </w:r>
      <w:r>
        <w:rPr>
          <w:lang w:val="es-CO"/>
        </w:rPr>
        <w:t>223.</w:t>
      </w:r>
    </w:p>
  </w:footnote>
  <w:footnote w:id="11">
    <w:p w:rsidR="00E3584D" w:rsidRPr="00FF198F" w:rsidRDefault="00E3584D" w:rsidP="00E3584D">
      <w:pPr>
        <w:pStyle w:val="Notedebasdepage"/>
        <w:jc w:val="both"/>
        <w:rPr>
          <w:lang w:val="es-CO"/>
        </w:rPr>
      </w:pPr>
      <w:r>
        <w:rPr>
          <w:rStyle w:val="Appelnotedebasdep"/>
        </w:rPr>
        <w:footnoteRef/>
      </w:r>
      <w:r>
        <w:t xml:space="preserve"> </w:t>
      </w:r>
      <w:r w:rsidRPr="00DA28EA">
        <w:rPr>
          <w:lang w:val="es-CO"/>
        </w:rPr>
        <w:t xml:space="preserve">TSP, Civil – Familia. </w:t>
      </w:r>
      <w:r>
        <w:rPr>
          <w:lang w:val="es-CO"/>
        </w:rPr>
        <w:t>Autos del 19-10-2017 y 19-07-2016</w:t>
      </w:r>
      <w:r>
        <w:t xml:space="preserve">; MS: Grisales H., Nos.2017-00095-01 y 2016-00023-01.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68" w:rsidRDefault="00F36741"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75DB">
      <w:rPr>
        <w:rStyle w:val="Numrodepage"/>
        <w:noProof/>
      </w:rPr>
      <w:t>1</w:t>
    </w:r>
    <w:r>
      <w:rPr>
        <w:rStyle w:val="Numrodepage"/>
      </w:rPr>
      <w:fldChar w:fldCharType="end"/>
    </w:r>
  </w:p>
  <w:p w:rsidR="00713068" w:rsidRDefault="00713068"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cs="Kalinga"/>
        <w:i/>
        <w:color w:val="7F7F7F" w:themeColor="background1" w:themeShade="7F"/>
        <w:spacing w:val="60"/>
        <w:sz w:val="20"/>
        <w:szCs w:val="20"/>
      </w:rPr>
      <w:id w:val="-1582212370"/>
      <w:docPartObj>
        <w:docPartGallery w:val="Page Numbers (Top of Page)"/>
        <w:docPartUnique/>
      </w:docPartObj>
    </w:sdtPr>
    <w:sdtEndPr>
      <w:rPr>
        <w:bCs/>
        <w:color w:val="auto"/>
        <w:spacing w:val="0"/>
      </w:rPr>
    </w:sdtEndPr>
    <w:sdtContent>
      <w:p w:rsidR="006D2A7F" w:rsidRPr="00C858FA" w:rsidRDefault="006D2A7F">
        <w:pPr>
          <w:pStyle w:val="En-tte"/>
          <w:pBdr>
            <w:bottom w:val="single" w:sz="4" w:space="1" w:color="D9D9D9" w:themeColor="background1" w:themeShade="D9"/>
          </w:pBdr>
          <w:jc w:val="right"/>
          <w:rPr>
            <w:rFonts w:ascii="Georgia" w:hAnsi="Georgia" w:cs="Kalinga"/>
            <w:bCs/>
            <w:i/>
            <w:sz w:val="20"/>
            <w:szCs w:val="20"/>
          </w:rPr>
        </w:pPr>
        <w:r w:rsidRPr="00C858FA">
          <w:rPr>
            <w:rFonts w:ascii="Georgia" w:hAnsi="Georgia" w:cs="Kalinga"/>
            <w:i/>
            <w:color w:val="7F7F7F" w:themeColor="background1" w:themeShade="7F"/>
            <w:spacing w:val="60"/>
            <w:sz w:val="20"/>
            <w:szCs w:val="20"/>
          </w:rPr>
          <w:t>Página</w:t>
        </w:r>
        <w:r w:rsidRPr="00C858FA">
          <w:rPr>
            <w:rFonts w:ascii="Georgia" w:hAnsi="Georgia" w:cs="Kalinga"/>
            <w:i/>
            <w:sz w:val="20"/>
            <w:szCs w:val="20"/>
          </w:rPr>
          <w:t xml:space="preserve"> | </w:t>
        </w:r>
        <w:r w:rsidRPr="00C858FA">
          <w:rPr>
            <w:rFonts w:ascii="Georgia" w:hAnsi="Georgia" w:cs="Kalinga"/>
            <w:i/>
            <w:sz w:val="20"/>
            <w:szCs w:val="20"/>
          </w:rPr>
          <w:fldChar w:fldCharType="begin"/>
        </w:r>
        <w:r w:rsidRPr="00C858FA">
          <w:rPr>
            <w:rFonts w:ascii="Georgia" w:hAnsi="Georgia" w:cs="Kalinga"/>
            <w:i/>
            <w:sz w:val="20"/>
            <w:szCs w:val="20"/>
          </w:rPr>
          <w:instrText>PAGE   \* MERGEFORMAT</w:instrText>
        </w:r>
        <w:r w:rsidRPr="00C858FA">
          <w:rPr>
            <w:rFonts w:ascii="Georgia" w:hAnsi="Georgia" w:cs="Kalinga"/>
            <w:i/>
            <w:sz w:val="20"/>
            <w:szCs w:val="20"/>
          </w:rPr>
          <w:fldChar w:fldCharType="separate"/>
        </w:r>
        <w:r w:rsidR="00C927C6" w:rsidRPr="00C927C6">
          <w:rPr>
            <w:rFonts w:ascii="Georgia" w:hAnsi="Georgia" w:cs="Kalinga"/>
            <w:bCs/>
            <w:i/>
            <w:noProof/>
            <w:sz w:val="20"/>
            <w:szCs w:val="20"/>
          </w:rPr>
          <w:t>1</w:t>
        </w:r>
        <w:r w:rsidRPr="00C858FA">
          <w:rPr>
            <w:rFonts w:ascii="Georgia" w:hAnsi="Georgia" w:cs="Kalinga"/>
            <w:bCs/>
            <w:i/>
            <w:sz w:val="20"/>
            <w:szCs w:val="20"/>
          </w:rPr>
          <w:fldChar w:fldCharType="end"/>
        </w:r>
      </w:p>
    </w:sdtContent>
  </w:sdt>
  <w:p w:rsidR="006D2A7F" w:rsidRPr="00C858FA" w:rsidRDefault="006D2A7F" w:rsidP="00AF5080">
    <w:pPr>
      <w:pStyle w:val="En-tte"/>
      <w:widowControl w:val="0"/>
      <w:autoSpaceDE w:val="0"/>
      <w:autoSpaceDN w:val="0"/>
      <w:adjustRightInd w:val="0"/>
      <w:ind w:right="360"/>
      <w:jc w:val="both"/>
      <w:rPr>
        <w:rFonts w:ascii="Georgia" w:hAnsi="Georgia" w:cs="Kalinga"/>
        <w:i/>
        <w:sz w:val="20"/>
        <w:szCs w:val="20"/>
        <w:lang w:val="es-CO"/>
      </w:rPr>
    </w:pPr>
    <w:r w:rsidRPr="00C858FA">
      <w:rPr>
        <w:rFonts w:ascii="Georgia" w:hAnsi="Georgia" w:cs="Kalinga"/>
        <w:i/>
        <w:sz w:val="20"/>
        <w:szCs w:val="20"/>
        <w:lang w:val="es-CO"/>
      </w:rPr>
      <w:t>EXPEDIENTE N</w:t>
    </w:r>
    <w:r w:rsidR="00510CEA" w:rsidRPr="00C858FA">
      <w:rPr>
        <w:rFonts w:ascii="Georgia" w:hAnsi="Georgia" w:cs="Kalinga"/>
        <w:i/>
        <w:sz w:val="20"/>
        <w:szCs w:val="20"/>
        <w:lang w:val="es-CO"/>
      </w:rPr>
      <w:t>o</w:t>
    </w:r>
    <w:r w:rsidRPr="00C858FA">
      <w:rPr>
        <w:rFonts w:ascii="Georgia" w:hAnsi="Georgia" w:cs="Kalinga"/>
        <w:i/>
        <w:sz w:val="20"/>
        <w:szCs w:val="20"/>
        <w:lang w:val="es-CO"/>
      </w:rPr>
      <w:t>.</w:t>
    </w:r>
    <w:r w:rsidR="009C7CA6">
      <w:rPr>
        <w:rFonts w:ascii="Georgia" w:hAnsi="Georgia" w:cs="Kalinga"/>
        <w:i/>
        <w:sz w:val="20"/>
        <w:szCs w:val="20"/>
        <w:lang w:val="es-CO"/>
      </w:rPr>
      <w:t>2017-00056-01</w:t>
    </w:r>
  </w:p>
  <w:p w:rsidR="00257B1F" w:rsidRPr="00C858FA" w:rsidRDefault="00257B1F" w:rsidP="00713068">
    <w:pPr>
      <w:pStyle w:val="En-tte"/>
      <w:ind w:right="360"/>
      <w:rPr>
        <w:rFonts w:ascii="Georgia" w:eastAsia="Dotum" w:hAnsi="Georgi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6"/>
  </w:num>
  <w:num w:numId="4">
    <w:abstractNumId w:val="12"/>
  </w:num>
  <w:num w:numId="5">
    <w:abstractNumId w:val="7"/>
  </w:num>
  <w:num w:numId="6">
    <w:abstractNumId w:val="2"/>
  </w:num>
  <w:num w:numId="7">
    <w:abstractNumId w:val="8"/>
  </w:num>
  <w:num w:numId="8">
    <w:abstractNumId w:val="4"/>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0"/>
  </w:num>
  <w:num w:numId="15">
    <w:abstractNumId w:val="13"/>
  </w:num>
  <w:num w:numId="16">
    <w:abstractNumId w:val="17"/>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0D2"/>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8D5"/>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0B04"/>
    <w:rsid w:val="000A1384"/>
    <w:rsid w:val="000A1E7A"/>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140"/>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5FA"/>
    <w:rsid w:val="00275A9D"/>
    <w:rsid w:val="00275ED1"/>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328"/>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BF"/>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3C3"/>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24"/>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1FE5"/>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D75DB"/>
    <w:rsid w:val="003E06BF"/>
    <w:rsid w:val="003E0D30"/>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5D50"/>
    <w:rsid w:val="0040658C"/>
    <w:rsid w:val="0040662E"/>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810"/>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2EE2"/>
    <w:rsid w:val="00442F15"/>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945"/>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813"/>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8D8"/>
    <w:rsid w:val="004A6A66"/>
    <w:rsid w:val="004A6D27"/>
    <w:rsid w:val="004A7356"/>
    <w:rsid w:val="004A7911"/>
    <w:rsid w:val="004A795F"/>
    <w:rsid w:val="004B0129"/>
    <w:rsid w:val="004B0EAC"/>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C99"/>
    <w:rsid w:val="004C6293"/>
    <w:rsid w:val="004C6617"/>
    <w:rsid w:val="004C6F31"/>
    <w:rsid w:val="004C6F83"/>
    <w:rsid w:val="004C79BF"/>
    <w:rsid w:val="004D0ED2"/>
    <w:rsid w:val="004D113A"/>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A8F"/>
    <w:rsid w:val="005334F0"/>
    <w:rsid w:val="005338DB"/>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8D9"/>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8F6"/>
    <w:rsid w:val="00570E8B"/>
    <w:rsid w:val="005714F2"/>
    <w:rsid w:val="00571A5A"/>
    <w:rsid w:val="00571D59"/>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759"/>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83"/>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457"/>
    <w:rsid w:val="0062248F"/>
    <w:rsid w:val="0062280C"/>
    <w:rsid w:val="0062294B"/>
    <w:rsid w:val="00622E8B"/>
    <w:rsid w:val="00622F51"/>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3E"/>
    <w:rsid w:val="00713068"/>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E15"/>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309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25FC"/>
    <w:rsid w:val="007E2996"/>
    <w:rsid w:val="007E344C"/>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4F82"/>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E89"/>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44F6"/>
    <w:rsid w:val="00914893"/>
    <w:rsid w:val="00914CFF"/>
    <w:rsid w:val="00914EA3"/>
    <w:rsid w:val="009157DD"/>
    <w:rsid w:val="0091592F"/>
    <w:rsid w:val="00915AF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186"/>
    <w:rsid w:val="009C55C9"/>
    <w:rsid w:val="009C5B5F"/>
    <w:rsid w:val="009C5D05"/>
    <w:rsid w:val="009C647B"/>
    <w:rsid w:val="009C6881"/>
    <w:rsid w:val="009C703D"/>
    <w:rsid w:val="009C7911"/>
    <w:rsid w:val="009C79AB"/>
    <w:rsid w:val="009C79C5"/>
    <w:rsid w:val="009C7A26"/>
    <w:rsid w:val="009C7CA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EB9"/>
    <w:rsid w:val="00A433C1"/>
    <w:rsid w:val="00A43A56"/>
    <w:rsid w:val="00A44C5B"/>
    <w:rsid w:val="00A45268"/>
    <w:rsid w:val="00A452FF"/>
    <w:rsid w:val="00A45C9E"/>
    <w:rsid w:val="00A476B1"/>
    <w:rsid w:val="00A5051C"/>
    <w:rsid w:val="00A507A2"/>
    <w:rsid w:val="00A507AB"/>
    <w:rsid w:val="00A50B2C"/>
    <w:rsid w:val="00A51FA1"/>
    <w:rsid w:val="00A5226B"/>
    <w:rsid w:val="00A52723"/>
    <w:rsid w:val="00A52A3F"/>
    <w:rsid w:val="00A52CC0"/>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9E"/>
    <w:rsid w:val="00A62E32"/>
    <w:rsid w:val="00A62FA2"/>
    <w:rsid w:val="00A633A7"/>
    <w:rsid w:val="00A640EB"/>
    <w:rsid w:val="00A6419F"/>
    <w:rsid w:val="00A65025"/>
    <w:rsid w:val="00A657BF"/>
    <w:rsid w:val="00A661D1"/>
    <w:rsid w:val="00A66816"/>
    <w:rsid w:val="00A668EE"/>
    <w:rsid w:val="00A66FE5"/>
    <w:rsid w:val="00A67560"/>
    <w:rsid w:val="00A67F37"/>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1BC"/>
    <w:rsid w:val="00A814C0"/>
    <w:rsid w:val="00A8191F"/>
    <w:rsid w:val="00A82471"/>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6B8"/>
    <w:rsid w:val="00A9527E"/>
    <w:rsid w:val="00A95CB8"/>
    <w:rsid w:val="00A95DFC"/>
    <w:rsid w:val="00A96538"/>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3E4E"/>
    <w:rsid w:val="00AB43AD"/>
    <w:rsid w:val="00AB4B82"/>
    <w:rsid w:val="00AB6705"/>
    <w:rsid w:val="00AB67B0"/>
    <w:rsid w:val="00AB6BB0"/>
    <w:rsid w:val="00AB727D"/>
    <w:rsid w:val="00AC087B"/>
    <w:rsid w:val="00AC1191"/>
    <w:rsid w:val="00AC154E"/>
    <w:rsid w:val="00AC218A"/>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021"/>
    <w:rsid w:val="00AD0393"/>
    <w:rsid w:val="00AD0771"/>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5EAE"/>
    <w:rsid w:val="00AD62A4"/>
    <w:rsid w:val="00AD64FB"/>
    <w:rsid w:val="00AD6ED8"/>
    <w:rsid w:val="00AD6F54"/>
    <w:rsid w:val="00AD7403"/>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1DAC"/>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12"/>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3B6D"/>
    <w:rsid w:val="00B64D7F"/>
    <w:rsid w:val="00B64DB3"/>
    <w:rsid w:val="00B66642"/>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A7870"/>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8BC"/>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58FA"/>
    <w:rsid w:val="00C8603A"/>
    <w:rsid w:val="00C860F7"/>
    <w:rsid w:val="00C86B87"/>
    <w:rsid w:val="00C86DED"/>
    <w:rsid w:val="00C86E75"/>
    <w:rsid w:val="00C875E6"/>
    <w:rsid w:val="00C879C5"/>
    <w:rsid w:val="00C87FE4"/>
    <w:rsid w:val="00C9006F"/>
    <w:rsid w:val="00C90FD8"/>
    <w:rsid w:val="00C927C6"/>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5D4"/>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A7"/>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5165"/>
    <w:rsid w:val="00DB667F"/>
    <w:rsid w:val="00DB66DA"/>
    <w:rsid w:val="00DB6E8A"/>
    <w:rsid w:val="00DB6FFE"/>
    <w:rsid w:val="00DC002C"/>
    <w:rsid w:val="00DC0BA5"/>
    <w:rsid w:val="00DC21C3"/>
    <w:rsid w:val="00DC279C"/>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80"/>
    <w:rsid w:val="00E11689"/>
    <w:rsid w:val="00E117CD"/>
    <w:rsid w:val="00E11988"/>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84D"/>
    <w:rsid w:val="00E35DFC"/>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126"/>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62A"/>
    <w:rsid w:val="00F02ACC"/>
    <w:rsid w:val="00F02E23"/>
    <w:rsid w:val="00F04206"/>
    <w:rsid w:val="00F04EFA"/>
    <w:rsid w:val="00F05191"/>
    <w:rsid w:val="00F05D00"/>
    <w:rsid w:val="00F061F5"/>
    <w:rsid w:val="00F063B9"/>
    <w:rsid w:val="00F068FE"/>
    <w:rsid w:val="00F06F8F"/>
    <w:rsid w:val="00F0748B"/>
    <w:rsid w:val="00F0795B"/>
    <w:rsid w:val="00F07B17"/>
    <w:rsid w:val="00F07B6F"/>
    <w:rsid w:val="00F1001F"/>
    <w:rsid w:val="00F1040D"/>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3642"/>
    <w:rsid w:val="00F73753"/>
    <w:rsid w:val="00F738CF"/>
    <w:rsid w:val="00F73F2B"/>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99"/>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99"/>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1446">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392312583">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139809119">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E089-27F5-4B3C-95A5-1B48B93F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2728</Words>
  <Characters>15010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14</cp:revision>
  <cp:lastPrinted>2017-11-03T17:05:00Z</cp:lastPrinted>
  <dcterms:created xsi:type="dcterms:W3CDTF">2017-11-02T19:46:00Z</dcterms:created>
  <dcterms:modified xsi:type="dcterms:W3CDTF">2017-12-12T09:40:00Z</dcterms:modified>
</cp:coreProperties>
</file>