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2A" w:rsidRPr="00614E2A" w:rsidRDefault="00614E2A" w:rsidP="00614E2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614E2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14E2A" w:rsidRPr="00614E2A" w:rsidRDefault="00614E2A" w:rsidP="00614E2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614E2A">
        <w:rPr>
          <w:rFonts w:ascii="Calibri" w:eastAsia="Calibri" w:hAnsi="Calibri" w:cs="Calibri"/>
          <w:color w:val="FF0000"/>
          <w:sz w:val="16"/>
          <w:szCs w:val="16"/>
          <w:lang w:val="es-CO" w:eastAsia="fr-FR"/>
        </w:rPr>
        <w:t>El contenido total y fiel de la decisión debe ser verificado en la Secretaría de esta Sala.</w:t>
      </w:r>
    </w:p>
    <w:p w:rsidR="00614E2A" w:rsidRPr="00614E2A" w:rsidRDefault="00614E2A" w:rsidP="00614E2A">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614E2A">
        <w:rPr>
          <w:rFonts w:ascii="Calibri" w:hAnsi="Calibri" w:cs="Calibri"/>
          <w:color w:val="222222"/>
          <w:sz w:val="18"/>
          <w:szCs w:val="18"/>
          <w:lang w:val="es-CO" w:eastAsia="fr-FR"/>
        </w:rPr>
        <w:t>Providencia:</w:t>
      </w:r>
      <w:r w:rsidRPr="00614E2A">
        <w:rPr>
          <w:rFonts w:ascii="Calibri" w:hAnsi="Calibri" w:cs="Calibri"/>
          <w:color w:val="222222"/>
          <w:sz w:val="18"/>
          <w:szCs w:val="18"/>
          <w:lang w:val="es-CO" w:eastAsia="fr-FR"/>
        </w:rPr>
        <w:tab/>
        <w:t>Sentencia  – 1ª instancia – 10 de noviembre de 2017</w:t>
      </w:r>
    </w:p>
    <w:p w:rsidR="00614E2A" w:rsidRPr="00614E2A" w:rsidRDefault="00614E2A" w:rsidP="00614E2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614E2A">
        <w:rPr>
          <w:rFonts w:ascii="Calibri" w:eastAsia="Calibri" w:hAnsi="Calibri" w:cs="Calibri"/>
          <w:color w:val="222222"/>
          <w:sz w:val="18"/>
          <w:szCs w:val="18"/>
          <w:lang w:val="es-CO" w:eastAsia="fr-FR"/>
        </w:rPr>
        <w:t>Proceso:    </w:t>
      </w:r>
      <w:r w:rsidRPr="00614E2A">
        <w:rPr>
          <w:rFonts w:ascii="Calibri" w:eastAsia="Calibri" w:hAnsi="Calibri" w:cs="Calibri"/>
          <w:color w:val="222222"/>
          <w:sz w:val="18"/>
          <w:szCs w:val="18"/>
          <w:lang w:val="es-CO" w:eastAsia="fr-FR"/>
        </w:rPr>
        <w:tab/>
        <w:t>Acción de Tutela – Declara improcedente la acción</w:t>
      </w:r>
    </w:p>
    <w:p w:rsidR="00614E2A" w:rsidRPr="00614E2A" w:rsidRDefault="00614E2A" w:rsidP="00614E2A">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614E2A">
        <w:rPr>
          <w:rFonts w:ascii="Calibri" w:eastAsia="Calibri" w:hAnsi="Calibri" w:cs="Calibri"/>
          <w:color w:val="222222"/>
          <w:sz w:val="18"/>
          <w:szCs w:val="18"/>
          <w:lang w:val="es-CO" w:eastAsia="fr-FR"/>
        </w:rPr>
        <w:t>Radicación Nro. :</w:t>
      </w:r>
      <w:r w:rsidRPr="00614E2A">
        <w:rPr>
          <w:rFonts w:ascii="Calibri" w:eastAsia="Calibri" w:hAnsi="Calibri" w:cs="Calibri"/>
          <w:color w:val="222222"/>
          <w:sz w:val="18"/>
          <w:szCs w:val="18"/>
          <w:lang w:val="es-CO" w:eastAsia="fr-FR"/>
        </w:rPr>
        <w:tab/>
      </w:r>
      <w:r w:rsidRPr="00614E2A">
        <w:rPr>
          <w:rFonts w:ascii="Calibri" w:eastAsia="Calibri" w:hAnsi="Calibri" w:cs="Calibri"/>
          <w:color w:val="222222"/>
          <w:sz w:val="18"/>
          <w:szCs w:val="18"/>
          <w:lang w:val="es-CO" w:eastAsia="fr-FR"/>
        </w:rPr>
        <w:tab/>
      </w:r>
      <w:r w:rsidRPr="00614E2A">
        <w:rPr>
          <w:rFonts w:ascii="Calibri" w:eastAsia="Calibri" w:hAnsi="Calibri" w:cs="Calibri"/>
          <w:color w:val="222222"/>
          <w:sz w:val="18"/>
          <w:szCs w:val="18"/>
          <w:lang w:val="es-CO" w:eastAsia="fr-FR"/>
        </w:rPr>
        <w:tab/>
      </w:r>
      <w:r w:rsidRPr="00614E2A">
        <w:rPr>
          <w:rFonts w:ascii="Calibri" w:eastAsia="Calibri" w:hAnsi="Calibri" w:cs="Calibri"/>
          <w:color w:val="222222"/>
          <w:sz w:val="18"/>
          <w:szCs w:val="18"/>
          <w:lang w:eastAsia="fr-FR"/>
        </w:rPr>
        <w:t>2017-01193-00</w:t>
      </w:r>
    </w:p>
    <w:p w:rsidR="00614E2A" w:rsidRPr="00614E2A" w:rsidRDefault="00614E2A" w:rsidP="00614E2A">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14E2A">
        <w:rPr>
          <w:rFonts w:ascii="Calibri" w:eastAsia="Calibri" w:hAnsi="Calibri" w:cs="Calibri"/>
          <w:bCs/>
          <w:iCs/>
          <w:color w:val="222222"/>
          <w:sz w:val="18"/>
          <w:szCs w:val="18"/>
          <w:lang w:eastAsia="fr-FR"/>
        </w:rPr>
        <w:t xml:space="preserve">Accionante: </w:t>
      </w:r>
      <w:r w:rsidRPr="00614E2A">
        <w:rPr>
          <w:rFonts w:ascii="Calibri" w:eastAsia="Calibri" w:hAnsi="Calibri" w:cs="Calibri"/>
          <w:bCs/>
          <w:iCs/>
          <w:color w:val="222222"/>
          <w:sz w:val="18"/>
          <w:szCs w:val="18"/>
          <w:lang w:eastAsia="fr-FR"/>
        </w:rPr>
        <w:tab/>
        <w:t xml:space="preserve"> </w:t>
      </w:r>
      <w:r w:rsidRPr="00614E2A">
        <w:rPr>
          <w:rFonts w:ascii="Calibri" w:eastAsia="Calibri" w:hAnsi="Calibri" w:cs="Calibri"/>
          <w:color w:val="222222"/>
          <w:sz w:val="18"/>
          <w:szCs w:val="18"/>
          <w:lang w:eastAsia="fr-FR"/>
        </w:rPr>
        <w:t>JAVIER ELÍAS ARIAS IDÁRRAGA</w:t>
      </w:r>
    </w:p>
    <w:p w:rsidR="00614E2A" w:rsidRPr="00614E2A" w:rsidRDefault="00614E2A" w:rsidP="00614E2A">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614E2A">
        <w:rPr>
          <w:rFonts w:ascii="Calibri" w:eastAsia="Calibri" w:hAnsi="Calibri" w:cs="Calibri"/>
          <w:color w:val="222222"/>
          <w:sz w:val="18"/>
          <w:szCs w:val="18"/>
          <w:lang w:val="es-CO" w:eastAsia="fr-FR"/>
        </w:rPr>
        <w:t>Accionado:</w:t>
      </w:r>
      <w:r w:rsidRPr="00614E2A">
        <w:rPr>
          <w:rFonts w:ascii="Calibri" w:eastAsia="Calibri" w:hAnsi="Calibri" w:cs="Calibri"/>
          <w:color w:val="222222"/>
          <w:sz w:val="18"/>
          <w:szCs w:val="18"/>
          <w:lang w:val="es-CO" w:eastAsia="fr-FR"/>
        </w:rPr>
        <w:tab/>
      </w:r>
      <w:r w:rsidRPr="00614E2A">
        <w:rPr>
          <w:rFonts w:ascii="Calibri" w:eastAsia="Calibri" w:hAnsi="Calibri" w:cs="Calibri"/>
          <w:color w:val="222222"/>
          <w:sz w:val="18"/>
          <w:szCs w:val="18"/>
          <w:lang w:val="es-ES_tradnl" w:eastAsia="fr-FR"/>
        </w:rPr>
        <w:t>JUZGADO CUARTO CIVIL DEL CIRCUITO DE PEREIRA</w:t>
      </w:r>
    </w:p>
    <w:p w:rsidR="00614E2A" w:rsidRPr="00614E2A" w:rsidRDefault="00614E2A" w:rsidP="00614E2A">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614E2A">
        <w:rPr>
          <w:rFonts w:ascii="Calibri" w:eastAsia="Calibri" w:hAnsi="Calibri" w:cs="Calibri"/>
          <w:color w:val="222222"/>
          <w:sz w:val="18"/>
          <w:szCs w:val="18"/>
          <w:lang w:val="es-CO" w:eastAsia="fr-FR"/>
        </w:rPr>
        <w:t>Magistrado Ponente: </w:t>
      </w:r>
      <w:r w:rsidRPr="00614E2A">
        <w:rPr>
          <w:rFonts w:ascii="Calibri" w:eastAsia="Calibri" w:hAnsi="Calibri" w:cs="Calibri"/>
          <w:color w:val="222222"/>
          <w:sz w:val="18"/>
          <w:szCs w:val="18"/>
          <w:lang w:val="es-CO" w:eastAsia="fr-FR"/>
        </w:rPr>
        <w:tab/>
      </w:r>
      <w:proofErr w:type="spellStart"/>
      <w:r w:rsidRPr="00614E2A">
        <w:rPr>
          <w:rFonts w:ascii="Calibri" w:eastAsia="Calibri" w:hAnsi="Calibri" w:cs="Calibri"/>
          <w:bCs/>
          <w:iCs/>
          <w:color w:val="222222"/>
          <w:sz w:val="18"/>
          <w:szCs w:val="18"/>
          <w:lang w:val="es-CO" w:eastAsia="fr-FR"/>
        </w:rPr>
        <w:t>DUBERNEY</w:t>
      </w:r>
      <w:proofErr w:type="spellEnd"/>
      <w:r w:rsidRPr="00614E2A">
        <w:rPr>
          <w:rFonts w:ascii="Calibri" w:eastAsia="Calibri" w:hAnsi="Calibri" w:cs="Calibri"/>
          <w:bCs/>
          <w:iCs/>
          <w:color w:val="222222"/>
          <w:sz w:val="18"/>
          <w:szCs w:val="18"/>
          <w:lang w:val="es-CO" w:eastAsia="fr-FR"/>
        </w:rPr>
        <w:t xml:space="preserve"> GRISALES HERRERA</w:t>
      </w:r>
    </w:p>
    <w:p w:rsidR="00614E2A" w:rsidRPr="00614E2A" w:rsidRDefault="00614E2A" w:rsidP="00614E2A">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614E2A" w:rsidRDefault="00614E2A" w:rsidP="00614E2A">
      <w:pPr>
        <w:pStyle w:val="Sansinterligne"/>
        <w:tabs>
          <w:tab w:val="left" w:pos="3579"/>
        </w:tabs>
        <w:jc w:val="both"/>
        <w:rPr>
          <w:rFonts w:ascii="Georgia" w:hAnsi="Georgia" w:cs="Arial"/>
          <w:w w:val="140"/>
          <w:sz w:val="14"/>
        </w:rPr>
      </w:pPr>
      <w:r w:rsidRPr="00614E2A">
        <w:rPr>
          <w:rFonts w:ascii="Calibri" w:eastAsia="Calibri" w:hAnsi="Calibri" w:cs="Calibri"/>
          <w:b/>
          <w:bCs/>
          <w:iCs/>
          <w:color w:val="222222"/>
          <w:sz w:val="18"/>
          <w:szCs w:val="18"/>
          <w:lang w:val="es-CO" w:eastAsia="fr-FR"/>
        </w:rPr>
        <w:t xml:space="preserve">Temas: </w:t>
      </w:r>
      <w:r w:rsidRPr="00614E2A">
        <w:rPr>
          <w:rFonts w:ascii="Calibri" w:eastAsia="Calibri" w:hAnsi="Calibri" w:cs="Calibri"/>
          <w:b/>
          <w:bCs/>
          <w:iCs/>
          <w:color w:val="222222"/>
          <w:sz w:val="18"/>
          <w:szCs w:val="18"/>
          <w:lang w:val="es-CO" w:eastAsia="fr-FR"/>
        </w:rPr>
        <w:tab/>
        <w:t>DEBIDO PROCESO</w:t>
      </w:r>
      <w:r w:rsidRPr="00614E2A">
        <w:rPr>
          <w:rFonts w:ascii="Calibri" w:eastAsia="Calibri" w:hAnsi="Calibri" w:cs="Calibri"/>
          <w:b/>
          <w:bCs/>
          <w:iCs/>
          <w:color w:val="222222"/>
          <w:sz w:val="18"/>
          <w:szCs w:val="18"/>
          <w:lang w:eastAsia="fr-FR"/>
        </w:rPr>
        <w:t xml:space="preserve"> / TUTELA CONTRA PROVIDENCIA JUDICIAL / CARÁCTER RESIDUAL DE LA ACCIÓN DE TUTELA / NO SE AGOTARON LOS RECURSOS / IMPROCEDENCIA. </w:t>
      </w:r>
      <w:r w:rsidRPr="00614E2A">
        <w:rPr>
          <w:rFonts w:ascii="Calibri" w:eastAsia="Calibri" w:hAnsi="Calibri" w:cs="Calibri"/>
          <w:bCs/>
          <w:iCs/>
          <w:color w:val="222222"/>
          <w:sz w:val="18"/>
          <w:szCs w:val="18"/>
          <w:lang w:val="es-CO" w:eastAsia="fr-FR"/>
        </w:rPr>
        <w:t>[I]</w:t>
      </w:r>
      <w:proofErr w:type="spellStart"/>
      <w:r w:rsidRPr="00614E2A">
        <w:rPr>
          <w:rFonts w:ascii="Calibri" w:eastAsia="Calibri" w:hAnsi="Calibri" w:cs="Calibri"/>
          <w:bCs/>
          <w:iCs/>
          <w:color w:val="222222"/>
          <w:sz w:val="18"/>
          <w:szCs w:val="18"/>
          <w:lang w:val="es-CO" w:eastAsia="fr-FR"/>
        </w:rPr>
        <w:t>ndependientemente</w:t>
      </w:r>
      <w:proofErr w:type="spellEnd"/>
      <w:r w:rsidRPr="00614E2A">
        <w:rPr>
          <w:rFonts w:ascii="Calibri" w:eastAsia="Calibri" w:hAnsi="Calibri" w:cs="Calibri"/>
          <w:bCs/>
          <w:iCs/>
          <w:color w:val="222222"/>
          <w:sz w:val="18"/>
          <w:szCs w:val="18"/>
          <w:lang w:val="es-CO" w:eastAsia="fr-FR"/>
        </w:rPr>
        <w:t xml:space="preserve"> de que con posterioridad al auto que admitió la acción se haya solicitado el </w:t>
      </w:r>
      <w:r w:rsidRPr="00614E2A">
        <w:rPr>
          <w:rFonts w:ascii="Calibri" w:eastAsia="Calibri" w:hAnsi="Calibri" w:cs="Calibri"/>
          <w:bCs/>
          <w:i/>
          <w:iCs/>
          <w:color w:val="222222"/>
          <w:sz w:val="18"/>
          <w:szCs w:val="18"/>
          <w:lang w:val="es-CO" w:eastAsia="fr-FR"/>
        </w:rPr>
        <w:t>“impulso oficioso”</w:t>
      </w:r>
      <w:r w:rsidRPr="00614E2A">
        <w:rPr>
          <w:rFonts w:ascii="Calibri" w:eastAsia="Calibri" w:hAnsi="Calibri" w:cs="Calibri"/>
          <w:bCs/>
          <w:iCs/>
          <w:color w:val="222222"/>
          <w:sz w:val="18"/>
          <w:szCs w:val="18"/>
          <w:lang w:val="es-CO" w:eastAsia="fr-FR"/>
        </w:rPr>
        <w:t xml:space="preserve">, lo cierto es que el acto de notificación a la accionada y el aviso a la comunidad fueron cargas procesales que se le impusieron al actor en la decisión del 15-05-2017, que se encuentra en firme, ya que no la recurrió. El único auto que recurrió fue el denegatorio del desistimiento, mas solo discutió que no haya sido aceptado. No cabe duda que en sus memoriales invoca el </w:t>
      </w:r>
      <w:r w:rsidRPr="00614E2A">
        <w:rPr>
          <w:rFonts w:ascii="Calibri" w:eastAsia="Calibri" w:hAnsi="Calibri" w:cs="Calibri"/>
          <w:bCs/>
          <w:i/>
          <w:iCs/>
          <w:color w:val="222222"/>
          <w:sz w:val="18"/>
          <w:szCs w:val="18"/>
          <w:lang w:val="es-CO" w:eastAsia="fr-FR"/>
        </w:rPr>
        <w:t>“impulso oficioso”</w:t>
      </w:r>
      <w:r w:rsidRPr="00614E2A">
        <w:rPr>
          <w:rFonts w:ascii="Calibri" w:eastAsia="Calibri" w:hAnsi="Calibri" w:cs="Calibri"/>
          <w:bCs/>
          <w:iCs/>
          <w:color w:val="222222"/>
          <w:sz w:val="18"/>
          <w:szCs w:val="18"/>
          <w:lang w:val="es-CO" w:eastAsia="fr-FR"/>
        </w:rPr>
        <w:t xml:space="preserve">, pero lo cierto es que se trata de escritos ambiguos que impiden esclarecer cuáles son las actuaciones dejadas de realizar; no obstante, si propenden a que el juzgado de oficio ejecute las diligencias impuestas al accionante (Notificación y aviso), se evidencia, entonces, el incumplimiento del presupuesto de la subsidiariedad, pues </w:t>
      </w:r>
      <w:r w:rsidRPr="00614E2A">
        <w:rPr>
          <w:rFonts w:ascii="Calibri" w:eastAsia="Calibri" w:hAnsi="Calibri" w:cs="Calibri"/>
          <w:bCs/>
          <w:iCs/>
          <w:color w:val="222222"/>
          <w:sz w:val="18"/>
          <w:szCs w:val="18"/>
          <w:lang w:eastAsia="fr-FR"/>
        </w:rPr>
        <w:t xml:space="preserve">pretermitió agotar el recurso de reposición frente al proveído </w:t>
      </w:r>
      <w:proofErr w:type="spellStart"/>
      <w:r w:rsidRPr="00614E2A">
        <w:rPr>
          <w:rFonts w:ascii="Calibri" w:eastAsia="Calibri" w:hAnsi="Calibri" w:cs="Calibri"/>
          <w:bCs/>
          <w:iCs/>
          <w:color w:val="222222"/>
          <w:sz w:val="18"/>
          <w:szCs w:val="18"/>
          <w:lang w:eastAsia="fr-FR"/>
        </w:rPr>
        <w:t>admisorio</w:t>
      </w:r>
      <w:proofErr w:type="spellEnd"/>
      <w:r w:rsidRPr="00614E2A">
        <w:rPr>
          <w:rFonts w:ascii="Calibri" w:eastAsia="Calibri" w:hAnsi="Calibri" w:cs="Calibri"/>
          <w:bCs/>
          <w:iCs/>
          <w:color w:val="222222"/>
          <w:sz w:val="18"/>
          <w:szCs w:val="18"/>
          <w:lang w:eastAsia="fr-FR"/>
        </w:rPr>
        <w:t xml:space="preserve"> de la acción (Folio 14, ib.) (Artículo 36, Ley 472), cuando ese era el mecanismo ordinario y expedito que tenía para que el estrado judicial reconsiderara sus decisiones. (…) </w:t>
      </w:r>
      <w:r w:rsidRPr="00614E2A">
        <w:rPr>
          <w:rFonts w:ascii="Calibri" w:eastAsia="Calibri" w:hAnsi="Calibri" w:cs="Calibri"/>
          <w:bCs/>
          <w:iCs/>
          <w:color w:val="222222"/>
          <w:sz w:val="18"/>
          <w:szCs w:val="18"/>
          <w:lang w:val="es-ES_tradnl" w:eastAsia="fr-FR"/>
        </w:rPr>
        <w:t xml:space="preserve">Así las cosas, es evidente la falta de agotamiento del supuesto de subsidiariedad, como ha explicado </w:t>
      </w:r>
      <w:r w:rsidRPr="00614E2A">
        <w:rPr>
          <w:rFonts w:ascii="Calibri" w:eastAsia="Calibri" w:hAnsi="Calibri" w:cs="Calibri"/>
          <w:bCs/>
          <w:iCs/>
          <w:color w:val="222222"/>
          <w:sz w:val="18"/>
          <w:szCs w:val="18"/>
          <w:lang w:eastAsia="fr-FR"/>
        </w:rPr>
        <w:t>la CC, que reiteradamente ha referido que la acción de tutela mal puede implementarse como medio para sustituir los mecanismos ordinarios de defensa, cuando por negligencia, descuido o incuria no fueron utilizados.</w:t>
      </w:r>
    </w:p>
    <w:p w:rsidR="00614E2A" w:rsidRDefault="00614E2A" w:rsidP="002403C8">
      <w:pPr>
        <w:pStyle w:val="Sansinterligne"/>
        <w:tabs>
          <w:tab w:val="left" w:pos="3579"/>
        </w:tabs>
        <w:spacing w:line="360" w:lineRule="auto"/>
        <w:jc w:val="center"/>
        <w:rPr>
          <w:rFonts w:ascii="Georgia" w:hAnsi="Georgia" w:cs="Arial"/>
          <w:w w:val="140"/>
          <w:sz w:val="14"/>
        </w:rPr>
      </w:pPr>
    </w:p>
    <w:p w:rsidR="00486062" w:rsidRPr="00AD7B0C" w:rsidRDefault="00D0509A" w:rsidP="002403C8">
      <w:pPr>
        <w:pStyle w:val="Sansinterligne"/>
        <w:tabs>
          <w:tab w:val="left" w:pos="3579"/>
        </w:tabs>
        <w:spacing w:line="360" w:lineRule="auto"/>
        <w:jc w:val="center"/>
        <w:rPr>
          <w:rFonts w:ascii="Georgia" w:hAnsi="Georgia" w:cs="Arial"/>
          <w:w w:val="140"/>
          <w:sz w:val="14"/>
        </w:rPr>
      </w:pPr>
      <w:r w:rsidRPr="00AD7B0C">
        <w:rPr>
          <w:rFonts w:ascii="Georgia" w:hAnsi="Georgia"/>
          <w:b/>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ansinterligne"/>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ansinterligne"/>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ansinterligne"/>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ansinterligne"/>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Corpsdetex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Javier Elías Arias </w:t>
      </w:r>
      <w:proofErr w:type="spellStart"/>
      <w:r w:rsidRPr="00AD7B0C">
        <w:rPr>
          <w:rFonts w:ascii="Georgia" w:hAnsi="Georgia" w:cs="Arial"/>
          <w:sz w:val="22"/>
        </w:rPr>
        <w:t>Idárraga</w:t>
      </w:r>
      <w:proofErr w:type="spellEnd"/>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217965" w:rsidRPr="00AD7B0C">
        <w:rPr>
          <w:rFonts w:ascii="Georgia" w:hAnsi="Georgia" w:cs="Arial"/>
          <w:sz w:val="22"/>
        </w:rPr>
        <w:t xml:space="preserve">Cuarto </w:t>
      </w:r>
      <w:r w:rsidR="000B4D37" w:rsidRPr="00AD7B0C">
        <w:rPr>
          <w:rFonts w:ascii="Georgia" w:hAnsi="Georgia" w:cs="Arial"/>
          <w:sz w:val="22"/>
        </w:rPr>
        <w:t xml:space="preserve">Civil del Circuito de Pereira </w:t>
      </w:r>
    </w:p>
    <w:p w:rsidR="00A00766" w:rsidRPr="00AD7B0C" w:rsidRDefault="00A00766" w:rsidP="00F109A0">
      <w:pPr>
        <w:pStyle w:val="Corpsdetex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401168" w:rsidRPr="00AD7B0C">
        <w:rPr>
          <w:rFonts w:ascii="Georgia" w:hAnsi="Georgia" w:cs="Arial"/>
          <w:sz w:val="22"/>
          <w:szCs w:val="22"/>
        </w:rPr>
        <w:t>Alcaldía de</w:t>
      </w:r>
      <w:r w:rsidR="00AD7B0C" w:rsidRPr="00AD7B0C">
        <w:rPr>
          <w:rFonts w:ascii="Georgia" w:hAnsi="Georgia" w:cs="Arial"/>
          <w:sz w:val="22"/>
          <w:szCs w:val="22"/>
        </w:rPr>
        <w:t xml:space="preserve"> Santa Cruz de Lorica, C.</w:t>
      </w:r>
      <w:r w:rsidR="00401168" w:rsidRPr="00AD7B0C">
        <w:rPr>
          <w:rFonts w:ascii="Georgia" w:hAnsi="Georgia" w:cs="Arial"/>
          <w:sz w:val="22"/>
          <w:szCs w:val="22"/>
        </w:rPr>
        <w:t xml:space="preserve"> y otros</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401168" w:rsidRPr="00AD7B0C">
        <w:rPr>
          <w:rFonts w:ascii="Georgia" w:hAnsi="Georgia" w:cs="Arial"/>
          <w:sz w:val="22"/>
        </w:rPr>
        <w:t>2017-</w:t>
      </w:r>
      <w:r w:rsidR="00401168" w:rsidRPr="000B3ECF">
        <w:rPr>
          <w:rFonts w:ascii="Georgia" w:hAnsi="Georgia" w:cs="Arial"/>
          <w:sz w:val="22"/>
        </w:rPr>
        <w:t>0</w:t>
      </w:r>
      <w:r w:rsidR="00217965" w:rsidRPr="000B3ECF">
        <w:rPr>
          <w:rFonts w:ascii="Georgia" w:hAnsi="Georgia" w:cs="Arial"/>
          <w:sz w:val="22"/>
        </w:rPr>
        <w:t>1</w:t>
      </w:r>
      <w:r w:rsidR="00AD7B0C" w:rsidRPr="000B3ECF">
        <w:rPr>
          <w:rFonts w:ascii="Georgia" w:hAnsi="Georgia" w:cs="Arial"/>
          <w:sz w:val="22"/>
        </w:rPr>
        <w:t>193</w:t>
      </w:r>
      <w:r w:rsidR="00217965" w:rsidRPr="000B3ECF">
        <w:rPr>
          <w:rFonts w:ascii="Georgia" w:hAnsi="Georgia" w:cs="Arial"/>
          <w:sz w:val="22"/>
        </w:rPr>
        <w:t>-00</w:t>
      </w:r>
      <w:r w:rsidR="00AD7B0C" w:rsidRPr="000B3ECF">
        <w:rPr>
          <w:rFonts w:ascii="Georgia" w:hAnsi="Georgia" w:cs="Arial"/>
          <w:sz w:val="22"/>
        </w:rPr>
        <w:t xml:space="preserve"> (</w:t>
      </w:r>
      <w:r w:rsidR="00055BAB" w:rsidRPr="000B3ECF">
        <w:rPr>
          <w:rFonts w:ascii="Georgia" w:hAnsi="Georgia" w:cs="Arial"/>
          <w:sz w:val="22"/>
        </w:rPr>
        <w:t>I</w:t>
      </w:r>
      <w:r w:rsidR="00AD7B0C" w:rsidRPr="000B3ECF">
        <w:rPr>
          <w:rFonts w:ascii="Georgia" w:hAnsi="Georgia" w:cs="Arial"/>
          <w:sz w:val="22"/>
        </w:rPr>
        <w:t>ntern</w:t>
      </w:r>
      <w:r w:rsidR="000B3ECF" w:rsidRPr="000B3ECF">
        <w:rPr>
          <w:rFonts w:ascii="Georgia" w:hAnsi="Georgia" w:cs="Arial"/>
          <w:sz w:val="22"/>
        </w:rPr>
        <w:t>a</w:t>
      </w:r>
      <w:r w:rsidR="00AD7B0C" w:rsidRPr="000B3ECF">
        <w:rPr>
          <w:rFonts w:ascii="Georgia" w:hAnsi="Georgia" w:cs="Arial"/>
          <w:sz w:val="22"/>
        </w:rPr>
        <w:t xml:space="preserve"> 1193)</w:t>
      </w:r>
    </w:p>
    <w:p w:rsidR="00401168" w:rsidRPr="00AD7B0C" w:rsidRDefault="00970930" w:rsidP="008E5334">
      <w:pPr>
        <w:pStyle w:val="Corpsdetex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AD7B0C" w:rsidRPr="00AD7B0C">
        <w:rPr>
          <w:rFonts w:ascii="Georgia" w:hAnsi="Georgia" w:cs="Arial"/>
          <w:sz w:val="22"/>
          <w:szCs w:val="22"/>
        </w:rPr>
        <w:t>Subsidiariedad</w:t>
      </w:r>
      <w:r w:rsidR="00C74846">
        <w:rPr>
          <w:rFonts w:ascii="Georgia" w:hAnsi="Georgia" w:cs="Arial"/>
          <w:sz w:val="22"/>
          <w:szCs w:val="22"/>
        </w:rPr>
        <w:t xml:space="preserve"> –</w:t>
      </w:r>
      <w:r w:rsidR="000B3ECF">
        <w:rPr>
          <w:rFonts w:ascii="Georgia" w:hAnsi="Georgia" w:cs="Arial"/>
          <w:sz w:val="22"/>
          <w:szCs w:val="22"/>
        </w:rPr>
        <w:t>S</w:t>
      </w:r>
      <w:r w:rsidR="00C74846">
        <w:rPr>
          <w:rFonts w:ascii="Georgia" w:hAnsi="Georgia" w:cs="Arial"/>
          <w:sz w:val="22"/>
          <w:szCs w:val="22"/>
        </w:rPr>
        <w:t>in recursos</w:t>
      </w:r>
    </w:p>
    <w:p w:rsidR="0099045D" w:rsidRPr="00AD7B0C" w:rsidRDefault="008E5334" w:rsidP="008E5334">
      <w:pPr>
        <w:pStyle w:val="Corpsdetex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E53650">
        <w:rPr>
          <w:rFonts w:ascii="Georgia" w:hAnsi="Georgia"/>
          <w:sz w:val="22"/>
          <w:szCs w:val="22"/>
        </w:rPr>
        <w:t>593</w:t>
      </w:r>
      <w:r w:rsidRPr="00AD7B0C">
        <w:rPr>
          <w:rFonts w:ascii="Georgia" w:hAnsi="Georgia"/>
          <w:sz w:val="22"/>
          <w:szCs w:val="22"/>
        </w:rPr>
        <w:t xml:space="preserve"> de </w:t>
      </w:r>
      <w:r w:rsidR="00E53650">
        <w:rPr>
          <w:rFonts w:ascii="Georgia" w:hAnsi="Georgia"/>
          <w:sz w:val="22"/>
          <w:szCs w:val="22"/>
        </w:rPr>
        <w:t>10</w:t>
      </w:r>
      <w:r w:rsidRPr="00AD7B0C">
        <w:rPr>
          <w:rFonts w:ascii="Georgia" w:hAnsi="Georgia"/>
          <w:sz w:val="22"/>
          <w:szCs w:val="22"/>
        </w:rPr>
        <w:t>-</w:t>
      </w:r>
      <w:r w:rsidR="00217965" w:rsidRPr="00AD7B0C">
        <w:rPr>
          <w:rFonts w:ascii="Georgia" w:hAnsi="Georgia"/>
          <w:sz w:val="22"/>
          <w:szCs w:val="22"/>
        </w:rPr>
        <w:t>11</w:t>
      </w:r>
      <w:r w:rsidRPr="00AD7B0C">
        <w:rPr>
          <w:rFonts w:ascii="Georgia" w:hAnsi="Georgia"/>
          <w:sz w:val="22"/>
          <w:szCs w:val="22"/>
        </w:rPr>
        <w:t>-2017</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971653" w:rsidP="00971653">
      <w:pPr>
        <w:spacing w:line="360" w:lineRule="auto"/>
        <w:jc w:val="center"/>
        <w:rPr>
          <w:rFonts w:ascii="Georgia" w:hAnsi="Georgia" w:cs="Arial"/>
          <w:iCs/>
          <w:lang w:val="es-CO"/>
        </w:rPr>
      </w:pPr>
      <w:r w:rsidRPr="00AD7B0C">
        <w:rPr>
          <w:rFonts w:ascii="Georgia" w:hAnsi="Georgia" w:cs="Arial"/>
          <w:iCs/>
          <w:smallCaps/>
          <w:lang w:val="es-CO"/>
        </w:rPr>
        <w:t>P</w:t>
      </w:r>
      <w:r w:rsidR="00217965" w:rsidRPr="00AD7B0C">
        <w:rPr>
          <w:rFonts w:ascii="Georgia" w:hAnsi="Georgia" w:cs="Arial"/>
          <w:iCs/>
          <w:smallCaps/>
          <w:lang w:val="es-CO"/>
        </w:rPr>
        <w:t xml:space="preserve">EREIRA, R. </w:t>
      </w:r>
      <w:r w:rsidR="00E53650">
        <w:rPr>
          <w:rFonts w:ascii="Georgia" w:hAnsi="Georgia" w:cs="Arial"/>
          <w:iCs/>
          <w:smallCaps/>
          <w:lang w:val="es-CO"/>
        </w:rPr>
        <w:t xml:space="preserve">DIEZ </w:t>
      </w:r>
      <w:r w:rsidR="00E53650" w:rsidRPr="00AD7B0C">
        <w:rPr>
          <w:rFonts w:ascii="Georgia" w:hAnsi="Georgia" w:cs="Arial"/>
          <w:iCs/>
          <w:smallCaps/>
          <w:lang w:val="es-CO"/>
        </w:rPr>
        <w:t xml:space="preserve"> </w:t>
      </w:r>
      <w:r w:rsidRPr="00AD7B0C">
        <w:rPr>
          <w:rFonts w:ascii="Georgia" w:hAnsi="Georgia" w:cs="Arial"/>
          <w:iCs/>
          <w:smallCaps/>
          <w:lang w:val="es-CO"/>
        </w:rPr>
        <w:t>(</w:t>
      </w:r>
      <w:r w:rsidR="00E53650">
        <w:rPr>
          <w:rFonts w:ascii="Georgia" w:hAnsi="Georgia" w:cs="Arial"/>
          <w:iCs/>
          <w:smallCaps/>
          <w:lang w:val="es-CO"/>
        </w:rPr>
        <w:t>10</w:t>
      </w:r>
      <w:r w:rsidRPr="00AD7B0C">
        <w:rPr>
          <w:rFonts w:ascii="Georgia" w:hAnsi="Georgia" w:cs="Arial"/>
          <w:iCs/>
          <w:smallCaps/>
          <w:lang w:val="es-CO"/>
        </w:rPr>
        <w:t xml:space="preserve">) </w:t>
      </w:r>
      <w:r w:rsidR="00217965" w:rsidRPr="00AD7B0C">
        <w:rPr>
          <w:rFonts w:ascii="Georgia" w:hAnsi="Georgia" w:cs="Arial"/>
          <w:iCs/>
          <w:smallCaps/>
          <w:lang w:val="es-CO"/>
        </w:rPr>
        <w:t>DE NOVIEMBRE DE DOS MIL DICIESIETE</w:t>
      </w:r>
      <w:r w:rsidRPr="00AD7B0C">
        <w:rPr>
          <w:rFonts w:ascii="Georgia" w:hAnsi="Georgia" w:cs="Arial"/>
          <w:iCs/>
          <w:smallCaps/>
          <w:lang w:val="es-CO"/>
        </w:rPr>
        <w:t xml:space="preserve"> (2017)</w:t>
      </w:r>
      <w:r w:rsidRPr="00AD7B0C">
        <w:rPr>
          <w:rFonts w:ascii="Georgia" w:hAnsi="Georgia" w:cs="Arial"/>
          <w:iCs/>
          <w:lang w:val="es-CO"/>
        </w:rPr>
        <w:t>.</w:t>
      </w:r>
    </w:p>
    <w:p w:rsidR="000147A2" w:rsidRPr="00AD7B0C" w:rsidRDefault="000147A2" w:rsidP="00971653">
      <w:pPr>
        <w:tabs>
          <w:tab w:val="left" w:pos="851"/>
          <w:tab w:val="left" w:pos="1416"/>
        </w:tabs>
        <w:spacing w:line="360" w:lineRule="auto"/>
        <w:rPr>
          <w:rFonts w:ascii="Georgia" w:hAnsi="Georgia" w:cs="Arial"/>
          <w:b/>
          <w:bCs/>
          <w:sz w:val="32"/>
          <w:lang w:val="es-CO"/>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 xml:space="preserve">EL ASUNTO </w:t>
      </w:r>
      <w:r w:rsidR="00B15B77" w:rsidRPr="00AD7B0C">
        <w:rPr>
          <w:rFonts w:ascii="Georgia" w:hAnsi="Georgia"/>
          <w:szCs w:val="24"/>
        </w:rPr>
        <w:t xml:space="preserve">POR </w:t>
      </w:r>
      <w:r w:rsidRPr="00AD7B0C">
        <w:rPr>
          <w:rFonts w:ascii="Georgia" w:hAnsi="Georgia"/>
          <w:szCs w:val="24"/>
        </w:rPr>
        <w:t>DECIDIR</w:t>
      </w:r>
    </w:p>
    <w:p w:rsidR="00AD7B0C" w:rsidRPr="00AD7B0C" w:rsidRDefault="00AD7B0C" w:rsidP="00614E2A">
      <w:pPr>
        <w:pStyle w:val="Corpsdetexte"/>
        <w:spacing w:line="240" w:lineRule="auto"/>
        <w:ind w:left="360"/>
        <w:rPr>
          <w:rFonts w:ascii="Georgia" w:hAnsi="Georgia"/>
          <w:szCs w:val="24"/>
        </w:rPr>
      </w:pPr>
    </w:p>
    <w:p w:rsidR="00AD7B0C" w:rsidRPr="00AD7B0C" w:rsidRDefault="00AD7B0C" w:rsidP="00AD7B0C">
      <w:pPr>
        <w:pStyle w:val="Corpsdetexte"/>
        <w:spacing w:line="360" w:lineRule="auto"/>
        <w:rPr>
          <w:rFonts w:ascii="Georgia" w:hAnsi="Georgia"/>
          <w:szCs w:val="24"/>
        </w:rPr>
      </w:pPr>
      <w:r w:rsidRPr="00AD7B0C">
        <w:rPr>
          <w:rFonts w:ascii="Georgia" w:hAnsi="Georgia"/>
          <w:szCs w:val="24"/>
        </w:rPr>
        <w:t>La acción constitucional referida, adelantadas las debidas actuaciones con el trámite preferente y sumario, sin que se evidencien causales de nulidad que la invalide.</w:t>
      </w:r>
    </w:p>
    <w:p w:rsidR="000147A2" w:rsidRPr="00AD7B0C" w:rsidRDefault="000147A2" w:rsidP="0099045D">
      <w:pPr>
        <w:pStyle w:val="Corpsdetexte"/>
        <w:spacing w:line="360" w:lineRule="auto"/>
        <w:rPr>
          <w:rFonts w:ascii="Georgia" w:hAnsi="Georgia"/>
          <w:szCs w:val="24"/>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7B0C" w:rsidRDefault="0099045D" w:rsidP="00614E2A">
      <w:pPr>
        <w:pStyle w:val="Corpsdetexte"/>
        <w:spacing w:line="24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que </w:t>
      </w:r>
      <w:r w:rsidR="000D7459" w:rsidRPr="00AD7B0C">
        <w:rPr>
          <w:rFonts w:ascii="Georgia" w:hAnsi="Georgia" w:cs="Arial"/>
        </w:rPr>
        <w:t xml:space="preserve">en </w:t>
      </w:r>
      <w:r w:rsidR="00401168" w:rsidRPr="00AD7B0C">
        <w:rPr>
          <w:rFonts w:ascii="Georgia" w:hAnsi="Georgia" w:cs="Arial"/>
        </w:rPr>
        <w:t>la acción popular No.201</w:t>
      </w:r>
      <w:r>
        <w:rPr>
          <w:rFonts w:ascii="Georgia" w:hAnsi="Georgia" w:cs="Arial"/>
        </w:rPr>
        <w:t>6</w:t>
      </w:r>
      <w:r w:rsidR="00401168" w:rsidRPr="00AD7B0C">
        <w:rPr>
          <w:rFonts w:ascii="Georgia" w:hAnsi="Georgia" w:cs="Arial"/>
        </w:rPr>
        <w:t>-</w:t>
      </w:r>
      <w:r w:rsidR="005F1DF9" w:rsidRPr="00AD7B0C">
        <w:rPr>
          <w:rFonts w:ascii="Georgia" w:hAnsi="Georgia" w:cs="Arial"/>
        </w:rPr>
        <w:t>00</w:t>
      </w:r>
      <w:r>
        <w:rPr>
          <w:rFonts w:ascii="Georgia" w:hAnsi="Georgia" w:cs="Arial"/>
        </w:rPr>
        <w:t>619</w:t>
      </w:r>
      <w:r w:rsidR="00401168" w:rsidRPr="00AD7B0C">
        <w:rPr>
          <w:rFonts w:ascii="Georgia" w:hAnsi="Georgia" w:cs="Arial"/>
        </w:rPr>
        <w:t>-00</w:t>
      </w:r>
      <w:r w:rsidR="001254BD" w:rsidRPr="00AD7B0C">
        <w:rPr>
          <w:rFonts w:ascii="Georgia" w:hAnsi="Georgia" w:cs="Arial"/>
        </w:rPr>
        <w:t xml:space="preserve">, </w:t>
      </w:r>
      <w:r w:rsidR="00793B0B" w:rsidRPr="00AD7B0C">
        <w:rPr>
          <w:rFonts w:ascii="Georgia" w:hAnsi="Georgia" w:cs="Arial"/>
        </w:rPr>
        <w:t xml:space="preserve">el Juzgado </w:t>
      </w:r>
      <w:r w:rsidR="00401168" w:rsidRPr="00AD7B0C">
        <w:rPr>
          <w:rFonts w:ascii="Georgia" w:hAnsi="Georgia" w:cs="Arial"/>
        </w:rPr>
        <w:t>de</w:t>
      </w:r>
      <w:r>
        <w:rPr>
          <w:rFonts w:ascii="Georgia" w:hAnsi="Georgia" w:cs="Arial"/>
        </w:rPr>
        <w:t xml:space="preserve"> primera instancia</w:t>
      </w:r>
      <w:r w:rsidR="00401168" w:rsidRPr="00AD7B0C">
        <w:rPr>
          <w:rFonts w:ascii="Georgia" w:hAnsi="Georgia" w:cs="Arial"/>
        </w:rPr>
        <w:t xml:space="preserve"> </w:t>
      </w:r>
      <w:r w:rsidR="00793B0B" w:rsidRPr="00AD7B0C">
        <w:rPr>
          <w:rFonts w:ascii="Georgia" w:hAnsi="Georgia" w:cs="Arial"/>
        </w:rPr>
        <w:t>se niega aplicar lo dispuesto en los artículos 5</w:t>
      </w:r>
      <w:r w:rsidR="00401168" w:rsidRPr="00AD7B0C">
        <w:rPr>
          <w:rFonts w:ascii="Georgia" w:hAnsi="Georgia" w:cs="Arial"/>
        </w:rPr>
        <w:t>º</w:t>
      </w:r>
      <w:r>
        <w:rPr>
          <w:rFonts w:ascii="Georgia" w:hAnsi="Georgia" w:cs="Arial"/>
        </w:rPr>
        <w:t>,</w:t>
      </w:r>
      <w:r w:rsidR="00793B0B" w:rsidRPr="00AD7B0C">
        <w:rPr>
          <w:rFonts w:ascii="Georgia" w:hAnsi="Georgia" w:cs="Arial"/>
        </w:rPr>
        <w:t xml:space="preserve"> 84 de la Ley 472</w:t>
      </w:r>
      <w:r w:rsidR="00401168" w:rsidRPr="00AD7B0C">
        <w:rPr>
          <w:rFonts w:ascii="Georgia" w:hAnsi="Georgia" w:cs="Arial"/>
        </w:rPr>
        <w:t xml:space="preserve"> </w:t>
      </w:r>
      <w:r>
        <w:rPr>
          <w:rFonts w:ascii="Georgia" w:hAnsi="Georgia" w:cs="Arial"/>
        </w:rPr>
        <w:t xml:space="preserve"> y 42 del CGP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99045D" w:rsidRPr="00AD7B0C" w:rsidRDefault="00265F36" w:rsidP="0099045D">
      <w:pPr>
        <w:pStyle w:val="Corpsdetexte"/>
        <w:numPr>
          <w:ilvl w:val="0"/>
          <w:numId w:val="1"/>
        </w:numPr>
        <w:spacing w:line="360" w:lineRule="auto"/>
        <w:rPr>
          <w:rFonts w:ascii="Georgia" w:hAnsi="Georgia"/>
          <w:szCs w:val="24"/>
        </w:rPr>
      </w:pPr>
      <w:r w:rsidRPr="00AD7B0C">
        <w:rPr>
          <w:rFonts w:ascii="Georgia" w:hAnsi="Georgia"/>
          <w:szCs w:val="24"/>
        </w:rPr>
        <w:lastRenderedPageBreak/>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7B0C" w:rsidRDefault="00800EF6" w:rsidP="00730CA7">
      <w:pPr>
        <w:pStyle w:val="Corpsdetexte"/>
        <w:spacing w:line="360" w:lineRule="auto"/>
        <w:rPr>
          <w:rFonts w:ascii="Georgia" w:hAnsi="Georgia"/>
          <w:szCs w:val="24"/>
        </w:rPr>
      </w:pPr>
    </w:p>
    <w:p w:rsidR="007D0ECC" w:rsidRPr="00AD7B0C" w:rsidRDefault="00AD7B0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Las garantías procesales </w:t>
      </w:r>
      <w:r w:rsidR="00401168" w:rsidRPr="00AD7B0C">
        <w:rPr>
          <w:rFonts w:ascii="Georgia" w:hAnsi="Georgia" w:cs="Arial"/>
          <w:spacing w:val="-3"/>
          <w:lang w:val="es-ES_tradnl"/>
        </w:rPr>
        <w:t>y los artículos 13 y 83 de la CP</w:t>
      </w:r>
      <w:r w:rsidR="00952189" w:rsidRPr="00AD7B0C">
        <w:rPr>
          <w:rFonts w:ascii="Georgia" w:hAnsi="Georgia" w:cs="Arial"/>
          <w:spacing w:val="-3"/>
          <w:sz w:val="22"/>
          <w:lang w:val="es-ES_tradnl"/>
        </w:rPr>
        <w:t xml:space="preserve"> </w:t>
      </w:r>
      <w:r w:rsidR="00401168" w:rsidRPr="00AD7B0C">
        <w:rPr>
          <w:rFonts w:ascii="Georgia" w:hAnsi="Georgia" w:cs="Arial"/>
          <w:spacing w:val="-3"/>
          <w:lang w:val="es-ES_tradnl"/>
        </w:rPr>
        <w:t>(Folio 2</w:t>
      </w:r>
      <w:r w:rsidR="007D0ECC" w:rsidRPr="00AD7B0C">
        <w:rPr>
          <w:rFonts w:ascii="Georgia" w:hAnsi="Georgia" w:cs="Arial"/>
          <w:spacing w:val="-3"/>
          <w:lang w:val="es-ES_tradnl"/>
        </w:rPr>
        <w:t>, este cuaderno).</w:t>
      </w:r>
    </w:p>
    <w:p w:rsidR="003F6C16" w:rsidRPr="00AD7B0C"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7B0C" w:rsidRDefault="00303E85" w:rsidP="004B1EB8">
      <w:pPr>
        <w:pStyle w:val="Sansinterligne"/>
        <w:spacing w:line="360" w:lineRule="auto"/>
        <w:jc w:val="both"/>
        <w:rPr>
          <w:rFonts w:ascii="Georgia" w:hAnsi="Georgia" w:cs="Arial"/>
          <w:szCs w:val="24"/>
        </w:rPr>
      </w:pPr>
    </w:p>
    <w:p w:rsidR="00D669DC" w:rsidRPr="00AD7B0C" w:rsidRDefault="003F7B7A" w:rsidP="001A7DE1">
      <w:pPr>
        <w:spacing w:line="360" w:lineRule="auto"/>
        <w:jc w:val="both"/>
        <w:rPr>
          <w:rFonts w:ascii="Georgia" w:hAnsi="Georgia" w:cs="Arial"/>
          <w:spacing w:val="-3"/>
          <w:lang w:val="es-ES_tradnl"/>
        </w:rPr>
      </w:pPr>
      <w:r>
        <w:rPr>
          <w:rFonts w:ascii="Georgia" w:hAnsi="Georgia" w:cs="Arial"/>
        </w:rPr>
        <w:t xml:space="preserve">Pretende que se ordene al accionado </w:t>
      </w:r>
      <w:r w:rsidR="00401168" w:rsidRPr="00AD7B0C">
        <w:rPr>
          <w:rFonts w:ascii="Georgia" w:hAnsi="Georgia" w:cs="Arial"/>
        </w:rPr>
        <w:t>(</w:t>
      </w:r>
      <w:r>
        <w:rPr>
          <w:rFonts w:ascii="Georgia" w:hAnsi="Georgia" w:cs="Arial"/>
        </w:rPr>
        <w:t>i</w:t>
      </w:r>
      <w:r w:rsidR="00401168" w:rsidRPr="00AD7B0C">
        <w:rPr>
          <w:rFonts w:ascii="Georgia" w:hAnsi="Georgia" w:cs="Arial"/>
        </w:rPr>
        <w:t xml:space="preserve">) aplicar </w:t>
      </w:r>
      <w:r w:rsidRPr="00AD7B0C">
        <w:rPr>
          <w:rFonts w:ascii="Georgia" w:hAnsi="Georgia" w:cs="Arial"/>
        </w:rPr>
        <w:t>los artículos</w:t>
      </w:r>
      <w:r w:rsidR="00401168" w:rsidRPr="00AD7B0C">
        <w:rPr>
          <w:rFonts w:ascii="Georgia" w:hAnsi="Georgia" w:cs="Arial"/>
        </w:rPr>
        <w:t xml:space="preserve"> 5º</w:t>
      </w:r>
      <w:r>
        <w:rPr>
          <w:rFonts w:ascii="Georgia" w:hAnsi="Georgia" w:cs="Arial"/>
        </w:rPr>
        <w:t>,</w:t>
      </w:r>
      <w:r w:rsidR="00401168" w:rsidRPr="00AD7B0C">
        <w:rPr>
          <w:rFonts w:ascii="Georgia" w:hAnsi="Georgia" w:cs="Arial"/>
        </w:rPr>
        <w:t xml:space="preserve"> 84 de la Ley 472</w:t>
      </w:r>
      <w:r>
        <w:rPr>
          <w:rFonts w:ascii="Georgia" w:hAnsi="Georgia" w:cs="Arial"/>
        </w:rPr>
        <w:t xml:space="preserve"> y 42 del CGP</w:t>
      </w:r>
      <w:r w:rsidR="00401168" w:rsidRPr="00AD7B0C">
        <w:rPr>
          <w:rFonts w:ascii="Georgia" w:hAnsi="Georgia" w:cs="Arial"/>
        </w:rPr>
        <w:t xml:space="preserve">, y, (ii) remitir copias de la tutela con destino a la acción popular </w:t>
      </w:r>
      <w:r w:rsidR="00612C75" w:rsidRPr="00AD7B0C">
        <w:rPr>
          <w:rFonts w:ascii="Georgia" w:hAnsi="Georgia" w:cs="Arial"/>
          <w:spacing w:val="-3"/>
          <w:lang w:val="es-ES_tradnl"/>
        </w:rPr>
        <w:t>(Folio</w:t>
      </w:r>
      <w:r w:rsidR="00401168" w:rsidRPr="00AD7B0C">
        <w:rPr>
          <w:rFonts w:ascii="Georgia" w:hAnsi="Georgia" w:cs="Arial"/>
          <w:spacing w:val="-3"/>
          <w:lang w:val="es-ES_tradnl"/>
        </w:rPr>
        <w:t xml:space="preserve"> 2</w:t>
      </w:r>
      <w:r w:rsidR="00D669DC" w:rsidRPr="00AD7B0C">
        <w:rPr>
          <w:rFonts w:ascii="Georgia" w:hAnsi="Georgia" w:cs="Arial"/>
          <w:spacing w:val="-3"/>
          <w:lang w:val="es-ES_tradnl"/>
        </w:rPr>
        <w:t>, este cuaderno).</w:t>
      </w:r>
    </w:p>
    <w:p w:rsidR="00CE71D8" w:rsidRPr="00AD7B0C" w:rsidRDefault="00CE71D8" w:rsidP="000145EA">
      <w:pPr>
        <w:pStyle w:val="Sansinterligne"/>
        <w:spacing w:line="360" w:lineRule="auto"/>
        <w:jc w:val="both"/>
        <w:rPr>
          <w:rFonts w:ascii="Georgia" w:hAnsi="Georgia" w:cs="Arial"/>
          <w:szCs w:val="24"/>
        </w:rPr>
      </w:pPr>
    </w:p>
    <w:p w:rsidR="0099045D" w:rsidRPr="00AD7B0C" w:rsidRDefault="00592A5D" w:rsidP="00101AE0">
      <w:pPr>
        <w:pStyle w:val="Sansinterligne"/>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4B1EB8" w:rsidRPr="00AD7B0C" w:rsidRDefault="00971166" w:rsidP="004B1EB8">
      <w:pPr>
        <w:spacing w:line="360" w:lineRule="auto"/>
        <w:jc w:val="both"/>
        <w:rPr>
          <w:rFonts w:ascii="Georgia" w:hAnsi="Georgia" w:cs="Arial"/>
        </w:rPr>
      </w:pPr>
      <w:r w:rsidRPr="00AD7B0C">
        <w:rPr>
          <w:rFonts w:ascii="Georgia" w:hAnsi="Georgia" w:cs="Arial"/>
        </w:rPr>
        <w:t xml:space="preserve">En reparto ordinario del </w:t>
      </w:r>
      <w:r w:rsidR="003527A2">
        <w:rPr>
          <w:rFonts w:ascii="Georgia" w:hAnsi="Georgia" w:cs="Arial"/>
        </w:rPr>
        <w:t>26</w:t>
      </w:r>
      <w:r w:rsidR="00D47A9A" w:rsidRPr="00AD7B0C">
        <w:rPr>
          <w:rFonts w:ascii="Georgia" w:hAnsi="Georgia" w:cs="Arial"/>
        </w:rPr>
        <w:t>-</w:t>
      </w:r>
      <w:r w:rsidR="003527A2">
        <w:rPr>
          <w:rFonts w:ascii="Georgia" w:hAnsi="Georgia" w:cs="Arial"/>
        </w:rPr>
        <w:t>10</w:t>
      </w:r>
      <w:r w:rsidR="00EA458D" w:rsidRPr="00AD7B0C">
        <w:rPr>
          <w:rFonts w:ascii="Georgia" w:hAnsi="Georgia" w:cs="Arial"/>
        </w:rPr>
        <w:t xml:space="preserve">-2017 </w:t>
      </w:r>
      <w:r w:rsidR="00480426" w:rsidRPr="00AD7B0C">
        <w:rPr>
          <w:rFonts w:ascii="Georgia" w:hAnsi="Georgia" w:cs="Arial"/>
        </w:rPr>
        <w:t xml:space="preserve">se </w:t>
      </w:r>
      <w:r w:rsidR="00D47A9A" w:rsidRPr="00AD7B0C">
        <w:rPr>
          <w:rFonts w:ascii="Georgia" w:hAnsi="Georgia" w:cs="Arial"/>
        </w:rPr>
        <w:t xml:space="preserve">asignó </w:t>
      </w:r>
      <w:r w:rsidRPr="00AD7B0C">
        <w:rPr>
          <w:rFonts w:ascii="Georgia" w:hAnsi="Georgia" w:cs="Arial"/>
        </w:rPr>
        <w:t>a este Despacho</w:t>
      </w:r>
      <w:r w:rsidR="00CF0ADC" w:rsidRPr="00AD7B0C">
        <w:rPr>
          <w:rFonts w:ascii="Georgia" w:hAnsi="Georgia" w:cs="Arial"/>
        </w:rPr>
        <w:t xml:space="preserve"> </w:t>
      </w:r>
      <w:r w:rsidR="00D47A9A" w:rsidRPr="00AD7B0C">
        <w:rPr>
          <w:rFonts w:ascii="Georgia" w:hAnsi="Georgia" w:cs="Arial"/>
        </w:rPr>
        <w:t xml:space="preserve">la acción </w:t>
      </w:r>
      <w:r w:rsidR="00CF0ADC" w:rsidRPr="00AD7B0C">
        <w:rPr>
          <w:rFonts w:ascii="Georgia" w:hAnsi="Georgia" w:cs="Arial"/>
        </w:rPr>
        <w:t>de tutela</w:t>
      </w:r>
      <w:r w:rsidR="004B1EB8" w:rsidRPr="00AD7B0C">
        <w:rPr>
          <w:rFonts w:ascii="Georgia" w:hAnsi="Georgia" w:cs="Arial"/>
        </w:rPr>
        <w:t xml:space="preserve">, </w:t>
      </w:r>
      <w:r w:rsidR="009E326C" w:rsidRPr="00AD7B0C">
        <w:rPr>
          <w:rFonts w:ascii="Georgia" w:hAnsi="Georgia" w:cs="Arial"/>
        </w:rPr>
        <w:t xml:space="preserve">con auto del </w:t>
      </w:r>
      <w:r w:rsidR="003527A2">
        <w:rPr>
          <w:rFonts w:ascii="Georgia" w:hAnsi="Georgia" w:cs="Arial"/>
        </w:rPr>
        <w:t>30</w:t>
      </w:r>
      <w:r w:rsidR="00D47A9A" w:rsidRPr="00AD7B0C">
        <w:rPr>
          <w:rFonts w:ascii="Georgia" w:hAnsi="Georgia" w:cs="Arial"/>
        </w:rPr>
        <w:t>-</w:t>
      </w:r>
      <w:r w:rsidR="003527A2">
        <w:rPr>
          <w:rFonts w:ascii="Georgia" w:hAnsi="Georgia" w:cs="Arial"/>
        </w:rPr>
        <w:t>10</w:t>
      </w:r>
      <w:r w:rsidR="00D47A9A" w:rsidRPr="00AD7B0C">
        <w:rPr>
          <w:rFonts w:ascii="Georgia" w:hAnsi="Georgia" w:cs="Arial"/>
        </w:rPr>
        <w:t xml:space="preserve">-2017 </w:t>
      </w:r>
      <w:r w:rsidR="0069231C" w:rsidRPr="00AD7B0C">
        <w:rPr>
          <w:rFonts w:ascii="Georgia" w:hAnsi="Georgia" w:cs="Arial"/>
        </w:rPr>
        <w:t xml:space="preserve">se </w:t>
      </w:r>
      <w:r w:rsidR="00D47A9A" w:rsidRPr="00AD7B0C">
        <w:rPr>
          <w:rFonts w:ascii="Georgia" w:hAnsi="Georgia" w:cs="Arial"/>
        </w:rPr>
        <w:t>admitió</w:t>
      </w:r>
      <w:r w:rsidR="00314889" w:rsidRPr="00AD7B0C">
        <w:rPr>
          <w:rFonts w:ascii="Georgia" w:hAnsi="Georgia" w:cs="Arial"/>
        </w:rPr>
        <w:t>, se ordenó vincular a quienes se estimó conveniente</w:t>
      </w:r>
      <w:r w:rsidR="00612C75" w:rsidRPr="00AD7B0C">
        <w:rPr>
          <w:rFonts w:ascii="Georgia" w:hAnsi="Georgia" w:cs="Arial"/>
        </w:rPr>
        <w:t xml:space="preserve"> y</w:t>
      </w:r>
      <w:r w:rsidR="00314889" w:rsidRPr="00AD7B0C">
        <w:rPr>
          <w:rFonts w:ascii="Georgia" w:hAnsi="Georgia" w:cs="Arial"/>
        </w:rPr>
        <w:t xml:space="preserve"> se dispuso notificar a la partes, entre otros ordenamientos</w:t>
      </w:r>
      <w:r w:rsidR="00EA458D" w:rsidRPr="00AD7B0C">
        <w:rPr>
          <w:rFonts w:ascii="Georgia" w:hAnsi="Georgia" w:cs="Arial"/>
        </w:rPr>
        <w:t xml:space="preserve"> (Folio</w:t>
      </w:r>
      <w:r w:rsidR="00BB4CEF" w:rsidRPr="00AD7B0C">
        <w:rPr>
          <w:rFonts w:ascii="Georgia" w:hAnsi="Georgia" w:cs="Arial"/>
        </w:rPr>
        <w:t>s</w:t>
      </w:r>
      <w:r w:rsidR="00314889" w:rsidRPr="00AD7B0C">
        <w:rPr>
          <w:rFonts w:ascii="Georgia" w:hAnsi="Georgia" w:cs="Arial"/>
        </w:rPr>
        <w:t xml:space="preserve"> </w:t>
      </w:r>
      <w:r w:rsidR="00D47A9A" w:rsidRPr="00AD7B0C">
        <w:rPr>
          <w:rFonts w:ascii="Georgia" w:hAnsi="Georgia" w:cs="Arial"/>
        </w:rPr>
        <w:t>5</w:t>
      </w:r>
      <w:r w:rsidR="00314889" w:rsidRPr="00AD7B0C">
        <w:rPr>
          <w:rFonts w:ascii="Georgia" w:hAnsi="Georgia" w:cs="Arial"/>
        </w:rPr>
        <w:t xml:space="preserve">, ibídem). </w:t>
      </w:r>
      <w:r w:rsidR="004B1EB8" w:rsidRPr="00AD7B0C">
        <w:rPr>
          <w:rFonts w:ascii="Georgia" w:hAnsi="Georgia" w:cs="Arial"/>
        </w:rPr>
        <w:t>Fueron debidamente enterados l</w:t>
      </w:r>
      <w:r w:rsidR="00612C75" w:rsidRPr="00AD7B0C">
        <w:rPr>
          <w:rFonts w:ascii="Georgia" w:hAnsi="Georgia" w:cs="Arial"/>
        </w:rPr>
        <w:t>os extremos de la acción (Folio</w:t>
      </w:r>
      <w:r w:rsidR="00BB4CEF" w:rsidRPr="00AD7B0C">
        <w:rPr>
          <w:rFonts w:ascii="Georgia" w:hAnsi="Georgia" w:cs="Arial"/>
        </w:rPr>
        <w:t xml:space="preserve"> </w:t>
      </w:r>
      <w:r w:rsidR="00D47A9A" w:rsidRPr="00AD7B0C">
        <w:rPr>
          <w:rFonts w:ascii="Georgia" w:hAnsi="Georgia" w:cs="Arial"/>
        </w:rPr>
        <w:t>6</w:t>
      </w:r>
      <w:r w:rsidR="00BB4CEF" w:rsidRPr="00AD7B0C">
        <w:rPr>
          <w:rFonts w:ascii="Georgia" w:hAnsi="Georgia" w:cs="Arial"/>
        </w:rPr>
        <w:t>,</w:t>
      </w:r>
      <w:r w:rsidR="004B1EB8" w:rsidRPr="00AD7B0C">
        <w:rPr>
          <w:rFonts w:ascii="Georgia" w:hAnsi="Georgia" w:cs="Arial"/>
        </w:rPr>
        <w:t xml:space="preserve"> </w:t>
      </w:r>
      <w:r w:rsidR="00F332AF" w:rsidRPr="00AD7B0C">
        <w:rPr>
          <w:rFonts w:ascii="Georgia" w:hAnsi="Georgia" w:cs="Arial"/>
        </w:rPr>
        <w:t>ib</w:t>
      </w:r>
      <w:r w:rsidR="006151B2" w:rsidRPr="00AD7B0C">
        <w:rPr>
          <w:rFonts w:ascii="Georgia" w:hAnsi="Georgia" w:cs="Arial"/>
        </w:rPr>
        <w:t>ídem</w:t>
      </w:r>
      <w:r w:rsidR="004B1EB8" w:rsidRPr="00AD7B0C">
        <w:rPr>
          <w:rFonts w:ascii="Georgia" w:hAnsi="Georgia" w:cs="Arial"/>
        </w:rPr>
        <w:t xml:space="preserve">). </w:t>
      </w:r>
      <w:r w:rsidR="00EA458D" w:rsidRPr="00AD7B0C">
        <w:rPr>
          <w:rFonts w:ascii="Georgia" w:hAnsi="Georgia" w:cs="Arial"/>
        </w:rPr>
        <w:t xml:space="preserve">Contestaron </w:t>
      </w:r>
      <w:r w:rsidR="003527A2">
        <w:rPr>
          <w:rFonts w:ascii="Georgia" w:hAnsi="Georgia" w:cs="Arial"/>
        </w:rPr>
        <w:t>L</w:t>
      </w:r>
      <w:r w:rsidR="00D47A9A" w:rsidRPr="00AD7B0C">
        <w:rPr>
          <w:rFonts w:ascii="Georgia" w:hAnsi="Georgia" w:cs="Arial"/>
        </w:rPr>
        <w:t xml:space="preserve">a </w:t>
      </w:r>
      <w:r w:rsidR="006F73AA" w:rsidRPr="00AD7B0C">
        <w:rPr>
          <w:rFonts w:ascii="Georgia" w:hAnsi="Georgia" w:cs="Arial"/>
        </w:rPr>
        <w:t>P</w:t>
      </w:r>
      <w:r w:rsidR="008C5779" w:rsidRPr="00AD7B0C">
        <w:rPr>
          <w:rFonts w:ascii="Georgia" w:hAnsi="Georgia" w:cs="Arial"/>
        </w:rPr>
        <w:t xml:space="preserve">rocuraduría General de la Nación, </w:t>
      </w:r>
      <w:r w:rsidR="006F73AA" w:rsidRPr="00AD7B0C">
        <w:rPr>
          <w:rFonts w:ascii="Georgia" w:hAnsi="Georgia" w:cs="Arial"/>
        </w:rPr>
        <w:t>Regional</w:t>
      </w:r>
      <w:r w:rsidR="003527A2">
        <w:rPr>
          <w:rFonts w:ascii="Georgia" w:hAnsi="Georgia" w:cs="Arial"/>
        </w:rPr>
        <w:t xml:space="preserve"> Bogotá</w:t>
      </w:r>
      <w:r w:rsidR="00D47A9A" w:rsidRPr="00AD7B0C">
        <w:rPr>
          <w:rFonts w:ascii="Georgia" w:hAnsi="Georgia" w:cs="Arial"/>
        </w:rPr>
        <w:t xml:space="preserve"> (En adelante PGN</w:t>
      </w:r>
      <w:r w:rsidR="003527A2">
        <w:rPr>
          <w:rFonts w:ascii="Georgia" w:hAnsi="Georgia" w:cs="Arial"/>
        </w:rPr>
        <w:t>B</w:t>
      </w:r>
      <w:r w:rsidR="00D47A9A" w:rsidRPr="00AD7B0C">
        <w:rPr>
          <w:rFonts w:ascii="Georgia" w:hAnsi="Georgia" w:cs="Arial"/>
        </w:rPr>
        <w:t xml:space="preserve">) </w:t>
      </w:r>
      <w:r w:rsidR="00EA458D" w:rsidRPr="00AD7B0C">
        <w:rPr>
          <w:rFonts w:ascii="Georgia" w:hAnsi="Georgia" w:cs="Arial"/>
        </w:rPr>
        <w:t>(Folio</w:t>
      </w:r>
      <w:r w:rsidR="00D47A9A" w:rsidRPr="00AD7B0C">
        <w:rPr>
          <w:rFonts w:ascii="Georgia" w:hAnsi="Georgia" w:cs="Arial"/>
        </w:rPr>
        <w:t xml:space="preserve">s </w:t>
      </w:r>
      <w:r w:rsidR="003527A2">
        <w:rPr>
          <w:rFonts w:ascii="Georgia" w:hAnsi="Georgia" w:cs="Arial"/>
        </w:rPr>
        <w:t>7</w:t>
      </w:r>
      <w:r w:rsidR="00D47A9A" w:rsidRPr="00AD7B0C">
        <w:rPr>
          <w:rFonts w:ascii="Georgia" w:hAnsi="Georgia" w:cs="Arial"/>
        </w:rPr>
        <w:t xml:space="preserve"> a </w:t>
      </w:r>
      <w:r w:rsidR="003527A2">
        <w:rPr>
          <w:rFonts w:ascii="Georgia" w:hAnsi="Georgia" w:cs="Arial"/>
        </w:rPr>
        <w:t>9</w:t>
      </w:r>
      <w:r w:rsidR="00612C75" w:rsidRPr="00AD7B0C">
        <w:rPr>
          <w:rFonts w:ascii="Georgia" w:hAnsi="Georgia" w:cs="Arial"/>
        </w:rPr>
        <w:t xml:space="preserve">, </w:t>
      </w:r>
      <w:r w:rsidR="009E326C" w:rsidRPr="00AD7B0C">
        <w:rPr>
          <w:rFonts w:ascii="Georgia" w:hAnsi="Georgia" w:cs="Arial"/>
        </w:rPr>
        <w:t>ib</w:t>
      </w:r>
      <w:r w:rsidR="002D4D7A" w:rsidRPr="00AD7B0C">
        <w:rPr>
          <w:rFonts w:ascii="Georgia" w:hAnsi="Georgia" w:cs="Arial"/>
        </w:rPr>
        <w:t>ídem</w:t>
      </w:r>
      <w:r w:rsidR="00612C75" w:rsidRPr="00AD7B0C">
        <w:rPr>
          <w:rFonts w:ascii="Georgia" w:hAnsi="Georgia" w:cs="Arial"/>
        </w:rPr>
        <w:t>.)</w:t>
      </w:r>
      <w:r w:rsidR="00D47A9A" w:rsidRPr="00AD7B0C">
        <w:rPr>
          <w:rFonts w:ascii="Georgia" w:hAnsi="Georgia" w:cs="Arial"/>
        </w:rPr>
        <w:t xml:space="preserve">. El Juzgado accionado arrimó la documentación requerida (Folios </w:t>
      </w:r>
      <w:r w:rsidR="003527A2">
        <w:rPr>
          <w:rFonts w:ascii="Georgia" w:hAnsi="Georgia" w:cs="Arial"/>
        </w:rPr>
        <w:t>11</w:t>
      </w:r>
      <w:r w:rsidR="00D47A9A" w:rsidRPr="00AD7B0C">
        <w:rPr>
          <w:rFonts w:ascii="Georgia" w:hAnsi="Georgia" w:cs="Arial"/>
        </w:rPr>
        <w:t xml:space="preserve"> a 27, ib.).</w:t>
      </w:r>
    </w:p>
    <w:p w:rsidR="00B41B34" w:rsidRPr="00F96624" w:rsidRDefault="00B41B34" w:rsidP="00B50331">
      <w:pPr>
        <w:spacing w:line="360" w:lineRule="auto"/>
        <w:jc w:val="both"/>
        <w:rPr>
          <w:rFonts w:ascii="Georgia" w:hAnsi="Georgia" w:cs="Arial"/>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F96624" w:rsidRDefault="00784759" w:rsidP="00730CA7">
      <w:pPr>
        <w:pStyle w:val="Corpsdetexte"/>
        <w:spacing w:line="360" w:lineRule="auto"/>
        <w:rPr>
          <w:rFonts w:ascii="Georgia" w:hAnsi="Georgia"/>
        </w:rPr>
      </w:pPr>
    </w:p>
    <w:p w:rsidR="00E81814" w:rsidRPr="00AD7B0C" w:rsidRDefault="00207A3A" w:rsidP="00654FDF">
      <w:pPr>
        <w:pStyle w:val="Corpsdetexte"/>
        <w:spacing w:line="360" w:lineRule="auto"/>
        <w:rPr>
          <w:rFonts w:ascii="Georgia" w:hAnsi="Georgia"/>
        </w:rPr>
      </w:pPr>
      <w:r w:rsidRPr="00AD7B0C">
        <w:rPr>
          <w:rFonts w:ascii="Georgia" w:hAnsi="Georgia"/>
        </w:rPr>
        <w:t>La PGN</w:t>
      </w:r>
      <w:r w:rsidR="003527A2">
        <w:rPr>
          <w:rFonts w:ascii="Georgia" w:hAnsi="Georgia"/>
        </w:rPr>
        <w:t>B</w:t>
      </w:r>
      <w:r w:rsidRPr="00AD7B0C">
        <w:rPr>
          <w:rFonts w:ascii="Georgia" w:hAnsi="Georgia"/>
        </w:rPr>
        <w:t xml:space="preserve"> refirió </w:t>
      </w:r>
      <w:r w:rsidR="007E1154">
        <w:rPr>
          <w:rFonts w:ascii="Georgia" w:hAnsi="Georgia"/>
        </w:rPr>
        <w:t xml:space="preserve">que ante la omisión del actor para agotar los mecanismos de defensa judicial en la acción constitucional, se incumple con los presupuestos jurisprudenciales para conceder el amparo; por consiguiente, solicita desestimar </w:t>
      </w:r>
      <w:r w:rsidRPr="00AD7B0C">
        <w:rPr>
          <w:rFonts w:ascii="Georgia" w:hAnsi="Georgia"/>
        </w:rPr>
        <w:t>las pretensiones</w:t>
      </w:r>
      <w:r w:rsidR="00E81814" w:rsidRPr="00AD7B0C">
        <w:rPr>
          <w:rFonts w:ascii="Georgia" w:hAnsi="Georgia"/>
        </w:rPr>
        <w:t xml:space="preserve"> (Folio</w:t>
      </w:r>
      <w:r w:rsidR="00735E7A" w:rsidRPr="00AD7B0C">
        <w:rPr>
          <w:rFonts w:ascii="Georgia" w:hAnsi="Georgia"/>
        </w:rPr>
        <w:t>s</w:t>
      </w:r>
      <w:r w:rsidR="00E81814" w:rsidRPr="00AD7B0C">
        <w:rPr>
          <w:rFonts w:ascii="Georgia" w:hAnsi="Georgia"/>
        </w:rPr>
        <w:t xml:space="preserve"> </w:t>
      </w:r>
      <w:r w:rsidR="007E1154">
        <w:rPr>
          <w:rFonts w:ascii="Georgia" w:hAnsi="Georgia"/>
        </w:rPr>
        <w:t>7</w:t>
      </w:r>
      <w:r w:rsidRPr="00AD7B0C">
        <w:rPr>
          <w:rFonts w:ascii="Georgia" w:hAnsi="Georgia"/>
        </w:rPr>
        <w:t xml:space="preserve"> a </w:t>
      </w:r>
      <w:r w:rsidR="007E1154">
        <w:rPr>
          <w:rFonts w:ascii="Georgia" w:hAnsi="Georgia"/>
        </w:rPr>
        <w:t>9</w:t>
      </w:r>
      <w:r w:rsidR="009E326C" w:rsidRPr="00AD7B0C">
        <w:rPr>
          <w:rFonts w:ascii="Georgia" w:hAnsi="Georgia"/>
        </w:rPr>
        <w:t>,</w:t>
      </w:r>
      <w:r w:rsidR="00E81814" w:rsidRPr="00AD7B0C">
        <w:rPr>
          <w:rFonts w:ascii="Georgia" w:hAnsi="Georgia"/>
        </w:rPr>
        <w:t xml:space="preserve"> </w:t>
      </w:r>
      <w:r w:rsidR="00CF0ADC" w:rsidRPr="00AD7B0C">
        <w:rPr>
          <w:rFonts w:ascii="Georgia" w:hAnsi="Georgia"/>
        </w:rPr>
        <w:t>ib.</w:t>
      </w:r>
      <w:r w:rsidR="00E81814" w:rsidRPr="00AD7B0C">
        <w:rPr>
          <w:rFonts w:ascii="Georgia" w:hAnsi="Georgia"/>
        </w:rPr>
        <w:t>).</w:t>
      </w:r>
    </w:p>
    <w:p w:rsidR="003A21E6" w:rsidRPr="00F96624" w:rsidRDefault="003A21E6" w:rsidP="00F96624">
      <w:pPr>
        <w:spacing w:line="360" w:lineRule="auto"/>
        <w:jc w:val="both"/>
        <w:rPr>
          <w:rFonts w:ascii="Georgia" w:hAnsi="Georgia" w:cs="Arial"/>
        </w:rPr>
      </w:pPr>
    </w:p>
    <w:p w:rsidR="00CF429F" w:rsidRPr="00AD7B0C" w:rsidRDefault="005764A9" w:rsidP="00F96624">
      <w:pPr>
        <w:pStyle w:val="Corpsdetex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F96624" w:rsidRDefault="006232EF" w:rsidP="00F96624">
      <w:pPr>
        <w:pStyle w:val="Corpsdetexte"/>
        <w:spacing w:line="360" w:lineRule="auto"/>
        <w:ind w:left="400"/>
        <w:rPr>
          <w:rFonts w:ascii="Georgia" w:hAnsi="Georgia"/>
          <w:szCs w:val="24"/>
          <w:lang w:val="es-CO"/>
        </w:rPr>
      </w:pPr>
    </w:p>
    <w:p w:rsidR="00D33789" w:rsidRPr="00AD7B0C" w:rsidRDefault="00CF429F" w:rsidP="00F96624">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AD7B0C">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7E1154">
        <w:rPr>
          <w:rFonts w:ascii="Georgia" w:hAnsi="Georgia" w:cs="Arial"/>
          <w:color w:val="000000"/>
          <w:szCs w:val="24"/>
        </w:rPr>
        <w:t>Cuarto</w:t>
      </w:r>
      <w:r w:rsidR="00207A3A" w:rsidRPr="00AD7B0C">
        <w:rPr>
          <w:rFonts w:ascii="Georgia" w:hAnsi="Georgia" w:cs="Arial"/>
          <w:color w:val="000000"/>
          <w:szCs w:val="24"/>
        </w:rPr>
        <w:t xml:space="preserve"> Civil del Circuito de Pereira</w:t>
      </w:r>
      <w:r w:rsidR="00D33789" w:rsidRPr="00AD7B0C">
        <w:rPr>
          <w:rFonts w:ascii="Georgia" w:hAnsi="Georgia" w:cs="Arial"/>
          <w:color w:val="000000"/>
          <w:szCs w:val="24"/>
        </w:rPr>
        <w:t>.</w:t>
      </w:r>
    </w:p>
    <w:p w:rsidR="00772F14" w:rsidRPr="00F96624" w:rsidRDefault="00772F14" w:rsidP="00F96624">
      <w:pPr>
        <w:pStyle w:val="Corpsdetex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Corpsdetex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3E703E" w:rsidRPr="00AD7B0C">
        <w:rPr>
          <w:rFonts w:ascii="Georgia" w:hAnsi="Georgia" w:cs="Arial"/>
        </w:rPr>
        <w:t>el escrito</w:t>
      </w:r>
      <w:r w:rsidRPr="00AD7B0C">
        <w:rPr>
          <w:rFonts w:ascii="Georgia" w:hAnsi="Georgia" w:cs="Arial"/>
        </w:rPr>
        <w:t xml:space="preserve"> de tutela?   </w:t>
      </w:r>
    </w:p>
    <w:p w:rsidR="00E13659" w:rsidRPr="00F96624" w:rsidRDefault="00E13659" w:rsidP="00F96624">
      <w:pPr>
        <w:pStyle w:val="Paragraphedeliste"/>
        <w:spacing w:line="360" w:lineRule="auto"/>
        <w:rPr>
          <w:rFonts w:ascii="Georgia" w:hAnsi="Georgia" w:cs="Arial"/>
        </w:rPr>
      </w:pPr>
    </w:p>
    <w:p w:rsidR="00D01397" w:rsidRPr="00AD7B0C" w:rsidRDefault="00D01397" w:rsidP="00F96624">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F96624" w:rsidRDefault="00D01397" w:rsidP="00F96624">
      <w:pPr>
        <w:pStyle w:val="Corpsdetexte"/>
        <w:spacing w:line="360" w:lineRule="auto"/>
        <w:ind w:left="720"/>
        <w:rPr>
          <w:rFonts w:ascii="Georgia" w:hAnsi="Georgia" w:cs="Arial"/>
        </w:rPr>
      </w:pPr>
    </w:p>
    <w:p w:rsidR="000666EF" w:rsidRPr="00AD7B0C" w:rsidRDefault="005764A9" w:rsidP="00F96624">
      <w:pPr>
        <w:pStyle w:val="Corpsdetexte"/>
        <w:numPr>
          <w:ilvl w:val="2"/>
          <w:numId w:val="18"/>
        </w:numPr>
        <w:spacing w:line="360" w:lineRule="auto"/>
        <w:rPr>
          <w:rFonts w:ascii="Georgia" w:hAnsi="Georgia" w:cs="Arial"/>
          <w:spacing w:val="3"/>
        </w:rPr>
      </w:pPr>
      <w:r w:rsidRPr="00AD7B0C">
        <w:rPr>
          <w:rFonts w:ascii="Georgia" w:hAnsi="Georgia"/>
          <w:smallCaps/>
          <w:sz w:val="22"/>
          <w:szCs w:val="24"/>
        </w:rPr>
        <w:t xml:space="preserve">La legitimación en la causa. </w:t>
      </w:r>
      <w:r w:rsidR="000666EF" w:rsidRPr="00AD7B0C">
        <w:rPr>
          <w:rFonts w:ascii="Georgia" w:hAnsi="Georgia" w:cs="Arial"/>
          <w:szCs w:val="24"/>
        </w:rPr>
        <w:t xml:space="preserve">Se cumple la legitimación por activa dado que el accionante </w:t>
      </w:r>
      <w:r w:rsidR="00D61F60" w:rsidRPr="00AD7B0C">
        <w:rPr>
          <w:rFonts w:ascii="Georgia" w:hAnsi="Georgia" w:cs="Arial"/>
          <w:szCs w:val="24"/>
        </w:rPr>
        <w:t xml:space="preserve">promovió </w:t>
      </w:r>
      <w:r w:rsidR="003E703E" w:rsidRPr="00AD7B0C">
        <w:rPr>
          <w:rFonts w:ascii="Georgia" w:hAnsi="Georgia" w:cs="Arial"/>
          <w:szCs w:val="24"/>
        </w:rPr>
        <w:t>la acción popular No</w:t>
      </w:r>
      <w:r w:rsidR="00D61F60" w:rsidRPr="00AD7B0C">
        <w:rPr>
          <w:rFonts w:ascii="Georgia" w:hAnsi="Georgia" w:cs="Arial"/>
          <w:szCs w:val="24"/>
        </w:rPr>
        <w:t>.</w:t>
      </w:r>
      <w:r w:rsidR="003E703E" w:rsidRPr="00AD7B0C">
        <w:rPr>
          <w:rFonts w:ascii="Georgia" w:hAnsi="Georgia" w:cs="Arial"/>
          <w:szCs w:val="24"/>
        </w:rPr>
        <w:t>201</w:t>
      </w:r>
      <w:r w:rsidR="007E1154">
        <w:rPr>
          <w:rFonts w:ascii="Georgia" w:hAnsi="Georgia" w:cs="Arial"/>
          <w:szCs w:val="24"/>
        </w:rPr>
        <w:t>6</w:t>
      </w:r>
      <w:r w:rsidR="003E703E" w:rsidRPr="00AD7B0C">
        <w:rPr>
          <w:rFonts w:ascii="Georgia" w:hAnsi="Georgia" w:cs="Arial"/>
          <w:szCs w:val="24"/>
        </w:rPr>
        <w:t>-00</w:t>
      </w:r>
      <w:r w:rsidR="007E1154">
        <w:rPr>
          <w:rFonts w:ascii="Georgia" w:hAnsi="Georgia" w:cs="Arial"/>
          <w:szCs w:val="24"/>
        </w:rPr>
        <w:t>619</w:t>
      </w:r>
      <w:r w:rsidR="003E703E" w:rsidRPr="00AD7B0C">
        <w:rPr>
          <w:rFonts w:ascii="Georgia" w:hAnsi="Georgia" w:cs="Arial"/>
          <w:szCs w:val="24"/>
        </w:rPr>
        <w:t xml:space="preserve">-00 </w:t>
      </w:r>
      <w:r w:rsidR="000666EF" w:rsidRPr="00AD7B0C">
        <w:rPr>
          <w:rFonts w:ascii="Georgia" w:hAnsi="Georgia" w:cs="Arial"/>
          <w:szCs w:val="24"/>
        </w:rPr>
        <w:t>en la que se reprocha la falta al debido proceso</w:t>
      </w:r>
      <w:r w:rsidR="008B6398" w:rsidRPr="00AD7B0C">
        <w:rPr>
          <w:rFonts w:ascii="Georgia" w:hAnsi="Georgia" w:cs="Arial"/>
          <w:szCs w:val="24"/>
        </w:rPr>
        <w:t xml:space="preserve">. </w:t>
      </w:r>
      <w:r w:rsidR="000666EF" w:rsidRPr="00AD7B0C">
        <w:rPr>
          <w:rFonts w:ascii="Georgia" w:hAnsi="Georgia" w:cs="Arial"/>
          <w:szCs w:val="24"/>
        </w:rPr>
        <w:t xml:space="preserve">Y por pasiva, lo es el </w:t>
      </w:r>
      <w:r w:rsidR="003E703E" w:rsidRPr="00AD7B0C">
        <w:rPr>
          <w:rFonts w:ascii="Georgia" w:hAnsi="Georgia" w:cs="Arial"/>
          <w:szCs w:val="24"/>
        </w:rPr>
        <w:t>Despacho Judicial accionado</w:t>
      </w:r>
      <w:r w:rsidR="00D61F60" w:rsidRPr="00AD7B0C">
        <w:rPr>
          <w:rFonts w:ascii="Georgia" w:hAnsi="Georgia" w:cs="Arial"/>
          <w:szCs w:val="24"/>
        </w:rPr>
        <w:t>,</w:t>
      </w:r>
      <w:r w:rsidR="000666EF" w:rsidRPr="00AD7B0C">
        <w:rPr>
          <w:rFonts w:ascii="Georgia" w:hAnsi="Georgia" w:cs="Arial"/>
          <w:szCs w:val="24"/>
        </w:rPr>
        <w:t xml:space="preserve"> al ser la autoridad judicial que conoce </w:t>
      </w:r>
      <w:r w:rsidR="003E703E" w:rsidRPr="00AD7B0C">
        <w:rPr>
          <w:rFonts w:ascii="Georgia" w:hAnsi="Georgia" w:cs="Arial"/>
          <w:szCs w:val="24"/>
        </w:rPr>
        <w:t>el juicio</w:t>
      </w:r>
      <w:r w:rsidR="000666EF" w:rsidRPr="00AD7B0C">
        <w:rPr>
          <w:rFonts w:ascii="Georgia" w:hAnsi="Georgia" w:cs="Arial"/>
          <w:szCs w:val="24"/>
        </w:rPr>
        <w:t>.</w:t>
      </w:r>
    </w:p>
    <w:p w:rsidR="003E703E" w:rsidRPr="00AD7B0C" w:rsidRDefault="003E703E" w:rsidP="003E703E">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AD7B0C">
        <w:rPr>
          <w:rFonts w:ascii="Georgia" w:hAnsi="Georgia" w:cs="Verdana"/>
          <w:smallCaps/>
          <w:spacing w:val="0"/>
          <w:sz w:val="22"/>
          <w:szCs w:val="24"/>
          <w:lang w:val="es-ES"/>
        </w:rPr>
        <w:lastRenderedPageBreak/>
        <w:t>Las sub-reglas de análisis en la procedibilidad frente a decisiones judiciales</w:t>
      </w:r>
    </w:p>
    <w:p w:rsidR="003E703E" w:rsidRPr="00F96624" w:rsidRDefault="003E703E" w:rsidP="003E703E">
      <w:pPr>
        <w:pStyle w:val="Corpsdetexte"/>
        <w:spacing w:line="360" w:lineRule="auto"/>
        <w:rPr>
          <w:rFonts w:ascii="Georgia" w:hAnsi="Georgia" w:cs="Arial"/>
          <w:szCs w:val="24"/>
          <w:lang w:val="es-CO"/>
        </w:rPr>
      </w:pPr>
    </w:p>
    <w:p w:rsidR="003E703E"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D7B0C">
        <w:rPr>
          <w:rStyle w:val="Appelnotedebasdep"/>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Appelnotedebasdep"/>
          <w:rFonts w:ascii="Georgia" w:hAnsi="Georgia"/>
          <w:szCs w:val="24"/>
        </w:rPr>
        <w:footnoteReference w:id="2"/>
      </w:r>
      <w:r w:rsidRPr="00AD7B0C">
        <w:rPr>
          <w:rFonts w:ascii="Georgia" w:hAnsi="Georgia" w:cs="Arial"/>
          <w:szCs w:val="24"/>
        </w:rPr>
        <w:t>.</w:t>
      </w:r>
    </w:p>
    <w:p w:rsidR="00614E2A" w:rsidRDefault="00614E2A" w:rsidP="003E703E">
      <w:pPr>
        <w:pStyle w:val="Corpsdetexte"/>
        <w:shd w:val="clear" w:color="auto" w:fill="FFFFFF" w:themeFill="background1"/>
        <w:spacing w:line="360" w:lineRule="auto"/>
        <w:rPr>
          <w:rFonts w:ascii="Georgia" w:hAnsi="Georgia" w:cs="Arial"/>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Appelnotedebasdep"/>
          <w:rFonts w:ascii="Georgia" w:hAnsi="Georgia" w:cs="Arial"/>
          <w:szCs w:val="24"/>
        </w:rPr>
        <w:footnoteReference w:id="3"/>
      </w:r>
      <w:r w:rsidRPr="00AD7B0C">
        <w:rPr>
          <w:rFonts w:ascii="Georgia" w:hAnsi="Georgia" w:cs="Arial"/>
          <w:szCs w:val="24"/>
        </w:rPr>
        <w:t>.</w:t>
      </w:r>
    </w:p>
    <w:p w:rsidR="003E703E" w:rsidRPr="00AD7B0C" w:rsidRDefault="003E703E" w:rsidP="003E703E">
      <w:pPr>
        <w:pStyle w:val="Corpsdetexte"/>
        <w:shd w:val="clear" w:color="auto" w:fill="FFFFFF" w:themeFill="background1"/>
        <w:spacing w:line="360" w:lineRule="auto"/>
        <w:rPr>
          <w:rFonts w:ascii="Georgia" w:hAnsi="Georgia" w:cs="Arial"/>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Appelnotedebasdep"/>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Appelnotedebasdep"/>
          <w:rFonts w:ascii="Georgia" w:hAnsi="Georgia" w:cs="Arial"/>
          <w:szCs w:val="24"/>
        </w:rPr>
        <w:footnoteReference w:id="5"/>
      </w:r>
      <w:r w:rsidRPr="00AD7B0C">
        <w:rPr>
          <w:rFonts w:ascii="Georgia" w:hAnsi="Georgia" w:cs="Arial"/>
          <w:szCs w:val="24"/>
        </w:rPr>
        <w:t xml:space="preserve"> (2017)</w:t>
      </w:r>
      <w:r w:rsidRPr="00AD7B0C">
        <w:rPr>
          <w:rStyle w:val="Appelnotedebasdep"/>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Appelnotedebasdep"/>
          <w:rFonts w:ascii="Georgia" w:hAnsi="Georgia"/>
          <w:szCs w:val="24"/>
        </w:rPr>
        <w:footnoteReference w:id="7"/>
      </w:r>
      <w:r w:rsidRPr="00AD7B0C">
        <w:rPr>
          <w:rFonts w:ascii="Georgia" w:hAnsi="Georgia" w:cs="Arial"/>
          <w:szCs w:val="24"/>
        </w:rPr>
        <w:t>.</w:t>
      </w:r>
    </w:p>
    <w:p w:rsidR="003E703E" w:rsidRPr="00F96624" w:rsidRDefault="003E703E" w:rsidP="003E703E">
      <w:pPr>
        <w:pStyle w:val="Corpsdetexte"/>
        <w:shd w:val="clear" w:color="auto" w:fill="FFFFFF" w:themeFill="background1"/>
        <w:spacing w:line="360" w:lineRule="auto"/>
        <w:rPr>
          <w:rFonts w:ascii="Georgia" w:hAnsi="Georgia" w:cs="Arial"/>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Appelnotedebasdep"/>
          <w:rFonts w:ascii="Georgia" w:hAnsi="Georgia" w:cs="Arial"/>
          <w:szCs w:val="24"/>
        </w:rPr>
        <w:footnoteReference w:id="9"/>
      </w:r>
      <w:r w:rsidRPr="00AD7B0C">
        <w:rPr>
          <w:rFonts w:ascii="Georgia" w:hAnsi="Georgia" w:cs="Arial"/>
          <w:szCs w:val="24"/>
        </w:rPr>
        <w:t>.</w:t>
      </w:r>
    </w:p>
    <w:p w:rsidR="00C74846" w:rsidRPr="00F96624" w:rsidRDefault="00C74846" w:rsidP="00C74846">
      <w:pPr>
        <w:pStyle w:val="Corpsdetexte"/>
        <w:shd w:val="clear" w:color="auto" w:fill="FFFFFF"/>
        <w:spacing w:line="360" w:lineRule="auto"/>
        <w:rPr>
          <w:rFonts w:ascii="Georgia" w:hAnsi="Georgia" w:cs="Arial"/>
          <w:szCs w:val="24"/>
        </w:rPr>
      </w:pPr>
    </w:p>
    <w:p w:rsidR="00C74846" w:rsidRPr="007C23E2" w:rsidRDefault="00C74846" w:rsidP="00C7484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lastRenderedPageBreak/>
        <w:t>El carácter subsidiario de la acción de tutela</w:t>
      </w:r>
      <w:r w:rsidRPr="007C23E2">
        <w:rPr>
          <w:rFonts w:ascii="Georgia" w:hAnsi="Georgia" w:cs="Arial"/>
          <w:sz w:val="22"/>
          <w:szCs w:val="24"/>
        </w:rPr>
        <w:tab/>
      </w:r>
    </w:p>
    <w:p w:rsidR="00C74846" w:rsidRPr="00F96624" w:rsidRDefault="00C74846" w:rsidP="00C74846">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74846" w:rsidRPr="008379BB" w:rsidRDefault="00C74846" w:rsidP="00C74846">
      <w:pPr>
        <w:pStyle w:val="Corpsdetex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74846" w:rsidRPr="00F96624" w:rsidRDefault="00C74846" w:rsidP="00C74846">
      <w:pPr>
        <w:pStyle w:val="Corpsdetexte"/>
        <w:tabs>
          <w:tab w:val="clear" w:pos="0"/>
        </w:tabs>
        <w:spacing w:line="360" w:lineRule="auto"/>
        <w:rPr>
          <w:rFonts w:ascii="Georgia" w:hAnsi="Georgia" w:cs="Arial"/>
          <w:szCs w:val="24"/>
          <w:u w:val="single"/>
        </w:rPr>
      </w:pPr>
    </w:p>
    <w:p w:rsidR="00C74846" w:rsidRDefault="00C74846" w:rsidP="00C74846">
      <w:pPr>
        <w:pStyle w:val="Corpsdetexte"/>
        <w:tabs>
          <w:tab w:val="clear" w:pos="0"/>
        </w:tabs>
        <w:spacing w:line="360" w:lineRule="auto"/>
        <w:rPr>
          <w:rFonts w:ascii="Georgia" w:hAnsi="Georgia" w:cs="Arial"/>
          <w:i/>
          <w:sz w:val="22"/>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Appelnotedebasdep"/>
          <w:rFonts w:ascii="Georgia" w:hAnsi="Georgia" w:cs="Arial"/>
          <w:i/>
          <w:sz w:val="22"/>
          <w:szCs w:val="24"/>
        </w:rPr>
        <w:footnoteReference w:id="10"/>
      </w:r>
      <w:r w:rsidRPr="004E68FB">
        <w:rPr>
          <w:rFonts w:ascii="Georgia" w:hAnsi="Georgia" w:cs="Arial"/>
          <w:i/>
          <w:sz w:val="22"/>
          <w:szCs w:val="24"/>
        </w:rPr>
        <w:t>.</w:t>
      </w:r>
    </w:p>
    <w:p w:rsidR="00C74846" w:rsidRPr="00F96624" w:rsidRDefault="00C74846" w:rsidP="00C74846">
      <w:pPr>
        <w:pStyle w:val="Corpsdetexte"/>
        <w:tabs>
          <w:tab w:val="clear" w:pos="0"/>
        </w:tabs>
        <w:spacing w:line="360" w:lineRule="auto"/>
        <w:rPr>
          <w:rFonts w:ascii="Georgia" w:hAnsi="Georgia" w:cs="Arial"/>
          <w:i/>
          <w:szCs w:val="24"/>
        </w:rPr>
      </w:pPr>
    </w:p>
    <w:p w:rsidR="00C74846" w:rsidRPr="008379BB" w:rsidRDefault="00C74846" w:rsidP="00C74846">
      <w:pPr>
        <w:pStyle w:val="Corpsdetex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Appelnotedebasdep"/>
          <w:rFonts w:ascii="Georgia" w:hAnsi="Georgia"/>
          <w:color w:val="000000"/>
          <w:szCs w:val="24"/>
          <w:shd w:val="clear" w:color="auto" w:fill="FFFFFF"/>
        </w:rPr>
        <w:footnoteReference w:id="11"/>
      </w:r>
      <w:r w:rsidRPr="008379BB">
        <w:rPr>
          <w:rFonts w:ascii="Georgia" w:hAnsi="Georgia" w:cs="Arial"/>
          <w:szCs w:val="24"/>
        </w:rPr>
        <w:t xml:space="preserve">,  deben  agotarse los recursos ordinarios de defensa, </w:t>
      </w:r>
    </w:p>
    <w:p w:rsidR="00C74846" w:rsidRPr="008379BB" w:rsidRDefault="00C74846" w:rsidP="00C74846">
      <w:pPr>
        <w:pStyle w:val="Corpsdetexte"/>
        <w:tabs>
          <w:tab w:val="clear" w:pos="0"/>
        </w:tabs>
        <w:spacing w:line="360" w:lineRule="auto"/>
        <w:rPr>
          <w:rFonts w:ascii="Georgia" w:hAnsi="Georgia" w:cs="Arial"/>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Appelnotedebasdep"/>
          <w:rFonts w:ascii="Georgia" w:hAnsi="Georgia" w:cs="Arial"/>
          <w:sz w:val="22"/>
          <w:szCs w:val="24"/>
        </w:rPr>
        <w:footnoteReference w:id="12"/>
      </w:r>
      <w:r w:rsidRPr="004E68FB">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Appelnotedebasdep"/>
          <w:rFonts w:ascii="Georgia" w:hAnsi="Georgia"/>
          <w:szCs w:val="24"/>
        </w:rPr>
        <w:footnoteReference w:id="13"/>
      </w:r>
      <w:r w:rsidRPr="008379BB">
        <w:rPr>
          <w:rFonts w:ascii="Georgia" w:hAnsi="Georgia" w:cs="Arial"/>
          <w:szCs w:val="24"/>
        </w:rPr>
        <w:t>.También la CSJ se ha referido al tema</w:t>
      </w:r>
      <w:r w:rsidRPr="008379BB">
        <w:rPr>
          <w:rStyle w:val="Appelnotedebasdep"/>
          <w:rFonts w:ascii="Georgia" w:hAnsi="Georgia" w:cs="Arial"/>
          <w:szCs w:val="24"/>
        </w:rPr>
        <w:footnoteReference w:id="14"/>
      </w:r>
      <w:r w:rsidRPr="008379BB">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la improcedencia de la tutela por aplicación del principio de subsidiariedad.</w:t>
      </w:r>
    </w:p>
    <w:p w:rsidR="00C74846" w:rsidRPr="00F96624" w:rsidRDefault="00C74846" w:rsidP="00C74846">
      <w:pPr>
        <w:pStyle w:val="Corpsdetexte"/>
        <w:tabs>
          <w:tab w:val="clear" w:pos="0"/>
          <w:tab w:val="clear" w:pos="708"/>
          <w:tab w:val="left" w:pos="567"/>
        </w:tabs>
        <w:spacing w:line="360" w:lineRule="auto"/>
        <w:rPr>
          <w:rFonts w:ascii="Georgia" w:hAnsi="Georgia"/>
          <w:szCs w:val="24"/>
        </w:rPr>
      </w:pPr>
    </w:p>
    <w:p w:rsidR="00C74846" w:rsidRPr="00B33A0F" w:rsidRDefault="00C74846" w:rsidP="00C74846">
      <w:pPr>
        <w:pStyle w:val="Corpsdetex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B33A0F" w:rsidRDefault="00C74846" w:rsidP="00C74846">
      <w:pPr>
        <w:pStyle w:val="Corpsdetexte"/>
        <w:tabs>
          <w:tab w:val="clear" w:pos="0"/>
          <w:tab w:val="clear" w:pos="1416"/>
        </w:tabs>
        <w:spacing w:line="360" w:lineRule="auto"/>
        <w:ind w:left="400"/>
        <w:rPr>
          <w:rFonts w:ascii="Georgia" w:hAnsi="Georgia"/>
          <w:szCs w:val="24"/>
        </w:rPr>
      </w:pPr>
    </w:p>
    <w:p w:rsidR="00C74846" w:rsidRPr="004E68FB" w:rsidRDefault="00C74846" w:rsidP="00C74846">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Appelnotedebasdep"/>
          <w:rFonts w:ascii="Georgia" w:hAnsi="Georgia" w:cs="Arial"/>
        </w:rPr>
        <w:footnoteReference w:id="15"/>
      </w:r>
      <w:r w:rsidRPr="004E68FB">
        <w:rPr>
          <w:rFonts w:ascii="Georgia" w:hAnsi="Georgia" w:cs="Arial"/>
          <w:lang w:val="es-ES_tradnl"/>
        </w:rPr>
        <w:t>.</w:t>
      </w:r>
    </w:p>
    <w:p w:rsidR="00C74846" w:rsidRPr="00B33A0F" w:rsidRDefault="00C74846" w:rsidP="00C74846">
      <w:pPr>
        <w:widowControl/>
        <w:spacing w:line="360" w:lineRule="auto"/>
        <w:jc w:val="both"/>
        <w:rPr>
          <w:rFonts w:ascii="Georgia" w:hAnsi="Georgia"/>
          <w:lang w:val="es-CO"/>
        </w:rPr>
      </w:pPr>
    </w:p>
    <w:p w:rsidR="00D61DEB" w:rsidRPr="00AD7B0C" w:rsidRDefault="00D61DEB" w:rsidP="00D61DEB">
      <w:pPr>
        <w:widowControl/>
        <w:spacing w:line="360" w:lineRule="auto"/>
        <w:jc w:val="both"/>
        <w:rPr>
          <w:rFonts w:ascii="Georgia" w:hAnsi="Georgia"/>
          <w:lang w:val="es-CO"/>
        </w:rPr>
      </w:pPr>
      <w:r w:rsidRPr="00AD7B0C">
        <w:rPr>
          <w:rFonts w:ascii="Georgia" w:hAnsi="Georgia" w:cs="Arial"/>
          <w:lang w:val="es-ES_tradnl"/>
        </w:rPr>
        <w:lastRenderedPageBreak/>
        <w:t xml:space="preserve">El promotor </w:t>
      </w:r>
      <w:r w:rsidR="00F96624">
        <w:rPr>
          <w:rFonts w:ascii="Georgia" w:hAnsi="Georgia" w:cs="Arial"/>
          <w:lang w:val="es-ES_tradnl"/>
        </w:rPr>
        <w:t>se queja de que el Juzgado no dé</w:t>
      </w:r>
      <w:r w:rsidRPr="00AD7B0C">
        <w:rPr>
          <w:rFonts w:ascii="Georgia" w:hAnsi="Georgia" w:cs="Arial"/>
          <w:lang w:val="es-ES_tradnl"/>
        </w:rPr>
        <w:t xml:space="preserve"> impulso oficioso al trámite de la acción popular (Artículos 5º</w:t>
      </w:r>
      <w:r>
        <w:rPr>
          <w:rFonts w:ascii="Georgia" w:hAnsi="Georgia" w:cs="Arial"/>
          <w:lang w:val="es-ES_tradnl"/>
        </w:rPr>
        <w:t>,</w:t>
      </w:r>
      <w:r w:rsidRPr="00AD7B0C">
        <w:rPr>
          <w:rFonts w:ascii="Georgia" w:hAnsi="Georgia" w:cs="Arial"/>
          <w:lang w:val="es-ES_tradnl"/>
        </w:rPr>
        <w:t xml:space="preserve"> 84</w:t>
      </w:r>
      <w:r>
        <w:rPr>
          <w:rFonts w:ascii="Georgia" w:hAnsi="Georgia" w:cs="Arial"/>
          <w:lang w:val="es-ES_tradnl"/>
        </w:rPr>
        <w:t>,</w:t>
      </w:r>
      <w:r w:rsidRPr="00AD7B0C">
        <w:rPr>
          <w:rFonts w:ascii="Georgia" w:hAnsi="Georgia" w:cs="Arial"/>
          <w:lang w:val="es-ES_tradnl"/>
        </w:rPr>
        <w:t xml:space="preserve"> Ley 472</w:t>
      </w:r>
      <w:r>
        <w:rPr>
          <w:rFonts w:ascii="Georgia" w:hAnsi="Georgia" w:cs="Arial"/>
          <w:lang w:val="es-ES_tradnl"/>
        </w:rPr>
        <w:t xml:space="preserve"> y 42 del CGP</w:t>
      </w:r>
      <w:r w:rsidRPr="00AD7B0C">
        <w:rPr>
          <w:rFonts w:ascii="Georgia" w:hAnsi="Georgia" w:cs="Arial"/>
          <w:lang w:val="es-ES_tradnl"/>
        </w:rPr>
        <w:t>)</w:t>
      </w:r>
      <w:r w:rsidR="00496515">
        <w:rPr>
          <w:rFonts w:ascii="Georgia" w:hAnsi="Georgia" w:cs="Arial"/>
          <w:lang w:val="es-ES_tradnl"/>
        </w:rPr>
        <w:t xml:space="preserve">. Pese </w:t>
      </w:r>
      <w:r w:rsidRPr="00AD7B0C">
        <w:rPr>
          <w:rFonts w:ascii="Georgia" w:hAnsi="Georgia" w:cs="Arial"/>
          <w:lang w:val="es-ES_tradnl"/>
        </w:rPr>
        <w:t xml:space="preserve">a la falta de </w:t>
      </w:r>
      <w:r w:rsidR="00447C7B">
        <w:rPr>
          <w:rFonts w:ascii="Georgia" w:hAnsi="Georgia" w:cs="Arial"/>
          <w:lang w:val="es-ES_tradnl"/>
        </w:rPr>
        <w:t xml:space="preserve">claridad </w:t>
      </w:r>
      <w:r w:rsidRPr="00AD7B0C">
        <w:rPr>
          <w:rFonts w:ascii="Georgia" w:hAnsi="Georgia" w:cs="Arial"/>
          <w:lang w:val="es-ES_tradnl"/>
        </w:rPr>
        <w:t xml:space="preserve">en el petitorio de tutela, la Sala </w:t>
      </w:r>
      <w:r>
        <w:rPr>
          <w:rFonts w:ascii="Georgia" w:hAnsi="Georgia" w:cs="Arial"/>
          <w:lang w:val="es-ES_tradnl"/>
        </w:rPr>
        <w:t>considera</w:t>
      </w:r>
      <w:r w:rsidRPr="00AD7B0C">
        <w:rPr>
          <w:rFonts w:ascii="Georgia" w:hAnsi="Georgia" w:cs="Arial"/>
          <w:lang w:val="es-ES_tradnl"/>
        </w:rPr>
        <w:t xml:space="preserve">, de acuerdo con el estado actual del juicio </w:t>
      </w:r>
      <w:r w:rsidRPr="00AD7B0C">
        <w:rPr>
          <w:rFonts w:ascii="Georgia" w:hAnsi="Georgia"/>
          <w:lang w:val="es-CO"/>
        </w:rPr>
        <w:t>(</w:t>
      </w:r>
      <w:r w:rsidR="00447C7B">
        <w:rPr>
          <w:rFonts w:ascii="Georgia" w:hAnsi="Georgia"/>
          <w:lang w:val="es-CO"/>
        </w:rPr>
        <w:t>Folios 1</w:t>
      </w:r>
      <w:r w:rsidR="00496515">
        <w:rPr>
          <w:rFonts w:ascii="Georgia" w:hAnsi="Georgia"/>
          <w:lang w:val="es-CO"/>
        </w:rPr>
        <w:t>2</w:t>
      </w:r>
      <w:r w:rsidR="00447C7B">
        <w:rPr>
          <w:rFonts w:ascii="Georgia" w:hAnsi="Georgia"/>
          <w:lang w:val="es-CO"/>
        </w:rPr>
        <w:t xml:space="preserve"> a 26</w:t>
      </w:r>
      <w:r w:rsidR="00496515">
        <w:rPr>
          <w:rFonts w:ascii="Georgia" w:hAnsi="Georgia"/>
          <w:lang w:val="es-CO"/>
        </w:rPr>
        <w:t xml:space="preserve"> y 29 a 31,</w:t>
      </w:r>
      <w:r w:rsidR="00447C7B">
        <w:rPr>
          <w:rFonts w:ascii="Georgia" w:hAnsi="Georgia"/>
          <w:lang w:val="es-CO"/>
        </w:rPr>
        <w:t xml:space="preserve"> </w:t>
      </w:r>
      <w:r w:rsidR="00F96624">
        <w:rPr>
          <w:rFonts w:ascii="Georgia" w:hAnsi="Georgia"/>
          <w:lang w:val="es-CO"/>
        </w:rPr>
        <w:t>este cuaderno</w:t>
      </w:r>
      <w:r w:rsidR="00447C7B">
        <w:rPr>
          <w:rFonts w:ascii="Georgia" w:hAnsi="Georgia"/>
          <w:lang w:val="es-CO"/>
        </w:rPr>
        <w:t>)</w:t>
      </w:r>
      <w:r w:rsidRPr="00AD7B0C">
        <w:rPr>
          <w:rFonts w:ascii="Georgia" w:hAnsi="Georgia" w:cs="Arial"/>
          <w:lang w:val="es-ES_tradnl"/>
        </w:rPr>
        <w:t xml:space="preserve">, que las pretensiones </w:t>
      </w:r>
      <w:r w:rsidR="00F94546">
        <w:rPr>
          <w:rFonts w:ascii="Georgia" w:hAnsi="Georgia" w:cs="Arial"/>
          <w:lang w:val="es-ES_tradnl"/>
        </w:rPr>
        <w:t xml:space="preserve">están orientadas </w:t>
      </w:r>
      <w:r w:rsidRPr="00AD7B0C">
        <w:rPr>
          <w:rFonts w:ascii="Georgia" w:hAnsi="Georgia"/>
          <w:lang w:val="es-CO"/>
        </w:rPr>
        <w:t xml:space="preserve">a la falta de </w:t>
      </w:r>
      <w:r w:rsidR="00447C7B">
        <w:rPr>
          <w:rFonts w:ascii="Georgia" w:hAnsi="Georgia"/>
          <w:lang w:val="es-CO"/>
        </w:rPr>
        <w:t xml:space="preserve">publicación del aviso a la comunidad y </w:t>
      </w:r>
      <w:r w:rsidRPr="00AD7B0C">
        <w:rPr>
          <w:rFonts w:ascii="Georgia" w:hAnsi="Georgia"/>
          <w:lang w:val="es-CO"/>
        </w:rPr>
        <w:t xml:space="preserve">notificación </w:t>
      </w:r>
      <w:r w:rsidR="002C6596">
        <w:rPr>
          <w:rFonts w:ascii="Georgia" w:hAnsi="Georgia"/>
          <w:lang w:val="es-CO"/>
        </w:rPr>
        <w:t>a la</w:t>
      </w:r>
      <w:r w:rsidRPr="00AD7B0C">
        <w:rPr>
          <w:rFonts w:ascii="Georgia" w:hAnsi="Georgia"/>
          <w:lang w:val="es-CO"/>
        </w:rPr>
        <w:t xml:space="preserve"> accionada. </w:t>
      </w:r>
    </w:p>
    <w:p w:rsidR="00D61DEB" w:rsidRPr="00AD7B0C" w:rsidRDefault="00D61DEB" w:rsidP="00D61DEB">
      <w:pPr>
        <w:widowControl/>
        <w:spacing w:line="360" w:lineRule="auto"/>
        <w:jc w:val="both"/>
        <w:rPr>
          <w:rFonts w:ascii="Georgia" w:hAnsi="Georgia"/>
          <w:lang w:val="es-CO"/>
        </w:rPr>
      </w:pPr>
    </w:p>
    <w:p w:rsidR="00414EDA" w:rsidRDefault="009032A2" w:rsidP="00447C7B">
      <w:pPr>
        <w:widowControl/>
        <w:spacing w:line="360" w:lineRule="auto"/>
        <w:jc w:val="both"/>
        <w:rPr>
          <w:rFonts w:ascii="Georgia" w:hAnsi="Georgia"/>
          <w:lang w:val="es-CO"/>
        </w:rPr>
      </w:pPr>
      <w:r>
        <w:rPr>
          <w:rFonts w:ascii="Georgia" w:hAnsi="Georgia" w:cs="Arial"/>
          <w:lang w:val="es-ES_tradnl"/>
        </w:rPr>
        <w:t xml:space="preserve">De acuerdo </w:t>
      </w:r>
      <w:r w:rsidR="00757E31">
        <w:rPr>
          <w:rFonts w:ascii="Georgia" w:hAnsi="Georgia" w:cs="Arial"/>
          <w:lang w:val="es-ES_tradnl"/>
        </w:rPr>
        <w:t xml:space="preserve">al material probatorio, </w:t>
      </w:r>
      <w:r w:rsidR="00757E31" w:rsidRPr="00757E31">
        <w:rPr>
          <w:rFonts w:ascii="Georgia" w:hAnsi="Georgia" w:cs="Arial"/>
          <w:lang w:val="es-ES_tradnl"/>
        </w:rPr>
        <w:t>se hace</w:t>
      </w:r>
      <w:r w:rsidR="00E53650">
        <w:rPr>
          <w:rFonts w:ascii="Georgia" w:hAnsi="Georgia" w:cs="Arial"/>
          <w:lang w:val="es-ES_tradnl"/>
        </w:rPr>
        <w:t>n</w:t>
      </w:r>
      <w:r w:rsidR="00757E31" w:rsidRPr="00757E31">
        <w:rPr>
          <w:rFonts w:ascii="Georgia" w:hAnsi="Georgia" w:cs="Arial"/>
          <w:lang w:val="es-ES_tradnl"/>
        </w:rPr>
        <w:t xml:space="preserve"> evidente</w:t>
      </w:r>
      <w:r w:rsidR="00E53650">
        <w:rPr>
          <w:rFonts w:ascii="Georgia" w:hAnsi="Georgia" w:cs="Arial"/>
          <w:lang w:val="es-ES_tradnl"/>
        </w:rPr>
        <w:t>s</w:t>
      </w:r>
      <w:r w:rsidR="00447C7B" w:rsidRPr="00757E31">
        <w:rPr>
          <w:rFonts w:ascii="Georgia" w:hAnsi="Georgia" w:cs="Arial"/>
          <w:lang w:val="es-ES_tradnl"/>
        </w:rPr>
        <w:t xml:space="preserve"> </w:t>
      </w:r>
      <w:r w:rsidR="00F94546" w:rsidRPr="00757E31">
        <w:rPr>
          <w:rFonts w:ascii="Georgia" w:hAnsi="Georgia" w:cs="Arial"/>
          <w:lang w:val="es-ES_tradnl"/>
        </w:rPr>
        <w:t xml:space="preserve">las siguientes situaciones: </w:t>
      </w:r>
      <w:r w:rsidR="00757E31" w:rsidRPr="00757E31">
        <w:rPr>
          <w:rFonts w:ascii="Georgia" w:hAnsi="Georgia" w:cs="Arial"/>
          <w:lang w:val="es-ES_tradnl"/>
        </w:rPr>
        <w:t xml:space="preserve">(i) </w:t>
      </w:r>
      <w:r w:rsidR="00921B1D">
        <w:rPr>
          <w:rFonts w:ascii="Georgia" w:hAnsi="Georgia" w:cs="Arial"/>
          <w:lang w:val="es-ES_tradnl"/>
        </w:rPr>
        <w:t xml:space="preserve">El actor </w:t>
      </w:r>
      <w:r w:rsidR="00F96624">
        <w:rPr>
          <w:rFonts w:ascii="Georgia" w:hAnsi="Georgia" w:cs="Arial"/>
          <w:lang w:val="es-ES_tradnl"/>
        </w:rPr>
        <w:t xml:space="preserve">con el petitorio de acción popular </w:t>
      </w:r>
      <w:r w:rsidR="00251C9A">
        <w:rPr>
          <w:rFonts w:ascii="Georgia" w:hAnsi="Georgia" w:cs="Arial"/>
          <w:lang w:val="es-ES_tradnl"/>
        </w:rPr>
        <w:t>pidió</w:t>
      </w:r>
      <w:r w:rsidR="00921B1D">
        <w:rPr>
          <w:rFonts w:ascii="Georgia" w:hAnsi="Georgia" w:cs="Arial"/>
          <w:lang w:val="es-ES_tradnl"/>
        </w:rPr>
        <w:t xml:space="preserve"> </w:t>
      </w:r>
      <w:r w:rsidR="00F96624">
        <w:rPr>
          <w:rFonts w:ascii="Georgia" w:hAnsi="Georgia" w:cs="Arial"/>
          <w:lang w:val="es-ES_tradnl"/>
        </w:rPr>
        <w:t xml:space="preserve">al accionado que </w:t>
      </w:r>
      <w:r w:rsidR="00B844CA">
        <w:rPr>
          <w:rFonts w:ascii="Georgia" w:hAnsi="Georgia" w:cs="Arial"/>
          <w:lang w:val="es-ES_tradnl"/>
        </w:rPr>
        <w:t>perfeccionara l</w:t>
      </w:r>
      <w:r w:rsidR="002C6596">
        <w:rPr>
          <w:rFonts w:ascii="Georgia" w:hAnsi="Georgia" w:cs="Arial"/>
          <w:lang w:val="es-ES_tradnl"/>
        </w:rPr>
        <w:t xml:space="preserve">os actos </w:t>
      </w:r>
      <w:proofErr w:type="spellStart"/>
      <w:r w:rsidR="002C6596">
        <w:rPr>
          <w:rFonts w:ascii="Georgia" w:hAnsi="Georgia" w:cs="Arial"/>
          <w:lang w:val="es-ES_tradnl"/>
        </w:rPr>
        <w:t>notificatorios</w:t>
      </w:r>
      <w:proofErr w:type="spellEnd"/>
      <w:r w:rsidR="00757E31">
        <w:rPr>
          <w:rFonts w:ascii="Georgia" w:hAnsi="Georgia" w:cs="Arial"/>
          <w:lang w:val="es-ES_tradnl"/>
        </w:rPr>
        <w:t xml:space="preserve"> </w:t>
      </w:r>
      <w:r w:rsidR="00757E31" w:rsidRPr="00757E31">
        <w:rPr>
          <w:rFonts w:ascii="Georgia" w:hAnsi="Georgia" w:cs="Arial"/>
          <w:lang w:val="es-ES_tradnl"/>
        </w:rPr>
        <w:t xml:space="preserve">a la comunidad y </w:t>
      </w:r>
      <w:r w:rsidR="002C6596">
        <w:rPr>
          <w:rFonts w:ascii="Georgia" w:hAnsi="Georgia" w:cs="Arial"/>
          <w:lang w:val="es-ES_tradnl"/>
        </w:rPr>
        <w:t xml:space="preserve">a la entidad </w:t>
      </w:r>
      <w:r w:rsidR="00757E31">
        <w:rPr>
          <w:rFonts w:ascii="Georgia" w:hAnsi="Georgia" w:cs="Arial"/>
          <w:lang w:val="es-ES_tradnl"/>
        </w:rPr>
        <w:t>accionada</w:t>
      </w:r>
      <w:r w:rsidR="00F96624">
        <w:rPr>
          <w:rFonts w:ascii="Georgia" w:hAnsi="Georgia" w:cs="Arial"/>
          <w:lang w:val="es-ES_tradnl"/>
        </w:rPr>
        <w:t xml:space="preserve"> (Folio 12, ibídem)</w:t>
      </w:r>
      <w:r w:rsidR="00921B1D">
        <w:rPr>
          <w:rFonts w:ascii="Georgia" w:hAnsi="Georgia" w:cs="Arial"/>
          <w:lang w:val="es-ES_tradnl"/>
        </w:rPr>
        <w:t>,</w:t>
      </w:r>
      <w:r w:rsidR="00757E31">
        <w:rPr>
          <w:rFonts w:ascii="Georgia" w:hAnsi="Georgia" w:cs="Arial"/>
          <w:lang w:val="es-ES_tradnl"/>
        </w:rPr>
        <w:t xml:space="preserve"> </w:t>
      </w:r>
      <w:r w:rsidR="00757E31" w:rsidRPr="00757E31">
        <w:rPr>
          <w:rFonts w:ascii="Georgia" w:hAnsi="Georgia" w:cs="Arial"/>
          <w:lang w:val="es-ES_tradnl"/>
        </w:rPr>
        <w:t xml:space="preserve">resuelta </w:t>
      </w:r>
      <w:r w:rsidR="00F96624">
        <w:rPr>
          <w:rFonts w:ascii="Georgia" w:hAnsi="Georgia" w:cs="Arial"/>
          <w:lang w:val="es-ES_tradnl"/>
        </w:rPr>
        <w:t xml:space="preserve">negativamente </w:t>
      </w:r>
      <w:r w:rsidR="00447C7B" w:rsidRPr="00757E31">
        <w:rPr>
          <w:rFonts w:ascii="Georgia" w:hAnsi="Georgia" w:cs="Arial"/>
          <w:lang w:val="es-ES_tradnl"/>
        </w:rPr>
        <w:t>con proveído que data del 15-05-2017,</w:t>
      </w:r>
      <w:r w:rsidR="00B63AEF">
        <w:rPr>
          <w:rFonts w:ascii="Georgia" w:hAnsi="Georgia"/>
          <w:lang w:val="es-CO"/>
        </w:rPr>
        <w:t xml:space="preserve"> </w:t>
      </w:r>
      <w:r w:rsidR="00447C7B">
        <w:rPr>
          <w:rFonts w:ascii="Georgia" w:hAnsi="Georgia"/>
          <w:lang w:val="es-CO"/>
        </w:rPr>
        <w:t>notificad</w:t>
      </w:r>
      <w:r w:rsidR="00921B1D">
        <w:rPr>
          <w:rFonts w:ascii="Georgia" w:hAnsi="Georgia"/>
          <w:lang w:val="es-CO"/>
        </w:rPr>
        <w:t>o</w:t>
      </w:r>
      <w:r w:rsidR="00447C7B">
        <w:rPr>
          <w:rFonts w:ascii="Georgia" w:hAnsi="Georgia"/>
          <w:lang w:val="es-CO"/>
        </w:rPr>
        <w:t xml:space="preserve"> </w:t>
      </w:r>
      <w:r w:rsidR="00414EDA">
        <w:rPr>
          <w:rFonts w:ascii="Georgia" w:hAnsi="Georgia"/>
          <w:lang w:val="es-CO"/>
        </w:rPr>
        <w:t xml:space="preserve">con fijación en el </w:t>
      </w:r>
      <w:r w:rsidR="00447C7B">
        <w:rPr>
          <w:rFonts w:ascii="Georgia" w:hAnsi="Georgia"/>
          <w:lang w:val="es-CO"/>
        </w:rPr>
        <w:t>estado del 17-05-2017</w:t>
      </w:r>
      <w:r w:rsidR="00921B1D">
        <w:rPr>
          <w:rFonts w:ascii="Georgia" w:hAnsi="Georgia"/>
          <w:lang w:val="es-CO"/>
        </w:rPr>
        <w:t>, sin ningún recurso</w:t>
      </w:r>
      <w:r w:rsidR="00447C7B">
        <w:rPr>
          <w:rFonts w:ascii="Georgia" w:hAnsi="Georgia"/>
          <w:lang w:val="es-CO"/>
        </w:rPr>
        <w:t xml:space="preserve"> (Folio 14, ib.)</w:t>
      </w:r>
      <w:r w:rsidR="00414EDA">
        <w:rPr>
          <w:rFonts w:ascii="Georgia" w:hAnsi="Georgia"/>
          <w:lang w:val="es-CO"/>
        </w:rPr>
        <w:t>.</w:t>
      </w:r>
    </w:p>
    <w:p w:rsidR="00414EDA" w:rsidRDefault="00414EDA" w:rsidP="00447C7B">
      <w:pPr>
        <w:widowControl/>
        <w:spacing w:line="360" w:lineRule="auto"/>
        <w:jc w:val="both"/>
        <w:rPr>
          <w:rFonts w:ascii="Georgia" w:hAnsi="Georgia"/>
          <w:lang w:val="es-CO"/>
        </w:rPr>
      </w:pPr>
    </w:p>
    <w:p w:rsidR="00B844CA" w:rsidRDefault="00921B1D" w:rsidP="00447C7B">
      <w:pPr>
        <w:widowControl/>
        <w:spacing w:line="360" w:lineRule="auto"/>
        <w:jc w:val="both"/>
        <w:rPr>
          <w:rFonts w:ascii="Georgia" w:hAnsi="Georgia"/>
          <w:lang w:val="es-CO"/>
        </w:rPr>
      </w:pPr>
      <w:r>
        <w:rPr>
          <w:rFonts w:ascii="Georgia" w:hAnsi="Georgia"/>
          <w:lang w:val="es-CO"/>
        </w:rPr>
        <w:t xml:space="preserve">(ii) Posteriormente, </w:t>
      </w:r>
      <w:r w:rsidR="00251C9A">
        <w:rPr>
          <w:rFonts w:ascii="Georgia" w:hAnsi="Georgia"/>
          <w:lang w:val="es-CO"/>
        </w:rPr>
        <w:t>presentó</w:t>
      </w:r>
      <w:r>
        <w:rPr>
          <w:rFonts w:ascii="Georgia" w:hAnsi="Georgia"/>
          <w:lang w:val="es-CO"/>
        </w:rPr>
        <w:t xml:space="preserve"> desistimiento, </w:t>
      </w:r>
      <w:r w:rsidR="00251C9A">
        <w:rPr>
          <w:rFonts w:ascii="Georgia" w:hAnsi="Georgia"/>
          <w:lang w:val="es-CO"/>
        </w:rPr>
        <w:t>ante la falta</w:t>
      </w:r>
      <w:r w:rsidR="000C07CA">
        <w:rPr>
          <w:rFonts w:ascii="Georgia" w:hAnsi="Georgia"/>
          <w:lang w:val="es-CO"/>
        </w:rPr>
        <w:t xml:space="preserve"> de</w:t>
      </w:r>
      <w:r w:rsidR="00251C9A">
        <w:rPr>
          <w:rFonts w:ascii="Georgia" w:hAnsi="Georgia"/>
          <w:lang w:val="es-CO"/>
        </w:rPr>
        <w:t xml:space="preserve"> </w:t>
      </w:r>
      <w:r>
        <w:rPr>
          <w:rFonts w:ascii="Georgia" w:hAnsi="Georgia"/>
          <w:lang w:val="es-CO"/>
        </w:rPr>
        <w:t>impulso oficioso</w:t>
      </w:r>
      <w:r w:rsidR="00414EDA">
        <w:rPr>
          <w:rFonts w:ascii="Georgia" w:hAnsi="Georgia"/>
          <w:lang w:val="es-CO"/>
        </w:rPr>
        <w:t xml:space="preserve">, </w:t>
      </w:r>
      <w:r w:rsidR="00B63A33">
        <w:rPr>
          <w:rFonts w:ascii="Georgia" w:hAnsi="Georgia"/>
          <w:lang w:val="es-CO"/>
        </w:rPr>
        <w:t>decidida</w:t>
      </w:r>
      <w:r w:rsidR="00414EDA">
        <w:rPr>
          <w:rFonts w:ascii="Georgia" w:hAnsi="Georgia"/>
          <w:lang w:val="es-CO"/>
        </w:rPr>
        <w:t xml:space="preserve"> desfavorablemente con auto del </w:t>
      </w:r>
      <w:r w:rsidR="00251C9A">
        <w:rPr>
          <w:rFonts w:ascii="Georgia" w:hAnsi="Georgia"/>
          <w:lang w:val="es-CO"/>
        </w:rPr>
        <w:t xml:space="preserve">22-06-2017 (Folios 15 a 16, ib.), recurrida en reposición, </w:t>
      </w:r>
      <w:r w:rsidR="00414EDA">
        <w:rPr>
          <w:rFonts w:ascii="Georgia" w:hAnsi="Georgia"/>
          <w:lang w:val="es-CO"/>
        </w:rPr>
        <w:t xml:space="preserve">solo en lo </w:t>
      </w:r>
      <w:r w:rsidR="00251C9A">
        <w:rPr>
          <w:rFonts w:ascii="Georgia" w:hAnsi="Georgia"/>
          <w:lang w:val="es-CO"/>
        </w:rPr>
        <w:t xml:space="preserve">atinente </w:t>
      </w:r>
      <w:r w:rsidR="00414EDA">
        <w:rPr>
          <w:rFonts w:ascii="Georgia" w:hAnsi="Georgia"/>
          <w:lang w:val="es-CO"/>
        </w:rPr>
        <w:t xml:space="preserve">al </w:t>
      </w:r>
      <w:r w:rsidR="00251C9A">
        <w:rPr>
          <w:rFonts w:ascii="Georgia" w:hAnsi="Georgia"/>
          <w:lang w:val="es-CO"/>
        </w:rPr>
        <w:t>desistimiento</w:t>
      </w:r>
      <w:r w:rsidR="00414EDA">
        <w:rPr>
          <w:rFonts w:ascii="Georgia" w:hAnsi="Georgia"/>
          <w:lang w:val="es-CO"/>
        </w:rPr>
        <w:t xml:space="preserve"> </w:t>
      </w:r>
      <w:r w:rsidR="000C07CA" w:rsidRPr="00414EDA">
        <w:rPr>
          <w:rFonts w:ascii="Georgia" w:hAnsi="Georgia"/>
          <w:lang w:val="es-CO"/>
        </w:rPr>
        <w:t>(Folio 1</w:t>
      </w:r>
      <w:r w:rsidR="00B844CA" w:rsidRPr="00414EDA">
        <w:rPr>
          <w:rFonts w:ascii="Georgia" w:hAnsi="Georgia"/>
          <w:lang w:val="es-CO"/>
        </w:rPr>
        <w:t>7</w:t>
      </w:r>
      <w:r w:rsidR="000C07CA" w:rsidRPr="00414EDA">
        <w:rPr>
          <w:rFonts w:ascii="Georgia" w:hAnsi="Georgia"/>
          <w:lang w:val="es-CO"/>
        </w:rPr>
        <w:t>, ib.)</w:t>
      </w:r>
      <w:r w:rsidR="00414EDA" w:rsidRPr="00414EDA">
        <w:rPr>
          <w:rFonts w:ascii="Georgia" w:hAnsi="Georgia"/>
          <w:lang w:val="es-CO"/>
        </w:rPr>
        <w:t xml:space="preserve">, se </w:t>
      </w:r>
      <w:r w:rsidR="00B63A33" w:rsidRPr="00414EDA">
        <w:rPr>
          <w:rFonts w:ascii="Georgia" w:hAnsi="Georgia"/>
          <w:lang w:val="es-CO"/>
        </w:rPr>
        <w:t>mantuvo</w:t>
      </w:r>
      <w:r w:rsidR="00414EDA" w:rsidRPr="00414EDA">
        <w:rPr>
          <w:rFonts w:ascii="Georgia" w:hAnsi="Georgia"/>
          <w:lang w:val="es-CO"/>
        </w:rPr>
        <w:t xml:space="preserve"> incólume con auto del 05-17-2017 (Folio 18, ib.)</w:t>
      </w:r>
      <w:r w:rsidR="000C07CA" w:rsidRPr="00414EDA">
        <w:rPr>
          <w:rFonts w:ascii="Georgia" w:hAnsi="Georgia"/>
          <w:lang w:val="es-CO"/>
        </w:rPr>
        <w:t>;</w:t>
      </w:r>
      <w:r w:rsidR="000C07CA">
        <w:rPr>
          <w:rFonts w:ascii="Georgia" w:hAnsi="Georgia"/>
          <w:lang w:val="es-CO"/>
        </w:rPr>
        <w:t xml:space="preserve"> </w:t>
      </w:r>
      <w:r w:rsidR="00B844CA">
        <w:rPr>
          <w:rFonts w:ascii="Georgia" w:hAnsi="Georgia"/>
          <w:lang w:val="es-CO"/>
        </w:rPr>
        <w:t xml:space="preserve">y, </w:t>
      </w:r>
      <w:r w:rsidR="000C07CA">
        <w:rPr>
          <w:rFonts w:ascii="Georgia" w:hAnsi="Georgia"/>
          <w:lang w:val="es-CO"/>
        </w:rPr>
        <w:t xml:space="preserve">(iii) </w:t>
      </w:r>
      <w:r w:rsidR="00B844CA">
        <w:rPr>
          <w:rFonts w:ascii="Georgia" w:hAnsi="Georgia"/>
          <w:lang w:val="es-CO"/>
        </w:rPr>
        <w:t>Nuevamente</w:t>
      </w:r>
      <w:r w:rsidR="00F17547">
        <w:rPr>
          <w:rFonts w:ascii="Georgia" w:hAnsi="Georgia"/>
          <w:lang w:val="es-CO"/>
        </w:rPr>
        <w:t>,</w:t>
      </w:r>
      <w:r w:rsidR="00B844CA">
        <w:rPr>
          <w:rFonts w:ascii="Georgia" w:hAnsi="Georgia"/>
          <w:lang w:val="es-CO"/>
        </w:rPr>
        <w:t xml:space="preserve"> </w:t>
      </w:r>
      <w:r w:rsidR="00414EDA">
        <w:rPr>
          <w:rFonts w:ascii="Georgia" w:hAnsi="Georgia"/>
          <w:lang w:val="es-CO"/>
        </w:rPr>
        <w:t>pidió</w:t>
      </w:r>
      <w:r w:rsidR="000C07CA">
        <w:rPr>
          <w:rFonts w:ascii="Georgia" w:hAnsi="Georgia"/>
          <w:lang w:val="es-CO"/>
        </w:rPr>
        <w:t xml:space="preserve"> </w:t>
      </w:r>
      <w:r w:rsidR="00EF79ED">
        <w:rPr>
          <w:rFonts w:ascii="Georgia" w:hAnsi="Georgia"/>
          <w:lang w:val="es-CO"/>
        </w:rPr>
        <w:t>a</w:t>
      </w:r>
      <w:r w:rsidR="000C07CA">
        <w:rPr>
          <w:rFonts w:ascii="Georgia" w:hAnsi="Georgia"/>
          <w:lang w:val="es-CO"/>
        </w:rPr>
        <w:t xml:space="preserve"> la autoridad jurisdiccional que proceda oficiosamente, </w:t>
      </w:r>
      <w:r w:rsidR="002C6596">
        <w:rPr>
          <w:rFonts w:ascii="Georgia" w:hAnsi="Georgia"/>
          <w:lang w:val="es-CO"/>
        </w:rPr>
        <w:t xml:space="preserve">pedimento </w:t>
      </w:r>
      <w:r w:rsidR="000C07CA">
        <w:rPr>
          <w:rFonts w:ascii="Georgia" w:hAnsi="Georgia"/>
          <w:lang w:val="es-CO"/>
        </w:rPr>
        <w:t>despachad</w:t>
      </w:r>
      <w:r w:rsidR="002C6596">
        <w:rPr>
          <w:rFonts w:ascii="Georgia" w:hAnsi="Georgia"/>
          <w:lang w:val="es-CO"/>
        </w:rPr>
        <w:t>o</w:t>
      </w:r>
      <w:r w:rsidR="000C07CA">
        <w:rPr>
          <w:rFonts w:ascii="Georgia" w:hAnsi="Georgia"/>
          <w:lang w:val="es-CO"/>
        </w:rPr>
        <w:t xml:space="preserve"> </w:t>
      </w:r>
      <w:r w:rsidR="00B844CA">
        <w:rPr>
          <w:rFonts w:ascii="Georgia" w:hAnsi="Georgia"/>
          <w:lang w:val="es-CO"/>
        </w:rPr>
        <w:t>el 07-11-2017</w:t>
      </w:r>
      <w:r w:rsidR="00BB046D">
        <w:rPr>
          <w:rFonts w:ascii="Georgia" w:hAnsi="Georgia"/>
          <w:lang w:val="es-CO"/>
        </w:rPr>
        <w:t xml:space="preserve"> y q</w:t>
      </w:r>
      <w:r w:rsidR="00B844CA">
        <w:rPr>
          <w:rFonts w:ascii="Georgia" w:hAnsi="Georgia"/>
          <w:lang w:val="es-CO"/>
        </w:rPr>
        <w:t>ue se está notificando por estado</w:t>
      </w:r>
      <w:r w:rsidR="002C6596">
        <w:rPr>
          <w:rFonts w:ascii="Georgia" w:hAnsi="Georgia"/>
          <w:lang w:val="es-CO"/>
        </w:rPr>
        <w:t xml:space="preserve"> (Folio 31, ib.).</w:t>
      </w:r>
    </w:p>
    <w:p w:rsidR="00B844CA" w:rsidRDefault="00B844CA" w:rsidP="00447C7B">
      <w:pPr>
        <w:widowControl/>
        <w:spacing w:line="360" w:lineRule="auto"/>
        <w:jc w:val="both"/>
        <w:rPr>
          <w:rFonts w:ascii="Georgia" w:hAnsi="Georgia"/>
          <w:lang w:val="es-CO"/>
        </w:rPr>
      </w:pPr>
    </w:p>
    <w:p w:rsidR="00025F06" w:rsidRDefault="00414EDA" w:rsidP="00447C7B">
      <w:pPr>
        <w:widowControl/>
        <w:spacing w:line="360" w:lineRule="auto"/>
        <w:jc w:val="both"/>
        <w:rPr>
          <w:rFonts w:ascii="Georgia" w:hAnsi="Georgia"/>
          <w:lang w:val="es-CO"/>
        </w:rPr>
      </w:pPr>
      <w:r>
        <w:rPr>
          <w:rFonts w:ascii="Georgia" w:hAnsi="Georgia"/>
          <w:lang w:val="es-CO"/>
        </w:rPr>
        <w:t>Desde esta perspectiva e</w:t>
      </w:r>
      <w:r w:rsidR="00CC62E5">
        <w:rPr>
          <w:rFonts w:ascii="Georgia" w:hAnsi="Georgia"/>
          <w:lang w:val="es-CO"/>
        </w:rPr>
        <w:t xml:space="preserve"> </w:t>
      </w:r>
      <w:r>
        <w:rPr>
          <w:rFonts w:ascii="Georgia" w:hAnsi="Georgia"/>
          <w:lang w:val="es-CO"/>
        </w:rPr>
        <w:t>i</w:t>
      </w:r>
      <w:r w:rsidR="00BB046D">
        <w:rPr>
          <w:rFonts w:ascii="Georgia" w:hAnsi="Georgia"/>
          <w:lang w:val="es-CO"/>
        </w:rPr>
        <w:t xml:space="preserve">ndependientemente </w:t>
      </w:r>
      <w:r w:rsidR="00B63A33">
        <w:rPr>
          <w:rFonts w:ascii="Georgia" w:hAnsi="Georgia"/>
          <w:lang w:val="es-CO"/>
        </w:rPr>
        <w:t xml:space="preserve">de </w:t>
      </w:r>
      <w:r w:rsidR="00BB046D">
        <w:rPr>
          <w:rFonts w:ascii="Georgia" w:hAnsi="Georgia"/>
          <w:lang w:val="es-CO"/>
        </w:rPr>
        <w:t xml:space="preserve">que con posterioridad al auto que admitió la acción </w:t>
      </w:r>
      <w:r>
        <w:rPr>
          <w:rFonts w:ascii="Georgia" w:hAnsi="Georgia"/>
          <w:lang w:val="es-CO"/>
        </w:rPr>
        <w:t xml:space="preserve">se </w:t>
      </w:r>
      <w:r w:rsidR="00BB046D">
        <w:rPr>
          <w:rFonts w:ascii="Georgia" w:hAnsi="Georgia"/>
          <w:lang w:val="es-CO"/>
        </w:rPr>
        <w:t xml:space="preserve">haya </w:t>
      </w:r>
      <w:r w:rsidR="00F17547">
        <w:rPr>
          <w:rFonts w:ascii="Georgia" w:hAnsi="Georgia"/>
          <w:lang w:val="es-CO"/>
        </w:rPr>
        <w:t xml:space="preserve">solicitado </w:t>
      </w:r>
      <w:r>
        <w:rPr>
          <w:rFonts w:ascii="Georgia" w:hAnsi="Georgia"/>
          <w:lang w:val="es-CO"/>
        </w:rPr>
        <w:t xml:space="preserve">el </w:t>
      </w:r>
      <w:r w:rsidR="00BB046D" w:rsidRPr="001F7584">
        <w:rPr>
          <w:rFonts w:ascii="Georgia" w:hAnsi="Georgia"/>
          <w:i/>
          <w:lang w:val="es-CO"/>
        </w:rPr>
        <w:t>“impulso oficioso”</w:t>
      </w:r>
      <w:r w:rsidR="00BB046D">
        <w:rPr>
          <w:rFonts w:ascii="Georgia" w:hAnsi="Georgia"/>
          <w:lang w:val="es-CO"/>
        </w:rPr>
        <w:t xml:space="preserve">, lo cierto es que </w:t>
      </w:r>
      <w:r>
        <w:rPr>
          <w:rFonts w:ascii="Georgia" w:hAnsi="Georgia"/>
          <w:lang w:val="es-CO"/>
        </w:rPr>
        <w:t>el acto</w:t>
      </w:r>
      <w:r w:rsidR="00227A09">
        <w:rPr>
          <w:rFonts w:ascii="Georgia" w:hAnsi="Georgia"/>
          <w:lang w:val="es-CO"/>
        </w:rPr>
        <w:t xml:space="preserve"> de notificación </w:t>
      </w:r>
      <w:r>
        <w:rPr>
          <w:rFonts w:ascii="Georgia" w:hAnsi="Georgia"/>
          <w:lang w:val="es-CO"/>
        </w:rPr>
        <w:t xml:space="preserve">a la accionada y el aviso a la comunidad </w:t>
      </w:r>
      <w:r w:rsidR="00BB0526">
        <w:rPr>
          <w:rFonts w:ascii="Georgia" w:hAnsi="Georgia"/>
          <w:lang w:val="es-CO"/>
        </w:rPr>
        <w:t>fue</w:t>
      </w:r>
      <w:r>
        <w:rPr>
          <w:rFonts w:ascii="Georgia" w:hAnsi="Georgia"/>
          <w:lang w:val="es-CO"/>
        </w:rPr>
        <w:t>ron</w:t>
      </w:r>
      <w:r w:rsidR="00BB0526">
        <w:rPr>
          <w:rFonts w:ascii="Georgia" w:hAnsi="Georgia"/>
          <w:lang w:val="es-CO"/>
        </w:rPr>
        <w:t xml:space="preserve"> carga</w:t>
      </w:r>
      <w:r>
        <w:rPr>
          <w:rFonts w:ascii="Georgia" w:hAnsi="Georgia"/>
          <w:lang w:val="es-CO"/>
        </w:rPr>
        <w:t>s</w:t>
      </w:r>
      <w:r w:rsidR="00BB0526">
        <w:rPr>
          <w:rFonts w:ascii="Georgia" w:hAnsi="Georgia"/>
          <w:lang w:val="es-CO"/>
        </w:rPr>
        <w:t xml:space="preserve"> procesal</w:t>
      </w:r>
      <w:r>
        <w:rPr>
          <w:rFonts w:ascii="Georgia" w:hAnsi="Georgia"/>
          <w:lang w:val="es-CO"/>
        </w:rPr>
        <w:t>es que se le impusieron al actor</w:t>
      </w:r>
      <w:r w:rsidR="00F17547">
        <w:rPr>
          <w:rFonts w:ascii="Georgia" w:hAnsi="Georgia"/>
          <w:lang w:val="es-CO"/>
        </w:rPr>
        <w:t xml:space="preserve"> e</w:t>
      </w:r>
      <w:r w:rsidR="00154F2B">
        <w:rPr>
          <w:rFonts w:ascii="Georgia" w:hAnsi="Georgia"/>
          <w:lang w:val="es-CO"/>
        </w:rPr>
        <w:t xml:space="preserve">n </w:t>
      </w:r>
      <w:r>
        <w:rPr>
          <w:rFonts w:ascii="Georgia" w:hAnsi="Georgia"/>
          <w:lang w:val="es-CO"/>
        </w:rPr>
        <w:t xml:space="preserve">la </w:t>
      </w:r>
      <w:r w:rsidR="00154F2B">
        <w:rPr>
          <w:rFonts w:ascii="Georgia" w:hAnsi="Georgia"/>
          <w:lang w:val="es-CO"/>
        </w:rPr>
        <w:t>decisión de</w:t>
      </w:r>
      <w:r w:rsidR="00F17547">
        <w:rPr>
          <w:rFonts w:ascii="Georgia" w:hAnsi="Georgia"/>
          <w:lang w:val="es-CO"/>
        </w:rPr>
        <w:t xml:space="preserve">l 15-05-2017, </w:t>
      </w:r>
      <w:r w:rsidR="00B63A33">
        <w:rPr>
          <w:rFonts w:ascii="Georgia" w:hAnsi="Georgia"/>
          <w:lang w:val="es-CO"/>
        </w:rPr>
        <w:t xml:space="preserve">que se encuentra en </w:t>
      </w:r>
      <w:r w:rsidR="00BB0526">
        <w:rPr>
          <w:rFonts w:ascii="Georgia" w:hAnsi="Georgia"/>
          <w:lang w:val="es-CO"/>
        </w:rPr>
        <w:t>firme</w:t>
      </w:r>
      <w:r>
        <w:rPr>
          <w:rFonts w:ascii="Georgia" w:hAnsi="Georgia"/>
          <w:lang w:val="es-CO"/>
        </w:rPr>
        <w:t xml:space="preserve">, </w:t>
      </w:r>
      <w:r w:rsidR="00025F06">
        <w:rPr>
          <w:rFonts w:ascii="Georgia" w:hAnsi="Georgia"/>
          <w:lang w:val="es-CO"/>
        </w:rPr>
        <w:t>ya que no la recurrió</w:t>
      </w:r>
      <w:r w:rsidR="00BB0526">
        <w:rPr>
          <w:rFonts w:ascii="Georgia" w:hAnsi="Georgia"/>
          <w:lang w:val="es-CO"/>
        </w:rPr>
        <w:t>.</w:t>
      </w:r>
      <w:r>
        <w:rPr>
          <w:rFonts w:ascii="Georgia" w:hAnsi="Georgia"/>
          <w:lang w:val="es-CO"/>
        </w:rPr>
        <w:t xml:space="preserve"> El único auto que recurrió fue </w:t>
      </w:r>
      <w:r w:rsidR="00B63A33">
        <w:rPr>
          <w:rFonts w:ascii="Georgia" w:hAnsi="Georgia"/>
          <w:lang w:val="es-CO"/>
        </w:rPr>
        <w:t xml:space="preserve">el </w:t>
      </w:r>
      <w:r>
        <w:rPr>
          <w:rFonts w:ascii="Georgia" w:hAnsi="Georgia"/>
          <w:lang w:val="es-CO"/>
        </w:rPr>
        <w:t>denegatorio del desistimiento, mas solo discutió que no haya sido aceptado.</w:t>
      </w:r>
      <w:r w:rsidR="00B63A33">
        <w:rPr>
          <w:rFonts w:ascii="Georgia" w:hAnsi="Georgia"/>
          <w:lang w:val="es-CO"/>
        </w:rPr>
        <w:t xml:space="preserve"> </w:t>
      </w:r>
    </w:p>
    <w:p w:rsidR="00025F06" w:rsidRDefault="00025F06" w:rsidP="00447C7B">
      <w:pPr>
        <w:widowControl/>
        <w:spacing w:line="360" w:lineRule="auto"/>
        <w:jc w:val="both"/>
        <w:rPr>
          <w:rFonts w:ascii="Georgia" w:hAnsi="Georgia"/>
          <w:lang w:val="es-CO"/>
        </w:rPr>
      </w:pPr>
    </w:p>
    <w:p w:rsidR="00C74846" w:rsidRPr="00DB39AD" w:rsidRDefault="00025F06" w:rsidP="00025F06">
      <w:pPr>
        <w:widowControl/>
        <w:spacing w:line="360" w:lineRule="auto"/>
        <w:jc w:val="both"/>
        <w:rPr>
          <w:rFonts w:ascii="Georgia" w:hAnsi="Georgia" w:cs="Arial"/>
        </w:rPr>
      </w:pPr>
      <w:r>
        <w:rPr>
          <w:rFonts w:ascii="Georgia" w:hAnsi="Georgia"/>
          <w:lang w:val="es-CO"/>
        </w:rPr>
        <w:t xml:space="preserve">No cabe duda que en </w:t>
      </w:r>
      <w:r w:rsidR="00B63A33">
        <w:rPr>
          <w:rFonts w:ascii="Georgia" w:hAnsi="Georgia"/>
          <w:lang w:val="es-CO"/>
        </w:rPr>
        <w:t xml:space="preserve">sus memoriales invoca el </w:t>
      </w:r>
      <w:r w:rsidR="00B63A33" w:rsidRPr="00B63A33">
        <w:rPr>
          <w:rFonts w:ascii="Georgia" w:hAnsi="Georgia"/>
          <w:i/>
          <w:lang w:val="es-CO"/>
        </w:rPr>
        <w:t>“impulso oficioso”</w:t>
      </w:r>
      <w:r w:rsidR="00B63A33">
        <w:rPr>
          <w:rFonts w:ascii="Georgia" w:hAnsi="Georgia"/>
          <w:lang w:val="es-CO"/>
        </w:rPr>
        <w:t xml:space="preserve">, </w:t>
      </w:r>
      <w:r>
        <w:rPr>
          <w:rFonts w:ascii="Georgia" w:hAnsi="Georgia"/>
          <w:lang w:val="es-CO"/>
        </w:rPr>
        <w:t xml:space="preserve">pero </w:t>
      </w:r>
      <w:r w:rsidR="00B63A33">
        <w:rPr>
          <w:rFonts w:ascii="Georgia" w:hAnsi="Georgia"/>
          <w:lang w:val="es-CO"/>
        </w:rPr>
        <w:t>lo cierto es que se trata de escritos ambiguos</w:t>
      </w:r>
      <w:r w:rsidR="00414EDA">
        <w:rPr>
          <w:rFonts w:ascii="Georgia" w:hAnsi="Georgia"/>
          <w:lang w:val="es-CO"/>
        </w:rPr>
        <w:t xml:space="preserve"> </w:t>
      </w:r>
      <w:r w:rsidR="00B63A33">
        <w:rPr>
          <w:rFonts w:ascii="Georgia" w:hAnsi="Georgia"/>
          <w:lang w:val="es-CO"/>
        </w:rPr>
        <w:t xml:space="preserve">que </w:t>
      </w:r>
      <w:r w:rsidR="00414EDA">
        <w:rPr>
          <w:rFonts w:ascii="Georgia" w:hAnsi="Georgia"/>
          <w:lang w:val="es-CO"/>
        </w:rPr>
        <w:t xml:space="preserve">impiden esclarecer </w:t>
      </w:r>
      <w:r>
        <w:rPr>
          <w:rFonts w:ascii="Georgia" w:hAnsi="Georgia"/>
          <w:lang w:val="es-CO"/>
        </w:rPr>
        <w:t>cuáles son las actuaciones dejadas de realizar;</w:t>
      </w:r>
      <w:r w:rsidR="00B63A33">
        <w:rPr>
          <w:rFonts w:ascii="Georgia" w:hAnsi="Georgia"/>
          <w:lang w:val="es-CO"/>
        </w:rPr>
        <w:t xml:space="preserve"> no obstante, si propenden </w:t>
      </w:r>
      <w:r>
        <w:rPr>
          <w:rFonts w:ascii="Georgia" w:hAnsi="Georgia"/>
          <w:lang w:val="es-CO"/>
        </w:rPr>
        <w:t xml:space="preserve">a que el juzgado </w:t>
      </w:r>
      <w:r w:rsidR="00B63A33">
        <w:rPr>
          <w:rFonts w:ascii="Georgia" w:hAnsi="Georgia"/>
          <w:lang w:val="es-CO"/>
        </w:rPr>
        <w:t xml:space="preserve">de oficio </w:t>
      </w:r>
      <w:r>
        <w:rPr>
          <w:rFonts w:ascii="Georgia" w:hAnsi="Georgia"/>
          <w:lang w:val="es-CO"/>
        </w:rPr>
        <w:t xml:space="preserve">ejecute las </w:t>
      </w:r>
      <w:r w:rsidR="00B63A33">
        <w:rPr>
          <w:rFonts w:ascii="Georgia" w:hAnsi="Georgia"/>
          <w:lang w:val="es-CO"/>
        </w:rPr>
        <w:t>diligencias</w:t>
      </w:r>
      <w:r>
        <w:rPr>
          <w:rFonts w:ascii="Georgia" w:hAnsi="Georgia"/>
          <w:lang w:val="es-CO"/>
        </w:rPr>
        <w:t xml:space="preserve"> impuestas al accionante (Notificación y aviso)</w:t>
      </w:r>
      <w:r w:rsidR="00B63A33">
        <w:rPr>
          <w:rFonts w:ascii="Georgia" w:hAnsi="Georgia"/>
          <w:lang w:val="es-CO"/>
        </w:rPr>
        <w:t xml:space="preserve">, </w:t>
      </w:r>
      <w:r>
        <w:rPr>
          <w:rFonts w:ascii="Georgia" w:hAnsi="Georgia"/>
          <w:lang w:val="es-CO"/>
        </w:rPr>
        <w:t xml:space="preserve">se evidencia, entonces, el incumplimiento del presupuesto de la subsidiariedad, pues </w:t>
      </w:r>
      <w:r w:rsidR="00C74846" w:rsidRPr="00DB39AD">
        <w:rPr>
          <w:rFonts w:ascii="Georgia" w:hAnsi="Georgia" w:cs="Arial"/>
        </w:rPr>
        <w:t>pretermitió agotar el recurso de reposición frente a</w:t>
      </w:r>
      <w:r w:rsidR="00C74846">
        <w:rPr>
          <w:rFonts w:ascii="Georgia" w:hAnsi="Georgia" w:cs="Arial"/>
        </w:rPr>
        <w:t xml:space="preserve">l proveído </w:t>
      </w:r>
      <w:proofErr w:type="spellStart"/>
      <w:r>
        <w:rPr>
          <w:rFonts w:ascii="Georgia" w:hAnsi="Georgia" w:cs="Arial"/>
        </w:rPr>
        <w:t>admisorio</w:t>
      </w:r>
      <w:proofErr w:type="spellEnd"/>
      <w:r>
        <w:rPr>
          <w:rFonts w:ascii="Georgia" w:hAnsi="Georgia" w:cs="Arial"/>
        </w:rPr>
        <w:t xml:space="preserve"> de la acción (Folio 14, ib.) </w:t>
      </w:r>
      <w:r w:rsidR="00C74846" w:rsidRPr="00DB39AD">
        <w:rPr>
          <w:rFonts w:ascii="Georgia" w:hAnsi="Georgia" w:cs="Arial"/>
        </w:rPr>
        <w:t>(Artículo 36, Ley 472), cuando ese era el mecanismo ordinario y expedito que tenía para que el estrado judicial reconsiderara su</w:t>
      </w:r>
      <w:r w:rsidR="00C74846">
        <w:rPr>
          <w:rFonts w:ascii="Georgia" w:hAnsi="Georgia" w:cs="Arial"/>
        </w:rPr>
        <w:t>s</w:t>
      </w:r>
      <w:r w:rsidR="00C74846" w:rsidRPr="00DB39AD">
        <w:rPr>
          <w:rFonts w:ascii="Georgia" w:hAnsi="Georgia" w:cs="Arial"/>
        </w:rPr>
        <w:t xml:space="preserve"> decisi</w:t>
      </w:r>
      <w:r w:rsidR="00C74846">
        <w:rPr>
          <w:rFonts w:ascii="Georgia" w:hAnsi="Georgia" w:cs="Arial"/>
        </w:rPr>
        <w:t>ones</w:t>
      </w:r>
      <w:r w:rsidR="00C74846" w:rsidRPr="00DB39AD">
        <w:rPr>
          <w:rFonts w:ascii="Georgia" w:hAnsi="Georgia" w:cs="Arial"/>
        </w:rPr>
        <w:t>. Al respecto ha dicho la CSJ</w:t>
      </w:r>
      <w:r w:rsidR="00C74846" w:rsidRPr="00DB39AD">
        <w:rPr>
          <w:rStyle w:val="Appelnotedebasdep"/>
          <w:rFonts w:ascii="Georgia" w:hAnsi="Georgia"/>
        </w:rPr>
        <w:footnoteReference w:id="16"/>
      </w:r>
      <w:r w:rsidR="00C74846" w:rsidRPr="00DB39AD">
        <w:rPr>
          <w:rFonts w:ascii="Georgia" w:hAnsi="Georgia" w:cs="Arial"/>
        </w:rPr>
        <w:t xml:space="preserve">: </w:t>
      </w:r>
    </w:p>
    <w:p w:rsidR="00C74846" w:rsidRPr="00414EDA" w:rsidRDefault="00C74846" w:rsidP="00C74846">
      <w:pPr>
        <w:spacing w:line="360" w:lineRule="auto"/>
        <w:jc w:val="both"/>
        <w:rPr>
          <w:rFonts w:ascii="Georgia" w:hAnsi="Georgia" w:cs="Arial"/>
        </w:rPr>
      </w:pPr>
    </w:p>
    <w:p w:rsidR="00C74846" w:rsidRPr="005C7E66" w:rsidRDefault="00C74846" w:rsidP="00C74846">
      <w:pPr>
        <w:ind w:left="709" w:right="618"/>
        <w:jc w:val="both"/>
        <w:rPr>
          <w:rFonts w:ascii="Georgia" w:hAnsi="Georgia" w:cs="Arial"/>
          <w:bCs/>
          <w:sz w:val="28"/>
          <w:szCs w:val="28"/>
          <w:lang w:eastAsia="x-none"/>
        </w:rPr>
      </w:pPr>
      <w:r w:rsidRPr="00DB39AD">
        <w:rPr>
          <w:rFonts w:ascii="Georgia" w:hAnsi="Georgia" w:cs="Arial"/>
          <w:bCs/>
          <w:lang w:eastAsia="x-none"/>
        </w:rPr>
        <w:t xml:space="preserve">…y,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w:t>
      </w:r>
      <w:r w:rsidRPr="00DB39AD">
        <w:rPr>
          <w:rFonts w:ascii="Georgia" w:hAnsi="Georgia" w:cs="Arial"/>
          <w:bCs/>
          <w:lang w:eastAsia="x-none"/>
        </w:rPr>
        <w:lastRenderedPageBreak/>
        <w:t>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C74846" w:rsidRPr="00414EDA" w:rsidRDefault="00C74846" w:rsidP="00C74846">
      <w:pPr>
        <w:spacing w:line="360" w:lineRule="auto"/>
        <w:ind w:right="51"/>
        <w:jc w:val="both"/>
        <w:rPr>
          <w:rFonts w:ascii="Georgia" w:hAnsi="Georgia" w:cs="Arial"/>
          <w:sz w:val="28"/>
          <w:lang w:val="es-ES_tradnl"/>
        </w:rPr>
      </w:pPr>
    </w:p>
    <w:p w:rsidR="00C74846" w:rsidRDefault="00025F06" w:rsidP="00C74846">
      <w:pPr>
        <w:spacing w:line="360" w:lineRule="auto"/>
        <w:ind w:right="51"/>
        <w:jc w:val="both"/>
        <w:rPr>
          <w:rFonts w:ascii="Georgia" w:hAnsi="Georgia" w:cs="Arial"/>
        </w:rPr>
      </w:pPr>
      <w:r>
        <w:rPr>
          <w:rFonts w:ascii="Georgia" w:hAnsi="Georgia" w:cs="Arial"/>
          <w:lang w:val="es-ES_tradnl"/>
        </w:rPr>
        <w:t xml:space="preserve">Así las cosas, es evidente </w:t>
      </w:r>
      <w:r w:rsidR="00C74846" w:rsidRPr="00DB39AD">
        <w:rPr>
          <w:rFonts w:ascii="Georgia" w:hAnsi="Georgia" w:cs="Arial"/>
          <w:lang w:val="es-ES_tradnl"/>
        </w:rPr>
        <w:t xml:space="preserve">la falta de agotamiento del supuesto de subsidiariedad, como ha explicado </w:t>
      </w:r>
      <w:r w:rsidR="00C74846" w:rsidRPr="00DB39AD">
        <w:rPr>
          <w:rFonts w:ascii="Georgia" w:hAnsi="Georgia"/>
        </w:rPr>
        <w:t>la CC, que reiteradamente ha referido que la acción de tutela mal puede implementarse como medio para sustituir los mecanismos ordinarios de defensa, cuando por negligencia, descuido o incuria no fueron utilizados</w:t>
      </w:r>
      <w:r w:rsidR="00C74846" w:rsidRPr="00DB39AD">
        <w:rPr>
          <w:rStyle w:val="Appelnotedebasdep"/>
          <w:rFonts w:ascii="Georgia" w:hAnsi="Georgia"/>
        </w:rPr>
        <w:footnoteReference w:id="17"/>
      </w:r>
      <w:r w:rsidR="00C74846" w:rsidRPr="00DB39AD">
        <w:rPr>
          <w:rFonts w:ascii="Georgia" w:hAnsi="Georgia" w:cs="Arial"/>
          <w:sz w:val="22"/>
          <w:szCs w:val="22"/>
        </w:rPr>
        <w:t>.</w:t>
      </w:r>
      <w:r w:rsidR="00C74846" w:rsidRPr="00DB39AD">
        <w:rPr>
          <w:rFonts w:ascii="Georgia" w:hAnsi="Georgia" w:cs="Arial"/>
        </w:rPr>
        <w:t xml:space="preserve"> </w:t>
      </w:r>
    </w:p>
    <w:p w:rsidR="00614E2A" w:rsidRPr="00DB39AD" w:rsidRDefault="00614E2A" w:rsidP="00C74846">
      <w:pPr>
        <w:spacing w:line="360" w:lineRule="auto"/>
        <w:ind w:right="51"/>
        <w:jc w:val="both"/>
        <w:rPr>
          <w:rFonts w:ascii="Georgia" w:hAnsi="Georgia" w:cs="Arial"/>
        </w:rPr>
      </w:pPr>
    </w:p>
    <w:p w:rsidR="00C74846" w:rsidRPr="00DB39AD" w:rsidRDefault="00C74846" w:rsidP="00C74846">
      <w:pPr>
        <w:spacing w:line="360" w:lineRule="auto"/>
        <w:ind w:right="51"/>
        <w:jc w:val="both"/>
        <w:rPr>
          <w:rFonts w:ascii="Georgia" w:hAnsi="Georgia"/>
        </w:rPr>
      </w:pPr>
      <w:r w:rsidRPr="00DB39AD">
        <w:rPr>
          <w:rFonts w:ascii="Georgia" w:hAnsi="Georgia"/>
        </w:rPr>
        <w:t xml:space="preserve">Cabe acotar que nada se arguyó y menos acreditó por parte del accionante, de forma que pudiera estimarse </w:t>
      </w:r>
      <w:r w:rsidRPr="00DB39AD">
        <w:rPr>
          <w:rFonts w:ascii="Georgia" w:hAnsi="Georgia" w:cs="Arial"/>
          <w:bCs/>
          <w:szCs w:val="22"/>
          <w:lang w:val="es-CO"/>
        </w:rPr>
        <w:t>que es una persona que requiere de protección reforzada</w:t>
      </w:r>
      <w:r w:rsidRPr="00DB39AD">
        <w:rPr>
          <w:rStyle w:val="Appelnotedebasdep"/>
          <w:rFonts w:ascii="Georgia" w:hAnsi="Georgia"/>
          <w:bCs/>
          <w:szCs w:val="22"/>
          <w:lang w:val="es-CO"/>
        </w:rPr>
        <w:footnoteReference w:id="18"/>
      </w:r>
      <w:r w:rsidRPr="00DB39AD">
        <w:rPr>
          <w:rFonts w:ascii="Georgia" w:hAnsi="Georgia" w:cs="Arial"/>
          <w:bCs/>
          <w:szCs w:val="22"/>
          <w:lang w:val="es-CO"/>
        </w:rPr>
        <w:t xml:space="preserve"> o que estaba en una situación de imposibilidad para recurrir los mencionados autos</w:t>
      </w:r>
      <w:r w:rsidRPr="00DB39AD">
        <w:rPr>
          <w:rStyle w:val="Appelnotedebasdep"/>
          <w:rFonts w:ascii="Georgia" w:hAnsi="Georgia"/>
          <w:bCs/>
          <w:szCs w:val="22"/>
          <w:lang w:val="es-CO"/>
        </w:rPr>
        <w:footnoteReference w:id="19"/>
      </w:r>
      <w:r w:rsidRPr="00DB39AD">
        <w:rPr>
          <w:rFonts w:ascii="Georgia" w:hAnsi="Georgia" w:cs="Arial"/>
          <w:bCs/>
          <w:szCs w:val="22"/>
          <w:lang w:val="es-CO"/>
        </w:rPr>
        <w:t xml:space="preserve">, de tal modo que amerite un análisis flexible del requisito de procedibilidad echado de menos, </w:t>
      </w:r>
      <w:r w:rsidRPr="00DB39AD">
        <w:rPr>
          <w:rFonts w:ascii="Georgia" w:hAnsi="Georgia"/>
        </w:rPr>
        <w:t>por ende solo a la parte le es imputable tal descuido.</w:t>
      </w:r>
    </w:p>
    <w:p w:rsidR="00C74846" w:rsidRPr="00025F06" w:rsidRDefault="00C74846" w:rsidP="00C74846">
      <w:pPr>
        <w:spacing w:line="360" w:lineRule="auto"/>
        <w:ind w:right="51"/>
        <w:jc w:val="both"/>
        <w:rPr>
          <w:rFonts w:ascii="Georgia" w:hAnsi="Georgia"/>
          <w:sz w:val="22"/>
        </w:rPr>
      </w:pPr>
      <w:bookmarkStart w:id="0" w:name="_GoBack"/>
      <w:bookmarkEnd w:id="0"/>
    </w:p>
    <w:p w:rsidR="00C74846" w:rsidRDefault="00C74846" w:rsidP="00C74846">
      <w:pPr>
        <w:spacing w:line="360" w:lineRule="auto"/>
        <w:ind w:right="51"/>
        <w:jc w:val="both"/>
        <w:rPr>
          <w:rFonts w:ascii="Georgia" w:hAnsi="Georgia" w:cs="Arial"/>
          <w:lang w:val="es-ES_tradnl"/>
        </w:rPr>
      </w:pPr>
      <w:r w:rsidRPr="00DB39AD">
        <w:rPr>
          <w:rFonts w:ascii="Georgia" w:hAnsi="Georgia" w:cs="Arial"/>
          <w:lang w:val="es-ES_tradnl"/>
        </w:rPr>
        <w:t xml:space="preserve">En ese contexto, el presente amparo es improcedente toda vez que se incumple con uno </w:t>
      </w:r>
    </w:p>
    <w:p w:rsidR="00C74846" w:rsidRDefault="00C74846" w:rsidP="00C74846">
      <w:pPr>
        <w:spacing w:line="360" w:lineRule="auto"/>
        <w:ind w:right="51"/>
        <w:jc w:val="both"/>
        <w:rPr>
          <w:rFonts w:ascii="Georgia" w:hAnsi="Georgia" w:cs="Arial"/>
          <w:lang w:val="es-ES_tradnl"/>
        </w:rPr>
      </w:pPr>
      <w:r w:rsidRPr="00DB39AD">
        <w:rPr>
          <w:rFonts w:ascii="Georgia" w:hAnsi="Georgia" w:cs="Arial"/>
          <w:lang w:val="es-ES_tradnl"/>
        </w:rPr>
        <w:t>de los siete (7) requisitos generales de procedibilidad, dado que no se agot</w:t>
      </w:r>
      <w:r>
        <w:rPr>
          <w:rFonts w:ascii="Georgia" w:hAnsi="Georgia" w:cs="Arial"/>
          <w:lang w:val="es-ES_tradnl"/>
        </w:rPr>
        <w:t xml:space="preserve">ó el </w:t>
      </w:r>
      <w:r w:rsidRPr="00DB39AD">
        <w:rPr>
          <w:rFonts w:ascii="Georgia" w:hAnsi="Georgia" w:cs="Arial"/>
          <w:lang w:val="es-ES_tradnl"/>
        </w:rPr>
        <w:t>recurso de reposición.</w:t>
      </w:r>
    </w:p>
    <w:p w:rsidR="00C74846" w:rsidRPr="00B33A0F" w:rsidRDefault="00C74846" w:rsidP="00C74846">
      <w:pPr>
        <w:spacing w:line="360" w:lineRule="auto"/>
        <w:jc w:val="both"/>
        <w:rPr>
          <w:rFonts w:ascii="Georgia" w:hAnsi="Georgia" w:cs="Arial"/>
          <w:sz w:val="20"/>
        </w:rPr>
      </w:pPr>
    </w:p>
    <w:p w:rsidR="00C74846" w:rsidRDefault="00C74846" w:rsidP="00C74846">
      <w:pPr>
        <w:pStyle w:val="Corpsdetex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025F06" w:rsidRDefault="00D61DEB" w:rsidP="00D61DEB">
      <w:pPr>
        <w:pStyle w:val="Corpsdetexte"/>
        <w:spacing w:line="360" w:lineRule="auto"/>
        <w:ind w:left="400"/>
        <w:rPr>
          <w:rFonts w:ascii="Georgia" w:hAnsi="Georgia"/>
          <w:sz w:val="22"/>
          <w:szCs w:val="24"/>
        </w:rPr>
      </w:pPr>
    </w:p>
    <w:p w:rsidR="00C74846" w:rsidRPr="00B33A0F" w:rsidRDefault="00C74846" w:rsidP="00C74846">
      <w:pPr>
        <w:pStyle w:val="Corpsdetexte"/>
        <w:spacing w:line="360" w:lineRule="auto"/>
        <w:rPr>
          <w:rFonts w:ascii="Georgia" w:hAnsi="Georgia" w:cs="Arial"/>
          <w:szCs w:val="24"/>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el </w:t>
      </w:r>
      <w:r w:rsidRPr="00B33A0F">
        <w:rPr>
          <w:rFonts w:ascii="Georgia" w:hAnsi="Georgia" w:cs="Arial"/>
          <w:szCs w:val="24"/>
          <w:lang w:val="es-ES"/>
        </w:rPr>
        <w:t xml:space="preserve">amparo constitucional frente al Juzgado </w:t>
      </w:r>
      <w:r>
        <w:rPr>
          <w:rFonts w:ascii="Georgia" w:hAnsi="Georgia" w:cs="Arial"/>
          <w:szCs w:val="24"/>
          <w:lang w:val="es-ES"/>
        </w:rPr>
        <w:t xml:space="preserve">Cuarto </w:t>
      </w:r>
      <w:r w:rsidRPr="00B33A0F">
        <w:rPr>
          <w:rFonts w:ascii="Georgia" w:hAnsi="Georgia" w:cs="Arial"/>
          <w:szCs w:val="24"/>
          <w:lang w:val="es-ES"/>
        </w:rPr>
        <w:t>Civil del Circuito de Pereira.</w:t>
      </w:r>
    </w:p>
    <w:p w:rsidR="00C74846" w:rsidRPr="00025F06" w:rsidRDefault="00C74846" w:rsidP="00C74846">
      <w:pPr>
        <w:pStyle w:val="Corpsdetexte"/>
        <w:tabs>
          <w:tab w:val="clear" w:pos="708"/>
        </w:tabs>
        <w:spacing w:line="360" w:lineRule="auto"/>
        <w:rPr>
          <w:rFonts w:ascii="Georgia" w:hAnsi="Georgia" w:cs="Arial"/>
          <w:sz w:val="22"/>
          <w:szCs w:val="24"/>
          <w:lang w:val="es-CO"/>
        </w:rPr>
      </w:pPr>
    </w:p>
    <w:p w:rsidR="00C74846" w:rsidRPr="00B33A0F" w:rsidRDefault="00C74846" w:rsidP="00C74846">
      <w:pPr>
        <w:tabs>
          <w:tab w:val="left" w:pos="-720"/>
        </w:tabs>
        <w:suppressAutoHyphens/>
        <w:spacing w:line="360" w:lineRule="auto"/>
        <w:jc w:val="both"/>
        <w:rPr>
          <w:rFonts w:ascii="Georgia" w:hAnsi="Georgia" w:cs="Arial"/>
        </w:rPr>
      </w:pPr>
      <w:r w:rsidRPr="00B33A0F">
        <w:rPr>
          <w:rFonts w:ascii="Georgia" w:hAnsi="Georgia" w:cs="Arial"/>
        </w:rPr>
        <w:t xml:space="preserve">En mérito de lo expuesto, el </w:t>
      </w:r>
      <w:r w:rsidRPr="00B33A0F">
        <w:rPr>
          <w:rFonts w:ascii="Georgia" w:hAnsi="Georgia" w:cs="Arial"/>
          <w:bCs/>
          <w:smallCaps/>
        </w:rPr>
        <w:t>Tribunal Superior del Distrito Judicial de Pereira, Risaralda, Sala de Decisión Civil - Familia</w:t>
      </w:r>
      <w:r w:rsidRPr="00B33A0F">
        <w:rPr>
          <w:rFonts w:ascii="Georgia" w:hAnsi="Georgia" w:cs="Arial"/>
        </w:rPr>
        <w:t>, administrando Justicia, en nombre de la República y por autoridad de la Ley,</w:t>
      </w:r>
    </w:p>
    <w:p w:rsidR="00C74846" w:rsidRPr="00B33A0F" w:rsidRDefault="00C74846" w:rsidP="00C74846">
      <w:pPr>
        <w:tabs>
          <w:tab w:val="left" w:pos="-720"/>
        </w:tabs>
        <w:suppressAutoHyphens/>
        <w:spacing w:line="360" w:lineRule="auto"/>
        <w:jc w:val="both"/>
        <w:rPr>
          <w:rFonts w:ascii="Georgia" w:hAnsi="Georgia" w:cs="Arial"/>
          <w:sz w:val="4"/>
        </w:rPr>
      </w:pPr>
    </w:p>
    <w:p w:rsidR="00C74846" w:rsidRPr="00B33A0F" w:rsidRDefault="00C74846" w:rsidP="00C74846">
      <w:pPr>
        <w:pStyle w:val="Corpsdetexte"/>
        <w:spacing w:line="360" w:lineRule="auto"/>
        <w:jc w:val="center"/>
        <w:rPr>
          <w:rFonts w:ascii="Georgia" w:hAnsi="Georgia" w:cs="Arial"/>
          <w:bCs/>
          <w:smallCaps/>
          <w:szCs w:val="24"/>
        </w:rPr>
      </w:pPr>
      <w:r w:rsidRPr="00B33A0F">
        <w:rPr>
          <w:rFonts w:ascii="Georgia" w:hAnsi="Georgia" w:cs="Arial"/>
          <w:bCs/>
          <w:smallCaps/>
          <w:szCs w:val="24"/>
        </w:rPr>
        <w:t xml:space="preserve">F A L </w:t>
      </w:r>
      <w:proofErr w:type="spellStart"/>
      <w:r w:rsidRPr="00B33A0F">
        <w:rPr>
          <w:rFonts w:ascii="Georgia" w:hAnsi="Georgia" w:cs="Arial"/>
          <w:bCs/>
          <w:smallCaps/>
          <w:szCs w:val="24"/>
        </w:rPr>
        <w:t>L</w:t>
      </w:r>
      <w:proofErr w:type="spellEnd"/>
      <w:r w:rsidRPr="00B33A0F">
        <w:rPr>
          <w:rFonts w:ascii="Georgia" w:hAnsi="Georgia" w:cs="Arial"/>
          <w:bCs/>
          <w:smallCaps/>
          <w:szCs w:val="24"/>
        </w:rPr>
        <w:t xml:space="preserve"> A,</w:t>
      </w:r>
    </w:p>
    <w:p w:rsidR="00C74846" w:rsidRPr="00025F06" w:rsidRDefault="00C74846" w:rsidP="00C748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Georgia" w:hAnsi="Georgia" w:cs="Arial"/>
          <w:smallCaps/>
          <w:spacing w:val="-3"/>
          <w:sz w:val="22"/>
          <w:lang w:val="es-ES_tradnl"/>
        </w:rPr>
      </w:pPr>
    </w:p>
    <w:p w:rsidR="00C74846" w:rsidRPr="00B33A0F" w:rsidRDefault="00C74846" w:rsidP="00C748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 por el señor </w:t>
      </w:r>
      <w:r w:rsidR="00D61DEB">
        <w:rPr>
          <w:rFonts w:ascii="Georgia" w:hAnsi="Georgia" w:cs="Arial"/>
        </w:rPr>
        <w:t xml:space="preserve">Javier Elías Arias </w:t>
      </w:r>
      <w:proofErr w:type="spellStart"/>
      <w:r w:rsidR="00D61DEB">
        <w:rPr>
          <w:rFonts w:ascii="Georgia" w:hAnsi="Georgia" w:cs="Arial"/>
        </w:rPr>
        <w:t>Idárraga</w:t>
      </w:r>
      <w:proofErr w:type="spellEnd"/>
      <w:r w:rsidRPr="00B33A0F">
        <w:rPr>
          <w:rFonts w:ascii="Georgia" w:hAnsi="Georgia" w:cs="Arial"/>
        </w:rPr>
        <w:t xml:space="preserve"> contra el Juzgado</w:t>
      </w:r>
      <w:r>
        <w:rPr>
          <w:rFonts w:ascii="Georgia" w:hAnsi="Georgia" w:cs="Arial"/>
        </w:rPr>
        <w:t xml:space="preserve"> Cuarto </w:t>
      </w:r>
      <w:r w:rsidRPr="00B33A0F">
        <w:rPr>
          <w:rFonts w:ascii="Georgia" w:hAnsi="Georgia" w:cs="Arial"/>
        </w:rPr>
        <w:t>Civil del Circuito de Pereira.</w:t>
      </w:r>
    </w:p>
    <w:p w:rsidR="00C74846" w:rsidRPr="00025F06" w:rsidRDefault="00C74846" w:rsidP="00C74846">
      <w:pPr>
        <w:pStyle w:val="Corpsdetexte"/>
        <w:tabs>
          <w:tab w:val="clear" w:pos="708"/>
        </w:tabs>
        <w:spacing w:line="360" w:lineRule="auto"/>
        <w:rPr>
          <w:rFonts w:ascii="Georgia" w:hAnsi="Georgia" w:cs="Arial"/>
          <w:sz w:val="22"/>
          <w:szCs w:val="24"/>
        </w:rPr>
      </w:pPr>
    </w:p>
    <w:p w:rsidR="00C74846" w:rsidRPr="00B33A0F" w:rsidRDefault="00C74846" w:rsidP="00C748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C74846" w:rsidRPr="00025F06" w:rsidRDefault="00C74846" w:rsidP="00C7484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2"/>
        </w:rPr>
      </w:pPr>
    </w:p>
    <w:p w:rsidR="00C74846" w:rsidRPr="00B33A0F" w:rsidRDefault="00C74846" w:rsidP="00C74846">
      <w:pPr>
        <w:pStyle w:val="Corpsdetex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C74846" w:rsidRPr="00025F06" w:rsidRDefault="00C74846" w:rsidP="00C74846">
      <w:pPr>
        <w:pStyle w:val="Corpsdetexte"/>
        <w:tabs>
          <w:tab w:val="clear" w:pos="708"/>
        </w:tabs>
        <w:spacing w:line="360" w:lineRule="auto"/>
        <w:rPr>
          <w:rFonts w:ascii="Georgia" w:hAnsi="Georgia" w:cs="Arial"/>
          <w:sz w:val="22"/>
          <w:szCs w:val="24"/>
          <w:lang w:val="es-CO"/>
        </w:rPr>
      </w:pPr>
    </w:p>
    <w:p w:rsidR="00C74846" w:rsidRPr="00B33A0F" w:rsidRDefault="00C74846" w:rsidP="00C74846">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B33A0F">
        <w:rPr>
          <w:rFonts w:ascii="Georgia" w:hAnsi="Georgia" w:cs="Arial"/>
        </w:rPr>
        <w:t>ORDENAR el archivo del expediente, surtidos los trámites anteriores.</w:t>
      </w:r>
    </w:p>
    <w:p w:rsidR="00C74846" w:rsidRPr="00025F06" w:rsidRDefault="00C74846" w:rsidP="00C74846">
      <w:pPr>
        <w:pStyle w:val="Paragraphedeliste"/>
        <w:spacing w:line="360" w:lineRule="auto"/>
        <w:ind w:left="360" w:right="51"/>
        <w:jc w:val="both"/>
        <w:rPr>
          <w:rFonts w:ascii="Georgia" w:hAnsi="Georgia"/>
          <w:sz w:val="22"/>
        </w:rPr>
      </w:pPr>
    </w:p>
    <w:p w:rsidR="00B30152" w:rsidRPr="00550CA7" w:rsidRDefault="00126266" w:rsidP="00417DA5">
      <w:pPr>
        <w:pStyle w:val="Corpsdetexte"/>
        <w:spacing w:line="360" w:lineRule="auto"/>
        <w:jc w:val="center"/>
        <w:rPr>
          <w:rFonts w:ascii="Georgia" w:hAnsi="Georgia"/>
          <w:smallCaps/>
          <w:szCs w:val="24"/>
          <w:lang w:val="en-US"/>
        </w:rPr>
      </w:pPr>
      <w:proofErr w:type="spellStart"/>
      <w:r w:rsidRPr="00550CA7">
        <w:rPr>
          <w:rFonts w:ascii="Georgia" w:hAnsi="Georgia"/>
          <w:smallCaps/>
          <w:szCs w:val="24"/>
          <w:lang w:val="en-US"/>
        </w:rPr>
        <w:t>Notifíquese</w:t>
      </w:r>
      <w:proofErr w:type="spellEnd"/>
      <w:r w:rsidRPr="00550CA7">
        <w:rPr>
          <w:rFonts w:ascii="Georgia" w:hAnsi="Georgia"/>
          <w:smallCaps/>
          <w:szCs w:val="24"/>
          <w:lang w:val="en-US"/>
        </w:rPr>
        <w:t>,</w:t>
      </w:r>
    </w:p>
    <w:p w:rsidR="00025F06" w:rsidRDefault="00025F0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025F06" w:rsidRPr="00025F06" w:rsidRDefault="00025F0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/LSCL</w:t>
      </w:r>
      <w:r w:rsidR="00E606C4" w:rsidRPr="009110AB">
        <w:rPr>
          <w:rFonts w:ascii="Georgia" w:hAnsi="Georgia"/>
          <w:w w:val="150"/>
          <w:sz w:val="10"/>
          <w:szCs w:val="10"/>
          <w:lang w:val="en-US"/>
        </w:rPr>
        <w:t>/</w:t>
      </w:r>
      <w:r w:rsidR="00081FDD" w:rsidRPr="009110AB">
        <w:rPr>
          <w:rFonts w:ascii="Georgia" w:hAnsi="Georgia"/>
          <w:w w:val="150"/>
          <w:sz w:val="10"/>
          <w:szCs w:val="10"/>
          <w:lang w:val="en-US"/>
        </w:rPr>
        <w:t>2017</w:t>
      </w:r>
    </w:p>
    <w:sectPr w:rsidR="00E606C4" w:rsidRPr="00AD7B0C" w:rsidSect="00F96624">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2D" w:rsidRDefault="00930A2D" w:rsidP="0099045D">
      <w:r>
        <w:separator/>
      </w:r>
    </w:p>
  </w:endnote>
  <w:endnote w:type="continuationSeparator" w:id="0">
    <w:p w:rsidR="00930A2D" w:rsidRDefault="00930A2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592A5D"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depage"/>
      <w:spacing w:line="360" w:lineRule="auto"/>
      <w:jc w:val="right"/>
      <w:rPr>
        <w:rFonts w:ascii="Georgia" w:hAnsi="Georgia" w:cs="Arial"/>
        <w:spacing w:val="20"/>
        <w:w w:val="200"/>
        <w:sz w:val="14"/>
        <w:szCs w:val="10"/>
        <w:lang w:val="es-CO"/>
      </w:rPr>
    </w:pPr>
  </w:p>
  <w:p w:rsidR="00800180" w:rsidRPr="00401168" w:rsidRDefault="00800180" w:rsidP="0013771A">
    <w:pPr>
      <w:pStyle w:val="Pieddepage"/>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depage"/>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2D" w:rsidRDefault="00930A2D" w:rsidP="0099045D">
      <w:r>
        <w:separator/>
      </w:r>
    </w:p>
  </w:footnote>
  <w:footnote w:type="continuationSeparator" w:id="0">
    <w:p w:rsidR="00930A2D" w:rsidRDefault="00930A2D" w:rsidP="0099045D">
      <w:r>
        <w:continuationSeparator/>
      </w:r>
    </w:p>
  </w:footnote>
  <w:footnote w:id="1">
    <w:p w:rsidR="003E703E" w:rsidRPr="002D2187" w:rsidRDefault="003E703E" w:rsidP="003E703E">
      <w:pPr>
        <w:pStyle w:val="Notedebasdepage"/>
        <w:jc w:val="both"/>
      </w:pPr>
      <w:r w:rsidRPr="002D2187">
        <w:rPr>
          <w:rStyle w:val="Appelnotedebasdep"/>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Notedebasdepage"/>
        <w:jc w:val="both"/>
      </w:pPr>
      <w:r w:rsidRPr="002D2187">
        <w:rPr>
          <w:rStyle w:val="Appelnotedebasdep"/>
        </w:rPr>
        <w:footnoteRef/>
      </w:r>
      <w:r w:rsidRPr="002D2187">
        <w:t xml:space="preserve"> QUIROGA N., Édgar A. Tutela contra decisiones judiciales, Universidad Santo Tomás y editorial Ibáñez, Bogotá DC, 2014, p.83.</w:t>
      </w:r>
    </w:p>
  </w:footnote>
  <w:footnote w:id="3">
    <w:p w:rsidR="003E703E" w:rsidRPr="00614E2A" w:rsidRDefault="003E703E" w:rsidP="003E703E">
      <w:pPr>
        <w:pStyle w:val="Notedebasdepage"/>
        <w:jc w:val="both"/>
        <w:rPr>
          <w:lang w:val="fr-FR"/>
        </w:rPr>
      </w:pPr>
      <w:r w:rsidRPr="00C74846">
        <w:rPr>
          <w:rStyle w:val="Appelnotedebasdep"/>
        </w:rPr>
        <w:footnoteRef/>
      </w:r>
      <w:r w:rsidRPr="00614E2A">
        <w:rPr>
          <w:lang w:val="fr-FR"/>
        </w:rPr>
        <w:t xml:space="preserve"> CC. T-917 de 2011.</w:t>
      </w:r>
    </w:p>
  </w:footnote>
  <w:footnote w:id="4">
    <w:p w:rsidR="003E703E" w:rsidRPr="00614E2A" w:rsidRDefault="003E703E" w:rsidP="003E703E">
      <w:pPr>
        <w:pStyle w:val="Notedebasdepage"/>
        <w:jc w:val="both"/>
        <w:rPr>
          <w:lang w:val="fr-FR"/>
        </w:rPr>
      </w:pPr>
      <w:r w:rsidRPr="00C74846">
        <w:rPr>
          <w:rStyle w:val="Appelnotedebasdep"/>
        </w:rPr>
        <w:footnoteRef/>
      </w:r>
      <w:r w:rsidRPr="00614E2A">
        <w:rPr>
          <w:lang w:val="fr-FR"/>
        </w:rPr>
        <w:t xml:space="preserve"> CC. C-590 de 2005.</w:t>
      </w:r>
    </w:p>
  </w:footnote>
  <w:footnote w:id="5">
    <w:p w:rsidR="003E703E" w:rsidRPr="00614E2A" w:rsidRDefault="003E703E" w:rsidP="003E703E">
      <w:pPr>
        <w:pStyle w:val="Notedebasdepage"/>
        <w:jc w:val="both"/>
        <w:rPr>
          <w:lang w:val="fr-FR"/>
        </w:rPr>
      </w:pPr>
      <w:r w:rsidRPr="00C74846">
        <w:rPr>
          <w:rStyle w:val="Appelnotedebasdep"/>
        </w:rPr>
        <w:footnoteRef/>
      </w:r>
      <w:r w:rsidRPr="00614E2A">
        <w:rPr>
          <w:lang w:val="fr-FR"/>
        </w:rPr>
        <w:t xml:space="preserve"> CC. </w:t>
      </w:r>
      <w:r w:rsidRPr="00614E2A">
        <w:rPr>
          <w:bCs/>
          <w:lang w:val="fr-FR"/>
        </w:rPr>
        <w:t>SU-222 de 2016</w:t>
      </w:r>
      <w:r w:rsidRPr="00614E2A">
        <w:rPr>
          <w:lang w:val="fr-FR"/>
        </w:rPr>
        <w:t>.</w:t>
      </w:r>
    </w:p>
  </w:footnote>
  <w:footnote w:id="6">
    <w:p w:rsidR="003E703E" w:rsidRPr="00614E2A" w:rsidRDefault="003E703E" w:rsidP="003E703E">
      <w:pPr>
        <w:pStyle w:val="Notedebasdepage"/>
        <w:rPr>
          <w:b/>
          <w:bCs/>
          <w:lang w:val="fr-FR"/>
        </w:rPr>
      </w:pPr>
      <w:r w:rsidRPr="00C74846">
        <w:rPr>
          <w:rStyle w:val="Appelnotedebasdep"/>
        </w:rPr>
        <w:footnoteRef/>
      </w:r>
      <w:r w:rsidRPr="00614E2A">
        <w:rPr>
          <w:lang w:val="fr-FR"/>
        </w:rPr>
        <w:t xml:space="preserve"> </w:t>
      </w:r>
      <w:r w:rsidRPr="00614E2A">
        <w:rPr>
          <w:bCs/>
          <w:lang w:val="fr-FR"/>
        </w:rPr>
        <w:t>CC. T-137 de 2017.</w:t>
      </w:r>
    </w:p>
  </w:footnote>
  <w:footnote w:id="7">
    <w:p w:rsidR="003E703E" w:rsidRPr="00C74846" w:rsidRDefault="003E703E" w:rsidP="003E703E">
      <w:pPr>
        <w:pStyle w:val="Notedebasdepage"/>
        <w:rPr>
          <w:lang w:val="es-CO"/>
        </w:rPr>
      </w:pPr>
      <w:r w:rsidRPr="00C74846">
        <w:rPr>
          <w:rStyle w:val="Appelnotedebasdep"/>
        </w:rPr>
        <w:footnoteRef/>
      </w:r>
      <w:r w:rsidRPr="00C74846">
        <w:t xml:space="preserve"> </w:t>
      </w:r>
      <w:r w:rsidRPr="00C74846">
        <w:rPr>
          <w:lang w:val="es-MX"/>
        </w:rPr>
        <w:t>CC. T-307 de 2015.</w:t>
      </w:r>
    </w:p>
  </w:footnote>
  <w:footnote w:id="8">
    <w:p w:rsidR="003E703E" w:rsidRPr="00C74846" w:rsidRDefault="003E703E" w:rsidP="003E703E">
      <w:pPr>
        <w:pStyle w:val="Notedebasdepag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Notedebasdepage"/>
        <w:jc w:val="both"/>
      </w:pPr>
      <w:r w:rsidRPr="00C74846">
        <w:rPr>
          <w:rStyle w:val="Appelnotedebasdep"/>
        </w:rPr>
        <w:footnoteRef/>
      </w:r>
      <w:r w:rsidRPr="00C74846">
        <w:t xml:space="preserve"> QUINCHE R., Manuel F. La acción de tutela, el amparo en Colombia, Bogotá DC, 2011, p.233-285.</w:t>
      </w:r>
    </w:p>
  </w:footnote>
  <w:footnote w:id="10">
    <w:p w:rsidR="00C74846" w:rsidRPr="00614E2A" w:rsidRDefault="00C74846" w:rsidP="00C74846">
      <w:pPr>
        <w:pStyle w:val="Notedebasdepage"/>
        <w:jc w:val="both"/>
        <w:rPr>
          <w:lang w:val="fr-FR"/>
        </w:rPr>
      </w:pPr>
      <w:r w:rsidRPr="007D3087">
        <w:rPr>
          <w:rStyle w:val="Appelnotedebasdep"/>
        </w:rPr>
        <w:footnoteRef/>
      </w:r>
      <w:r w:rsidRPr="00614E2A">
        <w:rPr>
          <w:lang w:val="fr-FR"/>
        </w:rPr>
        <w:t xml:space="preserve"> CC. T-134 de 1994. </w:t>
      </w:r>
    </w:p>
  </w:footnote>
  <w:footnote w:id="11">
    <w:p w:rsidR="00C74846" w:rsidRPr="00614E2A" w:rsidRDefault="00C74846" w:rsidP="00C74846">
      <w:pPr>
        <w:pStyle w:val="Notedebasdepage"/>
        <w:rPr>
          <w:lang w:val="fr-FR"/>
        </w:rPr>
      </w:pPr>
      <w:r w:rsidRPr="007D3087">
        <w:rPr>
          <w:rStyle w:val="Appelnotedebasdep"/>
        </w:rPr>
        <w:footnoteRef/>
      </w:r>
      <w:r w:rsidRPr="00614E2A">
        <w:rPr>
          <w:lang w:val="fr-FR"/>
        </w:rPr>
        <w:t xml:space="preserve"> CC. T-103 de 2014.</w:t>
      </w:r>
    </w:p>
  </w:footnote>
  <w:footnote w:id="12">
    <w:p w:rsidR="00C74846" w:rsidRPr="00614E2A" w:rsidRDefault="00C74846" w:rsidP="00C74846">
      <w:pPr>
        <w:pStyle w:val="Notedebasdepage"/>
        <w:jc w:val="both"/>
        <w:rPr>
          <w:lang w:val="fr-FR"/>
        </w:rPr>
      </w:pPr>
      <w:r w:rsidRPr="007D3087">
        <w:rPr>
          <w:rStyle w:val="Appelnotedebasdep"/>
        </w:rPr>
        <w:footnoteRef/>
      </w:r>
      <w:r w:rsidRPr="00614E2A">
        <w:rPr>
          <w:lang w:val="fr-FR"/>
        </w:rPr>
        <w:t xml:space="preserve"> CC. T-567 de 1998.</w:t>
      </w:r>
    </w:p>
  </w:footnote>
  <w:footnote w:id="13">
    <w:p w:rsidR="00C74846" w:rsidRPr="00614E2A" w:rsidRDefault="00C74846" w:rsidP="00C74846">
      <w:pPr>
        <w:pStyle w:val="Notedebasdepage"/>
        <w:jc w:val="both"/>
        <w:rPr>
          <w:lang w:val="fr-FR"/>
        </w:rPr>
      </w:pPr>
      <w:r w:rsidRPr="007D3087">
        <w:rPr>
          <w:rStyle w:val="Appelnotedebasdep"/>
        </w:rPr>
        <w:footnoteRef/>
      </w:r>
      <w:r w:rsidRPr="00614E2A">
        <w:rPr>
          <w:lang w:val="fr-FR"/>
        </w:rPr>
        <w:t xml:space="preserve"> CC. T-001 de 2017, T-038, 106 de 2017, </w:t>
      </w:r>
      <w:r w:rsidRPr="00614E2A">
        <w:rPr>
          <w:bCs/>
          <w:bdr w:val="none" w:sz="0" w:space="0" w:color="auto" w:frame="1"/>
          <w:shd w:val="clear" w:color="auto" w:fill="FFFFFF"/>
          <w:lang w:val="fr-FR"/>
        </w:rPr>
        <w:t xml:space="preserve">T-037 de 2016, T-120 de 2016 y </w:t>
      </w:r>
      <w:r w:rsidRPr="00614E2A">
        <w:rPr>
          <w:lang w:val="fr-FR"/>
        </w:rPr>
        <w:t>T-662 de 2013.</w:t>
      </w:r>
      <w:r w:rsidRPr="00614E2A">
        <w:rPr>
          <w:b/>
          <w:bCs/>
          <w:color w:val="2D2D2D"/>
          <w:bdr w:val="none" w:sz="0" w:space="0" w:color="auto" w:frame="1"/>
          <w:shd w:val="clear" w:color="auto" w:fill="FFFFFF"/>
          <w:lang w:val="fr-FR"/>
        </w:rPr>
        <w:t xml:space="preserve"> </w:t>
      </w:r>
    </w:p>
  </w:footnote>
  <w:footnote w:id="14">
    <w:p w:rsidR="00C74846" w:rsidRPr="007D3087" w:rsidRDefault="00C74846" w:rsidP="00C74846">
      <w:pPr>
        <w:pStyle w:val="Notedebasdepage"/>
        <w:jc w:val="both"/>
      </w:pPr>
      <w:r w:rsidRPr="007D3087">
        <w:rPr>
          <w:rStyle w:val="Appelnotedebasdep"/>
        </w:rPr>
        <w:footnoteRef/>
      </w:r>
      <w:r w:rsidRPr="007D3087">
        <w:t xml:space="preserve"> CSJ, Civil. STC2349-2017, STC3931-2016, STC6121-2015 y sentencia del 02-09-2014, MP: Margarita Cabello B., No.23001-22-14-000-2014-00097-01;</w:t>
      </w:r>
    </w:p>
  </w:footnote>
  <w:footnote w:id="15">
    <w:p w:rsidR="00C74846" w:rsidRPr="0011170E" w:rsidRDefault="00C74846" w:rsidP="00C74846">
      <w:pPr>
        <w:pStyle w:val="Notedebasdepage"/>
        <w:jc w:val="both"/>
      </w:pPr>
      <w:r w:rsidRPr="0011170E">
        <w:rPr>
          <w:rStyle w:val="Appelnotedebasdep"/>
        </w:rPr>
        <w:footnoteRef/>
      </w:r>
      <w:r w:rsidRPr="0011170E">
        <w:t xml:space="preserve"> CC. T-103 de 2014 y </w:t>
      </w:r>
      <w:r w:rsidR="000C07CA">
        <w:rPr>
          <w:bCs/>
        </w:rPr>
        <w:t>SU-297 de 2015</w:t>
      </w:r>
    </w:p>
  </w:footnote>
  <w:footnote w:id="16">
    <w:p w:rsidR="00C74846" w:rsidRPr="00F5702B" w:rsidRDefault="00C74846" w:rsidP="00C74846">
      <w:pPr>
        <w:pStyle w:val="Notedebasdepage"/>
      </w:pPr>
      <w:r w:rsidRPr="00F5702B">
        <w:rPr>
          <w:rStyle w:val="Appelnotedebasdep"/>
        </w:rPr>
        <w:footnoteRef/>
      </w:r>
      <w:r w:rsidRPr="00F5702B">
        <w:t xml:space="preserve"> CC. T-103 de 2014 y SU-297 de2015.</w:t>
      </w:r>
    </w:p>
  </w:footnote>
  <w:footnote w:id="17">
    <w:p w:rsidR="00C74846" w:rsidRPr="00F5702B" w:rsidRDefault="00C74846" w:rsidP="00C74846">
      <w:pPr>
        <w:pStyle w:val="Notedebasdepage"/>
        <w:jc w:val="both"/>
        <w:rPr>
          <w:i/>
        </w:rPr>
      </w:pPr>
      <w:r w:rsidRPr="00F5702B">
        <w:rPr>
          <w:rStyle w:val="Appelnotedebasdep"/>
        </w:rPr>
        <w:footnoteRef/>
      </w:r>
      <w:r w:rsidRPr="00F5702B">
        <w:t xml:space="preserve"> CC. T-103 de 2014. En esta providencia la Corte estableció </w:t>
      </w:r>
      <w:r w:rsidRPr="00F5702B">
        <w:rPr>
          <w:i/>
        </w:rPr>
        <w:t xml:space="preserve">“(…) que el principio de subsidiariedad de la acción de tutela envuelve tres características importantes que llevan a su improcedencia contra providencias judiciales, a saber: (i) </w:t>
      </w:r>
      <w:r w:rsidRPr="00F5702B">
        <w:rPr>
          <w:i/>
          <w:u w:val="single"/>
        </w:rPr>
        <w:t>el asunto está en trámite</w:t>
      </w:r>
      <w:r w:rsidRPr="00F5702B">
        <w:rPr>
          <w:i/>
        </w:rPr>
        <w:t xml:space="preserve">; (ii) no se han agotado los medios de defensa judicial ordinarios y extraordinarios; y (iii) se usa para revivir etapas procesales en donde se dejaron de emplear los recursos previstos en el ordenamiento jurídico (…)” </w:t>
      </w:r>
    </w:p>
  </w:footnote>
  <w:footnote w:id="18">
    <w:p w:rsidR="00C74846" w:rsidRPr="00614E2A" w:rsidRDefault="00C74846" w:rsidP="00C74846">
      <w:pPr>
        <w:pStyle w:val="Notedebasdepage"/>
        <w:rPr>
          <w:lang w:val="fr-FR"/>
        </w:rPr>
      </w:pPr>
      <w:r w:rsidRPr="00F5702B">
        <w:rPr>
          <w:rStyle w:val="Appelnotedebasdep"/>
        </w:rPr>
        <w:footnoteRef/>
      </w:r>
      <w:r w:rsidRPr="00614E2A">
        <w:rPr>
          <w:lang w:val="fr-FR"/>
        </w:rPr>
        <w:t xml:space="preserve"> CSJ, Civil. STC3950-2016.</w:t>
      </w:r>
    </w:p>
  </w:footnote>
  <w:footnote w:id="19">
    <w:p w:rsidR="00C74846" w:rsidRPr="00614E2A" w:rsidRDefault="00C74846" w:rsidP="00C74846">
      <w:pPr>
        <w:pStyle w:val="Notedebasdepage"/>
        <w:rPr>
          <w:lang w:val="fr-FR"/>
        </w:rPr>
      </w:pPr>
      <w:r w:rsidRPr="00F5702B">
        <w:rPr>
          <w:rStyle w:val="Appelnotedebasdep"/>
        </w:rPr>
        <w:footnoteRef/>
      </w:r>
      <w:r w:rsidRPr="00614E2A">
        <w:rPr>
          <w:lang w:val="fr-FR"/>
        </w:rPr>
        <w:t xml:space="preserve"> 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01168" w:rsidRDefault="00800180">
    <w:pPr>
      <w:pStyle w:val="En-tte"/>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614E2A">
      <w:rPr>
        <w:rFonts w:ascii="Georgia" w:hAnsi="Georgia" w:cs="Calibri"/>
        <w:i/>
        <w:noProof/>
        <w:sz w:val="20"/>
      </w:rPr>
      <w:t>6</w:t>
    </w:r>
    <w:r w:rsidR="00301CAF" w:rsidRPr="00401168">
      <w:rPr>
        <w:rFonts w:ascii="Georgia" w:hAnsi="Georgia" w:cs="Calibri"/>
        <w:i/>
        <w:sz w:val="20"/>
      </w:rPr>
      <w:fldChar w:fldCharType="end"/>
    </w:r>
  </w:p>
  <w:p w:rsidR="00800180" w:rsidRPr="00401168" w:rsidRDefault="00A00766" w:rsidP="009C568C">
    <w:pPr>
      <w:pStyle w:val="En-tte"/>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217965">
      <w:rPr>
        <w:rFonts w:ascii="Georgia" w:hAnsi="Georgia" w:cs="Calibri"/>
        <w:i/>
        <w:sz w:val="20"/>
        <w:szCs w:val="22"/>
      </w:rPr>
      <w:t>01</w:t>
    </w:r>
    <w:r w:rsidR="00AD7B0C">
      <w:rPr>
        <w:rFonts w:ascii="Georgia" w:hAnsi="Georgia" w:cs="Calibri"/>
        <w:i/>
        <w:sz w:val="20"/>
        <w:szCs w:val="22"/>
      </w:rPr>
      <w:t>193</w:t>
    </w:r>
    <w:r w:rsidR="0041111B" w:rsidRPr="00401168">
      <w:rPr>
        <w:rFonts w:ascii="Georgia" w:hAnsi="Georgia" w:cs="Calibri"/>
        <w:i/>
        <w:sz w:val="20"/>
        <w:szCs w:val="22"/>
      </w:rPr>
      <w:t>-00</w:t>
    </w:r>
    <w:r w:rsidR="00217965">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3"/>
  </w:num>
  <w:num w:numId="5">
    <w:abstractNumId w:val="28"/>
  </w:num>
  <w:num w:numId="6">
    <w:abstractNumId w:val="0"/>
  </w:num>
  <w:num w:numId="7">
    <w:abstractNumId w:val="23"/>
  </w:num>
  <w:num w:numId="8">
    <w:abstractNumId w:val="1"/>
  </w:num>
  <w:num w:numId="9">
    <w:abstractNumId w:val="29"/>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0"/>
  </w:num>
  <w:num w:numId="28">
    <w:abstractNumId w:val="7"/>
  </w:num>
  <w:num w:numId="29">
    <w:abstractNumId w:val="27"/>
  </w:num>
  <w:num w:numId="30">
    <w:abstractNumId w:val="11"/>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4E2A"/>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2D"/>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D7B0C"/>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70CF-B689-4883-B4A2-4F16A01C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37</cp:revision>
  <cp:lastPrinted>2017-08-28T13:40:00Z</cp:lastPrinted>
  <dcterms:created xsi:type="dcterms:W3CDTF">2017-11-07T18:55:00Z</dcterms:created>
  <dcterms:modified xsi:type="dcterms:W3CDTF">2017-12-12T11:39:00Z</dcterms:modified>
</cp:coreProperties>
</file>