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48" w:rsidRPr="003E4C48" w:rsidRDefault="003E4C48" w:rsidP="003E4C4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3E4C48">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E4C48" w:rsidRPr="003E4C48" w:rsidRDefault="003E4C48" w:rsidP="003E4C48">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3E4C48">
        <w:rPr>
          <w:rFonts w:ascii="Calibri" w:eastAsia="Calibri" w:hAnsi="Calibri" w:cs="Calibri"/>
          <w:color w:val="FF0000"/>
          <w:sz w:val="16"/>
          <w:szCs w:val="16"/>
          <w:lang w:val="es-CO" w:eastAsia="fr-FR"/>
        </w:rPr>
        <w:t>El contenido total y fiel de la decisión debe ser verificado en la Secretaría de esta Sala.</w:t>
      </w:r>
    </w:p>
    <w:p w:rsidR="003E4C48" w:rsidRPr="003E4C48" w:rsidRDefault="003E4C48" w:rsidP="003E4C48">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3E4C48">
        <w:rPr>
          <w:rFonts w:ascii="Calibri" w:hAnsi="Calibri" w:cs="Calibri"/>
          <w:color w:val="222222"/>
          <w:sz w:val="18"/>
          <w:szCs w:val="18"/>
          <w:lang w:val="es-CO" w:eastAsia="fr-FR"/>
        </w:rPr>
        <w:t>Providencia:</w:t>
      </w:r>
      <w:r w:rsidRPr="003E4C48">
        <w:rPr>
          <w:rFonts w:ascii="Calibri" w:hAnsi="Calibri" w:cs="Calibri"/>
          <w:color w:val="222222"/>
          <w:sz w:val="18"/>
          <w:szCs w:val="18"/>
          <w:lang w:val="es-CO" w:eastAsia="fr-FR"/>
        </w:rPr>
        <w:tab/>
        <w:t>Sentencia  – 2ª instancia – 22 de noviembre de 2017</w:t>
      </w:r>
    </w:p>
    <w:p w:rsidR="003E4C48" w:rsidRPr="003E4C48" w:rsidRDefault="003E4C48" w:rsidP="003E4C48">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z w:val="18"/>
          <w:szCs w:val="18"/>
          <w:lang w:eastAsia="fr-FR"/>
        </w:rPr>
      </w:pPr>
      <w:r w:rsidRPr="003E4C48">
        <w:rPr>
          <w:rFonts w:ascii="Calibri" w:eastAsia="Calibri" w:hAnsi="Calibri" w:cs="Calibri"/>
          <w:color w:val="222222"/>
          <w:sz w:val="18"/>
          <w:szCs w:val="18"/>
          <w:lang w:val="es-CO" w:eastAsia="fr-FR"/>
        </w:rPr>
        <w:t>Proceso:    </w:t>
      </w:r>
      <w:r w:rsidRPr="003E4C48">
        <w:rPr>
          <w:rFonts w:ascii="Calibri" w:eastAsia="Calibri" w:hAnsi="Calibri" w:cs="Calibri"/>
          <w:color w:val="222222"/>
          <w:sz w:val="18"/>
          <w:szCs w:val="18"/>
          <w:lang w:val="es-CO" w:eastAsia="fr-FR"/>
        </w:rPr>
        <w:tab/>
        <w:t>Acción de Tutela – Confirma y modifica decisión del a quo que negó el amparo</w:t>
      </w:r>
    </w:p>
    <w:p w:rsidR="003E4C48" w:rsidRPr="003E4C48" w:rsidRDefault="003E4C48" w:rsidP="003E4C48">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color w:val="222222"/>
          <w:sz w:val="18"/>
          <w:szCs w:val="18"/>
          <w:lang w:val="es-CO" w:eastAsia="fr-FR"/>
        </w:rPr>
      </w:pPr>
      <w:r w:rsidRPr="003E4C48">
        <w:rPr>
          <w:rFonts w:ascii="Calibri" w:eastAsia="Calibri" w:hAnsi="Calibri" w:cs="Calibri"/>
          <w:color w:val="222222"/>
          <w:sz w:val="18"/>
          <w:szCs w:val="18"/>
          <w:lang w:val="es-CO" w:eastAsia="fr-FR"/>
        </w:rPr>
        <w:t>Radicación Nro. :</w:t>
      </w:r>
      <w:r w:rsidRPr="003E4C48">
        <w:rPr>
          <w:rFonts w:ascii="Calibri" w:eastAsia="Calibri" w:hAnsi="Calibri" w:cs="Calibri"/>
          <w:color w:val="222222"/>
          <w:sz w:val="18"/>
          <w:szCs w:val="18"/>
          <w:lang w:val="es-CO" w:eastAsia="fr-FR"/>
        </w:rPr>
        <w:tab/>
      </w:r>
      <w:r w:rsidRPr="003E4C48">
        <w:rPr>
          <w:rFonts w:ascii="Calibri" w:eastAsia="Calibri" w:hAnsi="Calibri" w:cs="Calibri"/>
          <w:color w:val="222222"/>
          <w:sz w:val="18"/>
          <w:szCs w:val="18"/>
          <w:lang w:val="es-CO" w:eastAsia="fr-FR"/>
        </w:rPr>
        <w:tab/>
      </w:r>
      <w:r w:rsidRPr="003E4C48">
        <w:rPr>
          <w:rFonts w:ascii="Calibri" w:eastAsia="Calibri" w:hAnsi="Calibri" w:cs="Calibri"/>
          <w:color w:val="222222"/>
          <w:sz w:val="18"/>
          <w:szCs w:val="18"/>
          <w:lang w:val="es-CO" w:eastAsia="fr-FR"/>
        </w:rPr>
        <w:tab/>
      </w:r>
      <w:r w:rsidRPr="003E4C48">
        <w:rPr>
          <w:rFonts w:ascii="Calibri" w:eastAsia="Calibri" w:hAnsi="Calibri" w:cs="Calibri"/>
          <w:color w:val="222222"/>
          <w:sz w:val="18"/>
          <w:szCs w:val="18"/>
          <w:lang w:eastAsia="fr-FR"/>
        </w:rPr>
        <w:t>2017-00066-02</w:t>
      </w:r>
    </w:p>
    <w:p w:rsidR="003E4C48" w:rsidRPr="003E4C48" w:rsidRDefault="003E4C48" w:rsidP="003E4C48">
      <w:pPr>
        <w:widowControl/>
        <w:shd w:val="clear" w:color="auto" w:fill="FFFFFF"/>
        <w:tabs>
          <w:tab w:val="left" w:pos="1790"/>
          <w:tab w:val="left" w:pos="1816"/>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3E4C48">
        <w:rPr>
          <w:rFonts w:ascii="Calibri" w:eastAsia="Calibri" w:hAnsi="Calibri" w:cs="Calibri"/>
          <w:bCs/>
          <w:iCs/>
          <w:color w:val="222222"/>
          <w:sz w:val="18"/>
          <w:szCs w:val="18"/>
          <w:lang w:eastAsia="fr-FR"/>
        </w:rPr>
        <w:t xml:space="preserve">Accionante: </w:t>
      </w:r>
      <w:r w:rsidRPr="003E4C48">
        <w:rPr>
          <w:rFonts w:ascii="Calibri" w:eastAsia="Calibri" w:hAnsi="Calibri" w:cs="Calibri"/>
          <w:bCs/>
          <w:iCs/>
          <w:color w:val="222222"/>
          <w:sz w:val="18"/>
          <w:szCs w:val="18"/>
          <w:lang w:eastAsia="fr-FR"/>
        </w:rPr>
        <w:tab/>
        <w:t xml:space="preserve"> </w:t>
      </w:r>
      <w:r w:rsidRPr="003E4C48">
        <w:rPr>
          <w:rFonts w:ascii="Calibri" w:eastAsia="Calibri" w:hAnsi="Calibri" w:cs="Calibri"/>
          <w:color w:val="222222"/>
          <w:sz w:val="18"/>
          <w:szCs w:val="18"/>
          <w:lang w:eastAsia="fr-FR"/>
        </w:rPr>
        <w:t xml:space="preserve">IVÁN </w:t>
      </w:r>
      <w:proofErr w:type="spellStart"/>
      <w:r w:rsidRPr="003E4C48">
        <w:rPr>
          <w:rFonts w:ascii="Calibri" w:eastAsia="Calibri" w:hAnsi="Calibri" w:cs="Calibri"/>
          <w:color w:val="222222"/>
          <w:sz w:val="18"/>
          <w:szCs w:val="18"/>
          <w:lang w:eastAsia="fr-FR"/>
        </w:rPr>
        <w:t>OBEL</w:t>
      </w:r>
      <w:proofErr w:type="spellEnd"/>
      <w:r w:rsidRPr="003E4C48">
        <w:rPr>
          <w:rFonts w:ascii="Calibri" w:eastAsia="Calibri" w:hAnsi="Calibri" w:cs="Calibri"/>
          <w:color w:val="222222"/>
          <w:sz w:val="18"/>
          <w:szCs w:val="18"/>
          <w:lang w:eastAsia="fr-FR"/>
        </w:rPr>
        <w:t xml:space="preserve"> RAMOS RESTREPO Y OTRA</w:t>
      </w:r>
    </w:p>
    <w:p w:rsidR="003E4C48" w:rsidRPr="003E4C48" w:rsidRDefault="003E4C48" w:rsidP="003E4C48">
      <w:pPr>
        <w:widowControl/>
        <w:shd w:val="clear" w:color="auto" w:fill="FFFFFF"/>
        <w:tabs>
          <w:tab w:val="left" w:pos="1607"/>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3E4C48">
        <w:rPr>
          <w:rFonts w:ascii="Calibri" w:eastAsia="Calibri" w:hAnsi="Calibri" w:cs="Calibri"/>
          <w:color w:val="222222"/>
          <w:sz w:val="18"/>
          <w:szCs w:val="18"/>
          <w:lang w:val="es-CO" w:eastAsia="fr-FR"/>
        </w:rPr>
        <w:t>Accionado:</w:t>
      </w:r>
      <w:r w:rsidRPr="003E4C48">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ab/>
      </w:r>
      <w:r w:rsidRPr="003E4C48">
        <w:rPr>
          <w:rFonts w:ascii="Calibri" w:eastAsia="Calibri" w:hAnsi="Calibri" w:cs="Calibri"/>
          <w:color w:val="222222"/>
          <w:sz w:val="18"/>
          <w:szCs w:val="18"/>
          <w:lang w:val="es-ES_tradnl" w:eastAsia="fr-FR"/>
        </w:rPr>
        <w:t>JUZGADO TERCERO CIVIL MUNICIPAL DE DOSQUEBRADAS</w:t>
      </w:r>
    </w:p>
    <w:p w:rsidR="003E4C48" w:rsidRPr="003E4C48" w:rsidRDefault="003E4C48" w:rsidP="003E4C48">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val="es-CO" w:eastAsia="fr-FR"/>
        </w:rPr>
      </w:pPr>
      <w:r w:rsidRPr="003E4C48">
        <w:rPr>
          <w:rFonts w:ascii="Calibri" w:eastAsia="Calibri" w:hAnsi="Calibri" w:cs="Calibri"/>
          <w:color w:val="222222"/>
          <w:sz w:val="18"/>
          <w:szCs w:val="18"/>
          <w:lang w:val="es-CO" w:eastAsia="fr-FR"/>
        </w:rPr>
        <w:t>Magistrado Ponente: </w:t>
      </w:r>
      <w:r w:rsidRPr="003E4C48">
        <w:rPr>
          <w:rFonts w:ascii="Calibri" w:eastAsia="Calibri" w:hAnsi="Calibri" w:cs="Calibri"/>
          <w:color w:val="222222"/>
          <w:sz w:val="18"/>
          <w:szCs w:val="18"/>
          <w:lang w:val="es-CO" w:eastAsia="fr-FR"/>
        </w:rPr>
        <w:tab/>
      </w:r>
      <w:proofErr w:type="spellStart"/>
      <w:r w:rsidRPr="003E4C48">
        <w:rPr>
          <w:rFonts w:ascii="Calibri" w:eastAsia="Calibri" w:hAnsi="Calibri" w:cs="Calibri"/>
          <w:bCs/>
          <w:iCs/>
          <w:color w:val="222222"/>
          <w:sz w:val="18"/>
          <w:szCs w:val="18"/>
          <w:lang w:val="es-CO" w:eastAsia="fr-FR"/>
        </w:rPr>
        <w:t>DUBERNEY</w:t>
      </w:r>
      <w:proofErr w:type="spellEnd"/>
      <w:r w:rsidRPr="003E4C48">
        <w:rPr>
          <w:rFonts w:ascii="Calibri" w:eastAsia="Calibri" w:hAnsi="Calibri" w:cs="Calibri"/>
          <w:bCs/>
          <w:iCs/>
          <w:color w:val="222222"/>
          <w:sz w:val="18"/>
          <w:szCs w:val="18"/>
          <w:lang w:val="es-CO" w:eastAsia="fr-FR"/>
        </w:rPr>
        <w:t xml:space="preserve"> GRISALES HERRERA</w:t>
      </w:r>
    </w:p>
    <w:p w:rsidR="003E4C48" w:rsidRPr="003E4C48" w:rsidRDefault="003E4C48" w:rsidP="003E4C48">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eastAsia="fr-FR"/>
        </w:rPr>
      </w:pPr>
    </w:p>
    <w:p w:rsidR="003E4C48" w:rsidRPr="003E4C48" w:rsidRDefault="003E4C48" w:rsidP="003E4C48">
      <w:pPr>
        <w:widowControl/>
        <w:tabs>
          <w:tab w:val="left" w:pos="1843"/>
          <w:tab w:val="left" w:pos="2432"/>
        </w:tabs>
        <w:autoSpaceDE/>
        <w:autoSpaceDN/>
        <w:adjustRightInd/>
        <w:spacing w:after="200"/>
        <w:jc w:val="both"/>
        <w:rPr>
          <w:rFonts w:ascii="Calibri" w:eastAsia="Calibri" w:hAnsi="Calibri" w:cs="Calibri"/>
          <w:b/>
          <w:bCs/>
          <w:iCs/>
          <w:color w:val="222222"/>
          <w:sz w:val="18"/>
          <w:szCs w:val="18"/>
          <w:lang w:val="es-ES_tradnl" w:eastAsia="fr-FR"/>
        </w:rPr>
      </w:pPr>
      <w:r w:rsidRPr="003E4C48">
        <w:rPr>
          <w:rFonts w:ascii="Calibri" w:eastAsia="Calibri" w:hAnsi="Calibri" w:cs="Calibri"/>
          <w:b/>
          <w:bCs/>
          <w:iCs/>
          <w:color w:val="222222"/>
          <w:sz w:val="18"/>
          <w:szCs w:val="18"/>
          <w:lang w:val="es-CO" w:eastAsia="fr-FR"/>
        </w:rPr>
        <w:t xml:space="preserve">Temas: </w:t>
      </w:r>
      <w:r w:rsidRPr="003E4C48">
        <w:rPr>
          <w:rFonts w:ascii="Calibri" w:eastAsia="Calibri" w:hAnsi="Calibri" w:cs="Calibri"/>
          <w:b/>
          <w:bCs/>
          <w:iCs/>
          <w:color w:val="222222"/>
          <w:sz w:val="18"/>
          <w:szCs w:val="18"/>
          <w:lang w:val="es-CO" w:eastAsia="fr-FR"/>
        </w:rPr>
        <w:tab/>
        <w:t>DEBIDO PROCESO</w:t>
      </w:r>
      <w:r w:rsidRPr="003E4C48">
        <w:rPr>
          <w:rFonts w:ascii="Calibri" w:eastAsia="Calibri" w:hAnsi="Calibri" w:cs="Calibri"/>
          <w:b/>
          <w:bCs/>
          <w:iCs/>
          <w:color w:val="222222"/>
          <w:sz w:val="18"/>
          <w:szCs w:val="18"/>
          <w:lang w:eastAsia="fr-FR"/>
        </w:rPr>
        <w:t xml:space="preserve"> / TUTELA CONTRA PROVIDENCIA JUDICIAL / AUSENCIA DE LA VULNERACIÓN ARGÜIDA / NIEGA.  </w:t>
      </w:r>
      <w:r w:rsidRPr="003E4C48">
        <w:rPr>
          <w:rFonts w:ascii="Calibri" w:eastAsia="Calibri" w:hAnsi="Calibri" w:cs="Calibri"/>
          <w:bCs/>
          <w:iCs/>
          <w:color w:val="222222"/>
          <w:sz w:val="18"/>
          <w:szCs w:val="18"/>
          <w:lang w:val="es-CO" w:eastAsia="fr-FR"/>
        </w:rPr>
        <w:t xml:space="preserve">Así las cosas, para esta Magistratura es claro que la providencia venida en impugnación habrá de confirmarse, pues es evidente la ausencia de vulneración del derecho fundamental al debido proceso del actor por parte de la </w:t>
      </w:r>
      <w:r w:rsidRPr="003E4C48">
        <w:rPr>
          <w:rFonts w:ascii="Calibri" w:eastAsia="Calibri" w:hAnsi="Calibri" w:cs="Calibri"/>
          <w:bCs/>
          <w:i/>
          <w:iCs/>
          <w:color w:val="222222"/>
          <w:sz w:val="18"/>
          <w:szCs w:val="18"/>
          <w:lang w:val="es-CO" w:eastAsia="fr-FR"/>
        </w:rPr>
        <w:t>a quo</w:t>
      </w:r>
      <w:r w:rsidRPr="003E4C48">
        <w:rPr>
          <w:rFonts w:ascii="Calibri" w:eastAsia="Calibri" w:hAnsi="Calibri" w:cs="Calibri"/>
          <w:bCs/>
          <w:iCs/>
          <w:color w:val="222222"/>
          <w:sz w:val="18"/>
          <w:szCs w:val="18"/>
          <w:lang w:val="es-CO" w:eastAsia="fr-FR"/>
        </w:rPr>
        <w:t xml:space="preserve">, toda vez que la petición de fecha y hora para llevar a cabo la diligencia de inventarios y avalúos adicionales se presentó en vigencia de la Ley 1564. </w:t>
      </w:r>
      <w:r w:rsidRPr="003E4C48">
        <w:rPr>
          <w:rFonts w:ascii="Calibri" w:eastAsia="Calibri" w:hAnsi="Calibri" w:cs="Calibri"/>
          <w:bCs/>
          <w:iCs/>
          <w:color w:val="222222"/>
          <w:sz w:val="18"/>
          <w:szCs w:val="18"/>
          <w:lang w:eastAsia="fr-FR"/>
        </w:rPr>
        <w:t xml:space="preserve">No se acepta el argumento centrado en que la audiencia adicional es continuación de la inicialmente practicada en el proceso, pues </w:t>
      </w:r>
      <w:r w:rsidRPr="003E4C48">
        <w:rPr>
          <w:rFonts w:ascii="Calibri" w:eastAsia="Calibri" w:hAnsi="Calibri" w:cs="Calibri"/>
          <w:bCs/>
          <w:iCs/>
          <w:color w:val="222222"/>
          <w:sz w:val="18"/>
          <w:szCs w:val="18"/>
          <w:u w:val="single"/>
          <w:lang w:eastAsia="fr-FR"/>
        </w:rPr>
        <w:t>se trata de actuaciones independientes</w:t>
      </w:r>
      <w:r w:rsidRPr="003E4C48">
        <w:rPr>
          <w:rFonts w:ascii="Calibri" w:eastAsia="Calibri" w:hAnsi="Calibri" w:cs="Calibri"/>
          <w:bCs/>
          <w:iCs/>
          <w:color w:val="222222"/>
          <w:sz w:val="18"/>
          <w:szCs w:val="18"/>
          <w:lang w:eastAsia="fr-FR"/>
        </w:rPr>
        <w:t xml:space="preserve"> que inician y culminan por separado; recuérdese que la norma establece que se aplica la legislación regente para la época en que se inició la diligencia y una vez culminada se aplicará la legislación actual; en el trámite </w:t>
      </w:r>
      <w:proofErr w:type="spellStart"/>
      <w:r w:rsidRPr="003E4C48">
        <w:rPr>
          <w:rFonts w:ascii="Calibri" w:eastAsia="Calibri" w:hAnsi="Calibri" w:cs="Calibri"/>
          <w:bCs/>
          <w:iCs/>
          <w:color w:val="222222"/>
          <w:sz w:val="18"/>
          <w:szCs w:val="18"/>
          <w:lang w:eastAsia="fr-FR"/>
        </w:rPr>
        <w:t>sucesoral</w:t>
      </w:r>
      <w:proofErr w:type="spellEnd"/>
      <w:r w:rsidRPr="003E4C48">
        <w:rPr>
          <w:rFonts w:ascii="Calibri" w:eastAsia="Calibri" w:hAnsi="Calibri" w:cs="Calibri"/>
          <w:bCs/>
          <w:iCs/>
          <w:color w:val="222222"/>
          <w:sz w:val="18"/>
          <w:szCs w:val="18"/>
          <w:lang w:eastAsia="fr-FR"/>
        </w:rPr>
        <w:t xml:space="preserve"> la reiterada actuación inició y culminó con aprobación el día 14-03-2015 (Folio 10, cuaderno </w:t>
      </w:r>
      <w:proofErr w:type="spellStart"/>
      <w:r w:rsidRPr="003E4C48">
        <w:rPr>
          <w:rFonts w:ascii="Calibri" w:eastAsia="Calibri" w:hAnsi="Calibri" w:cs="Calibri"/>
          <w:bCs/>
          <w:iCs/>
          <w:color w:val="222222"/>
          <w:sz w:val="18"/>
          <w:szCs w:val="18"/>
          <w:lang w:eastAsia="fr-FR"/>
        </w:rPr>
        <w:t>No.1</w:t>
      </w:r>
      <w:proofErr w:type="spellEnd"/>
      <w:r w:rsidRPr="003E4C48">
        <w:rPr>
          <w:rFonts w:ascii="Calibri" w:eastAsia="Calibri" w:hAnsi="Calibri" w:cs="Calibri"/>
          <w:bCs/>
          <w:iCs/>
          <w:color w:val="222222"/>
          <w:sz w:val="18"/>
          <w:szCs w:val="18"/>
          <w:lang w:eastAsia="fr-FR"/>
        </w:rPr>
        <w:t>).</w:t>
      </w:r>
      <w:r w:rsidRPr="003E4C48">
        <w:rPr>
          <w:rFonts w:ascii="Calibri" w:eastAsia="Calibri" w:hAnsi="Calibri" w:cs="Calibri"/>
          <w:bCs/>
          <w:iCs/>
          <w:color w:val="222222"/>
          <w:sz w:val="18"/>
          <w:szCs w:val="18"/>
          <w:lang w:val="es-CO" w:eastAsia="fr-FR"/>
        </w:rPr>
        <w:t xml:space="preserve"> </w:t>
      </w:r>
      <w:r w:rsidRPr="003E4C48">
        <w:rPr>
          <w:rFonts w:ascii="Calibri" w:eastAsia="Calibri" w:hAnsi="Calibri" w:cs="Calibri"/>
          <w:bCs/>
          <w:iCs/>
          <w:color w:val="222222"/>
          <w:sz w:val="18"/>
          <w:szCs w:val="18"/>
          <w:lang w:eastAsia="fr-FR"/>
        </w:rPr>
        <w:t xml:space="preserve">Es inexistente </w:t>
      </w:r>
      <w:r w:rsidRPr="003E4C48">
        <w:rPr>
          <w:rFonts w:ascii="Calibri" w:eastAsia="Calibri" w:hAnsi="Calibri" w:cs="Calibri"/>
          <w:bCs/>
          <w:iCs/>
          <w:color w:val="222222"/>
          <w:sz w:val="18"/>
          <w:szCs w:val="18"/>
          <w:lang w:val="es-CO" w:eastAsia="fr-FR"/>
        </w:rPr>
        <w:t xml:space="preserve">entonces </w:t>
      </w:r>
      <w:r w:rsidRPr="003E4C48">
        <w:rPr>
          <w:rFonts w:ascii="Calibri" w:eastAsia="Calibri" w:hAnsi="Calibri" w:cs="Calibri"/>
          <w:bCs/>
          <w:iCs/>
          <w:color w:val="222222"/>
          <w:sz w:val="18"/>
          <w:szCs w:val="18"/>
          <w:lang w:eastAsia="fr-FR"/>
        </w:rPr>
        <w:t xml:space="preserve">vulneración o amenaza al derecho invocado, puesto que no se advierte arbitraria ni antojadiza la decisión controvertida, pues la posición de la jueza accionada tiene un fundamento jurídico claro, en normas vigentes aplicables a los procesos de sucesión. </w:t>
      </w:r>
      <w:r w:rsidRPr="003E4C48">
        <w:rPr>
          <w:rFonts w:ascii="Calibri" w:eastAsia="Calibri" w:hAnsi="Calibri" w:cs="Calibri"/>
          <w:b/>
          <w:bCs/>
          <w:iCs/>
          <w:color w:val="222222"/>
          <w:sz w:val="18"/>
          <w:szCs w:val="18"/>
          <w:lang w:eastAsia="fr-FR"/>
        </w:rPr>
        <w:t xml:space="preserve">FALTA DE LEGITIMACIÓN EN LA CAUSA POR ACTIVA / IMPROCEDENCIA. </w:t>
      </w:r>
      <w:r w:rsidRPr="003E4C48">
        <w:rPr>
          <w:rFonts w:ascii="Calibri" w:eastAsia="Calibri" w:hAnsi="Calibri" w:cs="Calibri"/>
          <w:bCs/>
          <w:iCs/>
          <w:color w:val="222222"/>
          <w:sz w:val="18"/>
          <w:szCs w:val="18"/>
          <w:lang w:eastAsia="fr-FR"/>
        </w:rPr>
        <w:t xml:space="preserve">Se cumple la legitimación por activa dado que el señor Iván </w:t>
      </w:r>
      <w:proofErr w:type="spellStart"/>
      <w:r w:rsidRPr="003E4C48">
        <w:rPr>
          <w:rFonts w:ascii="Calibri" w:eastAsia="Calibri" w:hAnsi="Calibri" w:cs="Calibri"/>
          <w:bCs/>
          <w:iCs/>
          <w:color w:val="222222"/>
          <w:sz w:val="18"/>
          <w:szCs w:val="18"/>
          <w:lang w:eastAsia="fr-FR"/>
        </w:rPr>
        <w:t>Obel</w:t>
      </w:r>
      <w:proofErr w:type="spellEnd"/>
      <w:r w:rsidRPr="003E4C48">
        <w:rPr>
          <w:rFonts w:ascii="Calibri" w:eastAsia="Calibri" w:hAnsi="Calibri" w:cs="Calibri"/>
          <w:bCs/>
          <w:iCs/>
          <w:color w:val="222222"/>
          <w:sz w:val="18"/>
          <w:szCs w:val="18"/>
          <w:lang w:eastAsia="fr-FR"/>
        </w:rPr>
        <w:t xml:space="preserve"> Ramos Restrepo actúa como interesado en el proceso </w:t>
      </w:r>
      <w:proofErr w:type="spellStart"/>
      <w:r w:rsidRPr="003E4C48">
        <w:rPr>
          <w:rFonts w:ascii="Calibri" w:eastAsia="Calibri" w:hAnsi="Calibri" w:cs="Calibri"/>
          <w:bCs/>
          <w:iCs/>
          <w:color w:val="222222"/>
          <w:sz w:val="18"/>
          <w:szCs w:val="18"/>
          <w:lang w:eastAsia="fr-FR"/>
        </w:rPr>
        <w:t>liquidatorio</w:t>
      </w:r>
      <w:proofErr w:type="spellEnd"/>
      <w:r w:rsidRPr="003E4C48">
        <w:rPr>
          <w:rFonts w:ascii="Calibri" w:eastAsia="Calibri" w:hAnsi="Calibri" w:cs="Calibri"/>
          <w:bCs/>
          <w:iCs/>
          <w:color w:val="222222"/>
          <w:sz w:val="18"/>
          <w:szCs w:val="18"/>
          <w:lang w:eastAsia="fr-FR"/>
        </w:rPr>
        <w:t xml:space="preserve"> de sucesión. Diferente es respecto de la doctora</w:t>
      </w:r>
      <w:r w:rsidRPr="003E4C48">
        <w:rPr>
          <w:rFonts w:ascii="Calibri" w:eastAsia="Calibri" w:hAnsi="Calibri" w:cs="Calibri"/>
          <w:bCs/>
          <w:iCs/>
          <w:color w:val="222222"/>
          <w:sz w:val="18"/>
          <w:szCs w:val="18"/>
          <w:lang w:val="es-ES_tradnl" w:eastAsia="fr-FR"/>
        </w:rPr>
        <w:t xml:space="preserve"> Gloria Amparo Díaz García, pues no es parte, ni tercera reconocida en el aludido asunto, carece de la titularidad del derecho fundamental al debido proceso, por lo tanto se declarará improcedente el amparo constitucional formulado en su propio nombre.</w:t>
      </w:r>
      <w:r w:rsidRPr="003E4C48">
        <w:rPr>
          <w:rFonts w:ascii="Calibri" w:eastAsia="Calibri" w:hAnsi="Calibri" w:cs="Calibri"/>
          <w:b/>
          <w:bCs/>
          <w:iCs/>
          <w:color w:val="222222"/>
          <w:sz w:val="18"/>
          <w:szCs w:val="18"/>
          <w:lang w:val="es-ES_tradnl" w:eastAsia="fr-FR"/>
        </w:rPr>
        <w:t xml:space="preserve"> </w:t>
      </w:r>
    </w:p>
    <w:p w:rsidR="003913E3" w:rsidRPr="00484A74" w:rsidRDefault="00165382" w:rsidP="00F839CE">
      <w:pPr>
        <w:pStyle w:val="Sansinterligne"/>
        <w:spacing w:line="360" w:lineRule="auto"/>
        <w:rPr>
          <w:rFonts w:ascii="Georgia" w:hAnsi="Georgia" w:cs="Arial"/>
          <w:w w:val="140"/>
        </w:rPr>
      </w:pPr>
      <w:r w:rsidRPr="00484A74">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Pr="00484A74" w:rsidRDefault="003913E3" w:rsidP="00F839CE">
      <w:pPr>
        <w:pStyle w:val="Sansinterligne"/>
        <w:spacing w:line="360" w:lineRule="auto"/>
        <w:rPr>
          <w:rFonts w:ascii="Georgia" w:hAnsi="Georgia" w:cs="Arial"/>
          <w:w w:val="140"/>
          <w:sz w:val="14"/>
        </w:rPr>
      </w:pPr>
    </w:p>
    <w:p w:rsidR="003913E3" w:rsidRPr="00484A74" w:rsidRDefault="003913E3" w:rsidP="00417661">
      <w:pPr>
        <w:pStyle w:val="Sansinterligne"/>
        <w:spacing w:line="360" w:lineRule="auto"/>
        <w:ind w:left="708" w:firstLine="708"/>
        <w:jc w:val="center"/>
        <w:rPr>
          <w:rFonts w:ascii="Georgia" w:hAnsi="Georgia" w:cs="Arial"/>
          <w:w w:val="140"/>
          <w:sz w:val="14"/>
        </w:rPr>
      </w:pPr>
    </w:p>
    <w:p w:rsidR="003913E3" w:rsidRPr="00484A74" w:rsidRDefault="003913E3" w:rsidP="00D37757">
      <w:pPr>
        <w:pStyle w:val="Sansinterligne"/>
        <w:spacing w:line="360" w:lineRule="auto"/>
        <w:jc w:val="center"/>
        <w:rPr>
          <w:rFonts w:ascii="Georgia" w:hAnsi="Georgia" w:cs="Arial"/>
          <w:w w:val="140"/>
          <w:sz w:val="14"/>
        </w:rPr>
      </w:pPr>
      <w:r w:rsidRPr="00484A74">
        <w:rPr>
          <w:rFonts w:ascii="Georgia" w:hAnsi="Georgia" w:cs="Arial"/>
          <w:w w:val="140"/>
          <w:sz w:val="14"/>
        </w:rPr>
        <w:t>REPUBLICA DE COLOMBIA</w:t>
      </w:r>
    </w:p>
    <w:p w:rsidR="003913E3" w:rsidRPr="00484A74" w:rsidRDefault="003913E3" w:rsidP="00692159">
      <w:pPr>
        <w:pStyle w:val="Sansinterligne"/>
        <w:tabs>
          <w:tab w:val="center" w:pos="4987"/>
          <w:tab w:val="left" w:pos="8449"/>
        </w:tabs>
        <w:spacing w:line="360" w:lineRule="auto"/>
        <w:jc w:val="center"/>
        <w:rPr>
          <w:rFonts w:ascii="Georgia" w:hAnsi="Georgia" w:cs="Arial"/>
          <w:w w:val="140"/>
        </w:rPr>
      </w:pPr>
      <w:r w:rsidRPr="00484A74">
        <w:rPr>
          <w:rFonts w:ascii="Georgia" w:hAnsi="Georgia" w:cs="Arial"/>
          <w:w w:val="140"/>
          <w:sz w:val="14"/>
        </w:rPr>
        <w:t>RAMA JUDICIAL DEL PODER PÚBLICO</w:t>
      </w:r>
    </w:p>
    <w:p w:rsidR="003913E3" w:rsidRPr="00484A74" w:rsidRDefault="003913E3" w:rsidP="00692159">
      <w:pPr>
        <w:pStyle w:val="Sansinterligne"/>
        <w:spacing w:line="360" w:lineRule="auto"/>
        <w:jc w:val="center"/>
        <w:rPr>
          <w:rFonts w:ascii="Georgia" w:hAnsi="Georgia" w:cs="Arial"/>
          <w:w w:val="140"/>
          <w:sz w:val="16"/>
        </w:rPr>
      </w:pPr>
      <w:r w:rsidRPr="00484A74">
        <w:rPr>
          <w:rFonts w:ascii="Georgia" w:hAnsi="Georgia" w:cs="Arial"/>
          <w:w w:val="140"/>
          <w:sz w:val="18"/>
        </w:rPr>
        <w:t>T</w:t>
      </w:r>
      <w:r w:rsidRPr="00484A74">
        <w:rPr>
          <w:rFonts w:ascii="Georgia" w:hAnsi="Georgia" w:cs="Arial"/>
          <w:w w:val="140"/>
          <w:sz w:val="16"/>
        </w:rPr>
        <w:t>RIBUNAL</w:t>
      </w:r>
      <w:r w:rsidRPr="00484A74">
        <w:rPr>
          <w:rFonts w:ascii="Georgia" w:hAnsi="Georgia" w:cs="Arial"/>
          <w:w w:val="140"/>
          <w:sz w:val="18"/>
        </w:rPr>
        <w:t xml:space="preserve"> S</w:t>
      </w:r>
      <w:r w:rsidRPr="00484A74">
        <w:rPr>
          <w:rFonts w:ascii="Georgia" w:hAnsi="Georgia" w:cs="Arial"/>
          <w:w w:val="140"/>
          <w:sz w:val="16"/>
        </w:rPr>
        <w:t xml:space="preserve">UPERIOR DEL </w:t>
      </w:r>
      <w:r w:rsidRPr="00484A74">
        <w:rPr>
          <w:rFonts w:ascii="Georgia" w:hAnsi="Georgia" w:cs="Arial"/>
          <w:w w:val="140"/>
          <w:sz w:val="18"/>
        </w:rPr>
        <w:t>D</w:t>
      </w:r>
      <w:r w:rsidRPr="00484A74">
        <w:rPr>
          <w:rFonts w:ascii="Georgia" w:hAnsi="Georgia" w:cs="Arial"/>
          <w:w w:val="140"/>
          <w:sz w:val="16"/>
        </w:rPr>
        <w:t>ISTRITO</w:t>
      </w:r>
      <w:r w:rsidRPr="00484A74">
        <w:rPr>
          <w:rFonts w:ascii="Georgia" w:hAnsi="Georgia" w:cs="Arial"/>
          <w:w w:val="140"/>
          <w:sz w:val="18"/>
        </w:rPr>
        <w:t xml:space="preserve"> J</w:t>
      </w:r>
      <w:r w:rsidRPr="00484A74">
        <w:rPr>
          <w:rFonts w:ascii="Georgia" w:hAnsi="Georgia" w:cs="Arial"/>
          <w:w w:val="140"/>
          <w:sz w:val="16"/>
        </w:rPr>
        <w:t>UDICIAL</w:t>
      </w:r>
    </w:p>
    <w:p w:rsidR="005C26B3" w:rsidRPr="00484A74" w:rsidRDefault="005C26B3" w:rsidP="005C26B3">
      <w:pPr>
        <w:pStyle w:val="Sansinterligne"/>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S</w:t>
      </w:r>
      <w:r w:rsidRPr="00484A74">
        <w:rPr>
          <w:rFonts w:ascii="Georgia" w:hAnsi="Georgia" w:cs="Arial"/>
          <w:w w:val="140"/>
          <w:sz w:val="16"/>
          <w:szCs w:val="18"/>
          <w:lang w:val="es-CO"/>
        </w:rPr>
        <w:t xml:space="preserve">ALA DE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ECISIÓN </w:t>
      </w:r>
      <w:r w:rsidRPr="00484A74">
        <w:rPr>
          <w:rFonts w:ascii="Georgia" w:hAnsi="Georgia" w:cs="Arial"/>
          <w:w w:val="140"/>
          <w:sz w:val="18"/>
          <w:szCs w:val="18"/>
          <w:lang w:val="es-CO"/>
        </w:rPr>
        <w:t>C</w:t>
      </w:r>
      <w:r w:rsidRPr="00484A74">
        <w:rPr>
          <w:rFonts w:ascii="Georgia" w:hAnsi="Georgia" w:cs="Arial"/>
          <w:w w:val="140"/>
          <w:sz w:val="16"/>
          <w:szCs w:val="18"/>
          <w:lang w:val="es-CO"/>
        </w:rPr>
        <w:t xml:space="preserve">IVIL – </w:t>
      </w:r>
      <w:r w:rsidRPr="00484A74">
        <w:rPr>
          <w:rFonts w:ascii="Georgia" w:hAnsi="Georgia" w:cs="Arial"/>
          <w:w w:val="140"/>
          <w:sz w:val="18"/>
          <w:szCs w:val="18"/>
          <w:lang w:val="es-CO"/>
        </w:rPr>
        <w:t>F</w:t>
      </w:r>
      <w:r w:rsidRPr="00484A74">
        <w:rPr>
          <w:rFonts w:ascii="Georgia" w:hAnsi="Georgia" w:cs="Arial"/>
          <w:w w:val="140"/>
          <w:sz w:val="16"/>
          <w:szCs w:val="18"/>
          <w:lang w:val="es-CO"/>
        </w:rPr>
        <w:t xml:space="preserve">AMILIA –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ISTRITO DE </w:t>
      </w:r>
      <w:r w:rsidRPr="00484A74">
        <w:rPr>
          <w:rFonts w:ascii="Georgia" w:hAnsi="Georgia" w:cs="Arial"/>
          <w:w w:val="140"/>
          <w:sz w:val="18"/>
          <w:szCs w:val="18"/>
          <w:lang w:val="es-CO"/>
        </w:rPr>
        <w:t>P</w:t>
      </w:r>
      <w:r w:rsidRPr="00484A74">
        <w:rPr>
          <w:rFonts w:ascii="Georgia" w:hAnsi="Georgia" w:cs="Arial"/>
          <w:w w:val="140"/>
          <w:sz w:val="16"/>
          <w:szCs w:val="18"/>
          <w:lang w:val="es-CO"/>
        </w:rPr>
        <w:t>EREIRA</w:t>
      </w:r>
    </w:p>
    <w:p w:rsidR="005C26B3" w:rsidRPr="00484A74" w:rsidRDefault="005C26B3" w:rsidP="005C26B3">
      <w:pPr>
        <w:pStyle w:val="Sansinterligne"/>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EPARTAMENTO DE </w:t>
      </w:r>
      <w:r w:rsidRPr="00484A74">
        <w:rPr>
          <w:rFonts w:ascii="Georgia" w:hAnsi="Georgia" w:cs="Arial"/>
          <w:w w:val="140"/>
          <w:sz w:val="18"/>
          <w:szCs w:val="18"/>
          <w:lang w:val="es-CO"/>
        </w:rPr>
        <w:t>R</w:t>
      </w:r>
      <w:r w:rsidRPr="00484A74">
        <w:rPr>
          <w:rFonts w:ascii="Georgia" w:hAnsi="Georgia" w:cs="Arial"/>
          <w:w w:val="140"/>
          <w:sz w:val="16"/>
          <w:szCs w:val="18"/>
          <w:lang w:val="es-CO"/>
        </w:rPr>
        <w:t>ISARALDA</w:t>
      </w:r>
    </w:p>
    <w:p w:rsidR="003913E3" w:rsidRPr="00484A74" w:rsidRDefault="003913E3" w:rsidP="00F839CE">
      <w:pPr>
        <w:spacing w:line="360" w:lineRule="auto"/>
        <w:jc w:val="center"/>
        <w:rPr>
          <w:rFonts w:ascii="Georgia" w:hAnsi="Georgia" w:cs="Arial"/>
          <w:b/>
          <w:bCs/>
          <w:sz w:val="20"/>
          <w:szCs w:val="26"/>
        </w:rPr>
      </w:pPr>
    </w:p>
    <w:p w:rsidR="003913E3" w:rsidRPr="00484A74" w:rsidRDefault="003913E3" w:rsidP="00C55802">
      <w:pPr>
        <w:pStyle w:val="Corpsdetexte"/>
        <w:spacing w:line="360" w:lineRule="auto"/>
        <w:ind w:left="1416"/>
        <w:rPr>
          <w:rFonts w:ascii="Georgia" w:hAnsi="Georgia"/>
          <w:sz w:val="22"/>
          <w:szCs w:val="22"/>
        </w:rPr>
      </w:pPr>
      <w:r w:rsidRPr="00484A74">
        <w:rPr>
          <w:rFonts w:ascii="Georgia" w:hAnsi="Georgia"/>
          <w:sz w:val="22"/>
          <w:szCs w:val="22"/>
        </w:rPr>
        <w:t>Asunto</w:t>
      </w:r>
      <w:r w:rsidRPr="00484A74">
        <w:rPr>
          <w:rFonts w:ascii="Georgia" w:hAnsi="Georgia"/>
          <w:sz w:val="22"/>
          <w:szCs w:val="22"/>
        </w:rPr>
        <w:tab/>
      </w:r>
      <w:r w:rsidRPr="00484A74">
        <w:rPr>
          <w:rFonts w:ascii="Georgia" w:hAnsi="Georgia"/>
          <w:sz w:val="22"/>
          <w:szCs w:val="22"/>
        </w:rPr>
        <w:tab/>
      </w:r>
      <w:r w:rsidRPr="00484A74">
        <w:rPr>
          <w:rFonts w:ascii="Georgia" w:hAnsi="Georgia"/>
          <w:sz w:val="22"/>
          <w:szCs w:val="22"/>
        </w:rPr>
        <w:tab/>
        <w:t>: Sentencia de tutela en segunda instancia</w:t>
      </w:r>
    </w:p>
    <w:p w:rsidR="00586A21" w:rsidRPr="00484A74" w:rsidRDefault="00586A21" w:rsidP="00586A21">
      <w:pPr>
        <w:pStyle w:val="Corpsdetexte"/>
        <w:spacing w:line="360" w:lineRule="auto"/>
        <w:ind w:left="1416"/>
        <w:rPr>
          <w:rFonts w:ascii="Georgia" w:hAnsi="Georgia" w:cs="Arial"/>
          <w:sz w:val="22"/>
          <w:szCs w:val="22"/>
        </w:rPr>
      </w:pPr>
      <w:r w:rsidRPr="00484A74">
        <w:rPr>
          <w:rFonts w:ascii="Georgia" w:hAnsi="Georgia" w:cs="Arial"/>
          <w:sz w:val="22"/>
          <w:szCs w:val="22"/>
        </w:rPr>
        <w:t>Accionante</w:t>
      </w:r>
      <w:r w:rsidRPr="00484A74">
        <w:rPr>
          <w:rFonts w:ascii="Georgia" w:hAnsi="Georgia" w:cs="Arial"/>
          <w:sz w:val="22"/>
          <w:szCs w:val="22"/>
        </w:rPr>
        <w:tab/>
      </w:r>
      <w:r w:rsidRPr="00484A74">
        <w:rPr>
          <w:rFonts w:ascii="Georgia" w:hAnsi="Georgia" w:cs="Arial"/>
          <w:sz w:val="22"/>
          <w:szCs w:val="22"/>
        </w:rPr>
        <w:tab/>
        <w:t xml:space="preserve">: </w:t>
      </w:r>
      <w:r w:rsidR="001B5C92">
        <w:rPr>
          <w:rFonts w:ascii="Georgia" w:hAnsi="Georgia" w:cs="Arial"/>
          <w:sz w:val="22"/>
          <w:szCs w:val="22"/>
        </w:rPr>
        <w:t xml:space="preserve">Iván </w:t>
      </w:r>
      <w:proofErr w:type="spellStart"/>
      <w:r w:rsidR="001B5C92">
        <w:rPr>
          <w:rFonts w:ascii="Georgia" w:hAnsi="Georgia" w:cs="Arial"/>
          <w:sz w:val="22"/>
          <w:szCs w:val="22"/>
        </w:rPr>
        <w:t>Obel</w:t>
      </w:r>
      <w:proofErr w:type="spellEnd"/>
      <w:r w:rsidR="001B5C92">
        <w:rPr>
          <w:rFonts w:ascii="Georgia" w:hAnsi="Georgia" w:cs="Arial"/>
          <w:sz w:val="22"/>
          <w:szCs w:val="22"/>
        </w:rPr>
        <w:t xml:space="preserve"> Ramos Restrepo y otra</w:t>
      </w:r>
    </w:p>
    <w:p w:rsidR="00586A21" w:rsidRPr="00484A74" w:rsidRDefault="00586A21" w:rsidP="00586A21">
      <w:pPr>
        <w:pStyle w:val="Corpsdetexte"/>
        <w:spacing w:line="360" w:lineRule="auto"/>
        <w:ind w:left="1416"/>
        <w:rPr>
          <w:rFonts w:ascii="Georgia" w:hAnsi="Georgia" w:cs="Arial"/>
          <w:sz w:val="22"/>
          <w:szCs w:val="22"/>
        </w:rPr>
      </w:pPr>
      <w:r w:rsidRPr="00484A74">
        <w:rPr>
          <w:rFonts w:ascii="Georgia" w:hAnsi="Georgia" w:cs="Arial"/>
          <w:sz w:val="22"/>
          <w:szCs w:val="22"/>
        </w:rPr>
        <w:t xml:space="preserve">Accionado </w:t>
      </w:r>
      <w:r w:rsidRPr="00484A74">
        <w:rPr>
          <w:rFonts w:ascii="Georgia" w:hAnsi="Georgia" w:cs="Arial"/>
          <w:sz w:val="22"/>
          <w:szCs w:val="22"/>
        </w:rPr>
        <w:tab/>
      </w:r>
      <w:r w:rsidRPr="00484A74">
        <w:rPr>
          <w:rFonts w:ascii="Georgia" w:hAnsi="Georgia" w:cs="Arial"/>
          <w:sz w:val="22"/>
          <w:szCs w:val="22"/>
        </w:rPr>
        <w:tab/>
        <w:t xml:space="preserve">: Juzgado </w:t>
      </w:r>
      <w:r w:rsidR="001B5C92">
        <w:rPr>
          <w:rFonts w:ascii="Georgia" w:hAnsi="Georgia" w:cs="Arial"/>
          <w:sz w:val="22"/>
          <w:szCs w:val="22"/>
        </w:rPr>
        <w:t>Tercero Civil Municipal de Dosquebradas</w:t>
      </w:r>
    </w:p>
    <w:p w:rsidR="00586A21" w:rsidRPr="00484A74" w:rsidRDefault="00586A21" w:rsidP="00586A21">
      <w:pPr>
        <w:pStyle w:val="Corpsdetexte"/>
        <w:spacing w:line="360" w:lineRule="auto"/>
        <w:ind w:left="1416"/>
        <w:rPr>
          <w:rFonts w:ascii="Georgia" w:hAnsi="Georgia" w:cs="Arial"/>
          <w:sz w:val="22"/>
          <w:szCs w:val="22"/>
        </w:rPr>
      </w:pPr>
      <w:r w:rsidRPr="00484A74">
        <w:rPr>
          <w:rFonts w:ascii="Georgia" w:hAnsi="Georgia" w:cs="Arial"/>
          <w:sz w:val="22"/>
          <w:szCs w:val="22"/>
        </w:rPr>
        <w:t>Vinculado</w:t>
      </w:r>
      <w:r w:rsidR="000A572A" w:rsidRPr="00484A74">
        <w:rPr>
          <w:rFonts w:ascii="Georgia" w:hAnsi="Georgia" w:cs="Arial"/>
          <w:sz w:val="22"/>
          <w:szCs w:val="22"/>
        </w:rPr>
        <w:tab/>
      </w:r>
      <w:r w:rsidRPr="00484A74">
        <w:rPr>
          <w:rFonts w:ascii="Georgia" w:hAnsi="Georgia" w:cs="Arial"/>
          <w:sz w:val="22"/>
          <w:szCs w:val="22"/>
        </w:rPr>
        <w:tab/>
        <w:t xml:space="preserve">: </w:t>
      </w:r>
      <w:r w:rsidR="001B5C92">
        <w:rPr>
          <w:rFonts w:ascii="Georgia" w:hAnsi="Georgia" w:cs="Arial"/>
          <w:sz w:val="22"/>
          <w:szCs w:val="22"/>
        </w:rPr>
        <w:t xml:space="preserve">Gildardo de Jesús Ramos Restrepo y otra </w:t>
      </w:r>
    </w:p>
    <w:p w:rsidR="00586A21" w:rsidRPr="00484A74" w:rsidRDefault="00586A21" w:rsidP="00586A21">
      <w:pPr>
        <w:pStyle w:val="Corpsdetexte"/>
        <w:spacing w:line="360" w:lineRule="auto"/>
        <w:ind w:left="1416"/>
        <w:rPr>
          <w:rFonts w:ascii="Georgia" w:hAnsi="Georgia" w:cs="Arial"/>
          <w:sz w:val="22"/>
          <w:szCs w:val="22"/>
        </w:rPr>
      </w:pPr>
      <w:r w:rsidRPr="00484A74">
        <w:rPr>
          <w:rFonts w:ascii="Georgia" w:hAnsi="Georgia" w:cs="Arial"/>
          <w:sz w:val="22"/>
          <w:szCs w:val="22"/>
        </w:rPr>
        <w:t>Procedencia</w:t>
      </w:r>
      <w:r w:rsidRPr="00484A74">
        <w:rPr>
          <w:rFonts w:ascii="Georgia" w:hAnsi="Georgia" w:cs="Arial"/>
          <w:sz w:val="22"/>
          <w:szCs w:val="22"/>
        </w:rPr>
        <w:tab/>
      </w:r>
      <w:r w:rsidRPr="00484A74">
        <w:rPr>
          <w:rFonts w:ascii="Georgia" w:hAnsi="Georgia" w:cs="Arial"/>
          <w:sz w:val="22"/>
          <w:szCs w:val="22"/>
        </w:rPr>
        <w:tab/>
        <w:t xml:space="preserve">: Juzgado </w:t>
      </w:r>
      <w:r w:rsidR="002A7D9F" w:rsidRPr="00484A74">
        <w:rPr>
          <w:rFonts w:ascii="Georgia" w:hAnsi="Georgia" w:cs="Arial"/>
          <w:sz w:val="22"/>
          <w:szCs w:val="22"/>
          <w:lang w:val="es-CO"/>
        </w:rPr>
        <w:t xml:space="preserve">Civil del Circuito de </w:t>
      </w:r>
      <w:r w:rsidR="001B5C92">
        <w:rPr>
          <w:rFonts w:ascii="Georgia" w:hAnsi="Georgia" w:cs="Arial"/>
          <w:sz w:val="22"/>
          <w:szCs w:val="22"/>
          <w:lang w:val="es-CO"/>
        </w:rPr>
        <w:t>Dosquebradas</w:t>
      </w:r>
    </w:p>
    <w:p w:rsidR="00586A21" w:rsidRPr="00484A74" w:rsidRDefault="00586A21" w:rsidP="00586A21">
      <w:pPr>
        <w:pStyle w:val="Corpsdetexte"/>
        <w:spacing w:line="360" w:lineRule="auto"/>
        <w:ind w:left="1416"/>
        <w:rPr>
          <w:rFonts w:ascii="Georgia" w:hAnsi="Georgia" w:cs="Arial"/>
          <w:sz w:val="22"/>
          <w:szCs w:val="22"/>
        </w:rPr>
      </w:pPr>
      <w:r w:rsidRPr="00484A74">
        <w:rPr>
          <w:rFonts w:ascii="Georgia" w:hAnsi="Georgia" w:cs="Arial"/>
          <w:sz w:val="22"/>
          <w:szCs w:val="22"/>
        </w:rPr>
        <w:t>Radicación</w:t>
      </w:r>
      <w:r w:rsidRPr="00484A74">
        <w:rPr>
          <w:rFonts w:ascii="Georgia" w:hAnsi="Georgia" w:cs="Arial"/>
          <w:sz w:val="22"/>
          <w:szCs w:val="22"/>
        </w:rPr>
        <w:tab/>
      </w:r>
      <w:r w:rsidRPr="00484A74">
        <w:rPr>
          <w:rFonts w:ascii="Georgia" w:hAnsi="Georgia" w:cs="Arial"/>
          <w:sz w:val="22"/>
          <w:szCs w:val="22"/>
        </w:rPr>
        <w:tab/>
        <w:t xml:space="preserve">: </w:t>
      </w:r>
      <w:r w:rsidR="002A7D9F" w:rsidRPr="00484A74">
        <w:rPr>
          <w:rFonts w:ascii="Georgia" w:hAnsi="Georgia" w:cs="Arial"/>
          <w:sz w:val="22"/>
          <w:szCs w:val="22"/>
        </w:rPr>
        <w:t>2017-</w:t>
      </w:r>
      <w:r w:rsidR="001B5C92">
        <w:rPr>
          <w:rFonts w:ascii="Georgia" w:hAnsi="Georgia" w:cs="Arial"/>
          <w:sz w:val="22"/>
          <w:szCs w:val="22"/>
        </w:rPr>
        <w:t>00066-02</w:t>
      </w:r>
    </w:p>
    <w:p w:rsidR="004A12F7" w:rsidRPr="00484A74" w:rsidRDefault="004A12F7" w:rsidP="004A12F7">
      <w:pPr>
        <w:pStyle w:val="Corpsdetexte"/>
        <w:spacing w:line="360" w:lineRule="auto"/>
        <w:rPr>
          <w:rFonts w:ascii="Georgia" w:hAnsi="Georgia" w:cs="Arial"/>
          <w:sz w:val="22"/>
          <w:szCs w:val="22"/>
        </w:rPr>
      </w:pPr>
      <w:r w:rsidRPr="00484A74">
        <w:rPr>
          <w:rFonts w:ascii="Georgia" w:hAnsi="Georgia"/>
          <w:sz w:val="22"/>
          <w:szCs w:val="22"/>
        </w:rPr>
        <w:tab/>
      </w:r>
      <w:r w:rsidRPr="00484A74">
        <w:rPr>
          <w:rFonts w:ascii="Georgia" w:hAnsi="Georgia"/>
          <w:sz w:val="22"/>
          <w:szCs w:val="22"/>
        </w:rPr>
        <w:tab/>
        <w:t>Temas</w:t>
      </w:r>
      <w:r w:rsidRPr="00484A74">
        <w:rPr>
          <w:rFonts w:ascii="Georgia" w:hAnsi="Georgia"/>
          <w:sz w:val="22"/>
          <w:szCs w:val="22"/>
        </w:rPr>
        <w:tab/>
      </w:r>
      <w:r w:rsidRPr="00484A74">
        <w:rPr>
          <w:rFonts w:ascii="Georgia" w:hAnsi="Georgia"/>
          <w:sz w:val="22"/>
          <w:szCs w:val="22"/>
        </w:rPr>
        <w:tab/>
      </w:r>
      <w:r w:rsidRPr="00484A74">
        <w:rPr>
          <w:rFonts w:ascii="Georgia" w:hAnsi="Georgia"/>
          <w:sz w:val="22"/>
          <w:szCs w:val="22"/>
        </w:rPr>
        <w:tab/>
        <w:t xml:space="preserve">: </w:t>
      </w:r>
      <w:r w:rsidRPr="00484A74">
        <w:rPr>
          <w:rFonts w:ascii="Georgia" w:hAnsi="Georgia" w:cs="Arial"/>
          <w:sz w:val="22"/>
          <w:szCs w:val="24"/>
        </w:rPr>
        <w:t xml:space="preserve">Defecto </w:t>
      </w:r>
      <w:r w:rsidR="00560AA3">
        <w:rPr>
          <w:rFonts w:ascii="Georgia" w:hAnsi="Georgia" w:cs="Arial"/>
          <w:sz w:val="22"/>
          <w:szCs w:val="24"/>
        </w:rPr>
        <w:t>sustantivo</w:t>
      </w:r>
      <w:r w:rsidR="001B5C92">
        <w:rPr>
          <w:rFonts w:ascii="Georgia" w:hAnsi="Georgia" w:cs="Arial"/>
          <w:sz w:val="22"/>
          <w:szCs w:val="24"/>
        </w:rPr>
        <w:t xml:space="preserve"> </w:t>
      </w:r>
      <w:r w:rsidR="002A7D9F" w:rsidRPr="00484A74">
        <w:rPr>
          <w:rFonts w:ascii="Georgia" w:hAnsi="Georgia" w:cs="Arial"/>
          <w:sz w:val="22"/>
          <w:szCs w:val="24"/>
        </w:rPr>
        <w:t xml:space="preserve">– </w:t>
      </w:r>
      <w:r w:rsidR="001B5C92">
        <w:rPr>
          <w:rFonts w:ascii="Georgia" w:hAnsi="Georgia" w:cs="Arial"/>
          <w:sz w:val="22"/>
          <w:szCs w:val="24"/>
        </w:rPr>
        <w:t>Inexistencia de vulneración</w:t>
      </w:r>
    </w:p>
    <w:p w:rsidR="003913E3" w:rsidRPr="00484A74" w:rsidRDefault="004A12F7" w:rsidP="004A12F7">
      <w:pPr>
        <w:pStyle w:val="Corpsdetexte"/>
        <w:spacing w:line="360" w:lineRule="auto"/>
        <w:ind w:left="708" w:hanging="708"/>
        <w:rPr>
          <w:rFonts w:ascii="Georgia" w:hAnsi="Georgia" w:cs="Arial"/>
          <w:smallCaps/>
          <w:sz w:val="22"/>
          <w:szCs w:val="22"/>
          <w:lang w:val="es-CO"/>
        </w:rPr>
      </w:pPr>
      <w:r w:rsidRPr="00484A74">
        <w:rPr>
          <w:rFonts w:ascii="Georgia" w:hAnsi="Georgia"/>
          <w:sz w:val="22"/>
          <w:szCs w:val="22"/>
        </w:rPr>
        <w:tab/>
      </w:r>
      <w:r w:rsidRPr="00484A74">
        <w:rPr>
          <w:rFonts w:ascii="Georgia" w:hAnsi="Georgia"/>
          <w:sz w:val="22"/>
          <w:szCs w:val="22"/>
        </w:rPr>
        <w:tab/>
      </w:r>
      <w:r w:rsidR="003913E3" w:rsidRPr="00484A74">
        <w:rPr>
          <w:rFonts w:ascii="Georgia" w:hAnsi="Georgia"/>
          <w:sz w:val="22"/>
          <w:szCs w:val="22"/>
        </w:rPr>
        <w:t>Magistrado Ponente</w:t>
      </w:r>
      <w:r w:rsidR="003913E3" w:rsidRPr="00484A74">
        <w:rPr>
          <w:rFonts w:ascii="Georgia" w:hAnsi="Georgia"/>
          <w:sz w:val="22"/>
          <w:szCs w:val="22"/>
        </w:rPr>
        <w:tab/>
        <w:t xml:space="preserve">: </w:t>
      </w:r>
      <w:proofErr w:type="spellStart"/>
      <w:r w:rsidR="003913E3" w:rsidRPr="00484A74">
        <w:rPr>
          <w:rFonts w:ascii="Georgia" w:hAnsi="Georgia" w:cs="Arial"/>
          <w:smallCaps/>
          <w:sz w:val="22"/>
          <w:szCs w:val="22"/>
          <w:lang w:val="es-CO"/>
        </w:rPr>
        <w:t>Duberney</w:t>
      </w:r>
      <w:proofErr w:type="spellEnd"/>
      <w:r w:rsidR="003913E3" w:rsidRPr="00484A74">
        <w:rPr>
          <w:rFonts w:ascii="Georgia" w:hAnsi="Georgia" w:cs="Arial"/>
          <w:smallCaps/>
          <w:sz w:val="22"/>
          <w:szCs w:val="22"/>
          <w:lang w:val="es-CO"/>
        </w:rPr>
        <w:t xml:space="preserve"> Grisales Herrera</w:t>
      </w:r>
    </w:p>
    <w:p w:rsidR="00D029BB" w:rsidRPr="00AD7B0C" w:rsidRDefault="00D029BB" w:rsidP="00D029BB">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657</w:t>
      </w:r>
      <w:r w:rsidRPr="00AD7B0C">
        <w:rPr>
          <w:rFonts w:ascii="Georgia" w:hAnsi="Georgia"/>
          <w:sz w:val="22"/>
          <w:szCs w:val="22"/>
        </w:rPr>
        <w:t xml:space="preserve"> de </w:t>
      </w:r>
      <w:r>
        <w:rPr>
          <w:rFonts w:ascii="Georgia" w:hAnsi="Georgia"/>
          <w:sz w:val="22"/>
          <w:szCs w:val="22"/>
        </w:rPr>
        <w:t>22</w:t>
      </w:r>
      <w:r w:rsidRPr="00AD7B0C">
        <w:rPr>
          <w:rFonts w:ascii="Georgia" w:hAnsi="Georgia"/>
          <w:sz w:val="22"/>
          <w:szCs w:val="22"/>
        </w:rPr>
        <w:t>-11-2017</w:t>
      </w:r>
    </w:p>
    <w:p w:rsidR="00D029BB" w:rsidRPr="00AD7B0C" w:rsidRDefault="00D029BB" w:rsidP="00D029BB">
      <w:pPr>
        <w:pBdr>
          <w:bottom w:val="double" w:sz="6" w:space="1" w:color="auto"/>
        </w:pBdr>
        <w:spacing w:line="360" w:lineRule="auto"/>
        <w:jc w:val="center"/>
        <w:rPr>
          <w:rFonts w:ascii="Georgia" w:hAnsi="Georgia" w:cs="Arial"/>
          <w:b/>
          <w:bCs/>
          <w:sz w:val="18"/>
          <w:szCs w:val="22"/>
        </w:rPr>
      </w:pPr>
    </w:p>
    <w:p w:rsidR="00D029BB" w:rsidRPr="00AD7B0C" w:rsidRDefault="00D029BB" w:rsidP="00D029BB">
      <w:pPr>
        <w:spacing w:line="360" w:lineRule="auto"/>
        <w:jc w:val="center"/>
        <w:rPr>
          <w:rFonts w:ascii="Georgia" w:hAnsi="Georgia" w:cs="Arial"/>
          <w:b/>
          <w:bCs/>
          <w:szCs w:val="22"/>
        </w:rPr>
      </w:pPr>
    </w:p>
    <w:p w:rsidR="00D029BB" w:rsidRPr="00AD7B0C" w:rsidRDefault="00D029BB" w:rsidP="00D029BB">
      <w:pPr>
        <w:spacing w:line="360" w:lineRule="auto"/>
        <w:jc w:val="center"/>
        <w:rPr>
          <w:rFonts w:ascii="Georgia" w:hAnsi="Georgia" w:cs="Arial"/>
          <w:iCs/>
          <w:lang w:val="es-CO"/>
        </w:rPr>
      </w:pPr>
      <w:r w:rsidRPr="00AD7B0C">
        <w:rPr>
          <w:rFonts w:ascii="Georgia" w:hAnsi="Georgia" w:cs="Arial"/>
          <w:iCs/>
          <w:smallCaps/>
          <w:lang w:val="es-CO"/>
        </w:rPr>
        <w:t xml:space="preserve">PEREIRA, R. </w:t>
      </w:r>
      <w:r>
        <w:rPr>
          <w:rFonts w:ascii="Georgia" w:hAnsi="Georgia" w:cs="Arial"/>
          <w:iCs/>
          <w:smallCaps/>
          <w:lang w:val="es-CO"/>
        </w:rPr>
        <w:t xml:space="preserve">VEINTIDÓS </w:t>
      </w:r>
      <w:r w:rsidRPr="00AD7B0C">
        <w:rPr>
          <w:rFonts w:ascii="Georgia" w:hAnsi="Georgia" w:cs="Arial"/>
          <w:iCs/>
          <w:smallCaps/>
          <w:lang w:val="es-CO"/>
        </w:rPr>
        <w:t>(</w:t>
      </w:r>
      <w:r>
        <w:rPr>
          <w:rFonts w:ascii="Georgia" w:hAnsi="Georgia" w:cs="Arial"/>
          <w:iCs/>
          <w:smallCaps/>
          <w:lang w:val="es-CO"/>
        </w:rPr>
        <w:t>22</w:t>
      </w:r>
      <w:r w:rsidRPr="00AD7B0C">
        <w:rPr>
          <w:rFonts w:ascii="Georgia" w:hAnsi="Georgia" w:cs="Arial"/>
          <w:iCs/>
          <w:smallCaps/>
          <w:lang w:val="es-CO"/>
        </w:rPr>
        <w:t>) DE NOVIEMBRE DE DOS MIL DICIESIETE (2017)</w:t>
      </w:r>
      <w:r w:rsidRPr="00AD7B0C">
        <w:rPr>
          <w:rFonts w:ascii="Georgia" w:hAnsi="Georgia" w:cs="Arial"/>
          <w:iCs/>
          <w:lang w:val="es-CO"/>
        </w:rPr>
        <w:t>.</w:t>
      </w:r>
    </w:p>
    <w:p w:rsidR="003913E3" w:rsidRPr="00484A74" w:rsidRDefault="003913E3" w:rsidP="00F839CE">
      <w:pPr>
        <w:pStyle w:val="Corpsdetexte"/>
        <w:spacing w:line="360" w:lineRule="auto"/>
        <w:rPr>
          <w:rFonts w:ascii="Georgia" w:hAnsi="Georgia" w:cs="Arial"/>
          <w:sz w:val="24"/>
          <w:szCs w:val="24"/>
          <w:lang w:val="es-CO"/>
        </w:rPr>
      </w:pPr>
    </w:p>
    <w:p w:rsidR="003913E3" w:rsidRPr="00484A74" w:rsidRDefault="003913E3" w:rsidP="00F839CE">
      <w:pPr>
        <w:pStyle w:val="Corpsdetexte"/>
        <w:numPr>
          <w:ilvl w:val="0"/>
          <w:numId w:val="1"/>
        </w:numPr>
        <w:spacing w:line="360" w:lineRule="auto"/>
        <w:rPr>
          <w:rFonts w:ascii="Georgia" w:hAnsi="Georgia" w:cs="Arial"/>
          <w:sz w:val="24"/>
          <w:szCs w:val="24"/>
        </w:rPr>
      </w:pPr>
      <w:r w:rsidRPr="00484A74">
        <w:rPr>
          <w:rFonts w:ascii="Georgia" w:hAnsi="Georgia" w:cs="Arial"/>
          <w:sz w:val="24"/>
          <w:szCs w:val="24"/>
        </w:rPr>
        <w:t xml:space="preserve">EL ASUNTO </w:t>
      </w:r>
      <w:r w:rsidR="00FA29FF" w:rsidRPr="00484A74">
        <w:rPr>
          <w:rFonts w:ascii="Georgia" w:hAnsi="Georgia" w:cs="Arial"/>
          <w:sz w:val="24"/>
          <w:szCs w:val="24"/>
        </w:rPr>
        <w:t xml:space="preserve">POR </w:t>
      </w:r>
      <w:r w:rsidRPr="00484A74">
        <w:rPr>
          <w:rFonts w:ascii="Georgia" w:hAnsi="Georgia" w:cs="Arial"/>
          <w:sz w:val="24"/>
          <w:szCs w:val="24"/>
        </w:rPr>
        <w:t>DECIDIR</w:t>
      </w:r>
    </w:p>
    <w:p w:rsidR="003913E3" w:rsidRPr="00484A74" w:rsidRDefault="003913E3" w:rsidP="00F839CE">
      <w:pPr>
        <w:pStyle w:val="Corpsdetexte"/>
        <w:spacing w:line="360" w:lineRule="auto"/>
        <w:rPr>
          <w:rFonts w:ascii="Georgia" w:hAnsi="Georgia" w:cs="Arial"/>
          <w:sz w:val="24"/>
          <w:szCs w:val="24"/>
        </w:rPr>
      </w:pPr>
    </w:p>
    <w:p w:rsidR="003913E3" w:rsidRPr="00484A74" w:rsidRDefault="003913E3" w:rsidP="00F839CE">
      <w:pPr>
        <w:pStyle w:val="Corpsdetexte"/>
        <w:spacing w:line="360" w:lineRule="auto"/>
        <w:rPr>
          <w:rFonts w:ascii="Georgia" w:hAnsi="Georgia" w:cs="Arial"/>
          <w:sz w:val="24"/>
          <w:szCs w:val="24"/>
        </w:rPr>
      </w:pPr>
      <w:r w:rsidRPr="00484A74">
        <w:rPr>
          <w:rFonts w:ascii="Georgia" w:hAnsi="Georgia" w:cs="Arial"/>
          <w:sz w:val="24"/>
          <w:szCs w:val="24"/>
        </w:rPr>
        <w:t>La impugnación formulada dentro de la acción constitucional referida, luego de surtida la actuación de primera instancia, sin avistar nulidades que la invaliden.</w:t>
      </w:r>
    </w:p>
    <w:p w:rsidR="003913E3" w:rsidRDefault="003913E3" w:rsidP="00F839CE">
      <w:pPr>
        <w:pStyle w:val="Corpsdetexte"/>
        <w:spacing w:line="360" w:lineRule="auto"/>
        <w:rPr>
          <w:rFonts w:ascii="Georgia" w:hAnsi="Georgia" w:cs="Arial"/>
          <w:sz w:val="24"/>
          <w:szCs w:val="24"/>
        </w:rPr>
      </w:pPr>
    </w:p>
    <w:p w:rsidR="003E4C48" w:rsidRPr="00484A74" w:rsidRDefault="003E4C48" w:rsidP="00F839CE">
      <w:pPr>
        <w:pStyle w:val="Corpsdetexte"/>
        <w:spacing w:line="360" w:lineRule="auto"/>
        <w:rPr>
          <w:rFonts w:ascii="Georgia" w:hAnsi="Georgia" w:cs="Arial"/>
          <w:sz w:val="24"/>
          <w:szCs w:val="24"/>
        </w:rPr>
      </w:pPr>
    </w:p>
    <w:p w:rsidR="003913E3" w:rsidRPr="00484A74" w:rsidRDefault="003913E3" w:rsidP="00F839CE">
      <w:pPr>
        <w:pStyle w:val="Corpsdetexte"/>
        <w:numPr>
          <w:ilvl w:val="0"/>
          <w:numId w:val="1"/>
        </w:numPr>
        <w:spacing w:line="360" w:lineRule="auto"/>
        <w:rPr>
          <w:rFonts w:ascii="Georgia" w:hAnsi="Georgia" w:cs="Arial"/>
          <w:sz w:val="24"/>
          <w:szCs w:val="24"/>
        </w:rPr>
      </w:pPr>
      <w:r w:rsidRPr="00484A74">
        <w:rPr>
          <w:rFonts w:ascii="Georgia" w:hAnsi="Georgia" w:cs="Arial"/>
          <w:sz w:val="24"/>
          <w:szCs w:val="24"/>
        </w:rPr>
        <w:lastRenderedPageBreak/>
        <w:t xml:space="preserve">LA SÍNTESIS </w:t>
      </w:r>
      <w:r w:rsidR="002A7D9F" w:rsidRPr="00484A74">
        <w:rPr>
          <w:rFonts w:ascii="Georgia" w:hAnsi="Georgia" w:cs="Arial"/>
          <w:sz w:val="24"/>
          <w:szCs w:val="24"/>
        </w:rPr>
        <w:t>FÁCTICA</w:t>
      </w:r>
      <w:r w:rsidRPr="00484A74">
        <w:rPr>
          <w:rFonts w:ascii="Georgia" w:hAnsi="Georgia" w:cs="Arial"/>
          <w:sz w:val="24"/>
          <w:szCs w:val="24"/>
        </w:rPr>
        <w:t xml:space="preserve"> </w:t>
      </w:r>
    </w:p>
    <w:p w:rsidR="003913E3" w:rsidRPr="00484A74" w:rsidRDefault="003913E3" w:rsidP="003E4C48">
      <w:pPr>
        <w:pStyle w:val="Corpsdetexte"/>
        <w:spacing w:line="240" w:lineRule="auto"/>
        <w:rPr>
          <w:rFonts w:ascii="Georgia" w:hAnsi="Georgia" w:cs="Arial"/>
          <w:sz w:val="24"/>
          <w:szCs w:val="24"/>
          <w:lang w:val="es-CO"/>
        </w:rPr>
      </w:pPr>
    </w:p>
    <w:p w:rsidR="001B5C92" w:rsidRDefault="003913E3" w:rsidP="00F839CE">
      <w:pPr>
        <w:pStyle w:val="Corpsdetexte"/>
        <w:spacing w:line="360" w:lineRule="auto"/>
        <w:rPr>
          <w:rFonts w:ascii="Georgia" w:hAnsi="Georgia" w:cs="Arial"/>
          <w:sz w:val="24"/>
          <w:szCs w:val="24"/>
        </w:rPr>
      </w:pPr>
      <w:r w:rsidRPr="00484A74">
        <w:rPr>
          <w:rFonts w:ascii="Georgia" w:hAnsi="Georgia" w:cs="Arial"/>
          <w:sz w:val="24"/>
          <w:szCs w:val="24"/>
        </w:rPr>
        <w:t>Expres</w:t>
      </w:r>
      <w:r w:rsidR="004C5D2C" w:rsidRPr="00484A74">
        <w:rPr>
          <w:rFonts w:ascii="Georgia" w:hAnsi="Georgia" w:cs="Arial"/>
          <w:sz w:val="24"/>
          <w:szCs w:val="24"/>
        </w:rPr>
        <w:t>ó</w:t>
      </w:r>
      <w:r w:rsidRPr="00484A74">
        <w:rPr>
          <w:rFonts w:ascii="Georgia" w:hAnsi="Georgia" w:cs="Arial"/>
          <w:sz w:val="24"/>
          <w:szCs w:val="24"/>
        </w:rPr>
        <w:t xml:space="preserve"> </w:t>
      </w:r>
      <w:r w:rsidR="001B5C92">
        <w:rPr>
          <w:rFonts w:ascii="Georgia" w:hAnsi="Georgia" w:cs="Arial"/>
          <w:sz w:val="24"/>
          <w:szCs w:val="24"/>
        </w:rPr>
        <w:t xml:space="preserve">que en el proceso de sucesión radicado al No.2015-000739-00, el juzgado accionado con auto del 23-05-2017 se negó a fijar fecha para llevar a cabo diligencia de inventarios y avalúos adicionales porque no se relacionaron los bienes dejados de inventariar conforme lo establece el artículo 502, CGP, sin tener en cuenta que se trata de una actuación que es continuación de la primera diligencia practicada en vigencia del CPC, por lo tanto, </w:t>
      </w:r>
      <w:r w:rsidR="00404212">
        <w:rPr>
          <w:rFonts w:ascii="Georgia" w:hAnsi="Georgia" w:cs="Arial"/>
          <w:sz w:val="24"/>
          <w:szCs w:val="24"/>
        </w:rPr>
        <w:t>era</w:t>
      </w:r>
      <w:r w:rsidR="005D0918">
        <w:rPr>
          <w:rFonts w:ascii="Georgia" w:hAnsi="Georgia" w:cs="Arial"/>
          <w:sz w:val="24"/>
          <w:szCs w:val="24"/>
        </w:rPr>
        <w:t>n</w:t>
      </w:r>
      <w:r w:rsidR="00404212">
        <w:rPr>
          <w:rFonts w:ascii="Georgia" w:hAnsi="Georgia" w:cs="Arial"/>
          <w:sz w:val="24"/>
          <w:szCs w:val="24"/>
        </w:rPr>
        <w:t xml:space="preserve"> esta</w:t>
      </w:r>
      <w:r w:rsidR="002F42EF">
        <w:rPr>
          <w:rFonts w:ascii="Georgia" w:hAnsi="Georgia" w:cs="Arial"/>
          <w:sz w:val="24"/>
          <w:szCs w:val="24"/>
        </w:rPr>
        <w:t>s</w:t>
      </w:r>
      <w:r w:rsidR="00404212">
        <w:rPr>
          <w:rFonts w:ascii="Georgia" w:hAnsi="Georgia" w:cs="Arial"/>
          <w:sz w:val="24"/>
          <w:szCs w:val="24"/>
        </w:rPr>
        <w:t xml:space="preserve"> </w:t>
      </w:r>
      <w:r w:rsidR="002F42EF">
        <w:rPr>
          <w:rFonts w:ascii="Georgia" w:hAnsi="Georgia" w:cs="Arial"/>
          <w:sz w:val="24"/>
          <w:szCs w:val="24"/>
        </w:rPr>
        <w:t xml:space="preserve">normas </w:t>
      </w:r>
      <w:r w:rsidR="00404212">
        <w:rPr>
          <w:rFonts w:ascii="Georgia" w:hAnsi="Georgia" w:cs="Arial"/>
          <w:sz w:val="24"/>
          <w:szCs w:val="24"/>
        </w:rPr>
        <w:t>la</w:t>
      </w:r>
      <w:r w:rsidR="002F42EF">
        <w:rPr>
          <w:rFonts w:ascii="Georgia" w:hAnsi="Georgia" w:cs="Arial"/>
          <w:sz w:val="24"/>
          <w:szCs w:val="24"/>
        </w:rPr>
        <w:t>s</w:t>
      </w:r>
      <w:r w:rsidR="00404212">
        <w:rPr>
          <w:rFonts w:ascii="Georgia" w:hAnsi="Georgia" w:cs="Arial"/>
          <w:sz w:val="24"/>
          <w:szCs w:val="24"/>
        </w:rPr>
        <w:t xml:space="preserve"> que </w:t>
      </w:r>
      <w:r w:rsidR="002F42EF">
        <w:rPr>
          <w:rFonts w:ascii="Georgia" w:hAnsi="Georgia" w:cs="Arial"/>
          <w:sz w:val="24"/>
          <w:szCs w:val="24"/>
        </w:rPr>
        <w:t xml:space="preserve">debieron </w:t>
      </w:r>
      <w:r w:rsidR="00404212">
        <w:rPr>
          <w:rFonts w:ascii="Georgia" w:hAnsi="Georgia" w:cs="Arial"/>
          <w:sz w:val="24"/>
          <w:szCs w:val="24"/>
        </w:rPr>
        <w:t xml:space="preserve">aplicarse, </w:t>
      </w:r>
      <w:r w:rsidR="002F42EF">
        <w:rPr>
          <w:rFonts w:ascii="Georgia" w:hAnsi="Georgia" w:cs="Arial"/>
          <w:sz w:val="24"/>
          <w:szCs w:val="24"/>
        </w:rPr>
        <w:t xml:space="preserve">mismas </w:t>
      </w:r>
      <w:r w:rsidR="00404212">
        <w:rPr>
          <w:rFonts w:ascii="Georgia" w:hAnsi="Georgia" w:cs="Arial"/>
          <w:sz w:val="24"/>
          <w:szCs w:val="24"/>
        </w:rPr>
        <w:t>que establece</w:t>
      </w:r>
      <w:r w:rsidR="002F42EF">
        <w:rPr>
          <w:rFonts w:ascii="Georgia" w:hAnsi="Georgia" w:cs="Arial"/>
          <w:sz w:val="24"/>
          <w:szCs w:val="24"/>
        </w:rPr>
        <w:t>n</w:t>
      </w:r>
      <w:r w:rsidR="00404212">
        <w:rPr>
          <w:rFonts w:ascii="Georgia" w:hAnsi="Georgia" w:cs="Arial"/>
          <w:sz w:val="24"/>
          <w:szCs w:val="24"/>
        </w:rPr>
        <w:t xml:space="preserve"> que </w:t>
      </w:r>
      <w:r w:rsidR="001B5C92">
        <w:rPr>
          <w:rFonts w:ascii="Georgia" w:hAnsi="Georgia" w:cs="Arial"/>
          <w:sz w:val="24"/>
          <w:szCs w:val="24"/>
        </w:rPr>
        <w:t xml:space="preserve">la relación de </w:t>
      </w:r>
      <w:r w:rsidR="00404212">
        <w:rPr>
          <w:rFonts w:ascii="Georgia" w:hAnsi="Georgia" w:cs="Arial"/>
          <w:sz w:val="24"/>
          <w:szCs w:val="24"/>
        </w:rPr>
        <w:t xml:space="preserve">los </w:t>
      </w:r>
      <w:r w:rsidR="001B5C92">
        <w:rPr>
          <w:rFonts w:ascii="Georgia" w:hAnsi="Georgia" w:cs="Arial"/>
          <w:sz w:val="24"/>
          <w:szCs w:val="24"/>
        </w:rPr>
        <w:t>bienes se hace en la audiencia</w:t>
      </w:r>
      <w:r w:rsidR="00404212">
        <w:rPr>
          <w:rFonts w:ascii="Georgia" w:hAnsi="Georgia" w:cs="Arial"/>
          <w:sz w:val="24"/>
          <w:szCs w:val="24"/>
        </w:rPr>
        <w:t xml:space="preserve"> (Folios 2 a 4, cuaderno No.1)</w:t>
      </w:r>
      <w:r w:rsidR="001B5C92">
        <w:rPr>
          <w:rFonts w:ascii="Georgia" w:hAnsi="Georgia" w:cs="Arial"/>
          <w:sz w:val="24"/>
          <w:szCs w:val="24"/>
        </w:rPr>
        <w:t xml:space="preserve">. </w:t>
      </w:r>
    </w:p>
    <w:p w:rsidR="00531C40" w:rsidRPr="00484A74" w:rsidRDefault="00531C40" w:rsidP="00F839CE">
      <w:pPr>
        <w:pStyle w:val="Corpsdetexte"/>
        <w:spacing w:line="360" w:lineRule="auto"/>
        <w:rPr>
          <w:rFonts w:ascii="Georgia" w:hAnsi="Georgia" w:cs="Arial"/>
          <w:color w:val="000000"/>
          <w:sz w:val="24"/>
          <w:szCs w:val="24"/>
          <w:lang w:val="es-CO"/>
        </w:rPr>
      </w:pPr>
    </w:p>
    <w:p w:rsidR="003913E3" w:rsidRPr="00484A74" w:rsidRDefault="00BB305B" w:rsidP="00F839CE">
      <w:pPr>
        <w:pStyle w:val="Corpsdetexte"/>
        <w:numPr>
          <w:ilvl w:val="0"/>
          <w:numId w:val="1"/>
        </w:numPr>
        <w:spacing w:line="360" w:lineRule="auto"/>
        <w:rPr>
          <w:rFonts w:ascii="Georgia" w:hAnsi="Georgia" w:cs="Arial"/>
          <w:sz w:val="24"/>
          <w:szCs w:val="24"/>
        </w:rPr>
      </w:pPr>
      <w:r w:rsidRPr="00484A74">
        <w:rPr>
          <w:rFonts w:ascii="Georgia" w:hAnsi="Georgia" w:cs="Arial"/>
          <w:sz w:val="24"/>
          <w:szCs w:val="24"/>
        </w:rPr>
        <w:t>E</w:t>
      </w:r>
      <w:r w:rsidR="00790907" w:rsidRPr="00484A74">
        <w:rPr>
          <w:rFonts w:ascii="Georgia" w:hAnsi="Georgia" w:cs="Arial"/>
          <w:sz w:val="24"/>
          <w:szCs w:val="24"/>
        </w:rPr>
        <w:t>L</w:t>
      </w:r>
      <w:r w:rsidRPr="00484A74">
        <w:rPr>
          <w:rFonts w:ascii="Georgia" w:hAnsi="Georgia" w:cs="Arial"/>
          <w:sz w:val="24"/>
          <w:szCs w:val="24"/>
        </w:rPr>
        <w:t xml:space="preserve"> DERECHO INVOCADO</w:t>
      </w:r>
    </w:p>
    <w:p w:rsidR="00B978A7" w:rsidRPr="00484A74" w:rsidRDefault="00B978A7" w:rsidP="00B978A7">
      <w:pPr>
        <w:pStyle w:val="Corpsdetexte"/>
        <w:spacing w:line="360" w:lineRule="auto"/>
        <w:ind w:left="360"/>
        <w:rPr>
          <w:rFonts w:ascii="Georgia" w:hAnsi="Georgia" w:cs="Arial"/>
          <w:sz w:val="24"/>
          <w:szCs w:val="24"/>
        </w:rPr>
      </w:pPr>
    </w:p>
    <w:p w:rsidR="003913E3" w:rsidRDefault="00BB305B" w:rsidP="00F839CE">
      <w:pPr>
        <w:pStyle w:val="Corpsdetexte"/>
        <w:widowControl w:val="0"/>
        <w:spacing w:line="360" w:lineRule="auto"/>
        <w:rPr>
          <w:rFonts w:ascii="Georgia" w:hAnsi="Georgia" w:cs="Arial"/>
          <w:sz w:val="24"/>
          <w:szCs w:val="24"/>
        </w:rPr>
      </w:pPr>
      <w:r w:rsidRPr="00484A74">
        <w:rPr>
          <w:rFonts w:ascii="Georgia" w:hAnsi="Georgia" w:cs="Arial"/>
          <w:sz w:val="24"/>
          <w:szCs w:val="24"/>
        </w:rPr>
        <w:t xml:space="preserve">En el petitorio de tutela se invoca el derecho al </w:t>
      </w:r>
      <w:r w:rsidR="001024AA" w:rsidRPr="00484A74">
        <w:rPr>
          <w:rFonts w:ascii="Georgia" w:hAnsi="Georgia" w:cs="Arial"/>
          <w:sz w:val="24"/>
          <w:szCs w:val="24"/>
        </w:rPr>
        <w:t>debido proceso</w:t>
      </w:r>
      <w:r w:rsidR="005C26B3" w:rsidRPr="00484A74">
        <w:rPr>
          <w:rFonts w:ascii="Georgia" w:hAnsi="Georgia" w:cs="Arial"/>
          <w:sz w:val="24"/>
          <w:szCs w:val="24"/>
        </w:rPr>
        <w:t xml:space="preserve"> </w:t>
      </w:r>
      <w:r w:rsidR="003913E3" w:rsidRPr="00484A74">
        <w:rPr>
          <w:rFonts w:ascii="Georgia" w:hAnsi="Georgia" w:cs="Arial"/>
          <w:sz w:val="24"/>
          <w:szCs w:val="24"/>
        </w:rPr>
        <w:t>(Folio</w:t>
      </w:r>
      <w:r w:rsidR="00B978A7" w:rsidRPr="00484A74">
        <w:rPr>
          <w:rFonts w:ascii="Georgia" w:hAnsi="Georgia" w:cs="Arial"/>
          <w:sz w:val="24"/>
          <w:szCs w:val="24"/>
        </w:rPr>
        <w:t xml:space="preserve"> </w:t>
      </w:r>
      <w:r w:rsidR="00404212">
        <w:rPr>
          <w:rFonts w:ascii="Georgia" w:hAnsi="Georgia" w:cs="Arial"/>
          <w:sz w:val="24"/>
          <w:szCs w:val="24"/>
        </w:rPr>
        <w:t>2</w:t>
      </w:r>
      <w:r w:rsidR="005C26B3" w:rsidRPr="00484A74">
        <w:rPr>
          <w:rFonts w:ascii="Georgia" w:hAnsi="Georgia" w:cs="Arial"/>
          <w:sz w:val="24"/>
          <w:szCs w:val="24"/>
        </w:rPr>
        <w:t>,</w:t>
      </w:r>
      <w:r w:rsidR="003913E3" w:rsidRPr="00484A74">
        <w:rPr>
          <w:rFonts w:ascii="Georgia" w:hAnsi="Georgia" w:cs="Arial"/>
          <w:sz w:val="24"/>
          <w:szCs w:val="24"/>
        </w:rPr>
        <w:t xml:space="preserve"> </w:t>
      </w:r>
      <w:r w:rsidR="003913E3" w:rsidRPr="00484A74">
        <w:rPr>
          <w:rFonts w:ascii="Georgia" w:hAnsi="Georgia" w:cs="Arial"/>
          <w:color w:val="000000"/>
          <w:sz w:val="24"/>
          <w:szCs w:val="24"/>
          <w:lang w:val="es-CO"/>
        </w:rPr>
        <w:t xml:space="preserve">cuaderno </w:t>
      </w:r>
      <w:r w:rsidR="00404212">
        <w:rPr>
          <w:rFonts w:ascii="Georgia" w:hAnsi="Georgia" w:cs="Arial"/>
          <w:color w:val="000000"/>
          <w:sz w:val="24"/>
          <w:szCs w:val="24"/>
          <w:lang w:val="es-CO"/>
        </w:rPr>
        <w:t>No.1</w:t>
      </w:r>
      <w:r w:rsidR="003913E3" w:rsidRPr="00484A74">
        <w:rPr>
          <w:rFonts w:ascii="Georgia" w:hAnsi="Georgia" w:cs="Arial"/>
          <w:sz w:val="24"/>
          <w:szCs w:val="24"/>
        </w:rPr>
        <w:t>).</w:t>
      </w:r>
      <w:r w:rsidR="002C2796" w:rsidRPr="00484A74">
        <w:rPr>
          <w:rFonts w:ascii="Georgia" w:hAnsi="Georgia" w:cs="Arial"/>
          <w:sz w:val="24"/>
          <w:szCs w:val="24"/>
        </w:rPr>
        <w:t xml:space="preserve"> </w:t>
      </w:r>
    </w:p>
    <w:p w:rsidR="000F2638" w:rsidRPr="00484A74" w:rsidRDefault="000F2638" w:rsidP="00F839CE">
      <w:pPr>
        <w:pStyle w:val="Corpsdetexte"/>
        <w:widowControl w:val="0"/>
        <w:spacing w:line="360" w:lineRule="auto"/>
        <w:rPr>
          <w:rFonts w:ascii="Georgia" w:hAnsi="Georgia" w:cs="Arial"/>
          <w:sz w:val="24"/>
          <w:szCs w:val="24"/>
        </w:rPr>
      </w:pPr>
    </w:p>
    <w:p w:rsidR="00BB305B" w:rsidRPr="00484A74" w:rsidRDefault="00BB305B" w:rsidP="00BB305B">
      <w:pPr>
        <w:pStyle w:val="Corpsdetexte"/>
        <w:numPr>
          <w:ilvl w:val="0"/>
          <w:numId w:val="1"/>
        </w:numPr>
        <w:spacing w:line="360" w:lineRule="auto"/>
        <w:rPr>
          <w:rFonts w:ascii="Georgia" w:hAnsi="Georgia"/>
          <w:sz w:val="24"/>
          <w:szCs w:val="24"/>
        </w:rPr>
      </w:pPr>
      <w:r w:rsidRPr="00484A74">
        <w:rPr>
          <w:rFonts w:ascii="Georgia" w:hAnsi="Georgia"/>
          <w:sz w:val="24"/>
          <w:szCs w:val="24"/>
        </w:rPr>
        <w:t>LA PETICIÓN DE PROTECCIÓN</w:t>
      </w:r>
    </w:p>
    <w:p w:rsidR="00BB305B" w:rsidRPr="00484A74" w:rsidRDefault="00BB305B" w:rsidP="003E4C48">
      <w:pPr>
        <w:pStyle w:val="Sansinterligne"/>
        <w:jc w:val="both"/>
        <w:rPr>
          <w:rFonts w:ascii="Georgia" w:hAnsi="Georgia" w:cs="Arial"/>
          <w:sz w:val="24"/>
          <w:szCs w:val="24"/>
        </w:rPr>
      </w:pPr>
    </w:p>
    <w:p w:rsidR="00BB305B" w:rsidRPr="00484A74" w:rsidRDefault="00BB305B" w:rsidP="00BB305B">
      <w:pPr>
        <w:pStyle w:val="Sansinterligne"/>
        <w:spacing w:line="360" w:lineRule="auto"/>
        <w:jc w:val="both"/>
        <w:rPr>
          <w:rFonts w:ascii="Georgia" w:hAnsi="Georgia" w:cs="Arial"/>
          <w:sz w:val="24"/>
          <w:szCs w:val="24"/>
        </w:rPr>
      </w:pPr>
      <w:r w:rsidRPr="00484A74">
        <w:rPr>
          <w:rFonts w:ascii="Georgia" w:hAnsi="Georgia" w:cs="Arial"/>
          <w:sz w:val="24"/>
          <w:szCs w:val="24"/>
        </w:rPr>
        <w:t>Se pretende que</w:t>
      </w:r>
      <w:r w:rsidR="00860B83">
        <w:rPr>
          <w:rFonts w:ascii="Georgia" w:hAnsi="Georgia" w:cs="Arial"/>
          <w:sz w:val="24"/>
          <w:szCs w:val="24"/>
        </w:rPr>
        <w:t xml:space="preserve"> se ampare el derecho fundamental, y en consecuencia, se deje sin efectos el auto datado el 11-07-2017 y se ordene al accionado fijar fecha para llevar a cabo la diligencia de inventarios y avalúos adicionales conforme al CPC</w:t>
      </w:r>
      <w:r w:rsidR="00790907" w:rsidRPr="00484A74">
        <w:rPr>
          <w:rFonts w:ascii="Georgia" w:hAnsi="Georgia" w:cs="Arial"/>
          <w:sz w:val="24"/>
          <w:szCs w:val="24"/>
        </w:rPr>
        <w:t xml:space="preserve"> </w:t>
      </w:r>
      <w:r w:rsidRPr="00484A74">
        <w:rPr>
          <w:rFonts w:ascii="Georgia" w:hAnsi="Georgia"/>
          <w:sz w:val="24"/>
          <w:szCs w:val="24"/>
        </w:rPr>
        <w:t xml:space="preserve">(Folio </w:t>
      </w:r>
      <w:r w:rsidR="00860B83">
        <w:rPr>
          <w:rFonts w:ascii="Georgia" w:hAnsi="Georgia"/>
          <w:sz w:val="24"/>
          <w:szCs w:val="24"/>
        </w:rPr>
        <w:t>3</w:t>
      </w:r>
      <w:r w:rsidRPr="00484A74">
        <w:rPr>
          <w:rFonts w:ascii="Georgia" w:hAnsi="Georgia"/>
          <w:sz w:val="24"/>
          <w:szCs w:val="24"/>
        </w:rPr>
        <w:t xml:space="preserve">, </w:t>
      </w:r>
      <w:r w:rsidR="00860B83">
        <w:rPr>
          <w:rFonts w:ascii="Georgia" w:hAnsi="Georgia"/>
          <w:sz w:val="24"/>
          <w:szCs w:val="24"/>
        </w:rPr>
        <w:t>cuaderno No.1</w:t>
      </w:r>
      <w:r w:rsidRPr="00484A74">
        <w:rPr>
          <w:rFonts w:ascii="Georgia" w:hAnsi="Georgia"/>
          <w:sz w:val="24"/>
          <w:szCs w:val="24"/>
        </w:rPr>
        <w:t>)</w:t>
      </w:r>
      <w:r w:rsidRPr="00484A74">
        <w:rPr>
          <w:rFonts w:ascii="Georgia" w:hAnsi="Georgia" w:cs="Arial"/>
          <w:sz w:val="24"/>
          <w:szCs w:val="24"/>
        </w:rPr>
        <w:t xml:space="preserve">. </w:t>
      </w:r>
    </w:p>
    <w:p w:rsidR="001024AA" w:rsidRPr="00484A74" w:rsidRDefault="001024AA" w:rsidP="00F839CE">
      <w:pPr>
        <w:pStyle w:val="Corpsdetexte"/>
        <w:widowControl w:val="0"/>
        <w:spacing w:line="360" w:lineRule="auto"/>
        <w:rPr>
          <w:rFonts w:ascii="Georgia" w:hAnsi="Georgia" w:cs="Arial"/>
          <w:sz w:val="24"/>
          <w:szCs w:val="24"/>
          <w:lang w:val="es-ES"/>
        </w:rPr>
      </w:pPr>
    </w:p>
    <w:p w:rsidR="003913E3" w:rsidRPr="00484A74" w:rsidRDefault="00790907" w:rsidP="00F839CE">
      <w:pPr>
        <w:pStyle w:val="Corpsdetexte"/>
        <w:widowControl w:val="0"/>
        <w:numPr>
          <w:ilvl w:val="0"/>
          <w:numId w:val="1"/>
        </w:numPr>
        <w:spacing w:line="360" w:lineRule="auto"/>
        <w:rPr>
          <w:rFonts w:ascii="Georgia" w:hAnsi="Georgia" w:cs="Arial"/>
          <w:sz w:val="24"/>
          <w:szCs w:val="24"/>
        </w:rPr>
      </w:pPr>
      <w:r w:rsidRPr="00484A74">
        <w:rPr>
          <w:rFonts w:ascii="Georgia" w:hAnsi="Georgia" w:cs="Arial"/>
          <w:sz w:val="24"/>
          <w:szCs w:val="24"/>
        </w:rPr>
        <w:t xml:space="preserve">EL RESUMEN </w:t>
      </w:r>
      <w:r w:rsidR="003913E3" w:rsidRPr="00484A74">
        <w:rPr>
          <w:rFonts w:ascii="Georgia" w:hAnsi="Georgia" w:cs="Arial"/>
          <w:sz w:val="24"/>
          <w:szCs w:val="24"/>
        </w:rPr>
        <w:t>DE LA CRÓNICA PROCESAL</w:t>
      </w:r>
    </w:p>
    <w:p w:rsidR="003913E3" w:rsidRPr="00484A74" w:rsidRDefault="003913E3" w:rsidP="00B942B6">
      <w:pPr>
        <w:pStyle w:val="Corpsdetexte"/>
        <w:spacing w:line="360" w:lineRule="auto"/>
        <w:rPr>
          <w:rFonts w:ascii="Georgia" w:hAnsi="Georgia" w:cs="Arial"/>
          <w:sz w:val="22"/>
          <w:szCs w:val="24"/>
        </w:rPr>
      </w:pPr>
    </w:p>
    <w:p w:rsidR="004B3407" w:rsidRDefault="00790907" w:rsidP="004B3407">
      <w:pPr>
        <w:pStyle w:val="Corpsdetexte"/>
        <w:widowControl w:val="0"/>
        <w:spacing w:line="360" w:lineRule="auto"/>
        <w:rPr>
          <w:rFonts w:ascii="Georgia" w:hAnsi="Georgia"/>
          <w:sz w:val="24"/>
        </w:rPr>
      </w:pPr>
      <w:r w:rsidRPr="00484A74">
        <w:rPr>
          <w:rFonts w:ascii="Georgia" w:hAnsi="Georgia"/>
          <w:sz w:val="24"/>
        </w:rPr>
        <w:t xml:space="preserve">El </w:t>
      </w:r>
      <w:r w:rsidR="00860B83">
        <w:rPr>
          <w:rFonts w:ascii="Georgia" w:hAnsi="Georgia"/>
          <w:sz w:val="24"/>
        </w:rPr>
        <w:t xml:space="preserve">31-07-2017 </w:t>
      </w:r>
      <w:r w:rsidRPr="00484A74">
        <w:rPr>
          <w:rFonts w:ascii="Georgia" w:hAnsi="Georgia"/>
          <w:sz w:val="24"/>
          <w:lang w:val="es-CO"/>
        </w:rPr>
        <w:t xml:space="preserve">se </w:t>
      </w:r>
      <w:r w:rsidR="004B3407" w:rsidRPr="00484A74">
        <w:rPr>
          <w:rFonts w:ascii="Georgia" w:hAnsi="Georgia"/>
          <w:sz w:val="24"/>
        </w:rPr>
        <w:t>admitió</w:t>
      </w:r>
      <w:r w:rsidR="004E39D7" w:rsidRPr="00484A74">
        <w:rPr>
          <w:rFonts w:ascii="Georgia" w:hAnsi="Georgia"/>
          <w:sz w:val="24"/>
        </w:rPr>
        <w:t>,</w:t>
      </w:r>
      <w:r w:rsidR="004B3407" w:rsidRPr="00484A74">
        <w:rPr>
          <w:rFonts w:ascii="Georgia" w:hAnsi="Georgia"/>
          <w:sz w:val="24"/>
        </w:rPr>
        <w:t xml:space="preserve"> </w:t>
      </w:r>
      <w:r w:rsidRPr="00484A74">
        <w:rPr>
          <w:rFonts w:ascii="Georgia" w:hAnsi="Georgia"/>
          <w:sz w:val="24"/>
        </w:rPr>
        <w:t xml:space="preserve">se </w:t>
      </w:r>
      <w:r w:rsidR="004E39D7" w:rsidRPr="00484A74">
        <w:rPr>
          <w:rFonts w:ascii="Georgia" w:hAnsi="Georgia"/>
          <w:sz w:val="24"/>
          <w:szCs w:val="24"/>
          <w:lang w:val="es-CO"/>
        </w:rPr>
        <w:t xml:space="preserve">vinculó </w:t>
      </w:r>
      <w:r w:rsidR="00BD3C04" w:rsidRPr="00484A74">
        <w:rPr>
          <w:rFonts w:ascii="Georgia" w:hAnsi="Georgia"/>
          <w:sz w:val="24"/>
          <w:szCs w:val="24"/>
          <w:lang w:val="es-CO"/>
        </w:rPr>
        <w:t xml:space="preserve">a quien </w:t>
      </w:r>
      <w:r w:rsidR="00860B83">
        <w:rPr>
          <w:rFonts w:ascii="Georgia" w:hAnsi="Georgia"/>
          <w:sz w:val="24"/>
          <w:szCs w:val="24"/>
          <w:lang w:val="es-CO"/>
        </w:rPr>
        <w:t xml:space="preserve">se </w:t>
      </w:r>
      <w:r w:rsidR="00BD3C04" w:rsidRPr="00484A74">
        <w:rPr>
          <w:rFonts w:ascii="Georgia" w:hAnsi="Georgia"/>
          <w:sz w:val="24"/>
          <w:szCs w:val="24"/>
          <w:lang w:val="es-CO"/>
        </w:rPr>
        <w:t xml:space="preserve">estimó conveniente </w:t>
      </w:r>
      <w:r w:rsidR="004E39D7" w:rsidRPr="00484A74">
        <w:rPr>
          <w:rFonts w:ascii="Georgia" w:hAnsi="Georgia"/>
          <w:sz w:val="24"/>
          <w:szCs w:val="24"/>
          <w:lang w:val="es-CO"/>
        </w:rPr>
        <w:t xml:space="preserve">y </w:t>
      </w:r>
      <w:r w:rsidRPr="00484A74">
        <w:rPr>
          <w:rFonts w:ascii="Georgia" w:hAnsi="Georgia"/>
          <w:sz w:val="24"/>
          <w:szCs w:val="24"/>
          <w:lang w:val="es-CO"/>
        </w:rPr>
        <w:t xml:space="preserve">se </w:t>
      </w:r>
      <w:r w:rsidR="004E39D7" w:rsidRPr="00484A74">
        <w:rPr>
          <w:rFonts w:ascii="Georgia" w:hAnsi="Georgia"/>
          <w:sz w:val="24"/>
          <w:szCs w:val="24"/>
          <w:lang w:val="es-CO"/>
        </w:rPr>
        <w:t xml:space="preserve">dispuso </w:t>
      </w:r>
      <w:r w:rsidRPr="00484A74">
        <w:rPr>
          <w:rFonts w:ascii="Georgia" w:hAnsi="Georgia"/>
          <w:sz w:val="24"/>
          <w:szCs w:val="24"/>
          <w:lang w:val="es-CO"/>
        </w:rPr>
        <w:t xml:space="preserve">notificar </w:t>
      </w:r>
      <w:r w:rsidR="004E39D7" w:rsidRPr="00484A74">
        <w:rPr>
          <w:rFonts w:ascii="Georgia" w:hAnsi="Georgia"/>
          <w:sz w:val="24"/>
          <w:szCs w:val="24"/>
          <w:lang w:val="es-CO"/>
        </w:rPr>
        <w:t>a las partes</w:t>
      </w:r>
      <w:r w:rsidRPr="00484A74">
        <w:rPr>
          <w:rFonts w:ascii="Georgia" w:hAnsi="Georgia"/>
          <w:sz w:val="24"/>
          <w:szCs w:val="24"/>
          <w:lang w:val="es-CO"/>
        </w:rPr>
        <w:t>, entre otros ordenamientos</w:t>
      </w:r>
      <w:r w:rsidR="004E39D7" w:rsidRPr="00484A74">
        <w:rPr>
          <w:rFonts w:ascii="Georgia" w:hAnsi="Georgia"/>
          <w:lang w:val="es-CO"/>
        </w:rPr>
        <w:t xml:space="preserve"> </w:t>
      </w:r>
      <w:r w:rsidR="004B3407" w:rsidRPr="00484A74">
        <w:rPr>
          <w:rFonts w:ascii="Georgia" w:hAnsi="Georgia"/>
          <w:sz w:val="24"/>
        </w:rPr>
        <w:t>(Folio</w:t>
      </w:r>
      <w:r w:rsidR="001024AA" w:rsidRPr="00484A74">
        <w:rPr>
          <w:rFonts w:ascii="Georgia" w:hAnsi="Georgia"/>
          <w:sz w:val="24"/>
        </w:rPr>
        <w:t xml:space="preserve"> </w:t>
      </w:r>
      <w:r w:rsidR="00860B83">
        <w:rPr>
          <w:rFonts w:ascii="Georgia" w:hAnsi="Georgia"/>
          <w:sz w:val="24"/>
        </w:rPr>
        <w:t>6</w:t>
      </w:r>
      <w:r w:rsidR="004B3407" w:rsidRPr="00484A74">
        <w:rPr>
          <w:rFonts w:ascii="Georgia" w:hAnsi="Georgia"/>
          <w:sz w:val="24"/>
        </w:rPr>
        <w:t xml:space="preserve">, </w:t>
      </w:r>
      <w:r w:rsidR="00BD3C04" w:rsidRPr="00484A74">
        <w:rPr>
          <w:rFonts w:ascii="Georgia" w:hAnsi="Georgia" w:cs="Arial"/>
          <w:color w:val="000000"/>
          <w:sz w:val="24"/>
          <w:szCs w:val="24"/>
          <w:lang w:val="es-CO"/>
        </w:rPr>
        <w:t>ibídem</w:t>
      </w:r>
      <w:r w:rsidR="00860B83">
        <w:rPr>
          <w:rFonts w:ascii="Georgia" w:hAnsi="Georgia"/>
          <w:sz w:val="24"/>
        </w:rPr>
        <w:t>);</w:t>
      </w:r>
      <w:r w:rsidR="004B3407" w:rsidRPr="00484A74">
        <w:rPr>
          <w:rFonts w:ascii="Georgia" w:hAnsi="Georgia"/>
          <w:sz w:val="24"/>
        </w:rPr>
        <w:t xml:space="preserve"> </w:t>
      </w:r>
      <w:r w:rsidR="00860B83">
        <w:rPr>
          <w:rFonts w:ascii="Georgia" w:hAnsi="Georgia"/>
          <w:sz w:val="24"/>
        </w:rPr>
        <w:t xml:space="preserve">el 02-08-2017 se practicó inspección judicial al expediente de la sucesión (Folio 10, ibídem); </w:t>
      </w:r>
      <w:r w:rsidR="004B3407" w:rsidRPr="00484A74">
        <w:rPr>
          <w:rFonts w:ascii="Georgia" w:hAnsi="Georgia"/>
          <w:sz w:val="24"/>
        </w:rPr>
        <w:t xml:space="preserve">se emitió el fallo </w:t>
      </w:r>
      <w:r w:rsidR="00860B83">
        <w:rPr>
          <w:rFonts w:ascii="Georgia" w:hAnsi="Georgia"/>
          <w:sz w:val="24"/>
        </w:rPr>
        <w:t xml:space="preserve">el 11-08-2017 </w:t>
      </w:r>
      <w:r w:rsidR="004B3407" w:rsidRPr="00484A74">
        <w:rPr>
          <w:rFonts w:ascii="Georgia" w:hAnsi="Georgia"/>
          <w:sz w:val="24"/>
        </w:rPr>
        <w:t xml:space="preserve">(Folios </w:t>
      </w:r>
      <w:r w:rsidR="00860B83">
        <w:rPr>
          <w:rFonts w:ascii="Georgia" w:hAnsi="Georgia"/>
          <w:sz w:val="24"/>
        </w:rPr>
        <w:t>11 a 15</w:t>
      </w:r>
      <w:r w:rsidR="004B3407" w:rsidRPr="00484A74">
        <w:rPr>
          <w:rFonts w:ascii="Georgia" w:hAnsi="Georgia"/>
          <w:sz w:val="24"/>
        </w:rPr>
        <w:t xml:space="preserve">, </w:t>
      </w:r>
      <w:r w:rsidR="00860B83">
        <w:rPr>
          <w:rFonts w:ascii="Georgia" w:hAnsi="Georgia"/>
          <w:sz w:val="24"/>
        </w:rPr>
        <w:t>ibídem</w:t>
      </w:r>
      <w:r w:rsidR="004B3407" w:rsidRPr="00484A74">
        <w:rPr>
          <w:rFonts w:ascii="Georgia" w:hAnsi="Georgia"/>
          <w:sz w:val="24"/>
        </w:rPr>
        <w:t xml:space="preserve">); </w:t>
      </w:r>
      <w:r w:rsidR="00BD3C04" w:rsidRPr="00484A74">
        <w:rPr>
          <w:rFonts w:ascii="Georgia" w:hAnsi="Georgia"/>
          <w:sz w:val="24"/>
        </w:rPr>
        <w:t xml:space="preserve">y </w:t>
      </w:r>
      <w:r w:rsidR="004B3407" w:rsidRPr="00484A74">
        <w:rPr>
          <w:rFonts w:ascii="Georgia" w:hAnsi="Georgia"/>
          <w:sz w:val="24"/>
        </w:rPr>
        <w:t xml:space="preserve">con proveído del </w:t>
      </w:r>
      <w:r w:rsidR="00860B83">
        <w:rPr>
          <w:rFonts w:ascii="Georgia" w:hAnsi="Georgia"/>
          <w:sz w:val="24"/>
        </w:rPr>
        <w:t xml:space="preserve">23-08-2017 </w:t>
      </w:r>
      <w:r w:rsidR="004B3407" w:rsidRPr="00484A74">
        <w:rPr>
          <w:rFonts w:ascii="Georgia" w:hAnsi="Georgia"/>
          <w:sz w:val="24"/>
        </w:rPr>
        <w:t xml:space="preserve">se concedió la impugnación formulada por la parte </w:t>
      </w:r>
      <w:r w:rsidR="00860B83">
        <w:rPr>
          <w:rFonts w:ascii="Georgia" w:hAnsi="Georgia"/>
          <w:sz w:val="24"/>
        </w:rPr>
        <w:t xml:space="preserve">actora </w:t>
      </w:r>
      <w:r w:rsidR="004B3407" w:rsidRPr="00484A74">
        <w:rPr>
          <w:rFonts w:ascii="Georgia" w:hAnsi="Georgia"/>
          <w:sz w:val="24"/>
        </w:rPr>
        <w:t xml:space="preserve">(Folio </w:t>
      </w:r>
      <w:r w:rsidR="00860B83">
        <w:rPr>
          <w:rFonts w:ascii="Georgia" w:hAnsi="Georgia"/>
          <w:sz w:val="24"/>
        </w:rPr>
        <w:t>18</w:t>
      </w:r>
      <w:r w:rsidR="004B3407" w:rsidRPr="00484A74">
        <w:rPr>
          <w:rFonts w:ascii="Georgia" w:hAnsi="Georgia"/>
          <w:sz w:val="24"/>
        </w:rPr>
        <w:t xml:space="preserve">, </w:t>
      </w:r>
      <w:r w:rsidR="009A65A1" w:rsidRPr="00484A74">
        <w:rPr>
          <w:rFonts w:ascii="Georgia" w:hAnsi="Georgia"/>
          <w:sz w:val="24"/>
        </w:rPr>
        <w:t>ib.</w:t>
      </w:r>
      <w:r w:rsidR="004B3407" w:rsidRPr="00484A74">
        <w:rPr>
          <w:rFonts w:ascii="Georgia" w:hAnsi="Georgia"/>
          <w:sz w:val="24"/>
        </w:rPr>
        <w:t xml:space="preserve">). </w:t>
      </w:r>
    </w:p>
    <w:p w:rsidR="00860B83" w:rsidRDefault="00860B83" w:rsidP="003E4C48">
      <w:pPr>
        <w:pStyle w:val="Corpsdetexte"/>
        <w:widowControl w:val="0"/>
        <w:spacing w:line="240" w:lineRule="auto"/>
        <w:rPr>
          <w:rFonts w:ascii="Georgia" w:hAnsi="Georgia"/>
          <w:sz w:val="24"/>
        </w:rPr>
      </w:pPr>
    </w:p>
    <w:p w:rsidR="00860B83" w:rsidRPr="00A16B12" w:rsidRDefault="00860B83" w:rsidP="00860B83">
      <w:pPr>
        <w:pStyle w:val="Corpsdetexte"/>
        <w:widowControl w:val="0"/>
        <w:spacing w:line="360" w:lineRule="auto"/>
        <w:rPr>
          <w:rFonts w:ascii="Georgia" w:hAnsi="Georgia"/>
          <w:sz w:val="24"/>
          <w:lang w:val="es-CO"/>
        </w:rPr>
      </w:pPr>
      <w:r>
        <w:rPr>
          <w:rFonts w:ascii="Georgia" w:hAnsi="Georgia"/>
          <w:sz w:val="24"/>
        </w:rPr>
        <w:t xml:space="preserve">Ya ante este Tribunal, con decisión del 04-09-2017 se declaró la nulidad de lo actuado porque no se hizo la vinculación de todas las personas que integran la parte interesada en el proceso de sucesión (Folios 4 y 5, cuaderno No.2); retornado el asunto, con auto 08-09-2017 se corrigió el yerro advertido (Folio 22, cuaderno No.1), el 22-09-2017 se dictó sentencia (Folios 28 a 30, ibídem) y el 20-10-2017 se concedió la impugnación presentada por el accionante (Folio 39, ib.).  </w:t>
      </w:r>
    </w:p>
    <w:p w:rsidR="00860B83" w:rsidRPr="00834467" w:rsidRDefault="00860B83" w:rsidP="00860B83">
      <w:pPr>
        <w:pStyle w:val="Corpsdetexte"/>
        <w:widowControl w:val="0"/>
        <w:spacing w:line="360" w:lineRule="auto"/>
        <w:rPr>
          <w:rFonts w:ascii="Georgia" w:hAnsi="Georgia"/>
        </w:rPr>
      </w:pPr>
    </w:p>
    <w:p w:rsidR="009A65A1" w:rsidRPr="00484A74" w:rsidRDefault="009A65A1" w:rsidP="00F839CE">
      <w:pPr>
        <w:pStyle w:val="Corpsdetexte"/>
        <w:widowControl w:val="0"/>
        <w:spacing w:line="360" w:lineRule="auto"/>
        <w:rPr>
          <w:rFonts w:ascii="Georgia" w:hAnsi="Georgia" w:cs="Arial"/>
          <w:sz w:val="24"/>
          <w:szCs w:val="24"/>
        </w:rPr>
      </w:pPr>
      <w:r w:rsidRPr="00484A74">
        <w:rPr>
          <w:rFonts w:ascii="Georgia" w:hAnsi="Georgia" w:cs="Arial"/>
          <w:sz w:val="24"/>
          <w:szCs w:val="24"/>
        </w:rPr>
        <w:t xml:space="preserve">Mediante la sentencia opugnada </w:t>
      </w:r>
      <w:r w:rsidR="00860B83">
        <w:rPr>
          <w:rFonts w:ascii="Georgia" w:hAnsi="Georgia" w:cs="Arial"/>
          <w:sz w:val="24"/>
          <w:szCs w:val="24"/>
        </w:rPr>
        <w:t xml:space="preserve">se negó por improcedente (Sic) la acción de tutela porque la audiencia de inventarios y avalúos adicionales </w:t>
      </w:r>
      <w:r w:rsidR="002F42EF">
        <w:rPr>
          <w:rFonts w:ascii="Georgia" w:hAnsi="Georgia" w:cs="Arial"/>
          <w:sz w:val="24"/>
          <w:szCs w:val="24"/>
        </w:rPr>
        <w:t xml:space="preserve">no es continuación de la </w:t>
      </w:r>
      <w:r w:rsidR="000727D7">
        <w:rPr>
          <w:rFonts w:ascii="Georgia" w:hAnsi="Georgia" w:cs="Arial"/>
          <w:sz w:val="24"/>
          <w:szCs w:val="24"/>
        </w:rPr>
        <w:t xml:space="preserve">inicialmente </w:t>
      </w:r>
      <w:r w:rsidR="002F42EF">
        <w:rPr>
          <w:rFonts w:ascii="Georgia" w:hAnsi="Georgia" w:cs="Arial"/>
          <w:sz w:val="24"/>
          <w:szCs w:val="24"/>
        </w:rPr>
        <w:t xml:space="preserve"> practicada y como quiera que fue solicitada en vigencia del CGP, esta codificación era perfectamente aplicable </w:t>
      </w:r>
      <w:r w:rsidRPr="00484A74">
        <w:rPr>
          <w:rFonts w:ascii="Georgia" w:hAnsi="Georgia" w:cs="Arial"/>
          <w:sz w:val="24"/>
          <w:szCs w:val="24"/>
        </w:rPr>
        <w:t xml:space="preserve">(Folios </w:t>
      </w:r>
      <w:r w:rsidR="002F42EF">
        <w:rPr>
          <w:rFonts w:ascii="Georgia" w:hAnsi="Georgia" w:cs="Arial"/>
          <w:sz w:val="24"/>
          <w:szCs w:val="24"/>
        </w:rPr>
        <w:t>28 a 30</w:t>
      </w:r>
      <w:r w:rsidRPr="00484A74">
        <w:rPr>
          <w:rFonts w:ascii="Georgia" w:hAnsi="Georgia" w:cs="Arial"/>
          <w:sz w:val="24"/>
          <w:szCs w:val="24"/>
        </w:rPr>
        <w:t>, ib.).</w:t>
      </w:r>
    </w:p>
    <w:p w:rsidR="003913E3" w:rsidRPr="000727D7" w:rsidRDefault="002F42EF" w:rsidP="00F839CE">
      <w:pPr>
        <w:pStyle w:val="Corpsdetexte"/>
        <w:widowControl w:val="0"/>
        <w:spacing w:line="360" w:lineRule="auto"/>
        <w:rPr>
          <w:rFonts w:ascii="Georgia" w:hAnsi="Georgia" w:cs="Arial"/>
          <w:sz w:val="24"/>
          <w:szCs w:val="24"/>
          <w:lang w:val="es-CO"/>
        </w:rPr>
      </w:pPr>
      <w:r>
        <w:rPr>
          <w:rFonts w:ascii="Georgia" w:hAnsi="Georgia" w:cs="Arial"/>
          <w:sz w:val="24"/>
          <w:szCs w:val="24"/>
        </w:rPr>
        <w:lastRenderedPageBreak/>
        <w:t xml:space="preserve">El impugnante no expresó en su escrito los argumentos de su disentimiento con la decisión de primera instancia </w:t>
      </w:r>
      <w:r w:rsidR="00C53548" w:rsidRPr="00484A74">
        <w:rPr>
          <w:rFonts w:ascii="Georgia" w:hAnsi="Georgia" w:cs="Arial"/>
          <w:sz w:val="24"/>
          <w:szCs w:val="24"/>
        </w:rPr>
        <w:t xml:space="preserve">(Folio </w:t>
      </w:r>
      <w:r>
        <w:rPr>
          <w:rFonts w:ascii="Georgia" w:hAnsi="Georgia" w:cs="Arial"/>
          <w:sz w:val="24"/>
          <w:szCs w:val="24"/>
        </w:rPr>
        <w:t>33</w:t>
      </w:r>
      <w:r w:rsidR="00C53548" w:rsidRPr="00484A74">
        <w:rPr>
          <w:rFonts w:ascii="Georgia" w:hAnsi="Georgia" w:cs="Arial"/>
          <w:sz w:val="24"/>
          <w:szCs w:val="24"/>
        </w:rPr>
        <w:t xml:space="preserve">, </w:t>
      </w:r>
      <w:r w:rsidR="007B4AD7" w:rsidRPr="00484A74">
        <w:rPr>
          <w:rFonts w:ascii="Georgia" w:hAnsi="Georgia" w:cs="Arial"/>
          <w:sz w:val="24"/>
          <w:szCs w:val="24"/>
        </w:rPr>
        <w:t>ib.</w:t>
      </w:r>
      <w:r w:rsidR="00C53548" w:rsidRPr="00484A74">
        <w:rPr>
          <w:rFonts w:ascii="Georgia" w:hAnsi="Georgia" w:cs="Arial"/>
          <w:sz w:val="24"/>
          <w:szCs w:val="24"/>
        </w:rPr>
        <w:t>)</w:t>
      </w:r>
      <w:r w:rsidR="00E5080E" w:rsidRPr="00484A74">
        <w:rPr>
          <w:rFonts w:ascii="Georgia" w:hAnsi="Georgia" w:cs="Arial"/>
          <w:sz w:val="24"/>
          <w:szCs w:val="24"/>
        </w:rPr>
        <w:t>.</w:t>
      </w:r>
    </w:p>
    <w:p w:rsidR="000D01DC" w:rsidRPr="00484A74" w:rsidRDefault="000D01DC" w:rsidP="00F839CE">
      <w:pPr>
        <w:pStyle w:val="Corpsdetexte"/>
        <w:widowControl w:val="0"/>
        <w:spacing w:line="360" w:lineRule="auto"/>
        <w:rPr>
          <w:rFonts w:ascii="Georgia" w:hAnsi="Georgia" w:cs="Arial"/>
          <w:sz w:val="22"/>
          <w:szCs w:val="24"/>
        </w:rPr>
      </w:pPr>
    </w:p>
    <w:p w:rsidR="00484A74" w:rsidRPr="00484A74" w:rsidRDefault="003913E3" w:rsidP="00F839CE">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LA FUNDAMENTACIÓN JURÍDICA PARA RESOLVER</w:t>
      </w:r>
    </w:p>
    <w:p w:rsidR="00484A74" w:rsidRPr="00484A74" w:rsidRDefault="00484A74" w:rsidP="00484A7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84A74" w:rsidRDefault="003913E3" w:rsidP="00484A74">
      <w:pPr>
        <w:pStyle w:val="Corpsdetex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484A74">
        <w:rPr>
          <w:rFonts w:ascii="Georgia" w:hAnsi="Georgia" w:cs="Arial"/>
          <w:smallCaps/>
          <w:sz w:val="24"/>
          <w:szCs w:val="24"/>
        </w:rPr>
        <w:t>La competencia funcional</w:t>
      </w:r>
      <w:r w:rsidR="00484A74" w:rsidRPr="00484A74">
        <w:rPr>
          <w:rFonts w:ascii="Georgia" w:hAnsi="Georgia" w:cs="Arial"/>
          <w:smallCaps/>
          <w:sz w:val="24"/>
          <w:szCs w:val="24"/>
        </w:rPr>
        <w:t>.</w:t>
      </w:r>
      <w:r w:rsidR="00484A74" w:rsidRPr="00484A74">
        <w:rPr>
          <w:rFonts w:ascii="Georgia" w:hAnsi="Georgia" w:cs="Arial"/>
          <w:sz w:val="24"/>
          <w:szCs w:val="24"/>
        </w:rPr>
        <w:t xml:space="preserve"> </w:t>
      </w:r>
      <w:r w:rsidR="00D64C08" w:rsidRPr="00484A74">
        <w:rPr>
          <w:rFonts w:ascii="Georgia" w:hAnsi="Georgia" w:cs="Arial"/>
          <w:sz w:val="24"/>
          <w:szCs w:val="24"/>
          <w:lang w:val="es-CO"/>
        </w:rPr>
        <w:t>Esta Sala especializada está facultada en forma legal para desatar la controversia puesta a su consideración, por ser l</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superior</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jerárquic</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del Despacho que conoció en primera instancia (Artículo 32 del Decreto 2591 de 1991).</w:t>
      </w:r>
    </w:p>
    <w:p w:rsidR="00484A74" w:rsidRDefault="00484A74" w:rsidP="00484A7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MX"/>
        </w:rPr>
      </w:pPr>
    </w:p>
    <w:p w:rsidR="00484A74" w:rsidRDefault="00484A74" w:rsidP="00107115">
      <w:pPr>
        <w:pStyle w:val="Corpsdetex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4"/>
          <w:szCs w:val="24"/>
        </w:rPr>
        <w:t>El problema jurídico a resolver.</w:t>
      </w:r>
      <w:r>
        <w:rPr>
          <w:rFonts w:ascii="Georgia" w:hAnsi="Georgia" w:cs="Arial"/>
          <w:smallCaps/>
          <w:sz w:val="24"/>
          <w:szCs w:val="24"/>
        </w:rPr>
        <w:t xml:space="preserve"> </w:t>
      </w:r>
      <w:r w:rsidRPr="00484A74">
        <w:rPr>
          <w:rFonts w:ascii="Georgia" w:hAnsi="Georgia" w:cs="Arial"/>
          <w:sz w:val="24"/>
          <w:szCs w:val="24"/>
        </w:rPr>
        <w:t xml:space="preserve">¿Es procedente confirmar, modificar o revocar la sentencia del </w:t>
      </w:r>
      <w:r w:rsidRPr="00484A74">
        <w:rPr>
          <w:rFonts w:ascii="Georgia" w:hAnsi="Georgia"/>
          <w:sz w:val="24"/>
        </w:rPr>
        <w:t xml:space="preserve">Juzgado </w:t>
      </w:r>
      <w:r>
        <w:rPr>
          <w:rFonts w:ascii="Georgia" w:hAnsi="Georgia"/>
          <w:sz w:val="24"/>
        </w:rPr>
        <w:t xml:space="preserve">Civil </w:t>
      </w:r>
      <w:r w:rsidRPr="00484A74">
        <w:rPr>
          <w:rFonts w:ascii="Georgia" w:hAnsi="Georgia"/>
          <w:sz w:val="24"/>
        </w:rPr>
        <w:t xml:space="preserve">del </w:t>
      </w:r>
      <w:r w:rsidRPr="00484A74">
        <w:rPr>
          <w:rFonts w:ascii="Georgia" w:hAnsi="Georgia" w:cs="Arial"/>
          <w:sz w:val="24"/>
          <w:szCs w:val="24"/>
        </w:rPr>
        <w:t xml:space="preserve">Circuito de </w:t>
      </w:r>
      <w:r w:rsidR="000727D7">
        <w:rPr>
          <w:rFonts w:ascii="Georgia" w:hAnsi="Georgia" w:cs="Arial"/>
          <w:sz w:val="24"/>
          <w:szCs w:val="24"/>
        </w:rPr>
        <w:t>Dosquebradas</w:t>
      </w:r>
      <w:r w:rsidRPr="00484A74">
        <w:rPr>
          <w:rFonts w:ascii="Georgia" w:hAnsi="Georgia" w:cs="Arial"/>
          <w:sz w:val="24"/>
          <w:szCs w:val="24"/>
        </w:rPr>
        <w:t xml:space="preserve">, según la impugnación presentada por la parte </w:t>
      </w:r>
      <w:r>
        <w:rPr>
          <w:rFonts w:ascii="Georgia" w:hAnsi="Georgia" w:cs="Arial"/>
          <w:sz w:val="24"/>
          <w:szCs w:val="24"/>
        </w:rPr>
        <w:t>vinculada</w:t>
      </w:r>
      <w:r w:rsidRPr="00484A74">
        <w:rPr>
          <w:rFonts w:ascii="Georgia" w:hAnsi="Georgia" w:cs="Arial"/>
          <w:sz w:val="24"/>
          <w:szCs w:val="24"/>
        </w:rPr>
        <w:t xml:space="preserve">? </w:t>
      </w:r>
    </w:p>
    <w:p w:rsidR="00484A74" w:rsidRPr="00484A74" w:rsidRDefault="00484A74" w:rsidP="00484A74">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484A74" w:rsidRPr="000F2638" w:rsidRDefault="00484A74" w:rsidP="00484A74">
      <w:pPr>
        <w:pStyle w:val="Corpsdetexte"/>
        <w:numPr>
          <w:ilvl w:val="1"/>
          <w:numId w:val="41"/>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 w:val="24"/>
          <w:szCs w:val="24"/>
        </w:rPr>
        <w:t>Los presupuestos generales de procedencia</w:t>
      </w:r>
    </w:p>
    <w:p w:rsidR="000F2638" w:rsidRPr="00CC68E1" w:rsidRDefault="000F2638" w:rsidP="000F2638">
      <w:pPr>
        <w:pStyle w:val="Corpsdetexte"/>
        <w:tabs>
          <w:tab w:val="clear" w:pos="708"/>
          <w:tab w:val="clear" w:pos="1416"/>
          <w:tab w:val="left" w:pos="709"/>
          <w:tab w:val="left" w:pos="1418"/>
        </w:tabs>
        <w:spacing w:line="360" w:lineRule="auto"/>
        <w:rPr>
          <w:rFonts w:ascii="Georgia" w:hAnsi="Georgia"/>
          <w:smallCaps/>
          <w:szCs w:val="24"/>
        </w:rPr>
      </w:pPr>
    </w:p>
    <w:p w:rsidR="000727D7" w:rsidRPr="003E4C48" w:rsidRDefault="00484A74" w:rsidP="000727D7">
      <w:pPr>
        <w:pStyle w:val="Corpsdetexte"/>
        <w:numPr>
          <w:ilvl w:val="2"/>
          <w:numId w:val="41"/>
        </w:numPr>
        <w:spacing w:line="360" w:lineRule="auto"/>
        <w:rPr>
          <w:rFonts w:ascii="Georgia" w:hAnsi="Georgia" w:cs="Arial"/>
          <w:sz w:val="24"/>
          <w:szCs w:val="24"/>
        </w:rPr>
      </w:pPr>
      <w:r w:rsidRPr="00484A74">
        <w:rPr>
          <w:rFonts w:ascii="Georgia" w:hAnsi="Georgia" w:cs="Arial"/>
          <w:smallCaps/>
          <w:sz w:val="22"/>
          <w:szCs w:val="24"/>
        </w:rPr>
        <w:t>La legitimación en la causa</w:t>
      </w:r>
    </w:p>
    <w:p w:rsidR="003E4C48" w:rsidRPr="000727D7" w:rsidRDefault="003E4C48" w:rsidP="003E4C48">
      <w:pPr>
        <w:pStyle w:val="Corpsdetexte"/>
        <w:spacing w:line="360" w:lineRule="auto"/>
        <w:ind w:left="720"/>
        <w:rPr>
          <w:rFonts w:ascii="Georgia" w:hAnsi="Georgia" w:cs="Arial"/>
          <w:sz w:val="24"/>
          <w:szCs w:val="24"/>
        </w:rPr>
      </w:pPr>
    </w:p>
    <w:p w:rsidR="000727D7" w:rsidRPr="000727D7" w:rsidRDefault="00484A74" w:rsidP="000727D7">
      <w:pPr>
        <w:pStyle w:val="Corpsdetexte"/>
        <w:spacing w:line="360" w:lineRule="auto"/>
        <w:rPr>
          <w:rFonts w:ascii="Georgia" w:hAnsi="Georgia" w:cs="Arial"/>
          <w:sz w:val="24"/>
          <w:szCs w:val="24"/>
        </w:rPr>
      </w:pPr>
      <w:r>
        <w:rPr>
          <w:rFonts w:ascii="Georgia" w:hAnsi="Georgia" w:cs="Arial"/>
          <w:smallCaps/>
          <w:sz w:val="24"/>
          <w:szCs w:val="24"/>
        </w:rPr>
        <w:t xml:space="preserve"> </w:t>
      </w:r>
      <w:r w:rsidR="008924A4" w:rsidRPr="00484A74">
        <w:rPr>
          <w:rFonts w:ascii="Georgia" w:hAnsi="Georgia" w:cs="Arial"/>
          <w:sz w:val="24"/>
          <w:szCs w:val="24"/>
        </w:rPr>
        <w:t>Se cumple la le</w:t>
      </w:r>
      <w:r w:rsidR="006F52BC" w:rsidRPr="00484A74">
        <w:rPr>
          <w:rFonts w:ascii="Georgia" w:hAnsi="Georgia" w:cs="Arial"/>
          <w:sz w:val="24"/>
          <w:szCs w:val="24"/>
        </w:rPr>
        <w:t>gitimación por activa dado que e</w:t>
      </w:r>
      <w:r w:rsidR="008924A4" w:rsidRPr="00484A74">
        <w:rPr>
          <w:rFonts w:ascii="Georgia" w:hAnsi="Georgia" w:cs="Arial"/>
          <w:sz w:val="24"/>
          <w:szCs w:val="24"/>
        </w:rPr>
        <w:t>l señor</w:t>
      </w:r>
      <w:r w:rsidR="00350325" w:rsidRPr="00484A74">
        <w:rPr>
          <w:rFonts w:ascii="Georgia" w:hAnsi="Georgia" w:cs="Arial"/>
          <w:sz w:val="24"/>
          <w:szCs w:val="24"/>
        </w:rPr>
        <w:t xml:space="preserve"> </w:t>
      </w:r>
      <w:r w:rsidR="000727D7">
        <w:rPr>
          <w:rFonts w:ascii="Georgia" w:hAnsi="Georgia" w:cs="Arial"/>
          <w:sz w:val="24"/>
          <w:szCs w:val="24"/>
        </w:rPr>
        <w:t xml:space="preserve">Iván </w:t>
      </w:r>
      <w:proofErr w:type="spellStart"/>
      <w:r w:rsidR="000727D7">
        <w:rPr>
          <w:rFonts w:ascii="Georgia" w:hAnsi="Georgia" w:cs="Arial"/>
          <w:sz w:val="24"/>
          <w:szCs w:val="24"/>
        </w:rPr>
        <w:t>Obel</w:t>
      </w:r>
      <w:proofErr w:type="spellEnd"/>
      <w:r w:rsidR="000727D7">
        <w:rPr>
          <w:rFonts w:ascii="Georgia" w:hAnsi="Georgia" w:cs="Arial"/>
          <w:sz w:val="24"/>
          <w:szCs w:val="24"/>
        </w:rPr>
        <w:t xml:space="preserve"> Ramos Restrepo actúa como interesado en el proceso </w:t>
      </w:r>
      <w:proofErr w:type="spellStart"/>
      <w:r w:rsidR="000727D7">
        <w:rPr>
          <w:rFonts w:ascii="Georgia" w:hAnsi="Georgia" w:cs="Arial"/>
          <w:sz w:val="24"/>
          <w:szCs w:val="24"/>
        </w:rPr>
        <w:t>liquidatorio</w:t>
      </w:r>
      <w:proofErr w:type="spellEnd"/>
      <w:r w:rsidR="000727D7">
        <w:rPr>
          <w:rFonts w:ascii="Georgia" w:hAnsi="Georgia" w:cs="Arial"/>
          <w:sz w:val="24"/>
          <w:szCs w:val="24"/>
        </w:rPr>
        <w:t xml:space="preserve"> de sucesión</w:t>
      </w:r>
      <w:r w:rsidR="00350325" w:rsidRPr="00484A74">
        <w:rPr>
          <w:rFonts w:ascii="Georgia" w:hAnsi="Georgia" w:cs="Arial"/>
          <w:sz w:val="24"/>
          <w:szCs w:val="24"/>
        </w:rPr>
        <w:t>.</w:t>
      </w:r>
      <w:r w:rsidR="000727D7">
        <w:rPr>
          <w:rFonts w:ascii="Georgia" w:hAnsi="Georgia" w:cs="Arial"/>
          <w:sz w:val="24"/>
          <w:szCs w:val="24"/>
        </w:rPr>
        <w:t xml:space="preserve"> Diferente es respecto de la doctora Gloria Amparo Díaz García, pues no es parte, ni tercera reconocida en el aludido asunto,</w:t>
      </w:r>
      <w:r w:rsidR="000727D7" w:rsidRPr="000727D7">
        <w:rPr>
          <w:rFonts w:ascii="Georgia" w:hAnsi="Georgia" w:cs="Arial"/>
          <w:sz w:val="24"/>
          <w:szCs w:val="24"/>
        </w:rPr>
        <w:t xml:space="preserve"> </w:t>
      </w:r>
      <w:r w:rsidR="000727D7">
        <w:rPr>
          <w:rFonts w:ascii="Georgia" w:hAnsi="Georgia"/>
          <w:sz w:val="24"/>
          <w:szCs w:val="24"/>
        </w:rPr>
        <w:t>carece de la titularidad del derecho fundamental al debido proceso, por lo tanto se declarará improcedente el amparo constitucional formulado en su propio nombre</w:t>
      </w:r>
      <w:r w:rsidR="00AF5BB9" w:rsidRPr="00A3009C">
        <w:rPr>
          <w:rStyle w:val="Appelnotedebasdep"/>
          <w:rFonts w:ascii="Georgia" w:hAnsi="Georgia"/>
        </w:rPr>
        <w:footnoteReference w:id="1"/>
      </w:r>
      <w:r w:rsidR="000727D7">
        <w:rPr>
          <w:rFonts w:ascii="Georgia" w:hAnsi="Georgia"/>
          <w:sz w:val="24"/>
          <w:szCs w:val="24"/>
        </w:rPr>
        <w:t xml:space="preserve">. </w:t>
      </w:r>
    </w:p>
    <w:p w:rsidR="000727D7" w:rsidRDefault="000727D7" w:rsidP="000727D7">
      <w:pPr>
        <w:pStyle w:val="Corpsdetexte"/>
        <w:spacing w:line="360" w:lineRule="auto"/>
        <w:rPr>
          <w:rFonts w:ascii="Georgia" w:hAnsi="Georgia" w:cs="Arial"/>
          <w:sz w:val="24"/>
          <w:szCs w:val="24"/>
        </w:rPr>
      </w:pPr>
    </w:p>
    <w:p w:rsidR="000727D7" w:rsidRDefault="000727D7" w:rsidP="000727D7">
      <w:pPr>
        <w:pStyle w:val="Corpsdetexte"/>
        <w:spacing w:line="360" w:lineRule="auto"/>
        <w:rPr>
          <w:rFonts w:ascii="Georgia" w:hAnsi="Georgia" w:cs="Arial"/>
          <w:sz w:val="24"/>
          <w:szCs w:val="24"/>
        </w:rPr>
      </w:pPr>
      <w:r>
        <w:rPr>
          <w:rFonts w:ascii="Georgia" w:hAnsi="Georgia"/>
          <w:sz w:val="24"/>
          <w:szCs w:val="24"/>
        </w:rPr>
        <w:t>Pese a lo anterior, como quiera que arrimó poder especial emanado del accionante</w:t>
      </w:r>
      <w:r w:rsidR="00FA15F8">
        <w:rPr>
          <w:rFonts w:ascii="Georgia" w:hAnsi="Georgia"/>
          <w:sz w:val="24"/>
          <w:szCs w:val="24"/>
        </w:rPr>
        <w:t xml:space="preserve"> (Folio 38, cuaderno principal)</w:t>
      </w:r>
      <w:r>
        <w:rPr>
          <w:rFonts w:ascii="Georgia" w:hAnsi="Georgia"/>
          <w:sz w:val="24"/>
          <w:szCs w:val="24"/>
        </w:rPr>
        <w:t>, se le reconocerá personería jurídica para actuar en su nombre y representación</w:t>
      </w:r>
      <w:r w:rsidR="00FA15F8">
        <w:rPr>
          <w:rFonts w:ascii="Georgia" w:hAnsi="Georgia"/>
          <w:sz w:val="24"/>
          <w:szCs w:val="24"/>
        </w:rPr>
        <w:t xml:space="preserve">, no obstante que haya sido </w:t>
      </w:r>
      <w:r w:rsidR="00560AA3">
        <w:rPr>
          <w:rFonts w:ascii="Georgia" w:hAnsi="Georgia"/>
          <w:sz w:val="24"/>
          <w:szCs w:val="24"/>
        </w:rPr>
        <w:t>presentado</w:t>
      </w:r>
      <w:r w:rsidR="00FA15F8">
        <w:rPr>
          <w:rFonts w:ascii="Georgia" w:hAnsi="Georgia"/>
          <w:sz w:val="24"/>
          <w:szCs w:val="24"/>
        </w:rPr>
        <w:t xml:space="preserve"> inclusive con posterioridad a que se profiriera la decisión impugnada. </w:t>
      </w:r>
    </w:p>
    <w:p w:rsidR="000727D7" w:rsidRDefault="000727D7" w:rsidP="000727D7">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rPr>
      </w:pPr>
    </w:p>
    <w:p w:rsidR="00350325" w:rsidRPr="00484A74" w:rsidRDefault="00350325" w:rsidP="00FA15F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z w:val="24"/>
          <w:szCs w:val="24"/>
        </w:rPr>
        <w:t xml:space="preserve">Y por pasiva, lo es el Juzgado </w:t>
      </w:r>
      <w:r w:rsidR="000727D7">
        <w:rPr>
          <w:rFonts w:ascii="Georgia" w:hAnsi="Georgia" w:cs="Arial"/>
          <w:sz w:val="24"/>
          <w:szCs w:val="24"/>
        </w:rPr>
        <w:t xml:space="preserve">Tercero </w:t>
      </w:r>
      <w:r w:rsidR="00484A74">
        <w:rPr>
          <w:rFonts w:ascii="Georgia" w:hAnsi="Georgia" w:cs="Arial"/>
          <w:sz w:val="24"/>
          <w:szCs w:val="24"/>
        </w:rPr>
        <w:t xml:space="preserve">Civil </w:t>
      </w:r>
      <w:r w:rsidRPr="00484A74">
        <w:rPr>
          <w:rFonts w:ascii="Georgia" w:hAnsi="Georgia" w:cs="Arial"/>
          <w:sz w:val="24"/>
          <w:szCs w:val="24"/>
        </w:rPr>
        <w:t>Municipal</w:t>
      </w:r>
      <w:r w:rsidR="006F52BC" w:rsidRPr="00484A74">
        <w:rPr>
          <w:rFonts w:ascii="Georgia" w:hAnsi="Georgia" w:cs="Arial"/>
          <w:sz w:val="24"/>
          <w:szCs w:val="24"/>
        </w:rPr>
        <w:t xml:space="preserve"> de </w:t>
      </w:r>
      <w:r w:rsidR="000727D7">
        <w:rPr>
          <w:rFonts w:ascii="Georgia" w:hAnsi="Georgia" w:cs="Arial"/>
          <w:sz w:val="24"/>
          <w:szCs w:val="24"/>
        </w:rPr>
        <w:t>Dosquebradas</w:t>
      </w:r>
      <w:r w:rsidRPr="00484A74">
        <w:rPr>
          <w:rFonts w:ascii="Georgia" w:hAnsi="Georgia" w:cs="Arial"/>
          <w:sz w:val="24"/>
          <w:szCs w:val="24"/>
        </w:rPr>
        <w:t xml:space="preserve">, por ser la autoridad judicial </w:t>
      </w:r>
      <w:r w:rsidR="00496952" w:rsidRPr="00484A74">
        <w:rPr>
          <w:rFonts w:ascii="Georgia" w:hAnsi="Georgia" w:cs="Arial"/>
          <w:sz w:val="24"/>
          <w:szCs w:val="24"/>
        </w:rPr>
        <w:t xml:space="preserve">que </w:t>
      </w:r>
      <w:r w:rsidRPr="00484A74">
        <w:rPr>
          <w:rFonts w:ascii="Georgia" w:hAnsi="Georgia" w:cs="Arial"/>
          <w:sz w:val="24"/>
          <w:szCs w:val="24"/>
        </w:rPr>
        <w:t>conoce del proceso</w:t>
      </w:r>
      <w:r w:rsidR="006C593B" w:rsidRPr="00484A74">
        <w:rPr>
          <w:rFonts w:ascii="Georgia" w:hAnsi="Georgia" w:cs="Arial"/>
          <w:sz w:val="24"/>
          <w:szCs w:val="24"/>
        </w:rPr>
        <w:t>.</w:t>
      </w:r>
    </w:p>
    <w:p w:rsidR="00350325" w:rsidRPr="00484A74" w:rsidRDefault="00350325" w:rsidP="00350325">
      <w:pPr>
        <w:pStyle w:val="Corpsdetexte"/>
        <w:spacing w:line="360" w:lineRule="auto"/>
        <w:rPr>
          <w:rFonts w:ascii="Georgia" w:hAnsi="Georgia" w:cs="Arial"/>
          <w:sz w:val="24"/>
        </w:rPr>
      </w:pPr>
    </w:p>
    <w:p w:rsidR="00E77D52" w:rsidRPr="00484A74" w:rsidRDefault="00E77D52" w:rsidP="00E77D52">
      <w:pPr>
        <w:pStyle w:val="Paragraphedeliste"/>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aragraphedeliste"/>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4453AC" w:rsidRPr="00484A74" w:rsidRDefault="004453AC" w:rsidP="00484A74">
      <w:pPr>
        <w:pStyle w:val="Corpsdetex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484A74">
        <w:rPr>
          <w:rFonts w:ascii="Georgia" w:hAnsi="Georgia" w:cs="Arial"/>
          <w:smallCaps/>
          <w:sz w:val="24"/>
          <w:szCs w:val="24"/>
        </w:rPr>
        <w:t>Las sub-reglas de análisis en la procedibilidad frente a decisiones judiciales</w:t>
      </w:r>
    </w:p>
    <w:p w:rsidR="004453AC" w:rsidRPr="00484A74" w:rsidRDefault="004453AC" w:rsidP="004453AC">
      <w:pPr>
        <w:pStyle w:val="Corpsdetexte"/>
        <w:spacing w:line="360" w:lineRule="auto"/>
        <w:rPr>
          <w:rFonts w:ascii="Georgia" w:hAnsi="Georgia" w:cs="Arial"/>
          <w:szCs w:val="24"/>
        </w:rPr>
      </w:pPr>
    </w:p>
    <w:p w:rsidR="00DB34BE" w:rsidRDefault="00DB34BE" w:rsidP="00DB34BE">
      <w:pPr>
        <w:pStyle w:val="Corpsdetexte"/>
        <w:spacing w:line="360" w:lineRule="auto"/>
        <w:rPr>
          <w:rFonts w:ascii="Georgia" w:hAnsi="Georgia" w:cs="Arial"/>
          <w:sz w:val="24"/>
          <w:szCs w:val="24"/>
        </w:rPr>
      </w:pPr>
      <w:r w:rsidRPr="00DB39AD">
        <w:rPr>
          <w:rFonts w:ascii="Georgia" w:hAnsi="Georgia" w:cs="Arial"/>
          <w:sz w:val="24"/>
          <w:szCs w:val="24"/>
        </w:rPr>
        <w:t>Desde la sentencia C-543</w:t>
      </w:r>
      <w:r w:rsidRPr="00DB39AD">
        <w:rPr>
          <w:rFonts w:ascii="Georgia" w:hAnsi="Georgia"/>
          <w:sz w:val="24"/>
          <w:szCs w:val="24"/>
        </w:rPr>
        <w:t xml:space="preserve"> </w:t>
      </w:r>
      <w:r w:rsidRPr="00DB39AD">
        <w:rPr>
          <w:rFonts w:ascii="Georgia" w:hAnsi="Georgia"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w:t>
      </w:r>
      <w:r w:rsidRPr="00DB39AD">
        <w:rPr>
          <w:rFonts w:ascii="Georgia" w:hAnsi="Georgia" w:cs="Arial"/>
          <w:sz w:val="24"/>
          <w:szCs w:val="24"/>
        </w:rPr>
        <w:lastRenderedPageBreak/>
        <w:t>definición dogmática entre 2003 y 2005</w:t>
      </w:r>
      <w:r w:rsidRPr="00DB39AD">
        <w:rPr>
          <w:rStyle w:val="Appelnotedebasdep"/>
          <w:rFonts w:ascii="Georgia" w:hAnsi="Georgia" w:cs="Arial"/>
          <w:sz w:val="24"/>
          <w:szCs w:val="24"/>
        </w:rPr>
        <w:footnoteReference w:id="2"/>
      </w:r>
      <w:r w:rsidRPr="00DB39AD">
        <w:rPr>
          <w:rFonts w:ascii="Georgia" w:hAnsi="Georgia" w:cs="Arial"/>
          <w:sz w:val="24"/>
          <w:szCs w:val="24"/>
        </w:rPr>
        <w:t>, básicamente sustituyó la expresión “vías de hecho” por la de “causales genéricas de procedibilidad” y ensanchó las causales especiales, pasando de cuatro (4) a ocho (8).  En el mismo sentido Quiroga N.</w:t>
      </w:r>
      <w:r w:rsidRPr="00DB39AD">
        <w:rPr>
          <w:rStyle w:val="Appelnotedebasdep"/>
          <w:rFonts w:ascii="Georgia" w:hAnsi="Georgia"/>
          <w:sz w:val="24"/>
          <w:szCs w:val="24"/>
        </w:rPr>
        <w:footnoteReference w:id="3"/>
      </w:r>
      <w:r>
        <w:rPr>
          <w:rFonts w:ascii="Georgia" w:hAnsi="Georgia" w:cs="Arial"/>
          <w:sz w:val="24"/>
          <w:szCs w:val="24"/>
        </w:rPr>
        <w:t>.</w:t>
      </w:r>
    </w:p>
    <w:p w:rsidR="00DB34BE" w:rsidRDefault="00DB34BE" w:rsidP="00DB34BE">
      <w:pPr>
        <w:pStyle w:val="Corpsdetexte"/>
        <w:spacing w:line="360" w:lineRule="auto"/>
        <w:rPr>
          <w:rFonts w:ascii="Georgia" w:hAnsi="Georgia" w:cs="Arial"/>
          <w:sz w:val="24"/>
          <w:szCs w:val="24"/>
        </w:rPr>
      </w:pPr>
    </w:p>
    <w:p w:rsidR="00DB34BE" w:rsidRDefault="00DB34BE" w:rsidP="00DB34BE">
      <w:pPr>
        <w:pStyle w:val="Corpsdetexte"/>
        <w:spacing w:line="360" w:lineRule="auto"/>
        <w:rPr>
          <w:rFonts w:ascii="Georgia" w:hAnsi="Georgia" w:cs="Arial"/>
          <w:sz w:val="24"/>
          <w:szCs w:val="24"/>
        </w:rPr>
      </w:pPr>
      <w:r w:rsidRPr="00DB39AD">
        <w:rPr>
          <w:rFonts w:ascii="Georgia" w:hAnsi="Georgia" w:cs="Arial"/>
          <w:sz w:val="24"/>
          <w:szCs w:val="24"/>
        </w:rPr>
        <w:t xml:space="preserve">Ahora, en frente  del  examen que se reclama en sede constitucional, resulta de mayúscula trascendencia, precisar que </w:t>
      </w:r>
      <w:r w:rsidRPr="00DB39AD">
        <w:rPr>
          <w:rFonts w:ascii="Georgia" w:hAnsi="Georgia" w:cs="Arial"/>
          <w:sz w:val="24"/>
          <w:szCs w:val="24"/>
          <w:u w:val="single"/>
        </w:rPr>
        <w:t>se trata de un juicio de validez y no de corrección</w:t>
      </w:r>
      <w:r w:rsidRPr="00DB39AD">
        <w:rPr>
          <w:rFonts w:ascii="Georgia" w:hAnsi="Georgia"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DB39AD">
        <w:rPr>
          <w:rStyle w:val="Appelnotedebasdep"/>
          <w:rFonts w:ascii="Georgia" w:hAnsi="Georgia" w:cs="Arial"/>
          <w:sz w:val="24"/>
          <w:szCs w:val="24"/>
        </w:rPr>
        <w:footnoteReference w:id="4"/>
      </w:r>
      <w:r>
        <w:rPr>
          <w:rFonts w:ascii="Georgia" w:hAnsi="Georgia" w:cs="Arial"/>
          <w:sz w:val="24"/>
          <w:szCs w:val="24"/>
        </w:rPr>
        <w:t>.</w:t>
      </w:r>
    </w:p>
    <w:p w:rsidR="00DB34BE" w:rsidRDefault="00DB34BE" w:rsidP="00DB34BE">
      <w:pPr>
        <w:pStyle w:val="Corpsdetexte"/>
        <w:spacing w:line="360" w:lineRule="auto"/>
        <w:rPr>
          <w:rFonts w:ascii="Georgia" w:hAnsi="Georgia" w:cs="Arial"/>
          <w:sz w:val="24"/>
          <w:szCs w:val="24"/>
        </w:rPr>
      </w:pPr>
    </w:p>
    <w:p w:rsidR="00DB34BE" w:rsidRDefault="00DB34BE" w:rsidP="00DB34BE">
      <w:pPr>
        <w:pStyle w:val="Corpsdetexte"/>
        <w:spacing w:line="360" w:lineRule="auto"/>
        <w:rPr>
          <w:rFonts w:ascii="Georgia" w:hAnsi="Georgia" w:cs="Arial"/>
          <w:sz w:val="24"/>
          <w:szCs w:val="24"/>
        </w:rPr>
      </w:pPr>
      <w:r w:rsidRPr="00DB39AD">
        <w:rPr>
          <w:rFonts w:ascii="Georgia" w:hAnsi="Georgia" w:cs="Arial"/>
          <w:sz w:val="24"/>
          <w:szCs w:val="24"/>
        </w:rPr>
        <w:t>Los requisitos generales de procedibilidad, explicados en amplitud en la C-590 de 2005</w:t>
      </w:r>
      <w:r w:rsidRPr="00DB39AD">
        <w:rPr>
          <w:rStyle w:val="Appelnotedebasdep"/>
          <w:rFonts w:ascii="Georgia" w:hAnsi="Georgia" w:cs="Arial"/>
          <w:sz w:val="24"/>
          <w:szCs w:val="24"/>
        </w:rPr>
        <w:footnoteReference w:id="5"/>
      </w:r>
      <w:r w:rsidRPr="00DB39AD">
        <w:rPr>
          <w:rFonts w:ascii="Georgia" w:hAnsi="Georgia" w:cs="Arial"/>
          <w:sz w:val="24"/>
          <w:szCs w:val="24"/>
        </w:rPr>
        <w:t xml:space="preserve"> y reiterados en la consolidada línea jurisprudencial de la CC</w:t>
      </w:r>
      <w:r w:rsidRPr="00DB39AD">
        <w:rPr>
          <w:rStyle w:val="Appelnotedebasdep"/>
          <w:rFonts w:ascii="Georgia" w:hAnsi="Georgia" w:cs="Arial"/>
          <w:sz w:val="24"/>
          <w:szCs w:val="24"/>
        </w:rPr>
        <w:footnoteReference w:id="6"/>
      </w:r>
      <w:r w:rsidRPr="00DB39AD">
        <w:rPr>
          <w:rFonts w:ascii="Georgia" w:hAnsi="Georgia" w:cs="Arial"/>
          <w:sz w:val="24"/>
          <w:szCs w:val="24"/>
        </w:rPr>
        <w:t xml:space="preserve"> (2017)</w:t>
      </w:r>
      <w:r w:rsidRPr="00DB39AD">
        <w:rPr>
          <w:rStyle w:val="Appelnotedebasdep"/>
          <w:rFonts w:ascii="Georgia" w:hAnsi="Georgia" w:cs="Arial"/>
          <w:sz w:val="24"/>
          <w:szCs w:val="24"/>
        </w:rPr>
        <w:t xml:space="preserve"> </w:t>
      </w:r>
      <w:r w:rsidRPr="00DB39AD">
        <w:rPr>
          <w:rStyle w:val="Appelnotedebasdep"/>
          <w:rFonts w:ascii="Georgia" w:hAnsi="Georgia" w:cs="Arial"/>
          <w:sz w:val="24"/>
          <w:szCs w:val="24"/>
        </w:rPr>
        <w:footnoteReference w:id="7"/>
      </w:r>
      <w:r w:rsidRPr="00DB39AD">
        <w:rPr>
          <w:rFonts w:ascii="Georgia" w:hAnsi="Georgia" w:cs="Arial"/>
          <w:sz w:val="24"/>
          <w:szCs w:val="24"/>
        </w:rPr>
        <w:t xml:space="preserve">  son: (i)</w:t>
      </w:r>
      <w:r w:rsidRPr="00DB39AD">
        <w:rPr>
          <w:rStyle w:val="Appelnotedebasdep"/>
          <w:rFonts w:ascii="Georgia" w:hAnsi="Georgia" w:cs="Arial"/>
          <w:sz w:val="24"/>
          <w:szCs w:val="24"/>
        </w:rPr>
        <w:t xml:space="preserve"> </w:t>
      </w:r>
      <w:r w:rsidRPr="00DB39AD">
        <w:rPr>
          <w:rFonts w:ascii="Georgia" w:hAnsi="Georgia" w:cs="Arial"/>
          <w:sz w:val="24"/>
          <w:szCs w:val="24"/>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DB39AD">
        <w:rPr>
          <w:rStyle w:val="Appelnotedebasdep"/>
          <w:rFonts w:ascii="Georgia" w:hAnsi="Georgia"/>
          <w:sz w:val="24"/>
          <w:szCs w:val="24"/>
        </w:rPr>
        <w:footnoteReference w:id="8"/>
      </w:r>
      <w:r>
        <w:rPr>
          <w:rFonts w:ascii="Georgia" w:hAnsi="Georgia" w:cs="Arial"/>
          <w:sz w:val="24"/>
          <w:szCs w:val="24"/>
        </w:rPr>
        <w:t>.</w:t>
      </w:r>
    </w:p>
    <w:p w:rsidR="00DB34BE" w:rsidRDefault="00DB34BE" w:rsidP="00DB34BE">
      <w:pPr>
        <w:pStyle w:val="Corpsdetexte"/>
        <w:spacing w:line="360" w:lineRule="auto"/>
        <w:rPr>
          <w:rFonts w:ascii="Georgia" w:hAnsi="Georgia" w:cs="Arial"/>
          <w:sz w:val="24"/>
          <w:szCs w:val="24"/>
        </w:rPr>
      </w:pPr>
    </w:p>
    <w:p w:rsidR="00DB34BE" w:rsidRPr="00DB39AD" w:rsidRDefault="00DB34BE" w:rsidP="002C3144">
      <w:pPr>
        <w:pStyle w:val="Corpsdetexte"/>
        <w:spacing w:line="360" w:lineRule="auto"/>
        <w:rPr>
          <w:rFonts w:ascii="Georgia" w:hAnsi="Georgia" w:cs="Arial"/>
          <w:sz w:val="24"/>
          <w:szCs w:val="24"/>
        </w:rPr>
      </w:pPr>
      <w:r w:rsidRPr="00DB34BE">
        <w:rPr>
          <w:rFonts w:ascii="Georgia" w:hAnsi="Georgia" w:cs="Arial"/>
          <w:sz w:val="24"/>
          <w:szCs w:val="24"/>
        </w:rPr>
        <w:t>De otra parte, como requisitos o causales especiales de proce</w:t>
      </w:r>
      <w:r>
        <w:rPr>
          <w:rFonts w:ascii="Georgia" w:hAnsi="Georgia" w:cs="Arial"/>
          <w:sz w:val="24"/>
          <w:szCs w:val="24"/>
        </w:rPr>
        <w:t xml:space="preserve">dibilidad, se han definido los </w:t>
      </w:r>
      <w:r w:rsidRPr="00DB39AD">
        <w:rPr>
          <w:rFonts w:ascii="Georgia" w:hAnsi="Georgia" w:cs="Arial"/>
          <w:sz w:val="24"/>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sistemático  </w:t>
      </w:r>
      <w:r>
        <w:rPr>
          <w:rFonts w:ascii="Georgia" w:hAnsi="Georgia" w:cs="Arial"/>
          <w:sz w:val="24"/>
          <w:szCs w:val="24"/>
        </w:rPr>
        <w:t xml:space="preserve"> </w:t>
      </w:r>
      <w:r w:rsidRPr="00DB39AD">
        <w:rPr>
          <w:rFonts w:ascii="Georgia" w:hAnsi="Georgia" w:cs="Arial"/>
          <w:sz w:val="24"/>
          <w:szCs w:val="24"/>
        </w:rPr>
        <w:t xml:space="preserve">recuento </w:t>
      </w:r>
      <w:r>
        <w:rPr>
          <w:rFonts w:ascii="Georgia" w:hAnsi="Georgia" w:cs="Arial"/>
          <w:sz w:val="24"/>
          <w:szCs w:val="24"/>
        </w:rPr>
        <w:t xml:space="preserve"> </w:t>
      </w:r>
      <w:r w:rsidRPr="00DB39AD">
        <w:rPr>
          <w:rFonts w:ascii="Georgia" w:hAnsi="Georgia" w:cs="Arial"/>
          <w:sz w:val="24"/>
          <w:szCs w:val="24"/>
        </w:rPr>
        <w:t xml:space="preserve"> puede</w:t>
      </w:r>
      <w:r>
        <w:rPr>
          <w:rFonts w:ascii="Georgia" w:hAnsi="Georgia" w:cs="Arial"/>
          <w:sz w:val="24"/>
          <w:szCs w:val="24"/>
        </w:rPr>
        <w:t xml:space="preserve"> </w:t>
      </w:r>
      <w:r w:rsidRPr="00DB39AD">
        <w:rPr>
          <w:rFonts w:ascii="Georgia" w:hAnsi="Georgia" w:cs="Arial"/>
          <w:sz w:val="24"/>
          <w:szCs w:val="24"/>
        </w:rPr>
        <w:t xml:space="preserve">  leerse </w:t>
      </w:r>
      <w:r>
        <w:rPr>
          <w:rFonts w:ascii="Georgia" w:hAnsi="Georgia" w:cs="Arial"/>
          <w:sz w:val="24"/>
          <w:szCs w:val="24"/>
        </w:rPr>
        <w:t xml:space="preserve"> </w:t>
      </w:r>
      <w:r w:rsidRPr="00DB39AD">
        <w:rPr>
          <w:rFonts w:ascii="Georgia" w:hAnsi="Georgia" w:cs="Arial"/>
          <w:sz w:val="24"/>
          <w:szCs w:val="24"/>
        </w:rPr>
        <w:t xml:space="preserve"> en </w:t>
      </w:r>
      <w:r>
        <w:rPr>
          <w:rFonts w:ascii="Georgia" w:hAnsi="Georgia" w:cs="Arial"/>
          <w:sz w:val="24"/>
          <w:szCs w:val="24"/>
        </w:rPr>
        <w:t xml:space="preserve"> </w:t>
      </w:r>
      <w:r w:rsidRPr="00DB39AD">
        <w:rPr>
          <w:rFonts w:ascii="Georgia" w:hAnsi="Georgia" w:cs="Arial"/>
          <w:sz w:val="24"/>
          <w:szCs w:val="24"/>
        </w:rPr>
        <w:t xml:space="preserve"> la </w:t>
      </w:r>
      <w:r>
        <w:rPr>
          <w:rFonts w:ascii="Georgia" w:hAnsi="Georgia" w:cs="Arial"/>
          <w:sz w:val="24"/>
          <w:szCs w:val="24"/>
        </w:rPr>
        <w:t xml:space="preserve"> </w:t>
      </w:r>
      <w:r w:rsidRPr="00DB39AD">
        <w:rPr>
          <w:rFonts w:ascii="Georgia" w:hAnsi="Georgia" w:cs="Arial"/>
          <w:sz w:val="24"/>
          <w:szCs w:val="24"/>
        </w:rPr>
        <w:t xml:space="preserve"> obra </w:t>
      </w:r>
      <w:r>
        <w:rPr>
          <w:rFonts w:ascii="Georgia" w:hAnsi="Georgia" w:cs="Arial"/>
          <w:sz w:val="24"/>
          <w:szCs w:val="24"/>
        </w:rPr>
        <w:t xml:space="preserve"> </w:t>
      </w:r>
      <w:r w:rsidRPr="00DB39AD">
        <w:rPr>
          <w:rFonts w:ascii="Georgia" w:hAnsi="Georgia" w:cs="Arial"/>
          <w:sz w:val="24"/>
          <w:szCs w:val="24"/>
        </w:rPr>
        <w:t>de</w:t>
      </w:r>
      <w:r>
        <w:rPr>
          <w:rFonts w:ascii="Georgia" w:hAnsi="Georgia" w:cs="Arial"/>
          <w:sz w:val="24"/>
          <w:szCs w:val="24"/>
        </w:rPr>
        <w:t xml:space="preserve"> </w:t>
      </w:r>
      <w:r w:rsidRPr="00DB39AD">
        <w:rPr>
          <w:rFonts w:ascii="Georgia" w:hAnsi="Georgia" w:cs="Arial"/>
          <w:sz w:val="24"/>
          <w:szCs w:val="24"/>
        </w:rPr>
        <w:t xml:space="preserve"> los</w:t>
      </w:r>
      <w:r>
        <w:rPr>
          <w:rFonts w:ascii="Georgia" w:hAnsi="Georgia" w:cs="Arial"/>
          <w:sz w:val="24"/>
          <w:szCs w:val="24"/>
        </w:rPr>
        <w:t xml:space="preserve"> </w:t>
      </w:r>
      <w:r w:rsidRPr="00DB39AD">
        <w:rPr>
          <w:rFonts w:ascii="Georgia" w:hAnsi="Georgia" w:cs="Arial"/>
          <w:sz w:val="24"/>
          <w:szCs w:val="24"/>
        </w:rPr>
        <w:t xml:space="preserve"> doctores</w:t>
      </w:r>
      <w:r>
        <w:rPr>
          <w:rFonts w:ascii="Georgia" w:hAnsi="Georgia" w:cs="Arial"/>
          <w:sz w:val="24"/>
          <w:szCs w:val="24"/>
        </w:rPr>
        <w:t xml:space="preserve"> </w:t>
      </w:r>
      <w:r w:rsidRPr="00DB39AD">
        <w:rPr>
          <w:rFonts w:ascii="Georgia" w:hAnsi="Georgia" w:cs="Arial"/>
          <w:sz w:val="24"/>
          <w:szCs w:val="24"/>
        </w:rPr>
        <w:t xml:space="preserve"> Catalina </w:t>
      </w:r>
      <w:r>
        <w:rPr>
          <w:rFonts w:ascii="Georgia" w:hAnsi="Georgia" w:cs="Arial"/>
          <w:sz w:val="24"/>
          <w:szCs w:val="24"/>
        </w:rPr>
        <w:t xml:space="preserve"> </w:t>
      </w:r>
      <w:r w:rsidRPr="00DB39AD">
        <w:rPr>
          <w:rFonts w:ascii="Georgia" w:hAnsi="Georgia" w:cs="Arial"/>
          <w:sz w:val="24"/>
          <w:szCs w:val="24"/>
        </w:rPr>
        <w:t xml:space="preserve">Botero </w:t>
      </w:r>
      <w:r>
        <w:rPr>
          <w:rFonts w:ascii="Georgia" w:hAnsi="Georgia" w:cs="Arial"/>
          <w:sz w:val="24"/>
          <w:szCs w:val="24"/>
        </w:rPr>
        <w:t xml:space="preserve"> </w:t>
      </w:r>
      <w:r w:rsidRPr="00DB39AD">
        <w:rPr>
          <w:rFonts w:ascii="Georgia" w:hAnsi="Georgia" w:cs="Arial"/>
          <w:sz w:val="24"/>
          <w:szCs w:val="24"/>
        </w:rPr>
        <w:t>M.</w:t>
      </w:r>
      <w:r w:rsidRPr="00DB39AD">
        <w:rPr>
          <w:rFonts w:ascii="Georgia" w:hAnsi="Georgia" w:cs="Arial"/>
          <w:sz w:val="24"/>
          <w:szCs w:val="24"/>
          <w:vertAlign w:val="superscript"/>
        </w:rPr>
        <w:footnoteReference w:id="9"/>
      </w:r>
      <w:r w:rsidRPr="00DB39AD">
        <w:rPr>
          <w:rFonts w:ascii="Georgia" w:hAnsi="Georgia" w:cs="Arial"/>
          <w:sz w:val="24"/>
          <w:szCs w:val="24"/>
        </w:rPr>
        <w:t xml:space="preserve"> y Quinche R.</w:t>
      </w:r>
      <w:r w:rsidRPr="00DB39AD">
        <w:rPr>
          <w:rStyle w:val="Appelnotedebasdep"/>
          <w:rFonts w:ascii="Georgia" w:hAnsi="Georgia" w:cs="Arial"/>
          <w:sz w:val="24"/>
          <w:szCs w:val="24"/>
        </w:rPr>
        <w:footnoteReference w:id="10"/>
      </w:r>
      <w:r w:rsidRPr="00DB39AD">
        <w:rPr>
          <w:rFonts w:ascii="Georgia" w:hAnsi="Georgia" w:cs="Arial"/>
          <w:sz w:val="24"/>
          <w:szCs w:val="24"/>
        </w:rPr>
        <w:t>.</w:t>
      </w:r>
    </w:p>
    <w:p w:rsidR="00FA15F8" w:rsidRDefault="00FA15F8" w:rsidP="00FA15F8">
      <w:pPr>
        <w:pStyle w:val="Corpsdetexte"/>
        <w:spacing w:line="360" w:lineRule="auto"/>
        <w:ind w:left="720"/>
        <w:rPr>
          <w:rFonts w:ascii="Georgia" w:hAnsi="Georgia" w:cs="Arial"/>
          <w:smallCaps/>
          <w:sz w:val="24"/>
          <w:szCs w:val="24"/>
        </w:rPr>
      </w:pPr>
    </w:p>
    <w:p w:rsidR="00FA15F8" w:rsidRPr="00FA15F8" w:rsidRDefault="00FA15F8" w:rsidP="00FA15F8">
      <w:pPr>
        <w:pStyle w:val="Corpsdetexte"/>
        <w:numPr>
          <w:ilvl w:val="1"/>
          <w:numId w:val="41"/>
        </w:numPr>
        <w:shd w:val="clear" w:color="auto" w:fill="FFFFFF" w:themeFill="background1"/>
        <w:spacing w:line="360" w:lineRule="auto"/>
        <w:rPr>
          <w:rFonts w:ascii="Georgia" w:hAnsi="Georgia" w:cs="Arial"/>
          <w:sz w:val="24"/>
          <w:szCs w:val="24"/>
        </w:rPr>
      </w:pPr>
      <w:r w:rsidRPr="00FA15F8">
        <w:rPr>
          <w:rFonts w:ascii="Georgia" w:hAnsi="Georgia"/>
          <w:smallCaps/>
          <w:sz w:val="24"/>
        </w:rPr>
        <w:t>El defecto sustantivo o material</w:t>
      </w:r>
    </w:p>
    <w:p w:rsidR="00FA15F8" w:rsidRPr="001E5B6B" w:rsidRDefault="00FA15F8" w:rsidP="00FA15F8">
      <w:pPr>
        <w:spacing w:line="360" w:lineRule="auto"/>
        <w:ind w:right="22"/>
        <w:jc w:val="both"/>
        <w:rPr>
          <w:rFonts w:ascii="Georgia" w:hAnsi="Georgia" w:cs="Arial"/>
          <w:sz w:val="20"/>
          <w:szCs w:val="22"/>
          <w:lang w:val="es-ES_tradnl"/>
        </w:rPr>
      </w:pPr>
    </w:p>
    <w:p w:rsidR="00FA15F8" w:rsidRPr="001E5B6B" w:rsidRDefault="00FA15F8" w:rsidP="00FA15F8">
      <w:pPr>
        <w:spacing w:line="360" w:lineRule="auto"/>
        <w:ind w:right="22"/>
        <w:jc w:val="both"/>
        <w:rPr>
          <w:rFonts w:ascii="Georgia" w:hAnsi="Georgia" w:cs="Arial"/>
          <w:szCs w:val="22"/>
          <w:lang w:val="es-ES_tradnl"/>
        </w:rPr>
      </w:pPr>
      <w:r w:rsidRPr="001E5B6B">
        <w:rPr>
          <w:rFonts w:ascii="Georgia" w:hAnsi="Georgia" w:cs="Arial"/>
          <w:szCs w:val="22"/>
          <w:lang w:val="es-ES_tradnl"/>
        </w:rPr>
        <w:t xml:space="preserve">La doctrina constitucional, a lo largo de su evolución, ha definido aquellos eventos en los cuales se comete tal anomalía, y ha dicho que consiste en una decisión fundada en </w:t>
      </w:r>
      <w:r w:rsidRPr="001E5B6B">
        <w:rPr>
          <w:rFonts w:ascii="Georgia" w:hAnsi="Georgia" w:cs="Arial"/>
          <w:szCs w:val="22"/>
          <w:lang w:val="es-ES_tradnl"/>
        </w:rPr>
        <w:lastRenderedPageBreak/>
        <w:t>normas indiscutiblemente inaplicables</w:t>
      </w:r>
      <w:r w:rsidRPr="001E5B6B">
        <w:rPr>
          <w:rStyle w:val="Appelnotedebasdep"/>
          <w:rFonts w:ascii="Georgia" w:hAnsi="Georgia"/>
          <w:szCs w:val="22"/>
          <w:lang w:val="es-ES_tradnl"/>
        </w:rPr>
        <w:footnoteReference w:id="11"/>
      </w:r>
      <w:r w:rsidRPr="001E5B6B">
        <w:rPr>
          <w:rFonts w:ascii="Georgia" w:hAnsi="Georgia" w:cs="Arial"/>
          <w:szCs w:val="22"/>
          <w:lang w:val="es-ES_tradnl"/>
        </w:rPr>
        <w:t>, luego en otra decisión</w:t>
      </w:r>
      <w:r w:rsidRPr="001E5B6B">
        <w:rPr>
          <w:rStyle w:val="Appelnotedebasdep"/>
          <w:rFonts w:ascii="Georgia" w:hAnsi="Georgia"/>
          <w:szCs w:val="22"/>
          <w:lang w:val="es-ES_tradnl"/>
        </w:rPr>
        <w:footnoteReference w:id="12"/>
      </w:r>
      <w:r w:rsidRPr="001E5B6B">
        <w:rPr>
          <w:rFonts w:ascii="Georgia" w:hAnsi="Georgia" w:cs="Arial"/>
          <w:szCs w:val="22"/>
          <w:lang w:val="es-ES_tradnl"/>
        </w:rPr>
        <w:t xml:space="preserve"> añadió que surge cuando quiera que </w:t>
      </w:r>
      <w:r w:rsidRPr="001E5B6B">
        <w:rPr>
          <w:rFonts w:ascii="Georgia" w:hAnsi="Georgia" w:cs="Arial"/>
        </w:rPr>
        <w:t xml:space="preserve">la autoridad judicial desatiende reglas legales o </w:t>
      </w:r>
      <w:proofErr w:type="spellStart"/>
      <w:r w:rsidRPr="001E5B6B">
        <w:rPr>
          <w:rFonts w:ascii="Georgia" w:hAnsi="Georgia" w:cs="Arial"/>
        </w:rPr>
        <w:t>infralegales</w:t>
      </w:r>
      <w:proofErr w:type="spellEnd"/>
      <w:r w:rsidRPr="001E5B6B">
        <w:rPr>
          <w:rFonts w:ascii="Georgia" w:hAnsi="Georgia" w:cs="Arial"/>
        </w:rPr>
        <w:t>, que son aplicables para un determinado caso</w:t>
      </w:r>
      <w:r w:rsidRPr="001E5B6B">
        <w:rPr>
          <w:rFonts w:ascii="Georgia" w:hAnsi="Georgia" w:cs="Arial"/>
          <w:szCs w:val="22"/>
          <w:lang w:val="es-ES_tradnl"/>
        </w:rPr>
        <w:t>.  En desarrollo de esta teoría, se ha ido ampliando esa noción, para prodigar protección en varios eventos</w:t>
      </w:r>
      <w:r w:rsidRPr="001E5B6B">
        <w:rPr>
          <w:rStyle w:val="Appelnotedebasdep"/>
          <w:rFonts w:ascii="Georgia" w:hAnsi="Georgia"/>
          <w:szCs w:val="22"/>
          <w:lang w:val="es-ES_tradnl"/>
        </w:rPr>
        <w:footnoteReference w:id="13"/>
      </w:r>
      <w:r w:rsidRPr="001E5B6B">
        <w:rPr>
          <w:rFonts w:ascii="Georgia" w:hAnsi="Georgia" w:cs="Arial"/>
          <w:szCs w:val="22"/>
          <w:lang w:val="es-ES_tradnl"/>
        </w:rPr>
        <w:t>, al efecto tiene precisadas distintas variables:</w:t>
      </w:r>
    </w:p>
    <w:p w:rsidR="00FA15F8" w:rsidRPr="001E5B6B" w:rsidRDefault="00FA15F8" w:rsidP="00FA15F8">
      <w:pPr>
        <w:ind w:left="567" w:right="567"/>
        <w:jc w:val="both"/>
        <w:rPr>
          <w:rFonts w:ascii="Georgia" w:hAnsi="Georgia" w:cs="Arial"/>
        </w:rPr>
      </w:pPr>
    </w:p>
    <w:p w:rsidR="00FA15F8" w:rsidRPr="001E5B6B" w:rsidRDefault="00FA15F8" w:rsidP="00FA15F8">
      <w:pPr>
        <w:ind w:left="567" w:right="567"/>
        <w:jc w:val="both"/>
        <w:rPr>
          <w:rFonts w:ascii="Georgia" w:hAnsi="Georgia" w:cs="Arial"/>
          <w:iCs/>
          <w:vanish/>
          <w:specVanish/>
        </w:rPr>
      </w:pPr>
      <w:r w:rsidRPr="001E5B6B">
        <w:rPr>
          <w:rFonts w:ascii="Georgia" w:hAnsi="Georgia" w:cs="Arial"/>
        </w:rPr>
        <w:t>… una providencia judicial adolece de un defecto sustantivo (i) cuando la norma aplicable al caso es claramente inadvertida o no tenida en cuenta por el fallador</w:t>
      </w:r>
      <w:r w:rsidRPr="001E5B6B">
        <w:rPr>
          <w:rFonts w:ascii="Georgia" w:hAnsi="Georgia" w:cs="Arial"/>
          <w:vertAlign w:val="superscript"/>
        </w:rPr>
        <w:footnoteReference w:id="14"/>
      </w:r>
      <w:r w:rsidRPr="001E5B6B">
        <w:rPr>
          <w:rFonts w:ascii="Georgia" w:hAnsi="Georgia" w:cs="Arial"/>
        </w:rPr>
        <w:t>, (ii) cuando a pesar del amplio margen interpretativo que la Constitución le reconoce a las autoridades judiciales, la aplicación final de la regla es inaceptable por tratarse de una interpretación contraevidente</w:t>
      </w:r>
      <w:r w:rsidRPr="001E5B6B">
        <w:rPr>
          <w:rFonts w:ascii="Georgia" w:hAnsi="Georgia" w:cs="Arial"/>
          <w:vertAlign w:val="superscript"/>
        </w:rPr>
        <w:footnoteReference w:id="15"/>
      </w:r>
      <w:r w:rsidRPr="001E5B6B">
        <w:rPr>
          <w:rFonts w:ascii="Georgia" w:hAnsi="Georgia" w:cs="Arial"/>
        </w:rPr>
        <w:t xml:space="preserve"> (interpretación </w:t>
      </w:r>
      <w:r w:rsidRPr="001E5B6B">
        <w:rPr>
          <w:rFonts w:ascii="Georgia" w:hAnsi="Georgia" w:cs="Arial"/>
          <w:iCs/>
        </w:rPr>
        <w:t xml:space="preserve">contra </w:t>
      </w:r>
      <w:r w:rsidRPr="001E5B6B">
        <w:rPr>
          <w:rFonts w:ascii="Georgia" w:hAnsi="Georgia" w:cs="Arial"/>
          <w:i/>
          <w:iCs/>
        </w:rPr>
        <w:t>legem</w:t>
      </w:r>
      <w:r w:rsidRPr="001E5B6B">
        <w:rPr>
          <w:rFonts w:ascii="Georgia" w:hAnsi="Georgia" w:cs="Arial"/>
        </w:rPr>
        <w:t>) o claramente perjudicial para los intereses legítimos de una de las partes</w:t>
      </w:r>
      <w:r w:rsidRPr="001E5B6B">
        <w:rPr>
          <w:rFonts w:ascii="Georgia" w:hAnsi="Georgia" w:cs="Arial"/>
          <w:vertAlign w:val="superscript"/>
        </w:rPr>
        <w:footnoteReference w:id="16"/>
      </w:r>
      <w:r w:rsidRPr="001E5B6B">
        <w:rPr>
          <w:rFonts w:ascii="Georgia" w:hAnsi="Georgia" w:cs="Arial"/>
        </w:rPr>
        <w:t xml:space="preserve"> (irrazonable o desproporcionada), y finalmente (iii) cuando el fallador desconoce las sentencias con efectos </w:t>
      </w:r>
      <w:r w:rsidRPr="001E5B6B">
        <w:rPr>
          <w:rFonts w:ascii="Georgia" w:hAnsi="Georgia" w:cs="Arial"/>
          <w:iCs/>
        </w:rPr>
        <w:t xml:space="preserve">erga omnes </w:t>
      </w:r>
      <w:r w:rsidRPr="001E5B6B">
        <w:rPr>
          <w:rFonts w:ascii="Georgia" w:hAnsi="Georgia" w:cs="Arial"/>
        </w:rPr>
        <w:t>tanto de la jurisdicción constitucional como de la jurisdicción de lo contencioso administrativo, cuyos precedentes se ubican en el mismo rango de la norma sobre la que pesa la cosa juzgada respectiva</w:t>
      </w:r>
    </w:p>
    <w:p w:rsidR="00FA15F8" w:rsidRPr="001E5B6B" w:rsidRDefault="00FA15F8" w:rsidP="00FA15F8">
      <w:pPr>
        <w:ind w:left="567" w:right="567"/>
        <w:jc w:val="both"/>
        <w:rPr>
          <w:rFonts w:ascii="Georgia" w:hAnsi="Georgia" w:cs="Arial"/>
        </w:rPr>
      </w:pPr>
      <w:r w:rsidRPr="001E5B6B">
        <w:rPr>
          <w:rStyle w:val="Appelnotedebasdep"/>
          <w:rFonts w:ascii="Georgia" w:hAnsi="Georgia"/>
          <w:iCs/>
        </w:rPr>
        <w:footnoteReference w:id="17"/>
      </w:r>
      <w:r w:rsidRPr="001E5B6B">
        <w:rPr>
          <w:rFonts w:ascii="Georgia" w:hAnsi="Georgia" w:cs="Arial"/>
          <w:iCs/>
        </w:rPr>
        <w:t>.</w:t>
      </w:r>
    </w:p>
    <w:p w:rsidR="00FA15F8" w:rsidRPr="00FA15F8" w:rsidRDefault="00FA15F8" w:rsidP="00FA15F8">
      <w:pPr>
        <w:pStyle w:val="Corpsdetexte"/>
        <w:spacing w:line="360" w:lineRule="auto"/>
        <w:rPr>
          <w:rFonts w:ascii="Georgia" w:hAnsi="Georgia" w:cs="Arial"/>
          <w:sz w:val="24"/>
        </w:rPr>
      </w:pPr>
    </w:p>
    <w:p w:rsidR="00FA15F8" w:rsidRPr="00FA15F8" w:rsidRDefault="00FA15F8" w:rsidP="00FA15F8">
      <w:pPr>
        <w:pStyle w:val="Corpsdetexte"/>
        <w:spacing w:line="360" w:lineRule="auto"/>
        <w:rPr>
          <w:rFonts w:ascii="Georgia" w:hAnsi="Georgia" w:cs="Arial"/>
          <w:sz w:val="24"/>
        </w:rPr>
      </w:pPr>
      <w:r w:rsidRPr="00FA15F8">
        <w:rPr>
          <w:rFonts w:ascii="Georgia" w:hAnsi="Georgia" w:cs="Arial"/>
          <w:sz w:val="24"/>
        </w:rPr>
        <w:t>Así mismo el alto Tribunal Constitucional</w:t>
      </w:r>
      <w:r w:rsidRPr="00FA15F8">
        <w:rPr>
          <w:rStyle w:val="Appelnotedebasdep"/>
          <w:rFonts w:ascii="Georgia" w:hAnsi="Georgia"/>
          <w:sz w:val="24"/>
        </w:rPr>
        <w:footnoteReference w:id="18"/>
      </w:r>
      <w:r w:rsidRPr="00FA15F8">
        <w:rPr>
          <w:rFonts w:ascii="Georgia" w:hAnsi="Georgia" w:cs="Arial"/>
          <w:sz w:val="24"/>
        </w:rPr>
        <w:t xml:space="preserve">, señaló: </w:t>
      </w:r>
    </w:p>
    <w:p w:rsidR="00FA15F8" w:rsidRPr="00FA15F8" w:rsidRDefault="00FA15F8" w:rsidP="00FA15F8">
      <w:pPr>
        <w:ind w:left="567" w:right="567"/>
        <w:jc w:val="both"/>
        <w:rPr>
          <w:rFonts w:ascii="Georgia" w:hAnsi="Georgia" w:cs="Arial"/>
          <w:sz w:val="22"/>
        </w:rPr>
      </w:pPr>
    </w:p>
    <w:p w:rsidR="00FA15F8" w:rsidRPr="001E5B6B" w:rsidRDefault="00FA15F8" w:rsidP="00FA15F8">
      <w:pPr>
        <w:ind w:left="567" w:right="567"/>
        <w:jc w:val="both"/>
        <w:rPr>
          <w:rFonts w:ascii="Georgia" w:hAnsi="Georgia" w:cs="Arial"/>
        </w:rPr>
      </w:pPr>
      <w:r w:rsidRPr="001E5B6B">
        <w:rPr>
          <w:rFonts w:ascii="Georgia" w:hAnsi="Georgia" w:cs="Arial"/>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1E5B6B">
        <w:rPr>
          <w:rFonts w:ascii="Georgia" w:hAnsi="Georgia" w:cs="Arial"/>
          <w:u w:val="single"/>
        </w:rPr>
        <w:t xml:space="preserve">o </w:t>
      </w:r>
      <w:r w:rsidRPr="001E5B6B">
        <w:rPr>
          <w:rFonts w:ascii="Georgia" w:hAnsi="Georgia" w:cs="Arial"/>
          <w:i/>
          <w:u w:val="single"/>
        </w:rPr>
        <w:t>interprete en forma contraevidente, irrazonable o desproporcionada la norma aplicable</w:t>
      </w:r>
      <w:r w:rsidRPr="001E5B6B">
        <w:rPr>
          <w:rFonts w:ascii="Georgia" w:hAnsi="Georgia" w:cs="Arial"/>
          <w:i/>
        </w:rPr>
        <w:t>.</w:t>
      </w:r>
      <w:r w:rsidRPr="001E5B6B">
        <w:rPr>
          <w:rFonts w:ascii="Georgia" w:hAnsi="Georgia" w:cs="Arial"/>
        </w:rPr>
        <w:t xml:space="preserve">  </w:t>
      </w:r>
    </w:p>
    <w:p w:rsidR="00FA15F8" w:rsidRPr="00FA15F8" w:rsidRDefault="00FA15F8" w:rsidP="00FA15F8">
      <w:pPr>
        <w:pStyle w:val="Corpsdetexte"/>
        <w:spacing w:line="240" w:lineRule="auto"/>
        <w:rPr>
          <w:rFonts w:ascii="Georgia" w:hAnsi="Georgia" w:cs="Arial"/>
          <w:sz w:val="24"/>
        </w:rPr>
      </w:pPr>
    </w:p>
    <w:p w:rsidR="00FA15F8" w:rsidRPr="00FA15F8" w:rsidRDefault="00FA15F8" w:rsidP="00FA15F8">
      <w:pPr>
        <w:pStyle w:val="Corpsdetexte"/>
        <w:spacing w:line="240" w:lineRule="auto"/>
        <w:ind w:left="567" w:right="567"/>
        <w:rPr>
          <w:rFonts w:ascii="Georgia" w:hAnsi="Georgia" w:cs="Arial"/>
          <w:spacing w:val="0"/>
          <w:sz w:val="24"/>
          <w:szCs w:val="24"/>
          <w:lang w:val="es-ES"/>
        </w:rPr>
      </w:pPr>
      <w:r w:rsidRPr="00FA15F8">
        <w:rPr>
          <w:rFonts w:ascii="Georgia" w:hAnsi="Georgia" w:cs="Arial"/>
          <w:spacing w:val="0"/>
          <w:sz w:val="24"/>
          <w:szCs w:val="24"/>
          <w:lang w:val="es-ES"/>
        </w:rPr>
        <w:t>Así las cosas, constituye un defecto material o sustantivo la decisión judicial que se funda en una interpretación indebida de una disposición legal.  (</w:t>
      </w:r>
      <w:proofErr w:type="spellStart"/>
      <w:r w:rsidRPr="00FA15F8">
        <w:rPr>
          <w:rFonts w:ascii="Georgia" w:hAnsi="Georgia" w:cs="Arial"/>
          <w:spacing w:val="0"/>
          <w:sz w:val="24"/>
          <w:szCs w:val="24"/>
          <w:lang w:val="es-ES"/>
        </w:rPr>
        <w:t>Sublínea</w:t>
      </w:r>
      <w:proofErr w:type="spellEnd"/>
      <w:r w:rsidRPr="00FA15F8">
        <w:rPr>
          <w:rFonts w:ascii="Georgia" w:hAnsi="Georgia" w:cs="Arial"/>
          <w:spacing w:val="0"/>
          <w:sz w:val="24"/>
          <w:szCs w:val="24"/>
          <w:lang w:val="es-ES"/>
        </w:rPr>
        <w:t xml:space="preserve"> fuera de texto).</w:t>
      </w:r>
    </w:p>
    <w:p w:rsidR="00FA15F8" w:rsidRPr="001E5B6B" w:rsidRDefault="00FA15F8" w:rsidP="00FA15F8">
      <w:pPr>
        <w:spacing w:line="360" w:lineRule="auto"/>
        <w:jc w:val="both"/>
        <w:rPr>
          <w:rFonts w:ascii="Georgia" w:hAnsi="Georgia" w:cs="Arial"/>
          <w:sz w:val="28"/>
          <w:lang w:val="es-ES_tradnl"/>
        </w:rPr>
      </w:pPr>
    </w:p>
    <w:p w:rsidR="00FA15F8" w:rsidRPr="001E5B6B" w:rsidRDefault="00FA15F8" w:rsidP="00FA15F8">
      <w:pPr>
        <w:spacing w:line="360" w:lineRule="auto"/>
        <w:jc w:val="both"/>
        <w:rPr>
          <w:rFonts w:ascii="Georgia" w:hAnsi="Georgia" w:cs="Arial"/>
          <w:lang w:val="es-ES_tradnl"/>
        </w:rPr>
      </w:pPr>
      <w:r w:rsidRPr="001E5B6B">
        <w:rPr>
          <w:rFonts w:ascii="Georgia" w:hAnsi="Georgia" w:cs="Arial"/>
          <w:lang w:val="es-ES_tradnl"/>
        </w:rPr>
        <w:t>Criterio reiterado en varias y recientes decisiones</w:t>
      </w:r>
      <w:r w:rsidRPr="001E5B6B">
        <w:rPr>
          <w:rStyle w:val="Appelnotedebasdep"/>
          <w:rFonts w:ascii="Georgia" w:hAnsi="Georgia"/>
          <w:lang w:val="es-ES_tradnl"/>
        </w:rPr>
        <w:footnoteReference w:id="19"/>
      </w:r>
      <w:r w:rsidRPr="001E5B6B">
        <w:rPr>
          <w:rFonts w:ascii="Georgia" w:hAnsi="Georgia" w:cs="Arial"/>
          <w:lang w:val="es-ES_tradnl"/>
        </w:rPr>
        <w:t>, según el análisis de la línea decisional sobre el tema.</w:t>
      </w:r>
    </w:p>
    <w:p w:rsidR="00B26398" w:rsidRPr="0092283B" w:rsidRDefault="00B26398" w:rsidP="00E549C9">
      <w:pPr>
        <w:ind w:left="567" w:right="567"/>
        <w:jc w:val="both"/>
        <w:rPr>
          <w:rFonts w:ascii="Georgia" w:hAnsi="Georgia"/>
          <w:sz w:val="36"/>
          <w:szCs w:val="22"/>
          <w:lang w:val="es-ES_tradnl"/>
        </w:rPr>
      </w:pPr>
    </w:p>
    <w:p w:rsidR="00283803" w:rsidRDefault="00283803" w:rsidP="00283803">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EL CASO CONCRETO QUE SE ANALIZA</w:t>
      </w:r>
    </w:p>
    <w:p w:rsidR="000F2638" w:rsidRPr="00484A74" w:rsidRDefault="000F2638" w:rsidP="000F26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DC1E56" w:rsidRDefault="004453AC" w:rsidP="003E26F1">
      <w:pPr>
        <w:spacing w:line="360" w:lineRule="auto"/>
        <w:ind w:right="51"/>
        <w:jc w:val="both"/>
        <w:rPr>
          <w:rFonts w:ascii="Georgia" w:hAnsi="Georgia"/>
        </w:rPr>
      </w:pPr>
      <w:r w:rsidRPr="00484A74">
        <w:rPr>
          <w:rFonts w:ascii="Georgia" w:hAnsi="Georgia"/>
        </w:rPr>
        <w:t xml:space="preserve">Se advierte que están cumplidos los presupuestos generales de procedibilidad.  En efecto, se tiene que en tratándose del derecho al debido proceso, es evidente que tiene relevancia constitucional; la subsidiariedad, porque </w:t>
      </w:r>
      <w:r w:rsidR="00E825D3">
        <w:rPr>
          <w:rFonts w:ascii="Georgia" w:hAnsi="Georgia"/>
        </w:rPr>
        <w:t>se agotó el recurso de reposición (Folio</w:t>
      </w:r>
      <w:r w:rsidR="008B2EEA">
        <w:rPr>
          <w:rFonts w:ascii="Georgia" w:hAnsi="Georgia"/>
        </w:rPr>
        <w:t>s 22 vuelto y 23, este cuaderno)</w:t>
      </w:r>
      <w:r w:rsidR="00E825D3">
        <w:rPr>
          <w:rFonts w:ascii="Georgia" w:hAnsi="Georgia"/>
        </w:rPr>
        <w:t xml:space="preserve"> </w:t>
      </w:r>
      <w:r w:rsidR="00D4476A">
        <w:rPr>
          <w:rFonts w:ascii="Georgia" w:hAnsi="Georgia"/>
        </w:rPr>
        <w:t>(</w:t>
      </w:r>
      <w:r w:rsidR="008B2EEA">
        <w:rPr>
          <w:rFonts w:ascii="Georgia" w:hAnsi="Georgia"/>
        </w:rPr>
        <w:t xml:space="preserve">Es un </w:t>
      </w:r>
      <w:r w:rsidR="00E825D3">
        <w:rPr>
          <w:rFonts w:ascii="Georgia" w:hAnsi="Georgia"/>
        </w:rPr>
        <w:t xml:space="preserve">asunto de única instancia, artículo 14, </w:t>
      </w:r>
      <w:r w:rsidR="00E825D3">
        <w:rPr>
          <w:rFonts w:ascii="Georgia" w:hAnsi="Georgia"/>
        </w:rPr>
        <w:lastRenderedPageBreak/>
        <w:t>CPC</w:t>
      </w:r>
      <w:r w:rsidR="00D4476A">
        <w:rPr>
          <w:rFonts w:ascii="Georgia" w:hAnsi="Georgia"/>
        </w:rPr>
        <w:t>)</w:t>
      </w:r>
      <w:r w:rsidRPr="00484A74">
        <w:rPr>
          <w:rFonts w:ascii="Georgia" w:hAnsi="Georgia"/>
        </w:rPr>
        <w:t xml:space="preserve">; no se trata de una sentencia de tutela; hay inmediatez porque </w:t>
      </w:r>
      <w:r w:rsidR="00E825D3">
        <w:rPr>
          <w:rFonts w:ascii="Georgia" w:hAnsi="Georgia"/>
        </w:rPr>
        <w:t xml:space="preserve">el auto </w:t>
      </w:r>
      <w:r w:rsidR="008B2EEA">
        <w:rPr>
          <w:rFonts w:ascii="Georgia" w:hAnsi="Georgia"/>
        </w:rPr>
        <w:t xml:space="preserve">que resolvió el recurso </w:t>
      </w:r>
      <w:r w:rsidR="003E26F1" w:rsidRPr="00484A74">
        <w:rPr>
          <w:rFonts w:ascii="Georgia" w:hAnsi="Georgia"/>
        </w:rPr>
        <w:t xml:space="preserve">data del </w:t>
      </w:r>
      <w:r w:rsidR="008B2EEA">
        <w:rPr>
          <w:rFonts w:ascii="Georgia" w:hAnsi="Georgia"/>
        </w:rPr>
        <w:t>11-07-2017</w:t>
      </w:r>
      <w:r w:rsidR="00E825D3">
        <w:rPr>
          <w:rFonts w:ascii="Georgia" w:hAnsi="Georgia"/>
        </w:rPr>
        <w:t xml:space="preserve"> </w:t>
      </w:r>
      <w:r w:rsidR="003E26F1" w:rsidRPr="00484A74">
        <w:rPr>
          <w:rFonts w:ascii="Georgia" w:hAnsi="Georgia"/>
        </w:rPr>
        <w:t xml:space="preserve">y la acción se presentó el </w:t>
      </w:r>
      <w:r w:rsidR="00E825D3">
        <w:rPr>
          <w:rFonts w:ascii="Georgia" w:hAnsi="Georgia"/>
        </w:rPr>
        <w:t xml:space="preserve">27-07-2017 </w:t>
      </w:r>
      <w:r w:rsidRPr="00484A74">
        <w:rPr>
          <w:rFonts w:ascii="Georgia" w:hAnsi="Georgia"/>
        </w:rPr>
        <w:t xml:space="preserve">(Folios </w:t>
      </w:r>
      <w:r w:rsidR="00E825D3">
        <w:rPr>
          <w:rFonts w:ascii="Georgia" w:hAnsi="Georgia"/>
        </w:rPr>
        <w:t>1 y 10, cuaderno principal</w:t>
      </w:r>
      <w:r w:rsidRPr="00484A74">
        <w:rPr>
          <w:rFonts w:ascii="Georgia" w:hAnsi="Georgia"/>
        </w:rPr>
        <w:t>);</w:t>
      </w:r>
      <w:r w:rsidR="003E26F1" w:rsidRPr="00484A74">
        <w:rPr>
          <w:rFonts w:ascii="Georgia" w:hAnsi="Georgia"/>
          <w:szCs w:val="22"/>
          <w:lang w:val="es-ES_tradnl"/>
        </w:rPr>
        <w:t xml:space="preserve"> la irregularidad realzada por la parte, es trascendente para el desarrollo de la </w:t>
      </w:r>
      <w:proofErr w:type="spellStart"/>
      <w:r w:rsidR="003E26F1" w:rsidRPr="00484A74">
        <w:rPr>
          <w:rFonts w:ascii="Georgia" w:hAnsi="Georgia"/>
          <w:szCs w:val="22"/>
          <w:lang w:val="es-ES_tradnl"/>
        </w:rPr>
        <w:t>litis</w:t>
      </w:r>
      <w:proofErr w:type="spellEnd"/>
      <w:r w:rsidR="00DC1E56">
        <w:rPr>
          <w:rFonts w:ascii="Georgia" w:hAnsi="Georgia"/>
        </w:rPr>
        <w:t>.</w:t>
      </w:r>
    </w:p>
    <w:p w:rsidR="00DC1E56" w:rsidRDefault="00DC1E56" w:rsidP="00DC1E56">
      <w:pPr>
        <w:widowControl/>
        <w:spacing w:line="360" w:lineRule="auto"/>
        <w:jc w:val="both"/>
        <w:rPr>
          <w:rFonts w:ascii="Georgia" w:hAnsi="Georgia" w:cs="Arial"/>
        </w:rPr>
      </w:pPr>
    </w:p>
    <w:p w:rsidR="00DC1E56" w:rsidRPr="00484A74" w:rsidRDefault="00DC1E56" w:rsidP="00DC1E56">
      <w:pPr>
        <w:spacing w:line="360" w:lineRule="auto"/>
        <w:ind w:right="51"/>
        <w:jc w:val="both"/>
        <w:rPr>
          <w:rFonts w:ascii="Georgia" w:hAnsi="Georgia"/>
        </w:rPr>
      </w:pPr>
      <w:r w:rsidRPr="006E0871">
        <w:rPr>
          <w:rFonts w:ascii="Georgia" w:hAnsi="Georgia" w:cs="Arial"/>
        </w:rPr>
        <w:t xml:space="preserve">Concluido el estudio de los requisitos generales, incumbe proseguir con la revisión de las causales especiales y en el caso concreto se entiende que lo expuesto por el actor alude al defecto sustantivo, pues </w:t>
      </w:r>
      <w:r w:rsidRPr="00484A74">
        <w:rPr>
          <w:rFonts w:ascii="Georgia" w:hAnsi="Georgia"/>
        </w:rPr>
        <w:t xml:space="preserve">se duele de la </w:t>
      </w:r>
      <w:r>
        <w:rPr>
          <w:rFonts w:ascii="Georgia" w:hAnsi="Georgia"/>
        </w:rPr>
        <w:t xml:space="preserve">interpretación que la </w:t>
      </w:r>
      <w:r w:rsidRPr="00DC1E56">
        <w:rPr>
          <w:rFonts w:ascii="Georgia" w:hAnsi="Georgia"/>
          <w:i/>
        </w:rPr>
        <w:t>a quo</w:t>
      </w:r>
      <w:r>
        <w:rPr>
          <w:rFonts w:ascii="Georgia" w:hAnsi="Georgia"/>
        </w:rPr>
        <w:t xml:space="preserve"> dio al artículo 625, CGP</w:t>
      </w:r>
      <w:r w:rsidRPr="00484A74">
        <w:rPr>
          <w:rFonts w:ascii="Georgia" w:hAnsi="Georgia"/>
        </w:rPr>
        <w:t xml:space="preserve">, que repercutió </w:t>
      </w:r>
      <w:r>
        <w:rPr>
          <w:rFonts w:ascii="Georgia" w:hAnsi="Georgia"/>
        </w:rPr>
        <w:t xml:space="preserve">en la inaplicación del artículo 507, CPC. </w:t>
      </w:r>
    </w:p>
    <w:p w:rsidR="0082026B" w:rsidRPr="00484A74" w:rsidRDefault="0082026B" w:rsidP="0082026B">
      <w:pPr>
        <w:spacing w:line="360" w:lineRule="auto"/>
        <w:ind w:right="51"/>
        <w:jc w:val="both"/>
        <w:rPr>
          <w:rFonts w:ascii="Georgia" w:hAnsi="Georgia"/>
        </w:rPr>
      </w:pPr>
    </w:p>
    <w:p w:rsidR="00DC1E56" w:rsidRDefault="00FE760F" w:rsidP="00AE44CA">
      <w:pPr>
        <w:spacing w:line="360" w:lineRule="auto"/>
        <w:ind w:right="51"/>
        <w:jc w:val="both"/>
        <w:rPr>
          <w:rFonts w:ascii="Georgia" w:hAnsi="Georgia" w:cs="Arial"/>
        </w:rPr>
      </w:pPr>
      <w:r w:rsidRPr="00D57D3E">
        <w:rPr>
          <w:rFonts w:ascii="Georgia" w:hAnsi="Georgia" w:cs="Arial"/>
        </w:rPr>
        <w:t xml:space="preserve">Ahora, en </w:t>
      </w:r>
      <w:r w:rsidR="00DC1E56">
        <w:rPr>
          <w:rFonts w:ascii="Georgia" w:hAnsi="Georgia" w:cs="Arial"/>
        </w:rPr>
        <w:t xml:space="preserve">el proveído datado el 23-05-2017 </w:t>
      </w:r>
      <w:r w:rsidRPr="00D57D3E">
        <w:rPr>
          <w:rFonts w:ascii="Georgia" w:hAnsi="Georgia" w:cs="Arial"/>
        </w:rPr>
        <w:t>la jueza de instancia</w:t>
      </w:r>
      <w:r w:rsidR="002C3144">
        <w:rPr>
          <w:rFonts w:ascii="Georgia" w:hAnsi="Georgia" w:cs="Arial"/>
        </w:rPr>
        <w:t xml:space="preserve"> </w:t>
      </w:r>
      <w:r w:rsidR="00DC1E56">
        <w:rPr>
          <w:rFonts w:ascii="Georgia" w:hAnsi="Georgia" w:cs="Arial"/>
        </w:rPr>
        <w:t>denegó la solicitud de fijar fecha y hora para llevar a cabo la diligencia de inventarios y avalúos adicionales</w:t>
      </w:r>
      <w:r w:rsidR="008B2EEA">
        <w:rPr>
          <w:rFonts w:ascii="Georgia" w:hAnsi="Georgia" w:cs="Arial"/>
        </w:rPr>
        <w:t>, porque carecía</w:t>
      </w:r>
      <w:r w:rsidR="00DC1E56">
        <w:rPr>
          <w:rFonts w:ascii="Georgia" w:hAnsi="Georgia" w:cs="Arial"/>
        </w:rPr>
        <w:t xml:space="preserve"> de la relación de bienes necesaria para correr traslado a los demás interesados (Folio 22, este cuaderno).</w:t>
      </w:r>
    </w:p>
    <w:p w:rsidR="00DC1E56" w:rsidRDefault="00DC1E56" w:rsidP="00AE44CA">
      <w:pPr>
        <w:spacing w:line="360" w:lineRule="auto"/>
        <w:ind w:right="51"/>
        <w:jc w:val="both"/>
        <w:rPr>
          <w:rFonts w:ascii="Georgia" w:hAnsi="Georgia" w:cs="Arial"/>
        </w:rPr>
      </w:pPr>
    </w:p>
    <w:p w:rsidR="007F7AAF" w:rsidRPr="005B28FE" w:rsidRDefault="007F7AAF" w:rsidP="000B365B">
      <w:pPr>
        <w:spacing w:line="360" w:lineRule="auto"/>
        <w:ind w:right="51"/>
        <w:jc w:val="both"/>
        <w:rPr>
          <w:rFonts w:ascii="Georgia" w:hAnsi="Georgia" w:cs="Arial"/>
          <w:color w:val="000000" w:themeColor="text1"/>
        </w:rPr>
      </w:pPr>
      <w:r>
        <w:rPr>
          <w:rFonts w:ascii="Georgia" w:hAnsi="Georgia" w:cs="Arial"/>
        </w:rPr>
        <w:t xml:space="preserve">El artículo 625, CGP, contempla las reglas especiales de transición para procesos ordinarios, abreviados, verbales, verbales sumarios y ejecutivos, y establece una general que se aplica para los demás procesos: Expropiación, jurisdicción voluntaria y </w:t>
      </w:r>
      <w:proofErr w:type="spellStart"/>
      <w:r>
        <w:rPr>
          <w:rFonts w:ascii="Georgia" w:hAnsi="Georgia" w:cs="Arial"/>
        </w:rPr>
        <w:t>liquidatorios</w:t>
      </w:r>
      <w:proofErr w:type="spellEnd"/>
      <w:r>
        <w:rPr>
          <w:rFonts w:ascii="Georgia" w:hAnsi="Georgia" w:cs="Arial"/>
        </w:rPr>
        <w:t>, entre otros</w:t>
      </w:r>
      <w:r w:rsidR="005D0918">
        <w:rPr>
          <w:rFonts w:ascii="Georgia" w:hAnsi="Georgia" w:cs="Arial"/>
        </w:rPr>
        <w:t>;</w:t>
      </w:r>
      <w:r>
        <w:rPr>
          <w:rFonts w:ascii="Georgia" w:hAnsi="Georgia" w:cs="Arial"/>
        </w:rPr>
        <w:t xml:space="preserve"> en esta última especie está incluida la sucesión.</w:t>
      </w:r>
    </w:p>
    <w:p w:rsidR="007F7AAF" w:rsidRPr="005B28FE" w:rsidRDefault="007F7AAF" w:rsidP="000B365B">
      <w:pPr>
        <w:spacing w:line="360" w:lineRule="auto"/>
        <w:ind w:right="51"/>
        <w:jc w:val="both"/>
        <w:rPr>
          <w:rFonts w:ascii="Georgia" w:hAnsi="Georgia" w:cs="Arial"/>
          <w:color w:val="000000" w:themeColor="text1"/>
        </w:rPr>
      </w:pPr>
      <w:r w:rsidRPr="005B28FE">
        <w:rPr>
          <w:rFonts w:ascii="Georgia" w:hAnsi="Georgia" w:cs="Arial"/>
          <w:color w:val="000000" w:themeColor="text1"/>
        </w:rPr>
        <w:t xml:space="preserve"> </w:t>
      </w:r>
    </w:p>
    <w:p w:rsidR="0053227F" w:rsidRPr="005B28FE" w:rsidRDefault="007F7AAF" w:rsidP="0053227F">
      <w:pPr>
        <w:spacing w:line="360" w:lineRule="auto"/>
        <w:ind w:right="51"/>
        <w:jc w:val="both"/>
        <w:rPr>
          <w:rFonts w:ascii="Georgia" w:hAnsi="Georgia" w:cs="Arial"/>
          <w:color w:val="000000" w:themeColor="text1"/>
        </w:rPr>
      </w:pPr>
      <w:r w:rsidRPr="005B28FE">
        <w:rPr>
          <w:rFonts w:ascii="Georgia" w:hAnsi="Georgia" w:cs="Arial"/>
          <w:color w:val="000000" w:themeColor="text1"/>
        </w:rPr>
        <w:t>Dice el numeral 5º</w:t>
      </w:r>
      <w:r w:rsidR="0053227F" w:rsidRPr="005B28FE">
        <w:rPr>
          <w:rFonts w:ascii="Georgia" w:hAnsi="Georgia" w:cs="Arial"/>
          <w:color w:val="000000" w:themeColor="text1"/>
        </w:rPr>
        <w:t xml:space="preserve">, ibídem: </w:t>
      </w:r>
      <w:r w:rsidR="0053227F" w:rsidRPr="005B28FE">
        <w:rPr>
          <w:rFonts w:ascii="Georgia" w:hAnsi="Georgia" w:cs="Arial"/>
          <w:i/>
          <w:color w:val="000000" w:themeColor="text1"/>
          <w:sz w:val="22"/>
        </w:rPr>
        <w:t xml:space="preserve">“(…) </w:t>
      </w:r>
      <w:r w:rsidR="0053227F" w:rsidRPr="005B28FE">
        <w:rPr>
          <w:rFonts w:ascii="Georgia" w:hAnsi="Georgia" w:cs="Arial"/>
          <w:i/>
          <w:color w:val="000000" w:themeColor="text1"/>
          <w:sz w:val="22"/>
          <w:lang w:val="es-ES_tradnl"/>
        </w:rPr>
        <w:t>No obstante lo previsto en los numerales anteriores, (…) las audiencias convocadas, las diligencias iniciadas, (…), se regirán por las leyes vigentes cuando (…) se iniciaron las audiencias o diligencias (…)”</w:t>
      </w:r>
      <w:r w:rsidR="0053227F" w:rsidRPr="005B28FE">
        <w:rPr>
          <w:rFonts w:ascii="Georgia" w:hAnsi="Georgia" w:cs="Arial"/>
          <w:color w:val="000000" w:themeColor="text1"/>
          <w:lang w:val="es-ES_tradnl"/>
        </w:rPr>
        <w:t xml:space="preserve">. Y el numeral 6º: </w:t>
      </w:r>
      <w:r w:rsidR="0053227F" w:rsidRPr="005B28FE">
        <w:rPr>
          <w:rFonts w:ascii="Georgia" w:hAnsi="Georgia" w:cs="Arial"/>
          <w:i/>
          <w:color w:val="000000" w:themeColor="text1"/>
          <w:sz w:val="22"/>
          <w:lang w:val="es-ES_tradnl"/>
        </w:rPr>
        <w:t>“(…)</w:t>
      </w:r>
      <w:r w:rsidR="0053227F" w:rsidRPr="005B28FE">
        <w:rPr>
          <w:rFonts w:ascii="Georgia" w:hAnsi="Georgia" w:cs="Arial"/>
          <w:i/>
          <w:color w:val="000000" w:themeColor="text1"/>
          <w:sz w:val="22"/>
        </w:rPr>
        <w:t xml:space="preserve"> En los demás procesos, se aplicará la regla general prevista en el numeral anterior (…)”</w:t>
      </w:r>
      <w:r w:rsidR="0053227F" w:rsidRPr="005B28FE">
        <w:rPr>
          <w:rFonts w:ascii="Georgia" w:hAnsi="Georgia" w:cs="Arial"/>
          <w:color w:val="000000" w:themeColor="text1"/>
        </w:rPr>
        <w:t>.</w:t>
      </w:r>
    </w:p>
    <w:p w:rsidR="007F7AAF" w:rsidRPr="005B28FE" w:rsidRDefault="007F7AAF" w:rsidP="000B365B">
      <w:pPr>
        <w:spacing w:line="360" w:lineRule="auto"/>
        <w:ind w:right="51"/>
        <w:jc w:val="both"/>
        <w:rPr>
          <w:rFonts w:ascii="Georgia" w:hAnsi="Georgia" w:cs="Arial"/>
          <w:color w:val="000000" w:themeColor="text1"/>
        </w:rPr>
      </w:pPr>
    </w:p>
    <w:p w:rsidR="00173FB1" w:rsidRDefault="00AF5BB9" w:rsidP="000B365B">
      <w:pPr>
        <w:spacing w:line="360" w:lineRule="auto"/>
        <w:ind w:right="51"/>
        <w:jc w:val="both"/>
        <w:rPr>
          <w:rFonts w:ascii="Georgia" w:hAnsi="Georgia" w:cs="Arial"/>
          <w:color w:val="000000" w:themeColor="text1"/>
          <w:lang w:val="es-CO"/>
        </w:rPr>
      </w:pPr>
      <w:r w:rsidRPr="005B28FE">
        <w:rPr>
          <w:rFonts w:ascii="Georgia" w:hAnsi="Georgia" w:cs="Arial"/>
          <w:color w:val="000000" w:themeColor="text1"/>
        </w:rPr>
        <w:t xml:space="preserve">De la lectura textual de la norma en cita surge palmario el momento procesal en que deberá </w:t>
      </w:r>
      <w:r w:rsidR="0046519A" w:rsidRPr="005B28FE">
        <w:rPr>
          <w:rFonts w:ascii="Georgia" w:hAnsi="Georgia" w:cs="Arial"/>
          <w:color w:val="000000" w:themeColor="text1"/>
        </w:rPr>
        <w:t xml:space="preserve">por última ocasión </w:t>
      </w:r>
      <w:r w:rsidRPr="005B28FE">
        <w:rPr>
          <w:rFonts w:ascii="Georgia" w:hAnsi="Georgia" w:cs="Arial"/>
          <w:color w:val="000000" w:themeColor="text1"/>
        </w:rPr>
        <w:t xml:space="preserve">darse </w:t>
      </w:r>
      <w:r w:rsidR="0046519A" w:rsidRPr="005B28FE">
        <w:rPr>
          <w:rFonts w:ascii="Georgia" w:hAnsi="Georgia" w:cs="Arial"/>
          <w:color w:val="000000" w:themeColor="text1"/>
        </w:rPr>
        <w:t xml:space="preserve">aplicación </w:t>
      </w:r>
      <w:r w:rsidRPr="005B28FE">
        <w:rPr>
          <w:rFonts w:ascii="Georgia" w:hAnsi="Georgia" w:cs="Arial"/>
          <w:color w:val="000000" w:themeColor="text1"/>
        </w:rPr>
        <w:t xml:space="preserve">a la legislación anterior, para luego culminar el trámite </w:t>
      </w:r>
      <w:r w:rsidRPr="005B28FE">
        <w:rPr>
          <w:rFonts w:ascii="Georgia" w:hAnsi="Georgia" w:cs="Arial"/>
          <w:color w:val="000000" w:themeColor="text1"/>
          <w:lang w:val="es-CO"/>
        </w:rPr>
        <w:t>de acuerdo con la codificación regente, por virtud del tránsito de legislación  aludido</w:t>
      </w:r>
      <w:r w:rsidR="005B28FE" w:rsidRPr="005B28FE">
        <w:rPr>
          <w:rFonts w:ascii="Georgia" w:hAnsi="Georgia" w:cs="Arial"/>
          <w:color w:val="000000" w:themeColor="text1"/>
          <w:lang w:val="es-CO"/>
        </w:rPr>
        <w:t xml:space="preserve"> (Vigencia a partir del 01-01-2016)</w:t>
      </w:r>
      <w:r w:rsidRPr="005B28FE">
        <w:rPr>
          <w:rFonts w:ascii="Georgia" w:hAnsi="Georgia" w:cs="Arial"/>
          <w:color w:val="000000" w:themeColor="text1"/>
          <w:lang w:val="es-CO"/>
        </w:rPr>
        <w:t xml:space="preserve">. </w:t>
      </w:r>
    </w:p>
    <w:p w:rsidR="00173FB1" w:rsidRDefault="00173FB1" w:rsidP="000B365B">
      <w:pPr>
        <w:spacing w:line="360" w:lineRule="auto"/>
        <w:ind w:right="51"/>
        <w:jc w:val="both"/>
        <w:rPr>
          <w:rFonts w:ascii="Georgia" w:hAnsi="Georgia" w:cs="Arial"/>
          <w:color w:val="000000" w:themeColor="text1"/>
          <w:lang w:val="es-CO"/>
        </w:rPr>
      </w:pPr>
    </w:p>
    <w:p w:rsidR="00AF5BB9" w:rsidRPr="005B28FE" w:rsidRDefault="00AF5BB9" w:rsidP="000B365B">
      <w:pPr>
        <w:spacing w:line="360" w:lineRule="auto"/>
        <w:ind w:right="51"/>
        <w:jc w:val="both"/>
        <w:rPr>
          <w:rFonts w:ascii="Georgia" w:hAnsi="Georgia" w:cs="Arial"/>
          <w:color w:val="000000" w:themeColor="text1"/>
          <w:lang w:val="es-CO"/>
        </w:rPr>
      </w:pPr>
      <w:r w:rsidRPr="005B28FE">
        <w:rPr>
          <w:rFonts w:ascii="Georgia" w:hAnsi="Georgia" w:cs="Arial"/>
          <w:color w:val="000000" w:themeColor="text1"/>
          <w:lang w:val="es-CO"/>
        </w:rPr>
        <w:t>Válido el apunte de la doctrina nacional</w:t>
      </w:r>
      <w:r w:rsidR="00173FB1">
        <w:rPr>
          <w:rStyle w:val="Appelnotedebasdep"/>
          <w:rFonts w:ascii="Georgia" w:hAnsi="Georgia"/>
          <w:color w:val="000000" w:themeColor="text1"/>
          <w:lang w:val="es-CO"/>
        </w:rPr>
        <w:footnoteReference w:id="20"/>
      </w:r>
      <w:r w:rsidRPr="005B28FE">
        <w:rPr>
          <w:rFonts w:ascii="Georgia" w:hAnsi="Georgia" w:cs="Arial"/>
          <w:color w:val="000000" w:themeColor="text1"/>
          <w:lang w:val="es-CO"/>
        </w:rPr>
        <w:t xml:space="preserve">: </w:t>
      </w:r>
      <w:r w:rsidRPr="005B28FE">
        <w:rPr>
          <w:rFonts w:ascii="Georgia" w:hAnsi="Georgia" w:cs="Arial"/>
          <w:i/>
          <w:color w:val="000000" w:themeColor="text1"/>
          <w:sz w:val="22"/>
          <w:lang w:val="es-CO"/>
        </w:rPr>
        <w:t xml:space="preserve">“(…) Las principales actuaciones procesales que hayan tenido principio de ejecución bajo el imperio de la ley anterior, se sujetan íntegramente a ella </w:t>
      </w:r>
      <w:r w:rsidR="0046519A" w:rsidRPr="005B28FE">
        <w:rPr>
          <w:rFonts w:ascii="Georgia" w:hAnsi="Georgia" w:cs="Arial"/>
          <w:i/>
          <w:color w:val="000000" w:themeColor="text1"/>
          <w:sz w:val="22"/>
          <w:lang w:val="es-CO"/>
        </w:rPr>
        <w:t>aun</w:t>
      </w:r>
      <w:r w:rsidRPr="005B28FE">
        <w:rPr>
          <w:rFonts w:ascii="Georgia" w:hAnsi="Georgia" w:cs="Arial"/>
          <w:i/>
          <w:color w:val="000000" w:themeColor="text1"/>
          <w:sz w:val="22"/>
          <w:lang w:val="es-CO"/>
        </w:rPr>
        <w:t xml:space="preserve"> cuando deban concluir en vigencia de la ley nueva. Así, (…) las audiencias y diligencias empezadas, (…), deben concluir con arreglo a la ley anterior (…)”</w:t>
      </w:r>
    </w:p>
    <w:p w:rsidR="00AF5BB9" w:rsidRPr="005B28FE" w:rsidRDefault="00AF5BB9" w:rsidP="000B365B">
      <w:pPr>
        <w:spacing w:line="360" w:lineRule="auto"/>
        <w:ind w:right="51"/>
        <w:jc w:val="both"/>
        <w:rPr>
          <w:rFonts w:ascii="Georgia" w:hAnsi="Georgia" w:cs="Arial"/>
          <w:color w:val="000000" w:themeColor="text1"/>
          <w:lang w:val="es-CO"/>
        </w:rPr>
      </w:pPr>
    </w:p>
    <w:p w:rsidR="0046519A" w:rsidRPr="005B28FE" w:rsidRDefault="00AF5BB9" w:rsidP="000B365B">
      <w:pPr>
        <w:spacing w:line="360" w:lineRule="auto"/>
        <w:ind w:right="51"/>
        <w:jc w:val="both"/>
        <w:rPr>
          <w:rFonts w:ascii="Georgia" w:hAnsi="Georgia" w:cs="Arial"/>
          <w:color w:val="000000" w:themeColor="text1"/>
          <w:lang w:val="es-CO"/>
        </w:rPr>
      </w:pPr>
      <w:r w:rsidRPr="005B28FE">
        <w:rPr>
          <w:rFonts w:ascii="Georgia" w:hAnsi="Georgia" w:cs="Arial"/>
          <w:color w:val="000000" w:themeColor="text1"/>
          <w:lang w:val="es-CO"/>
        </w:rPr>
        <w:t xml:space="preserve">Así las cosas, para esta Magistratura </w:t>
      </w:r>
      <w:r w:rsidR="0046519A" w:rsidRPr="005B28FE">
        <w:rPr>
          <w:rFonts w:ascii="Georgia" w:hAnsi="Georgia" w:cs="Arial"/>
          <w:color w:val="000000" w:themeColor="text1"/>
          <w:lang w:val="es-CO"/>
        </w:rPr>
        <w:t xml:space="preserve">es claro que la providencia venida en impugnación habrá de confirmarse, pues es evidente la ausencia de vulneración del derecho </w:t>
      </w:r>
      <w:r w:rsidR="0046519A" w:rsidRPr="005B28FE">
        <w:rPr>
          <w:rFonts w:ascii="Georgia" w:hAnsi="Georgia" w:cs="Arial"/>
          <w:color w:val="000000" w:themeColor="text1"/>
          <w:lang w:val="es-CO"/>
        </w:rPr>
        <w:lastRenderedPageBreak/>
        <w:t xml:space="preserve">fundamental al debido proceso del actor por parte de la </w:t>
      </w:r>
      <w:r w:rsidR="0046519A" w:rsidRPr="005B28FE">
        <w:rPr>
          <w:rFonts w:ascii="Georgia" w:hAnsi="Georgia" w:cs="Arial"/>
          <w:i/>
          <w:color w:val="000000" w:themeColor="text1"/>
          <w:lang w:val="es-CO"/>
        </w:rPr>
        <w:t>a quo</w:t>
      </w:r>
      <w:r w:rsidR="0046519A" w:rsidRPr="005B28FE">
        <w:rPr>
          <w:rFonts w:ascii="Georgia" w:hAnsi="Georgia" w:cs="Arial"/>
          <w:color w:val="000000" w:themeColor="text1"/>
          <w:lang w:val="es-CO"/>
        </w:rPr>
        <w:t xml:space="preserve">, toda vez que la petición de fecha y hora para llevar a cabo la diligencia de inventarios y avalúos adicionales se presentó en vigencia de la </w:t>
      </w:r>
      <w:r w:rsidR="005D0918">
        <w:rPr>
          <w:rFonts w:ascii="Georgia" w:hAnsi="Georgia" w:cs="Arial"/>
          <w:color w:val="000000" w:themeColor="text1"/>
          <w:lang w:val="es-CO"/>
        </w:rPr>
        <w:t>Ley 1564</w:t>
      </w:r>
      <w:r w:rsidR="0046519A" w:rsidRPr="005B28FE">
        <w:rPr>
          <w:rFonts w:ascii="Georgia" w:hAnsi="Georgia" w:cs="Arial"/>
          <w:color w:val="000000" w:themeColor="text1"/>
          <w:lang w:val="es-CO"/>
        </w:rPr>
        <w:t xml:space="preserve">. </w:t>
      </w:r>
    </w:p>
    <w:p w:rsidR="0046519A" w:rsidRPr="005B28FE" w:rsidRDefault="0046519A" w:rsidP="000B365B">
      <w:pPr>
        <w:spacing w:line="360" w:lineRule="auto"/>
        <w:ind w:right="51"/>
        <w:jc w:val="both"/>
        <w:rPr>
          <w:rFonts w:ascii="Georgia" w:hAnsi="Georgia" w:cs="Arial"/>
          <w:color w:val="000000" w:themeColor="text1"/>
          <w:lang w:val="es-CO"/>
        </w:rPr>
      </w:pPr>
    </w:p>
    <w:p w:rsidR="008B2EEA" w:rsidRPr="005B28FE" w:rsidRDefault="008B2EEA" w:rsidP="000B365B">
      <w:pPr>
        <w:spacing w:line="360" w:lineRule="auto"/>
        <w:ind w:right="51"/>
        <w:jc w:val="both"/>
        <w:rPr>
          <w:rFonts w:ascii="Georgia" w:hAnsi="Georgia" w:cs="Arial"/>
          <w:color w:val="000000" w:themeColor="text1"/>
          <w:lang w:val="es-CO"/>
        </w:rPr>
      </w:pPr>
      <w:r w:rsidRPr="005B28FE">
        <w:rPr>
          <w:rFonts w:ascii="Georgia" w:hAnsi="Georgia" w:cs="Arial"/>
          <w:color w:val="000000" w:themeColor="text1"/>
        </w:rPr>
        <w:t>No se acepta el argumento centrado en que la audiencia adicional es continuación de la inicialmente practicada en el proceso,</w:t>
      </w:r>
      <w:r w:rsidR="008966E5" w:rsidRPr="005B28FE">
        <w:rPr>
          <w:rFonts w:ascii="Georgia" w:hAnsi="Georgia" w:cs="Arial"/>
          <w:color w:val="000000" w:themeColor="text1"/>
        </w:rPr>
        <w:t xml:space="preserve"> pues </w:t>
      </w:r>
      <w:r w:rsidR="008966E5" w:rsidRPr="005D0918">
        <w:rPr>
          <w:rFonts w:ascii="Georgia" w:hAnsi="Georgia" w:cs="Arial"/>
          <w:color w:val="000000" w:themeColor="text1"/>
          <w:u w:val="single"/>
        </w:rPr>
        <w:t xml:space="preserve">se trata de </w:t>
      </w:r>
      <w:r w:rsidRPr="005D0918">
        <w:rPr>
          <w:rFonts w:ascii="Georgia" w:hAnsi="Georgia" w:cs="Arial"/>
          <w:color w:val="000000" w:themeColor="text1"/>
          <w:u w:val="single"/>
        </w:rPr>
        <w:t>actuaciones independientes</w:t>
      </w:r>
      <w:r w:rsidRPr="005B28FE">
        <w:rPr>
          <w:rFonts w:ascii="Georgia" w:hAnsi="Georgia" w:cs="Arial"/>
          <w:color w:val="000000" w:themeColor="text1"/>
        </w:rPr>
        <w:t xml:space="preserve"> que inician</w:t>
      </w:r>
      <w:r w:rsidR="008966E5" w:rsidRPr="005B28FE">
        <w:rPr>
          <w:rFonts w:ascii="Georgia" w:hAnsi="Georgia" w:cs="Arial"/>
          <w:color w:val="000000" w:themeColor="text1"/>
        </w:rPr>
        <w:t xml:space="preserve"> y culminan por separado;</w:t>
      </w:r>
      <w:r w:rsidR="005B28FE" w:rsidRPr="005B28FE">
        <w:rPr>
          <w:rFonts w:ascii="Georgia" w:hAnsi="Georgia" w:cs="Arial"/>
          <w:color w:val="000000" w:themeColor="text1"/>
        </w:rPr>
        <w:t xml:space="preserve"> </w:t>
      </w:r>
      <w:r w:rsidR="008966E5" w:rsidRPr="005B28FE">
        <w:rPr>
          <w:rFonts w:ascii="Georgia" w:hAnsi="Georgia" w:cs="Arial"/>
          <w:color w:val="000000" w:themeColor="text1"/>
        </w:rPr>
        <w:t xml:space="preserve">recuérdese que la norma establece que se aplica la legislación regente para la época en que se inició la diligencia y una vez culminada se aplicará </w:t>
      </w:r>
      <w:r w:rsidR="005B28FE" w:rsidRPr="005B28FE">
        <w:rPr>
          <w:rFonts w:ascii="Georgia" w:hAnsi="Georgia" w:cs="Arial"/>
          <w:color w:val="000000" w:themeColor="text1"/>
        </w:rPr>
        <w:t>la legislación actual</w:t>
      </w:r>
      <w:r w:rsidR="008966E5" w:rsidRPr="005B28FE">
        <w:rPr>
          <w:rFonts w:ascii="Georgia" w:hAnsi="Georgia" w:cs="Arial"/>
          <w:color w:val="000000" w:themeColor="text1"/>
        </w:rPr>
        <w:t xml:space="preserve">; </w:t>
      </w:r>
      <w:r w:rsidR="005B28FE" w:rsidRPr="005B28FE">
        <w:rPr>
          <w:rFonts w:ascii="Georgia" w:hAnsi="Georgia" w:cs="Arial"/>
          <w:color w:val="000000" w:themeColor="text1"/>
        </w:rPr>
        <w:t xml:space="preserve">en el trámite </w:t>
      </w:r>
      <w:proofErr w:type="spellStart"/>
      <w:r w:rsidR="005B28FE" w:rsidRPr="005B28FE">
        <w:rPr>
          <w:rFonts w:ascii="Georgia" w:hAnsi="Georgia" w:cs="Arial"/>
          <w:color w:val="000000" w:themeColor="text1"/>
        </w:rPr>
        <w:t>sucesoral</w:t>
      </w:r>
      <w:proofErr w:type="spellEnd"/>
      <w:r w:rsidR="005B28FE" w:rsidRPr="005B28FE">
        <w:rPr>
          <w:rFonts w:ascii="Georgia" w:hAnsi="Georgia" w:cs="Arial"/>
          <w:color w:val="000000" w:themeColor="text1"/>
        </w:rPr>
        <w:t xml:space="preserve"> la reiterada actuación inició y culminó con aprobación el día 14-03-2015 (Folio 10, cuaderno No.1).</w:t>
      </w:r>
      <w:r w:rsidRPr="005B28FE">
        <w:rPr>
          <w:rFonts w:ascii="Georgia" w:hAnsi="Georgia" w:cs="Arial"/>
          <w:color w:val="000000" w:themeColor="text1"/>
          <w:lang w:val="es-CO"/>
        </w:rPr>
        <w:t xml:space="preserve"> </w:t>
      </w:r>
    </w:p>
    <w:p w:rsidR="005B28FE" w:rsidRPr="005B28FE" w:rsidRDefault="005B28FE" w:rsidP="000B365B">
      <w:pPr>
        <w:spacing w:line="360" w:lineRule="auto"/>
        <w:ind w:right="51"/>
        <w:jc w:val="both"/>
        <w:rPr>
          <w:rFonts w:ascii="Georgia" w:hAnsi="Georgia" w:cs="Arial"/>
          <w:color w:val="000000" w:themeColor="text1"/>
          <w:lang w:val="es-CO"/>
        </w:rPr>
      </w:pPr>
    </w:p>
    <w:p w:rsidR="005B28FE" w:rsidRPr="005B28FE" w:rsidRDefault="005B28FE" w:rsidP="005B28FE">
      <w:pPr>
        <w:pStyle w:val="Retraitcorpsdetexte"/>
        <w:spacing w:after="0" w:line="360" w:lineRule="auto"/>
        <w:ind w:left="0"/>
        <w:jc w:val="both"/>
        <w:rPr>
          <w:rFonts w:ascii="Georgia" w:hAnsi="Georgia"/>
          <w:color w:val="000000" w:themeColor="text1"/>
          <w:lang w:val="es-CO"/>
        </w:rPr>
      </w:pPr>
      <w:r w:rsidRPr="005B28FE">
        <w:rPr>
          <w:rFonts w:ascii="Georgia" w:hAnsi="Georgia" w:cs="Arial"/>
          <w:color w:val="000000" w:themeColor="text1"/>
        </w:rPr>
        <w:t xml:space="preserve">Es inexistente </w:t>
      </w:r>
      <w:r w:rsidRPr="005B28FE">
        <w:rPr>
          <w:rFonts w:ascii="Georgia" w:hAnsi="Georgia" w:cs="Arial"/>
          <w:color w:val="000000" w:themeColor="text1"/>
          <w:lang w:val="es-CO"/>
        </w:rPr>
        <w:t xml:space="preserve">entonces </w:t>
      </w:r>
      <w:r w:rsidRPr="005B28FE">
        <w:rPr>
          <w:rFonts w:ascii="Georgia" w:hAnsi="Georgia"/>
          <w:color w:val="000000" w:themeColor="text1"/>
        </w:rPr>
        <w:t xml:space="preserve">vulneración o amenaza al derecho invocado, puesto que no se advierte arbitraria ni antojadiza la decisión controvertida, pues la posición de la jueza accionada tiene un fundamento jurídico claro, en normas vigentes aplicables a los procesos de sucesión. </w:t>
      </w:r>
    </w:p>
    <w:p w:rsidR="005B28FE" w:rsidRDefault="005B28FE" w:rsidP="000B365B">
      <w:pPr>
        <w:spacing w:line="360" w:lineRule="auto"/>
        <w:ind w:right="51"/>
        <w:jc w:val="both"/>
        <w:rPr>
          <w:rFonts w:ascii="Georgia" w:hAnsi="Georgia" w:cs="Arial"/>
          <w:color w:val="FF0000"/>
          <w:lang w:val="es-CO"/>
        </w:rPr>
      </w:pPr>
    </w:p>
    <w:p w:rsidR="00173FB1" w:rsidRDefault="00173FB1" w:rsidP="00173FB1">
      <w:pPr>
        <w:spacing w:line="360" w:lineRule="auto"/>
        <w:ind w:right="51"/>
        <w:jc w:val="both"/>
        <w:rPr>
          <w:rFonts w:ascii="Georgia" w:hAnsi="Georgia" w:cs="Arial"/>
          <w:lang w:val="es-CO"/>
        </w:rPr>
      </w:pPr>
      <w:r w:rsidRPr="001C6D17">
        <w:rPr>
          <w:rFonts w:ascii="Georgia" w:hAnsi="Georgia" w:cs="Arial"/>
          <w:spacing w:val="-3"/>
          <w:lang w:val="es-ES_tradnl"/>
        </w:rPr>
        <w:t xml:space="preserve">Finalmente, </w:t>
      </w:r>
      <w:r w:rsidRPr="001C6D17">
        <w:rPr>
          <w:rFonts w:ascii="Georgia" w:hAnsi="Georgia"/>
        </w:rPr>
        <w:t xml:space="preserve">estima esta judicatura </w:t>
      </w:r>
      <w:r w:rsidRPr="001C6D17">
        <w:rPr>
          <w:rFonts w:ascii="Georgia" w:hAnsi="Georgia" w:cs="Arial"/>
          <w:lang w:val="es-CO"/>
        </w:rPr>
        <w:t xml:space="preserve">necesario hacer una aclaración metodológica sobre la parte resolutiva en cuanto que si era inexistente defecto alguno en las actuaciones del estrado judicial accionado, debió simplemente negarse la tutela y no </w:t>
      </w:r>
      <w:r>
        <w:rPr>
          <w:rFonts w:ascii="Georgia" w:hAnsi="Georgia" w:cs="Arial"/>
          <w:lang w:val="es-CO"/>
        </w:rPr>
        <w:t xml:space="preserve">“negarse por </w:t>
      </w:r>
      <w:r w:rsidRPr="001C6D17">
        <w:rPr>
          <w:rFonts w:ascii="Georgia" w:hAnsi="Georgia" w:cs="Arial"/>
          <w:lang w:val="es-CO"/>
        </w:rPr>
        <w:t>improcedente</w:t>
      </w:r>
      <w:r>
        <w:rPr>
          <w:rFonts w:ascii="Georgia" w:hAnsi="Georgia" w:cs="Arial"/>
          <w:lang w:val="es-CO"/>
        </w:rPr>
        <w:t>”</w:t>
      </w:r>
      <w:r w:rsidRPr="001C6D17">
        <w:rPr>
          <w:rFonts w:ascii="Georgia" w:hAnsi="Georgia" w:cs="Arial"/>
          <w:lang w:val="es-CO"/>
        </w:rPr>
        <w:t>. Así lo ha dicho la doctrina nacional</w:t>
      </w:r>
      <w:r w:rsidRPr="001C6D17">
        <w:rPr>
          <w:rStyle w:val="Appelnotedebasdep"/>
          <w:rFonts w:ascii="Georgia" w:hAnsi="Georgia"/>
          <w:lang w:val="es-CO"/>
        </w:rPr>
        <w:footnoteReference w:id="21"/>
      </w:r>
      <w:r w:rsidRPr="001C6D17">
        <w:rPr>
          <w:rFonts w:ascii="Georgia" w:hAnsi="Georgia" w:cs="Arial"/>
          <w:lang w:val="es-CO"/>
        </w:rPr>
        <w:t xml:space="preserve"> y jurisprudencia del Alto Tribunal Constitucional</w:t>
      </w:r>
      <w:r w:rsidRPr="001C6D17">
        <w:rPr>
          <w:rStyle w:val="Appelnotedebasdep"/>
          <w:rFonts w:ascii="Georgia" w:hAnsi="Georgia"/>
          <w:lang w:val="es-CO"/>
        </w:rPr>
        <w:footnoteReference w:id="22"/>
      </w:r>
      <w:r w:rsidRPr="001C6D17">
        <w:rPr>
          <w:rFonts w:ascii="Georgia" w:hAnsi="Georgia" w:cs="Arial"/>
          <w:lang w:val="es-CO"/>
        </w:rPr>
        <w:t>:</w:t>
      </w:r>
    </w:p>
    <w:p w:rsidR="003E4C48" w:rsidRDefault="003E4C48" w:rsidP="003E4C48">
      <w:pPr>
        <w:ind w:right="51"/>
        <w:jc w:val="both"/>
        <w:rPr>
          <w:rFonts w:ascii="Georgia" w:hAnsi="Georgia" w:cs="Arial"/>
          <w:lang w:val="es-CO"/>
        </w:rPr>
      </w:pPr>
    </w:p>
    <w:p w:rsidR="00173FB1" w:rsidRPr="001C6D17" w:rsidRDefault="00173FB1" w:rsidP="00173FB1">
      <w:pPr>
        <w:pStyle w:val="Corpsdetexte"/>
        <w:tabs>
          <w:tab w:val="clear" w:pos="708"/>
          <w:tab w:val="clear" w:pos="1416"/>
          <w:tab w:val="left" w:pos="709"/>
          <w:tab w:val="left" w:pos="1418"/>
        </w:tabs>
        <w:spacing w:line="240" w:lineRule="auto"/>
        <w:ind w:left="567" w:right="567"/>
        <w:rPr>
          <w:rFonts w:ascii="Georgia" w:hAnsi="Georgia" w:cs="Arial"/>
          <w:sz w:val="24"/>
          <w:szCs w:val="24"/>
          <w:lang w:val="es-CO"/>
        </w:rPr>
      </w:pPr>
      <w:r w:rsidRPr="001C6D17">
        <w:rPr>
          <w:rFonts w:ascii="Georgia" w:hAnsi="Georgia" w:cs="Arial"/>
          <w:color w:val="000000"/>
          <w:sz w:val="24"/>
          <w:szCs w:val="24"/>
          <w:shd w:val="clear" w:color="auto" w:fill="FFFFFF"/>
        </w:rPr>
        <w:t>…en cuanto la decisión es declarar la improcedencia de la acción impetrada, más no negar</w:t>
      </w:r>
      <w:r w:rsidRPr="001C6D17">
        <w:rPr>
          <w:rStyle w:val="apple-converted-space"/>
          <w:rFonts w:ascii="Georgia" w:hAnsi="Georgia" w:cs="Arial"/>
          <w:i/>
          <w:iCs/>
          <w:color w:val="000000"/>
          <w:sz w:val="24"/>
          <w:szCs w:val="24"/>
          <w:shd w:val="clear" w:color="auto" w:fill="FFFFFF"/>
        </w:rPr>
        <w:t> </w:t>
      </w:r>
      <w:r w:rsidRPr="001C6D17">
        <w:rPr>
          <w:rFonts w:ascii="Georgia" w:hAnsi="Georgia" w:cs="Arial"/>
          <w:color w:val="000000"/>
          <w:sz w:val="24"/>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p>
    <w:p w:rsidR="00173FB1" w:rsidRPr="001C6D17" w:rsidRDefault="00173FB1" w:rsidP="00173FB1">
      <w:pPr>
        <w:pStyle w:val="Corpsdetexte"/>
        <w:tabs>
          <w:tab w:val="clear" w:pos="708"/>
          <w:tab w:val="clear" w:pos="1416"/>
          <w:tab w:val="left" w:pos="709"/>
          <w:tab w:val="left" w:pos="1418"/>
        </w:tabs>
        <w:spacing w:line="360" w:lineRule="auto"/>
        <w:ind w:right="56"/>
        <w:rPr>
          <w:rFonts w:ascii="Georgia" w:hAnsi="Georgia" w:cs="Arial"/>
          <w:sz w:val="32"/>
          <w:szCs w:val="24"/>
          <w:lang w:val="es-CO"/>
        </w:rPr>
      </w:pPr>
    </w:p>
    <w:p w:rsidR="00173FB1" w:rsidRPr="001C6D17" w:rsidRDefault="00173FB1" w:rsidP="00173FB1">
      <w:pPr>
        <w:pStyle w:val="Corpsdetexte"/>
        <w:tabs>
          <w:tab w:val="clear" w:pos="708"/>
          <w:tab w:val="clear" w:pos="1416"/>
          <w:tab w:val="left" w:pos="709"/>
          <w:tab w:val="left" w:pos="1418"/>
        </w:tabs>
        <w:spacing w:line="360" w:lineRule="auto"/>
        <w:ind w:right="56"/>
        <w:rPr>
          <w:rFonts w:ascii="Georgia" w:hAnsi="Georgia" w:cs="Arial"/>
          <w:sz w:val="24"/>
          <w:szCs w:val="24"/>
          <w:lang w:val="es-CO"/>
        </w:rPr>
      </w:pPr>
      <w:r w:rsidRPr="001C6D17">
        <w:rPr>
          <w:rFonts w:ascii="Georgia" w:hAnsi="Georgia" w:cs="Arial"/>
          <w:sz w:val="24"/>
          <w:szCs w:val="24"/>
          <w:lang w:val="es-CO"/>
        </w:rPr>
        <w:t>Conforme a lo expuesto, diferencia hay entre negar la acción y declararla improcedente, porque  la  primera  hipótesis,  impone  analizar  el  fondo  de  la  cuestión,  mientras que la segunda es un estadio previo que impide tal estudio, lo que repercute en la cosa juzgada. Criterio ya muchas veces expuesto por esta Corporación</w:t>
      </w:r>
      <w:r>
        <w:rPr>
          <w:rStyle w:val="Appelnotedebasdep"/>
          <w:rFonts w:ascii="Georgia" w:hAnsi="Georgia"/>
          <w:sz w:val="24"/>
          <w:szCs w:val="24"/>
          <w:lang w:val="es-CO"/>
        </w:rPr>
        <w:footnoteReference w:id="23"/>
      </w:r>
      <w:r w:rsidRPr="001C6D17">
        <w:rPr>
          <w:rFonts w:ascii="Georgia" w:hAnsi="Georgia" w:cs="Arial"/>
          <w:sz w:val="24"/>
          <w:szCs w:val="24"/>
          <w:lang w:val="es-CO"/>
        </w:rPr>
        <w:t>.</w:t>
      </w:r>
    </w:p>
    <w:p w:rsidR="00173FB1" w:rsidRPr="001C6D17" w:rsidRDefault="00173FB1" w:rsidP="00173FB1">
      <w:pPr>
        <w:shd w:val="clear" w:color="auto" w:fill="FFFFFF"/>
        <w:spacing w:line="360" w:lineRule="auto"/>
        <w:jc w:val="both"/>
        <w:rPr>
          <w:rFonts w:ascii="Georgia" w:hAnsi="Georgia" w:cs="Arial"/>
          <w:color w:val="000000"/>
          <w:lang w:val="es-CO" w:eastAsia="es-CO"/>
        </w:rPr>
      </w:pPr>
    </w:p>
    <w:p w:rsidR="00173FB1" w:rsidRPr="001C6D17" w:rsidRDefault="00173FB1" w:rsidP="00560AA3">
      <w:pPr>
        <w:pStyle w:val="Corpsdetexte"/>
        <w:numPr>
          <w:ilvl w:val="0"/>
          <w:numId w:val="1"/>
        </w:numPr>
        <w:spacing w:line="360" w:lineRule="auto"/>
        <w:ind w:right="567"/>
        <w:rPr>
          <w:rFonts w:ascii="Georgia" w:hAnsi="Georgia" w:cs="Arial"/>
          <w:sz w:val="24"/>
          <w:szCs w:val="24"/>
          <w:lang w:val="es-CO"/>
        </w:rPr>
      </w:pPr>
      <w:r w:rsidRPr="001C6D17">
        <w:rPr>
          <w:rFonts w:ascii="Georgia" w:hAnsi="Georgia" w:cs="Arial"/>
          <w:sz w:val="24"/>
          <w:szCs w:val="24"/>
          <w:lang w:val="es-CO"/>
        </w:rPr>
        <w:t xml:space="preserve">LAS CONCLUSIONES </w:t>
      </w:r>
    </w:p>
    <w:p w:rsidR="00173FB1" w:rsidRPr="00381C1D" w:rsidRDefault="00173FB1" w:rsidP="003E4C48">
      <w:pPr>
        <w:jc w:val="both"/>
        <w:rPr>
          <w:rFonts w:ascii="Georgia" w:hAnsi="Georgia" w:cs="Arial"/>
          <w:sz w:val="22"/>
          <w:lang w:val="es-CO"/>
        </w:rPr>
      </w:pPr>
    </w:p>
    <w:p w:rsidR="00173FB1" w:rsidRPr="00381C1D" w:rsidRDefault="00173FB1" w:rsidP="00173FB1">
      <w:pPr>
        <w:spacing w:line="360" w:lineRule="auto"/>
        <w:jc w:val="both"/>
        <w:rPr>
          <w:rFonts w:ascii="Georgia" w:hAnsi="Georgia"/>
          <w:lang w:val="es-CO"/>
        </w:rPr>
      </w:pPr>
      <w:r w:rsidRPr="00381C1D">
        <w:rPr>
          <w:rFonts w:ascii="Georgia" w:hAnsi="Georgia"/>
          <w:lang w:val="es-CO"/>
        </w:rPr>
        <w:t>En armonía con lo discurrido se confirmará el fallo venido en impugnación</w:t>
      </w:r>
      <w:r>
        <w:rPr>
          <w:rFonts w:ascii="Georgia" w:hAnsi="Georgia"/>
          <w:lang w:val="es-CO"/>
        </w:rPr>
        <w:t>, se modificará su numeral primero, y se adicionará otro para declarar improcedente el amparo propuesto por la abogada Gloria Amparo Díaz García.</w:t>
      </w:r>
    </w:p>
    <w:p w:rsidR="00173FB1" w:rsidRPr="00381C1D" w:rsidRDefault="00173FB1" w:rsidP="00173FB1">
      <w:pPr>
        <w:spacing w:line="360" w:lineRule="auto"/>
        <w:jc w:val="both"/>
        <w:rPr>
          <w:rFonts w:ascii="Georgia" w:hAnsi="Georgia" w:cs="Arial"/>
        </w:rPr>
      </w:pPr>
      <w:r w:rsidRPr="00381C1D">
        <w:rPr>
          <w:rFonts w:ascii="Georgia" w:hAnsi="Georgia" w:cs="Arial"/>
        </w:rPr>
        <w:lastRenderedPageBreak/>
        <w:t xml:space="preserve">En mérito de lo expuesto, el </w:t>
      </w:r>
      <w:r w:rsidRPr="00381C1D">
        <w:rPr>
          <w:rFonts w:ascii="Georgia" w:hAnsi="Georgia" w:cs="Arial"/>
          <w:bCs/>
          <w:smallCaps/>
        </w:rPr>
        <w:t>Tribunal Superior del Distrito Judicial de Pereira, Sala de Decisión Civil -Familia</w:t>
      </w:r>
      <w:r w:rsidRPr="00381C1D">
        <w:rPr>
          <w:rFonts w:ascii="Georgia" w:hAnsi="Georgia" w:cs="Arial"/>
        </w:rPr>
        <w:t>, administrando Justicia, en nombre de la República y por autoridad de la Ley,</w:t>
      </w:r>
    </w:p>
    <w:p w:rsidR="00173FB1" w:rsidRPr="00381C1D" w:rsidRDefault="00173FB1" w:rsidP="00173FB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sz w:val="2"/>
          <w:lang w:val="es-ES_tradnl"/>
        </w:rPr>
      </w:pPr>
    </w:p>
    <w:p w:rsidR="00173FB1" w:rsidRPr="00381C1D" w:rsidRDefault="00173FB1" w:rsidP="00173FB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r w:rsidRPr="00381C1D">
        <w:rPr>
          <w:rFonts w:ascii="Georgia" w:hAnsi="Georgia" w:cs="Arial"/>
          <w:bCs/>
          <w:smallCaps/>
          <w:spacing w:val="-3"/>
          <w:lang w:val="es-ES_tradnl"/>
        </w:rPr>
        <w:t xml:space="preserve">F A L </w:t>
      </w:r>
      <w:proofErr w:type="spellStart"/>
      <w:r w:rsidRPr="00381C1D">
        <w:rPr>
          <w:rFonts w:ascii="Georgia" w:hAnsi="Georgia" w:cs="Arial"/>
          <w:bCs/>
          <w:smallCaps/>
          <w:spacing w:val="-3"/>
          <w:lang w:val="es-ES_tradnl"/>
        </w:rPr>
        <w:t>L</w:t>
      </w:r>
      <w:proofErr w:type="spellEnd"/>
      <w:r w:rsidRPr="00381C1D">
        <w:rPr>
          <w:rFonts w:ascii="Georgia" w:hAnsi="Georgia" w:cs="Arial"/>
          <w:bCs/>
          <w:smallCaps/>
          <w:spacing w:val="-3"/>
          <w:lang w:val="es-ES_tradnl"/>
        </w:rPr>
        <w:t xml:space="preserve"> A,</w:t>
      </w:r>
    </w:p>
    <w:p w:rsidR="00173FB1" w:rsidRPr="0012245E" w:rsidRDefault="00173FB1" w:rsidP="00173FB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bCs/>
          <w:smallCaps/>
          <w:spacing w:val="-3"/>
          <w:lang w:val="es-ES_tradnl"/>
        </w:rPr>
      </w:pPr>
    </w:p>
    <w:p w:rsidR="00173FB1" w:rsidRDefault="00173FB1" w:rsidP="00173FB1">
      <w:pPr>
        <w:pStyle w:val="Paragraphedeliste"/>
        <w:numPr>
          <w:ilvl w:val="0"/>
          <w:numId w:val="34"/>
        </w:numPr>
        <w:spacing w:line="360" w:lineRule="auto"/>
        <w:jc w:val="both"/>
        <w:rPr>
          <w:rFonts w:ascii="Georgia" w:hAnsi="Georgia" w:cs="Arial"/>
          <w:sz w:val="24"/>
          <w:szCs w:val="24"/>
        </w:rPr>
      </w:pPr>
      <w:r w:rsidRPr="0012245E">
        <w:rPr>
          <w:rFonts w:ascii="Georgia" w:hAnsi="Georgia"/>
          <w:spacing w:val="-3"/>
          <w:sz w:val="24"/>
          <w:szCs w:val="24"/>
          <w:lang w:val="es-ES_tradnl"/>
        </w:rPr>
        <w:t xml:space="preserve">CONFIRMAR la sentencia del día </w:t>
      </w:r>
      <w:r>
        <w:rPr>
          <w:rFonts w:ascii="Georgia" w:hAnsi="Georgia"/>
          <w:spacing w:val="-3"/>
          <w:sz w:val="24"/>
          <w:szCs w:val="24"/>
          <w:lang w:val="es-ES_tradnl"/>
        </w:rPr>
        <w:t>22</w:t>
      </w:r>
      <w:r w:rsidRPr="0012245E">
        <w:rPr>
          <w:rFonts w:ascii="Georgia" w:hAnsi="Georgia"/>
          <w:spacing w:val="-3"/>
          <w:sz w:val="24"/>
          <w:szCs w:val="24"/>
          <w:lang w:val="es-ES_tradnl"/>
        </w:rPr>
        <w:t>-</w:t>
      </w:r>
      <w:r>
        <w:rPr>
          <w:rFonts w:ascii="Georgia" w:hAnsi="Georgia"/>
          <w:spacing w:val="-3"/>
          <w:sz w:val="24"/>
          <w:szCs w:val="24"/>
          <w:lang w:val="es-ES_tradnl"/>
        </w:rPr>
        <w:t>09</w:t>
      </w:r>
      <w:r w:rsidRPr="0012245E">
        <w:rPr>
          <w:rFonts w:ascii="Georgia" w:hAnsi="Georgia"/>
          <w:spacing w:val="-3"/>
          <w:sz w:val="24"/>
          <w:szCs w:val="24"/>
          <w:lang w:val="es-ES_tradnl"/>
        </w:rPr>
        <w:t xml:space="preserve">-2017 proferida por el Juzgado Civil del Circuito de </w:t>
      </w:r>
      <w:r>
        <w:rPr>
          <w:rFonts w:ascii="Georgia" w:hAnsi="Georgia"/>
          <w:spacing w:val="-3"/>
          <w:sz w:val="24"/>
          <w:szCs w:val="24"/>
          <w:lang w:val="es-ES_tradnl"/>
        </w:rPr>
        <w:t>Dosquebradas</w:t>
      </w:r>
      <w:r w:rsidRPr="0012245E">
        <w:rPr>
          <w:rFonts w:ascii="Georgia" w:hAnsi="Georgia" w:cs="Arial"/>
          <w:sz w:val="24"/>
          <w:szCs w:val="24"/>
        </w:rPr>
        <w:t>.</w:t>
      </w:r>
    </w:p>
    <w:p w:rsidR="00173FB1" w:rsidRDefault="00173FB1" w:rsidP="00173FB1">
      <w:pPr>
        <w:pStyle w:val="Paragraphedeliste"/>
        <w:spacing w:line="360" w:lineRule="auto"/>
        <w:ind w:left="360"/>
        <w:jc w:val="both"/>
        <w:rPr>
          <w:rFonts w:ascii="Georgia" w:hAnsi="Georgia" w:cs="Arial"/>
          <w:sz w:val="24"/>
          <w:szCs w:val="24"/>
        </w:rPr>
      </w:pPr>
    </w:p>
    <w:p w:rsidR="00173FB1" w:rsidRPr="006A11DF" w:rsidRDefault="00173FB1" w:rsidP="00173FB1">
      <w:pPr>
        <w:pStyle w:val="Paragraphedeliste"/>
        <w:numPr>
          <w:ilvl w:val="0"/>
          <w:numId w:val="34"/>
        </w:numPr>
        <w:autoSpaceDN w:val="0"/>
        <w:spacing w:after="0" w:line="360" w:lineRule="auto"/>
        <w:contextualSpacing w:val="0"/>
        <w:jc w:val="both"/>
        <w:rPr>
          <w:rFonts w:ascii="Georgia" w:hAnsi="Georgia" w:cs="Arial"/>
          <w:sz w:val="24"/>
          <w:szCs w:val="24"/>
        </w:rPr>
      </w:pPr>
      <w:r w:rsidRPr="006A11DF">
        <w:rPr>
          <w:rFonts w:ascii="Georgia" w:hAnsi="Georgia" w:cs="Arial"/>
          <w:sz w:val="24"/>
          <w:szCs w:val="24"/>
        </w:rPr>
        <w:t xml:space="preserve">MODIFICAR su numeral primero, para </w:t>
      </w:r>
      <w:r>
        <w:rPr>
          <w:rFonts w:ascii="Georgia" w:hAnsi="Georgia" w:cs="Arial"/>
          <w:sz w:val="24"/>
          <w:szCs w:val="24"/>
        </w:rPr>
        <w:t xml:space="preserve">NEGAR </w:t>
      </w:r>
      <w:r w:rsidRPr="006A11DF">
        <w:rPr>
          <w:rFonts w:ascii="Georgia" w:hAnsi="Georgia" w:cs="Arial"/>
          <w:sz w:val="24"/>
          <w:szCs w:val="24"/>
        </w:rPr>
        <w:t xml:space="preserve">la acción de tutela propuesta por el señor </w:t>
      </w:r>
      <w:r>
        <w:rPr>
          <w:rFonts w:ascii="Georgia" w:hAnsi="Georgia" w:cs="Arial"/>
          <w:sz w:val="24"/>
          <w:szCs w:val="24"/>
        </w:rPr>
        <w:t xml:space="preserve">Iván </w:t>
      </w:r>
      <w:proofErr w:type="spellStart"/>
      <w:r>
        <w:rPr>
          <w:rFonts w:ascii="Georgia" w:hAnsi="Georgia" w:cs="Arial"/>
          <w:sz w:val="24"/>
          <w:szCs w:val="24"/>
        </w:rPr>
        <w:t>Obel</w:t>
      </w:r>
      <w:proofErr w:type="spellEnd"/>
      <w:r>
        <w:rPr>
          <w:rFonts w:ascii="Georgia" w:hAnsi="Georgia" w:cs="Arial"/>
          <w:sz w:val="24"/>
          <w:szCs w:val="24"/>
        </w:rPr>
        <w:t xml:space="preserve"> Ramos Restrepo </w:t>
      </w:r>
      <w:r w:rsidRPr="006A11DF">
        <w:rPr>
          <w:rFonts w:ascii="Georgia" w:hAnsi="Georgia" w:cs="Arial"/>
          <w:sz w:val="24"/>
          <w:szCs w:val="24"/>
        </w:rPr>
        <w:t xml:space="preserve">contra el Juzgado </w:t>
      </w:r>
      <w:r>
        <w:rPr>
          <w:rFonts w:ascii="Georgia" w:hAnsi="Georgia" w:cs="Arial"/>
          <w:sz w:val="24"/>
          <w:szCs w:val="24"/>
        </w:rPr>
        <w:t xml:space="preserve">Tercero </w:t>
      </w:r>
      <w:r w:rsidRPr="006A11DF">
        <w:rPr>
          <w:rFonts w:ascii="Georgia" w:hAnsi="Georgia" w:cs="Arial"/>
          <w:sz w:val="24"/>
          <w:szCs w:val="24"/>
        </w:rPr>
        <w:t>Civil Municipal de Dosquebradas.</w:t>
      </w:r>
    </w:p>
    <w:p w:rsidR="00173FB1" w:rsidRPr="006A6927" w:rsidRDefault="00173FB1" w:rsidP="00173FB1">
      <w:pPr>
        <w:pStyle w:val="Corpsdetexte"/>
        <w:tabs>
          <w:tab w:val="clear" w:pos="708"/>
          <w:tab w:val="clear" w:pos="1416"/>
          <w:tab w:val="left" w:pos="426"/>
        </w:tabs>
        <w:spacing w:line="360" w:lineRule="auto"/>
        <w:ind w:left="360"/>
        <w:rPr>
          <w:rFonts w:ascii="Arial" w:hAnsi="Arial" w:cs="Arial"/>
          <w:szCs w:val="24"/>
        </w:rPr>
      </w:pPr>
    </w:p>
    <w:p w:rsidR="00173FB1" w:rsidRDefault="00173FB1" w:rsidP="00173FB1">
      <w:pPr>
        <w:pStyle w:val="Paragraphedeliste"/>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360" w:lineRule="auto"/>
        <w:contextualSpacing w:val="0"/>
        <w:jc w:val="both"/>
        <w:rPr>
          <w:rFonts w:ascii="Georgia" w:hAnsi="Georgia" w:cs="Arial"/>
          <w:sz w:val="24"/>
          <w:szCs w:val="24"/>
        </w:rPr>
      </w:pPr>
      <w:r>
        <w:rPr>
          <w:rFonts w:ascii="Georgia" w:hAnsi="Georgia" w:cs="Arial"/>
          <w:sz w:val="24"/>
          <w:szCs w:val="24"/>
        </w:rPr>
        <w:t xml:space="preserve">DECLARAR IMPROCEDENTE el amparo constitucional </w:t>
      </w:r>
      <w:r w:rsidR="005D0918">
        <w:rPr>
          <w:rFonts w:ascii="Georgia" w:hAnsi="Georgia" w:cs="Arial"/>
          <w:sz w:val="24"/>
          <w:szCs w:val="24"/>
        </w:rPr>
        <w:t>promovido</w:t>
      </w:r>
      <w:r>
        <w:rPr>
          <w:rFonts w:ascii="Georgia" w:hAnsi="Georgia" w:cs="Arial"/>
          <w:sz w:val="24"/>
          <w:szCs w:val="24"/>
        </w:rPr>
        <w:t xml:space="preserve"> por la señora Gloria Amparo Díaz García por carecer de legitimación en la causa por activa</w:t>
      </w:r>
      <w:r w:rsidRPr="0012245E">
        <w:rPr>
          <w:rFonts w:ascii="Georgia" w:hAnsi="Georgia" w:cs="Arial"/>
          <w:sz w:val="24"/>
          <w:szCs w:val="24"/>
        </w:rPr>
        <w:t>.</w:t>
      </w:r>
    </w:p>
    <w:p w:rsidR="005D0918" w:rsidRPr="005D0918" w:rsidRDefault="005D0918" w:rsidP="005D0918">
      <w:pPr>
        <w:pStyle w:val="Paragraphedeliste"/>
        <w:spacing w:after="0" w:line="360" w:lineRule="auto"/>
        <w:rPr>
          <w:rFonts w:ascii="Georgia" w:hAnsi="Georgia" w:cs="Arial"/>
          <w:sz w:val="24"/>
          <w:szCs w:val="24"/>
        </w:rPr>
      </w:pPr>
    </w:p>
    <w:p w:rsidR="005D0918" w:rsidRPr="005D0918" w:rsidRDefault="005D0918" w:rsidP="005D0918">
      <w:pPr>
        <w:pStyle w:val="Textopredeterminado"/>
        <w:numPr>
          <w:ilvl w:val="0"/>
          <w:numId w:val="34"/>
        </w:numPr>
        <w:spacing w:line="360" w:lineRule="auto"/>
        <w:jc w:val="both"/>
        <w:rPr>
          <w:rFonts w:ascii="Georgia" w:hAnsi="Georgia" w:cs="Arial"/>
          <w:szCs w:val="24"/>
        </w:rPr>
      </w:pPr>
      <w:r w:rsidRPr="005D0918">
        <w:rPr>
          <w:rFonts w:ascii="Georgia" w:hAnsi="Georgia" w:cs="Arial"/>
          <w:szCs w:val="24"/>
        </w:rPr>
        <w:t xml:space="preserve">RECONOCER personería amplia y suficiente </w:t>
      </w:r>
      <w:r>
        <w:rPr>
          <w:rFonts w:ascii="Georgia" w:hAnsi="Georgia" w:cs="Arial"/>
          <w:szCs w:val="24"/>
        </w:rPr>
        <w:t>a la doctora Gloria Amparo Díaz García</w:t>
      </w:r>
      <w:r w:rsidRPr="005D0918">
        <w:rPr>
          <w:rFonts w:ascii="Georgia" w:hAnsi="Georgia" w:cs="Arial"/>
          <w:spacing w:val="3"/>
          <w:szCs w:val="24"/>
        </w:rPr>
        <w:t xml:space="preserve">, </w:t>
      </w:r>
      <w:r w:rsidRPr="005D0918">
        <w:rPr>
          <w:rFonts w:ascii="Georgia" w:hAnsi="Georgia" w:cs="Arial"/>
          <w:szCs w:val="24"/>
        </w:rPr>
        <w:t xml:space="preserve">para actuar </w:t>
      </w:r>
      <w:r>
        <w:rPr>
          <w:rFonts w:ascii="Georgia" w:hAnsi="Georgia" w:cs="Arial"/>
          <w:szCs w:val="24"/>
        </w:rPr>
        <w:t xml:space="preserve">en nombre y representación del señor Iván </w:t>
      </w:r>
      <w:proofErr w:type="spellStart"/>
      <w:r>
        <w:rPr>
          <w:rFonts w:ascii="Georgia" w:hAnsi="Georgia" w:cs="Arial"/>
          <w:szCs w:val="24"/>
        </w:rPr>
        <w:t>Obel</w:t>
      </w:r>
      <w:proofErr w:type="spellEnd"/>
      <w:r>
        <w:rPr>
          <w:rFonts w:ascii="Georgia" w:hAnsi="Georgia" w:cs="Arial"/>
          <w:szCs w:val="24"/>
        </w:rPr>
        <w:t xml:space="preserve"> Ramos Restrepo</w:t>
      </w:r>
      <w:r w:rsidRPr="005D0918">
        <w:rPr>
          <w:rFonts w:ascii="Georgia" w:hAnsi="Georgia" w:cs="Arial"/>
          <w:szCs w:val="24"/>
        </w:rPr>
        <w:t>.</w:t>
      </w:r>
    </w:p>
    <w:p w:rsidR="00173FB1" w:rsidRPr="005D0918" w:rsidRDefault="00173FB1" w:rsidP="005D0918">
      <w:pPr>
        <w:pStyle w:val="Paragraphedeliste"/>
        <w:spacing w:after="0" w:line="360" w:lineRule="auto"/>
        <w:rPr>
          <w:rFonts w:ascii="Georgia" w:hAnsi="Georgia" w:cs="Arial"/>
          <w:sz w:val="24"/>
          <w:szCs w:val="24"/>
        </w:rPr>
      </w:pPr>
    </w:p>
    <w:p w:rsidR="00173FB1" w:rsidRDefault="00173FB1" w:rsidP="00173FB1">
      <w:pPr>
        <w:pStyle w:val="Paragraphedeliste"/>
        <w:widowControl w:val="0"/>
        <w:numPr>
          <w:ilvl w:val="0"/>
          <w:numId w:val="3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after="0" w:line="360" w:lineRule="auto"/>
        <w:contextualSpacing w:val="0"/>
        <w:jc w:val="both"/>
        <w:rPr>
          <w:rFonts w:ascii="Georgia" w:hAnsi="Georgia" w:cs="Arial"/>
          <w:sz w:val="24"/>
          <w:szCs w:val="24"/>
        </w:rPr>
      </w:pPr>
      <w:r w:rsidRPr="0012245E">
        <w:rPr>
          <w:rFonts w:ascii="Georgia" w:hAnsi="Georgia" w:cs="Arial"/>
          <w:sz w:val="24"/>
          <w:szCs w:val="24"/>
        </w:rPr>
        <w:t>NOTIFICAR esta decisión a todas las partes, por el medio más expedito y eficaz.</w:t>
      </w:r>
    </w:p>
    <w:p w:rsidR="00D029BB" w:rsidRPr="00D029BB" w:rsidRDefault="00D029BB" w:rsidP="00D029B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173FB1" w:rsidRPr="0012245E" w:rsidRDefault="00173FB1" w:rsidP="00173FB1">
      <w:pPr>
        <w:pStyle w:val="Corpsdetexte"/>
        <w:numPr>
          <w:ilvl w:val="0"/>
          <w:numId w:val="34"/>
        </w:numPr>
        <w:tabs>
          <w:tab w:val="clear" w:pos="708"/>
        </w:tabs>
        <w:spacing w:line="360" w:lineRule="auto"/>
        <w:rPr>
          <w:rFonts w:ascii="Georgia" w:hAnsi="Georgia" w:cs="Arial"/>
          <w:sz w:val="24"/>
          <w:szCs w:val="24"/>
        </w:rPr>
      </w:pPr>
      <w:r w:rsidRPr="0012245E">
        <w:rPr>
          <w:rFonts w:ascii="Georgia" w:hAnsi="Georgia" w:cs="Arial"/>
          <w:sz w:val="24"/>
          <w:szCs w:val="24"/>
        </w:rPr>
        <w:t>REMITIR este expediente, a la CC para su eventual revisión, de no ser impugnada.</w:t>
      </w:r>
    </w:p>
    <w:p w:rsidR="00173FB1" w:rsidRPr="0012245E" w:rsidRDefault="00173FB1" w:rsidP="00173FB1">
      <w:pPr>
        <w:pStyle w:val="Corpsdetexte"/>
        <w:tabs>
          <w:tab w:val="clear" w:pos="708"/>
        </w:tabs>
        <w:spacing w:line="360" w:lineRule="auto"/>
        <w:rPr>
          <w:rFonts w:ascii="Georgia" w:hAnsi="Georgia" w:cs="Arial"/>
          <w:sz w:val="24"/>
          <w:szCs w:val="24"/>
          <w:lang w:val="es-CO"/>
        </w:rPr>
      </w:pPr>
    </w:p>
    <w:p w:rsidR="00173FB1" w:rsidRPr="00BB6492" w:rsidRDefault="00173FB1" w:rsidP="00173FB1">
      <w:pPr>
        <w:pStyle w:val="Paragraphedeliste"/>
        <w:numPr>
          <w:ilvl w:val="0"/>
          <w:numId w:val="34"/>
        </w:numPr>
        <w:spacing w:after="0" w:line="360" w:lineRule="auto"/>
        <w:ind w:right="51"/>
        <w:jc w:val="both"/>
        <w:rPr>
          <w:rFonts w:ascii="Georgia" w:hAnsi="Georgia"/>
          <w:sz w:val="24"/>
          <w:szCs w:val="24"/>
        </w:rPr>
      </w:pPr>
      <w:r w:rsidRPr="0012245E">
        <w:rPr>
          <w:rFonts w:ascii="Georgia" w:hAnsi="Georgia" w:cs="Arial"/>
          <w:sz w:val="24"/>
          <w:szCs w:val="24"/>
        </w:rPr>
        <w:t>ORDENAR el archivo del expediente, surtidos los trámites anteriores</w:t>
      </w:r>
      <w:r w:rsidRPr="00BB6492">
        <w:rPr>
          <w:rFonts w:ascii="Georgia" w:hAnsi="Georgia" w:cs="Arial"/>
          <w:sz w:val="24"/>
          <w:szCs w:val="24"/>
        </w:rPr>
        <w:t>.</w:t>
      </w:r>
    </w:p>
    <w:p w:rsidR="003913E3" w:rsidRPr="00715A6F"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8"/>
          <w:lang w:val="es-ES_tradnl"/>
        </w:rPr>
      </w:pPr>
    </w:p>
    <w:p w:rsidR="003913E3" w:rsidRPr="00484A74" w:rsidRDefault="000F2638" w:rsidP="00F839CE">
      <w:pPr>
        <w:pStyle w:val="Corpsdetexte"/>
        <w:spacing w:line="360" w:lineRule="auto"/>
        <w:jc w:val="center"/>
        <w:rPr>
          <w:rFonts w:ascii="Georgia" w:hAnsi="Georgia"/>
          <w:smallCaps/>
          <w:sz w:val="22"/>
          <w:szCs w:val="24"/>
          <w:lang w:val="en-US"/>
        </w:rPr>
      </w:pPr>
      <w:r w:rsidRPr="00484A74">
        <w:rPr>
          <w:rFonts w:ascii="Georgia" w:hAnsi="Georgia"/>
          <w:smallCaps/>
          <w:sz w:val="24"/>
          <w:szCs w:val="24"/>
          <w:lang w:val="en-US"/>
        </w:rPr>
        <w:t>NOTIFÍQUESE,</w:t>
      </w:r>
    </w:p>
    <w:p w:rsidR="000F2638" w:rsidRDefault="000F2638"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n-US"/>
        </w:rPr>
      </w:pPr>
    </w:p>
    <w:p w:rsidR="00715A6F" w:rsidRPr="000F2638" w:rsidRDefault="00715A6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n-US"/>
        </w:rPr>
      </w:pPr>
    </w:p>
    <w:p w:rsidR="00F72D3F" w:rsidRPr="0092283B" w:rsidRDefault="00F72D3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92283B">
        <w:rPr>
          <w:rFonts w:ascii="Georgia" w:hAnsi="Georgia" w:cs="Arial"/>
          <w:i/>
          <w:spacing w:val="-3"/>
          <w:w w:val="150"/>
          <w:sz w:val="32"/>
          <w:szCs w:val="18"/>
          <w:lang w:val="en-US"/>
        </w:rPr>
        <w:t>D</w:t>
      </w:r>
      <w:r w:rsidRPr="0092283B">
        <w:rPr>
          <w:rFonts w:ascii="Georgia" w:hAnsi="Georgia" w:cs="Arial"/>
          <w:i/>
          <w:spacing w:val="-3"/>
          <w:w w:val="150"/>
          <w:sz w:val="18"/>
          <w:szCs w:val="18"/>
          <w:lang w:val="en-US"/>
        </w:rPr>
        <w:t xml:space="preserve">UBERNEY </w:t>
      </w:r>
      <w:r w:rsidRPr="0092283B">
        <w:rPr>
          <w:rFonts w:ascii="Georgia" w:hAnsi="Georgia" w:cs="Arial"/>
          <w:i/>
          <w:spacing w:val="-3"/>
          <w:w w:val="150"/>
          <w:sz w:val="28"/>
          <w:szCs w:val="18"/>
          <w:lang w:val="en-US"/>
        </w:rPr>
        <w:t>G</w:t>
      </w:r>
      <w:r w:rsidRPr="0092283B">
        <w:rPr>
          <w:rFonts w:ascii="Georgia" w:hAnsi="Georgia" w:cs="Arial"/>
          <w:i/>
          <w:spacing w:val="-3"/>
          <w:w w:val="150"/>
          <w:sz w:val="18"/>
          <w:szCs w:val="18"/>
          <w:lang w:val="en-US"/>
        </w:rPr>
        <w:t xml:space="preserve">RISALES </w:t>
      </w:r>
      <w:r w:rsidRPr="0092283B">
        <w:rPr>
          <w:rFonts w:ascii="Georgia" w:hAnsi="Georgia" w:cs="Arial"/>
          <w:i/>
          <w:spacing w:val="-3"/>
          <w:w w:val="150"/>
          <w:sz w:val="28"/>
          <w:szCs w:val="18"/>
          <w:lang w:val="en-US"/>
        </w:rPr>
        <w:t>H</w:t>
      </w:r>
      <w:r w:rsidRPr="0092283B">
        <w:rPr>
          <w:rFonts w:ascii="Georgia" w:hAnsi="Georgia" w:cs="Arial"/>
          <w:i/>
          <w:spacing w:val="-3"/>
          <w:w w:val="150"/>
          <w:sz w:val="18"/>
          <w:szCs w:val="18"/>
          <w:lang w:val="en-US"/>
        </w:rPr>
        <w:t>ERRERA</w:t>
      </w:r>
    </w:p>
    <w:p w:rsidR="00F72D3F" w:rsidRPr="0092283B" w:rsidRDefault="00F72D3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6"/>
          <w:szCs w:val="20"/>
          <w:lang w:val="en-US"/>
        </w:rPr>
      </w:pPr>
      <w:r w:rsidRPr="0092283B">
        <w:rPr>
          <w:rFonts w:ascii="Georgia" w:hAnsi="Georgia" w:cs="Arial"/>
          <w:i/>
          <w:spacing w:val="-3"/>
          <w:w w:val="150"/>
          <w:sz w:val="32"/>
          <w:lang w:val="en-US"/>
        </w:rPr>
        <w:t>M</w:t>
      </w:r>
      <w:r w:rsidRPr="0092283B">
        <w:rPr>
          <w:rFonts w:ascii="Georgia" w:hAnsi="Georgia" w:cs="Arial"/>
          <w:i/>
          <w:spacing w:val="-3"/>
          <w:w w:val="150"/>
          <w:sz w:val="16"/>
          <w:lang w:val="en-US"/>
        </w:rPr>
        <w:t xml:space="preserve"> </w:t>
      </w:r>
      <w:r w:rsidRPr="0092283B">
        <w:rPr>
          <w:rFonts w:ascii="Georgia" w:hAnsi="Georgia" w:cs="Arial"/>
          <w:i/>
          <w:spacing w:val="-3"/>
          <w:w w:val="150"/>
          <w:sz w:val="18"/>
          <w:szCs w:val="20"/>
          <w:lang w:val="en-US"/>
        </w:rPr>
        <w:t>A G I S T R A D O</w:t>
      </w:r>
    </w:p>
    <w:p w:rsidR="000F2638" w:rsidRDefault="000F2638"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715A6F" w:rsidRPr="000F2638" w:rsidRDefault="00715A6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F72D3F" w:rsidRPr="0092283B" w:rsidRDefault="00F72D3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92283B">
        <w:rPr>
          <w:rFonts w:ascii="Georgia" w:hAnsi="Georgia"/>
          <w:i/>
          <w:w w:val="150"/>
          <w:sz w:val="28"/>
          <w:szCs w:val="18"/>
          <w:lang w:val="en-US"/>
        </w:rPr>
        <w:t>E</w:t>
      </w:r>
      <w:r w:rsidRPr="0092283B">
        <w:rPr>
          <w:rFonts w:ascii="Georgia" w:hAnsi="Georgia"/>
          <w:i/>
          <w:w w:val="150"/>
          <w:sz w:val="18"/>
          <w:szCs w:val="18"/>
          <w:lang w:val="en-US"/>
        </w:rPr>
        <w:t>DDER</w:t>
      </w:r>
      <w:r w:rsidRPr="0092283B">
        <w:rPr>
          <w:rFonts w:ascii="Georgia" w:hAnsi="Georgia"/>
          <w:i/>
          <w:w w:val="150"/>
          <w:sz w:val="18"/>
          <w:lang w:val="en-US"/>
        </w:rPr>
        <w:t xml:space="preserve"> </w:t>
      </w:r>
      <w:r w:rsidRPr="0092283B">
        <w:rPr>
          <w:rFonts w:ascii="Georgia" w:hAnsi="Georgia"/>
          <w:i/>
          <w:w w:val="150"/>
          <w:sz w:val="28"/>
          <w:lang w:val="en-US"/>
        </w:rPr>
        <w:t>J</w:t>
      </w:r>
      <w:r w:rsidRPr="0092283B">
        <w:rPr>
          <w:rFonts w:ascii="Georgia" w:hAnsi="Georgia"/>
          <w:i/>
          <w:w w:val="150"/>
          <w:sz w:val="18"/>
          <w:szCs w:val="18"/>
          <w:lang w:val="en-US"/>
        </w:rPr>
        <w:t xml:space="preserve">IMMY </w:t>
      </w:r>
      <w:r w:rsidRPr="0092283B">
        <w:rPr>
          <w:rFonts w:ascii="Georgia" w:hAnsi="Georgia"/>
          <w:i/>
          <w:w w:val="150"/>
          <w:sz w:val="28"/>
          <w:lang w:val="en-US"/>
        </w:rPr>
        <w:t>S</w:t>
      </w:r>
      <w:r w:rsidRPr="0092283B">
        <w:rPr>
          <w:rFonts w:ascii="Georgia" w:hAnsi="Georgia"/>
          <w:i/>
          <w:w w:val="150"/>
          <w:sz w:val="18"/>
          <w:szCs w:val="18"/>
          <w:lang w:val="en-US"/>
        </w:rPr>
        <w:t xml:space="preserve">ÁNCHEZ </w:t>
      </w:r>
      <w:r w:rsidRPr="0092283B">
        <w:rPr>
          <w:rFonts w:ascii="Georgia" w:hAnsi="Georgia"/>
          <w:i/>
          <w:w w:val="150"/>
          <w:sz w:val="28"/>
          <w:szCs w:val="18"/>
          <w:lang w:val="en-US"/>
        </w:rPr>
        <w:t>C.</w:t>
      </w:r>
      <w:r w:rsidR="006618F4" w:rsidRPr="0092283B">
        <w:rPr>
          <w:rFonts w:ascii="Georgia" w:hAnsi="Georgia"/>
          <w:i/>
          <w:w w:val="150"/>
          <w:sz w:val="28"/>
          <w:szCs w:val="18"/>
          <w:lang w:val="en-US"/>
        </w:rPr>
        <w:tab/>
      </w:r>
      <w:r w:rsidR="006618F4" w:rsidRPr="0092283B">
        <w:rPr>
          <w:rFonts w:ascii="Georgia" w:hAnsi="Georgia"/>
          <w:i/>
          <w:w w:val="150"/>
          <w:sz w:val="28"/>
          <w:szCs w:val="18"/>
          <w:lang w:val="en-US"/>
        </w:rPr>
        <w:tab/>
      </w:r>
      <w:r w:rsidR="00F75CEC" w:rsidRPr="0092283B">
        <w:rPr>
          <w:rFonts w:ascii="Georgia" w:hAnsi="Georgia"/>
          <w:i/>
          <w:w w:val="150"/>
          <w:sz w:val="28"/>
          <w:szCs w:val="18"/>
          <w:lang w:val="en-US"/>
        </w:rPr>
        <w:t xml:space="preserve">   </w:t>
      </w:r>
      <w:r w:rsidR="006618F4" w:rsidRPr="0092283B">
        <w:rPr>
          <w:rFonts w:ascii="Georgia" w:hAnsi="Georgia" w:cs="Arial"/>
          <w:i/>
          <w:spacing w:val="-3"/>
          <w:w w:val="150"/>
          <w:sz w:val="28"/>
          <w:szCs w:val="18"/>
          <w:lang w:val="en-US"/>
        </w:rPr>
        <w:t>J</w:t>
      </w:r>
      <w:r w:rsidR="006618F4" w:rsidRPr="0092283B">
        <w:rPr>
          <w:rFonts w:ascii="Georgia" w:hAnsi="Georgia" w:cs="Arial"/>
          <w:i/>
          <w:spacing w:val="-3"/>
          <w:w w:val="150"/>
          <w:sz w:val="18"/>
          <w:szCs w:val="18"/>
          <w:lang w:val="en-US"/>
        </w:rPr>
        <w:t xml:space="preserve">AIME </w:t>
      </w:r>
      <w:r w:rsidR="006618F4" w:rsidRPr="0092283B">
        <w:rPr>
          <w:rFonts w:ascii="Georgia" w:hAnsi="Georgia" w:cs="Arial"/>
          <w:i/>
          <w:spacing w:val="-3"/>
          <w:w w:val="150"/>
          <w:sz w:val="28"/>
          <w:szCs w:val="18"/>
          <w:lang w:val="en-US"/>
        </w:rPr>
        <w:t>A</w:t>
      </w:r>
      <w:r w:rsidR="006618F4" w:rsidRPr="0092283B">
        <w:rPr>
          <w:rFonts w:ascii="Georgia" w:hAnsi="Georgia"/>
          <w:i/>
          <w:w w:val="150"/>
          <w:sz w:val="18"/>
          <w:szCs w:val="18"/>
          <w:lang w:val="en-US"/>
        </w:rPr>
        <w:t xml:space="preserve">LBERTO </w:t>
      </w:r>
      <w:r w:rsidR="006618F4" w:rsidRPr="0092283B">
        <w:rPr>
          <w:rFonts w:ascii="Georgia" w:hAnsi="Georgia" w:cs="Arial"/>
          <w:i/>
          <w:spacing w:val="-3"/>
          <w:w w:val="150"/>
          <w:sz w:val="28"/>
          <w:szCs w:val="18"/>
          <w:lang w:val="en-US"/>
        </w:rPr>
        <w:t>S</w:t>
      </w:r>
      <w:r w:rsidR="006618F4" w:rsidRPr="0092283B">
        <w:rPr>
          <w:rFonts w:ascii="Georgia" w:hAnsi="Georgia" w:cs="Arial"/>
          <w:i/>
          <w:spacing w:val="-3"/>
          <w:w w:val="150"/>
          <w:sz w:val="18"/>
          <w:szCs w:val="16"/>
          <w:lang w:val="en-US"/>
        </w:rPr>
        <w:t xml:space="preserve">ARAZA </w:t>
      </w:r>
      <w:r w:rsidR="006618F4" w:rsidRPr="0092283B">
        <w:rPr>
          <w:rFonts w:ascii="Georgia" w:hAnsi="Georgia" w:cs="Arial"/>
          <w:i/>
          <w:spacing w:val="-3"/>
          <w:w w:val="150"/>
          <w:sz w:val="28"/>
          <w:szCs w:val="18"/>
          <w:lang w:val="en-US"/>
        </w:rPr>
        <w:t>N.</w:t>
      </w:r>
    </w:p>
    <w:p w:rsidR="00B047F5" w:rsidRPr="000F2638" w:rsidRDefault="00F72D3F" w:rsidP="00D029B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92283B">
        <w:rPr>
          <w:rFonts w:ascii="Georgia" w:hAnsi="Georgia" w:cs="Arial"/>
          <w:i/>
          <w:w w:val="150"/>
          <w:sz w:val="28"/>
          <w:lang w:val="en-US"/>
        </w:rPr>
        <w:tab/>
      </w:r>
      <w:r w:rsidRPr="0092283B">
        <w:rPr>
          <w:rFonts w:ascii="Georgia" w:hAnsi="Georgia" w:cs="Arial"/>
          <w:i/>
          <w:w w:val="150"/>
          <w:sz w:val="28"/>
          <w:lang w:val="en-GB"/>
        </w:rPr>
        <w:t>M</w:t>
      </w:r>
      <w:r w:rsidRPr="0092283B">
        <w:rPr>
          <w:rFonts w:ascii="Georgia" w:hAnsi="Georgia" w:cs="Arial"/>
          <w:i/>
          <w:w w:val="150"/>
          <w:sz w:val="18"/>
          <w:lang w:val="en-GB"/>
        </w:rPr>
        <w:t xml:space="preserve"> A G I S T R A D </w:t>
      </w:r>
      <w:r w:rsidR="00580039" w:rsidRPr="0092283B">
        <w:rPr>
          <w:rFonts w:ascii="Georgia" w:hAnsi="Georgia" w:cs="Arial"/>
          <w:i/>
          <w:w w:val="150"/>
          <w:sz w:val="18"/>
          <w:lang w:val="en-GB"/>
        </w:rPr>
        <w:t>O</w:t>
      </w:r>
      <w:r w:rsidRPr="0092283B">
        <w:rPr>
          <w:rFonts w:ascii="Georgia" w:hAnsi="Georgia" w:cs="Arial"/>
          <w:i/>
          <w:w w:val="150"/>
          <w:sz w:val="18"/>
          <w:lang w:val="en-GB"/>
        </w:rPr>
        <w:t xml:space="preserve"> </w:t>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00F75CEC" w:rsidRPr="0092283B">
        <w:rPr>
          <w:rFonts w:ascii="Georgia" w:hAnsi="Georgia" w:cs="Arial"/>
          <w:i/>
          <w:w w:val="150"/>
          <w:sz w:val="18"/>
          <w:lang w:val="en-GB"/>
        </w:rPr>
        <w:t xml:space="preserve">  </w:t>
      </w:r>
      <w:r w:rsidRPr="0092283B">
        <w:rPr>
          <w:rFonts w:ascii="Georgia" w:hAnsi="Georgia" w:cs="Arial"/>
          <w:i/>
          <w:w w:val="150"/>
          <w:sz w:val="28"/>
          <w:lang w:val="en-GB"/>
        </w:rPr>
        <w:t>M</w:t>
      </w:r>
      <w:r w:rsidRPr="0092283B">
        <w:rPr>
          <w:rFonts w:ascii="Georgia" w:hAnsi="Georgia" w:cs="Arial"/>
          <w:i/>
          <w:w w:val="150"/>
          <w:sz w:val="18"/>
          <w:lang w:val="en-GB"/>
        </w:rPr>
        <w:t xml:space="preserve"> A G I S T R A D</w:t>
      </w:r>
      <w:r w:rsidR="005424E8" w:rsidRPr="0092283B">
        <w:rPr>
          <w:rFonts w:ascii="Georgia" w:hAnsi="Georgia" w:cs="Arial"/>
          <w:i/>
          <w:w w:val="150"/>
          <w:sz w:val="18"/>
          <w:lang w:val="en-GB"/>
        </w:rPr>
        <w:t xml:space="preserve"> </w:t>
      </w:r>
      <w:r w:rsidRPr="0092283B">
        <w:rPr>
          <w:rFonts w:ascii="Georgia" w:hAnsi="Georgia" w:cs="Arial"/>
          <w:i/>
          <w:w w:val="150"/>
          <w:sz w:val="18"/>
          <w:lang w:val="en-GB"/>
        </w:rPr>
        <w:t>O</w:t>
      </w:r>
      <w:r w:rsidR="005424E8" w:rsidRPr="0092283B">
        <w:rPr>
          <w:rFonts w:ascii="Georgia" w:hAnsi="Georgia" w:cs="Arial"/>
          <w:i/>
          <w:w w:val="150"/>
          <w:sz w:val="18"/>
          <w:lang w:val="en-GB"/>
        </w:rPr>
        <w:t xml:space="preserve">   </w:t>
      </w:r>
    </w:p>
    <w:sectPr w:rsidR="00B047F5" w:rsidRPr="000F2638" w:rsidSect="003E4C48">
      <w:headerReference w:type="even" r:id="rId10"/>
      <w:headerReference w:type="default" r:id="rId11"/>
      <w:footerReference w:type="even" r:id="rId12"/>
      <w:footerReference w:type="default" r:id="rId13"/>
      <w:headerReference w:type="first" r:id="rId14"/>
      <w:footerReference w:type="first" r:id="rId15"/>
      <w:pgSz w:w="12242" w:h="18722" w:code="14"/>
      <w:pgMar w:top="1702"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A76" w:rsidRDefault="006F4A76" w:rsidP="002F20AB">
      <w:r>
        <w:separator/>
      </w:r>
    </w:p>
  </w:endnote>
  <w:endnote w:type="continuationSeparator" w:id="0">
    <w:p w:rsidR="006F4A76" w:rsidRDefault="006F4A76"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DB34BE" w:rsidRDefault="00343387">
    <w:pPr>
      <w:pStyle w:val="Pieddepage"/>
      <w:framePr w:wrap="around" w:vAnchor="text" w:hAnchor="margin" w:xAlign="right" w:y="1"/>
      <w:rPr>
        <w:rStyle w:val="Numrodepage"/>
        <w:rFonts w:ascii="Georgia" w:hAnsi="Georgia" w:cs="Verdana"/>
      </w:rPr>
    </w:pPr>
    <w:r w:rsidRPr="00DB34BE">
      <w:rPr>
        <w:rStyle w:val="Numrodepage"/>
        <w:rFonts w:ascii="Georgia" w:hAnsi="Georgia" w:cs="Verdana"/>
      </w:rPr>
      <w:fldChar w:fldCharType="begin"/>
    </w:r>
    <w:r w:rsidR="003913E3" w:rsidRPr="00DB34BE">
      <w:rPr>
        <w:rStyle w:val="Numrodepage"/>
        <w:rFonts w:ascii="Georgia" w:hAnsi="Georgia" w:cs="Verdana"/>
      </w:rPr>
      <w:instrText xml:space="preserve">PAGE  </w:instrText>
    </w:r>
    <w:r w:rsidRPr="00DB34BE">
      <w:rPr>
        <w:rStyle w:val="Numrodepage"/>
        <w:rFonts w:ascii="Georgia" w:hAnsi="Georgia" w:cs="Verdana"/>
      </w:rPr>
      <w:fldChar w:fldCharType="separate"/>
    </w:r>
    <w:r w:rsidR="003913E3" w:rsidRPr="00DB34BE">
      <w:rPr>
        <w:rStyle w:val="Numrodepage"/>
        <w:rFonts w:ascii="Georgia" w:hAnsi="Georgia" w:cs="Verdana"/>
        <w:noProof/>
      </w:rPr>
      <w:t>10</w:t>
    </w:r>
    <w:r w:rsidRPr="00DB34BE">
      <w:rPr>
        <w:rStyle w:val="Numrodepage"/>
        <w:rFonts w:ascii="Georgia" w:hAnsi="Georgia" w:cs="Verdana"/>
      </w:rPr>
      <w:fldChar w:fldCharType="end"/>
    </w:r>
  </w:p>
  <w:p w:rsidR="003913E3" w:rsidRPr="00DB34BE" w:rsidRDefault="003913E3">
    <w:pPr>
      <w:pStyle w:val="Pieddepage"/>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0F2638" w:rsidRDefault="003913E3" w:rsidP="00A67268">
    <w:pPr>
      <w:pStyle w:val="Pieddepage"/>
      <w:pBdr>
        <w:bottom w:val="double" w:sz="6" w:space="1" w:color="auto"/>
      </w:pBdr>
      <w:spacing w:line="360" w:lineRule="auto"/>
      <w:rPr>
        <w:rFonts w:ascii="Georgia" w:hAnsi="Georgia" w:cs="Arial"/>
        <w:spacing w:val="20"/>
        <w:w w:val="200"/>
        <w:sz w:val="2"/>
        <w:szCs w:val="10"/>
        <w:lang w:val="es-ES"/>
      </w:rPr>
    </w:pPr>
  </w:p>
  <w:p w:rsidR="003913E3" w:rsidRPr="00DB34BE" w:rsidRDefault="003913E3" w:rsidP="00751EE2">
    <w:pPr>
      <w:pStyle w:val="Pieddepage"/>
      <w:spacing w:line="360" w:lineRule="auto"/>
      <w:jc w:val="right"/>
      <w:rPr>
        <w:rFonts w:ascii="Georgia" w:hAnsi="Georgia" w:cs="Arial"/>
        <w:spacing w:val="20"/>
        <w:w w:val="200"/>
        <w:sz w:val="14"/>
        <w:szCs w:val="10"/>
      </w:rPr>
    </w:pPr>
  </w:p>
  <w:p w:rsidR="003913E3" w:rsidRPr="00DB34BE" w:rsidRDefault="003913E3" w:rsidP="00751EE2">
    <w:pPr>
      <w:pStyle w:val="Pieddepage"/>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3913E3" w:rsidRPr="00DB34BE" w:rsidRDefault="003913E3" w:rsidP="00751EE2">
    <w:pPr>
      <w:pStyle w:val="Pieddepage"/>
      <w:jc w:val="right"/>
      <w:rPr>
        <w:rFonts w:ascii="Georgia" w:hAnsi="Georgia"/>
        <w:lang w:val="es-ES"/>
      </w:rPr>
    </w:pPr>
    <w:r w:rsidRPr="00DB34BE">
      <w:rPr>
        <w:rFonts w:ascii="Georgia" w:hAnsi="Georgia" w:cs="Arial"/>
        <w:spacing w:val="20"/>
        <w:w w:val="200"/>
        <w:sz w:val="10"/>
        <w:szCs w:val="10"/>
        <w:lang w:val="es-ES"/>
      </w:rPr>
      <w:t xml:space="preserve">MP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UBERNEY</w:t>
    </w:r>
    <w:r w:rsidR="00800C57" w:rsidRPr="00DB34BE">
      <w:rPr>
        <w:rFonts w:ascii="Georgia" w:hAnsi="Georgia" w:cs="Arial"/>
        <w:spacing w:val="20"/>
        <w:w w:val="200"/>
        <w:sz w:val="8"/>
        <w:szCs w:val="10"/>
        <w:lang w:val="es-ES"/>
      </w:rPr>
      <w:t xml:space="preserve">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RISALES</w:t>
    </w:r>
    <w:r w:rsidR="00800C57" w:rsidRPr="00DB34BE">
      <w:rPr>
        <w:rFonts w:ascii="Georgia" w:hAnsi="Georgia" w:cs="Arial"/>
        <w:spacing w:val="20"/>
        <w:w w:val="200"/>
        <w:sz w:val="8"/>
        <w:szCs w:val="10"/>
        <w:lang w:val="es-ES"/>
      </w:rPr>
      <w:t xml:space="preserve">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C53999" w:rsidRDefault="003913E3"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A76" w:rsidRDefault="006F4A76" w:rsidP="002F20AB">
      <w:r>
        <w:separator/>
      </w:r>
    </w:p>
  </w:footnote>
  <w:footnote w:type="continuationSeparator" w:id="0">
    <w:p w:rsidR="006F4A76" w:rsidRDefault="006F4A76" w:rsidP="002F20AB">
      <w:r>
        <w:continuationSeparator/>
      </w:r>
    </w:p>
  </w:footnote>
  <w:footnote w:id="1">
    <w:p w:rsidR="00AF5BB9" w:rsidRPr="003E4C48" w:rsidRDefault="00AF5BB9" w:rsidP="00AF5BB9">
      <w:pPr>
        <w:pStyle w:val="Notedebasdepage"/>
        <w:jc w:val="both"/>
        <w:rPr>
          <w:lang w:val="es-ES"/>
        </w:rPr>
      </w:pPr>
      <w:r w:rsidRPr="001C6D17">
        <w:rPr>
          <w:rStyle w:val="Appelnotedebasdep"/>
          <w:lang w:val="es-CO"/>
        </w:rPr>
        <w:footnoteRef/>
      </w:r>
      <w:r w:rsidRPr="001C6D17">
        <w:rPr>
          <w:lang w:val="es-CO"/>
        </w:rPr>
        <w:t xml:space="preserve"> CSJ, Civil. Sentencia CSJ STC del 13-12-2011, radicado No.00284-02; reiterada en las STC5313-2015, STC5520-2015, STC2344-2016, y </w:t>
      </w:r>
      <w:proofErr w:type="spellStart"/>
      <w:r w:rsidRPr="001C6D17">
        <w:rPr>
          <w:lang w:val="es-CO"/>
        </w:rPr>
        <w:t>STC17754</w:t>
      </w:r>
      <w:proofErr w:type="spellEnd"/>
      <w:r w:rsidRPr="001C6D17">
        <w:rPr>
          <w:lang w:val="es-CO"/>
        </w:rPr>
        <w:t>-2017, entre otras.</w:t>
      </w:r>
    </w:p>
  </w:footnote>
  <w:footnote w:id="2">
    <w:p w:rsidR="00DB34BE" w:rsidRPr="003E4C48" w:rsidRDefault="00DB34BE" w:rsidP="00DB34BE">
      <w:pPr>
        <w:pStyle w:val="Notedebasdepage"/>
        <w:ind w:left="142" w:hanging="142"/>
        <w:jc w:val="both"/>
        <w:rPr>
          <w:lang w:val="es-ES"/>
        </w:rPr>
      </w:pPr>
      <w:r w:rsidRPr="00FA15F8">
        <w:rPr>
          <w:rStyle w:val="Appelnotedebasdep"/>
        </w:rPr>
        <w:footnoteRef/>
      </w:r>
      <w:r w:rsidRPr="003E4C48">
        <w:rPr>
          <w:lang w:val="es-ES"/>
        </w:rPr>
        <w:t xml:space="preserve"> QUINCHE R., Manuel F. Vías de hecho, acción de tutela contra providencias, Temis </w:t>
      </w:r>
      <w:proofErr w:type="spellStart"/>
      <w:r w:rsidRPr="003E4C48">
        <w:rPr>
          <w:lang w:val="es-ES"/>
        </w:rPr>
        <w:t>SA</w:t>
      </w:r>
      <w:proofErr w:type="spellEnd"/>
      <w:r w:rsidRPr="003E4C48">
        <w:rPr>
          <w:lang w:val="es-ES"/>
        </w:rPr>
        <w:t xml:space="preserve">, Bogotá, 2013,    </w:t>
      </w:r>
      <w:proofErr w:type="spellStart"/>
      <w:r w:rsidRPr="003E4C48">
        <w:rPr>
          <w:lang w:val="es-ES"/>
        </w:rPr>
        <w:t>p.103</w:t>
      </w:r>
      <w:proofErr w:type="spellEnd"/>
      <w:r w:rsidRPr="003E4C48">
        <w:rPr>
          <w:lang w:val="es-ES"/>
        </w:rPr>
        <w:t>.</w:t>
      </w:r>
    </w:p>
  </w:footnote>
  <w:footnote w:id="3">
    <w:p w:rsidR="00DB34BE" w:rsidRPr="003E4C48" w:rsidRDefault="00DB34BE" w:rsidP="00DB34BE">
      <w:pPr>
        <w:pStyle w:val="Notedebasdepage"/>
        <w:ind w:left="142" w:hanging="142"/>
        <w:jc w:val="both"/>
        <w:rPr>
          <w:lang w:val="es-ES"/>
        </w:rPr>
      </w:pPr>
      <w:r w:rsidRPr="00FA15F8">
        <w:rPr>
          <w:rStyle w:val="Appelnotedebasdep"/>
        </w:rPr>
        <w:footnoteRef/>
      </w:r>
      <w:r w:rsidRPr="003E4C48">
        <w:rPr>
          <w:lang w:val="es-ES"/>
        </w:rPr>
        <w:t xml:space="preserve"> QUIROGA N., Édgar A. Tutela contra decisiones judiciales, Universidad Santo Tomás y editorial Ibáñez, Bogotá  DC, 2014, </w:t>
      </w:r>
      <w:proofErr w:type="spellStart"/>
      <w:r w:rsidRPr="003E4C48">
        <w:rPr>
          <w:lang w:val="es-ES"/>
        </w:rPr>
        <w:t>p.83</w:t>
      </w:r>
      <w:proofErr w:type="spellEnd"/>
      <w:r w:rsidRPr="003E4C48">
        <w:rPr>
          <w:lang w:val="es-ES"/>
        </w:rPr>
        <w:t>.</w:t>
      </w:r>
    </w:p>
  </w:footnote>
  <w:footnote w:id="4">
    <w:p w:rsidR="00DB34BE" w:rsidRPr="003E4C48" w:rsidRDefault="00DB34BE" w:rsidP="00DB34BE">
      <w:pPr>
        <w:pStyle w:val="Notedebasdepage"/>
        <w:jc w:val="both"/>
        <w:rPr>
          <w:lang w:val="fr-FR"/>
        </w:rPr>
      </w:pPr>
      <w:r w:rsidRPr="00FA15F8">
        <w:rPr>
          <w:rStyle w:val="Appelnotedebasdep"/>
        </w:rPr>
        <w:footnoteRef/>
      </w:r>
      <w:r w:rsidRPr="003E4C48">
        <w:rPr>
          <w:lang w:val="fr-FR"/>
        </w:rPr>
        <w:t xml:space="preserve"> CC. T-917 de 2011.</w:t>
      </w:r>
    </w:p>
  </w:footnote>
  <w:footnote w:id="5">
    <w:p w:rsidR="00DB34BE" w:rsidRPr="003E4C48" w:rsidRDefault="00DB34BE" w:rsidP="00DB34BE">
      <w:pPr>
        <w:pStyle w:val="Notedebasdepage"/>
        <w:jc w:val="both"/>
        <w:rPr>
          <w:lang w:val="fr-FR"/>
        </w:rPr>
      </w:pPr>
      <w:r w:rsidRPr="00FA15F8">
        <w:rPr>
          <w:rStyle w:val="Appelnotedebasdep"/>
        </w:rPr>
        <w:footnoteRef/>
      </w:r>
      <w:r w:rsidRPr="003E4C48">
        <w:rPr>
          <w:lang w:val="fr-FR"/>
        </w:rPr>
        <w:t xml:space="preserve"> CC. C-590 de 2005.</w:t>
      </w:r>
    </w:p>
  </w:footnote>
  <w:footnote w:id="6">
    <w:p w:rsidR="00DB34BE" w:rsidRPr="003E4C48" w:rsidRDefault="00DB34BE" w:rsidP="00DB34BE">
      <w:pPr>
        <w:pStyle w:val="Notedebasdepage"/>
        <w:jc w:val="both"/>
        <w:rPr>
          <w:lang w:val="fr-FR"/>
        </w:rPr>
      </w:pPr>
      <w:r w:rsidRPr="00FA15F8">
        <w:rPr>
          <w:rStyle w:val="Appelnotedebasdep"/>
        </w:rPr>
        <w:footnoteRef/>
      </w:r>
      <w:r w:rsidRPr="003E4C48">
        <w:rPr>
          <w:lang w:val="fr-FR"/>
        </w:rPr>
        <w:t xml:space="preserve"> CC. </w:t>
      </w:r>
      <w:proofErr w:type="spellStart"/>
      <w:r w:rsidRPr="003E4C48">
        <w:rPr>
          <w:bCs/>
          <w:lang w:val="fr-FR"/>
        </w:rPr>
        <w:t>SU-222</w:t>
      </w:r>
      <w:proofErr w:type="spellEnd"/>
      <w:r w:rsidRPr="003E4C48">
        <w:rPr>
          <w:bCs/>
          <w:lang w:val="fr-FR"/>
        </w:rPr>
        <w:t xml:space="preserve"> de 2016</w:t>
      </w:r>
      <w:r w:rsidRPr="003E4C48">
        <w:rPr>
          <w:lang w:val="fr-FR"/>
        </w:rPr>
        <w:t>.</w:t>
      </w:r>
    </w:p>
  </w:footnote>
  <w:footnote w:id="7">
    <w:p w:rsidR="00DB34BE" w:rsidRPr="003E4C48" w:rsidRDefault="00DB34BE" w:rsidP="00DB34BE">
      <w:pPr>
        <w:pStyle w:val="Notedebasdepage"/>
        <w:jc w:val="both"/>
        <w:rPr>
          <w:lang w:val="fr-FR"/>
        </w:rPr>
      </w:pPr>
      <w:r w:rsidRPr="00FA15F8">
        <w:rPr>
          <w:rStyle w:val="Appelnotedebasdep"/>
        </w:rPr>
        <w:footnoteRef/>
      </w:r>
      <w:r w:rsidRPr="003E4C48">
        <w:rPr>
          <w:lang w:val="fr-FR"/>
        </w:rPr>
        <w:t xml:space="preserve"> CC. T</w:t>
      </w:r>
      <w:r w:rsidRPr="003E4C48">
        <w:rPr>
          <w:bCs/>
          <w:lang w:val="fr-FR"/>
        </w:rPr>
        <w:t>-137 de 2017</w:t>
      </w:r>
      <w:r w:rsidRPr="003E4C48">
        <w:rPr>
          <w:lang w:val="fr-FR"/>
        </w:rPr>
        <w:t>.</w:t>
      </w:r>
    </w:p>
  </w:footnote>
  <w:footnote w:id="8">
    <w:p w:rsidR="00DB34BE" w:rsidRPr="003E4C48" w:rsidRDefault="00DB34BE" w:rsidP="00DB34BE">
      <w:pPr>
        <w:pStyle w:val="Notedebasdepage"/>
        <w:rPr>
          <w:lang w:val="es-ES"/>
        </w:rPr>
      </w:pPr>
      <w:r w:rsidRPr="00FA15F8">
        <w:rPr>
          <w:rStyle w:val="Appelnotedebasdep"/>
        </w:rPr>
        <w:footnoteRef/>
      </w:r>
      <w:r w:rsidRPr="003E4C48">
        <w:rPr>
          <w:lang w:val="es-ES"/>
        </w:rPr>
        <w:t xml:space="preserve"> </w:t>
      </w:r>
      <w:r w:rsidRPr="00FA15F8">
        <w:rPr>
          <w:lang w:val="es-MX"/>
        </w:rPr>
        <w:t>CC. T-307 de 2015.</w:t>
      </w:r>
    </w:p>
  </w:footnote>
  <w:footnote w:id="9">
    <w:p w:rsidR="00DB34BE" w:rsidRPr="003E4C48" w:rsidRDefault="00DB34BE" w:rsidP="00DB34BE">
      <w:pPr>
        <w:pStyle w:val="Notedebasdepage"/>
        <w:ind w:left="142" w:hanging="142"/>
        <w:jc w:val="both"/>
        <w:rPr>
          <w:lang w:val="es-ES"/>
        </w:rPr>
      </w:pPr>
      <w:r w:rsidRPr="00FA15F8">
        <w:rPr>
          <w:vertAlign w:val="superscript"/>
        </w:rPr>
        <w:footnoteRef/>
      </w:r>
      <w:r w:rsidRPr="003E4C48">
        <w:rPr>
          <w:lang w:val="es-ES"/>
        </w:rPr>
        <w:t xml:space="preserve"> ESCUELA JUDICIAL RODRIGO LARA BONILLA. La acción de tutela en el ordenamiento constitucional colombiano, Universidad Nacional de Colombia, Catalina Botero Marino, </w:t>
      </w:r>
      <w:proofErr w:type="spellStart"/>
      <w:r w:rsidRPr="003E4C48">
        <w:rPr>
          <w:lang w:val="es-ES"/>
        </w:rPr>
        <w:t>Ediprime</w:t>
      </w:r>
      <w:proofErr w:type="spellEnd"/>
      <w:r w:rsidRPr="003E4C48">
        <w:rPr>
          <w:lang w:val="es-ES"/>
        </w:rPr>
        <w:t xml:space="preserve"> Ltda., 2006, </w:t>
      </w:r>
      <w:proofErr w:type="spellStart"/>
      <w:r w:rsidRPr="003E4C48">
        <w:rPr>
          <w:lang w:val="es-ES"/>
        </w:rPr>
        <w:t>p.61</w:t>
      </w:r>
      <w:proofErr w:type="spellEnd"/>
      <w:r w:rsidRPr="003E4C48">
        <w:rPr>
          <w:lang w:val="es-ES"/>
        </w:rPr>
        <w:t>-75.</w:t>
      </w:r>
    </w:p>
  </w:footnote>
  <w:footnote w:id="10">
    <w:p w:rsidR="00DB34BE" w:rsidRPr="00FA15F8" w:rsidRDefault="00DB34BE" w:rsidP="00DB34BE">
      <w:pPr>
        <w:pStyle w:val="Notedebasdepage"/>
        <w:jc w:val="both"/>
        <w:rPr>
          <w:lang w:val="es-CO"/>
        </w:rPr>
      </w:pPr>
      <w:r w:rsidRPr="00FA15F8">
        <w:rPr>
          <w:rStyle w:val="Appelnotedebasdep"/>
          <w:lang w:val="es-CO"/>
        </w:rPr>
        <w:footnoteRef/>
      </w:r>
      <w:r w:rsidRPr="00FA15F8">
        <w:rPr>
          <w:lang w:val="es-CO"/>
        </w:rPr>
        <w:t xml:space="preserve"> QUINCHE R., Manuel F. La acción de tutela, el amparo en Colombia, Bogotá DC, 2011, p.233-285.</w:t>
      </w:r>
    </w:p>
  </w:footnote>
  <w:footnote w:id="11">
    <w:p w:rsidR="00FA15F8" w:rsidRPr="003E4C48" w:rsidRDefault="00FA15F8" w:rsidP="00FA15F8">
      <w:pPr>
        <w:pStyle w:val="Notedebasdepage"/>
        <w:jc w:val="both"/>
        <w:rPr>
          <w:lang w:val="fr-FR"/>
        </w:rPr>
      </w:pPr>
      <w:r w:rsidRPr="00FA15F8">
        <w:rPr>
          <w:rStyle w:val="Appelnotedebasdep"/>
        </w:rPr>
        <w:footnoteRef/>
      </w:r>
      <w:r w:rsidRPr="003E4C48">
        <w:rPr>
          <w:lang w:val="fr-FR"/>
        </w:rPr>
        <w:t xml:space="preserve"> CC. T-231 de 1994.</w:t>
      </w:r>
    </w:p>
  </w:footnote>
  <w:footnote w:id="12">
    <w:p w:rsidR="00FA15F8" w:rsidRPr="003E4C48" w:rsidRDefault="00FA15F8" w:rsidP="00FA15F8">
      <w:pPr>
        <w:pStyle w:val="Notedebasdepage"/>
        <w:jc w:val="both"/>
        <w:rPr>
          <w:lang w:val="fr-FR"/>
        </w:rPr>
      </w:pPr>
      <w:r w:rsidRPr="00FA15F8">
        <w:rPr>
          <w:rStyle w:val="Appelnotedebasdep"/>
        </w:rPr>
        <w:footnoteRef/>
      </w:r>
      <w:r w:rsidRPr="003E4C48">
        <w:rPr>
          <w:lang w:val="fr-FR"/>
        </w:rPr>
        <w:t xml:space="preserve"> CC. T-831 de 2012.</w:t>
      </w:r>
    </w:p>
  </w:footnote>
  <w:footnote w:id="13">
    <w:p w:rsidR="00FA15F8" w:rsidRPr="003E4C48" w:rsidRDefault="00FA15F8" w:rsidP="00FA15F8">
      <w:pPr>
        <w:pStyle w:val="Notedebasdepage"/>
        <w:jc w:val="both"/>
        <w:rPr>
          <w:lang w:val="es-ES"/>
        </w:rPr>
      </w:pPr>
      <w:r w:rsidRPr="00FA15F8">
        <w:rPr>
          <w:rStyle w:val="Appelnotedebasdep"/>
        </w:rPr>
        <w:footnoteRef/>
      </w:r>
      <w:r w:rsidRPr="003E4C48">
        <w:rPr>
          <w:lang w:val="es-ES"/>
        </w:rPr>
        <w:t xml:space="preserve"> QUINCHE RAMÍREZ, Manuel Fernando. La acción de tutela, el amparo en Colombia, Bogotá DC, 2011, </w:t>
      </w:r>
      <w:proofErr w:type="spellStart"/>
      <w:r w:rsidRPr="003E4C48">
        <w:rPr>
          <w:lang w:val="es-ES"/>
        </w:rPr>
        <w:t>p.268</w:t>
      </w:r>
      <w:proofErr w:type="spellEnd"/>
      <w:r w:rsidRPr="003E4C48">
        <w:rPr>
          <w:lang w:val="es-ES"/>
        </w:rPr>
        <w:t>.</w:t>
      </w:r>
    </w:p>
  </w:footnote>
  <w:footnote w:id="14">
    <w:p w:rsidR="00FA15F8" w:rsidRPr="003E4C48" w:rsidRDefault="00FA15F8" w:rsidP="00FA15F8">
      <w:pPr>
        <w:pStyle w:val="Notedebasdepage"/>
        <w:jc w:val="both"/>
        <w:rPr>
          <w:lang w:val="fr-FR"/>
        </w:rPr>
      </w:pPr>
      <w:r w:rsidRPr="00FA15F8">
        <w:rPr>
          <w:vertAlign w:val="superscript"/>
        </w:rPr>
        <w:footnoteRef/>
      </w:r>
      <w:r w:rsidRPr="003E4C48">
        <w:rPr>
          <w:lang w:val="fr-FR"/>
        </w:rPr>
        <w:t xml:space="preserve"> CC. T-573 de 1997.</w:t>
      </w:r>
    </w:p>
  </w:footnote>
  <w:footnote w:id="15">
    <w:p w:rsidR="00FA15F8" w:rsidRPr="003E4C48" w:rsidRDefault="00FA15F8" w:rsidP="00FA15F8">
      <w:pPr>
        <w:pStyle w:val="Notedebasdepage"/>
        <w:jc w:val="both"/>
        <w:rPr>
          <w:lang w:val="fr-FR"/>
        </w:rPr>
      </w:pPr>
      <w:r w:rsidRPr="00FA15F8">
        <w:rPr>
          <w:vertAlign w:val="superscript"/>
        </w:rPr>
        <w:footnoteRef/>
      </w:r>
      <w:r w:rsidRPr="003E4C48">
        <w:rPr>
          <w:lang w:val="fr-FR"/>
        </w:rPr>
        <w:t xml:space="preserve"> CC. T-567 de 1998.</w:t>
      </w:r>
    </w:p>
  </w:footnote>
  <w:footnote w:id="16">
    <w:p w:rsidR="00FA15F8" w:rsidRPr="003E4C48" w:rsidRDefault="00FA15F8" w:rsidP="00FA15F8">
      <w:pPr>
        <w:pStyle w:val="Notedebasdepage"/>
        <w:jc w:val="both"/>
        <w:rPr>
          <w:lang w:val="fr-FR"/>
        </w:rPr>
      </w:pPr>
      <w:r w:rsidRPr="00FA15F8">
        <w:rPr>
          <w:vertAlign w:val="superscript"/>
        </w:rPr>
        <w:footnoteRef/>
      </w:r>
      <w:r w:rsidRPr="003E4C48">
        <w:rPr>
          <w:lang w:val="fr-FR"/>
        </w:rPr>
        <w:t xml:space="preserve"> CC. T-001 de 1999.</w:t>
      </w:r>
    </w:p>
  </w:footnote>
  <w:footnote w:id="17">
    <w:p w:rsidR="00FA15F8" w:rsidRPr="003E4C48" w:rsidRDefault="00FA15F8" w:rsidP="00FA15F8">
      <w:pPr>
        <w:pStyle w:val="Notedebasdepage"/>
        <w:rPr>
          <w:lang w:val="fr-FR"/>
        </w:rPr>
      </w:pPr>
      <w:r w:rsidRPr="00FA15F8">
        <w:rPr>
          <w:rStyle w:val="Appelnotedebasdep"/>
        </w:rPr>
        <w:footnoteRef/>
      </w:r>
      <w:r w:rsidRPr="003E4C48">
        <w:rPr>
          <w:lang w:val="fr-FR"/>
        </w:rPr>
        <w:t xml:space="preserve"> CC. </w:t>
      </w:r>
      <w:proofErr w:type="spellStart"/>
      <w:r w:rsidRPr="003E4C48">
        <w:rPr>
          <w:lang w:val="fr-FR"/>
        </w:rPr>
        <w:t>SU-949</w:t>
      </w:r>
      <w:proofErr w:type="spellEnd"/>
      <w:r w:rsidRPr="003E4C48">
        <w:rPr>
          <w:lang w:val="fr-FR"/>
        </w:rPr>
        <w:t xml:space="preserve"> de 2014 y T-192 de 2015.</w:t>
      </w:r>
    </w:p>
  </w:footnote>
  <w:footnote w:id="18">
    <w:p w:rsidR="00FA15F8" w:rsidRPr="00FA15F8" w:rsidRDefault="00FA15F8" w:rsidP="00FA15F8">
      <w:pPr>
        <w:pStyle w:val="Notedebasdepage"/>
        <w:rPr>
          <w:lang w:val="es-CO"/>
        </w:rPr>
      </w:pPr>
      <w:r w:rsidRPr="00FA15F8">
        <w:rPr>
          <w:rStyle w:val="Appelnotedebasdep"/>
        </w:rPr>
        <w:footnoteRef/>
      </w:r>
      <w:r w:rsidRPr="003E4C48">
        <w:rPr>
          <w:lang w:val="es-ES"/>
        </w:rPr>
        <w:t xml:space="preserve"> </w:t>
      </w:r>
      <w:r w:rsidRPr="00FA15F8">
        <w:rPr>
          <w:lang w:val="es-MX"/>
        </w:rPr>
        <w:t>CC. SU-949 de 2014.</w:t>
      </w:r>
      <w:r w:rsidRPr="00FA15F8">
        <w:rPr>
          <w:lang w:val="es-CO"/>
        </w:rPr>
        <w:t xml:space="preserve"> </w:t>
      </w:r>
    </w:p>
  </w:footnote>
  <w:footnote w:id="19">
    <w:p w:rsidR="00FA15F8" w:rsidRPr="001B386E" w:rsidRDefault="00FA15F8" w:rsidP="00FA15F8">
      <w:pPr>
        <w:pStyle w:val="Notedebasdepage"/>
        <w:rPr>
          <w:rFonts w:asciiTheme="minorHAnsi" w:hAnsiTheme="minorHAnsi"/>
          <w:lang w:val="es-CO"/>
        </w:rPr>
      </w:pPr>
      <w:r w:rsidRPr="00FA15F8">
        <w:rPr>
          <w:rStyle w:val="Appelnotedebasdep"/>
        </w:rPr>
        <w:footnoteRef/>
      </w:r>
      <w:r w:rsidRPr="003E4C48">
        <w:rPr>
          <w:lang w:val="es-ES"/>
        </w:rPr>
        <w:t xml:space="preserve"> CC. </w:t>
      </w:r>
      <w:r w:rsidRPr="00FA15F8">
        <w:rPr>
          <w:bCs/>
          <w:lang w:val="es-MX"/>
        </w:rPr>
        <w:t>SU-050 de 2017, T-233 de 2017 y T-235 de 2017.</w:t>
      </w:r>
    </w:p>
  </w:footnote>
  <w:footnote w:id="20">
    <w:p w:rsidR="00173FB1" w:rsidRPr="00173FB1" w:rsidRDefault="00173FB1">
      <w:pPr>
        <w:pStyle w:val="Notedebasdepage"/>
        <w:rPr>
          <w:lang w:val="es-CO"/>
        </w:rPr>
      </w:pPr>
      <w:r>
        <w:rPr>
          <w:rStyle w:val="Appelnotedebasdep"/>
        </w:rPr>
        <w:footnoteRef/>
      </w:r>
      <w:r w:rsidRPr="003E4C48">
        <w:rPr>
          <w:lang w:val="es-ES"/>
        </w:rPr>
        <w:t xml:space="preserve"> </w:t>
      </w:r>
      <w:r>
        <w:rPr>
          <w:lang w:val="es-CO"/>
        </w:rPr>
        <w:t xml:space="preserve">ROJAS G., Miguel E. Salto al código general del proceso. </w:t>
      </w:r>
      <w:proofErr w:type="spellStart"/>
      <w:r>
        <w:rPr>
          <w:lang w:val="es-CO"/>
        </w:rPr>
        <w:t>Esaju</w:t>
      </w:r>
      <w:proofErr w:type="spellEnd"/>
      <w:r>
        <w:rPr>
          <w:lang w:val="es-CO"/>
        </w:rPr>
        <w:t xml:space="preserve">, Bogotá, 2016, </w:t>
      </w:r>
      <w:proofErr w:type="spellStart"/>
      <w:r>
        <w:rPr>
          <w:lang w:val="es-CO"/>
        </w:rPr>
        <w:t>p.76</w:t>
      </w:r>
      <w:proofErr w:type="spellEnd"/>
      <w:r>
        <w:rPr>
          <w:lang w:val="es-CO"/>
        </w:rPr>
        <w:t>.</w:t>
      </w:r>
    </w:p>
  </w:footnote>
  <w:footnote w:id="21">
    <w:p w:rsidR="00173FB1" w:rsidRPr="003E4C48" w:rsidRDefault="00173FB1" w:rsidP="00173FB1">
      <w:pPr>
        <w:pStyle w:val="Notedebasdepage"/>
        <w:jc w:val="both"/>
        <w:rPr>
          <w:lang w:val="es-ES"/>
        </w:rPr>
      </w:pPr>
      <w:r w:rsidRPr="001C6D17">
        <w:rPr>
          <w:rStyle w:val="Appelnotedebasdep"/>
        </w:rPr>
        <w:footnoteRef/>
      </w:r>
      <w:r w:rsidRPr="003E4C48">
        <w:rPr>
          <w:lang w:val="es-ES"/>
        </w:rPr>
        <w:t xml:space="preserve"> </w:t>
      </w:r>
      <w:r w:rsidRPr="003E4C48">
        <w:rPr>
          <w:sz w:val="18"/>
          <w:szCs w:val="18"/>
          <w:lang w:val="es-CO"/>
        </w:rPr>
        <w:t xml:space="preserve">CORREA H., Néstor R. Derecho procesal de la acción de tutela, editorial Grupo editorial Ibáñez, Bogotá DC, 2010, </w:t>
      </w:r>
      <w:proofErr w:type="spellStart"/>
      <w:r w:rsidRPr="003E4C48">
        <w:rPr>
          <w:sz w:val="18"/>
          <w:szCs w:val="18"/>
          <w:lang w:val="es-CO"/>
        </w:rPr>
        <w:t>P.192</w:t>
      </w:r>
      <w:proofErr w:type="spellEnd"/>
      <w:r w:rsidRPr="003E4C48">
        <w:rPr>
          <w:sz w:val="18"/>
          <w:szCs w:val="18"/>
          <w:lang w:val="es-CO"/>
        </w:rPr>
        <w:t>.</w:t>
      </w:r>
    </w:p>
  </w:footnote>
  <w:footnote w:id="22">
    <w:p w:rsidR="00173FB1" w:rsidRPr="003E4C48" w:rsidRDefault="00173FB1" w:rsidP="00173FB1">
      <w:pPr>
        <w:pStyle w:val="Notedebasdepage"/>
        <w:jc w:val="both"/>
        <w:rPr>
          <w:lang w:val="fr-FR"/>
        </w:rPr>
      </w:pPr>
      <w:r w:rsidRPr="001C6D17">
        <w:rPr>
          <w:rStyle w:val="Appelnotedebasdep"/>
        </w:rPr>
        <w:footnoteRef/>
      </w:r>
      <w:r w:rsidRPr="003E4C48">
        <w:rPr>
          <w:lang w:val="fr-FR"/>
        </w:rPr>
        <w:t xml:space="preserve"> CC. T-002 de 2009</w:t>
      </w:r>
      <w:r w:rsidRPr="003E4C48">
        <w:rPr>
          <w:bCs/>
          <w:lang w:val="fr-FR"/>
        </w:rPr>
        <w:t>.</w:t>
      </w:r>
    </w:p>
  </w:footnote>
  <w:footnote w:id="23">
    <w:p w:rsidR="00173FB1" w:rsidRDefault="00173FB1" w:rsidP="00173FB1">
      <w:pPr>
        <w:pStyle w:val="Corpsdetexte"/>
        <w:spacing w:line="360" w:lineRule="auto"/>
      </w:pPr>
      <w:r w:rsidRPr="001C6D17">
        <w:rPr>
          <w:rStyle w:val="Appelnotedebasdep"/>
          <w:rFonts w:ascii="Times New Roman" w:hAnsi="Times New Roman"/>
        </w:rPr>
        <w:footnoteRef/>
      </w:r>
      <w:r w:rsidRPr="003E4C48">
        <w:rPr>
          <w:rFonts w:ascii="Times New Roman" w:hAnsi="Times New Roman"/>
          <w:lang w:val="fr-FR"/>
        </w:rPr>
        <w:t xml:space="preserve"> </w:t>
      </w:r>
      <w:proofErr w:type="spellStart"/>
      <w:r w:rsidRPr="003E4C48">
        <w:rPr>
          <w:rFonts w:ascii="Times New Roman" w:hAnsi="Times New Roman"/>
          <w:lang w:val="fr-FR"/>
        </w:rPr>
        <w:t>TS</w:t>
      </w:r>
      <w:proofErr w:type="spellEnd"/>
      <w:r w:rsidRPr="003E4C48">
        <w:rPr>
          <w:rFonts w:ascii="Times New Roman" w:hAnsi="Times New Roman"/>
          <w:lang w:val="fr-FR"/>
        </w:rPr>
        <w:t>, Pereira, Civil-</w:t>
      </w:r>
      <w:proofErr w:type="spellStart"/>
      <w:r w:rsidRPr="003E4C48">
        <w:rPr>
          <w:rFonts w:ascii="Times New Roman" w:hAnsi="Times New Roman"/>
          <w:lang w:val="fr-FR"/>
        </w:rPr>
        <w:t>Familia</w:t>
      </w:r>
      <w:proofErr w:type="spellEnd"/>
      <w:r w:rsidRPr="003E4C48">
        <w:rPr>
          <w:rFonts w:ascii="Times New Roman" w:hAnsi="Times New Roman"/>
          <w:lang w:val="fr-FR"/>
        </w:rPr>
        <w:t xml:space="preserve">. </w:t>
      </w:r>
      <w:r w:rsidRPr="001C6D17">
        <w:rPr>
          <w:rFonts w:ascii="Times New Roman" w:hAnsi="Times New Roman"/>
          <w:lang w:val="es-CO"/>
        </w:rPr>
        <w:t xml:space="preserve">Sentencia del 27-07-2017; MP: Grisales H., </w:t>
      </w:r>
      <w:r w:rsidRPr="001C6D17">
        <w:rPr>
          <w:rFonts w:ascii="Times New Roman" w:hAnsi="Times New Roman"/>
        </w:rPr>
        <w:t>2017-00018-02</w:t>
      </w:r>
      <w:r>
        <w:rPr>
          <w:rFonts w:ascii="Times New Roman" w:hAnsi="Times New Roman"/>
        </w:rPr>
        <w:t>, entre otras</w:t>
      </w:r>
      <w:r w:rsidRPr="001C6D17">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Default="00343387" w:rsidP="006E1629">
    <w:pPr>
      <w:pStyle w:val="En-tte"/>
      <w:framePr w:wrap="around" w:vAnchor="text" w:hAnchor="margin" w:xAlign="right" w:y="1"/>
      <w:rPr>
        <w:rStyle w:val="Numrodepage"/>
        <w:rFonts w:cs="Verdana"/>
      </w:rPr>
    </w:pPr>
    <w:r>
      <w:rPr>
        <w:rStyle w:val="Numrodepage"/>
        <w:rFonts w:cs="Verdana"/>
      </w:rPr>
      <w:fldChar w:fldCharType="begin"/>
    </w:r>
    <w:r w:rsidR="003913E3">
      <w:rPr>
        <w:rStyle w:val="Numrodepage"/>
        <w:rFonts w:cs="Verdana"/>
      </w:rPr>
      <w:instrText xml:space="preserve">PAGE  </w:instrText>
    </w:r>
    <w:r>
      <w:rPr>
        <w:rStyle w:val="Numrodepage"/>
        <w:rFonts w:cs="Verdana"/>
      </w:rPr>
      <w:fldChar w:fldCharType="separate"/>
    </w:r>
    <w:r w:rsidR="000F2638">
      <w:rPr>
        <w:rStyle w:val="Numrodepage"/>
        <w:rFonts w:cs="Verdana"/>
        <w:noProof/>
      </w:rPr>
      <w:t>4</w:t>
    </w:r>
    <w:r>
      <w:rPr>
        <w:rStyle w:val="Numrodepage"/>
        <w:rFonts w:cs="Verdana"/>
      </w:rPr>
      <w:fldChar w:fldCharType="end"/>
    </w:r>
  </w:p>
  <w:p w:rsidR="003913E3" w:rsidRDefault="003913E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DB34BE" w:rsidRDefault="003913E3">
    <w:pPr>
      <w:pStyle w:val="En-tte"/>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00343387"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00343387" w:rsidRPr="00DB34BE">
      <w:rPr>
        <w:rFonts w:ascii="Georgia" w:hAnsi="Georgia"/>
        <w:sz w:val="22"/>
        <w:lang w:val="es-CO"/>
      </w:rPr>
      <w:fldChar w:fldCharType="separate"/>
    </w:r>
    <w:r w:rsidR="003E4C48">
      <w:rPr>
        <w:rFonts w:ascii="Georgia" w:hAnsi="Georgia"/>
        <w:noProof/>
        <w:sz w:val="22"/>
        <w:lang w:val="es-CO"/>
      </w:rPr>
      <w:t>1</w:t>
    </w:r>
    <w:r w:rsidR="00343387" w:rsidRPr="00DB34BE">
      <w:rPr>
        <w:rFonts w:ascii="Georgia" w:hAnsi="Georgia"/>
        <w:sz w:val="22"/>
        <w:lang w:val="es-CO"/>
      </w:rPr>
      <w:fldChar w:fldCharType="end"/>
    </w:r>
  </w:p>
  <w:p w:rsidR="003913E3" w:rsidRPr="00DB34BE" w:rsidRDefault="003913E3" w:rsidP="006F562A">
    <w:pPr>
      <w:pStyle w:val="En-tte"/>
      <w:ind w:right="360"/>
      <w:jc w:val="both"/>
      <w:rPr>
        <w:rFonts w:ascii="Georgia" w:hAnsi="Georgia" w:cs="Calibri"/>
        <w:i/>
      </w:rPr>
    </w:pPr>
    <w:r w:rsidRPr="00DB34BE">
      <w:rPr>
        <w:rFonts w:ascii="Georgia" w:hAnsi="Georgia" w:cs="Calibri"/>
        <w:i/>
        <w:sz w:val="20"/>
        <w:szCs w:val="20"/>
      </w:rPr>
      <w:t>EXPEDIENTE No.</w:t>
    </w:r>
    <w:r w:rsidR="002A7D9F" w:rsidRPr="00DB34BE">
      <w:rPr>
        <w:rFonts w:ascii="Georgia" w:hAnsi="Georgia" w:cs="Calibri"/>
        <w:i/>
        <w:sz w:val="20"/>
        <w:szCs w:val="20"/>
      </w:rPr>
      <w:t>2017-</w:t>
    </w:r>
    <w:r w:rsidR="001B5C92">
      <w:rPr>
        <w:rFonts w:ascii="Georgia" w:hAnsi="Georgia" w:cs="Calibri"/>
        <w:i/>
        <w:sz w:val="20"/>
        <w:szCs w:val="20"/>
      </w:rPr>
      <w:t>00066</w:t>
    </w:r>
    <w:r w:rsidR="002A7D9F" w:rsidRPr="00DB34BE">
      <w:rPr>
        <w:rFonts w:ascii="Georgia" w:hAnsi="Georgia" w:cs="Calibri"/>
        <w:i/>
        <w:sz w:val="20"/>
        <w:szCs w:val="20"/>
      </w:rPr>
      <w:t>-</w:t>
    </w:r>
    <w:r w:rsidR="001B5C92">
      <w:rPr>
        <w:rFonts w:ascii="Georgia" w:hAnsi="Georgia" w:cs="Calibri"/>
        <w:i/>
        <w:sz w:val="20"/>
        <w:szCs w:val="20"/>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E3" w:rsidRPr="0092089F" w:rsidRDefault="00343387">
    <w:pPr>
      <w:pStyle w:val="En-tte"/>
      <w:jc w:val="right"/>
      <w:rPr>
        <w:rFonts w:ascii="Calibri" w:hAnsi="Calibri" w:cs="Calibri"/>
      </w:rPr>
    </w:pPr>
    <w:r w:rsidRPr="0092089F">
      <w:rPr>
        <w:rFonts w:ascii="Calibri" w:hAnsi="Calibri" w:cs="Calibri"/>
      </w:rPr>
      <w:fldChar w:fldCharType="begin"/>
    </w:r>
    <w:r w:rsidR="003913E3" w:rsidRPr="0092089F">
      <w:rPr>
        <w:rFonts w:ascii="Calibri" w:hAnsi="Calibri" w:cs="Calibri"/>
      </w:rPr>
      <w:instrText xml:space="preserve"> PAGE   \* MERGEFORMAT </w:instrText>
    </w:r>
    <w:r w:rsidRPr="0092089F">
      <w:rPr>
        <w:rFonts w:ascii="Calibri" w:hAnsi="Calibri" w:cs="Calibri"/>
      </w:rPr>
      <w:fldChar w:fldCharType="separate"/>
    </w:r>
    <w:r w:rsidR="003913E3">
      <w:rPr>
        <w:rFonts w:ascii="Calibri" w:hAnsi="Calibri" w:cs="Calibri"/>
        <w:noProof/>
      </w:rPr>
      <w:t>1</w:t>
    </w:r>
    <w:r w:rsidRPr="0092089F">
      <w:rPr>
        <w:rFonts w:ascii="Calibri" w:hAnsi="Calibri" w:cs="Calibri"/>
      </w:rPr>
      <w:fldChar w:fldCharType="end"/>
    </w:r>
  </w:p>
  <w:p w:rsidR="003913E3" w:rsidRDefault="003913E3"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6227172"/>
    <w:multiLevelType w:val="multilevel"/>
    <w:tmpl w:val="DAB8732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6FE85E4E"/>
    <w:multiLevelType w:val="hybridMultilevel"/>
    <w:tmpl w:val="22DA4D12"/>
    <w:lvl w:ilvl="0" w:tplc="172C4754">
      <w:start w:val="1"/>
      <w:numFmt w:val="decimal"/>
      <w:lvlText w:val="%1."/>
      <w:lvlJc w:val="left"/>
      <w:pPr>
        <w:tabs>
          <w:tab w:val="num" w:pos="360"/>
        </w:tabs>
        <w:ind w:left="360" w:hanging="360"/>
      </w:pPr>
      <w:rPr>
        <w:rFonts w:ascii="Arial" w:hAnsi="Arial" w:cs="Arial" w:hint="default"/>
        <w:sz w:val="24"/>
        <w:szCs w:val="24"/>
      </w:rPr>
    </w:lvl>
    <w:lvl w:ilvl="1" w:tplc="240A0019">
      <w:start w:val="1"/>
      <w:numFmt w:val="lowerLetter"/>
      <w:lvlText w:val="%2."/>
      <w:lvlJc w:val="left"/>
      <w:pPr>
        <w:tabs>
          <w:tab w:val="num" w:pos="1080"/>
        </w:tabs>
        <w:ind w:left="1080" w:hanging="360"/>
      </w:pPr>
    </w:lvl>
    <w:lvl w:ilvl="2" w:tplc="240A001B">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9"/>
  </w:num>
  <w:num w:numId="2">
    <w:abstractNumId w:val="29"/>
  </w:num>
  <w:num w:numId="3">
    <w:abstractNumId w:val="22"/>
  </w:num>
  <w:num w:numId="4">
    <w:abstractNumId w:val="19"/>
  </w:num>
  <w:num w:numId="5">
    <w:abstractNumId w:val="34"/>
  </w:num>
  <w:num w:numId="6">
    <w:abstractNumId w:val="20"/>
  </w:num>
  <w:num w:numId="7">
    <w:abstractNumId w:val="3"/>
  </w:num>
  <w:num w:numId="8">
    <w:abstractNumId w:val="15"/>
  </w:num>
  <w:num w:numId="9">
    <w:abstractNumId w:val="16"/>
  </w:num>
  <w:num w:numId="10">
    <w:abstractNumId w:val="2"/>
  </w:num>
  <w:num w:numId="11">
    <w:abstractNumId w:val="28"/>
  </w:num>
  <w:num w:numId="12">
    <w:abstractNumId w:val="12"/>
  </w:num>
  <w:num w:numId="13">
    <w:abstractNumId w:val="18"/>
  </w:num>
  <w:num w:numId="14">
    <w:abstractNumId w:val="38"/>
  </w:num>
  <w:num w:numId="15">
    <w:abstractNumId w:val="25"/>
  </w:num>
  <w:num w:numId="16">
    <w:abstractNumId w:val="1"/>
  </w:num>
  <w:num w:numId="17">
    <w:abstractNumId w:val="40"/>
  </w:num>
  <w:num w:numId="18">
    <w:abstractNumId w:val="26"/>
  </w:num>
  <w:num w:numId="19">
    <w:abstractNumId w:val="37"/>
  </w:num>
  <w:num w:numId="20">
    <w:abstractNumId w:val="35"/>
  </w:num>
  <w:num w:numId="21">
    <w:abstractNumId w:val="6"/>
  </w:num>
  <w:num w:numId="22">
    <w:abstractNumId w:val="0"/>
  </w:num>
  <w:num w:numId="23">
    <w:abstractNumId w:val="42"/>
  </w:num>
  <w:num w:numId="24">
    <w:abstractNumId w:val="23"/>
  </w:num>
  <w:num w:numId="25">
    <w:abstractNumId w:val="14"/>
  </w:num>
  <w:num w:numId="26">
    <w:abstractNumId w:val="17"/>
  </w:num>
  <w:num w:numId="27">
    <w:abstractNumId w:val="4"/>
  </w:num>
  <w:num w:numId="28">
    <w:abstractNumId w:val="33"/>
  </w:num>
  <w:num w:numId="29">
    <w:abstractNumId w:val="21"/>
  </w:num>
  <w:num w:numId="30">
    <w:abstractNumId w:val="13"/>
  </w:num>
  <w:num w:numId="31">
    <w:abstractNumId w:val="41"/>
  </w:num>
  <w:num w:numId="32">
    <w:abstractNumId w:val="27"/>
  </w:num>
  <w:num w:numId="33">
    <w:abstractNumId w:val="9"/>
  </w:num>
  <w:num w:numId="34">
    <w:abstractNumId w:val="31"/>
  </w:num>
  <w:num w:numId="35">
    <w:abstractNumId w:val="10"/>
  </w:num>
  <w:num w:numId="36">
    <w:abstractNumId w:val="30"/>
  </w:num>
  <w:num w:numId="37">
    <w:abstractNumId w:val="24"/>
  </w:num>
  <w:num w:numId="38">
    <w:abstractNumId w:val="5"/>
  </w:num>
  <w:num w:numId="39">
    <w:abstractNumId w:val="11"/>
  </w:num>
  <w:num w:numId="40">
    <w:abstractNumId w:val="32"/>
  </w:num>
  <w:num w:numId="41">
    <w:abstractNumId w:val="8"/>
  </w:num>
  <w:num w:numId="42">
    <w:abstractNumId w:val="7"/>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24E"/>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353ED"/>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E4F"/>
    <w:rsid w:val="0007063B"/>
    <w:rsid w:val="00072310"/>
    <w:rsid w:val="00072763"/>
    <w:rsid w:val="000727D7"/>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4565"/>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365B"/>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129C"/>
    <w:rsid w:val="00171B77"/>
    <w:rsid w:val="00171C83"/>
    <w:rsid w:val="0017206C"/>
    <w:rsid w:val="00172487"/>
    <w:rsid w:val="00172F27"/>
    <w:rsid w:val="00173244"/>
    <w:rsid w:val="00173EBC"/>
    <w:rsid w:val="00173FB1"/>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5C92"/>
    <w:rsid w:val="001B6B9C"/>
    <w:rsid w:val="001B78D2"/>
    <w:rsid w:val="001C1259"/>
    <w:rsid w:val="001C1611"/>
    <w:rsid w:val="001C2101"/>
    <w:rsid w:val="001C3246"/>
    <w:rsid w:val="001C5D56"/>
    <w:rsid w:val="001D0A6A"/>
    <w:rsid w:val="001D14A5"/>
    <w:rsid w:val="001D2702"/>
    <w:rsid w:val="001D3D53"/>
    <w:rsid w:val="001D5B0F"/>
    <w:rsid w:val="001D6658"/>
    <w:rsid w:val="001D6840"/>
    <w:rsid w:val="001D76C4"/>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7906"/>
    <w:rsid w:val="00210A59"/>
    <w:rsid w:val="00213147"/>
    <w:rsid w:val="00214468"/>
    <w:rsid w:val="00214A4A"/>
    <w:rsid w:val="00217035"/>
    <w:rsid w:val="00221B21"/>
    <w:rsid w:val="00221B6D"/>
    <w:rsid w:val="00222AC9"/>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76"/>
    <w:rsid w:val="00255E29"/>
    <w:rsid w:val="00257A0E"/>
    <w:rsid w:val="00257C43"/>
    <w:rsid w:val="002617B1"/>
    <w:rsid w:val="002640BF"/>
    <w:rsid w:val="00265452"/>
    <w:rsid w:val="0027273C"/>
    <w:rsid w:val="00275F4A"/>
    <w:rsid w:val="00280E7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503F"/>
    <w:rsid w:val="002B6043"/>
    <w:rsid w:val="002B7A49"/>
    <w:rsid w:val="002C2796"/>
    <w:rsid w:val="002C3144"/>
    <w:rsid w:val="002C3307"/>
    <w:rsid w:val="002C4CF9"/>
    <w:rsid w:val="002C763E"/>
    <w:rsid w:val="002D1038"/>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BAB"/>
    <w:rsid w:val="002F330A"/>
    <w:rsid w:val="002F3E8A"/>
    <w:rsid w:val="002F42EF"/>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8D"/>
    <w:rsid w:val="0033413E"/>
    <w:rsid w:val="00335459"/>
    <w:rsid w:val="003357EB"/>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60F1A"/>
    <w:rsid w:val="003651DF"/>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E18D8"/>
    <w:rsid w:val="003E26F1"/>
    <w:rsid w:val="003E4C48"/>
    <w:rsid w:val="003E6D15"/>
    <w:rsid w:val="003F01EC"/>
    <w:rsid w:val="003F0C87"/>
    <w:rsid w:val="003F10B4"/>
    <w:rsid w:val="003F162E"/>
    <w:rsid w:val="003F298D"/>
    <w:rsid w:val="003F6CA6"/>
    <w:rsid w:val="0040074A"/>
    <w:rsid w:val="004017E5"/>
    <w:rsid w:val="00404212"/>
    <w:rsid w:val="004046B5"/>
    <w:rsid w:val="00404829"/>
    <w:rsid w:val="00406F7C"/>
    <w:rsid w:val="0041105C"/>
    <w:rsid w:val="004134D8"/>
    <w:rsid w:val="0041414C"/>
    <w:rsid w:val="004163D7"/>
    <w:rsid w:val="00416E8B"/>
    <w:rsid w:val="0041757E"/>
    <w:rsid w:val="00417661"/>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3720"/>
    <w:rsid w:val="00444414"/>
    <w:rsid w:val="00444980"/>
    <w:rsid w:val="00444E8C"/>
    <w:rsid w:val="004453A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19A"/>
    <w:rsid w:val="00465B40"/>
    <w:rsid w:val="00467235"/>
    <w:rsid w:val="0046775F"/>
    <w:rsid w:val="00472CC5"/>
    <w:rsid w:val="00472E2D"/>
    <w:rsid w:val="00474092"/>
    <w:rsid w:val="00475C03"/>
    <w:rsid w:val="00476D6C"/>
    <w:rsid w:val="004775F3"/>
    <w:rsid w:val="004779E5"/>
    <w:rsid w:val="00480688"/>
    <w:rsid w:val="004820C7"/>
    <w:rsid w:val="004824D1"/>
    <w:rsid w:val="00483D25"/>
    <w:rsid w:val="00484A74"/>
    <w:rsid w:val="00485811"/>
    <w:rsid w:val="004858D6"/>
    <w:rsid w:val="00486576"/>
    <w:rsid w:val="0049109E"/>
    <w:rsid w:val="0049174B"/>
    <w:rsid w:val="004930CF"/>
    <w:rsid w:val="004946EE"/>
    <w:rsid w:val="00494780"/>
    <w:rsid w:val="00496952"/>
    <w:rsid w:val="004975AA"/>
    <w:rsid w:val="004A05CD"/>
    <w:rsid w:val="004A0F23"/>
    <w:rsid w:val="004A0FE6"/>
    <w:rsid w:val="004A12F7"/>
    <w:rsid w:val="004A1E39"/>
    <w:rsid w:val="004A2227"/>
    <w:rsid w:val="004A2DDC"/>
    <w:rsid w:val="004A38E3"/>
    <w:rsid w:val="004A3ADA"/>
    <w:rsid w:val="004A43C7"/>
    <w:rsid w:val="004A6E0A"/>
    <w:rsid w:val="004A7D32"/>
    <w:rsid w:val="004B1ACE"/>
    <w:rsid w:val="004B2CC3"/>
    <w:rsid w:val="004B3407"/>
    <w:rsid w:val="004B3751"/>
    <w:rsid w:val="004B47A3"/>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E7193"/>
    <w:rsid w:val="004F1BDB"/>
    <w:rsid w:val="004F31F1"/>
    <w:rsid w:val="004F448C"/>
    <w:rsid w:val="004F5D30"/>
    <w:rsid w:val="004F6583"/>
    <w:rsid w:val="004F6D6A"/>
    <w:rsid w:val="00502776"/>
    <w:rsid w:val="00503BF5"/>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3A5"/>
    <w:rsid w:val="00531544"/>
    <w:rsid w:val="00531BD6"/>
    <w:rsid w:val="00531C40"/>
    <w:rsid w:val="00532272"/>
    <w:rsid w:val="0053227F"/>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CF"/>
    <w:rsid w:val="00560AA3"/>
    <w:rsid w:val="00562995"/>
    <w:rsid w:val="00563DAB"/>
    <w:rsid w:val="00565175"/>
    <w:rsid w:val="00565450"/>
    <w:rsid w:val="005660B9"/>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6A21"/>
    <w:rsid w:val="00587194"/>
    <w:rsid w:val="00587698"/>
    <w:rsid w:val="00590CB5"/>
    <w:rsid w:val="0059311A"/>
    <w:rsid w:val="005967FC"/>
    <w:rsid w:val="00597CED"/>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8FE"/>
    <w:rsid w:val="005B2BDE"/>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0918"/>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0B6E"/>
    <w:rsid w:val="005F1392"/>
    <w:rsid w:val="005F1D7B"/>
    <w:rsid w:val="005F288E"/>
    <w:rsid w:val="005F2B51"/>
    <w:rsid w:val="005F2E3F"/>
    <w:rsid w:val="005F41A9"/>
    <w:rsid w:val="005F4CEA"/>
    <w:rsid w:val="005F6B42"/>
    <w:rsid w:val="005F70BE"/>
    <w:rsid w:val="005F7975"/>
    <w:rsid w:val="005F7E0A"/>
    <w:rsid w:val="00600602"/>
    <w:rsid w:val="00600676"/>
    <w:rsid w:val="00600AC6"/>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319B"/>
    <w:rsid w:val="006255B8"/>
    <w:rsid w:val="00625F77"/>
    <w:rsid w:val="0062698A"/>
    <w:rsid w:val="00630A34"/>
    <w:rsid w:val="0063138C"/>
    <w:rsid w:val="00631D04"/>
    <w:rsid w:val="00634D8C"/>
    <w:rsid w:val="00634E55"/>
    <w:rsid w:val="006352B7"/>
    <w:rsid w:val="00635ED8"/>
    <w:rsid w:val="0063767B"/>
    <w:rsid w:val="00637AB3"/>
    <w:rsid w:val="00640CA5"/>
    <w:rsid w:val="00641308"/>
    <w:rsid w:val="0064234D"/>
    <w:rsid w:val="00644360"/>
    <w:rsid w:val="00644F63"/>
    <w:rsid w:val="00645798"/>
    <w:rsid w:val="0064579F"/>
    <w:rsid w:val="006472F2"/>
    <w:rsid w:val="00650262"/>
    <w:rsid w:val="006507EA"/>
    <w:rsid w:val="0065133D"/>
    <w:rsid w:val="00652D2F"/>
    <w:rsid w:val="006535FE"/>
    <w:rsid w:val="00654233"/>
    <w:rsid w:val="00654759"/>
    <w:rsid w:val="006548FB"/>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D1B00"/>
    <w:rsid w:val="006D3B8F"/>
    <w:rsid w:val="006D5236"/>
    <w:rsid w:val="006D5C64"/>
    <w:rsid w:val="006D5F62"/>
    <w:rsid w:val="006D6BA1"/>
    <w:rsid w:val="006D7214"/>
    <w:rsid w:val="006E1334"/>
    <w:rsid w:val="006E1629"/>
    <w:rsid w:val="006E1832"/>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4A76"/>
    <w:rsid w:val="006F52B4"/>
    <w:rsid w:val="006F52BC"/>
    <w:rsid w:val="006F562A"/>
    <w:rsid w:val="006F6160"/>
    <w:rsid w:val="006F695B"/>
    <w:rsid w:val="006F7014"/>
    <w:rsid w:val="0070102D"/>
    <w:rsid w:val="00701835"/>
    <w:rsid w:val="00701A66"/>
    <w:rsid w:val="00705145"/>
    <w:rsid w:val="00705675"/>
    <w:rsid w:val="00707B4A"/>
    <w:rsid w:val="007117A0"/>
    <w:rsid w:val="007118A0"/>
    <w:rsid w:val="00715A6F"/>
    <w:rsid w:val="00716B70"/>
    <w:rsid w:val="007201D5"/>
    <w:rsid w:val="0072020C"/>
    <w:rsid w:val="00720D87"/>
    <w:rsid w:val="0072250C"/>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214"/>
    <w:rsid w:val="007469AE"/>
    <w:rsid w:val="007470B5"/>
    <w:rsid w:val="00747531"/>
    <w:rsid w:val="00747ED4"/>
    <w:rsid w:val="00751924"/>
    <w:rsid w:val="00751EE2"/>
    <w:rsid w:val="007535D5"/>
    <w:rsid w:val="00753EFD"/>
    <w:rsid w:val="007552B7"/>
    <w:rsid w:val="00755DA9"/>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AAF"/>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D38"/>
    <w:rsid w:val="0082026B"/>
    <w:rsid w:val="00821AC0"/>
    <w:rsid w:val="00821FFD"/>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7554"/>
    <w:rsid w:val="008577D9"/>
    <w:rsid w:val="00860153"/>
    <w:rsid w:val="00860841"/>
    <w:rsid w:val="00860B83"/>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3FCA"/>
    <w:rsid w:val="008948DA"/>
    <w:rsid w:val="00896588"/>
    <w:rsid w:val="008966E5"/>
    <w:rsid w:val="00896FA9"/>
    <w:rsid w:val="008A2B57"/>
    <w:rsid w:val="008A49D7"/>
    <w:rsid w:val="008A4A7A"/>
    <w:rsid w:val="008B0BC9"/>
    <w:rsid w:val="008B0D88"/>
    <w:rsid w:val="008B2D04"/>
    <w:rsid w:val="008B2EEA"/>
    <w:rsid w:val="008B3C3E"/>
    <w:rsid w:val="008B615C"/>
    <w:rsid w:val="008B7331"/>
    <w:rsid w:val="008C043B"/>
    <w:rsid w:val="008C0916"/>
    <w:rsid w:val="008C0F06"/>
    <w:rsid w:val="008C24B1"/>
    <w:rsid w:val="008C3D59"/>
    <w:rsid w:val="008C42CD"/>
    <w:rsid w:val="008C4916"/>
    <w:rsid w:val="008C4B4E"/>
    <w:rsid w:val="008C50CD"/>
    <w:rsid w:val="008C7AF3"/>
    <w:rsid w:val="008D112B"/>
    <w:rsid w:val="008D1DFC"/>
    <w:rsid w:val="008D2F69"/>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76CC"/>
    <w:rsid w:val="009079F3"/>
    <w:rsid w:val="00907B47"/>
    <w:rsid w:val="0091177C"/>
    <w:rsid w:val="00913716"/>
    <w:rsid w:val="00913B35"/>
    <w:rsid w:val="00915C81"/>
    <w:rsid w:val="00916708"/>
    <w:rsid w:val="00916BD5"/>
    <w:rsid w:val="0091769E"/>
    <w:rsid w:val="00917999"/>
    <w:rsid w:val="00917BF8"/>
    <w:rsid w:val="0092089F"/>
    <w:rsid w:val="009222E2"/>
    <w:rsid w:val="0092283B"/>
    <w:rsid w:val="00922E55"/>
    <w:rsid w:val="0092352E"/>
    <w:rsid w:val="00926197"/>
    <w:rsid w:val="009262D5"/>
    <w:rsid w:val="00927162"/>
    <w:rsid w:val="0092748E"/>
    <w:rsid w:val="00931691"/>
    <w:rsid w:val="0093403F"/>
    <w:rsid w:val="00935A47"/>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3599"/>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65A1"/>
    <w:rsid w:val="009A7604"/>
    <w:rsid w:val="009A7C3E"/>
    <w:rsid w:val="009B2801"/>
    <w:rsid w:val="009B48BF"/>
    <w:rsid w:val="009B4F92"/>
    <w:rsid w:val="009B5ADC"/>
    <w:rsid w:val="009C00B3"/>
    <w:rsid w:val="009C09C8"/>
    <w:rsid w:val="009C1824"/>
    <w:rsid w:val="009C2DA9"/>
    <w:rsid w:val="009C2DAD"/>
    <w:rsid w:val="009C553D"/>
    <w:rsid w:val="009C56F5"/>
    <w:rsid w:val="009C635F"/>
    <w:rsid w:val="009C6E1A"/>
    <w:rsid w:val="009D0422"/>
    <w:rsid w:val="009D0D8E"/>
    <w:rsid w:val="009D2AA8"/>
    <w:rsid w:val="009D2AAF"/>
    <w:rsid w:val="009D2BC9"/>
    <w:rsid w:val="009D4D2B"/>
    <w:rsid w:val="009D64D9"/>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4FB"/>
    <w:rsid w:val="00A13B23"/>
    <w:rsid w:val="00A145C9"/>
    <w:rsid w:val="00A14E56"/>
    <w:rsid w:val="00A16E76"/>
    <w:rsid w:val="00A21281"/>
    <w:rsid w:val="00A231EF"/>
    <w:rsid w:val="00A23B0E"/>
    <w:rsid w:val="00A23C49"/>
    <w:rsid w:val="00A24DF3"/>
    <w:rsid w:val="00A25327"/>
    <w:rsid w:val="00A25584"/>
    <w:rsid w:val="00A25EB0"/>
    <w:rsid w:val="00A25EF0"/>
    <w:rsid w:val="00A26337"/>
    <w:rsid w:val="00A30C3F"/>
    <w:rsid w:val="00A31490"/>
    <w:rsid w:val="00A32845"/>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8F3"/>
    <w:rsid w:val="00AB190E"/>
    <w:rsid w:val="00AB2B91"/>
    <w:rsid w:val="00AB3059"/>
    <w:rsid w:val="00AB45FB"/>
    <w:rsid w:val="00AB498B"/>
    <w:rsid w:val="00AB54C2"/>
    <w:rsid w:val="00AB5D6F"/>
    <w:rsid w:val="00AB6246"/>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4CA"/>
    <w:rsid w:val="00AE45C6"/>
    <w:rsid w:val="00AE4964"/>
    <w:rsid w:val="00AE4CFE"/>
    <w:rsid w:val="00AE6C6B"/>
    <w:rsid w:val="00AE7D08"/>
    <w:rsid w:val="00AF0BF5"/>
    <w:rsid w:val="00AF0C41"/>
    <w:rsid w:val="00AF2401"/>
    <w:rsid w:val="00AF3435"/>
    <w:rsid w:val="00AF48A5"/>
    <w:rsid w:val="00AF5BB9"/>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4E93"/>
    <w:rsid w:val="00B357FD"/>
    <w:rsid w:val="00B35865"/>
    <w:rsid w:val="00B36DCA"/>
    <w:rsid w:val="00B406AE"/>
    <w:rsid w:val="00B40C21"/>
    <w:rsid w:val="00B41036"/>
    <w:rsid w:val="00B4190A"/>
    <w:rsid w:val="00B42337"/>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F95"/>
    <w:rsid w:val="00B81D1E"/>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175"/>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D3C04"/>
    <w:rsid w:val="00BD491A"/>
    <w:rsid w:val="00BD4AAF"/>
    <w:rsid w:val="00BD6B8B"/>
    <w:rsid w:val="00BD7D7B"/>
    <w:rsid w:val="00BE0BEF"/>
    <w:rsid w:val="00BE1A6B"/>
    <w:rsid w:val="00BE210F"/>
    <w:rsid w:val="00BE2865"/>
    <w:rsid w:val="00BE36BE"/>
    <w:rsid w:val="00BE4C4D"/>
    <w:rsid w:val="00BF0265"/>
    <w:rsid w:val="00BF0BA5"/>
    <w:rsid w:val="00BF1B5B"/>
    <w:rsid w:val="00BF257E"/>
    <w:rsid w:val="00BF2953"/>
    <w:rsid w:val="00BF2D53"/>
    <w:rsid w:val="00BF3CE6"/>
    <w:rsid w:val="00BF40AF"/>
    <w:rsid w:val="00BF4B32"/>
    <w:rsid w:val="00BF5774"/>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0CA"/>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4F9A"/>
    <w:rsid w:val="00C65A0F"/>
    <w:rsid w:val="00C662C1"/>
    <w:rsid w:val="00C678D8"/>
    <w:rsid w:val="00C67CA2"/>
    <w:rsid w:val="00C70F24"/>
    <w:rsid w:val="00C7546E"/>
    <w:rsid w:val="00C76997"/>
    <w:rsid w:val="00C80540"/>
    <w:rsid w:val="00C8203C"/>
    <w:rsid w:val="00C8302F"/>
    <w:rsid w:val="00C85FFF"/>
    <w:rsid w:val="00C862D7"/>
    <w:rsid w:val="00C873CC"/>
    <w:rsid w:val="00C91BBB"/>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7DFC"/>
    <w:rsid w:val="00CD09F7"/>
    <w:rsid w:val="00CD0DCC"/>
    <w:rsid w:val="00CD1570"/>
    <w:rsid w:val="00CD2CB0"/>
    <w:rsid w:val="00CD354D"/>
    <w:rsid w:val="00CD3E8C"/>
    <w:rsid w:val="00CD43FC"/>
    <w:rsid w:val="00CD461C"/>
    <w:rsid w:val="00CD4C65"/>
    <w:rsid w:val="00CD57FB"/>
    <w:rsid w:val="00CE2B49"/>
    <w:rsid w:val="00CE2BDD"/>
    <w:rsid w:val="00CE2F87"/>
    <w:rsid w:val="00CE3C23"/>
    <w:rsid w:val="00CE3DD8"/>
    <w:rsid w:val="00CF03D1"/>
    <w:rsid w:val="00CF0562"/>
    <w:rsid w:val="00CF0884"/>
    <w:rsid w:val="00CF3971"/>
    <w:rsid w:val="00CF4D81"/>
    <w:rsid w:val="00CF5E40"/>
    <w:rsid w:val="00CF667A"/>
    <w:rsid w:val="00D0039D"/>
    <w:rsid w:val="00D0089D"/>
    <w:rsid w:val="00D029BB"/>
    <w:rsid w:val="00D04012"/>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3191"/>
    <w:rsid w:val="00D2373A"/>
    <w:rsid w:val="00D23AC0"/>
    <w:rsid w:val="00D254F9"/>
    <w:rsid w:val="00D2683E"/>
    <w:rsid w:val="00D31364"/>
    <w:rsid w:val="00D32E88"/>
    <w:rsid w:val="00D33D3F"/>
    <w:rsid w:val="00D33D52"/>
    <w:rsid w:val="00D35921"/>
    <w:rsid w:val="00D37757"/>
    <w:rsid w:val="00D42F40"/>
    <w:rsid w:val="00D43C0E"/>
    <w:rsid w:val="00D4476A"/>
    <w:rsid w:val="00D44CED"/>
    <w:rsid w:val="00D460F2"/>
    <w:rsid w:val="00D47861"/>
    <w:rsid w:val="00D50671"/>
    <w:rsid w:val="00D506A1"/>
    <w:rsid w:val="00D5296C"/>
    <w:rsid w:val="00D54BF8"/>
    <w:rsid w:val="00D55245"/>
    <w:rsid w:val="00D5582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2363"/>
    <w:rsid w:val="00D82429"/>
    <w:rsid w:val="00D836BF"/>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5D8F"/>
    <w:rsid w:val="00DB6C55"/>
    <w:rsid w:val="00DB79F2"/>
    <w:rsid w:val="00DB7F28"/>
    <w:rsid w:val="00DC1800"/>
    <w:rsid w:val="00DC19DC"/>
    <w:rsid w:val="00DC1E56"/>
    <w:rsid w:val="00DC22B3"/>
    <w:rsid w:val="00DC5255"/>
    <w:rsid w:val="00DC5F9B"/>
    <w:rsid w:val="00DC624E"/>
    <w:rsid w:val="00DD196C"/>
    <w:rsid w:val="00DD20F9"/>
    <w:rsid w:val="00DD2225"/>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F2B"/>
    <w:rsid w:val="00E22306"/>
    <w:rsid w:val="00E22A58"/>
    <w:rsid w:val="00E24161"/>
    <w:rsid w:val="00E24C10"/>
    <w:rsid w:val="00E24FB8"/>
    <w:rsid w:val="00E26A5B"/>
    <w:rsid w:val="00E27F84"/>
    <w:rsid w:val="00E3227E"/>
    <w:rsid w:val="00E32841"/>
    <w:rsid w:val="00E333BA"/>
    <w:rsid w:val="00E341D8"/>
    <w:rsid w:val="00E34A00"/>
    <w:rsid w:val="00E35452"/>
    <w:rsid w:val="00E357E0"/>
    <w:rsid w:val="00E367EB"/>
    <w:rsid w:val="00E36DB7"/>
    <w:rsid w:val="00E40D31"/>
    <w:rsid w:val="00E41640"/>
    <w:rsid w:val="00E42744"/>
    <w:rsid w:val="00E4314D"/>
    <w:rsid w:val="00E4399D"/>
    <w:rsid w:val="00E46BAA"/>
    <w:rsid w:val="00E4721B"/>
    <w:rsid w:val="00E5080E"/>
    <w:rsid w:val="00E53A71"/>
    <w:rsid w:val="00E54491"/>
    <w:rsid w:val="00E549C9"/>
    <w:rsid w:val="00E55393"/>
    <w:rsid w:val="00E55471"/>
    <w:rsid w:val="00E55F7F"/>
    <w:rsid w:val="00E56AE7"/>
    <w:rsid w:val="00E56BC0"/>
    <w:rsid w:val="00E5717C"/>
    <w:rsid w:val="00E5762C"/>
    <w:rsid w:val="00E57C7E"/>
    <w:rsid w:val="00E6111C"/>
    <w:rsid w:val="00E615FF"/>
    <w:rsid w:val="00E62EE0"/>
    <w:rsid w:val="00E631F7"/>
    <w:rsid w:val="00E64553"/>
    <w:rsid w:val="00E651D2"/>
    <w:rsid w:val="00E654A0"/>
    <w:rsid w:val="00E66AB4"/>
    <w:rsid w:val="00E66BFB"/>
    <w:rsid w:val="00E67FC4"/>
    <w:rsid w:val="00E70A23"/>
    <w:rsid w:val="00E70F2E"/>
    <w:rsid w:val="00E72A3A"/>
    <w:rsid w:val="00E75008"/>
    <w:rsid w:val="00E7584C"/>
    <w:rsid w:val="00E76350"/>
    <w:rsid w:val="00E76D99"/>
    <w:rsid w:val="00E77549"/>
    <w:rsid w:val="00E77947"/>
    <w:rsid w:val="00E77D52"/>
    <w:rsid w:val="00E815F5"/>
    <w:rsid w:val="00E825D3"/>
    <w:rsid w:val="00E82C3B"/>
    <w:rsid w:val="00E82CE1"/>
    <w:rsid w:val="00E838E0"/>
    <w:rsid w:val="00E85616"/>
    <w:rsid w:val="00E86D69"/>
    <w:rsid w:val="00E91010"/>
    <w:rsid w:val="00E91403"/>
    <w:rsid w:val="00E91D64"/>
    <w:rsid w:val="00E9207C"/>
    <w:rsid w:val="00E9348C"/>
    <w:rsid w:val="00E942CB"/>
    <w:rsid w:val="00E94701"/>
    <w:rsid w:val="00E957A3"/>
    <w:rsid w:val="00E95B60"/>
    <w:rsid w:val="00E96EBF"/>
    <w:rsid w:val="00E975A9"/>
    <w:rsid w:val="00E97DCA"/>
    <w:rsid w:val="00EA1B5E"/>
    <w:rsid w:val="00EA1FB8"/>
    <w:rsid w:val="00EA2F99"/>
    <w:rsid w:val="00EA3469"/>
    <w:rsid w:val="00EA4EC2"/>
    <w:rsid w:val="00EA4F49"/>
    <w:rsid w:val="00EA4FBC"/>
    <w:rsid w:val="00EA64B7"/>
    <w:rsid w:val="00EA7C10"/>
    <w:rsid w:val="00EB007E"/>
    <w:rsid w:val="00EB078F"/>
    <w:rsid w:val="00EB0C2A"/>
    <w:rsid w:val="00EB0C80"/>
    <w:rsid w:val="00EB44BF"/>
    <w:rsid w:val="00EB4D38"/>
    <w:rsid w:val="00EB7193"/>
    <w:rsid w:val="00EB7638"/>
    <w:rsid w:val="00EC03AE"/>
    <w:rsid w:val="00EC0BBF"/>
    <w:rsid w:val="00EC3E6B"/>
    <w:rsid w:val="00EC3EC0"/>
    <w:rsid w:val="00EC5C2E"/>
    <w:rsid w:val="00EC6711"/>
    <w:rsid w:val="00EC7213"/>
    <w:rsid w:val="00EC7665"/>
    <w:rsid w:val="00ED132D"/>
    <w:rsid w:val="00ED1A3B"/>
    <w:rsid w:val="00ED1D80"/>
    <w:rsid w:val="00ED2012"/>
    <w:rsid w:val="00ED2D80"/>
    <w:rsid w:val="00ED31FB"/>
    <w:rsid w:val="00ED3C9F"/>
    <w:rsid w:val="00ED435E"/>
    <w:rsid w:val="00ED4732"/>
    <w:rsid w:val="00EE0CB5"/>
    <w:rsid w:val="00EE1730"/>
    <w:rsid w:val="00EE2823"/>
    <w:rsid w:val="00EE4205"/>
    <w:rsid w:val="00EE562E"/>
    <w:rsid w:val="00EE58DB"/>
    <w:rsid w:val="00EE64B0"/>
    <w:rsid w:val="00EE69DE"/>
    <w:rsid w:val="00EF2151"/>
    <w:rsid w:val="00EF3C0E"/>
    <w:rsid w:val="00EF3FE1"/>
    <w:rsid w:val="00EF4EF8"/>
    <w:rsid w:val="00EF5408"/>
    <w:rsid w:val="00EF5765"/>
    <w:rsid w:val="00F01E2F"/>
    <w:rsid w:val="00F02D6F"/>
    <w:rsid w:val="00F02F49"/>
    <w:rsid w:val="00F051FB"/>
    <w:rsid w:val="00F05B49"/>
    <w:rsid w:val="00F07649"/>
    <w:rsid w:val="00F1453B"/>
    <w:rsid w:val="00F14A50"/>
    <w:rsid w:val="00F15030"/>
    <w:rsid w:val="00F17B33"/>
    <w:rsid w:val="00F20799"/>
    <w:rsid w:val="00F21D34"/>
    <w:rsid w:val="00F22DA4"/>
    <w:rsid w:val="00F2520B"/>
    <w:rsid w:val="00F25E55"/>
    <w:rsid w:val="00F26165"/>
    <w:rsid w:val="00F26514"/>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15F8"/>
    <w:rsid w:val="00FA29FF"/>
    <w:rsid w:val="00FA36E1"/>
    <w:rsid w:val="00FA399C"/>
    <w:rsid w:val="00FA73CF"/>
    <w:rsid w:val="00FB27AA"/>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5DDE"/>
    <w:rsid w:val="00FE6928"/>
    <w:rsid w:val="00FE760F"/>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Textopredeterminado">
    <w:name w:val="Texto predeterminado"/>
    <w:basedOn w:val="Normal"/>
    <w:uiPriority w:val="99"/>
    <w:rsid w:val="005D0918"/>
    <w:pPr>
      <w:widowControl/>
      <w:overflowPunct w:val="0"/>
      <w:textAlignment w:val="baseline"/>
    </w:pPr>
    <w:rPr>
      <w:rFonts w:ascii="Times New Roman" w:hAnsi="Times New Roman" w:cs="Times New Roman"/>
      <w:color w:val="00000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858934892">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7850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347ED-F58B-4EFD-BC83-9FDD59AD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2728</Words>
  <Characters>15008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10</cp:revision>
  <cp:lastPrinted>2017-11-21T19:22:00Z</cp:lastPrinted>
  <dcterms:created xsi:type="dcterms:W3CDTF">2017-11-21T14:09:00Z</dcterms:created>
  <dcterms:modified xsi:type="dcterms:W3CDTF">2017-12-12T11:21:00Z</dcterms:modified>
</cp:coreProperties>
</file>