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9E" w:rsidRPr="00B4139E" w:rsidRDefault="00B4139E" w:rsidP="00B4139E">
      <w:pPr>
        <w:shd w:val="clear" w:color="auto" w:fill="FFFFFF"/>
        <w:spacing w:after="0" w:line="240" w:lineRule="auto"/>
        <w:ind w:left="2124" w:hanging="2124"/>
        <w:jc w:val="both"/>
        <w:rPr>
          <w:rFonts w:eastAsia="Times New Roman" w:cs="Calibri"/>
          <w:color w:val="222222"/>
          <w:sz w:val="18"/>
          <w:szCs w:val="18"/>
          <w:lang w:val="es-CO" w:eastAsia="fr-FR"/>
        </w:rPr>
      </w:pPr>
    </w:p>
    <w:p w:rsidR="00B4139E" w:rsidRPr="00B4139E" w:rsidRDefault="00B4139E" w:rsidP="00B4139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cs="Calibri"/>
          <w:color w:val="222222"/>
          <w:sz w:val="24"/>
          <w:lang w:val="es-CO" w:eastAsia="fr-FR"/>
        </w:rPr>
      </w:pPr>
      <w:r w:rsidRPr="00B4139E">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B4139E" w:rsidRDefault="00B4139E" w:rsidP="00B4139E">
      <w:pPr>
        <w:shd w:val="clear" w:color="auto" w:fill="FFFFFF"/>
        <w:spacing w:after="0" w:line="240" w:lineRule="auto"/>
        <w:ind w:left="2124" w:hanging="2124"/>
        <w:jc w:val="both"/>
        <w:rPr>
          <w:rFonts w:eastAsia="Times New Roman" w:cs="Calibri"/>
          <w:color w:val="222222"/>
          <w:sz w:val="18"/>
          <w:szCs w:val="18"/>
          <w:lang w:val="es-CO" w:eastAsia="fr-FR"/>
        </w:rPr>
      </w:pPr>
    </w:p>
    <w:p w:rsidR="00B4139E" w:rsidRPr="00B4139E" w:rsidRDefault="00B4139E" w:rsidP="00B4139E">
      <w:pPr>
        <w:shd w:val="clear" w:color="auto" w:fill="FFFFFF"/>
        <w:spacing w:after="0" w:line="240" w:lineRule="auto"/>
        <w:ind w:left="2124" w:hanging="2124"/>
        <w:jc w:val="both"/>
        <w:rPr>
          <w:rFonts w:cs="Calibri"/>
          <w:color w:val="222222"/>
          <w:sz w:val="18"/>
          <w:szCs w:val="18"/>
          <w:lang w:val="es-CO" w:eastAsia="fr-FR"/>
        </w:rPr>
      </w:pPr>
      <w:r w:rsidRPr="00B4139E">
        <w:rPr>
          <w:rFonts w:eastAsia="Times New Roman" w:cs="Calibri"/>
          <w:color w:val="222222"/>
          <w:sz w:val="18"/>
          <w:szCs w:val="18"/>
          <w:lang w:val="es-CO" w:eastAsia="fr-FR"/>
        </w:rPr>
        <w:t>Providencia:</w:t>
      </w:r>
      <w:r w:rsidRPr="00B4139E">
        <w:rPr>
          <w:rFonts w:eastAsia="Times New Roman" w:cs="Calibri"/>
          <w:color w:val="222222"/>
          <w:sz w:val="18"/>
          <w:szCs w:val="18"/>
          <w:lang w:val="es-CO" w:eastAsia="fr-FR"/>
        </w:rPr>
        <w:tab/>
        <w:t>Auto – Incidente de desacato en el grado de consulta –27 de abril de 2017</w:t>
      </w:r>
    </w:p>
    <w:p w:rsidR="00B4139E" w:rsidRPr="00B4139E" w:rsidRDefault="00B4139E" w:rsidP="00B4139E">
      <w:pPr>
        <w:shd w:val="clear" w:color="auto" w:fill="FFFFFF"/>
        <w:tabs>
          <w:tab w:val="left" w:pos="1418"/>
        </w:tabs>
        <w:spacing w:after="0" w:line="240" w:lineRule="auto"/>
        <w:jc w:val="both"/>
        <w:rPr>
          <w:rFonts w:cs="Calibri"/>
          <w:color w:val="222222"/>
          <w:sz w:val="18"/>
          <w:szCs w:val="18"/>
          <w:lang w:val="es-CO" w:eastAsia="fr-FR"/>
        </w:rPr>
      </w:pPr>
      <w:r w:rsidRPr="00B4139E">
        <w:rPr>
          <w:rFonts w:cs="Calibri"/>
          <w:color w:val="222222"/>
          <w:sz w:val="18"/>
          <w:szCs w:val="18"/>
          <w:lang w:val="es-CO" w:eastAsia="fr-FR"/>
        </w:rPr>
        <w:t>Proceso:                </w:t>
      </w:r>
      <w:r w:rsidRPr="00B4139E">
        <w:rPr>
          <w:rFonts w:cs="Calibri"/>
          <w:color w:val="222222"/>
          <w:sz w:val="18"/>
          <w:szCs w:val="18"/>
          <w:lang w:val="es-CO" w:eastAsia="fr-FR"/>
        </w:rPr>
        <w:tab/>
      </w:r>
      <w:r w:rsidRPr="00B4139E">
        <w:rPr>
          <w:rFonts w:cs="Calibri"/>
          <w:color w:val="222222"/>
          <w:sz w:val="18"/>
          <w:szCs w:val="18"/>
          <w:lang w:val="es-CO" w:eastAsia="fr-FR"/>
        </w:rPr>
        <w:tab/>
        <w:t xml:space="preserve">Acción de Tutela – Revoca sanción y absuelve </w:t>
      </w:r>
    </w:p>
    <w:p w:rsidR="00B4139E" w:rsidRPr="00B4139E" w:rsidRDefault="00B4139E" w:rsidP="00B4139E">
      <w:pPr>
        <w:shd w:val="clear" w:color="auto" w:fill="FFFFFF"/>
        <w:tabs>
          <w:tab w:val="left" w:pos="1418"/>
        </w:tabs>
        <w:spacing w:after="0" w:line="240" w:lineRule="auto"/>
        <w:jc w:val="both"/>
        <w:rPr>
          <w:rFonts w:eastAsia="Batang" w:cs="Calibri"/>
          <w:sz w:val="18"/>
          <w:szCs w:val="18"/>
          <w:lang w:eastAsia="es-ES"/>
        </w:rPr>
      </w:pPr>
      <w:r w:rsidRPr="00B4139E">
        <w:rPr>
          <w:rFonts w:cs="Calibri"/>
          <w:color w:val="222222"/>
          <w:sz w:val="18"/>
          <w:szCs w:val="18"/>
          <w:lang w:val="es-CO" w:eastAsia="fr-FR"/>
        </w:rPr>
        <w:t>Radicación Nro. :</w:t>
      </w:r>
      <w:r w:rsidRPr="00B4139E">
        <w:rPr>
          <w:rFonts w:cs="Calibri"/>
          <w:color w:val="222222"/>
          <w:sz w:val="18"/>
          <w:szCs w:val="18"/>
          <w:lang w:val="es-CO" w:eastAsia="fr-FR"/>
        </w:rPr>
        <w:tab/>
        <w:t xml:space="preserve">  </w:t>
      </w:r>
      <w:r w:rsidRPr="00B4139E">
        <w:rPr>
          <w:rFonts w:cs="Calibri"/>
          <w:color w:val="222222"/>
          <w:sz w:val="18"/>
          <w:szCs w:val="18"/>
          <w:lang w:val="es-CO" w:eastAsia="fr-FR"/>
        </w:rPr>
        <w:tab/>
      </w:r>
      <w:r w:rsidRPr="00B4139E">
        <w:rPr>
          <w:rFonts w:eastAsia="Batang" w:cs="Calibri"/>
          <w:sz w:val="18"/>
          <w:szCs w:val="18"/>
          <w:lang w:eastAsia="es-ES"/>
        </w:rPr>
        <w:t>66001-31-03-003-2015-00201-01</w:t>
      </w:r>
    </w:p>
    <w:p w:rsidR="00B4139E" w:rsidRPr="00B4139E" w:rsidRDefault="00B4139E" w:rsidP="00B4139E">
      <w:pPr>
        <w:shd w:val="clear" w:color="auto" w:fill="FFFFFF"/>
        <w:tabs>
          <w:tab w:val="left" w:pos="1418"/>
        </w:tabs>
        <w:spacing w:after="0" w:line="240" w:lineRule="auto"/>
        <w:jc w:val="both"/>
        <w:rPr>
          <w:rFonts w:cs="Calibri"/>
          <w:color w:val="222222"/>
          <w:sz w:val="18"/>
          <w:szCs w:val="18"/>
          <w:lang w:val="es-CO" w:eastAsia="fr-FR"/>
        </w:rPr>
      </w:pPr>
      <w:r w:rsidRPr="00B4139E">
        <w:rPr>
          <w:rFonts w:cs="Calibri"/>
          <w:color w:val="222222"/>
          <w:sz w:val="18"/>
          <w:szCs w:val="18"/>
          <w:lang w:val="es-CO" w:eastAsia="fr-FR"/>
        </w:rPr>
        <w:t>Accionante:</w:t>
      </w:r>
      <w:r w:rsidRPr="00B4139E">
        <w:rPr>
          <w:rFonts w:cs="Calibri"/>
          <w:color w:val="222222"/>
          <w:sz w:val="18"/>
          <w:szCs w:val="18"/>
          <w:lang w:val="es-CO" w:eastAsia="fr-FR"/>
        </w:rPr>
        <w:tab/>
      </w:r>
      <w:r w:rsidRPr="00B4139E">
        <w:rPr>
          <w:rFonts w:cs="Calibri"/>
          <w:color w:val="222222"/>
          <w:sz w:val="18"/>
          <w:szCs w:val="18"/>
          <w:lang w:val="es-CO" w:eastAsia="fr-FR"/>
        </w:rPr>
        <w:tab/>
      </w:r>
      <w:r w:rsidRPr="00B4139E">
        <w:rPr>
          <w:rFonts w:cs="Calibri"/>
          <w:color w:val="222222"/>
          <w:sz w:val="18"/>
          <w:szCs w:val="18"/>
          <w:lang w:eastAsia="fr-FR"/>
        </w:rPr>
        <w:t>ADONAY LÓPEZ CÁRDENAS</w:t>
      </w:r>
    </w:p>
    <w:p w:rsidR="00B4139E" w:rsidRPr="00B4139E" w:rsidRDefault="00B4139E" w:rsidP="00B4139E">
      <w:pPr>
        <w:shd w:val="clear" w:color="auto" w:fill="FFFFFF"/>
        <w:spacing w:after="0" w:line="240" w:lineRule="auto"/>
        <w:jc w:val="both"/>
        <w:rPr>
          <w:rFonts w:cs="Calibri"/>
          <w:bCs/>
          <w:color w:val="222222"/>
          <w:sz w:val="18"/>
          <w:szCs w:val="18"/>
          <w:lang w:eastAsia="fr-FR"/>
        </w:rPr>
      </w:pPr>
      <w:r w:rsidRPr="00B4139E">
        <w:rPr>
          <w:rFonts w:cs="Calibri"/>
          <w:color w:val="222222"/>
          <w:sz w:val="18"/>
          <w:szCs w:val="18"/>
          <w:lang w:val="es-CO" w:eastAsia="fr-FR"/>
        </w:rPr>
        <w:t>Accionados:     </w:t>
      </w:r>
      <w:r w:rsidRPr="00B4139E">
        <w:rPr>
          <w:rFonts w:cs="Calibri"/>
          <w:color w:val="222222"/>
          <w:sz w:val="18"/>
          <w:szCs w:val="18"/>
          <w:lang w:val="es-CO" w:eastAsia="fr-FR"/>
        </w:rPr>
        <w:tab/>
      </w:r>
      <w:r w:rsidRPr="00B4139E">
        <w:rPr>
          <w:rFonts w:cs="Calibri"/>
          <w:color w:val="222222"/>
          <w:sz w:val="18"/>
          <w:szCs w:val="18"/>
          <w:lang w:val="es-CO" w:eastAsia="fr-FR"/>
        </w:rPr>
        <w:tab/>
      </w:r>
      <w:r w:rsidRPr="00B4139E">
        <w:rPr>
          <w:rFonts w:cs="Calibri"/>
          <w:bCs/>
          <w:color w:val="222222"/>
          <w:sz w:val="18"/>
          <w:szCs w:val="18"/>
          <w:lang w:eastAsia="fr-FR"/>
        </w:rPr>
        <w:t xml:space="preserve">NUEVA </w:t>
      </w:r>
      <w:proofErr w:type="spellStart"/>
      <w:r w:rsidRPr="00B4139E">
        <w:rPr>
          <w:rFonts w:cs="Calibri"/>
          <w:bCs/>
          <w:color w:val="222222"/>
          <w:sz w:val="18"/>
          <w:szCs w:val="18"/>
          <w:lang w:eastAsia="fr-FR"/>
        </w:rPr>
        <w:t>EPS</w:t>
      </w:r>
      <w:proofErr w:type="spellEnd"/>
    </w:p>
    <w:p w:rsidR="00B4139E" w:rsidRPr="00B4139E" w:rsidRDefault="00B4139E" w:rsidP="00B4139E">
      <w:pPr>
        <w:shd w:val="clear" w:color="auto" w:fill="FFFFFF"/>
        <w:spacing w:after="0" w:line="240" w:lineRule="auto"/>
        <w:ind w:left="2124" w:hanging="2124"/>
        <w:jc w:val="both"/>
        <w:rPr>
          <w:rFonts w:cs="Calibri"/>
          <w:bCs/>
          <w:iCs/>
          <w:color w:val="222222"/>
          <w:sz w:val="18"/>
          <w:szCs w:val="18"/>
          <w:lang w:val="es-CO" w:eastAsia="fr-FR"/>
        </w:rPr>
      </w:pPr>
      <w:r w:rsidRPr="00B4139E">
        <w:rPr>
          <w:rFonts w:cs="Calibri"/>
          <w:color w:val="222222"/>
          <w:sz w:val="18"/>
          <w:szCs w:val="18"/>
          <w:lang w:val="es-CO" w:eastAsia="fr-FR"/>
        </w:rPr>
        <w:t>Magistrado Ponente: </w:t>
      </w:r>
      <w:r w:rsidRPr="00B4139E">
        <w:rPr>
          <w:rFonts w:cs="Calibri"/>
          <w:color w:val="222222"/>
          <w:sz w:val="18"/>
          <w:szCs w:val="18"/>
          <w:lang w:val="es-CO" w:eastAsia="fr-FR"/>
        </w:rPr>
        <w:tab/>
      </w:r>
      <w:r w:rsidRPr="00B4139E">
        <w:rPr>
          <w:rFonts w:cs="Calibri"/>
          <w:bCs/>
          <w:iCs/>
          <w:color w:val="222222"/>
          <w:sz w:val="18"/>
          <w:szCs w:val="18"/>
          <w:lang w:eastAsia="fr-FR"/>
        </w:rPr>
        <w:t>JAIME ALBERTO SARAZA NARANJO</w:t>
      </w:r>
    </w:p>
    <w:p w:rsidR="00B4139E" w:rsidRPr="00B4139E" w:rsidRDefault="00B4139E" w:rsidP="00B4139E">
      <w:pPr>
        <w:shd w:val="clear" w:color="auto" w:fill="FFFFFF"/>
        <w:spacing w:after="0" w:line="240" w:lineRule="auto"/>
        <w:ind w:left="2124" w:hanging="2124"/>
        <w:jc w:val="both"/>
        <w:rPr>
          <w:rFonts w:cs="Calibri"/>
          <w:bCs/>
          <w:iCs/>
          <w:color w:val="222222"/>
          <w:sz w:val="10"/>
          <w:szCs w:val="10"/>
          <w:lang w:val="es-CO" w:eastAsia="fr-FR"/>
        </w:rPr>
      </w:pPr>
    </w:p>
    <w:p w:rsidR="00B4139E" w:rsidRDefault="00B4139E" w:rsidP="00B4139E">
      <w:pPr>
        <w:overflowPunct w:val="0"/>
        <w:autoSpaceDE w:val="0"/>
        <w:autoSpaceDN w:val="0"/>
        <w:adjustRightInd w:val="0"/>
        <w:spacing w:after="0" w:line="240" w:lineRule="auto"/>
        <w:jc w:val="both"/>
        <w:rPr>
          <w:rFonts w:ascii="Gadugi" w:eastAsia="Times New Roman" w:hAnsi="Gadugi"/>
          <w:sz w:val="24"/>
          <w:szCs w:val="24"/>
          <w:lang w:eastAsia="es-ES"/>
        </w:rPr>
      </w:pPr>
      <w:r w:rsidRPr="00B4139E">
        <w:rPr>
          <w:rFonts w:eastAsia="Times New Roman" w:cs="Calibri"/>
          <w:b/>
          <w:color w:val="222222"/>
          <w:sz w:val="18"/>
          <w:szCs w:val="18"/>
          <w:lang w:val="es-CO" w:eastAsia="fr-FR"/>
        </w:rPr>
        <w:t xml:space="preserve">Temas: </w:t>
      </w:r>
      <w:r w:rsidRPr="00B4139E">
        <w:rPr>
          <w:rFonts w:eastAsia="Times New Roman" w:cs="Calibri"/>
          <w:b/>
          <w:color w:val="222222"/>
          <w:sz w:val="18"/>
          <w:szCs w:val="18"/>
          <w:lang w:val="es-CO" w:eastAsia="fr-FR"/>
        </w:rPr>
        <w:tab/>
      </w:r>
      <w:r w:rsidRPr="00B4139E">
        <w:rPr>
          <w:rFonts w:eastAsia="Times New Roman" w:cs="Calibri"/>
          <w:b/>
          <w:color w:val="222222"/>
          <w:sz w:val="18"/>
          <w:szCs w:val="18"/>
          <w:lang w:val="es-CO" w:eastAsia="fr-FR"/>
        </w:rPr>
        <w:tab/>
      </w:r>
      <w:r w:rsidRPr="00B4139E">
        <w:rPr>
          <w:rFonts w:eastAsia="Times New Roman" w:cs="Calibri"/>
          <w:b/>
          <w:color w:val="222222"/>
          <w:sz w:val="18"/>
          <w:szCs w:val="18"/>
          <w:lang w:val="es-CO" w:eastAsia="fr-FR"/>
        </w:rPr>
        <w:tab/>
      </w:r>
      <w:r w:rsidRPr="00B4139E">
        <w:rPr>
          <w:rFonts w:eastAsia="Times New Roman" w:cs="Calibri"/>
          <w:b/>
          <w:color w:val="222222"/>
          <w:sz w:val="18"/>
          <w:szCs w:val="18"/>
          <w:lang w:eastAsia="fr-FR"/>
        </w:rPr>
        <w:t xml:space="preserve"> </w:t>
      </w:r>
      <w:r w:rsidRPr="00B4139E">
        <w:rPr>
          <w:rFonts w:eastAsia="Times New Roman" w:cs="Calibri"/>
          <w:b/>
          <w:color w:val="222222"/>
          <w:sz w:val="18"/>
          <w:szCs w:val="18"/>
          <w:lang w:val="es-CO" w:eastAsia="fr-FR"/>
        </w:rPr>
        <w:t>INCIDENTE DE DESACATO / SUMINISTRO DE MEDICAMENTOS / CUMPLIMIENTO TARDÍO DE LA ORDEN.</w:t>
      </w:r>
      <w:r w:rsidRPr="00B4139E">
        <w:rPr>
          <w:rFonts w:eastAsia="Times New Roman" w:cs="Calibri"/>
          <w:color w:val="222222"/>
          <w:sz w:val="18"/>
          <w:szCs w:val="18"/>
          <w:lang w:val="es-CO" w:eastAsia="fr-FR"/>
        </w:rPr>
        <w:t xml:space="preserve"> “</w:t>
      </w:r>
      <w:r w:rsidRPr="00B4139E">
        <w:rPr>
          <w:rFonts w:eastAsia="Times New Roman" w:cs="Calibri"/>
          <w:color w:val="222222"/>
          <w:sz w:val="18"/>
          <w:szCs w:val="18"/>
          <w:lang w:eastAsia="fr-FR"/>
        </w:rPr>
        <w:t>[E]n el trámite del desacato se requirió a la Representante Legal a nivel regional de la entidad de salud, y debido al incumplimiento de la orden constitucional dispuesta en sentencia del 15 de mayo de 2015, se procedió a sancionarla con cinco días de arresto y multa de cinco salarios mínimos legales mensuales vigentes. Aunque, en realidad, se observa cierto retardo en el cumplimiento del fallo, se debe tener presente que según constancia que obra a folio 4 del cuaderno 2, el señor Adonay López Cárdenas informó que desde hace un mes le están suministrando oportunamente la medicina requerida (“</w:t>
      </w:r>
      <w:proofErr w:type="spellStart"/>
      <w:r w:rsidRPr="00B4139E">
        <w:rPr>
          <w:rFonts w:eastAsia="Times New Roman" w:cs="Calibri"/>
          <w:color w:val="222222"/>
          <w:sz w:val="18"/>
          <w:szCs w:val="18"/>
          <w:lang w:eastAsia="fr-FR"/>
        </w:rPr>
        <w:t>VITALUX</w:t>
      </w:r>
      <w:proofErr w:type="spellEnd"/>
      <w:r w:rsidRPr="00B4139E">
        <w:rPr>
          <w:rFonts w:eastAsia="Times New Roman" w:cs="Calibri"/>
          <w:color w:val="222222"/>
          <w:sz w:val="18"/>
          <w:szCs w:val="18"/>
          <w:lang w:eastAsia="fr-FR"/>
        </w:rPr>
        <w:t xml:space="preserve"> PLUS – OMEGA 3”), por lo que se da por satisfecho con la orden de tutela. Al respecto, cabe señalar, que en estos casos no se trata de sancionar, simplemente por sancionar, sino que a ello se debe proceder cuando en realidad el funcionario constitucional advierte que el obligado a cumplir la sentencia de tutela tiene el ánimo mal intencionado de dilatar o incumplir la orden que se le ha dado, circunstancia que no se vislumbra en el presente asunto, pues, como se explicó, a pesar de la tardanza, le han estado entregando de manera puntual la droga que reclama mediante el presente trámite.”.</w:t>
      </w:r>
    </w:p>
    <w:p w:rsidR="00B4139E" w:rsidRDefault="00B4139E" w:rsidP="00E378EA">
      <w:pPr>
        <w:overflowPunct w:val="0"/>
        <w:autoSpaceDE w:val="0"/>
        <w:autoSpaceDN w:val="0"/>
        <w:adjustRightInd w:val="0"/>
        <w:spacing w:after="0" w:line="312" w:lineRule="auto"/>
        <w:jc w:val="both"/>
        <w:rPr>
          <w:rFonts w:ascii="Gadugi" w:eastAsia="Times New Roman" w:hAnsi="Gadugi"/>
          <w:sz w:val="24"/>
          <w:szCs w:val="24"/>
          <w:lang w:eastAsia="es-ES"/>
        </w:rPr>
      </w:pPr>
    </w:p>
    <w:p w:rsidR="00E378EA" w:rsidRDefault="00E378EA" w:rsidP="00E378EA">
      <w:pPr>
        <w:overflowPunct w:val="0"/>
        <w:autoSpaceDE w:val="0"/>
        <w:autoSpaceDN w:val="0"/>
        <w:adjustRightInd w:val="0"/>
        <w:spacing w:after="0" w:line="312" w:lineRule="auto"/>
        <w:jc w:val="both"/>
        <w:rPr>
          <w:rFonts w:ascii="Gadugi" w:eastAsia="Times New Roman" w:hAnsi="Gadugi"/>
          <w:b/>
          <w:sz w:val="26"/>
          <w:szCs w:val="26"/>
          <w:lang w:eastAsia="es-ES"/>
        </w:rPr>
      </w:pP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b/>
          <w:sz w:val="26"/>
          <w:szCs w:val="26"/>
          <w:lang w:eastAsia="es-ES"/>
        </w:rPr>
        <w:t>TRIBUNAL SUPERIOR DEL DISTRITO JUDICIAL</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b/>
          <w:sz w:val="26"/>
          <w:szCs w:val="26"/>
          <w:lang w:eastAsia="es-ES"/>
        </w:rPr>
      </w:pPr>
      <w:r>
        <w:rPr>
          <w:rFonts w:ascii="Gadugi" w:eastAsia="Times New Roman" w:hAnsi="Gadugi"/>
          <w:b/>
          <w:sz w:val="26"/>
          <w:szCs w:val="26"/>
          <w:lang w:eastAsia="es-ES"/>
        </w:rPr>
        <w:t xml:space="preserve">          </w:t>
      </w:r>
      <w:r>
        <w:rPr>
          <w:rFonts w:ascii="Gadugi" w:eastAsia="Times New Roman" w:hAnsi="Gadugi"/>
          <w:b/>
          <w:sz w:val="26"/>
          <w:szCs w:val="26"/>
          <w:lang w:val="es-419" w:eastAsia="es-ES"/>
        </w:rPr>
        <w:t xml:space="preserve"> </w:t>
      </w:r>
      <w:r>
        <w:rPr>
          <w:rFonts w:ascii="Gadugi" w:eastAsia="Times New Roman" w:hAnsi="Gadugi"/>
          <w:b/>
          <w:sz w:val="26"/>
          <w:szCs w:val="26"/>
          <w:lang w:eastAsia="es-ES"/>
        </w:rPr>
        <w:t xml:space="preserve"> SALA UNITARIA CIVIL - FAMILIA</w:t>
      </w:r>
    </w:p>
    <w:p w:rsidR="00E378EA" w:rsidRDefault="00E378EA" w:rsidP="00E378EA">
      <w:pPr>
        <w:overflowPunct w:val="0"/>
        <w:autoSpaceDE w:val="0"/>
        <w:autoSpaceDN w:val="0"/>
        <w:adjustRightInd w:val="0"/>
        <w:spacing w:after="0" w:line="312" w:lineRule="auto"/>
        <w:jc w:val="both"/>
        <w:rPr>
          <w:rFonts w:ascii="Gadugi" w:eastAsia="Times New Roman" w:hAnsi="Gadugi"/>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Magistrado: Jaime Alberto Saraza Naranjo</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val="es-419" w:eastAsia="es-ES"/>
        </w:rPr>
      </w:pPr>
      <w:r>
        <w:rPr>
          <w:rFonts w:ascii="Gadugi" w:eastAsia="Times New Roman" w:hAnsi="Gadugi" w:cs="Arial"/>
          <w:sz w:val="24"/>
          <w:szCs w:val="24"/>
          <w:lang w:eastAsia="es-ES"/>
        </w:rPr>
        <w:t xml:space="preserve">Pereira, </w:t>
      </w:r>
      <w:r w:rsidRPr="00B4139E">
        <w:rPr>
          <w:rFonts w:ascii="Gadugi" w:eastAsia="Times New Roman" w:hAnsi="Gadugi" w:cs="Arial"/>
          <w:sz w:val="24"/>
          <w:szCs w:val="24"/>
          <w:highlight w:val="yellow"/>
          <w:lang w:val="es-419" w:eastAsia="es-ES"/>
        </w:rPr>
        <w:t>abril veintisiete de dos mil diecisiete</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Expediente 66001-31-03-003-2015-00201-01</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 xml:space="preserve">Resuelve esta Sala Unitaria sobre la consulta del auto proferido por el Juzgado Tercero Civil del Circuito de esta ciudad, el pasado 6 de marzo, por medio del cual se sancionó a </w:t>
      </w:r>
      <w:r>
        <w:rPr>
          <w:rFonts w:ascii="Gadugi" w:eastAsia="Times New Roman" w:hAnsi="Gadugi" w:cs="Estrangelo Edessa"/>
          <w:b/>
          <w:color w:val="000000"/>
          <w:sz w:val="24"/>
          <w:szCs w:val="24"/>
          <w:lang w:eastAsia="es-ES"/>
        </w:rPr>
        <w:t xml:space="preserve">María Lorena Serna Montoya, </w:t>
      </w:r>
      <w:r>
        <w:rPr>
          <w:rFonts w:ascii="Gadugi" w:eastAsia="Times New Roman" w:hAnsi="Gadugi" w:cs="Estrangelo Edessa"/>
          <w:color w:val="000000"/>
          <w:sz w:val="24"/>
          <w:szCs w:val="24"/>
          <w:lang w:eastAsia="es-ES"/>
        </w:rPr>
        <w:t xml:space="preserve">en calidad de Representante Legal a nivel regional de la Nueva </w:t>
      </w:r>
      <w:proofErr w:type="spellStart"/>
      <w:r>
        <w:rPr>
          <w:rFonts w:ascii="Gadugi" w:eastAsia="Times New Roman" w:hAnsi="Gadugi" w:cs="Estrangelo Edessa"/>
          <w:color w:val="000000"/>
          <w:sz w:val="24"/>
          <w:szCs w:val="24"/>
          <w:lang w:eastAsia="es-ES"/>
        </w:rPr>
        <w:t>EPS</w:t>
      </w:r>
      <w:proofErr w:type="spellEnd"/>
      <w:r>
        <w:rPr>
          <w:rFonts w:ascii="Gadugi" w:eastAsia="Times New Roman" w:hAnsi="Gadugi" w:cs="Estrangelo Edessa"/>
          <w:color w:val="000000"/>
          <w:sz w:val="24"/>
          <w:szCs w:val="24"/>
          <w:lang w:eastAsia="es-ES"/>
        </w:rPr>
        <w:t xml:space="preserve">, con cinco (5) días de arresto y multa de cinco (5) salarios mínimos legales mensuales vigentes, por haber incumplido la orden impartida en la sentencia del 15 de mayo de 2015, en la acción de tutela que contra dicha entidad inició </w:t>
      </w:r>
      <w:r>
        <w:rPr>
          <w:rFonts w:ascii="Gadugi" w:eastAsia="Times New Roman" w:hAnsi="Gadugi" w:cs="Estrangelo Edessa"/>
          <w:b/>
          <w:color w:val="000000"/>
          <w:sz w:val="24"/>
          <w:szCs w:val="24"/>
          <w:lang w:eastAsia="es-ES"/>
        </w:rPr>
        <w:t>Adonay López Cárdenas.</w:t>
      </w:r>
      <w:r>
        <w:rPr>
          <w:rFonts w:ascii="Gadugi" w:eastAsia="Times New Roman" w:hAnsi="Gadugi" w:cs="Estrangelo Edessa"/>
          <w:color w:val="000000"/>
          <w:sz w:val="24"/>
          <w:szCs w:val="24"/>
          <w:lang w:eastAsia="es-ES"/>
        </w:rPr>
        <w:t xml:space="preserve"> </w:t>
      </w:r>
    </w:p>
    <w:p w:rsidR="00E378EA" w:rsidRDefault="00E378EA" w:rsidP="00E378EA">
      <w:pPr>
        <w:overflowPunct w:val="0"/>
        <w:autoSpaceDE w:val="0"/>
        <w:autoSpaceDN w:val="0"/>
        <w:adjustRightInd w:val="0"/>
        <w:spacing w:after="0" w:line="312" w:lineRule="auto"/>
        <w:jc w:val="both"/>
        <w:rPr>
          <w:rFonts w:ascii="Gadugi" w:eastAsia="Times New Roman" w:hAnsi="Gadugi" w:cs="Arial"/>
          <w:sz w:val="24"/>
          <w:szCs w:val="24"/>
          <w:lang w:eastAsia="es-ES"/>
        </w:rPr>
      </w:pPr>
    </w:p>
    <w:p w:rsidR="00E378EA" w:rsidRDefault="00E378EA" w:rsidP="00E378EA">
      <w:pPr>
        <w:overflowPunct w:val="0"/>
        <w:autoSpaceDE w:val="0"/>
        <w:autoSpaceDN w:val="0"/>
        <w:adjustRightInd w:val="0"/>
        <w:spacing w:after="0" w:line="312" w:lineRule="auto"/>
        <w:jc w:val="both"/>
        <w:rPr>
          <w:rFonts w:ascii="Gadugi" w:eastAsia="Times New Roman" w:hAnsi="Gadugi" w:cs="Arial"/>
          <w:b/>
          <w:sz w:val="24"/>
          <w:szCs w:val="24"/>
          <w:lang w:eastAsia="es-ES"/>
        </w:rPr>
      </w:pPr>
      <w:r>
        <w:rPr>
          <w:rFonts w:ascii="Gadugi" w:eastAsia="Times New Roman" w:hAnsi="Gadugi" w:cs="Arial"/>
          <w:i/>
          <w:sz w:val="24"/>
          <w:szCs w:val="24"/>
          <w:lang w:eastAsia="es-ES"/>
        </w:rPr>
        <w:tab/>
      </w:r>
      <w:r>
        <w:rPr>
          <w:rFonts w:ascii="Gadugi" w:eastAsia="Times New Roman" w:hAnsi="Gadugi" w:cs="Arial"/>
          <w:i/>
          <w:sz w:val="24"/>
          <w:szCs w:val="24"/>
          <w:lang w:eastAsia="es-ES"/>
        </w:rPr>
        <w:tab/>
      </w:r>
      <w:r>
        <w:rPr>
          <w:rFonts w:ascii="Gadugi" w:eastAsia="Times New Roman" w:hAnsi="Gadugi" w:cs="Arial"/>
          <w:b/>
          <w:i/>
          <w:sz w:val="24"/>
          <w:szCs w:val="24"/>
          <w:lang w:eastAsia="es-ES"/>
        </w:rPr>
        <w:tab/>
      </w:r>
      <w:r>
        <w:rPr>
          <w:rFonts w:ascii="Gadugi" w:eastAsia="Times New Roman" w:hAnsi="Gadugi" w:cs="Arial"/>
          <w:b/>
          <w:i/>
          <w:sz w:val="24"/>
          <w:szCs w:val="24"/>
          <w:lang w:eastAsia="es-ES"/>
        </w:rPr>
        <w:tab/>
      </w:r>
      <w:r>
        <w:rPr>
          <w:rFonts w:ascii="Gadugi" w:eastAsia="Times New Roman" w:hAnsi="Gadugi" w:cs="Arial"/>
          <w:b/>
          <w:sz w:val="24"/>
          <w:szCs w:val="24"/>
          <w:lang w:eastAsia="es-ES"/>
        </w:rPr>
        <w:t>ANTECEDENTES</w:t>
      </w:r>
    </w:p>
    <w:p w:rsidR="00E378EA" w:rsidRDefault="00E378EA" w:rsidP="00E378EA">
      <w:pPr>
        <w:overflowPunct w:val="0"/>
        <w:autoSpaceDE w:val="0"/>
        <w:autoSpaceDN w:val="0"/>
        <w:adjustRightInd w:val="0"/>
        <w:spacing w:after="0" w:line="312" w:lineRule="auto"/>
        <w:jc w:val="both"/>
        <w:rPr>
          <w:rFonts w:ascii="Gadugi" w:eastAsia="Times New Roman" w:hAnsi="Gadugi" w:cs="Arial"/>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color w:val="000000"/>
          <w:sz w:val="24"/>
          <w:szCs w:val="24"/>
          <w:lang w:val="es-419" w:eastAsia="es-ES"/>
        </w:rPr>
      </w:pPr>
      <w:r>
        <w:rPr>
          <w:rFonts w:ascii="Gadugi" w:eastAsia="Times New Roman" w:hAnsi="Gadugi" w:cs="Arial"/>
          <w:sz w:val="24"/>
          <w:szCs w:val="24"/>
          <w:lang w:eastAsia="es-ES"/>
        </w:rPr>
        <w:t xml:space="preserve"> </w:t>
      </w:r>
      <w:r>
        <w:rPr>
          <w:rFonts w:ascii="Gadugi" w:eastAsia="Times New Roman" w:hAnsi="Gadugi" w:cs="Estrangelo Edessa"/>
          <w:color w:val="000000"/>
          <w:sz w:val="24"/>
          <w:szCs w:val="24"/>
          <w:lang w:eastAsia="es-ES"/>
        </w:rPr>
        <w:t xml:space="preserve">En el fallo aludido el Juzgado resolvió conceder la tutela invocada por el señor López Cárdenas, en torno al derecho a la salud y la </w:t>
      </w:r>
      <w:r>
        <w:rPr>
          <w:rFonts w:ascii="Gadugi" w:eastAsia="Times New Roman" w:hAnsi="Gadugi" w:cs="Estrangelo Edessa"/>
          <w:color w:val="000000"/>
          <w:sz w:val="24"/>
          <w:szCs w:val="24"/>
          <w:lang w:eastAsia="es-ES"/>
        </w:rPr>
        <w:lastRenderedPageBreak/>
        <w:t xml:space="preserve">vida y le ordenó a la NUEVA </w:t>
      </w:r>
      <w:proofErr w:type="spellStart"/>
      <w:r>
        <w:rPr>
          <w:rFonts w:ascii="Gadugi" w:eastAsia="Times New Roman" w:hAnsi="Gadugi" w:cs="Estrangelo Edessa"/>
          <w:color w:val="000000"/>
          <w:sz w:val="24"/>
          <w:szCs w:val="24"/>
          <w:lang w:eastAsia="es-ES"/>
        </w:rPr>
        <w:t>EPS</w:t>
      </w:r>
      <w:proofErr w:type="spellEnd"/>
      <w:r>
        <w:rPr>
          <w:rFonts w:ascii="Gadugi" w:eastAsia="Times New Roman" w:hAnsi="Gadugi" w:cs="Estrangelo Edessa"/>
          <w:color w:val="000000"/>
          <w:sz w:val="24"/>
          <w:szCs w:val="24"/>
          <w:lang w:eastAsia="es-ES"/>
        </w:rPr>
        <w:t xml:space="preserve"> garantizar la entrega del medicamento “</w:t>
      </w:r>
      <w:proofErr w:type="spellStart"/>
      <w:r>
        <w:rPr>
          <w:rFonts w:ascii="Gadugi" w:eastAsia="Times New Roman" w:hAnsi="Gadugi" w:cs="Estrangelo Edessa"/>
          <w:color w:val="000000"/>
          <w:sz w:val="24"/>
          <w:szCs w:val="24"/>
          <w:lang w:eastAsia="es-ES"/>
        </w:rPr>
        <w:t>VITALUX</w:t>
      </w:r>
      <w:proofErr w:type="spellEnd"/>
      <w:r>
        <w:rPr>
          <w:rFonts w:ascii="Gadugi" w:eastAsia="Times New Roman" w:hAnsi="Gadugi" w:cs="Estrangelo Edessa"/>
          <w:color w:val="000000"/>
          <w:sz w:val="24"/>
          <w:szCs w:val="24"/>
          <w:lang w:eastAsia="es-ES"/>
        </w:rPr>
        <w:t xml:space="preserve"> PLUS OMEGA 3 en la forma y cantidad enviada por el médico tratante al paciente…”. Así mismo, se accedió al tratamiento integral</w:t>
      </w:r>
      <w:r>
        <w:rPr>
          <w:rFonts w:ascii="Gadugi" w:eastAsia="Times New Roman" w:hAnsi="Gadugi" w:cs="Estrangelo Edessa"/>
          <w:color w:val="000000"/>
          <w:sz w:val="24"/>
          <w:szCs w:val="24"/>
          <w:vertAlign w:val="superscript"/>
          <w:lang w:eastAsia="es-ES"/>
        </w:rPr>
        <w:footnoteReference w:id="1"/>
      </w:r>
      <w:r>
        <w:rPr>
          <w:rFonts w:ascii="Gadugi" w:eastAsia="Times New Roman" w:hAnsi="Gadugi" w:cs="Estrangelo Edessa"/>
          <w:color w:val="000000"/>
          <w:sz w:val="24"/>
          <w:szCs w:val="24"/>
          <w:lang w:eastAsia="es-ES"/>
        </w:rPr>
        <w:t xml:space="preserve">. </w:t>
      </w:r>
      <w:r>
        <w:rPr>
          <w:rFonts w:ascii="Gadugi" w:eastAsia="Times New Roman" w:hAnsi="Gadugi" w:cs="Estrangelo Edessa"/>
          <w:color w:val="000000"/>
          <w:sz w:val="24"/>
          <w:szCs w:val="24"/>
          <w:lang w:val="es-419" w:eastAsia="es-ES"/>
        </w:rPr>
        <w:t xml:space="preserve"> </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color w:val="000000"/>
          <w:sz w:val="24"/>
          <w:szCs w:val="24"/>
          <w:lang w:val="es-419"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Ante la manifestación del interesado sobre el  incumplimiento por parte de la entidad de salud</w:t>
      </w:r>
      <w:r>
        <w:rPr>
          <w:rFonts w:ascii="Gadugi" w:eastAsia="Times New Roman" w:hAnsi="Gadugi" w:cs="Estrangelo Edessa"/>
          <w:color w:val="000000"/>
          <w:sz w:val="24"/>
          <w:szCs w:val="24"/>
          <w:vertAlign w:val="superscript"/>
          <w:lang w:eastAsia="es-ES"/>
        </w:rPr>
        <w:footnoteReference w:id="2"/>
      </w:r>
      <w:r>
        <w:rPr>
          <w:rFonts w:ascii="Gadugi" w:eastAsia="Times New Roman" w:hAnsi="Gadugi" w:cs="Estrangelo Edessa"/>
          <w:color w:val="000000"/>
          <w:sz w:val="24"/>
          <w:szCs w:val="24"/>
          <w:lang w:eastAsia="es-ES"/>
        </w:rPr>
        <w:t xml:space="preserve">, el Juzgado dispuso, después de requerir previamente a la Representante Legal de la </w:t>
      </w:r>
      <w:proofErr w:type="spellStart"/>
      <w:r>
        <w:rPr>
          <w:rFonts w:ascii="Gadugi" w:eastAsia="Times New Roman" w:hAnsi="Gadugi" w:cs="Estrangelo Edessa"/>
          <w:color w:val="000000"/>
          <w:sz w:val="24"/>
          <w:szCs w:val="24"/>
          <w:lang w:eastAsia="es-ES"/>
        </w:rPr>
        <w:t>EPS</w:t>
      </w:r>
      <w:proofErr w:type="spellEnd"/>
      <w:r>
        <w:rPr>
          <w:rFonts w:ascii="Gadugi" w:eastAsia="Times New Roman" w:hAnsi="Gadugi" w:cs="Estrangelo Edessa"/>
          <w:color w:val="000000"/>
          <w:sz w:val="24"/>
          <w:szCs w:val="24"/>
          <w:lang w:eastAsia="es-ES"/>
        </w:rPr>
        <w:t xml:space="preserve"> S, abrir el trámite incidental contra dicha funcionaria, y como no se obtuvo respuesta respecto al acatamiento del fallo constitucional, vino la aludida sanción, que ahora se consulta.</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b/>
          <w:sz w:val="24"/>
          <w:szCs w:val="24"/>
          <w:lang w:eastAsia="es-ES"/>
        </w:rPr>
      </w:pPr>
      <w:r>
        <w:rPr>
          <w:rFonts w:ascii="Gadugi" w:eastAsia="Times New Roman" w:hAnsi="Gadugi" w:cs="Arial"/>
          <w:b/>
          <w:sz w:val="24"/>
          <w:szCs w:val="24"/>
          <w:lang w:eastAsia="es-ES"/>
        </w:rPr>
        <w:t>CONSIDERACIONES</w:t>
      </w:r>
    </w:p>
    <w:p w:rsidR="00E378EA" w:rsidRDefault="00E378EA" w:rsidP="00E378EA">
      <w:pPr>
        <w:overflowPunct w:val="0"/>
        <w:autoSpaceDE w:val="0"/>
        <w:autoSpaceDN w:val="0"/>
        <w:adjustRightInd w:val="0"/>
        <w:spacing w:after="0" w:line="312" w:lineRule="auto"/>
        <w:jc w:val="both"/>
        <w:rPr>
          <w:rFonts w:ascii="Gadugi" w:eastAsia="Times New Roman" w:hAnsi="Gadugi" w:cs="Arial"/>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 xml:space="preserve">Como viene de decirse, en el trámite del desacato se requirió a la Representante Legal a nivel regional de la entidad de salud, y debido al incumplimiento de la orden constitucional dispuesta en sentencia del 15 de mayo de 2015, se procedió a sancionarla con cinco días de arresto y multa de cinco salarios mínimos legales mensuales vigentes. </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Aunque, en realidad, se observa cierto retardo en el cumplimiento del fallo, se debe tener presente que según constancia que obra a folio 4 del cuaderno 2, el señor Adonay López Cárdenas informó que desde hace un mes le están suministrando oportunamente la medicina requerida (“</w:t>
      </w:r>
      <w:proofErr w:type="spellStart"/>
      <w:r>
        <w:rPr>
          <w:rFonts w:ascii="Gadugi" w:eastAsia="Times New Roman" w:hAnsi="Gadugi" w:cs="Arial"/>
          <w:sz w:val="24"/>
          <w:szCs w:val="24"/>
          <w:lang w:eastAsia="es-ES"/>
        </w:rPr>
        <w:t>VITALUX</w:t>
      </w:r>
      <w:proofErr w:type="spellEnd"/>
      <w:r>
        <w:rPr>
          <w:rFonts w:ascii="Gadugi" w:eastAsia="Times New Roman" w:hAnsi="Gadugi" w:cs="Arial"/>
          <w:sz w:val="24"/>
          <w:szCs w:val="24"/>
          <w:lang w:eastAsia="es-ES"/>
        </w:rPr>
        <w:t xml:space="preserve"> PLUS – OMEGA 3”), por lo que se da por satisfecho con la orden de tutela. </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 xml:space="preserve">Al respecto, cabe señalar, que en estos casos no se trata de sancionar, simplemente por sancionar, sino que a ello se debe proceder cuando en realidad el funcionario constitucional advierte que el obligado a cumplir la sentencia de tutela tiene el ánimo mal intencionado de dilatar o incumplir la orden que se le ha dado, circunstancia que no se vislumbra en el presente asunto, pues, como se explicó, a pesar de la tardanza, le han estado entregando de manera puntual la droga que reclama mediante el presente trámite. </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sz w:val="24"/>
          <w:szCs w:val="24"/>
          <w:lang w:eastAsia="es-ES"/>
        </w:rPr>
      </w:pPr>
      <w:r>
        <w:rPr>
          <w:rFonts w:ascii="Gadugi" w:eastAsia="Times New Roman" w:hAnsi="Gadugi" w:cs="Estrangelo Edessa"/>
          <w:sz w:val="24"/>
          <w:szCs w:val="24"/>
          <w:lang w:eastAsia="es-ES"/>
        </w:rPr>
        <w:lastRenderedPageBreak/>
        <w:t xml:space="preserve">Recientemente se recordó que: </w:t>
      </w: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sz w:val="24"/>
          <w:szCs w:val="24"/>
          <w:lang w:val="es-CO" w:eastAsia="es-ES"/>
        </w:rPr>
      </w:pPr>
    </w:p>
    <w:p w:rsidR="00E378EA" w:rsidRDefault="00E378EA" w:rsidP="00E378EA">
      <w:pPr>
        <w:overflowPunct w:val="0"/>
        <w:autoSpaceDE w:val="0"/>
        <w:autoSpaceDN w:val="0"/>
        <w:adjustRightInd w:val="0"/>
        <w:spacing w:after="0" w:line="240" w:lineRule="auto"/>
        <w:ind w:left="851" w:right="901" w:firstLine="1984"/>
        <w:jc w:val="both"/>
        <w:rPr>
          <w:rFonts w:ascii="Arial Narrow" w:eastAsia="Times New Roman" w:hAnsi="Arial Narrow"/>
          <w:sz w:val="24"/>
          <w:szCs w:val="24"/>
          <w:lang w:eastAsia="es-ES"/>
        </w:rPr>
      </w:pPr>
      <w:r>
        <w:rPr>
          <w:rFonts w:ascii="Arial Narrow" w:eastAsia="Times New Roman" w:hAnsi="Arial Narrow"/>
          <w:sz w:val="24"/>
          <w:szCs w:val="24"/>
          <w:lang w:eastAsia="es-ES"/>
        </w:rPr>
        <w:t>“</w:t>
      </w:r>
      <w:r>
        <w:rPr>
          <w:rFonts w:ascii="Arial Narrow" w:eastAsia="Times New Roman" w:hAnsi="Arial Narrow"/>
          <w:sz w:val="24"/>
          <w:szCs w:val="24"/>
          <w:lang w:val="es-MX" w:eastAsia="es-ES"/>
        </w:rPr>
        <w:t>147. Desde sus primeras providencias la Corte Constitucional ha diferenciado entre el cumplimiento de las sentencias de tutela y el incidente de desacato. En sentencia T-458 de 2003</w:t>
      </w:r>
      <w:r>
        <w:rPr>
          <w:rFonts w:ascii="Arial Narrow" w:eastAsia="Times New Roman" w:hAnsi="Arial Narrow"/>
          <w:sz w:val="24"/>
          <w:szCs w:val="24"/>
          <w:vertAlign w:val="superscript"/>
          <w:lang w:val="es-MX" w:eastAsia="es-ES"/>
        </w:rPr>
        <w:footnoteReference w:id="3"/>
      </w:r>
      <w:r>
        <w:rPr>
          <w:rFonts w:ascii="Arial Narrow" w:eastAsia="Times New Roman" w:hAnsi="Arial Narrow"/>
          <w:sz w:val="24"/>
          <w:szCs w:val="24"/>
          <w:lang w:val="es-MX" w:eastAsia="es-ES"/>
        </w:rPr>
        <w:t xml:space="preserve"> estas disparidades se hicieron explícitas: (i) </w:t>
      </w:r>
      <w:r>
        <w:rPr>
          <w:rFonts w:ascii="Arial Narrow" w:eastAsia="Times New Roman" w:hAnsi="Arial Narrow"/>
          <w:i/>
          <w:sz w:val="24"/>
          <w:szCs w:val="24"/>
          <w:lang w:val="es-MX" w:eastAsia="es-ES"/>
        </w:rPr>
        <w:t>“e</w:t>
      </w:r>
      <w:r>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Pr>
          <w:rFonts w:ascii="Arial Narrow" w:eastAsia="Times New Roman" w:hAnsi="Arial Narrow"/>
          <w:sz w:val="24"/>
          <w:szCs w:val="24"/>
          <w:lang w:eastAsia="es-ES"/>
        </w:rPr>
        <w:t xml:space="preserve">” y; (ii) </w:t>
      </w:r>
      <w:r>
        <w:rPr>
          <w:rFonts w:ascii="Arial Narrow" w:eastAsia="Times New Roman" w:hAnsi="Arial Narrow"/>
          <w:i/>
          <w:sz w:val="24"/>
          <w:szCs w:val="24"/>
          <w:lang w:eastAsia="es-ES"/>
        </w:rPr>
        <w:t>“la responsabilidad exigida para el cumplimiento es objetiva, la exigida para el desacato es subjetiva”</w:t>
      </w:r>
      <w:r>
        <w:rPr>
          <w:rFonts w:ascii="Arial Narrow" w:eastAsia="Times New Roman" w:hAnsi="Arial Narrow"/>
          <w:sz w:val="24"/>
          <w:szCs w:val="24"/>
          <w:lang w:eastAsia="es-ES"/>
        </w:rPr>
        <w:t>.</w:t>
      </w:r>
    </w:p>
    <w:p w:rsidR="00E378EA" w:rsidRDefault="00E378EA" w:rsidP="00E378EA">
      <w:pPr>
        <w:overflowPunct w:val="0"/>
        <w:autoSpaceDE w:val="0"/>
        <w:autoSpaceDN w:val="0"/>
        <w:adjustRightInd w:val="0"/>
        <w:spacing w:after="0" w:line="240" w:lineRule="auto"/>
        <w:ind w:left="851" w:right="901" w:firstLine="1984"/>
        <w:jc w:val="both"/>
        <w:rPr>
          <w:rFonts w:ascii="Arial Narrow" w:eastAsia="Times New Roman" w:hAnsi="Arial Narrow"/>
          <w:sz w:val="24"/>
          <w:szCs w:val="24"/>
          <w:lang w:eastAsia="es-ES"/>
        </w:rPr>
      </w:pPr>
    </w:p>
    <w:p w:rsidR="00E378EA" w:rsidRDefault="00E378EA" w:rsidP="00E378EA">
      <w:pPr>
        <w:overflowPunct w:val="0"/>
        <w:autoSpaceDE w:val="0"/>
        <w:autoSpaceDN w:val="0"/>
        <w:adjustRightInd w:val="0"/>
        <w:spacing w:after="0" w:line="240" w:lineRule="auto"/>
        <w:ind w:left="851" w:right="901" w:firstLine="1984"/>
        <w:jc w:val="both"/>
        <w:rPr>
          <w:rFonts w:ascii="Arial Narrow" w:eastAsia="Times New Roman" w:hAnsi="Arial Narrow"/>
          <w:sz w:val="24"/>
          <w:szCs w:val="24"/>
          <w:lang w:eastAsia="es-ES"/>
        </w:rPr>
      </w:pPr>
      <w:r>
        <w:rPr>
          <w:rFonts w:ascii="Arial Narrow" w:eastAsia="Times New Roman" w:hAnsi="Arial Narrow"/>
          <w:sz w:val="24"/>
          <w:szCs w:val="24"/>
          <w:lang w:eastAsia="es-ES"/>
        </w:rPr>
        <w:t xml:space="preserve">148. Entonces, mientras el trámite de cumplimiento obliga al juez de tutela a adoptar todas las medidas que encuentre necesarias para la materializar la protección concedida, el desacato es un mecanismo </w:t>
      </w:r>
      <w:r>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Pr>
          <w:rFonts w:ascii="Arial Narrow" w:eastAsia="Times New Roman" w:hAnsi="Arial Narrow"/>
          <w:sz w:val="24"/>
          <w:szCs w:val="24"/>
          <w:lang w:eastAsia="es-ES"/>
        </w:rPr>
        <w:t xml:space="preserve">. Así, el desacato ha sido entendido </w:t>
      </w:r>
      <w:r>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Pr>
          <w:rFonts w:ascii="Arial Narrow" w:eastAsia="Times New Roman" w:hAnsi="Arial Narrow"/>
          <w:sz w:val="24"/>
          <w:szCs w:val="24"/>
          <w:lang w:eastAsia="es-ES"/>
        </w:rPr>
        <w:t xml:space="preserve">. En otras palabras, </w:t>
      </w:r>
      <w:r>
        <w:rPr>
          <w:rFonts w:ascii="Arial Narrow" w:eastAsia="Times New Roman" w:hAnsi="Arial Narrow"/>
          <w:i/>
          <w:sz w:val="24"/>
          <w:szCs w:val="24"/>
          <w:lang w:eastAsia="es-ES"/>
        </w:rPr>
        <w:t>“el principal propósito de este trámite se centra en conseguir que el obligado obedezca la orden impuesta en la providencia originada a partir de la resolución de un recurso de amparo constitucional</w:t>
      </w:r>
      <w:r>
        <w:rPr>
          <w:rFonts w:ascii="Arial Narrow" w:eastAsia="Times New Roman" w:hAnsi="Arial Narrow"/>
          <w:sz w:val="24"/>
          <w:szCs w:val="24"/>
          <w:lang w:eastAsia="es-ES"/>
        </w:rPr>
        <w:t xml:space="preserve">”. Por esa razón, </w:t>
      </w:r>
      <w:r>
        <w:rPr>
          <w:rFonts w:ascii="Arial Narrow" w:eastAsia="Times New Roman" w:hAnsi="Arial Narrow"/>
          <w:i/>
          <w:sz w:val="24"/>
          <w:szCs w:val="24"/>
          <w:lang w:eastAsia="es-ES"/>
        </w:rPr>
        <w:t>“la finalidad del mencionado incidente no es la imposición de una sanción en sí misma, sino que debe considerarse como una de las formas de buscar el cumplimiento de la respectiva sentencia”</w:t>
      </w:r>
      <w:r>
        <w:rPr>
          <w:rFonts w:ascii="Arial Narrow" w:eastAsia="Times New Roman" w:hAnsi="Arial Narrow"/>
          <w:sz w:val="24"/>
          <w:szCs w:val="24"/>
          <w:vertAlign w:val="superscript"/>
          <w:lang w:eastAsia="es-ES"/>
        </w:rPr>
        <w:footnoteReference w:id="4"/>
      </w:r>
      <w:r>
        <w:rPr>
          <w:rFonts w:ascii="Arial Narrow" w:eastAsia="Times New Roman" w:hAnsi="Arial Narrow"/>
          <w:sz w:val="24"/>
          <w:szCs w:val="24"/>
          <w:lang w:eastAsia="es-ES"/>
        </w:rPr>
        <w:t>.</w:t>
      </w:r>
    </w:p>
    <w:p w:rsidR="00E378EA" w:rsidRDefault="00E378EA" w:rsidP="00E378EA">
      <w:pPr>
        <w:overflowPunct w:val="0"/>
        <w:autoSpaceDE w:val="0"/>
        <w:autoSpaceDN w:val="0"/>
        <w:adjustRightInd w:val="0"/>
        <w:spacing w:after="0" w:line="240" w:lineRule="auto"/>
        <w:ind w:left="851" w:right="901" w:firstLine="1984"/>
        <w:jc w:val="both"/>
        <w:rPr>
          <w:rFonts w:ascii="Arial Narrow" w:eastAsia="Times New Roman" w:hAnsi="Arial Narrow"/>
          <w:sz w:val="24"/>
          <w:szCs w:val="24"/>
          <w:lang w:eastAsia="es-ES"/>
        </w:rPr>
      </w:pPr>
    </w:p>
    <w:p w:rsidR="00E378EA" w:rsidRDefault="00E378EA" w:rsidP="00E378EA">
      <w:pPr>
        <w:overflowPunct w:val="0"/>
        <w:autoSpaceDE w:val="0"/>
        <w:autoSpaceDN w:val="0"/>
        <w:adjustRightInd w:val="0"/>
        <w:spacing w:after="0" w:line="240" w:lineRule="auto"/>
        <w:ind w:left="851" w:right="901" w:firstLine="1984"/>
        <w:jc w:val="both"/>
        <w:rPr>
          <w:rFonts w:ascii="Arial Narrow" w:eastAsia="Times New Roman" w:hAnsi="Arial Narrow"/>
          <w:sz w:val="24"/>
          <w:szCs w:val="24"/>
          <w:lang w:eastAsia="es-ES"/>
        </w:rPr>
      </w:pPr>
      <w:r>
        <w:rPr>
          <w:rFonts w:ascii="Arial Narrow" w:eastAsia="Times New Roman" w:hAnsi="Arial Narrow"/>
          <w:sz w:val="24"/>
          <w:szCs w:val="24"/>
          <w:lang w:eastAsia="es-ES"/>
        </w:rPr>
        <w:t xml:space="preserve">149. Debido a lo expuesto, </w:t>
      </w:r>
      <w:r>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Narrow" w:eastAsia="Times New Roman" w:hAnsi="Arial Narrow"/>
          <w:i/>
          <w:sz w:val="24"/>
          <w:szCs w:val="24"/>
          <w:lang w:eastAsia="es-ES"/>
        </w:rPr>
        <w:t>”</w:t>
      </w:r>
      <w:r>
        <w:rPr>
          <w:rFonts w:ascii="Arial Narrow" w:eastAsia="Times New Roman" w:hAnsi="Arial Narrow"/>
          <w:sz w:val="24"/>
          <w:szCs w:val="24"/>
          <w:vertAlign w:val="superscript"/>
          <w:lang w:eastAsia="es-ES"/>
        </w:rPr>
        <w:footnoteReference w:id="5"/>
      </w:r>
      <w:r>
        <w:rPr>
          <w:rFonts w:ascii="Arial Narrow" w:eastAsia="Times New Roman" w:hAnsi="Arial Narrow"/>
          <w:sz w:val="24"/>
          <w:szCs w:val="24"/>
          <w:lang w:eastAsia="es-ES"/>
        </w:rPr>
        <w:t xml:space="preserve">. (Subrayado fuera del original)” </w:t>
      </w:r>
      <w:r>
        <w:rPr>
          <w:rFonts w:ascii="Arial Narrow" w:eastAsia="Times New Roman" w:hAnsi="Arial Narrow"/>
          <w:sz w:val="24"/>
          <w:szCs w:val="24"/>
          <w:vertAlign w:val="superscript"/>
          <w:lang w:eastAsia="es-ES"/>
        </w:rPr>
        <w:footnoteReference w:id="6"/>
      </w:r>
    </w:p>
    <w:p w:rsidR="00E378EA" w:rsidRDefault="00E378EA" w:rsidP="00E378EA">
      <w:pPr>
        <w:overflowPunct w:val="0"/>
        <w:autoSpaceDE w:val="0"/>
        <w:autoSpaceDN w:val="0"/>
        <w:adjustRightInd w:val="0"/>
        <w:spacing w:after="0" w:line="312" w:lineRule="auto"/>
        <w:jc w:val="both"/>
        <w:rPr>
          <w:rFonts w:ascii="Gadugi" w:eastAsia="Times New Roman" w:hAnsi="Gadugi" w:cs="Arial"/>
          <w:sz w:val="24"/>
          <w:szCs w:val="24"/>
          <w:lang w:eastAsia="es-ES"/>
        </w:rPr>
      </w:pPr>
    </w:p>
    <w:p w:rsidR="00E378EA" w:rsidRDefault="00E378EA" w:rsidP="00E378EA">
      <w:pPr>
        <w:tabs>
          <w:tab w:val="left" w:pos="2835"/>
        </w:tabs>
        <w:overflowPunct w:val="0"/>
        <w:autoSpaceDE w:val="0"/>
        <w:autoSpaceDN w:val="0"/>
        <w:adjustRightInd w:val="0"/>
        <w:spacing w:after="0" w:line="312" w:lineRule="auto"/>
        <w:ind w:firstLine="2835"/>
        <w:jc w:val="both"/>
        <w:rPr>
          <w:rFonts w:ascii="Gadugi" w:eastAsia="Times New Roman" w:hAnsi="Gadugi" w:cs="Estrangelo Edessa"/>
          <w:sz w:val="24"/>
          <w:szCs w:val="24"/>
          <w:lang w:eastAsia="es-ES"/>
        </w:rPr>
      </w:pPr>
      <w:r>
        <w:rPr>
          <w:rFonts w:ascii="Gadugi" w:eastAsia="Times New Roman" w:hAnsi="Gadugi" w:cs="Estrangelo Edessa"/>
          <w:sz w:val="24"/>
          <w:szCs w:val="24"/>
          <w:lang w:eastAsia="es-ES"/>
        </w:rPr>
        <w:t xml:space="preserve">Diferenciación que es muy importante tener presente en el caso de ahora, porque objetivamente, valga insistir, está claro que la entidad conminada al cumplimiento del fallo no acató la sentencia en el tiempo que se le otorgó para ello. Pero, esa responsabilidad objetiva que da margen al </w:t>
      </w:r>
      <w:r>
        <w:rPr>
          <w:rFonts w:ascii="Gadugi" w:eastAsia="Times New Roman" w:hAnsi="Gadugi" w:cs="Estrangelo Edessa"/>
          <w:sz w:val="24"/>
          <w:szCs w:val="24"/>
          <w:lang w:eastAsia="es-ES"/>
        </w:rPr>
        <w:lastRenderedPageBreak/>
        <w:t xml:space="preserve">incumplimiento, no se traduce necesariamente en una de carácter subjetivo que abra paso al desacato, con la imposición de las sanciones que son de rigor, porque existe plena prueba de que por parte de la </w:t>
      </w:r>
      <w:proofErr w:type="spellStart"/>
      <w:r>
        <w:rPr>
          <w:rFonts w:ascii="Gadugi" w:eastAsia="Times New Roman" w:hAnsi="Gadugi" w:cs="Estrangelo Edessa"/>
          <w:sz w:val="24"/>
          <w:szCs w:val="24"/>
          <w:lang w:eastAsia="es-ES"/>
        </w:rPr>
        <w:t>EPS</w:t>
      </w:r>
      <w:proofErr w:type="spellEnd"/>
      <w:r>
        <w:rPr>
          <w:rFonts w:ascii="Gadugi" w:eastAsia="Times New Roman" w:hAnsi="Gadugi" w:cs="Estrangelo Edessa"/>
          <w:sz w:val="24"/>
          <w:szCs w:val="24"/>
          <w:lang w:eastAsia="es-ES"/>
        </w:rPr>
        <w:t xml:space="preserve"> accionada se hizo la entrega efectiva del medicamento “</w:t>
      </w:r>
      <w:proofErr w:type="spellStart"/>
      <w:r>
        <w:rPr>
          <w:rFonts w:ascii="Gadugi" w:eastAsia="Times New Roman" w:hAnsi="Gadugi" w:cs="Estrangelo Edessa"/>
          <w:sz w:val="24"/>
          <w:szCs w:val="24"/>
          <w:lang w:eastAsia="es-ES"/>
        </w:rPr>
        <w:t>VITALUX</w:t>
      </w:r>
      <w:proofErr w:type="spellEnd"/>
      <w:r>
        <w:rPr>
          <w:rFonts w:ascii="Gadugi" w:eastAsia="Times New Roman" w:hAnsi="Gadugi" w:cs="Estrangelo Edessa"/>
          <w:sz w:val="24"/>
          <w:szCs w:val="24"/>
          <w:lang w:eastAsia="es-ES"/>
        </w:rPr>
        <w:t xml:space="preserve"> PLUS – OMEGA 3” que requería el actor.                                                                                                                                                                                                                                                                                                                                                                                                                                                                                                                                                                                                                                                                                                                                                                                                                                                                                                                                                                                                                                                                                                                                                                                                                                                                                                                                                                                                              </w:t>
      </w:r>
    </w:p>
    <w:p w:rsidR="00E378EA" w:rsidRDefault="00E378EA" w:rsidP="00E378EA">
      <w:pPr>
        <w:spacing w:after="0" w:line="312" w:lineRule="auto"/>
        <w:ind w:firstLine="2835"/>
        <w:jc w:val="both"/>
        <w:rPr>
          <w:rFonts w:ascii="Gadugi" w:eastAsia="Times New Roman" w:hAnsi="Gadugi" w:cs="Estrangelo Edessa"/>
          <w:color w:val="000000"/>
          <w:sz w:val="24"/>
          <w:szCs w:val="24"/>
          <w:lang w:val="es-CO" w:eastAsia="es-ES"/>
        </w:rPr>
      </w:pPr>
      <w:r>
        <w:rPr>
          <w:rFonts w:ascii="Gadugi" w:eastAsia="Times New Roman" w:hAnsi="Gadugi" w:cs="Arial"/>
          <w:sz w:val="24"/>
          <w:szCs w:val="24"/>
          <w:lang w:eastAsia="es-ES"/>
        </w:rPr>
        <w:t xml:space="preserve">Así las cosas, y en vista de que no se nota una actitud totalmente indiferente por parte de la entidad frente a lo ordenado en la acción constitucional, se revocarán las sanciones que se le ha impuesto a María Lorena Serna Montoya, en calidad de Representante Regional de la NUEVA </w:t>
      </w:r>
      <w:proofErr w:type="spellStart"/>
      <w:r>
        <w:rPr>
          <w:rFonts w:ascii="Gadugi" w:eastAsia="Times New Roman" w:hAnsi="Gadugi" w:cs="Arial"/>
          <w:sz w:val="24"/>
          <w:szCs w:val="24"/>
          <w:lang w:eastAsia="es-ES"/>
        </w:rPr>
        <w:t>EPS</w:t>
      </w:r>
      <w:proofErr w:type="spellEnd"/>
      <w:r>
        <w:rPr>
          <w:rFonts w:ascii="Gadugi" w:eastAsia="Times New Roman" w:hAnsi="Gadugi" w:cs="Arial"/>
          <w:sz w:val="24"/>
          <w:szCs w:val="24"/>
          <w:lang w:eastAsia="es-ES"/>
        </w:rPr>
        <w:t xml:space="preserve">, y en su lugar, se absolverá, sin que sirva ello de soporte para que en un futuro se siga incurriendo en la falta que dio lugar a este trámite. </w:t>
      </w:r>
    </w:p>
    <w:p w:rsidR="00E378EA" w:rsidRDefault="00E378EA" w:rsidP="00E378EA">
      <w:pPr>
        <w:overflowPunct w:val="0"/>
        <w:autoSpaceDE w:val="0"/>
        <w:autoSpaceDN w:val="0"/>
        <w:adjustRightInd w:val="0"/>
        <w:spacing w:after="0" w:line="312" w:lineRule="auto"/>
        <w:jc w:val="both"/>
        <w:rPr>
          <w:rFonts w:ascii="Gadugi" w:eastAsia="MS Mincho" w:hAnsi="Gadugi" w:cs="Estrangelo Edessa"/>
          <w:color w:val="000000"/>
          <w:sz w:val="24"/>
          <w:szCs w:val="24"/>
          <w:lang w:eastAsia="es-ES"/>
        </w:rPr>
      </w:pPr>
      <w:r>
        <w:rPr>
          <w:rFonts w:ascii="Gadugi" w:eastAsia="MS Mincho" w:hAnsi="Gadugi" w:cs="Estrangelo Edessa"/>
          <w:color w:val="000000"/>
          <w:sz w:val="24"/>
          <w:szCs w:val="24"/>
          <w:lang w:eastAsia="es-ES"/>
        </w:rPr>
        <w:t xml:space="preserve">  </w:t>
      </w:r>
    </w:p>
    <w:p w:rsidR="00E378EA" w:rsidRDefault="00E378EA" w:rsidP="00E378EA">
      <w:pPr>
        <w:tabs>
          <w:tab w:val="left" w:pos="708"/>
          <w:tab w:val="center" w:pos="4419"/>
          <w:tab w:val="right" w:pos="8838"/>
        </w:tabs>
        <w:overflowPunct w:val="0"/>
        <w:autoSpaceDE w:val="0"/>
        <w:autoSpaceDN w:val="0"/>
        <w:adjustRightInd w:val="0"/>
        <w:spacing w:after="0" w:line="312" w:lineRule="auto"/>
        <w:jc w:val="both"/>
        <w:rPr>
          <w:rFonts w:ascii="Gadugi" w:eastAsia="Times New Roman" w:hAnsi="Gadugi"/>
          <w:sz w:val="24"/>
          <w:szCs w:val="24"/>
          <w:lang w:eastAsia="es-ES"/>
        </w:rPr>
      </w:pPr>
    </w:p>
    <w:p w:rsidR="00E378EA" w:rsidRDefault="00E378EA" w:rsidP="00E378EA">
      <w:pPr>
        <w:tabs>
          <w:tab w:val="left" w:pos="708"/>
          <w:tab w:val="center" w:pos="4419"/>
          <w:tab w:val="right" w:pos="8838"/>
        </w:tabs>
        <w:overflowPunct w:val="0"/>
        <w:autoSpaceDE w:val="0"/>
        <w:autoSpaceDN w:val="0"/>
        <w:adjustRightInd w:val="0"/>
        <w:spacing w:after="0" w:line="312" w:lineRule="auto"/>
        <w:ind w:firstLine="2835"/>
        <w:jc w:val="both"/>
        <w:rPr>
          <w:rFonts w:ascii="Gadugi" w:eastAsia="Times New Roman" w:hAnsi="Gadugi"/>
          <w:b/>
          <w:sz w:val="24"/>
          <w:szCs w:val="24"/>
          <w:lang w:eastAsia="es-ES"/>
        </w:rPr>
      </w:pPr>
      <w:r>
        <w:rPr>
          <w:rFonts w:ascii="Gadugi" w:eastAsia="Times New Roman" w:hAnsi="Gadugi"/>
          <w:b/>
          <w:sz w:val="24"/>
          <w:szCs w:val="24"/>
          <w:lang w:eastAsia="es-ES"/>
        </w:rPr>
        <w:t>DECISIÓN</w:t>
      </w:r>
    </w:p>
    <w:p w:rsidR="00E378EA" w:rsidRDefault="00E378EA" w:rsidP="00E378EA">
      <w:pPr>
        <w:overflowPunct w:val="0"/>
        <w:autoSpaceDE w:val="0"/>
        <w:autoSpaceDN w:val="0"/>
        <w:adjustRightInd w:val="0"/>
        <w:spacing w:after="0" w:line="312" w:lineRule="auto"/>
        <w:jc w:val="both"/>
        <w:rPr>
          <w:rFonts w:ascii="Gadugi" w:eastAsia="Times New Roman" w:hAnsi="Gadugi"/>
          <w:b/>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cs="Estrangelo Edessa"/>
          <w:color w:val="000000"/>
          <w:sz w:val="24"/>
          <w:szCs w:val="24"/>
          <w:lang w:eastAsia="es-ES"/>
        </w:rPr>
      </w:pPr>
      <w:r>
        <w:rPr>
          <w:rFonts w:ascii="Gadugi" w:eastAsia="Times New Roman" w:hAnsi="Gadugi"/>
          <w:sz w:val="24"/>
          <w:szCs w:val="24"/>
          <w:lang w:eastAsia="es-ES"/>
        </w:rPr>
        <w:t xml:space="preserve">En mérito de lo dicho, la Sala Civil-Familia Unitaria del Tribunal Superior de Pereira, </w:t>
      </w:r>
      <w:r>
        <w:rPr>
          <w:rFonts w:ascii="Gadugi" w:eastAsia="Times New Roman" w:hAnsi="Gadugi"/>
          <w:b/>
          <w:sz w:val="24"/>
          <w:szCs w:val="24"/>
          <w:lang w:eastAsia="es-ES"/>
        </w:rPr>
        <w:t xml:space="preserve">REVOCA </w:t>
      </w:r>
      <w:r>
        <w:rPr>
          <w:rFonts w:ascii="Gadugi" w:eastAsia="Times New Roman" w:hAnsi="Gadugi" w:cs="Arial"/>
          <w:sz w:val="24"/>
          <w:szCs w:val="24"/>
          <w:lang w:eastAsia="es-ES"/>
        </w:rPr>
        <w:t>el auto proferido por el Juzgado</w:t>
      </w:r>
      <w:r>
        <w:rPr>
          <w:rFonts w:ascii="Gadugi" w:eastAsia="Times New Roman" w:hAnsi="Gadugi" w:cs="Estrangelo Edessa"/>
          <w:color w:val="000000"/>
          <w:sz w:val="24"/>
          <w:szCs w:val="24"/>
          <w:lang w:eastAsia="es-ES"/>
        </w:rPr>
        <w:t xml:space="preserve"> Tercero Civil del Circuito de esta ciudad, el pasado 6 de marzo, por medio del </w:t>
      </w:r>
      <w:proofErr w:type="gramStart"/>
      <w:r>
        <w:rPr>
          <w:rFonts w:ascii="Gadugi" w:eastAsia="Times New Roman" w:hAnsi="Gadugi" w:cs="Estrangelo Edessa"/>
          <w:color w:val="000000"/>
          <w:sz w:val="24"/>
          <w:szCs w:val="24"/>
          <w:lang w:eastAsia="es-ES"/>
        </w:rPr>
        <w:t>cual</w:t>
      </w:r>
      <w:proofErr w:type="gramEnd"/>
      <w:r>
        <w:rPr>
          <w:rFonts w:ascii="Gadugi" w:eastAsia="Times New Roman" w:hAnsi="Gadugi" w:cs="Estrangelo Edessa"/>
          <w:color w:val="000000"/>
          <w:sz w:val="24"/>
          <w:szCs w:val="24"/>
          <w:lang w:eastAsia="es-ES"/>
        </w:rPr>
        <w:t xml:space="preserve"> se sancionó a </w:t>
      </w:r>
      <w:r>
        <w:rPr>
          <w:rFonts w:ascii="Gadugi" w:eastAsia="Times New Roman" w:hAnsi="Gadugi" w:cs="Estrangelo Edessa"/>
          <w:b/>
          <w:color w:val="000000"/>
          <w:sz w:val="24"/>
          <w:szCs w:val="24"/>
          <w:lang w:eastAsia="es-ES"/>
        </w:rPr>
        <w:t xml:space="preserve">María Lorena Serna Montoya, </w:t>
      </w:r>
      <w:r>
        <w:rPr>
          <w:rFonts w:ascii="Gadugi" w:eastAsia="Times New Roman" w:hAnsi="Gadugi" w:cs="Estrangelo Edessa"/>
          <w:color w:val="000000"/>
          <w:sz w:val="24"/>
          <w:szCs w:val="24"/>
          <w:lang w:eastAsia="es-ES"/>
        </w:rPr>
        <w:t xml:space="preserve">en calidad de Gerente a nivel regional de la NUEVA </w:t>
      </w:r>
      <w:proofErr w:type="spellStart"/>
      <w:r>
        <w:rPr>
          <w:rFonts w:ascii="Gadugi" w:eastAsia="Times New Roman" w:hAnsi="Gadugi" w:cs="Estrangelo Edessa"/>
          <w:color w:val="000000"/>
          <w:sz w:val="24"/>
          <w:szCs w:val="24"/>
          <w:lang w:eastAsia="es-ES"/>
        </w:rPr>
        <w:t>EPS</w:t>
      </w:r>
      <w:proofErr w:type="spellEnd"/>
      <w:r>
        <w:rPr>
          <w:rFonts w:ascii="Gadugi" w:eastAsia="Times New Roman" w:hAnsi="Gadugi" w:cs="Estrangelo Edessa"/>
          <w:color w:val="000000"/>
          <w:sz w:val="24"/>
          <w:szCs w:val="24"/>
          <w:lang w:eastAsia="es-ES"/>
        </w:rPr>
        <w:t xml:space="preserve">, dentro de la acción de tutela que contra dicha entidad inició </w:t>
      </w:r>
      <w:r>
        <w:rPr>
          <w:rFonts w:ascii="Gadugi" w:eastAsia="Times New Roman" w:hAnsi="Gadugi" w:cs="Estrangelo Edessa"/>
          <w:b/>
          <w:color w:val="000000"/>
          <w:sz w:val="24"/>
          <w:szCs w:val="24"/>
          <w:lang w:eastAsia="es-ES"/>
        </w:rPr>
        <w:t>Adonay López Cárdenas.</w:t>
      </w:r>
      <w:r>
        <w:rPr>
          <w:rFonts w:ascii="Gadugi" w:eastAsia="Times New Roman" w:hAnsi="Gadugi" w:cs="Estrangelo Edessa"/>
          <w:color w:val="000000"/>
          <w:sz w:val="24"/>
          <w:szCs w:val="24"/>
          <w:lang w:eastAsia="es-ES"/>
        </w:rPr>
        <w:t xml:space="preserve"> </w:t>
      </w:r>
    </w:p>
    <w:p w:rsidR="00E378EA" w:rsidRDefault="00E378EA" w:rsidP="00E378EA">
      <w:pPr>
        <w:overflowPunct w:val="0"/>
        <w:autoSpaceDE w:val="0"/>
        <w:autoSpaceDN w:val="0"/>
        <w:adjustRightInd w:val="0"/>
        <w:spacing w:after="0" w:line="312" w:lineRule="auto"/>
        <w:ind w:right="192"/>
        <w:jc w:val="both"/>
        <w:rPr>
          <w:rFonts w:ascii="Gadugi" w:eastAsia="Times New Roman" w:hAnsi="Gadugi" w:cs="Estrangelo Edessa"/>
          <w:color w:val="000000"/>
          <w:sz w:val="24"/>
          <w:szCs w:val="24"/>
          <w:lang w:eastAsia="es-ES"/>
        </w:rPr>
      </w:pPr>
    </w:p>
    <w:p w:rsidR="00E378EA" w:rsidRDefault="00E378EA" w:rsidP="00E378EA">
      <w:pPr>
        <w:overflowPunct w:val="0"/>
        <w:autoSpaceDE w:val="0"/>
        <w:autoSpaceDN w:val="0"/>
        <w:adjustRightInd w:val="0"/>
        <w:spacing w:after="0" w:line="312" w:lineRule="auto"/>
        <w:ind w:firstLine="2835"/>
        <w:jc w:val="both"/>
        <w:rPr>
          <w:rFonts w:ascii="Gadugi" w:eastAsia="Times New Roman" w:hAnsi="Gadugi"/>
          <w:sz w:val="24"/>
          <w:szCs w:val="24"/>
          <w:lang w:eastAsia="es-ES"/>
        </w:rPr>
      </w:pPr>
      <w:r>
        <w:rPr>
          <w:rFonts w:ascii="Gadugi" w:eastAsia="Times New Roman" w:hAnsi="Gadugi" w:cs="Arial"/>
          <w:sz w:val="24"/>
          <w:szCs w:val="24"/>
          <w:lang w:eastAsia="es-ES"/>
        </w:rPr>
        <w:t xml:space="preserve">En su lugar, se le </w:t>
      </w:r>
      <w:r>
        <w:rPr>
          <w:rFonts w:ascii="Gadugi" w:eastAsia="Times New Roman" w:hAnsi="Gadugi"/>
          <w:sz w:val="24"/>
          <w:szCs w:val="24"/>
          <w:lang w:eastAsia="es-ES"/>
        </w:rPr>
        <w:t>absuelve.</w:t>
      </w:r>
    </w:p>
    <w:p w:rsidR="00E378EA" w:rsidRDefault="00E378EA" w:rsidP="00E378EA">
      <w:pPr>
        <w:tabs>
          <w:tab w:val="left" w:pos="708"/>
          <w:tab w:val="center" w:pos="4419"/>
          <w:tab w:val="right" w:pos="8838"/>
        </w:tabs>
        <w:overflowPunct w:val="0"/>
        <w:autoSpaceDE w:val="0"/>
        <w:autoSpaceDN w:val="0"/>
        <w:adjustRightInd w:val="0"/>
        <w:spacing w:after="0" w:line="312" w:lineRule="auto"/>
        <w:jc w:val="both"/>
        <w:rPr>
          <w:rFonts w:ascii="Gadugi" w:eastAsia="Times New Roman" w:hAnsi="Gadugi"/>
          <w:sz w:val="24"/>
          <w:szCs w:val="24"/>
          <w:lang w:eastAsia="es-ES"/>
        </w:rPr>
      </w:pPr>
      <w:r>
        <w:rPr>
          <w:rFonts w:ascii="Gadugi" w:eastAsia="Times New Roman" w:hAnsi="Gadugi"/>
          <w:sz w:val="24"/>
          <w:szCs w:val="24"/>
          <w:lang w:eastAsia="es-ES"/>
        </w:rPr>
        <w:t xml:space="preserve"> </w:t>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p>
    <w:p w:rsidR="00E378EA" w:rsidRDefault="00E378EA" w:rsidP="00E378EA">
      <w:pPr>
        <w:overflowPunct w:val="0"/>
        <w:autoSpaceDE w:val="0"/>
        <w:autoSpaceDN w:val="0"/>
        <w:adjustRightInd w:val="0"/>
        <w:spacing w:after="0" w:line="312" w:lineRule="auto"/>
        <w:ind w:firstLine="2835"/>
        <w:rPr>
          <w:rFonts w:ascii="Gadugi" w:eastAsia="Times New Roman" w:hAnsi="Gadugi"/>
          <w:sz w:val="24"/>
          <w:szCs w:val="24"/>
          <w:lang w:eastAsia="es-ES"/>
        </w:rPr>
      </w:pPr>
      <w:r>
        <w:rPr>
          <w:rFonts w:ascii="Gadugi" w:eastAsia="Times New Roman" w:hAnsi="Gadugi"/>
          <w:sz w:val="24"/>
          <w:szCs w:val="24"/>
          <w:lang w:eastAsia="es-ES"/>
        </w:rPr>
        <w:t>Notifíquese esta decisión a las partes por el medio más expedito.</w:t>
      </w:r>
    </w:p>
    <w:p w:rsidR="00E378EA" w:rsidRDefault="00E378EA" w:rsidP="00E378EA">
      <w:pPr>
        <w:overflowPunct w:val="0"/>
        <w:autoSpaceDE w:val="0"/>
        <w:autoSpaceDN w:val="0"/>
        <w:adjustRightInd w:val="0"/>
        <w:spacing w:after="0" w:line="312" w:lineRule="auto"/>
        <w:ind w:firstLine="2835"/>
        <w:rPr>
          <w:rFonts w:ascii="Gadugi" w:eastAsia="Times New Roman" w:hAnsi="Gadugi"/>
          <w:sz w:val="24"/>
          <w:szCs w:val="24"/>
          <w:lang w:eastAsia="es-ES"/>
        </w:rPr>
      </w:pPr>
    </w:p>
    <w:p w:rsidR="00E378EA" w:rsidRDefault="00E378EA" w:rsidP="00E378EA">
      <w:pPr>
        <w:overflowPunct w:val="0"/>
        <w:autoSpaceDE w:val="0"/>
        <w:autoSpaceDN w:val="0"/>
        <w:adjustRightInd w:val="0"/>
        <w:spacing w:after="0" w:line="312" w:lineRule="auto"/>
        <w:ind w:firstLine="2835"/>
        <w:rPr>
          <w:rFonts w:ascii="Gadugi" w:eastAsia="Times New Roman" w:hAnsi="Gadugi"/>
          <w:sz w:val="24"/>
          <w:szCs w:val="24"/>
          <w:lang w:eastAsia="es-ES"/>
        </w:rPr>
      </w:pPr>
      <w:r>
        <w:rPr>
          <w:rFonts w:ascii="Gadugi" w:eastAsia="Times New Roman" w:hAnsi="Gadugi"/>
          <w:sz w:val="24"/>
          <w:szCs w:val="24"/>
          <w:lang w:eastAsia="es-ES"/>
        </w:rPr>
        <w:t>El Magistrado,</w:t>
      </w:r>
    </w:p>
    <w:p w:rsidR="00E378EA" w:rsidRDefault="00E378EA" w:rsidP="00E378EA">
      <w:pPr>
        <w:overflowPunct w:val="0"/>
        <w:autoSpaceDE w:val="0"/>
        <w:autoSpaceDN w:val="0"/>
        <w:adjustRightInd w:val="0"/>
        <w:spacing w:after="0" w:line="312" w:lineRule="auto"/>
        <w:ind w:firstLine="2835"/>
        <w:rPr>
          <w:rFonts w:ascii="Gadugi" w:eastAsia="Times New Roman" w:hAnsi="Gadugi"/>
          <w:sz w:val="24"/>
          <w:szCs w:val="24"/>
          <w:lang w:eastAsia="es-ES"/>
        </w:rPr>
      </w:pPr>
    </w:p>
    <w:p w:rsidR="00E378EA" w:rsidRDefault="00E378EA" w:rsidP="00E378EA">
      <w:pPr>
        <w:overflowPunct w:val="0"/>
        <w:autoSpaceDE w:val="0"/>
        <w:autoSpaceDN w:val="0"/>
        <w:adjustRightInd w:val="0"/>
        <w:spacing w:after="0" w:line="312" w:lineRule="auto"/>
        <w:rPr>
          <w:rFonts w:ascii="Gadugi" w:eastAsia="Times New Roman" w:hAnsi="Gadugi"/>
          <w:sz w:val="24"/>
          <w:szCs w:val="24"/>
          <w:lang w:eastAsia="es-ES"/>
        </w:rPr>
      </w:pPr>
    </w:p>
    <w:p w:rsidR="00E378EA" w:rsidRDefault="00E378EA" w:rsidP="00E378EA">
      <w:pPr>
        <w:overflowPunct w:val="0"/>
        <w:autoSpaceDE w:val="0"/>
        <w:autoSpaceDN w:val="0"/>
        <w:adjustRightInd w:val="0"/>
        <w:spacing w:after="0" w:line="312" w:lineRule="auto"/>
        <w:rPr>
          <w:rFonts w:ascii="Gadugi" w:eastAsia="Times New Roman" w:hAnsi="Gadugi"/>
          <w:sz w:val="24"/>
          <w:szCs w:val="24"/>
          <w:lang w:eastAsia="es-ES"/>
        </w:rPr>
      </w:pPr>
    </w:p>
    <w:p w:rsidR="00E378EA" w:rsidRDefault="00E378EA" w:rsidP="00B4139E">
      <w:pPr>
        <w:overflowPunct w:val="0"/>
        <w:autoSpaceDE w:val="0"/>
        <w:autoSpaceDN w:val="0"/>
        <w:adjustRightInd w:val="0"/>
        <w:spacing w:after="0" w:line="312" w:lineRule="auto"/>
        <w:ind w:firstLine="2835"/>
        <w:rPr>
          <w:rFonts w:ascii="Gadugi" w:eastAsia="Times New Roman" w:hAnsi="Gadugi"/>
          <w:b/>
          <w:sz w:val="24"/>
          <w:szCs w:val="24"/>
          <w:lang w:eastAsia="es-ES"/>
        </w:rPr>
      </w:pPr>
      <w:r>
        <w:rPr>
          <w:rFonts w:ascii="Gadugi" w:eastAsia="Times New Roman" w:hAnsi="Gadugi"/>
          <w:b/>
          <w:sz w:val="24"/>
          <w:szCs w:val="24"/>
          <w:lang w:eastAsia="es-ES"/>
        </w:rPr>
        <w:t>JAIME ALBERTO SARAZA NARANJO</w:t>
      </w:r>
      <w:bookmarkStart w:id="0" w:name="_GoBack"/>
      <w:bookmarkEnd w:id="0"/>
    </w:p>
    <w:p w:rsidR="00E378EA" w:rsidRDefault="00E378EA" w:rsidP="00E378EA">
      <w:pPr>
        <w:overflowPunct w:val="0"/>
        <w:autoSpaceDE w:val="0"/>
        <w:autoSpaceDN w:val="0"/>
        <w:adjustRightInd w:val="0"/>
        <w:spacing w:after="0" w:line="312" w:lineRule="auto"/>
        <w:rPr>
          <w:rFonts w:ascii="Gadugi" w:eastAsia="Times New Roman" w:hAnsi="Gadugi"/>
          <w:b/>
          <w:sz w:val="24"/>
          <w:szCs w:val="24"/>
          <w:lang w:eastAsia="es-ES"/>
        </w:rPr>
      </w:pPr>
    </w:p>
    <w:p w:rsidR="005F1135" w:rsidRDefault="003F7B9D"/>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9D" w:rsidRDefault="003F7B9D" w:rsidP="00E378EA">
      <w:pPr>
        <w:spacing w:after="0" w:line="240" w:lineRule="auto"/>
      </w:pPr>
      <w:r>
        <w:separator/>
      </w:r>
    </w:p>
  </w:endnote>
  <w:endnote w:type="continuationSeparator" w:id="0">
    <w:p w:rsidR="003F7B9D" w:rsidRDefault="003F7B9D" w:rsidP="00E3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9D" w:rsidRDefault="003F7B9D" w:rsidP="00E378EA">
      <w:pPr>
        <w:spacing w:after="0" w:line="240" w:lineRule="auto"/>
      </w:pPr>
      <w:r>
        <w:separator/>
      </w:r>
    </w:p>
  </w:footnote>
  <w:footnote w:type="continuationSeparator" w:id="0">
    <w:p w:rsidR="003F7B9D" w:rsidRDefault="003F7B9D" w:rsidP="00E378EA">
      <w:pPr>
        <w:spacing w:after="0" w:line="240" w:lineRule="auto"/>
      </w:pPr>
      <w:r>
        <w:continuationSeparator/>
      </w:r>
    </w:p>
  </w:footnote>
  <w:footnote w:id="1">
    <w:p w:rsidR="00E378EA" w:rsidRPr="00B4139E" w:rsidRDefault="00E378EA" w:rsidP="00E378EA">
      <w:pPr>
        <w:pStyle w:val="Notedebasdepage"/>
        <w:jc w:val="both"/>
        <w:rPr>
          <w:rFonts w:ascii="Agency FB" w:hAnsi="Agency FB"/>
          <w:lang w:val="en-GB"/>
        </w:rPr>
      </w:pPr>
      <w:r>
        <w:rPr>
          <w:rStyle w:val="Appelnotedebasdep"/>
          <w:rFonts w:ascii="Agency FB" w:hAnsi="Agency FB"/>
        </w:rPr>
        <w:footnoteRef/>
      </w:r>
      <w:r>
        <w:rPr>
          <w:rFonts w:ascii="Agency FB" w:hAnsi="Agency FB"/>
        </w:rPr>
        <w:t xml:space="preserve"> </w:t>
      </w:r>
      <w:r w:rsidRPr="00B4139E">
        <w:rPr>
          <w:rFonts w:ascii="Agency FB" w:hAnsi="Agency FB"/>
          <w:lang w:val="en-GB"/>
        </w:rPr>
        <w:t>Fls. 1 a 8, c, 1</w:t>
      </w:r>
    </w:p>
  </w:footnote>
  <w:footnote w:id="2">
    <w:p w:rsidR="00E378EA" w:rsidRPr="00B4139E" w:rsidRDefault="00E378EA" w:rsidP="00E378EA">
      <w:pPr>
        <w:pStyle w:val="Notedebasdepage"/>
        <w:jc w:val="both"/>
        <w:rPr>
          <w:rFonts w:ascii="Agency FB" w:hAnsi="Agency FB"/>
          <w:lang w:val="en-GB"/>
        </w:rPr>
      </w:pPr>
      <w:r>
        <w:rPr>
          <w:rStyle w:val="Appelnotedebasdep"/>
          <w:rFonts w:ascii="Agency FB" w:hAnsi="Agency FB"/>
        </w:rPr>
        <w:footnoteRef/>
      </w:r>
      <w:r>
        <w:rPr>
          <w:rFonts w:ascii="Agency FB" w:hAnsi="Agency FB"/>
        </w:rPr>
        <w:t xml:space="preserve"> </w:t>
      </w:r>
      <w:r w:rsidRPr="00B4139E">
        <w:rPr>
          <w:rFonts w:ascii="Agency FB" w:hAnsi="Agency FB"/>
          <w:lang w:val="en-GB"/>
        </w:rPr>
        <w:t>Fls. 14 a 17, c. 1</w:t>
      </w:r>
    </w:p>
  </w:footnote>
  <w:footnote w:id="3">
    <w:p w:rsidR="00E378EA" w:rsidRDefault="00E378EA" w:rsidP="00E378EA">
      <w:pPr>
        <w:pStyle w:val="Notedebasdepage"/>
        <w:jc w:val="both"/>
        <w:rPr>
          <w:rFonts w:ascii="Agency FB" w:hAnsi="Agency FB"/>
        </w:rPr>
      </w:pPr>
      <w:r>
        <w:rPr>
          <w:rFonts w:ascii="Agency FB" w:hAnsi="Agency FB"/>
          <w:vertAlign w:val="superscript"/>
        </w:rPr>
        <w:footnoteRef/>
      </w:r>
      <w:r>
        <w:rPr>
          <w:rFonts w:ascii="Agency FB" w:hAnsi="Agency FB"/>
        </w:rPr>
        <w:t xml:space="preserve"> </w:t>
      </w:r>
      <w:proofErr w:type="spellStart"/>
      <w:r>
        <w:rPr>
          <w:rFonts w:ascii="Agency FB" w:hAnsi="Agency FB"/>
        </w:rPr>
        <w:t>M.P</w:t>
      </w:r>
      <w:proofErr w:type="spellEnd"/>
      <w:r>
        <w:rPr>
          <w:rFonts w:ascii="Agency FB" w:hAnsi="Agency FB"/>
        </w:rPr>
        <w:t>. Marco Gerardo Monroy Cabra.</w:t>
      </w:r>
    </w:p>
  </w:footnote>
  <w:footnote w:id="4">
    <w:p w:rsidR="00E378EA" w:rsidRDefault="00E378EA" w:rsidP="00E378EA">
      <w:pPr>
        <w:pStyle w:val="Notedebasdepage"/>
        <w:jc w:val="both"/>
        <w:rPr>
          <w:rFonts w:ascii="Agency FB" w:hAnsi="Agency FB"/>
        </w:rPr>
      </w:pPr>
      <w:r>
        <w:rPr>
          <w:rFonts w:ascii="Agency FB" w:hAnsi="Agency FB"/>
          <w:vertAlign w:val="superscript"/>
        </w:rPr>
        <w:footnoteRef/>
      </w:r>
      <w:r>
        <w:rPr>
          <w:rFonts w:ascii="Agency FB" w:hAnsi="Agency FB"/>
        </w:rPr>
        <w:t xml:space="preserve"> Sentencia T-171/09 (</w:t>
      </w:r>
      <w:proofErr w:type="spellStart"/>
      <w:r>
        <w:rPr>
          <w:rFonts w:ascii="Agency FB" w:hAnsi="Agency FB"/>
        </w:rPr>
        <w:t>M.P</w:t>
      </w:r>
      <w:proofErr w:type="spellEnd"/>
      <w:r>
        <w:rPr>
          <w:rFonts w:ascii="Agency FB" w:hAnsi="Agency FB"/>
        </w:rPr>
        <w:t>. Humberto Sierra Porto).</w:t>
      </w:r>
    </w:p>
  </w:footnote>
  <w:footnote w:id="5">
    <w:p w:rsidR="00E378EA" w:rsidRDefault="00E378EA" w:rsidP="00E378EA">
      <w:pPr>
        <w:pStyle w:val="Notedebasdepage"/>
        <w:jc w:val="both"/>
      </w:pPr>
      <w:r>
        <w:rPr>
          <w:rFonts w:ascii="Agency FB" w:hAnsi="Agency FB"/>
          <w:vertAlign w:val="superscript"/>
        </w:rPr>
        <w:footnoteRef/>
      </w:r>
      <w:r>
        <w:rPr>
          <w:rFonts w:ascii="Agency FB" w:hAnsi="Agency FB"/>
        </w:rPr>
        <w:t xml:space="preserve"> Ibídem.</w:t>
      </w:r>
    </w:p>
  </w:footnote>
  <w:footnote w:id="6">
    <w:p w:rsidR="00E378EA" w:rsidRDefault="00E378EA" w:rsidP="00E378EA">
      <w:pPr>
        <w:pStyle w:val="Notedebasdepage"/>
        <w:rPr>
          <w:rFonts w:ascii="Agency FB" w:hAnsi="Agency FB"/>
        </w:rPr>
      </w:pPr>
      <w:r>
        <w:rPr>
          <w:rStyle w:val="Appelnotedebasdep"/>
          <w:rFonts w:ascii="Agency FB" w:hAnsi="Agency FB"/>
        </w:rPr>
        <w:footnoteRef/>
      </w:r>
      <w:r>
        <w:rPr>
          <w:rFonts w:ascii="Agency FB" w:hAnsi="Agency FB"/>
        </w:rPr>
        <w:t xml:space="preserve"> Corte Constitucional, auto 181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B8"/>
    <w:rsid w:val="00356FCF"/>
    <w:rsid w:val="003F7B9D"/>
    <w:rsid w:val="007F71B8"/>
    <w:rsid w:val="008C2308"/>
    <w:rsid w:val="00B4139E"/>
    <w:rsid w:val="00B82871"/>
    <w:rsid w:val="00E3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EA"/>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78EA"/>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semiHidden/>
    <w:rsid w:val="00E378EA"/>
    <w:rPr>
      <w:rFonts w:ascii="Calibri" w:eastAsia="Calibri" w:hAnsi="Calibri" w:cs="Times New Roman"/>
      <w:sz w:val="20"/>
      <w:szCs w:val="20"/>
      <w:lang w:val="x-none" w:eastAsia="x-none"/>
    </w:rPr>
  </w:style>
  <w:style w:type="character" w:styleId="Appelnotedebasdep">
    <w:name w:val="footnote reference"/>
    <w:aliases w:val="Texto de nota al pie,referencia nota al pie"/>
    <w:semiHidden/>
    <w:unhideWhenUsed/>
    <w:rsid w:val="00E378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EA"/>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78EA"/>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semiHidden/>
    <w:rsid w:val="00E378EA"/>
    <w:rPr>
      <w:rFonts w:ascii="Calibri" w:eastAsia="Calibri" w:hAnsi="Calibri" w:cs="Times New Roman"/>
      <w:sz w:val="20"/>
      <w:szCs w:val="20"/>
      <w:lang w:val="x-none" w:eastAsia="x-none"/>
    </w:rPr>
  </w:style>
  <w:style w:type="character" w:styleId="Appelnotedebasdep">
    <w:name w:val="footnote reference"/>
    <w:aliases w:val="Texto de nota al pie,referencia nota al pie"/>
    <w:semiHidden/>
    <w:unhideWhenUsed/>
    <w:rsid w:val="00E3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8408</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2017-05-08T15:47:00Z</dcterms:created>
  <dcterms:modified xsi:type="dcterms:W3CDTF">2017-05-11T16:59:00Z</dcterms:modified>
</cp:coreProperties>
</file>