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D8" w:rsidRPr="00A817A6" w:rsidRDefault="007615D8" w:rsidP="007615D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615D8" w:rsidRDefault="007615D8" w:rsidP="007615D8">
      <w:pPr>
        <w:shd w:val="clear" w:color="auto" w:fill="FFFFFF"/>
        <w:ind w:left="1843" w:hanging="1843"/>
        <w:rPr>
          <w:rFonts w:asciiTheme="minorHAnsi" w:hAnsiTheme="minorHAnsi" w:cstheme="minorHAnsi"/>
          <w:color w:val="222222"/>
          <w:sz w:val="18"/>
          <w:szCs w:val="18"/>
          <w:lang w:val="es-CO" w:eastAsia="fr-FR"/>
        </w:rPr>
      </w:pPr>
    </w:p>
    <w:p w:rsidR="007615D8" w:rsidRPr="00A817A6" w:rsidRDefault="007615D8" w:rsidP="007615D8">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1ª instancia – 10 de marzo de 2017</w:t>
      </w:r>
    </w:p>
    <w:p w:rsidR="007615D8" w:rsidRPr="001A17A9" w:rsidRDefault="007615D8" w:rsidP="007615D8">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sidRPr="00864AAB">
        <w:rPr>
          <w:rFonts w:asciiTheme="minorHAnsi" w:hAnsiTheme="minorHAnsi" w:cstheme="minorHAnsi"/>
          <w:color w:val="222222"/>
          <w:spacing w:val="-6"/>
          <w:sz w:val="18"/>
          <w:szCs w:val="18"/>
          <w:lang w:val="es-CO" w:eastAsia="fr-FR"/>
        </w:rPr>
        <w:t>Acción de Tutela –</w:t>
      </w:r>
      <w:r>
        <w:rPr>
          <w:rFonts w:asciiTheme="minorHAnsi" w:hAnsiTheme="minorHAnsi" w:cstheme="minorHAnsi"/>
          <w:color w:val="222222"/>
          <w:spacing w:val="-6"/>
          <w:sz w:val="18"/>
          <w:szCs w:val="18"/>
          <w:lang w:val="es-CO" w:eastAsia="fr-FR"/>
        </w:rPr>
        <w:t xml:space="preserve"> Declara improcedentes los amparos solicitados</w:t>
      </w:r>
    </w:p>
    <w:p w:rsidR="007615D8" w:rsidRPr="00DC418A" w:rsidRDefault="007615D8" w:rsidP="007615D8">
      <w:pPr>
        <w:shd w:val="clear" w:color="auto" w:fill="FFFFFF"/>
        <w:tabs>
          <w:tab w:val="left" w:pos="1843"/>
          <w:tab w:val="left" w:pos="4755"/>
        </w:tabs>
        <w:ind w:left="1843" w:hanging="1843"/>
        <w:jc w:val="both"/>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DC418A">
        <w:rPr>
          <w:rFonts w:asciiTheme="minorHAnsi" w:hAnsiTheme="minorHAnsi" w:cstheme="minorHAnsi"/>
          <w:bCs/>
          <w:iCs/>
          <w:color w:val="222222"/>
          <w:sz w:val="18"/>
          <w:szCs w:val="18"/>
          <w:lang w:eastAsia="fr-FR"/>
        </w:rPr>
        <w:t>66001-22-13-000-2017-00177-00</w:t>
      </w:r>
    </w:p>
    <w:p w:rsidR="007615D8" w:rsidRPr="00BF2FC6" w:rsidRDefault="007615D8" w:rsidP="007615D8">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sidRPr="00DC418A">
        <w:rPr>
          <w:rFonts w:asciiTheme="minorHAnsi" w:hAnsiTheme="minorHAnsi" w:cstheme="minorHAnsi"/>
          <w:bCs/>
          <w:iCs/>
          <w:color w:val="222222"/>
          <w:sz w:val="18"/>
          <w:szCs w:val="18"/>
          <w:lang w:eastAsia="fr-FR"/>
        </w:rPr>
        <w:tab/>
        <w:t>66001-22-13-000-2016-00179-00</w:t>
      </w:r>
    </w:p>
    <w:p w:rsidR="007615D8" w:rsidRPr="006C663B" w:rsidRDefault="007615D8" w:rsidP="007615D8">
      <w:pPr>
        <w:shd w:val="clear" w:color="auto" w:fill="FFFFFF"/>
        <w:tabs>
          <w:tab w:val="left" w:pos="1843"/>
          <w:tab w:val="left" w:pos="4755"/>
        </w:tabs>
        <w:ind w:left="1843" w:hanging="1843"/>
        <w:rPr>
          <w:rFonts w:asciiTheme="minorHAnsi" w:hAnsiTheme="minorHAnsi" w:cstheme="minorHAnsi"/>
          <w:bCs/>
          <w:color w:val="222222"/>
          <w:sz w:val="18"/>
          <w:szCs w:val="18"/>
          <w:lang w:val="es-CO" w:eastAsia="fr-FR"/>
        </w:rPr>
      </w:pPr>
      <w:r>
        <w:rPr>
          <w:rFonts w:asciiTheme="minorHAnsi" w:hAnsiTheme="minorHAnsi" w:cstheme="minorHAnsi"/>
          <w:bCs/>
          <w:iCs/>
          <w:color w:val="222222"/>
          <w:sz w:val="18"/>
          <w:szCs w:val="18"/>
          <w:lang w:eastAsia="fr-FR"/>
        </w:rPr>
        <w:t>A</w:t>
      </w:r>
      <w:proofErr w:type="spellStart"/>
      <w:r w:rsidRPr="00A817A6">
        <w:rPr>
          <w:rFonts w:asciiTheme="minorHAnsi" w:hAnsiTheme="minorHAnsi" w:cstheme="minorHAnsi"/>
          <w:color w:val="222222"/>
          <w:sz w:val="18"/>
          <w:szCs w:val="18"/>
          <w:lang w:val="es-CO" w:eastAsia="fr-FR"/>
        </w:rPr>
        <w:t>ccionante</w:t>
      </w:r>
      <w:proofErr w:type="spellEnd"/>
      <w:r w:rsidRPr="00A817A6">
        <w:rPr>
          <w:rFonts w:asciiTheme="minorHAnsi" w:hAnsiTheme="minorHAnsi" w:cstheme="minorHAnsi"/>
          <w:color w:val="222222"/>
          <w:sz w:val="18"/>
          <w:szCs w:val="18"/>
          <w:lang w:val="es-CO" w:eastAsia="fr-FR"/>
        </w:rPr>
        <w:t>:</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JAVIER EL</w:t>
      </w:r>
      <w:r w:rsidRPr="006C663B">
        <w:rPr>
          <w:rFonts w:asciiTheme="minorHAnsi" w:hAnsiTheme="minorHAnsi" w:cstheme="minorHAnsi"/>
          <w:color w:val="222222"/>
          <w:sz w:val="18"/>
          <w:szCs w:val="18"/>
          <w:lang w:val="es-CO" w:eastAsia="fr-FR"/>
        </w:rPr>
        <w:t>ÍAS ARIAS IDÁRRAGA</w:t>
      </w:r>
    </w:p>
    <w:p w:rsidR="007615D8" w:rsidRDefault="007615D8" w:rsidP="007615D8">
      <w:pPr>
        <w:shd w:val="clear" w:color="auto" w:fill="FFFFFF"/>
        <w:tabs>
          <w:tab w:val="left" w:pos="1843"/>
          <w:tab w:val="left" w:pos="4755"/>
        </w:tabs>
        <w:ind w:left="1843" w:hanging="1843"/>
        <w:rPr>
          <w:rFonts w:asciiTheme="minorHAnsi" w:hAnsiTheme="minorHAnsi" w:cstheme="minorHAnsi"/>
          <w:color w:val="222222"/>
          <w:sz w:val="18"/>
          <w:szCs w:val="18"/>
          <w:lang w:eastAsia="fr-FR"/>
        </w:rPr>
      </w:pPr>
      <w:r w:rsidRPr="00A817A6">
        <w:rPr>
          <w:rFonts w:asciiTheme="minorHAnsi" w:hAnsiTheme="minorHAnsi" w:cstheme="minorHAnsi"/>
          <w:bCs/>
          <w:color w:val="222222"/>
          <w:sz w:val="18"/>
          <w:szCs w:val="18"/>
          <w:lang w:val="es-ES_tradnl" w:eastAsia="fr-FR"/>
        </w:rPr>
        <w:t>A</w:t>
      </w:r>
      <w:proofErr w:type="spellStart"/>
      <w:r w:rsidRPr="00A817A6">
        <w:rPr>
          <w:rFonts w:asciiTheme="minorHAnsi" w:hAnsiTheme="minorHAnsi" w:cstheme="minorHAnsi"/>
          <w:color w:val="222222"/>
          <w:sz w:val="18"/>
          <w:szCs w:val="18"/>
          <w:lang w:val="es-CO" w:eastAsia="fr-FR"/>
        </w:rPr>
        <w:t>ccionado</w:t>
      </w:r>
      <w:proofErr w:type="spellEnd"/>
      <w:r w:rsidRPr="00A817A6">
        <w:rPr>
          <w:rFonts w:asciiTheme="minorHAnsi" w:hAnsiTheme="minorHAnsi" w:cstheme="minorHAnsi"/>
          <w:color w:val="222222"/>
          <w:sz w:val="18"/>
          <w:szCs w:val="18"/>
          <w:lang w:val="es-CO" w:eastAsia="fr-FR"/>
        </w:rPr>
        <w:t>:</w:t>
      </w:r>
      <w:r>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eastAsia="fr-FR"/>
        </w:rPr>
        <w:t>JUZGADO CUARTO CIVIL DEL CIRCUITO LOCAL</w:t>
      </w:r>
    </w:p>
    <w:p w:rsidR="007615D8" w:rsidRPr="00433579" w:rsidRDefault="007615D8" w:rsidP="007615D8">
      <w:pPr>
        <w:shd w:val="clear" w:color="auto" w:fill="FFFFFF"/>
        <w:tabs>
          <w:tab w:val="left" w:pos="1843"/>
          <w:tab w:val="left" w:pos="4755"/>
        </w:tabs>
        <w:ind w:left="1843" w:hanging="1843"/>
        <w:rPr>
          <w:rFonts w:asciiTheme="minorHAnsi" w:eastAsia="Calibri" w:hAnsiTheme="minorHAnsi" w:cstheme="minorHAnsi"/>
          <w:bCs/>
          <w:color w:val="222222"/>
          <w:sz w:val="18"/>
          <w:szCs w:val="18"/>
          <w:lang w:val="es-MX"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r w:rsidRPr="00433579">
        <w:rPr>
          <w:rFonts w:asciiTheme="minorHAnsi" w:eastAsia="Calibri" w:hAnsiTheme="minorHAnsi" w:cstheme="minorHAnsi"/>
          <w:bCs/>
          <w:color w:val="222222"/>
          <w:sz w:val="18"/>
          <w:szCs w:val="18"/>
          <w:lang w:val="es-MX" w:eastAsia="fr-FR"/>
        </w:rPr>
        <w:t>JAIME ALBERTO SARAZA NARANJO</w:t>
      </w:r>
    </w:p>
    <w:p w:rsidR="007615D8" w:rsidRDefault="007615D8" w:rsidP="007615D8">
      <w:pPr>
        <w:shd w:val="clear" w:color="auto" w:fill="FFFFFF"/>
        <w:tabs>
          <w:tab w:val="left" w:pos="1843"/>
        </w:tabs>
        <w:ind w:left="2124" w:hanging="2124"/>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7615D8" w:rsidRPr="00A44BF0" w:rsidRDefault="007615D8" w:rsidP="007615D8">
      <w:pPr>
        <w:shd w:val="clear" w:color="auto" w:fill="FFFFFF"/>
        <w:tabs>
          <w:tab w:val="left" w:pos="1843"/>
        </w:tabs>
        <w:jc w:val="both"/>
        <w:rPr>
          <w:rFonts w:asciiTheme="minorHAnsi" w:hAnsiTheme="minorHAnsi" w:cstheme="minorHAnsi"/>
          <w:b/>
          <w:bCs/>
          <w:iCs/>
          <w:color w:val="222222"/>
          <w:sz w:val="18"/>
          <w:szCs w:val="18"/>
          <w:lang w:eastAsia="fr-FR"/>
        </w:rPr>
      </w:pPr>
      <w:r>
        <w:rPr>
          <w:rFonts w:asciiTheme="minorHAnsi" w:hAnsiTheme="minorHAnsi" w:cstheme="minorHAnsi"/>
          <w:bCs/>
          <w:iCs/>
          <w:color w:val="222222"/>
          <w:sz w:val="18"/>
          <w:szCs w:val="18"/>
          <w:lang w:val="es-CO" w:eastAsia="fr-FR"/>
        </w:rPr>
        <w:t xml:space="preserve">Temas: </w:t>
      </w:r>
      <w:r>
        <w:rPr>
          <w:rFonts w:asciiTheme="minorHAnsi" w:hAnsiTheme="minorHAnsi" w:cstheme="minorHAnsi"/>
          <w:bCs/>
          <w:iCs/>
          <w:color w:val="222222"/>
          <w:sz w:val="18"/>
          <w:szCs w:val="18"/>
          <w:lang w:val="es-CO" w:eastAsia="fr-FR"/>
        </w:rPr>
        <w:tab/>
      </w:r>
      <w:r w:rsidRPr="00A44BF0">
        <w:rPr>
          <w:rFonts w:asciiTheme="minorHAnsi" w:hAnsiTheme="minorHAnsi" w:cstheme="minorHAnsi"/>
          <w:b/>
          <w:bCs/>
          <w:iCs/>
          <w:color w:val="222222"/>
          <w:sz w:val="18"/>
          <w:szCs w:val="18"/>
          <w:lang w:val="es-CO" w:eastAsia="fr-FR"/>
        </w:rPr>
        <w:t xml:space="preserve"> </w:t>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PROVIDENCIA JUDICIAL / </w:t>
      </w:r>
      <w:r>
        <w:rPr>
          <w:rFonts w:asciiTheme="minorHAnsi" w:hAnsiTheme="minorHAnsi" w:cstheme="minorHAnsi"/>
          <w:b/>
          <w:bCs/>
          <w:iCs/>
          <w:color w:val="222222"/>
          <w:sz w:val="18"/>
          <w:szCs w:val="18"/>
          <w:lang w:val="es-CO" w:eastAsia="fr-FR"/>
        </w:rPr>
        <w:t>RECHAZO DE ACCIONES POPULARES</w:t>
      </w:r>
      <w:r w:rsidRPr="004206A5">
        <w:rPr>
          <w:rFonts w:asciiTheme="minorHAnsi" w:hAnsiTheme="minorHAnsi" w:cstheme="minorHAnsi"/>
          <w:b/>
          <w:bCs/>
          <w:iCs/>
          <w:color w:val="222222"/>
          <w:sz w:val="18"/>
          <w:szCs w:val="18"/>
          <w:lang w:eastAsia="fr-FR"/>
        </w:rPr>
        <w:t xml:space="preserve"> / CARÁCTER RESIDUAL DE LA ACCIÓN DE TUTELA /</w:t>
      </w:r>
      <w:r w:rsidRPr="004206A5">
        <w:rPr>
          <w:rFonts w:asciiTheme="minorHAnsi" w:hAnsiTheme="minorHAnsi" w:cstheme="minorHAnsi"/>
          <w:b/>
          <w:bCs/>
          <w:iCs/>
          <w:color w:val="222222"/>
          <w:sz w:val="18"/>
          <w:szCs w:val="18"/>
          <w:lang w:val="es-CO" w:eastAsia="fr-FR"/>
        </w:rPr>
        <w:t xml:space="preserve"> NO SE AGOTARON LOS RECURSOS / IMPROCEDENCIA.</w:t>
      </w:r>
      <w:r>
        <w:rPr>
          <w:rFonts w:asciiTheme="minorHAnsi" w:hAnsiTheme="minorHAnsi" w:cstheme="minorHAnsi"/>
          <w:b/>
          <w:bCs/>
          <w:iCs/>
          <w:color w:val="222222"/>
          <w:sz w:val="18"/>
          <w:szCs w:val="18"/>
          <w:lang w:val="es-CO" w:eastAsia="fr-FR"/>
        </w:rPr>
        <w:t xml:space="preserve"> </w:t>
      </w:r>
      <w:r w:rsidRPr="00DC418A">
        <w:rPr>
          <w:rFonts w:asciiTheme="minorHAnsi" w:hAnsiTheme="minorHAnsi" w:cstheme="minorHAnsi"/>
          <w:bCs/>
          <w:iCs/>
          <w:color w:val="222222"/>
          <w:sz w:val="18"/>
          <w:szCs w:val="18"/>
          <w:lang w:val="es-CO" w:eastAsia="fr-FR"/>
        </w:rPr>
        <w:t>“[E]</w:t>
      </w:r>
      <w:r w:rsidRPr="00DC418A">
        <w:rPr>
          <w:rFonts w:asciiTheme="minorHAnsi" w:hAnsiTheme="minorHAnsi" w:cstheme="minorHAnsi"/>
          <w:bCs/>
          <w:iCs/>
          <w:color w:val="222222"/>
          <w:sz w:val="18"/>
          <w:szCs w:val="18"/>
          <w:lang w:val="es-419" w:eastAsia="fr-FR"/>
        </w:rPr>
        <w:t>l Juzgado</w:t>
      </w:r>
      <w:r w:rsidRPr="00DC418A">
        <w:rPr>
          <w:rFonts w:asciiTheme="minorHAnsi" w:hAnsiTheme="minorHAnsi" w:cstheme="minorHAnsi"/>
          <w:bCs/>
          <w:iCs/>
          <w:color w:val="222222"/>
          <w:sz w:val="18"/>
          <w:szCs w:val="18"/>
          <w:lang w:val="es-CO" w:eastAsia="fr-FR"/>
        </w:rPr>
        <w:t xml:space="preserve"> Cuarto</w:t>
      </w:r>
      <w:r w:rsidRPr="00DC418A">
        <w:rPr>
          <w:rFonts w:asciiTheme="minorHAnsi" w:hAnsiTheme="minorHAnsi" w:cstheme="minorHAnsi"/>
          <w:bCs/>
          <w:iCs/>
          <w:color w:val="222222"/>
          <w:sz w:val="18"/>
          <w:szCs w:val="18"/>
          <w:lang w:val="es-419" w:eastAsia="fr-FR"/>
        </w:rPr>
        <w:t xml:space="preserve"> Civil del Circuito de </w:t>
      </w:r>
      <w:r w:rsidRPr="00DC418A">
        <w:rPr>
          <w:rFonts w:asciiTheme="minorHAnsi" w:hAnsiTheme="minorHAnsi" w:cstheme="minorHAnsi"/>
          <w:bCs/>
          <w:iCs/>
          <w:color w:val="222222"/>
          <w:sz w:val="18"/>
          <w:szCs w:val="18"/>
          <w:lang w:val="es-CO" w:eastAsia="fr-FR"/>
        </w:rPr>
        <w:t>Pereira</w:t>
      </w:r>
      <w:r w:rsidRPr="00DC418A">
        <w:rPr>
          <w:rFonts w:asciiTheme="minorHAnsi" w:hAnsiTheme="minorHAnsi" w:cstheme="minorHAnsi"/>
          <w:bCs/>
          <w:iCs/>
          <w:color w:val="222222"/>
          <w:sz w:val="18"/>
          <w:szCs w:val="18"/>
          <w:lang w:val="es-419" w:eastAsia="fr-FR"/>
        </w:rPr>
        <w:t xml:space="preserve"> rechazó por falta de </w:t>
      </w:r>
      <w:r w:rsidRPr="00DC418A">
        <w:rPr>
          <w:rFonts w:asciiTheme="minorHAnsi" w:hAnsiTheme="minorHAnsi" w:cstheme="minorHAnsi"/>
          <w:bCs/>
          <w:iCs/>
          <w:color w:val="222222"/>
          <w:sz w:val="18"/>
          <w:szCs w:val="18"/>
          <w:lang w:val="es-CO" w:eastAsia="fr-FR"/>
        </w:rPr>
        <w:t xml:space="preserve">competencia </w:t>
      </w:r>
      <w:r w:rsidRPr="00DC418A">
        <w:rPr>
          <w:rFonts w:asciiTheme="minorHAnsi" w:hAnsiTheme="minorHAnsi" w:cstheme="minorHAnsi"/>
          <w:bCs/>
          <w:iCs/>
          <w:color w:val="222222"/>
          <w:sz w:val="18"/>
          <w:szCs w:val="18"/>
          <w:lang w:val="es-419" w:eastAsia="fr-FR"/>
        </w:rPr>
        <w:t>la</w:t>
      </w:r>
      <w:r w:rsidRPr="00DC418A">
        <w:rPr>
          <w:rFonts w:asciiTheme="minorHAnsi" w:hAnsiTheme="minorHAnsi" w:cstheme="minorHAnsi"/>
          <w:bCs/>
          <w:iCs/>
          <w:color w:val="222222"/>
          <w:sz w:val="18"/>
          <w:szCs w:val="18"/>
          <w:lang w:val="es-CO" w:eastAsia="fr-FR"/>
        </w:rPr>
        <w:t xml:space="preserve">s acciones populares 2016-00392-00 y 2016-00393-00, al considerar que dichos asuntos deben ventilarse ante los Juzgados Civiles del Circuito de Bogotá DC, por ser allí en donde la entidad a la que </w:t>
      </w:r>
      <w:r w:rsidRPr="00DC418A">
        <w:rPr>
          <w:rFonts w:asciiTheme="minorHAnsi" w:hAnsiTheme="minorHAnsi" w:cstheme="minorHAnsi"/>
          <w:bCs/>
          <w:iCs/>
          <w:color w:val="222222"/>
          <w:sz w:val="18"/>
          <w:szCs w:val="18"/>
          <w:lang w:val="es-419" w:eastAsia="fr-FR"/>
        </w:rPr>
        <w:t xml:space="preserve">se </w:t>
      </w:r>
      <w:r w:rsidRPr="00DC418A">
        <w:rPr>
          <w:rFonts w:asciiTheme="minorHAnsi" w:hAnsiTheme="minorHAnsi" w:cstheme="minorHAnsi"/>
          <w:bCs/>
          <w:iCs/>
          <w:color w:val="222222"/>
          <w:sz w:val="18"/>
          <w:szCs w:val="18"/>
          <w:lang w:val="es-CO" w:eastAsia="fr-FR"/>
        </w:rPr>
        <w:t>demanda tiene su domicilio principal</w:t>
      </w:r>
      <w:r w:rsidRPr="00DC418A">
        <w:rPr>
          <w:rFonts w:asciiTheme="minorHAnsi" w:hAnsiTheme="minorHAnsi" w:cstheme="minorHAnsi"/>
          <w:bCs/>
          <w:iCs/>
          <w:color w:val="222222"/>
          <w:sz w:val="18"/>
          <w:szCs w:val="18"/>
          <w:lang w:val="es-419" w:eastAsia="fr-FR"/>
        </w:rPr>
        <w:t xml:space="preserve"> y es donde </w:t>
      </w:r>
      <w:r w:rsidRPr="00DC418A">
        <w:rPr>
          <w:rFonts w:asciiTheme="minorHAnsi" w:hAnsiTheme="minorHAnsi" w:cstheme="minorHAnsi"/>
          <w:bCs/>
          <w:iCs/>
          <w:color w:val="222222"/>
          <w:sz w:val="18"/>
          <w:szCs w:val="18"/>
          <w:lang w:val="es-CO" w:eastAsia="fr-FR"/>
        </w:rPr>
        <w:t xml:space="preserve">ocurren las violaciones, y allí ordenó la remisión. </w:t>
      </w:r>
      <w:r w:rsidRPr="00DC418A">
        <w:rPr>
          <w:rFonts w:asciiTheme="minorHAnsi" w:hAnsiTheme="minorHAnsi" w:cstheme="minorHAnsi"/>
          <w:bCs/>
          <w:iCs/>
          <w:color w:val="222222"/>
          <w:sz w:val="18"/>
          <w:szCs w:val="18"/>
          <w:lang w:val="es-419" w:eastAsia="fr-FR"/>
        </w:rPr>
        <w:t>Contra esa</w:t>
      </w:r>
      <w:r w:rsidRPr="00DC418A">
        <w:rPr>
          <w:rFonts w:asciiTheme="minorHAnsi" w:hAnsiTheme="minorHAnsi" w:cstheme="minorHAnsi"/>
          <w:bCs/>
          <w:iCs/>
          <w:color w:val="222222"/>
          <w:sz w:val="18"/>
          <w:szCs w:val="18"/>
          <w:lang w:val="es-CO" w:eastAsia="fr-FR"/>
        </w:rPr>
        <w:t>s</w:t>
      </w:r>
      <w:r w:rsidRPr="00DC418A">
        <w:rPr>
          <w:rFonts w:asciiTheme="minorHAnsi" w:hAnsiTheme="minorHAnsi" w:cstheme="minorHAnsi"/>
          <w:bCs/>
          <w:iCs/>
          <w:color w:val="222222"/>
          <w:sz w:val="18"/>
          <w:szCs w:val="18"/>
          <w:lang w:val="es-419" w:eastAsia="fr-FR"/>
        </w:rPr>
        <w:t xml:space="preserve"> decisiones</w:t>
      </w:r>
      <w:r w:rsidRPr="00DC418A">
        <w:rPr>
          <w:rFonts w:asciiTheme="minorHAnsi" w:hAnsiTheme="minorHAnsi" w:cstheme="minorHAnsi"/>
          <w:bCs/>
          <w:iCs/>
          <w:color w:val="222222"/>
          <w:sz w:val="18"/>
          <w:szCs w:val="18"/>
          <w:lang w:val="es-CO" w:eastAsia="fr-FR"/>
        </w:rPr>
        <w:t>, una vez corría el primer día de ejecutoria  (f. 42 y 66) procedió a instaurar en forma directa las presentes acciones de tutela (f. 2 y 8)</w:t>
      </w:r>
      <w:r w:rsidRPr="00DC418A">
        <w:rPr>
          <w:rFonts w:asciiTheme="minorHAnsi" w:hAnsiTheme="minorHAnsi" w:cstheme="minorHAnsi"/>
          <w:bCs/>
          <w:iCs/>
          <w:color w:val="222222"/>
          <w:sz w:val="18"/>
          <w:szCs w:val="18"/>
          <w:lang w:val="es-419" w:eastAsia="fr-FR"/>
        </w:rPr>
        <w:t xml:space="preserve">. Ante una decisión de tal naturaleza, lo que queda es remitir el expediente al juez que se estima competente, como en este caso </w:t>
      </w:r>
      <w:r w:rsidRPr="00DC418A">
        <w:rPr>
          <w:rFonts w:asciiTheme="minorHAnsi" w:hAnsiTheme="minorHAnsi" w:cstheme="minorHAnsi"/>
          <w:bCs/>
          <w:iCs/>
          <w:color w:val="222222"/>
          <w:sz w:val="18"/>
          <w:szCs w:val="18"/>
          <w:lang w:val="es-CO" w:eastAsia="fr-FR"/>
        </w:rPr>
        <w:t>se dispuso</w:t>
      </w:r>
      <w:r w:rsidRPr="00DC418A">
        <w:rPr>
          <w:rFonts w:asciiTheme="minorHAnsi" w:hAnsiTheme="minorHAnsi" w:cstheme="minorHAnsi"/>
          <w:bCs/>
          <w:iCs/>
          <w:color w:val="222222"/>
          <w:sz w:val="18"/>
          <w:szCs w:val="18"/>
          <w:lang w:val="es-419" w:eastAsia="fr-FR"/>
        </w:rPr>
        <w:t xml:space="preserve">, para que decida si asume </w:t>
      </w:r>
      <w:r w:rsidRPr="00DC418A">
        <w:rPr>
          <w:rFonts w:asciiTheme="minorHAnsi" w:hAnsiTheme="minorHAnsi" w:cstheme="minorHAnsi"/>
          <w:bCs/>
          <w:iCs/>
          <w:color w:val="222222"/>
          <w:sz w:val="18"/>
          <w:szCs w:val="18"/>
          <w:lang w:val="es-CO" w:eastAsia="fr-FR"/>
        </w:rPr>
        <w:t>o no su conocimiento</w:t>
      </w:r>
      <w:r w:rsidRPr="00DC418A">
        <w:rPr>
          <w:rFonts w:asciiTheme="minorHAnsi" w:hAnsiTheme="minorHAnsi" w:cstheme="minorHAnsi"/>
          <w:bCs/>
          <w:iCs/>
          <w:color w:val="222222"/>
          <w:sz w:val="18"/>
          <w:szCs w:val="18"/>
          <w:lang w:val="es-419" w:eastAsia="fr-FR"/>
        </w:rPr>
        <w:t xml:space="preserve"> o si también la reniega, en cuyo evento, tendría que generar el conflicto respectivo. </w:t>
      </w:r>
      <w:r w:rsidRPr="00DC418A">
        <w:rPr>
          <w:rFonts w:asciiTheme="minorHAnsi" w:hAnsiTheme="minorHAnsi" w:cstheme="minorHAnsi"/>
          <w:bCs/>
          <w:iCs/>
          <w:color w:val="222222"/>
          <w:sz w:val="18"/>
          <w:szCs w:val="18"/>
          <w:lang w:val="es-CO" w:eastAsia="fr-FR"/>
        </w:rPr>
        <w:t>De donde surge que las acciones populares están en trámite</w:t>
      </w:r>
      <w:r w:rsidRPr="00DC418A">
        <w:rPr>
          <w:rFonts w:asciiTheme="minorHAnsi" w:hAnsiTheme="minorHAnsi" w:cstheme="minorHAnsi"/>
          <w:bCs/>
          <w:iCs/>
          <w:color w:val="222222"/>
          <w:sz w:val="18"/>
          <w:szCs w:val="18"/>
          <w:lang w:val="es-419" w:eastAsia="fr-FR"/>
        </w:rPr>
        <w:t>, y como la cuestión planteada carece de una relevancia tal que implique la injerencia directa del juez constitucional, pues no se evidencian circunstancias especiales que así lo aconsejen, es dentro de ella</w:t>
      </w:r>
      <w:r w:rsidRPr="00DC418A">
        <w:rPr>
          <w:rFonts w:asciiTheme="minorHAnsi" w:hAnsiTheme="minorHAnsi" w:cstheme="minorHAnsi"/>
          <w:bCs/>
          <w:iCs/>
          <w:color w:val="222222"/>
          <w:sz w:val="18"/>
          <w:szCs w:val="18"/>
          <w:lang w:val="es-CO" w:eastAsia="fr-FR"/>
        </w:rPr>
        <w:t>s</w:t>
      </w:r>
      <w:r w:rsidRPr="00DC418A">
        <w:rPr>
          <w:rFonts w:asciiTheme="minorHAnsi" w:hAnsiTheme="minorHAnsi" w:cstheme="minorHAnsi"/>
          <w:bCs/>
          <w:iCs/>
          <w:color w:val="222222"/>
          <w:sz w:val="18"/>
          <w:szCs w:val="18"/>
          <w:lang w:val="es-419" w:eastAsia="fr-FR"/>
        </w:rPr>
        <w:t xml:space="preserve"> mismas que debe ventilarse </w:t>
      </w:r>
      <w:r w:rsidRPr="00DC418A">
        <w:rPr>
          <w:rFonts w:asciiTheme="minorHAnsi" w:hAnsiTheme="minorHAnsi" w:cstheme="minorHAnsi"/>
          <w:bCs/>
          <w:iCs/>
          <w:color w:val="222222"/>
          <w:sz w:val="18"/>
          <w:szCs w:val="18"/>
          <w:lang w:val="es-CO" w:eastAsia="fr-FR"/>
        </w:rPr>
        <w:t>lo pertinente</w:t>
      </w:r>
      <w:r w:rsidRPr="00DC418A">
        <w:rPr>
          <w:rFonts w:asciiTheme="minorHAnsi" w:hAnsiTheme="minorHAnsi" w:cstheme="minorHAnsi"/>
          <w:bCs/>
          <w:iCs/>
          <w:color w:val="222222"/>
          <w:sz w:val="18"/>
          <w:szCs w:val="18"/>
          <w:lang w:val="es-419" w:eastAsia="fr-FR"/>
        </w:rPr>
        <w:t>. P</w:t>
      </w:r>
      <w:proofErr w:type="spellStart"/>
      <w:r w:rsidRPr="00DC418A">
        <w:rPr>
          <w:rFonts w:asciiTheme="minorHAnsi" w:hAnsiTheme="minorHAnsi" w:cstheme="minorHAnsi"/>
          <w:bCs/>
          <w:iCs/>
          <w:color w:val="222222"/>
          <w:sz w:val="18"/>
          <w:szCs w:val="18"/>
          <w:lang w:val="es-CO" w:eastAsia="fr-FR"/>
        </w:rPr>
        <w:t>or</w:t>
      </w:r>
      <w:proofErr w:type="spellEnd"/>
      <w:r w:rsidRPr="00DC418A">
        <w:rPr>
          <w:rFonts w:asciiTheme="minorHAnsi" w:hAnsiTheme="minorHAnsi" w:cstheme="minorHAnsi"/>
          <w:bCs/>
          <w:iCs/>
          <w:color w:val="222222"/>
          <w:sz w:val="18"/>
          <w:szCs w:val="18"/>
          <w:lang w:val="es-CO" w:eastAsia="fr-FR"/>
        </w:rPr>
        <w:t xml:space="preserve"> consiguiente, se declarará la improcedencia anunciada y se </w:t>
      </w:r>
      <w:proofErr w:type="spellStart"/>
      <w:r w:rsidRPr="00DC418A">
        <w:rPr>
          <w:rFonts w:asciiTheme="minorHAnsi" w:hAnsiTheme="minorHAnsi" w:cstheme="minorHAnsi"/>
          <w:bCs/>
          <w:iCs/>
          <w:color w:val="222222"/>
          <w:sz w:val="18"/>
          <w:szCs w:val="18"/>
          <w:lang w:val="es-CO" w:eastAsia="fr-FR"/>
        </w:rPr>
        <w:t>abso</w:t>
      </w:r>
      <w:proofErr w:type="spellEnd"/>
      <w:r w:rsidRPr="00DC418A">
        <w:rPr>
          <w:rFonts w:asciiTheme="minorHAnsi" w:hAnsiTheme="minorHAnsi" w:cstheme="minorHAnsi"/>
          <w:bCs/>
          <w:iCs/>
          <w:color w:val="222222"/>
          <w:sz w:val="18"/>
          <w:szCs w:val="18"/>
          <w:lang w:val="es-419" w:eastAsia="fr-FR"/>
        </w:rPr>
        <w:t>l</w:t>
      </w:r>
      <w:r w:rsidRPr="00DC418A">
        <w:rPr>
          <w:rFonts w:asciiTheme="minorHAnsi" w:hAnsiTheme="minorHAnsi" w:cstheme="minorHAnsi"/>
          <w:bCs/>
          <w:iCs/>
          <w:color w:val="222222"/>
          <w:sz w:val="18"/>
          <w:szCs w:val="18"/>
          <w:lang w:val="es-CO" w:eastAsia="fr-FR"/>
        </w:rPr>
        <w:t xml:space="preserve">verá a los demás intervinientes, ya que nada se advierte acerca de acciones </w:t>
      </w:r>
      <w:r w:rsidRPr="00DC418A">
        <w:rPr>
          <w:rFonts w:asciiTheme="minorHAnsi" w:hAnsiTheme="minorHAnsi" w:cstheme="minorHAnsi"/>
          <w:bCs/>
          <w:iCs/>
          <w:color w:val="222222"/>
          <w:sz w:val="18"/>
          <w:szCs w:val="18"/>
          <w:lang w:val="es-419" w:eastAsia="fr-FR"/>
        </w:rPr>
        <w:t>u</w:t>
      </w:r>
      <w:r w:rsidRPr="00DC418A">
        <w:rPr>
          <w:rFonts w:asciiTheme="minorHAnsi" w:hAnsiTheme="minorHAnsi" w:cstheme="minorHAnsi"/>
          <w:bCs/>
          <w:iCs/>
          <w:color w:val="222222"/>
          <w:sz w:val="18"/>
          <w:szCs w:val="18"/>
          <w:lang w:val="es-CO" w:eastAsia="fr-FR"/>
        </w:rPr>
        <w:t xml:space="preserve"> omisiones de su parte que hayan trasgredido los derechos invocados.”.</w:t>
      </w:r>
    </w:p>
    <w:p w:rsidR="007615D8" w:rsidRDefault="007615D8" w:rsidP="007615D8">
      <w:pPr>
        <w:spacing w:line="480" w:lineRule="auto"/>
        <w:ind w:firstLine="2835"/>
        <w:jc w:val="both"/>
        <w:rPr>
          <w:rFonts w:ascii="Gadugi" w:hAnsi="Gadugi"/>
          <w:b/>
          <w:sz w:val="26"/>
          <w:szCs w:val="26"/>
        </w:rPr>
      </w:pPr>
    </w:p>
    <w:p w:rsidR="00CB6425" w:rsidRPr="00715E35" w:rsidRDefault="00CB6425" w:rsidP="00CB6425">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B6425" w:rsidRPr="00715E35" w:rsidRDefault="00CB6425" w:rsidP="00CB6425">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B6425" w:rsidRPr="00715E35" w:rsidRDefault="00CB6425" w:rsidP="00CB6425">
      <w:pPr>
        <w:spacing w:line="276" w:lineRule="auto"/>
        <w:ind w:firstLine="2835"/>
        <w:jc w:val="both"/>
        <w:rPr>
          <w:rFonts w:ascii="Gadugi" w:hAnsi="Gadugi"/>
          <w:sz w:val="24"/>
          <w:szCs w:val="24"/>
        </w:rPr>
      </w:pPr>
    </w:p>
    <w:p w:rsidR="00CB6425" w:rsidRPr="00715E35" w:rsidRDefault="00CB6425" w:rsidP="00CB6425">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B6425" w:rsidRPr="00E700C4" w:rsidRDefault="00CB6425" w:rsidP="00CB6425">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Pr>
          <w:rFonts w:ascii="Gadugi" w:hAnsi="Gadugi"/>
          <w:sz w:val="24"/>
          <w:szCs w:val="24"/>
          <w:lang w:val="es-419"/>
        </w:rPr>
        <w:t>marzo diez de dos mil diecisiete</w:t>
      </w:r>
    </w:p>
    <w:p w:rsidR="00CB6425" w:rsidRDefault="00CB6425" w:rsidP="00CB6425">
      <w:pPr>
        <w:spacing w:line="276" w:lineRule="auto"/>
        <w:ind w:firstLine="2835"/>
        <w:jc w:val="both"/>
        <w:rPr>
          <w:rFonts w:ascii="Gadugi" w:hAnsi="Gadugi"/>
          <w:sz w:val="24"/>
          <w:szCs w:val="24"/>
        </w:rPr>
      </w:pPr>
      <w:r w:rsidRPr="00715E35">
        <w:rPr>
          <w:rFonts w:ascii="Gadugi" w:hAnsi="Gadugi"/>
          <w:sz w:val="24"/>
          <w:szCs w:val="24"/>
        </w:rPr>
        <w:t>Expediente</w:t>
      </w:r>
      <w:r>
        <w:rPr>
          <w:rFonts w:ascii="Gadugi" w:hAnsi="Gadugi"/>
          <w:sz w:val="24"/>
          <w:szCs w:val="24"/>
        </w:rPr>
        <w:t>s</w:t>
      </w:r>
      <w:r w:rsidRPr="00715E35">
        <w:rPr>
          <w:rFonts w:ascii="Gadugi" w:hAnsi="Gadugi"/>
          <w:sz w:val="24"/>
          <w:szCs w:val="24"/>
          <w:lang w:val="es-419"/>
        </w:rPr>
        <w:t xml:space="preserve">: </w:t>
      </w:r>
      <w:r w:rsidRPr="00715E35">
        <w:rPr>
          <w:rFonts w:ascii="Gadugi" w:hAnsi="Gadugi"/>
          <w:sz w:val="24"/>
          <w:szCs w:val="24"/>
        </w:rPr>
        <w:t xml:space="preserve"> </w:t>
      </w:r>
      <w:r w:rsidR="007615D8">
        <w:rPr>
          <w:rFonts w:ascii="Gadugi" w:hAnsi="Gadugi"/>
          <w:sz w:val="24"/>
          <w:szCs w:val="24"/>
        </w:rPr>
        <w:t xml:space="preserve"> </w:t>
      </w:r>
      <w:r>
        <w:rPr>
          <w:rFonts w:ascii="Gadugi" w:hAnsi="Gadugi"/>
          <w:sz w:val="24"/>
          <w:szCs w:val="24"/>
        </w:rPr>
        <w:t>66001-22-13-000-2017-00177-00</w:t>
      </w:r>
    </w:p>
    <w:p w:rsidR="00CB6425" w:rsidRPr="005709E9" w:rsidRDefault="00CB6425" w:rsidP="00CB6425">
      <w:pPr>
        <w:spacing w:line="276" w:lineRule="auto"/>
        <w:ind w:firstLine="2835"/>
        <w:jc w:val="both"/>
        <w:rPr>
          <w:rFonts w:ascii="Gadugi" w:hAnsi="Gadugi"/>
          <w:sz w:val="24"/>
          <w:szCs w:val="24"/>
        </w:rPr>
      </w:pPr>
      <w:r>
        <w:rPr>
          <w:rFonts w:ascii="Gadugi" w:hAnsi="Gadugi"/>
          <w:sz w:val="24"/>
          <w:szCs w:val="24"/>
        </w:rPr>
        <w:tab/>
        <w:t xml:space="preserve">           </w:t>
      </w:r>
      <w:r w:rsidR="007615D8">
        <w:rPr>
          <w:rFonts w:ascii="Gadugi" w:hAnsi="Gadugi"/>
          <w:sz w:val="24"/>
          <w:szCs w:val="24"/>
        </w:rPr>
        <w:t xml:space="preserve"> </w:t>
      </w:r>
      <w:r>
        <w:rPr>
          <w:rFonts w:ascii="Gadugi" w:hAnsi="Gadugi"/>
          <w:sz w:val="24"/>
          <w:szCs w:val="24"/>
        </w:rPr>
        <w:t>66001-22-13-000-2016-00179-00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r>
      <w:r w:rsidRPr="00715E35">
        <w:rPr>
          <w:rFonts w:ascii="Gadugi" w:hAnsi="Gadugi"/>
          <w:sz w:val="24"/>
          <w:szCs w:val="24"/>
        </w:rPr>
        <w:t>Acta N°</w:t>
      </w:r>
      <w:r>
        <w:rPr>
          <w:rFonts w:ascii="Gadugi" w:hAnsi="Gadugi"/>
          <w:sz w:val="24"/>
          <w:szCs w:val="24"/>
          <w:lang w:val="es-419"/>
        </w:rPr>
        <w:t xml:space="preserve"> 126 de marzo 10 de 2017</w:t>
      </w:r>
    </w:p>
    <w:p w:rsidR="00CB6425" w:rsidRPr="00715E35" w:rsidRDefault="00CB6425" w:rsidP="00CB6425">
      <w:pPr>
        <w:spacing w:line="276" w:lineRule="auto"/>
        <w:ind w:firstLine="2835"/>
        <w:jc w:val="both"/>
        <w:rPr>
          <w:rFonts w:ascii="Gadugi" w:hAnsi="Gadugi"/>
          <w:sz w:val="24"/>
          <w:szCs w:val="24"/>
        </w:rPr>
      </w:pPr>
    </w:p>
    <w:p w:rsidR="00CB6425" w:rsidRDefault="00CB6425" w:rsidP="00CB6425">
      <w:pPr>
        <w:spacing w:line="276" w:lineRule="auto"/>
        <w:ind w:firstLine="2835"/>
        <w:jc w:val="both"/>
        <w:rPr>
          <w:rFonts w:ascii="Gadugi" w:hAnsi="Gadugi" w:cs="Century Gothic"/>
          <w:sz w:val="24"/>
          <w:szCs w:val="24"/>
          <w:lang w:val="es-419"/>
        </w:rPr>
      </w:pPr>
      <w:r w:rsidRPr="00715E35">
        <w:rPr>
          <w:rFonts w:ascii="Gadugi" w:hAnsi="Gadugi" w:cs="Century Gothic"/>
          <w:sz w:val="24"/>
          <w:szCs w:val="24"/>
        </w:rPr>
        <w:t xml:space="preserve">Decide la Sala </w:t>
      </w:r>
      <w:r>
        <w:rPr>
          <w:rFonts w:ascii="Gadugi" w:hAnsi="Gadugi" w:cs="Century Gothic"/>
          <w:sz w:val="24"/>
          <w:szCs w:val="24"/>
        </w:rPr>
        <w:t xml:space="preserve">las acciones de tutela de la referencia, promovidas por </w:t>
      </w:r>
      <w:r>
        <w:rPr>
          <w:rFonts w:ascii="Gadugi" w:hAnsi="Gadugi" w:cs="Century Gothic"/>
          <w:b/>
          <w:sz w:val="24"/>
          <w:szCs w:val="24"/>
        </w:rPr>
        <w:t xml:space="preserve">Javier Elías Arias </w:t>
      </w:r>
      <w:r>
        <w:rPr>
          <w:rFonts w:ascii="Gadugi" w:hAnsi="Gadugi" w:cs="Century Gothic"/>
          <w:b/>
          <w:sz w:val="24"/>
          <w:szCs w:val="24"/>
          <w:lang w:val="es-419"/>
        </w:rPr>
        <w:t xml:space="preserve">Idárraga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Pr>
          <w:rFonts w:ascii="Gadugi" w:hAnsi="Gadugi" w:cs="Century Gothic"/>
          <w:b/>
          <w:sz w:val="24"/>
          <w:szCs w:val="24"/>
        </w:rPr>
        <w:t xml:space="preserve"> Cuarto</w:t>
      </w:r>
      <w:r w:rsidRPr="00715E35">
        <w:rPr>
          <w:rFonts w:ascii="Gadugi" w:hAnsi="Gadugi" w:cs="Century Gothic"/>
          <w:b/>
          <w:sz w:val="24"/>
          <w:szCs w:val="24"/>
        </w:rPr>
        <w:t xml:space="preserve"> Civil del Circuito </w:t>
      </w:r>
      <w:r>
        <w:rPr>
          <w:rFonts w:ascii="Gadugi" w:hAnsi="Gadugi" w:cs="Century Gothic"/>
          <w:sz w:val="24"/>
          <w:szCs w:val="24"/>
          <w:lang w:val="es-CO"/>
        </w:rPr>
        <w:t xml:space="preserve">local, </w:t>
      </w:r>
      <w:r w:rsidRPr="00715E35">
        <w:rPr>
          <w:rFonts w:ascii="Gadugi" w:hAnsi="Gadugi" w:cs="Century Gothic"/>
          <w:sz w:val="24"/>
          <w:szCs w:val="24"/>
        </w:rPr>
        <w:t>a la</w:t>
      </w:r>
      <w:r>
        <w:rPr>
          <w:rFonts w:ascii="Gadugi" w:hAnsi="Gadugi" w:cs="Century Gothic"/>
          <w:sz w:val="24"/>
          <w:szCs w:val="24"/>
        </w:rPr>
        <w:t>s</w:t>
      </w:r>
      <w:r w:rsidRPr="00715E35">
        <w:rPr>
          <w:rFonts w:ascii="Gadugi" w:hAnsi="Gadugi" w:cs="Century Gothic"/>
          <w:sz w:val="24"/>
          <w:szCs w:val="24"/>
        </w:rPr>
        <w:t xml:space="preserve"> que fue</w:t>
      </w:r>
      <w:r>
        <w:rPr>
          <w:rFonts w:ascii="Gadugi" w:hAnsi="Gadugi" w:cs="Century Gothic"/>
          <w:sz w:val="24"/>
          <w:szCs w:val="24"/>
        </w:rPr>
        <w:t>ron</w:t>
      </w:r>
      <w:r w:rsidRPr="00715E35">
        <w:rPr>
          <w:rFonts w:ascii="Gadugi" w:hAnsi="Gadugi" w:cs="Century Gothic"/>
          <w:sz w:val="24"/>
          <w:szCs w:val="24"/>
          <w:lang w:val="es-419"/>
        </w:rPr>
        <w:t xml:space="preserve"> vi</w:t>
      </w:r>
      <w:r>
        <w:rPr>
          <w:rFonts w:ascii="Gadugi" w:hAnsi="Gadugi" w:cs="Century Gothic"/>
          <w:sz w:val="24"/>
          <w:szCs w:val="24"/>
          <w:lang w:val="es-419"/>
        </w:rPr>
        <w:t xml:space="preserve">nculados </w:t>
      </w:r>
      <w:r>
        <w:rPr>
          <w:rFonts w:ascii="Gadugi" w:hAnsi="Gadugi" w:cs="Century Gothic"/>
          <w:sz w:val="24"/>
          <w:szCs w:val="24"/>
          <w:lang w:val="es-CO"/>
        </w:rPr>
        <w:t xml:space="preserve">el </w:t>
      </w:r>
      <w:r>
        <w:rPr>
          <w:rFonts w:ascii="Gadugi" w:hAnsi="Gadugi" w:cs="Century Gothic"/>
          <w:b/>
          <w:sz w:val="24"/>
          <w:szCs w:val="24"/>
          <w:lang w:val="es-CO"/>
        </w:rPr>
        <w:t>agente del Ministerio Público</w:t>
      </w:r>
      <w:r>
        <w:rPr>
          <w:rFonts w:ascii="Gadugi" w:hAnsi="Gadugi" w:cs="Century Gothic"/>
          <w:sz w:val="24"/>
          <w:szCs w:val="24"/>
          <w:lang w:val="es-419"/>
        </w:rPr>
        <w:t xml:space="preserve"> y la</w:t>
      </w:r>
      <w:r w:rsidRPr="00715E35">
        <w:rPr>
          <w:rFonts w:ascii="Gadugi" w:hAnsi="Gadugi" w:cs="Century Gothic"/>
          <w:sz w:val="24"/>
          <w:szCs w:val="24"/>
          <w:lang w:val="es-419"/>
        </w:rPr>
        <w:t xml:space="preserve"> </w:t>
      </w:r>
      <w:r w:rsidRPr="00715E35">
        <w:rPr>
          <w:rFonts w:ascii="Gadugi" w:hAnsi="Gadugi" w:cs="Century Gothic"/>
          <w:b/>
          <w:sz w:val="24"/>
          <w:szCs w:val="24"/>
          <w:lang w:val="es-419"/>
        </w:rPr>
        <w:t>Defensoría del Pueblo</w:t>
      </w:r>
      <w:r>
        <w:rPr>
          <w:rFonts w:ascii="Gadugi" w:hAnsi="Gadugi" w:cs="Century Gothic"/>
          <w:sz w:val="24"/>
          <w:szCs w:val="24"/>
          <w:lang w:val="es-419"/>
        </w:rPr>
        <w:t>.</w:t>
      </w:r>
    </w:p>
    <w:p w:rsidR="00CB6425" w:rsidRPr="00E44BF6" w:rsidRDefault="00CB6425" w:rsidP="00CB6425">
      <w:pPr>
        <w:spacing w:line="276" w:lineRule="auto"/>
        <w:ind w:firstLine="2835"/>
        <w:jc w:val="both"/>
        <w:rPr>
          <w:rFonts w:ascii="Gadugi" w:hAnsi="Gadugi" w:cs="Century Gothic"/>
          <w:b/>
          <w:bCs/>
          <w:sz w:val="24"/>
          <w:szCs w:val="24"/>
          <w:lang w:val="es-CO"/>
        </w:rPr>
      </w:pPr>
    </w:p>
    <w:p w:rsidR="00CB6425" w:rsidRPr="00715E35" w:rsidRDefault="00CB6425" w:rsidP="00CB6425">
      <w:pPr>
        <w:pStyle w:val="Titre4"/>
        <w:spacing w:line="276" w:lineRule="auto"/>
        <w:rPr>
          <w:rFonts w:ascii="Gadugi" w:hAnsi="Gadugi"/>
          <w:b/>
          <w:sz w:val="24"/>
          <w:szCs w:val="24"/>
        </w:rPr>
      </w:pPr>
      <w:r w:rsidRPr="00715E35">
        <w:rPr>
          <w:rFonts w:ascii="Gadugi" w:hAnsi="Gadugi"/>
          <w:b/>
          <w:sz w:val="24"/>
          <w:szCs w:val="24"/>
        </w:rPr>
        <w:t>ANTECEDENTES</w:t>
      </w:r>
    </w:p>
    <w:p w:rsidR="00CB6425" w:rsidRPr="00715E35" w:rsidRDefault="00CB6425" w:rsidP="00CB6425">
      <w:pPr>
        <w:spacing w:line="276" w:lineRule="auto"/>
        <w:ind w:firstLine="2835"/>
        <w:jc w:val="both"/>
        <w:rPr>
          <w:rFonts w:ascii="Gadugi" w:hAnsi="Gadugi" w:cs="Century Gothic"/>
          <w:sz w:val="24"/>
          <w:szCs w:val="24"/>
        </w:rPr>
      </w:pPr>
    </w:p>
    <w:p w:rsidR="00CB6425" w:rsidRPr="00243C09" w:rsidRDefault="00CB6425" w:rsidP="00CB6425">
      <w:pPr>
        <w:pStyle w:val="Corpsdetexte21"/>
        <w:spacing w:line="276" w:lineRule="auto"/>
        <w:rPr>
          <w:rFonts w:ascii="Gadugi" w:hAnsi="Gadugi" w:cs="Century Gothic"/>
          <w:i/>
          <w:szCs w:val="24"/>
          <w:lang w:val="es-CO"/>
        </w:rPr>
      </w:pPr>
      <w:r>
        <w:rPr>
          <w:rFonts w:ascii="Gadugi" w:hAnsi="Gadugi" w:cs="Century Gothic"/>
          <w:szCs w:val="24"/>
          <w:lang w:val="es-CO"/>
        </w:rPr>
        <w:t>Javier Elías Arias, quien actúa en su propio nombre</w:t>
      </w:r>
      <w:r w:rsidRPr="00715E35">
        <w:rPr>
          <w:rFonts w:ascii="Gadugi" w:hAnsi="Gadugi" w:cs="Century Gothic"/>
          <w:szCs w:val="24"/>
        </w:rPr>
        <w:t>, presentó</w:t>
      </w:r>
      <w:r>
        <w:rPr>
          <w:rFonts w:ascii="Gadugi" w:hAnsi="Gadugi" w:cs="Century Gothic"/>
          <w:szCs w:val="24"/>
        </w:rPr>
        <w:t xml:space="preserve"> sendas</w:t>
      </w:r>
      <w:r w:rsidRPr="00715E35">
        <w:rPr>
          <w:rFonts w:ascii="Gadugi" w:hAnsi="Gadugi" w:cs="Century Gothic"/>
          <w:szCs w:val="24"/>
        </w:rPr>
        <w:t xml:space="preserve"> </w:t>
      </w:r>
      <w:r>
        <w:rPr>
          <w:rFonts w:ascii="Gadugi" w:hAnsi="Gadugi" w:cs="Century Gothic"/>
          <w:szCs w:val="24"/>
        </w:rPr>
        <w:t xml:space="preserve">acciones </w:t>
      </w:r>
      <w:r w:rsidRPr="00715E35">
        <w:rPr>
          <w:rFonts w:ascii="Gadugi" w:hAnsi="Gadugi" w:cs="Century Gothic"/>
          <w:szCs w:val="24"/>
        </w:rPr>
        <w:t>de tutela contra el Juzgado</w:t>
      </w:r>
      <w:r>
        <w:rPr>
          <w:rFonts w:ascii="Gadugi" w:hAnsi="Gadugi" w:cs="Century Gothic"/>
          <w:szCs w:val="24"/>
        </w:rPr>
        <w:t xml:space="preserve"> Cuarto </w:t>
      </w:r>
      <w:r w:rsidRPr="00715E35">
        <w:rPr>
          <w:rFonts w:ascii="Gadugi" w:hAnsi="Gadugi" w:cs="Century Gothic"/>
          <w:szCs w:val="24"/>
        </w:rPr>
        <w:t xml:space="preserve">Civil del Circuito de </w:t>
      </w:r>
      <w:r>
        <w:rPr>
          <w:rFonts w:ascii="Gadugi" w:hAnsi="Gadugi" w:cs="Century Gothic"/>
          <w:szCs w:val="24"/>
          <w:lang w:val="es-CO"/>
        </w:rPr>
        <w:t xml:space="preserve">esta ciudad, en la que, en cada una de ellas, aduce la </w:t>
      </w:r>
      <w:proofErr w:type="gramStart"/>
      <w:r>
        <w:rPr>
          <w:rFonts w:ascii="Gadugi" w:hAnsi="Gadugi" w:cs="Century Gothic"/>
          <w:szCs w:val="24"/>
          <w:lang w:val="es-CO"/>
        </w:rPr>
        <w:t>violación</w:t>
      </w:r>
      <w:r>
        <w:rPr>
          <w:rFonts w:ascii="Gadugi" w:hAnsi="Gadugi" w:cs="Century Gothic"/>
          <w:szCs w:val="24"/>
          <w:lang w:val="es-419"/>
        </w:rPr>
        <w:t xml:space="preserve"> </w:t>
      </w:r>
      <w:r w:rsidRPr="00715E35">
        <w:rPr>
          <w:rFonts w:ascii="Gadugi" w:hAnsi="Gadugi" w:cs="Century Gothic"/>
          <w:i/>
          <w:szCs w:val="24"/>
        </w:rPr>
        <w:t>”</w:t>
      </w:r>
      <w:proofErr w:type="gramEnd"/>
      <w:r>
        <w:rPr>
          <w:rFonts w:ascii="Gadugi" w:hAnsi="Gadugi" w:cs="Century Gothic"/>
          <w:i/>
          <w:szCs w:val="24"/>
        </w:rPr>
        <w:t>a las garantías procesales”</w:t>
      </w:r>
      <w:r w:rsidRPr="00715E35">
        <w:rPr>
          <w:rFonts w:ascii="Gadugi" w:hAnsi="Gadugi" w:cs="Century Gothic"/>
          <w:szCs w:val="24"/>
          <w:lang w:val="es-419"/>
        </w:rPr>
        <w:t xml:space="preserve"> </w:t>
      </w:r>
      <w:r>
        <w:rPr>
          <w:rFonts w:ascii="Gadugi" w:hAnsi="Gadugi" w:cs="Century Gothic"/>
          <w:szCs w:val="24"/>
          <w:lang w:val="es-419"/>
        </w:rPr>
        <w:t xml:space="preserve">y pide que </w:t>
      </w:r>
      <w:r w:rsidRPr="00E4480D">
        <w:rPr>
          <w:rFonts w:ascii="Gadugi" w:hAnsi="Gadugi" w:cs="Century Gothic"/>
          <w:szCs w:val="24"/>
          <w:lang w:val="es-CO"/>
        </w:rPr>
        <w:t>se o</w:t>
      </w:r>
      <w:r>
        <w:rPr>
          <w:rFonts w:ascii="Gadugi" w:hAnsi="Gadugi" w:cs="Century Gothic"/>
          <w:szCs w:val="24"/>
          <w:lang w:val="es-419"/>
        </w:rPr>
        <w:t xml:space="preserve">rdene </w:t>
      </w:r>
      <w:r>
        <w:rPr>
          <w:rFonts w:ascii="Gadugi" w:hAnsi="Gadugi" w:cs="Century Gothic"/>
          <w:szCs w:val="24"/>
          <w:lang w:val="es-CO"/>
        </w:rPr>
        <w:t xml:space="preserve">al tutelado </w:t>
      </w:r>
      <w:proofErr w:type="spellStart"/>
      <w:r>
        <w:rPr>
          <w:rFonts w:ascii="Gadugi" w:hAnsi="Gadugi" w:cs="Century Gothic"/>
          <w:szCs w:val="24"/>
          <w:lang w:val="es-CO"/>
        </w:rPr>
        <w:t>admit</w:t>
      </w:r>
      <w:proofErr w:type="spellEnd"/>
      <w:r>
        <w:rPr>
          <w:rFonts w:ascii="Gadugi" w:hAnsi="Gadugi" w:cs="Century Gothic"/>
          <w:szCs w:val="24"/>
          <w:lang w:val="es-419"/>
        </w:rPr>
        <w:t>ir</w:t>
      </w:r>
      <w:r>
        <w:rPr>
          <w:rFonts w:ascii="Gadugi" w:hAnsi="Gadugi" w:cs="Century Gothic"/>
          <w:szCs w:val="24"/>
          <w:lang w:val="es-CO"/>
        </w:rPr>
        <w:t xml:space="preserve"> inmediatamente sus acciones populares</w:t>
      </w:r>
      <w:r>
        <w:rPr>
          <w:rFonts w:ascii="Gadugi" w:hAnsi="Gadugi" w:cs="Century Gothic"/>
          <w:szCs w:val="24"/>
          <w:lang w:val="es-419"/>
        </w:rPr>
        <w:t>, teniendo en cuenta la aplicación</w:t>
      </w:r>
      <w:r>
        <w:rPr>
          <w:rFonts w:ascii="Gadugi" w:hAnsi="Gadugi" w:cs="Century Gothic"/>
          <w:szCs w:val="24"/>
          <w:lang w:val="es-CO"/>
        </w:rPr>
        <w:t xml:space="preserve"> del auto que dictó dentro de una acción de grupo el 23 de enero de 2017, radicada “2016-451”.</w:t>
      </w:r>
    </w:p>
    <w:p w:rsidR="00CB6425" w:rsidRDefault="00CB6425" w:rsidP="00CB6425">
      <w:pPr>
        <w:spacing w:line="276" w:lineRule="auto"/>
        <w:jc w:val="both"/>
        <w:rPr>
          <w:rFonts w:ascii="Gadugi" w:hAnsi="Gadugi" w:cs="Century Gothic"/>
          <w:sz w:val="24"/>
          <w:szCs w:val="24"/>
          <w:lang w:val="es-CO"/>
        </w:rPr>
      </w:pPr>
      <w:r w:rsidRPr="00715E35">
        <w:rPr>
          <w:rFonts w:ascii="Gadugi" w:hAnsi="Gadugi" w:cs="Century Gothic"/>
          <w:szCs w:val="24"/>
          <w:lang w:val="es-CO"/>
        </w:rPr>
        <w:lastRenderedPageBreak/>
        <w:t xml:space="preserve"> </w:t>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Pr>
          <w:rFonts w:ascii="Gadugi" w:hAnsi="Gadugi" w:cs="Century Gothic"/>
          <w:sz w:val="24"/>
          <w:szCs w:val="24"/>
          <w:lang w:val="es-419"/>
        </w:rPr>
        <w:t>Dijo en sus</w:t>
      </w:r>
      <w:r>
        <w:rPr>
          <w:rFonts w:ascii="Gadugi" w:hAnsi="Gadugi" w:cs="Century Gothic"/>
          <w:sz w:val="24"/>
          <w:szCs w:val="24"/>
          <w:lang w:val="es-CO"/>
        </w:rPr>
        <w:t xml:space="preserve"> escritos que presentó las acciones populares registradas con los números </w:t>
      </w:r>
      <w:r>
        <w:rPr>
          <w:rFonts w:ascii="Gadugi" w:hAnsi="Gadugi" w:cs="Century Gothic"/>
          <w:i/>
          <w:sz w:val="24"/>
          <w:szCs w:val="24"/>
          <w:lang w:val="es-CO"/>
        </w:rPr>
        <w:t xml:space="preserve">“2016-392” </w:t>
      </w:r>
      <w:r>
        <w:rPr>
          <w:rFonts w:ascii="Gadugi" w:hAnsi="Gadugi" w:cs="Century Gothic"/>
          <w:sz w:val="24"/>
          <w:szCs w:val="24"/>
          <w:lang w:val="es-CO"/>
        </w:rPr>
        <w:t xml:space="preserve"> y </w:t>
      </w:r>
      <w:r>
        <w:rPr>
          <w:rFonts w:ascii="Gadugi" w:hAnsi="Gadugi" w:cs="Century Gothic"/>
          <w:i/>
          <w:sz w:val="24"/>
          <w:szCs w:val="24"/>
          <w:lang w:val="es-CO"/>
        </w:rPr>
        <w:t>“2016-393”</w:t>
      </w:r>
      <w:r>
        <w:rPr>
          <w:rFonts w:ascii="Gadugi" w:hAnsi="Gadugi" w:cs="Century Gothic"/>
          <w:sz w:val="24"/>
          <w:szCs w:val="24"/>
          <w:lang w:val="es-CO"/>
        </w:rPr>
        <w:t xml:space="preserve">, en las que </w:t>
      </w:r>
      <w:r>
        <w:rPr>
          <w:rFonts w:ascii="Gadugi" w:hAnsi="Gadugi" w:cs="Century Gothic"/>
          <w:sz w:val="24"/>
          <w:szCs w:val="24"/>
          <w:lang w:val="es-419"/>
        </w:rPr>
        <w:t xml:space="preserve">se le ordenó al juzgado, por medio de tutelas, </w:t>
      </w:r>
      <w:r>
        <w:rPr>
          <w:rFonts w:ascii="Gadugi" w:hAnsi="Gadugi" w:cs="Century Gothic"/>
          <w:sz w:val="24"/>
          <w:szCs w:val="24"/>
          <w:lang w:val="es-CO"/>
        </w:rPr>
        <w:t xml:space="preserve">no exigir requisitos inexistente en el artículo 18 de la ley 472 de 1998; sin embargo, </w:t>
      </w:r>
      <w:proofErr w:type="spellStart"/>
      <w:r>
        <w:rPr>
          <w:rFonts w:ascii="Gadugi" w:hAnsi="Gadugi" w:cs="Century Gothic"/>
          <w:sz w:val="24"/>
          <w:szCs w:val="24"/>
          <w:lang w:val="es-CO"/>
        </w:rPr>
        <w:t>rechaz</w:t>
      </w:r>
      <w:proofErr w:type="spellEnd"/>
      <w:r>
        <w:rPr>
          <w:rFonts w:ascii="Gadugi" w:hAnsi="Gadugi" w:cs="Century Gothic"/>
          <w:sz w:val="24"/>
          <w:szCs w:val="24"/>
          <w:lang w:val="es-419"/>
        </w:rPr>
        <w:t>ó</w:t>
      </w:r>
      <w:r>
        <w:rPr>
          <w:rFonts w:ascii="Gadugi" w:hAnsi="Gadugi" w:cs="Century Gothic"/>
          <w:sz w:val="24"/>
          <w:szCs w:val="24"/>
          <w:lang w:val="es-CO"/>
        </w:rPr>
        <w:t xml:space="preserve"> de nuevo las demandas, aunque ya no por requisitos inexistentes, sino por falta de competencia, lo que constituye una posición abusiva de su parte, porque desconoce </w:t>
      </w:r>
      <w:r>
        <w:rPr>
          <w:rFonts w:ascii="Gadugi" w:hAnsi="Gadugi" w:cs="Century Gothic"/>
          <w:sz w:val="24"/>
          <w:szCs w:val="24"/>
          <w:lang w:val="es-419"/>
        </w:rPr>
        <w:t xml:space="preserve">el </w:t>
      </w:r>
      <w:r>
        <w:rPr>
          <w:rFonts w:ascii="Gadugi" w:hAnsi="Gadugi" w:cs="Century Gothic"/>
          <w:sz w:val="24"/>
          <w:szCs w:val="24"/>
          <w:lang w:val="es-CO"/>
        </w:rPr>
        <w:t xml:space="preserve">conflicto resuelto en </w:t>
      </w:r>
      <w:r>
        <w:rPr>
          <w:rFonts w:ascii="Gadugi" w:hAnsi="Gadugi" w:cs="Century Gothic"/>
          <w:sz w:val="24"/>
          <w:szCs w:val="24"/>
          <w:lang w:val="es-419"/>
        </w:rPr>
        <w:t xml:space="preserve">un </w:t>
      </w:r>
      <w:r>
        <w:rPr>
          <w:rFonts w:ascii="Gadugi" w:hAnsi="Gadugi" w:cs="Century Gothic"/>
          <w:sz w:val="24"/>
          <w:szCs w:val="24"/>
          <w:lang w:val="es-CO"/>
        </w:rPr>
        <w:t>caso similar.</w:t>
      </w:r>
    </w:p>
    <w:p w:rsidR="00CB6425" w:rsidRDefault="00CB6425" w:rsidP="00CB6425">
      <w:pPr>
        <w:spacing w:line="276" w:lineRule="auto"/>
        <w:jc w:val="both"/>
        <w:rPr>
          <w:rFonts w:ascii="Gadugi" w:hAnsi="Gadugi" w:cs="Century Gothic"/>
          <w:sz w:val="24"/>
          <w:szCs w:val="24"/>
          <w:lang w:val="es-CO"/>
        </w:rPr>
      </w:pPr>
    </w:p>
    <w:p w:rsidR="00CB6425" w:rsidRDefault="00CB6425" w:rsidP="00CB6425">
      <w:pPr>
        <w:pStyle w:val="Corpsdetexte21"/>
        <w:spacing w:line="276" w:lineRule="auto"/>
        <w:rPr>
          <w:rFonts w:ascii="Gadugi" w:hAnsi="Gadugi" w:cs="Century Gothic"/>
          <w:szCs w:val="24"/>
          <w:lang w:val="es-CO"/>
        </w:rPr>
      </w:pPr>
      <w:r w:rsidRPr="00715E35">
        <w:rPr>
          <w:rFonts w:ascii="Gadugi" w:hAnsi="Gadugi" w:cs="Century Gothic"/>
          <w:szCs w:val="24"/>
        </w:rPr>
        <w:t xml:space="preserve">Se dispuso el trámite </w:t>
      </w:r>
      <w:r>
        <w:rPr>
          <w:rFonts w:ascii="Gadugi" w:hAnsi="Gadugi" w:cs="Century Gothic"/>
          <w:szCs w:val="24"/>
        </w:rPr>
        <w:t xml:space="preserve">acumulado </w:t>
      </w:r>
      <w:r w:rsidRPr="00715E35">
        <w:rPr>
          <w:rFonts w:ascii="Gadugi" w:hAnsi="Gadugi" w:cs="Century Gothic"/>
          <w:szCs w:val="24"/>
        </w:rPr>
        <w:t>y la</w:t>
      </w:r>
      <w:r>
        <w:rPr>
          <w:rFonts w:ascii="Gadugi" w:hAnsi="Gadugi" w:cs="Century Gothic"/>
          <w:szCs w:val="24"/>
        </w:rPr>
        <w:t xml:space="preserve"> </w:t>
      </w:r>
      <w:proofErr w:type="spellStart"/>
      <w:r>
        <w:rPr>
          <w:rFonts w:ascii="Gadugi" w:hAnsi="Gadugi" w:cs="Century Gothic"/>
          <w:szCs w:val="24"/>
        </w:rPr>
        <w:t>vinculaci</w:t>
      </w:r>
      <w:proofErr w:type="spellEnd"/>
      <w:r>
        <w:rPr>
          <w:rFonts w:ascii="Gadugi" w:hAnsi="Gadugi" w:cs="Century Gothic"/>
          <w:szCs w:val="24"/>
          <w:lang w:val="es-419"/>
        </w:rPr>
        <w:t>ón</w:t>
      </w:r>
      <w:r>
        <w:rPr>
          <w:rFonts w:ascii="Gadugi" w:hAnsi="Gadugi" w:cs="Century Gothic"/>
          <w:szCs w:val="24"/>
        </w:rPr>
        <w:t xml:space="preserve"> de l</w:t>
      </w:r>
      <w:r w:rsidRPr="00715E35">
        <w:rPr>
          <w:rFonts w:ascii="Gadugi" w:hAnsi="Gadugi" w:cs="Century Gothic"/>
          <w:szCs w:val="24"/>
          <w:lang w:val="es-419"/>
        </w:rPr>
        <w:t>a Defensoría del Pueblo</w:t>
      </w:r>
      <w:r>
        <w:rPr>
          <w:rFonts w:ascii="Gadugi" w:hAnsi="Gadugi" w:cs="Century Gothic"/>
          <w:szCs w:val="24"/>
          <w:lang w:val="es-CO"/>
        </w:rPr>
        <w:t xml:space="preserve"> y del agente del Ministerio Público. La Procuradora Regional Risaralda, indicó que su intervención está orientada a verificar, como ente de control, la defensa de los derechos e intereses colectivos. El despacho judicial accionado remitió copias de las piezas procesales que se le solicitaron y precisó que los expedientes están pendientes de remisión a los Juzgados Civiles del Circuito de Bogotá DC, y que frente al último auto no se propuso recursos.</w:t>
      </w:r>
    </w:p>
    <w:p w:rsidR="00CB6425" w:rsidRDefault="00CB6425" w:rsidP="007615D8">
      <w:pPr>
        <w:pStyle w:val="Corpsdetexte21"/>
        <w:spacing w:line="480" w:lineRule="auto"/>
        <w:rPr>
          <w:rFonts w:ascii="Gadugi" w:hAnsi="Gadugi" w:cs="Century Gothic"/>
          <w:szCs w:val="24"/>
          <w:lang w:val="es-CO"/>
        </w:rPr>
      </w:pPr>
    </w:p>
    <w:p w:rsidR="00CB6425" w:rsidRPr="00715E35" w:rsidRDefault="00CB6425" w:rsidP="00CB6425">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B6425" w:rsidRPr="00715E35" w:rsidRDefault="00CB6425" w:rsidP="00CB6425">
      <w:pPr>
        <w:spacing w:line="276" w:lineRule="auto"/>
        <w:ind w:firstLine="2835"/>
        <w:jc w:val="both"/>
        <w:rPr>
          <w:rFonts w:ascii="Gadugi" w:hAnsi="Gadugi" w:cs="Arial"/>
          <w:sz w:val="24"/>
          <w:szCs w:val="24"/>
          <w:u w:val="single"/>
        </w:rPr>
      </w:pPr>
    </w:p>
    <w:p w:rsidR="00CB6425" w:rsidRPr="00715E35" w:rsidRDefault="00CB6425" w:rsidP="00CB6425">
      <w:pPr>
        <w:pStyle w:val="Corpsdetex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B6425" w:rsidRPr="00715E35" w:rsidRDefault="00CB6425" w:rsidP="00CB6425">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B6425" w:rsidRPr="00C11654" w:rsidRDefault="00CB6425" w:rsidP="00CB6425">
      <w:pPr>
        <w:spacing w:line="276" w:lineRule="auto"/>
        <w:ind w:firstLine="2835"/>
        <w:jc w:val="both"/>
        <w:rPr>
          <w:rFonts w:ascii="Gadugi" w:hAnsi="Gadugi" w:cs="Arial"/>
          <w:sz w:val="24"/>
          <w:szCs w:val="24"/>
          <w:lang w:val="es-CO"/>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de los derechos fundamentales </w:t>
      </w:r>
      <w:r w:rsidRPr="00715E35">
        <w:rPr>
          <w:rFonts w:ascii="Gadugi" w:hAnsi="Gadugi" w:cs="Arial"/>
          <w:i/>
          <w:sz w:val="24"/>
          <w:szCs w:val="24"/>
        </w:rPr>
        <w:t>“a</w:t>
      </w:r>
      <w:r>
        <w:rPr>
          <w:rFonts w:ascii="Gadugi" w:hAnsi="Gadugi" w:cs="Arial"/>
          <w:i/>
          <w:sz w:val="24"/>
          <w:szCs w:val="24"/>
        </w:rPr>
        <w:t xml:space="preserve"> las garantías procesales</w:t>
      </w:r>
      <w:r w:rsidRPr="00715E35">
        <w:rPr>
          <w:rFonts w:ascii="Gadugi" w:hAnsi="Gadugi" w:cs="Arial"/>
          <w:i/>
          <w:sz w:val="24"/>
          <w:szCs w:val="24"/>
        </w:rPr>
        <w:t>”</w:t>
      </w:r>
      <w:r w:rsidRPr="00715E35">
        <w:rPr>
          <w:rFonts w:ascii="Gadugi" w:hAnsi="Gadugi" w:cs="Arial"/>
          <w:sz w:val="24"/>
          <w:szCs w:val="24"/>
        </w:rPr>
        <w:t xml:space="preserve">, </w:t>
      </w:r>
      <w:r>
        <w:rPr>
          <w:rFonts w:ascii="Gadugi" w:hAnsi="Gadugi" w:cs="Arial"/>
          <w:sz w:val="24"/>
          <w:szCs w:val="24"/>
        </w:rPr>
        <w:t>por la discordia que le causa al accionante, el hecho de que el despacho accionado hubiere rechazado,  por falta de competencia territorial, según se observa, las acciones populares que promovió.</w:t>
      </w:r>
    </w:p>
    <w:p w:rsidR="00CB6425" w:rsidRPr="00715E35" w:rsidRDefault="00CB6425" w:rsidP="00CB6425">
      <w:pPr>
        <w:spacing w:line="276" w:lineRule="auto"/>
        <w:ind w:firstLine="2835"/>
        <w:jc w:val="both"/>
        <w:rPr>
          <w:rFonts w:ascii="Gadugi" w:hAnsi="Gadugi" w:cs="Arial"/>
          <w:sz w:val="24"/>
          <w:szCs w:val="24"/>
        </w:rPr>
      </w:pPr>
    </w:p>
    <w:p w:rsidR="00CB6425" w:rsidRPr="00530D6B" w:rsidRDefault="00CB6425" w:rsidP="00CB6425">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 xml:space="preserve">a pesar de la </w:t>
      </w:r>
      <w:proofErr w:type="spellStart"/>
      <w:r w:rsidRPr="00530D6B">
        <w:rPr>
          <w:rFonts w:ascii="Gadugi" w:hAnsi="Gadugi"/>
          <w:sz w:val="24"/>
          <w:szCs w:val="24"/>
        </w:rPr>
        <w:t>inexequibilidad</w:t>
      </w:r>
      <w:proofErr w:type="spellEnd"/>
      <w:r w:rsidRPr="00530D6B">
        <w:rPr>
          <w:rFonts w:ascii="Gadugi" w:hAnsi="Gadugi"/>
          <w:sz w:val="24"/>
          <w:szCs w:val="24"/>
        </w:rPr>
        <w:t xml:space="preserve"> de las normas que en el Decreto 2591 de 1991 preveían la acción de tutela contra providencias judiciales</w:t>
      </w:r>
      <w:r w:rsidRPr="00530D6B">
        <w:rPr>
          <w:rStyle w:val="Appelnotedebasdep"/>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 sentencia SU-222 de 2016, </w:t>
      </w:r>
      <w:r w:rsidRPr="00530D6B">
        <w:rPr>
          <w:rFonts w:ascii="Gadugi" w:hAnsi="Gadugi" w:cs="Arial"/>
          <w:sz w:val="24"/>
          <w:szCs w:val="24"/>
        </w:rPr>
        <w:lastRenderedPageBreak/>
        <w:t xml:space="preserve">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w:t>
      </w:r>
      <w:r w:rsidRPr="001764FF">
        <w:rPr>
          <w:rFonts w:ascii="Gadugi" w:hAnsi="Gadugi" w:cs="Arial"/>
          <w:sz w:val="24"/>
          <w:szCs w:val="24"/>
          <w:lang w:val="es-419"/>
        </w:rPr>
        <w:t xml:space="preserve"> </w:t>
      </w:r>
      <w:r w:rsidRPr="001764FF">
        <w:rPr>
          <w:rFonts w:ascii="Gadugi" w:hAnsi="Gadugi" w:cs="Arial"/>
          <w:sz w:val="24"/>
          <w:szCs w:val="24"/>
        </w:rPr>
        <w:t>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0"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0"/>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1"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CB6425" w:rsidRPr="00222F6E" w:rsidRDefault="00CB6425" w:rsidP="00CB6425">
      <w:pPr>
        <w:pStyle w:val="Sansinterligne1"/>
        <w:spacing w:line="276" w:lineRule="auto"/>
        <w:ind w:right="51"/>
        <w:jc w:val="both"/>
        <w:rPr>
          <w:rFonts w:ascii="Gadugi" w:hAnsi="Gadugi"/>
          <w:lang w:val="es-419"/>
        </w:rPr>
      </w:pPr>
    </w:p>
    <w:p w:rsidR="00CB6425" w:rsidRDefault="00CB6425" w:rsidP="00CB6425">
      <w:pPr>
        <w:pStyle w:val="Textoindependiente21"/>
        <w:spacing w:line="276" w:lineRule="auto"/>
        <w:rPr>
          <w:rFonts w:ascii="Gadugi" w:hAnsi="Gadugi"/>
          <w:lang w:val="es-419"/>
        </w:rPr>
      </w:pPr>
      <w:r w:rsidRPr="00715E35">
        <w:rPr>
          <w:rFonts w:ascii="Gadugi" w:hAnsi="Gadugi"/>
          <w:lang w:val="es-419"/>
        </w:rPr>
        <w:t xml:space="preserve">Para la Sala </w:t>
      </w:r>
      <w:r>
        <w:rPr>
          <w:rFonts w:ascii="Gadugi" w:hAnsi="Gadugi"/>
          <w:lang w:val="es-419"/>
        </w:rPr>
        <w:t xml:space="preserve">se incumple el </w:t>
      </w:r>
      <w:r w:rsidRPr="00715E35">
        <w:rPr>
          <w:rFonts w:ascii="Gadugi" w:hAnsi="Gadugi"/>
          <w:lang w:val="es-419"/>
        </w:rPr>
        <w:t xml:space="preserve">requisito general </w:t>
      </w:r>
      <w:r>
        <w:rPr>
          <w:rFonts w:ascii="Gadugi" w:hAnsi="Gadugi"/>
          <w:lang w:val="es-419"/>
        </w:rPr>
        <w:t>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Pr="00BC1826">
        <w:rPr>
          <w:rFonts w:ascii="Gadugi" w:hAnsi="Gadugi"/>
          <w:lang w:val="es-419"/>
        </w:rPr>
        <w:t xml:space="preserve"> </w:t>
      </w:r>
      <w:r>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CB6425" w:rsidRDefault="00CB6425" w:rsidP="00CB6425">
      <w:pPr>
        <w:pStyle w:val="Textoindependiente21"/>
        <w:spacing w:line="276" w:lineRule="auto"/>
        <w:rPr>
          <w:rFonts w:ascii="Gadugi" w:hAnsi="Gadugi"/>
          <w:lang w:val="es-419"/>
        </w:rPr>
      </w:pPr>
    </w:p>
    <w:p w:rsidR="00CB6425" w:rsidRDefault="00CB6425" w:rsidP="00CB6425">
      <w:pPr>
        <w:pStyle w:val="Textoindependiente21"/>
        <w:spacing w:line="276" w:lineRule="auto"/>
        <w:rPr>
          <w:rFonts w:ascii="Gadugi" w:hAnsi="Gadugi"/>
          <w:lang w:val="es-419"/>
        </w:rPr>
      </w:pPr>
      <w:r>
        <w:rPr>
          <w:rFonts w:ascii="Gadugi" w:hAnsi="Gadugi"/>
          <w:lang w:val="es-419"/>
        </w:rPr>
        <w:t xml:space="preserve">Al respecto, dijo la Corte Constitucional, en uno de tantos pronunciamientos sobre el particular, que: </w:t>
      </w:r>
    </w:p>
    <w:p w:rsidR="00CB6425" w:rsidRPr="00725631" w:rsidRDefault="00CB6425" w:rsidP="00CB6425">
      <w:pPr>
        <w:widowControl w:val="0"/>
        <w:ind w:left="851" w:right="618" w:firstLine="1984"/>
        <w:jc w:val="both"/>
        <w:rPr>
          <w:rFonts w:ascii="Arial Narrow" w:hAnsi="Arial Narrow"/>
          <w:sz w:val="24"/>
          <w:szCs w:val="24"/>
          <w:lang w:val="es-CO"/>
        </w:rPr>
      </w:pPr>
    </w:p>
    <w:p w:rsidR="00CB6425" w:rsidRPr="00E17E33" w:rsidRDefault="00CB6425" w:rsidP="00CB6425">
      <w:pPr>
        <w:widowControl w:val="0"/>
        <w:ind w:left="851" w:right="618" w:firstLine="1984"/>
        <w:jc w:val="both"/>
        <w:rPr>
          <w:rFonts w:ascii="Arial Narrow" w:hAnsi="Arial Narrow"/>
          <w:sz w:val="24"/>
          <w:szCs w:val="24"/>
          <w:lang w:val="es-CO"/>
        </w:rPr>
      </w:pPr>
      <w:r w:rsidRPr="002A7176">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CB6425" w:rsidRPr="002A7176" w:rsidRDefault="00CB6425" w:rsidP="00CB6425">
      <w:pPr>
        <w:widowControl w:val="0"/>
        <w:ind w:left="851" w:right="618" w:firstLine="1984"/>
        <w:jc w:val="both"/>
        <w:rPr>
          <w:rFonts w:ascii="Arial Narrow" w:hAnsi="Arial Narrow"/>
          <w:sz w:val="24"/>
          <w:szCs w:val="24"/>
        </w:rPr>
      </w:pPr>
    </w:p>
    <w:p w:rsidR="00CB6425" w:rsidRPr="002A7176" w:rsidRDefault="00CB6425" w:rsidP="00CB6425">
      <w:pPr>
        <w:widowControl w:val="0"/>
        <w:ind w:left="851" w:right="618" w:firstLine="1984"/>
        <w:jc w:val="both"/>
        <w:rPr>
          <w:rFonts w:ascii="Arial Narrow" w:hAnsi="Arial Narrow"/>
          <w:b/>
          <w:i/>
          <w:sz w:val="24"/>
          <w:szCs w:val="24"/>
        </w:rPr>
      </w:pPr>
      <w:r w:rsidRPr="002A7176">
        <w:rPr>
          <w:rFonts w:ascii="Arial Narrow" w:hAnsi="Arial Narrow"/>
          <w:b/>
          <w:i/>
          <w:sz w:val="24"/>
          <w:szCs w:val="24"/>
        </w:rPr>
        <w:t>5.1. Improcedencia de la acción de tutela contra providencia judicial cuando el proceso aún se encuentra en trámite.</w:t>
      </w:r>
    </w:p>
    <w:p w:rsidR="00CB6425" w:rsidRPr="002A7176" w:rsidRDefault="00CB6425" w:rsidP="00CB6425">
      <w:pPr>
        <w:widowControl w:val="0"/>
        <w:ind w:left="851" w:right="618" w:firstLine="1984"/>
        <w:jc w:val="both"/>
        <w:rPr>
          <w:rFonts w:ascii="Arial Narrow" w:hAnsi="Arial Narrow"/>
          <w:sz w:val="24"/>
          <w:szCs w:val="24"/>
        </w:rPr>
      </w:pPr>
    </w:p>
    <w:p w:rsidR="00CB6425" w:rsidRPr="002A7176" w:rsidRDefault="00CB6425" w:rsidP="00CB6425">
      <w:pPr>
        <w:widowControl w:val="0"/>
        <w:ind w:left="851" w:right="618" w:firstLine="1984"/>
        <w:jc w:val="both"/>
        <w:rPr>
          <w:rFonts w:ascii="Arial Narrow" w:hAnsi="Arial Narrow"/>
          <w:bCs/>
          <w:sz w:val="24"/>
          <w:szCs w:val="24"/>
        </w:rPr>
      </w:pPr>
      <w:r w:rsidRPr="002A7176">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w:t>
      </w:r>
      <w:r w:rsidRPr="002A7176">
        <w:rPr>
          <w:rFonts w:ascii="Arial Narrow" w:hAnsi="Arial Narrow"/>
          <w:bCs/>
          <w:sz w:val="24"/>
          <w:szCs w:val="24"/>
        </w:rPr>
        <w:lastRenderedPageBreak/>
        <w:t xml:space="preserve">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CB6425" w:rsidRPr="002A7176" w:rsidRDefault="00CB6425" w:rsidP="00CB6425">
      <w:pPr>
        <w:widowControl w:val="0"/>
        <w:ind w:left="851" w:right="618" w:firstLine="1984"/>
        <w:jc w:val="both"/>
        <w:rPr>
          <w:rFonts w:ascii="Arial Narrow" w:hAnsi="Arial Narrow"/>
          <w:bCs/>
          <w:sz w:val="24"/>
          <w:szCs w:val="24"/>
        </w:rPr>
      </w:pPr>
    </w:p>
    <w:p w:rsidR="00CB6425" w:rsidRDefault="00CB6425" w:rsidP="00CB6425">
      <w:pPr>
        <w:widowControl w:val="0"/>
        <w:ind w:left="851" w:right="618" w:firstLine="1984"/>
        <w:jc w:val="both"/>
        <w:rPr>
          <w:rFonts w:ascii="Arial Narrow" w:hAnsi="Arial Narrow"/>
          <w:sz w:val="24"/>
          <w:szCs w:val="24"/>
          <w:lang w:val="es-MX"/>
        </w:rPr>
      </w:pPr>
      <w:r w:rsidRPr="002A7176">
        <w:rPr>
          <w:rFonts w:ascii="Arial Narrow" w:hAnsi="Arial Narrow"/>
          <w:bCs/>
          <w:sz w:val="24"/>
          <w:szCs w:val="24"/>
        </w:rPr>
        <w:t>“En efecto, al estudiar el requisito de subsidiariedad en estos casos se pueden presentar dos escenarios: i) que el proceso haya concluido</w:t>
      </w:r>
      <w:r w:rsidRPr="002A7176">
        <w:rPr>
          <w:rFonts w:ascii="Arial Narrow" w:hAnsi="Arial Narrow"/>
          <w:bCs/>
          <w:sz w:val="24"/>
          <w:szCs w:val="24"/>
          <w:vertAlign w:val="superscript"/>
        </w:rPr>
        <w:footnoteReference w:id="2"/>
      </w:r>
      <w:r w:rsidRPr="002A7176">
        <w:rPr>
          <w:rFonts w:ascii="Arial Narrow" w:hAnsi="Arial Narrow"/>
          <w:bCs/>
          <w:sz w:val="24"/>
          <w:szCs w:val="24"/>
        </w:rPr>
        <w:t>; o ii) que el proceso judicial se encuentre en curso</w:t>
      </w:r>
      <w:r w:rsidRPr="002A7176">
        <w:rPr>
          <w:rFonts w:ascii="Arial Narrow" w:hAnsi="Arial Narrow"/>
          <w:bCs/>
          <w:sz w:val="24"/>
          <w:szCs w:val="24"/>
          <w:vertAlign w:val="superscript"/>
        </w:rPr>
        <w:footnoteReference w:id="3"/>
      </w:r>
      <w:r w:rsidRPr="002A7176">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CB6425" w:rsidRDefault="00CB6425" w:rsidP="00CB6425">
      <w:pPr>
        <w:widowControl w:val="0"/>
        <w:ind w:left="851" w:right="618" w:firstLine="1984"/>
        <w:jc w:val="both"/>
        <w:rPr>
          <w:rFonts w:ascii="Arial Narrow" w:hAnsi="Arial Narrow"/>
          <w:sz w:val="24"/>
          <w:szCs w:val="24"/>
          <w:lang w:val="es-MX"/>
        </w:rPr>
      </w:pPr>
    </w:p>
    <w:p w:rsidR="00CB6425" w:rsidRDefault="00CB6425" w:rsidP="00CB6425">
      <w:pPr>
        <w:widowControl w:val="0"/>
        <w:ind w:left="851" w:right="618" w:firstLine="1984"/>
        <w:jc w:val="both"/>
        <w:rPr>
          <w:rFonts w:ascii="Arial Narrow" w:hAnsi="Arial Narrow"/>
          <w:sz w:val="24"/>
          <w:szCs w:val="24"/>
          <w:lang w:val="es-MX"/>
        </w:rPr>
      </w:pPr>
      <w:r w:rsidRPr="002A7176">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2A7176">
        <w:rPr>
          <w:rStyle w:val="Appelnotedebasdep"/>
          <w:rFonts w:ascii="Arial Narrow" w:hAnsi="Arial Narrow"/>
          <w:sz w:val="24"/>
          <w:szCs w:val="24"/>
        </w:rPr>
        <w:footnoteReference w:id="4"/>
      </w:r>
      <w:r>
        <w:rPr>
          <w:rFonts w:ascii="Arial Narrow" w:hAnsi="Arial Narrow"/>
          <w:sz w:val="24"/>
          <w:szCs w:val="24"/>
          <w:lang w:val="es-MX"/>
        </w:rPr>
        <w:t>…</w:t>
      </w:r>
      <w:r>
        <w:rPr>
          <w:rStyle w:val="Appelnotedebasdep"/>
          <w:rFonts w:ascii="Arial Narrow" w:hAnsi="Arial Narrow"/>
          <w:sz w:val="24"/>
          <w:szCs w:val="24"/>
          <w:lang w:val="es-MX"/>
        </w:rPr>
        <w:footnoteReference w:id="5"/>
      </w:r>
      <w:r w:rsidRPr="002A7176">
        <w:rPr>
          <w:rFonts w:ascii="Arial Narrow" w:hAnsi="Arial Narrow"/>
          <w:sz w:val="24"/>
          <w:szCs w:val="24"/>
          <w:lang w:val="es-MX"/>
        </w:rPr>
        <w:t xml:space="preserve"> </w:t>
      </w:r>
    </w:p>
    <w:p w:rsidR="00CB6425" w:rsidRDefault="00CB6425" w:rsidP="00CB6425">
      <w:pPr>
        <w:widowControl w:val="0"/>
        <w:ind w:left="851" w:right="618" w:firstLine="1984"/>
        <w:jc w:val="both"/>
        <w:rPr>
          <w:rFonts w:ascii="Arial Narrow" w:hAnsi="Arial Narrow"/>
          <w:sz w:val="24"/>
          <w:szCs w:val="24"/>
          <w:lang w:val="es-MX"/>
        </w:rPr>
      </w:pPr>
    </w:p>
    <w:p w:rsidR="00CB6425" w:rsidRDefault="00CB6425" w:rsidP="00CB6425">
      <w:pPr>
        <w:pStyle w:val="Textoindependiente21"/>
        <w:spacing w:line="276" w:lineRule="auto"/>
        <w:rPr>
          <w:rFonts w:ascii="Gadugi" w:hAnsi="Gadugi"/>
          <w:lang w:val="es-419"/>
        </w:rPr>
      </w:pPr>
      <w:r>
        <w:rPr>
          <w:rFonts w:ascii="Gadugi" w:hAnsi="Gadugi"/>
          <w:lang w:val="es-419"/>
        </w:rPr>
        <w:t>Descendiendo al caso concreto, se tiene que el Juzgado</w:t>
      </w:r>
      <w:r>
        <w:rPr>
          <w:rFonts w:ascii="Gadugi" w:hAnsi="Gadugi"/>
          <w:lang w:val="es-CO"/>
        </w:rPr>
        <w:t xml:space="preserve"> Cuarto</w:t>
      </w:r>
      <w:r>
        <w:rPr>
          <w:rFonts w:ascii="Gadugi" w:hAnsi="Gadugi"/>
          <w:lang w:val="es-419"/>
        </w:rPr>
        <w:t xml:space="preserve"> Civil del Circuito de </w:t>
      </w:r>
      <w:r>
        <w:rPr>
          <w:rFonts w:ascii="Gadugi" w:hAnsi="Gadugi"/>
          <w:lang w:val="es-CO"/>
        </w:rPr>
        <w:t>Pereira</w:t>
      </w:r>
      <w:r>
        <w:rPr>
          <w:rFonts w:ascii="Gadugi" w:hAnsi="Gadugi"/>
          <w:lang w:val="es-419"/>
        </w:rPr>
        <w:t xml:space="preserve"> rechazó por falta de </w:t>
      </w:r>
      <w:r>
        <w:rPr>
          <w:rFonts w:ascii="Gadugi" w:hAnsi="Gadugi"/>
          <w:lang w:val="es-CO"/>
        </w:rPr>
        <w:t xml:space="preserve">competencia </w:t>
      </w:r>
      <w:r>
        <w:rPr>
          <w:rFonts w:ascii="Gadugi" w:hAnsi="Gadugi"/>
          <w:lang w:val="es-419"/>
        </w:rPr>
        <w:t>la</w:t>
      </w:r>
      <w:r>
        <w:rPr>
          <w:rFonts w:ascii="Gadugi" w:hAnsi="Gadugi"/>
          <w:lang w:val="es-CO"/>
        </w:rPr>
        <w:t xml:space="preserve">s acciones populares 2016-00392-00 y 2016-00393-00, al considerar que dichos asuntos deben ventilarse ante los Juzgados Civiles del Circuito de Bogotá DC, por ser allí en donde la entidad a la que </w:t>
      </w:r>
      <w:r>
        <w:rPr>
          <w:rFonts w:ascii="Gadugi" w:hAnsi="Gadugi"/>
          <w:lang w:val="es-419"/>
        </w:rPr>
        <w:t xml:space="preserve">se </w:t>
      </w:r>
      <w:r>
        <w:rPr>
          <w:rFonts w:ascii="Gadugi" w:hAnsi="Gadugi"/>
          <w:lang w:val="es-CO"/>
        </w:rPr>
        <w:t>demanda tiene su domicilio principal</w:t>
      </w:r>
      <w:r>
        <w:rPr>
          <w:rFonts w:ascii="Gadugi" w:hAnsi="Gadugi"/>
          <w:lang w:val="es-419"/>
        </w:rPr>
        <w:t xml:space="preserve"> y es donde </w:t>
      </w:r>
      <w:r>
        <w:rPr>
          <w:rFonts w:ascii="Gadugi" w:hAnsi="Gadugi"/>
          <w:lang w:val="es-CO"/>
        </w:rPr>
        <w:t xml:space="preserve">ocurren las violaciones, y allí ordenó la remisión. </w:t>
      </w:r>
      <w:r>
        <w:rPr>
          <w:rFonts w:ascii="Gadugi" w:hAnsi="Gadugi"/>
          <w:lang w:val="es-419"/>
        </w:rPr>
        <w:t>Contra esa</w:t>
      </w:r>
      <w:r>
        <w:rPr>
          <w:rFonts w:ascii="Gadugi" w:hAnsi="Gadugi"/>
          <w:lang w:val="es-CO"/>
        </w:rPr>
        <w:t>s</w:t>
      </w:r>
      <w:r>
        <w:rPr>
          <w:rFonts w:ascii="Gadugi" w:hAnsi="Gadugi"/>
          <w:lang w:val="es-419"/>
        </w:rPr>
        <w:t xml:space="preserve"> decisiones</w:t>
      </w:r>
      <w:r>
        <w:rPr>
          <w:rFonts w:ascii="Gadugi" w:hAnsi="Gadugi"/>
          <w:lang w:val="es-CO"/>
        </w:rPr>
        <w:t>, una vez corría el primer día de ejecutoria  (f. 42 y 66) procedió a instaurar en forma directa las presentes acciones de tutela (f. 2 y 8)</w:t>
      </w:r>
      <w:r>
        <w:rPr>
          <w:rFonts w:ascii="Gadugi" w:hAnsi="Gadugi"/>
          <w:lang w:val="es-419"/>
        </w:rPr>
        <w:t xml:space="preserve">. </w:t>
      </w:r>
    </w:p>
    <w:p w:rsidR="00CB6425" w:rsidRDefault="00CB6425" w:rsidP="00CB6425">
      <w:pPr>
        <w:pStyle w:val="Textoindependiente21"/>
        <w:spacing w:line="276" w:lineRule="auto"/>
        <w:rPr>
          <w:rFonts w:ascii="Gadugi" w:hAnsi="Gadugi"/>
          <w:lang w:val="es-419"/>
        </w:rPr>
      </w:pPr>
    </w:p>
    <w:p w:rsidR="00CB6425" w:rsidRDefault="00CB6425" w:rsidP="00CB6425">
      <w:pPr>
        <w:pStyle w:val="Textoindependiente21"/>
        <w:spacing w:line="276" w:lineRule="auto"/>
        <w:rPr>
          <w:rFonts w:ascii="Gadugi" w:hAnsi="Gadugi"/>
          <w:lang w:val="es-419"/>
        </w:rPr>
      </w:pPr>
      <w:r>
        <w:rPr>
          <w:rFonts w:ascii="Gadugi" w:hAnsi="Gadugi"/>
          <w:lang w:val="es-419"/>
        </w:rPr>
        <w:t xml:space="preserve">Ante una decisión de tal naturaleza, lo que queda es remitir el expediente al juez que se estima competente, como en este caso </w:t>
      </w:r>
      <w:r>
        <w:rPr>
          <w:rFonts w:ascii="Gadugi" w:hAnsi="Gadugi"/>
          <w:lang w:val="es-CO"/>
        </w:rPr>
        <w:t>se dispuso</w:t>
      </w:r>
      <w:r>
        <w:rPr>
          <w:rFonts w:ascii="Gadugi" w:hAnsi="Gadugi"/>
          <w:lang w:val="es-419"/>
        </w:rPr>
        <w:t xml:space="preserve">, para que decida si </w:t>
      </w:r>
      <w:r w:rsidRPr="00715E35">
        <w:rPr>
          <w:rFonts w:ascii="Gadugi" w:hAnsi="Gadugi"/>
          <w:lang w:val="es-419"/>
        </w:rPr>
        <w:t>asum</w:t>
      </w:r>
      <w:r>
        <w:rPr>
          <w:rFonts w:ascii="Gadugi" w:hAnsi="Gadugi"/>
          <w:lang w:val="es-419"/>
        </w:rPr>
        <w:t>e</w:t>
      </w:r>
      <w:r w:rsidRPr="00715E35">
        <w:rPr>
          <w:rFonts w:ascii="Gadugi" w:hAnsi="Gadugi"/>
          <w:lang w:val="es-419"/>
        </w:rPr>
        <w:t xml:space="preserve"> </w:t>
      </w:r>
      <w:r>
        <w:rPr>
          <w:rFonts w:ascii="Gadugi" w:hAnsi="Gadugi"/>
          <w:lang w:val="es-CO"/>
        </w:rPr>
        <w:t>o no su conocimiento</w:t>
      </w:r>
      <w:r>
        <w:rPr>
          <w:rFonts w:ascii="Gadugi" w:hAnsi="Gadugi"/>
          <w:lang w:val="es-419"/>
        </w:rPr>
        <w:t xml:space="preserve"> o si también la reniega, en </w:t>
      </w:r>
      <w:r>
        <w:rPr>
          <w:rFonts w:ascii="Gadugi" w:hAnsi="Gadugi"/>
          <w:lang w:val="es-419"/>
        </w:rPr>
        <w:lastRenderedPageBreak/>
        <w:t xml:space="preserve">cuyo evento, tendría que generar el </w:t>
      </w:r>
      <w:r w:rsidRPr="00715E35">
        <w:rPr>
          <w:rFonts w:ascii="Gadugi" w:hAnsi="Gadugi"/>
          <w:lang w:val="es-419"/>
        </w:rPr>
        <w:t xml:space="preserve">conflicto </w:t>
      </w:r>
      <w:r>
        <w:rPr>
          <w:rFonts w:ascii="Gadugi" w:hAnsi="Gadugi"/>
          <w:lang w:val="es-419"/>
        </w:rPr>
        <w:t xml:space="preserve">respectivo. </w:t>
      </w:r>
      <w:r>
        <w:rPr>
          <w:rFonts w:ascii="Gadugi" w:hAnsi="Gadugi"/>
          <w:lang w:val="es-CO"/>
        </w:rPr>
        <w:t>De donde surge que las acciones populares están en trámite</w:t>
      </w:r>
      <w:r>
        <w:rPr>
          <w:rFonts w:ascii="Gadugi" w:hAnsi="Gadugi"/>
          <w:lang w:val="es-419"/>
        </w:rPr>
        <w:t>, y como la cuestión planteada carece de una relevancia tal que implique la injerencia directa del juez constitucional, pues no se evidencian circunstancias especiales que así lo aconsejen, es dentro de ella</w:t>
      </w:r>
      <w:r>
        <w:rPr>
          <w:rFonts w:ascii="Gadugi" w:hAnsi="Gadugi"/>
          <w:lang w:val="es-CO"/>
        </w:rPr>
        <w:t>s</w:t>
      </w:r>
      <w:r>
        <w:rPr>
          <w:rFonts w:ascii="Gadugi" w:hAnsi="Gadugi"/>
          <w:lang w:val="es-419"/>
        </w:rPr>
        <w:t xml:space="preserve"> mismas que debe ventilarse </w:t>
      </w:r>
      <w:r>
        <w:rPr>
          <w:rFonts w:ascii="Gadugi" w:hAnsi="Gadugi"/>
          <w:lang w:val="es-CO"/>
        </w:rPr>
        <w:t>lo pertinente</w:t>
      </w:r>
      <w:r>
        <w:rPr>
          <w:rFonts w:ascii="Gadugi" w:hAnsi="Gadugi"/>
          <w:lang w:val="es-419"/>
        </w:rPr>
        <w:t>.</w:t>
      </w:r>
    </w:p>
    <w:p w:rsidR="00CB6425" w:rsidRDefault="00CB6425" w:rsidP="00CB6425">
      <w:pPr>
        <w:pStyle w:val="Textoindependiente21"/>
        <w:spacing w:line="276" w:lineRule="auto"/>
        <w:rPr>
          <w:rFonts w:ascii="Gadugi" w:hAnsi="Gadugi"/>
          <w:lang w:val="es-419"/>
        </w:rPr>
      </w:pPr>
    </w:p>
    <w:p w:rsidR="00CB6425" w:rsidRPr="001764FF" w:rsidRDefault="00CB6425" w:rsidP="00CB6425">
      <w:pPr>
        <w:pStyle w:val="Sansinterligne1"/>
        <w:spacing w:line="276" w:lineRule="auto"/>
        <w:ind w:right="51"/>
        <w:jc w:val="both"/>
        <w:rPr>
          <w:rFonts w:ascii="Gadugi" w:hAnsi="Gadugi"/>
          <w:lang w:val="es-CO"/>
        </w:rPr>
      </w:pPr>
      <w:r>
        <w:rPr>
          <w:rFonts w:ascii="Gadugi" w:hAnsi="Gadugi"/>
          <w:lang w:val="es-419"/>
        </w:rPr>
        <w:tab/>
      </w:r>
      <w:r>
        <w:rPr>
          <w:rFonts w:ascii="Gadugi" w:hAnsi="Gadugi"/>
          <w:lang w:val="es-419"/>
        </w:rPr>
        <w:tab/>
      </w:r>
      <w:r w:rsidRPr="005B18F4">
        <w:rPr>
          <w:rFonts w:ascii="Gadugi" w:hAnsi="Gadugi"/>
          <w:lang w:val="es-419"/>
        </w:rPr>
        <w:tab/>
      </w:r>
      <w:r>
        <w:rPr>
          <w:rFonts w:ascii="Gadugi" w:hAnsi="Gadugi"/>
          <w:lang w:val="es-419"/>
        </w:rPr>
        <w:tab/>
      </w:r>
      <w:r>
        <w:rPr>
          <w:rFonts w:ascii="Gadugi" w:hAnsi="Gadugi"/>
          <w:lang w:val="es-CO"/>
        </w:rPr>
        <w:t xml:space="preserve">Por consiguiente, se declarará la improcedencia anunciada y se </w:t>
      </w:r>
      <w:proofErr w:type="spellStart"/>
      <w:r>
        <w:rPr>
          <w:rFonts w:ascii="Gadugi" w:hAnsi="Gadugi"/>
          <w:lang w:val="es-CO"/>
        </w:rPr>
        <w:t>abso</w:t>
      </w:r>
      <w:proofErr w:type="spellEnd"/>
      <w:r>
        <w:rPr>
          <w:rFonts w:ascii="Gadugi" w:hAnsi="Gadugi"/>
          <w:lang w:val="es-419"/>
        </w:rPr>
        <w:t>l</w:t>
      </w:r>
      <w:r>
        <w:rPr>
          <w:rFonts w:ascii="Gadugi" w:hAnsi="Gadugi"/>
          <w:lang w:val="es-CO"/>
        </w:rPr>
        <w:t xml:space="preserve">verá a los demás intervinientes, ya que nada se advierte acerca de acciones </w:t>
      </w:r>
      <w:r>
        <w:rPr>
          <w:rFonts w:ascii="Gadugi" w:hAnsi="Gadugi"/>
          <w:lang w:val="es-419"/>
        </w:rPr>
        <w:t>u</w:t>
      </w:r>
      <w:r>
        <w:rPr>
          <w:rFonts w:ascii="Gadugi" w:hAnsi="Gadugi"/>
          <w:lang w:val="es-CO"/>
        </w:rPr>
        <w:t xml:space="preserve"> omisiones de su parte que </w:t>
      </w:r>
      <w:proofErr w:type="gramStart"/>
      <w:r>
        <w:rPr>
          <w:rFonts w:ascii="Gadugi" w:hAnsi="Gadugi"/>
          <w:lang w:val="es-CO"/>
        </w:rPr>
        <w:t>hayan</w:t>
      </w:r>
      <w:proofErr w:type="gramEnd"/>
      <w:r>
        <w:rPr>
          <w:rFonts w:ascii="Gadugi" w:hAnsi="Gadugi"/>
          <w:lang w:val="es-CO"/>
        </w:rPr>
        <w:t xml:space="preserve"> trasgredido los derechos invocados.</w:t>
      </w:r>
    </w:p>
    <w:p w:rsidR="00CB6425" w:rsidRPr="00425E2C" w:rsidRDefault="00CB6425" w:rsidP="00CB6425">
      <w:pPr>
        <w:pStyle w:val="Sansinterligne1"/>
        <w:spacing w:line="276" w:lineRule="auto"/>
        <w:ind w:right="51"/>
        <w:jc w:val="both"/>
        <w:rPr>
          <w:rFonts w:ascii="Gadugi" w:hAnsi="Gadugi"/>
          <w:color w:val="FF0000"/>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CB6425" w:rsidRPr="00715E35" w:rsidRDefault="00CB6425" w:rsidP="00CB6425">
      <w:pPr>
        <w:pStyle w:val="Sansinterligne1"/>
        <w:spacing w:line="276" w:lineRule="auto"/>
        <w:ind w:right="51"/>
        <w:jc w:val="both"/>
        <w:rPr>
          <w:rFonts w:ascii="Gadugi" w:hAnsi="Gadugi" w:cs="Arial"/>
          <w:b/>
        </w:rPr>
      </w:pPr>
      <w:r w:rsidRPr="00425E2C">
        <w:rPr>
          <w:rFonts w:ascii="Gadugi" w:hAnsi="Gadugi"/>
          <w:color w:val="FF0000"/>
          <w:lang w:val="es-CO"/>
        </w:rPr>
        <w:t xml:space="preserve"> </w:t>
      </w:r>
      <w:r w:rsidRPr="00425E2C">
        <w:rPr>
          <w:rFonts w:ascii="Gadugi" w:hAnsi="Gadugi"/>
          <w:color w:val="FF0000"/>
          <w:lang w:val="es-CO"/>
        </w:rPr>
        <w:tab/>
      </w:r>
      <w:r w:rsidRPr="00425E2C">
        <w:rPr>
          <w:rFonts w:ascii="Gadugi" w:hAnsi="Gadugi"/>
          <w:color w:val="FF0000"/>
          <w:lang w:val="es-CO"/>
        </w:rPr>
        <w:tab/>
      </w:r>
      <w:r w:rsidRPr="00425E2C">
        <w:rPr>
          <w:rFonts w:ascii="Gadugi" w:hAnsi="Gadugi"/>
          <w:color w:val="FF0000"/>
          <w:lang w:val="es-CO"/>
        </w:rPr>
        <w:tab/>
      </w:r>
      <w:r w:rsidRPr="00425E2C">
        <w:rPr>
          <w:rFonts w:ascii="Gadugi" w:hAnsi="Gadugi"/>
          <w:color w:val="FF0000"/>
          <w:lang w:val="es-CO"/>
        </w:rPr>
        <w:tab/>
      </w:r>
      <w:r w:rsidRPr="00715E35">
        <w:rPr>
          <w:rFonts w:ascii="Gadugi" w:hAnsi="Gadugi" w:cs="Arial"/>
          <w:b/>
        </w:rPr>
        <w:t>DECISIÓN</w:t>
      </w:r>
    </w:p>
    <w:p w:rsidR="00CB6425" w:rsidRPr="00715E35" w:rsidRDefault="00CB6425" w:rsidP="00CB6425">
      <w:pPr>
        <w:spacing w:line="276" w:lineRule="auto"/>
        <w:ind w:firstLine="2835"/>
        <w:jc w:val="both"/>
        <w:rPr>
          <w:rFonts w:ascii="Gadugi" w:hAnsi="Gadugi" w:cs="Arial"/>
          <w:sz w:val="24"/>
          <w:szCs w:val="24"/>
        </w:rPr>
      </w:pPr>
    </w:p>
    <w:p w:rsidR="00CB6425" w:rsidRDefault="00CB6425" w:rsidP="00CB6425">
      <w:pPr>
        <w:spacing w:line="276" w:lineRule="auto"/>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Pr>
          <w:rFonts w:ascii="Gadugi" w:hAnsi="Gadugi" w:cs="Arial"/>
          <w:b/>
          <w:sz w:val="24"/>
          <w:szCs w:val="24"/>
          <w:lang w:val="es-CO"/>
        </w:rPr>
        <w:t>S</w:t>
      </w:r>
      <w:r w:rsidRPr="00715E35">
        <w:rPr>
          <w:rFonts w:ascii="Gadugi" w:hAnsi="Gadugi" w:cs="Arial"/>
          <w:b/>
          <w:sz w:val="24"/>
          <w:szCs w:val="24"/>
          <w:lang w:val="es-419"/>
        </w:rPr>
        <w:t xml:space="preserve"> </w:t>
      </w:r>
      <w:r>
        <w:rPr>
          <w:rFonts w:ascii="Gadugi" w:hAnsi="Gadugi" w:cs="Arial"/>
          <w:sz w:val="24"/>
          <w:szCs w:val="24"/>
        </w:rPr>
        <w:t xml:space="preserve">los amparos impetrados por </w:t>
      </w:r>
      <w:r>
        <w:rPr>
          <w:rFonts w:ascii="Gadugi" w:hAnsi="Gadugi" w:cs="Arial"/>
          <w:b/>
          <w:sz w:val="24"/>
          <w:szCs w:val="24"/>
        </w:rPr>
        <w:t xml:space="preserve">Javier Elías Arias </w:t>
      </w:r>
      <w:proofErr w:type="spellStart"/>
      <w:r>
        <w:rPr>
          <w:rFonts w:ascii="Gadugi" w:hAnsi="Gadugi" w:cs="Arial"/>
          <w:b/>
          <w:sz w:val="24"/>
          <w:szCs w:val="24"/>
        </w:rPr>
        <w:t>Idárraga</w:t>
      </w:r>
      <w:proofErr w:type="spellEnd"/>
      <w:r w:rsidRPr="00715E35">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Cuarto </w:t>
      </w:r>
      <w:r>
        <w:rPr>
          <w:rFonts w:ascii="Gadugi" w:hAnsi="Gadugi" w:cs="Century Gothic"/>
          <w:b/>
          <w:sz w:val="24"/>
          <w:szCs w:val="24"/>
          <w:lang w:val="es-419"/>
        </w:rPr>
        <w:t xml:space="preserve">Civil del Circuito de </w:t>
      </w:r>
      <w:r>
        <w:rPr>
          <w:rFonts w:ascii="Gadugi" w:hAnsi="Gadugi" w:cs="Century Gothic"/>
          <w:b/>
          <w:sz w:val="24"/>
          <w:szCs w:val="24"/>
          <w:lang w:val="es-CO"/>
        </w:rPr>
        <w:t>Pereira.</w:t>
      </w:r>
    </w:p>
    <w:p w:rsidR="00CB6425" w:rsidRPr="00715E35" w:rsidRDefault="00CB6425" w:rsidP="00CB6425">
      <w:pPr>
        <w:spacing w:line="276" w:lineRule="auto"/>
        <w:ind w:firstLine="2835"/>
        <w:jc w:val="both"/>
        <w:rPr>
          <w:rFonts w:ascii="Gadugi" w:hAnsi="Gadugi" w:cs="Arial"/>
          <w:sz w:val="24"/>
          <w:szCs w:val="24"/>
        </w:rPr>
      </w:pPr>
      <w:r w:rsidRPr="00715E35">
        <w:rPr>
          <w:rFonts w:ascii="Gadugi" w:hAnsi="Gadugi" w:cs="Arial"/>
          <w:sz w:val="24"/>
          <w:szCs w:val="24"/>
        </w:rPr>
        <w:t>Se absuelve a las demás entidades involucradas</w:t>
      </w:r>
      <w:r>
        <w:rPr>
          <w:rFonts w:ascii="Gadugi" w:hAnsi="Gadugi" w:cs="Arial"/>
          <w:sz w:val="24"/>
          <w:szCs w:val="24"/>
          <w:lang w:val="es-419"/>
        </w:rPr>
        <w:t>.</w:t>
      </w:r>
    </w:p>
    <w:p w:rsidR="00CB6425" w:rsidRPr="00715E35" w:rsidRDefault="00CB6425" w:rsidP="00CB6425">
      <w:pPr>
        <w:spacing w:line="276" w:lineRule="auto"/>
        <w:jc w:val="both"/>
        <w:rPr>
          <w:rFonts w:ascii="Gadugi" w:hAnsi="Gadugi" w:cs="Arial"/>
          <w:sz w:val="24"/>
          <w:szCs w:val="24"/>
        </w:rPr>
      </w:pPr>
    </w:p>
    <w:p w:rsidR="00CB6425" w:rsidRDefault="00CB6425" w:rsidP="00CB6425">
      <w:pPr>
        <w:spacing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CB6425" w:rsidRDefault="00CB6425" w:rsidP="00CB6425">
      <w:pPr>
        <w:spacing w:line="276" w:lineRule="auto"/>
        <w:ind w:firstLine="2835"/>
        <w:jc w:val="both"/>
        <w:rPr>
          <w:rFonts w:ascii="Gadugi" w:hAnsi="Gadugi" w:cs="Arial"/>
          <w:sz w:val="24"/>
          <w:szCs w:val="24"/>
        </w:rPr>
      </w:pPr>
    </w:p>
    <w:p w:rsidR="00CB6425" w:rsidRPr="00715E35" w:rsidRDefault="00CB6425" w:rsidP="00CB6425">
      <w:pPr>
        <w:spacing w:line="276" w:lineRule="auto"/>
        <w:ind w:firstLine="2835"/>
        <w:jc w:val="both"/>
        <w:rPr>
          <w:rFonts w:ascii="Gadugi" w:hAnsi="Gadugi" w:cs="Arial"/>
          <w:sz w:val="24"/>
          <w:szCs w:val="24"/>
        </w:rPr>
      </w:pPr>
      <w:r>
        <w:rPr>
          <w:rFonts w:ascii="Gadugi" w:hAnsi="Gadugi" w:cs="Arial"/>
          <w:sz w:val="24"/>
          <w:szCs w:val="24"/>
        </w:rPr>
        <w:t>Sin más trámite archívese el expediente, en caso de no impugnación, ni revisión por parte de la citada Corporación.</w:t>
      </w:r>
    </w:p>
    <w:p w:rsidR="00CB6425" w:rsidRDefault="00CB6425" w:rsidP="00CB6425">
      <w:pPr>
        <w:spacing w:line="276" w:lineRule="auto"/>
        <w:ind w:firstLine="2835"/>
        <w:jc w:val="both"/>
        <w:rPr>
          <w:rFonts w:ascii="Gadugi" w:hAnsi="Gadugi" w:cs="Arial"/>
          <w:sz w:val="24"/>
          <w:szCs w:val="24"/>
        </w:rPr>
      </w:pPr>
    </w:p>
    <w:p w:rsidR="00CB6425" w:rsidRPr="00715E35" w:rsidRDefault="00CB6425" w:rsidP="00CB6425">
      <w:pPr>
        <w:spacing w:line="276" w:lineRule="auto"/>
        <w:ind w:firstLine="2835"/>
        <w:jc w:val="both"/>
        <w:rPr>
          <w:rFonts w:ascii="Gadugi" w:hAnsi="Gadugi" w:cs="Arial"/>
          <w:sz w:val="24"/>
          <w:szCs w:val="24"/>
        </w:rPr>
      </w:pPr>
    </w:p>
    <w:p w:rsidR="00CB6425" w:rsidRPr="00715E35" w:rsidRDefault="00CB6425" w:rsidP="00CB6425">
      <w:pPr>
        <w:spacing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CB6425" w:rsidRPr="00715E35" w:rsidRDefault="00CB6425" w:rsidP="00CB6425">
      <w:pPr>
        <w:spacing w:line="276" w:lineRule="auto"/>
        <w:ind w:firstLine="2835"/>
        <w:jc w:val="both"/>
        <w:rPr>
          <w:rFonts w:ascii="Gadugi" w:hAnsi="Gadugi" w:cs="Arial"/>
          <w:b/>
          <w:sz w:val="24"/>
          <w:szCs w:val="24"/>
        </w:rPr>
      </w:pPr>
    </w:p>
    <w:p w:rsidR="00CB6425" w:rsidRDefault="00CB6425" w:rsidP="00CB6425">
      <w:pPr>
        <w:spacing w:line="276" w:lineRule="auto"/>
        <w:ind w:firstLine="2835"/>
        <w:jc w:val="both"/>
        <w:rPr>
          <w:rFonts w:ascii="Gadugi" w:hAnsi="Gadugi" w:cs="Arial"/>
          <w:b/>
          <w:sz w:val="24"/>
          <w:szCs w:val="24"/>
        </w:rPr>
      </w:pPr>
    </w:p>
    <w:p w:rsidR="00CB6425" w:rsidRDefault="00CB6425" w:rsidP="00CB6425">
      <w:pPr>
        <w:spacing w:line="276" w:lineRule="auto"/>
        <w:ind w:firstLine="2835"/>
        <w:jc w:val="both"/>
        <w:rPr>
          <w:rFonts w:ascii="Gadugi" w:hAnsi="Gadugi" w:cs="Arial"/>
          <w:b/>
          <w:sz w:val="24"/>
          <w:szCs w:val="24"/>
        </w:rPr>
      </w:pPr>
    </w:p>
    <w:p w:rsidR="00CB6425" w:rsidRPr="00715E35" w:rsidRDefault="00CB6425" w:rsidP="00CB6425">
      <w:pPr>
        <w:spacing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CB6425" w:rsidRDefault="00CB6425" w:rsidP="00CB6425">
      <w:pPr>
        <w:spacing w:line="276" w:lineRule="auto"/>
        <w:jc w:val="both"/>
        <w:rPr>
          <w:rFonts w:ascii="Gadugi" w:hAnsi="Gadugi" w:cs="Arial"/>
          <w:b/>
          <w:sz w:val="24"/>
          <w:szCs w:val="24"/>
          <w:lang w:val="es-419"/>
        </w:rPr>
      </w:pPr>
    </w:p>
    <w:p w:rsidR="00CB6425" w:rsidRDefault="00CB6425" w:rsidP="00CB6425">
      <w:pPr>
        <w:spacing w:line="276" w:lineRule="auto"/>
        <w:jc w:val="both"/>
        <w:rPr>
          <w:rFonts w:ascii="Gadugi" w:hAnsi="Gadugi" w:cs="Arial"/>
          <w:b/>
          <w:sz w:val="24"/>
          <w:szCs w:val="24"/>
          <w:lang w:val="es-419"/>
        </w:rPr>
      </w:pPr>
    </w:p>
    <w:p w:rsidR="00CB6425" w:rsidRPr="00C61D6D" w:rsidRDefault="00CB6425" w:rsidP="00CB6425">
      <w:pPr>
        <w:spacing w:line="276" w:lineRule="auto"/>
        <w:jc w:val="both"/>
        <w:rPr>
          <w:rFonts w:ascii="Gadugi" w:hAnsi="Gadugi" w:cs="Arial"/>
          <w:b/>
          <w:sz w:val="24"/>
          <w:szCs w:val="24"/>
          <w:lang w:val="es-419"/>
        </w:rPr>
      </w:pPr>
    </w:p>
    <w:p w:rsidR="00CB6425" w:rsidRPr="00715E35" w:rsidRDefault="00CB6425" w:rsidP="00CB6425">
      <w:pPr>
        <w:spacing w:line="276" w:lineRule="auto"/>
        <w:jc w:val="both"/>
        <w:rPr>
          <w:rFonts w:ascii="Gadugi" w:hAnsi="Gadugi"/>
          <w:lang w:val="es-419"/>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w:t>
      </w:r>
      <w:proofErr w:type="spellStart"/>
      <w:r w:rsidRPr="00715E35">
        <w:rPr>
          <w:rFonts w:ascii="Gadugi" w:hAnsi="Gadugi" w:cs="Arial"/>
          <w:b/>
          <w:sz w:val="24"/>
          <w:szCs w:val="24"/>
          <w:lang w:val="es-ES_tradnl"/>
        </w:rPr>
        <w:t>DUBERNEY</w:t>
      </w:r>
      <w:proofErr w:type="spellEnd"/>
      <w:r w:rsidRPr="00715E35">
        <w:rPr>
          <w:rFonts w:ascii="Gadugi" w:hAnsi="Gadugi" w:cs="Arial"/>
          <w:b/>
          <w:sz w:val="24"/>
          <w:szCs w:val="24"/>
          <w:lang w:val="es-ES_tradnl"/>
        </w:rPr>
        <w:t xml:space="preserve"> GRISALES HERRERA</w:t>
      </w:r>
    </w:p>
    <w:p w:rsidR="005F1135" w:rsidRDefault="006669D7">
      <w:bookmarkStart w:id="2" w:name="_GoBack"/>
      <w:bookmarkEnd w:id="2"/>
    </w:p>
    <w:sectPr w:rsidR="005F1135" w:rsidSect="00CB6425">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D7" w:rsidRDefault="006669D7" w:rsidP="00CB6425">
      <w:r>
        <w:separator/>
      </w:r>
    </w:p>
  </w:endnote>
  <w:endnote w:type="continuationSeparator" w:id="0">
    <w:p w:rsidR="006669D7" w:rsidRDefault="006669D7" w:rsidP="00CB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476F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15D8">
      <w:rPr>
        <w:rStyle w:val="Numrodepage"/>
        <w:noProof/>
      </w:rPr>
      <w:t>5</w:t>
    </w:r>
    <w:r>
      <w:rPr>
        <w:rStyle w:val="Numrodepage"/>
      </w:rPr>
      <w:fldChar w:fldCharType="end"/>
    </w:r>
  </w:p>
  <w:p w:rsidR="00E86AA4" w:rsidRDefault="006669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D7" w:rsidRDefault="006669D7" w:rsidP="00CB6425">
      <w:r>
        <w:separator/>
      </w:r>
    </w:p>
  </w:footnote>
  <w:footnote w:type="continuationSeparator" w:id="0">
    <w:p w:rsidR="006669D7" w:rsidRDefault="006669D7" w:rsidP="00CB6425">
      <w:r>
        <w:continuationSeparator/>
      </w:r>
    </w:p>
  </w:footnote>
  <w:footnote w:id="1">
    <w:p w:rsidR="00CB6425" w:rsidRPr="005D29EA" w:rsidRDefault="00CB6425" w:rsidP="00CB6425">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CB6425" w:rsidRPr="00E2420B" w:rsidRDefault="00CB6425" w:rsidP="00CB6425">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CB6425" w:rsidRPr="00E2420B" w:rsidRDefault="00CB6425" w:rsidP="00CB6425">
      <w:pPr>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CB6425" w:rsidRPr="00F642C7" w:rsidRDefault="00CB6425" w:rsidP="00CB6425">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F642C7">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CB6425" w:rsidRPr="007F4AEB" w:rsidRDefault="00CB6425" w:rsidP="00CB6425">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476F4"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1D"/>
    <w:rsid w:val="0050091D"/>
    <w:rsid w:val="006669D7"/>
    <w:rsid w:val="007615D8"/>
    <w:rsid w:val="008C2308"/>
    <w:rsid w:val="009476F4"/>
    <w:rsid w:val="00B82871"/>
    <w:rsid w:val="00CB6425"/>
    <w:rsid w:val="00F64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B642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B6425"/>
    <w:rPr>
      <w:rFonts w:ascii="Perpetua" w:eastAsia="Times New Roman" w:hAnsi="Perpetua" w:cs="Times New Roman"/>
      <w:sz w:val="28"/>
      <w:szCs w:val="20"/>
      <w:lang w:val="es-MX" w:eastAsia="es-ES"/>
    </w:rPr>
  </w:style>
  <w:style w:type="paragraph" w:styleId="Pieddepage">
    <w:name w:val="footer"/>
    <w:basedOn w:val="Normal"/>
    <w:link w:val="PieddepageCar"/>
    <w:rsid w:val="00CB6425"/>
    <w:pPr>
      <w:tabs>
        <w:tab w:val="center" w:pos="4419"/>
        <w:tab w:val="right" w:pos="8838"/>
      </w:tabs>
    </w:pPr>
  </w:style>
  <w:style w:type="character" w:customStyle="1" w:styleId="PieddepageCar">
    <w:name w:val="Pied de page Car"/>
    <w:basedOn w:val="Policepardfaut"/>
    <w:link w:val="Pieddepage"/>
    <w:rsid w:val="00CB6425"/>
    <w:rPr>
      <w:rFonts w:ascii="Times New Roman" w:eastAsia="Times New Roman" w:hAnsi="Times New Roman" w:cs="Times New Roman"/>
      <w:sz w:val="20"/>
      <w:szCs w:val="20"/>
      <w:lang w:eastAsia="es-ES"/>
    </w:rPr>
  </w:style>
  <w:style w:type="character" w:styleId="Numrodepage">
    <w:name w:val="page number"/>
    <w:rsid w:val="00CB642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CB6425"/>
  </w:style>
  <w:style w:type="character" w:customStyle="1" w:styleId="TextonotapieCar">
    <w:name w:val="Texto nota pie Car"/>
    <w:basedOn w:val="Policepardfaut"/>
    <w:uiPriority w:val="99"/>
    <w:semiHidden/>
    <w:rsid w:val="00CB642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CB6425"/>
    <w:rPr>
      <w:rFonts w:cs="Times New Roman"/>
      <w:vertAlign w:val="superscript"/>
    </w:rPr>
  </w:style>
  <w:style w:type="paragraph" w:customStyle="1" w:styleId="Corpsdetexte21">
    <w:name w:val="Corps de texte 21"/>
    <w:basedOn w:val="Normal"/>
    <w:rsid w:val="00CB642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CB6425"/>
    <w:rPr>
      <w:rFonts w:ascii="Times New Roman" w:eastAsia="Times New Roman" w:hAnsi="Times New Roman" w:cs="Times New Roman"/>
      <w:sz w:val="20"/>
      <w:szCs w:val="20"/>
      <w:lang w:eastAsia="es-ES"/>
    </w:rPr>
  </w:style>
  <w:style w:type="paragraph" w:customStyle="1" w:styleId="Sansinterligne1">
    <w:name w:val="Sans interligne1"/>
    <w:rsid w:val="00CB642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B6425"/>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B642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B6425"/>
    <w:rPr>
      <w:rFonts w:ascii="Perpetua" w:eastAsia="Times New Roman" w:hAnsi="Perpetua" w:cs="Times New Roman"/>
      <w:sz w:val="28"/>
      <w:szCs w:val="20"/>
      <w:lang w:val="es-MX" w:eastAsia="es-ES"/>
    </w:rPr>
  </w:style>
  <w:style w:type="paragraph" w:styleId="Pieddepage">
    <w:name w:val="footer"/>
    <w:basedOn w:val="Normal"/>
    <w:link w:val="PieddepageCar"/>
    <w:rsid w:val="00CB6425"/>
    <w:pPr>
      <w:tabs>
        <w:tab w:val="center" w:pos="4419"/>
        <w:tab w:val="right" w:pos="8838"/>
      </w:tabs>
    </w:pPr>
  </w:style>
  <w:style w:type="character" w:customStyle="1" w:styleId="PieddepageCar">
    <w:name w:val="Pied de page Car"/>
    <w:basedOn w:val="Policepardfaut"/>
    <w:link w:val="Pieddepage"/>
    <w:rsid w:val="00CB6425"/>
    <w:rPr>
      <w:rFonts w:ascii="Times New Roman" w:eastAsia="Times New Roman" w:hAnsi="Times New Roman" w:cs="Times New Roman"/>
      <w:sz w:val="20"/>
      <w:szCs w:val="20"/>
      <w:lang w:eastAsia="es-ES"/>
    </w:rPr>
  </w:style>
  <w:style w:type="character" w:styleId="Numrodepage">
    <w:name w:val="page number"/>
    <w:rsid w:val="00CB642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CB6425"/>
  </w:style>
  <w:style w:type="character" w:customStyle="1" w:styleId="TextonotapieCar">
    <w:name w:val="Texto nota pie Car"/>
    <w:basedOn w:val="Policepardfaut"/>
    <w:uiPriority w:val="99"/>
    <w:semiHidden/>
    <w:rsid w:val="00CB642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CB6425"/>
    <w:rPr>
      <w:rFonts w:cs="Times New Roman"/>
      <w:vertAlign w:val="superscript"/>
    </w:rPr>
  </w:style>
  <w:style w:type="paragraph" w:customStyle="1" w:styleId="Corpsdetexte21">
    <w:name w:val="Corps de texte 21"/>
    <w:basedOn w:val="Normal"/>
    <w:rsid w:val="00CB642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CB6425"/>
    <w:rPr>
      <w:rFonts w:ascii="Times New Roman" w:eastAsia="Times New Roman" w:hAnsi="Times New Roman" w:cs="Times New Roman"/>
      <w:sz w:val="20"/>
      <w:szCs w:val="20"/>
      <w:lang w:eastAsia="es-ES"/>
    </w:rPr>
  </w:style>
  <w:style w:type="paragraph" w:customStyle="1" w:styleId="Sansinterligne1">
    <w:name w:val="Sans interligne1"/>
    <w:rsid w:val="00CB642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B6425"/>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10345</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2017-05-08T15:14:00Z</dcterms:created>
  <dcterms:modified xsi:type="dcterms:W3CDTF">2017-05-11T20:17:00Z</dcterms:modified>
</cp:coreProperties>
</file>