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71D" w:rsidRPr="005C771D" w:rsidRDefault="005C771D" w:rsidP="005C771D">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6"/>
          <w:szCs w:val="16"/>
          <w:lang w:val="es-CO" w:eastAsia="fr-FR"/>
        </w:rPr>
      </w:pPr>
      <w:bookmarkStart w:id="0" w:name="_GoBack"/>
      <w:bookmarkEnd w:id="0"/>
      <w:r w:rsidRPr="005C771D">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5C771D">
        <w:rPr>
          <w:rFonts w:ascii="Calibri" w:eastAsia="Calibri" w:hAnsi="Calibri" w:cs="Calibri"/>
          <w:color w:val="222222"/>
          <w:sz w:val="16"/>
          <w:szCs w:val="16"/>
          <w:lang w:val="es-CO" w:eastAsia="fr-FR"/>
        </w:rPr>
        <w:t> </w:t>
      </w:r>
    </w:p>
    <w:p w:rsidR="005C771D" w:rsidRPr="005C771D" w:rsidRDefault="005C771D" w:rsidP="005C771D">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5C771D">
        <w:rPr>
          <w:rFonts w:ascii="Calibri" w:hAnsi="Calibri" w:cs="Calibri"/>
          <w:color w:val="222222"/>
          <w:sz w:val="18"/>
          <w:szCs w:val="18"/>
          <w:lang w:val="es-CO" w:eastAsia="fr-FR"/>
        </w:rPr>
        <w:t>Providencia:</w:t>
      </w:r>
      <w:r w:rsidRPr="005C771D">
        <w:rPr>
          <w:rFonts w:ascii="Calibri" w:hAnsi="Calibri" w:cs="Calibri"/>
          <w:color w:val="222222"/>
          <w:sz w:val="18"/>
          <w:szCs w:val="18"/>
          <w:lang w:val="es-CO" w:eastAsia="fr-FR"/>
        </w:rPr>
        <w:tab/>
        <w:t>Sentencia -  1ª instancia – 14 de marzo de 2017</w:t>
      </w:r>
    </w:p>
    <w:p w:rsidR="005C771D" w:rsidRPr="005C771D" w:rsidRDefault="005C771D" w:rsidP="005C771D">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sidRPr="005C771D">
        <w:rPr>
          <w:rFonts w:ascii="Calibri" w:eastAsia="Calibri" w:hAnsi="Calibri" w:cs="Calibri"/>
          <w:color w:val="222222"/>
          <w:sz w:val="18"/>
          <w:szCs w:val="18"/>
          <w:lang w:val="es-CO" w:eastAsia="fr-FR"/>
        </w:rPr>
        <w:t>Proceso:    </w:t>
      </w:r>
      <w:r w:rsidRPr="005C771D">
        <w:rPr>
          <w:rFonts w:ascii="Calibri" w:eastAsia="Calibri" w:hAnsi="Calibri" w:cs="Calibri"/>
          <w:color w:val="222222"/>
          <w:sz w:val="18"/>
          <w:szCs w:val="18"/>
          <w:lang w:val="es-CO" w:eastAsia="fr-FR"/>
        </w:rPr>
        <w:tab/>
      </w:r>
      <w:r w:rsidRPr="005C771D">
        <w:rPr>
          <w:rFonts w:ascii="Calibri" w:eastAsia="Calibri" w:hAnsi="Calibri" w:cs="Calibri"/>
          <w:color w:val="222222"/>
          <w:spacing w:val="-6"/>
          <w:sz w:val="18"/>
          <w:szCs w:val="18"/>
          <w:lang w:val="es-CO" w:eastAsia="fr-FR"/>
        </w:rPr>
        <w:t>Acción de Tutela – Declara improcedente el amparo solicitado</w:t>
      </w:r>
    </w:p>
    <w:p w:rsidR="005C771D" w:rsidRPr="005C771D" w:rsidRDefault="005C771D" w:rsidP="005C771D">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5C771D">
        <w:rPr>
          <w:rFonts w:ascii="Calibri" w:eastAsia="Calibri" w:hAnsi="Calibri" w:cs="Calibri"/>
          <w:color w:val="222222"/>
          <w:sz w:val="18"/>
          <w:szCs w:val="18"/>
          <w:lang w:val="es-CO" w:eastAsia="fr-FR"/>
        </w:rPr>
        <w:t>Radicación Nro. :</w:t>
      </w:r>
      <w:r w:rsidRPr="005C771D">
        <w:rPr>
          <w:rFonts w:ascii="Calibri" w:eastAsia="Calibri" w:hAnsi="Calibri" w:cs="Calibri"/>
          <w:color w:val="222222"/>
          <w:sz w:val="18"/>
          <w:szCs w:val="18"/>
          <w:lang w:val="es-CO" w:eastAsia="fr-FR"/>
        </w:rPr>
        <w:tab/>
      </w:r>
      <w:r w:rsidRPr="005C771D">
        <w:rPr>
          <w:rFonts w:ascii="Calibri" w:eastAsia="Calibri" w:hAnsi="Calibri" w:cs="Calibri"/>
          <w:bCs/>
          <w:iCs/>
          <w:color w:val="222222"/>
          <w:sz w:val="18"/>
          <w:szCs w:val="18"/>
          <w:lang w:eastAsia="fr-FR"/>
        </w:rPr>
        <w:t>66001-22-13-000-2017-00186-00</w:t>
      </w:r>
    </w:p>
    <w:p w:rsidR="005C771D" w:rsidRPr="005C771D" w:rsidRDefault="005C771D" w:rsidP="005C771D">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color w:val="222222"/>
          <w:sz w:val="18"/>
          <w:szCs w:val="18"/>
          <w:lang w:val="es-CO" w:eastAsia="fr-FR"/>
        </w:rPr>
      </w:pPr>
      <w:r w:rsidRPr="005C771D">
        <w:rPr>
          <w:rFonts w:ascii="Calibri" w:eastAsia="Calibri" w:hAnsi="Calibri" w:cs="Calibri"/>
          <w:bCs/>
          <w:iCs/>
          <w:color w:val="222222"/>
          <w:sz w:val="18"/>
          <w:szCs w:val="18"/>
          <w:lang w:eastAsia="fr-FR"/>
        </w:rPr>
        <w:t>A</w:t>
      </w:r>
      <w:proofErr w:type="spellStart"/>
      <w:r w:rsidRPr="005C771D">
        <w:rPr>
          <w:rFonts w:ascii="Calibri" w:eastAsia="Calibri" w:hAnsi="Calibri" w:cs="Calibri"/>
          <w:color w:val="222222"/>
          <w:sz w:val="18"/>
          <w:szCs w:val="18"/>
          <w:lang w:val="es-CO" w:eastAsia="fr-FR"/>
        </w:rPr>
        <w:t>ccionante</w:t>
      </w:r>
      <w:proofErr w:type="spellEnd"/>
      <w:r w:rsidRPr="005C771D">
        <w:rPr>
          <w:rFonts w:ascii="Calibri" w:eastAsia="Calibri" w:hAnsi="Calibri" w:cs="Calibri"/>
          <w:color w:val="222222"/>
          <w:sz w:val="18"/>
          <w:szCs w:val="18"/>
          <w:lang w:val="es-CO" w:eastAsia="fr-FR"/>
        </w:rPr>
        <w:t>:</w:t>
      </w:r>
      <w:r w:rsidRPr="005C771D">
        <w:rPr>
          <w:rFonts w:ascii="Calibri" w:eastAsia="Calibri" w:hAnsi="Calibri" w:cs="Calibri"/>
          <w:color w:val="222222"/>
          <w:sz w:val="18"/>
          <w:szCs w:val="18"/>
          <w:lang w:val="es-CO" w:eastAsia="fr-FR"/>
        </w:rPr>
        <w:tab/>
        <w:t>JAVIER ELÍAS ARIAS IDÁRRAGA</w:t>
      </w:r>
    </w:p>
    <w:p w:rsidR="005C771D" w:rsidRPr="005C771D" w:rsidRDefault="005C771D" w:rsidP="005C771D">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z w:val="18"/>
          <w:szCs w:val="18"/>
          <w:lang w:eastAsia="fr-FR"/>
        </w:rPr>
      </w:pPr>
      <w:r w:rsidRPr="005C771D">
        <w:rPr>
          <w:rFonts w:ascii="Calibri" w:eastAsia="Calibri" w:hAnsi="Calibri" w:cs="Calibri"/>
          <w:bCs/>
          <w:color w:val="222222"/>
          <w:sz w:val="18"/>
          <w:szCs w:val="18"/>
          <w:lang w:val="es-ES_tradnl" w:eastAsia="fr-FR"/>
        </w:rPr>
        <w:t>A</w:t>
      </w:r>
      <w:proofErr w:type="spellStart"/>
      <w:r w:rsidRPr="005C771D">
        <w:rPr>
          <w:rFonts w:ascii="Calibri" w:eastAsia="Calibri" w:hAnsi="Calibri" w:cs="Calibri"/>
          <w:color w:val="222222"/>
          <w:sz w:val="18"/>
          <w:szCs w:val="18"/>
          <w:lang w:val="es-CO" w:eastAsia="fr-FR"/>
        </w:rPr>
        <w:t>ccionado</w:t>
      </w:r>
      <w:proofErr w:type="spellEnd"/>
      <w:r w:rsidRPr="005C771D">
        <w:rPr>
          <w:rFonts w:ascii="Calibri" w:eastAsia="Calibri" w:hAnsi="Calibri" w:cs="Calibri"/>
          <w:color w:val="222222"/>
          <w:sz w:val="18"/>
          <w:szCs w:val="18"/>
          <w:lang w:val="es-CO" w:eastAsia="fr-FR"/>
        </w:rPr>
        <w:t>:</w:t>
      </w:r>
      <w:r w:rsidRPr="005C771D">
        <w:rPr>
          <w:rFonts w:ascii="Calibri" w:eastAsia="Calibri" w:hAnsi="Calibri" w:cs="Calibri"/>
          <w:color w:val="222222"/>
          <w:sz w:val="18"/>
          <w:szCs w:val="18"/>
          <w:lang w:val="es-CO" w:eastAsia="fr-FR"/>
        </w:rPr>
        <w:tab/>
      </w:r>
      <w:r w:rsidRPr="005C771D">
        <w:rPr>
          <w:rFonts w:ascii="Calibri" w:eastAsia="Calibri" w:hAnsi="Calibri" w:cs="Calibri"/>
          <w:color w:val="222222"/>
          <w:sz w:val="18"/>
          <w:szCs w:val="18"/>
          <w:lang w:eastAsia="fr-FR"/>
        </w:rPr>
        <w:t>JUZGADO SEGUNDO CIVIL DEL CIRCUITO LOCAL</w:t>
      </w:r>
    </w:p>
    <w:p w:rsidR="005C771D" w:rsidRPr="005C771D" w:rsidRDefault="005C771D" w:rsidP="005C771D">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color w:val="222222"/>
          <w:sz w:val="18"/>
          <w:szCs w:val="18"/>
          <w:lang w:val="es-MX" w:eastAsia="fr-FR"/>
        </w:rPr>
      </w:pPr>
      <w:r w:rsidRPr="005C771D">
        <w:rPr>
          <w:rFonts w:ascii="Calibri" w:eastAsia="Calibri" w:hAnsi="Calibri" w:cs="Calibri"/>
          <w:color w:val="222222"/>
          <w:sz w:val="18"/>
          <w:szCs w:val="18"/>
          <w:lang w:val="es-CO" w:eastAsia="fr-FR"/>
        </w:rPr>
        <w:t>Magistrado Ponente: </w:t>
      </w:r>
      <w:r w:rsidRPr="005C771D">
        <w:rPr>
          <w:rFonts w:ascii="Calibri" w:eastAsia="Calibri" w:hAnsi="Calibri" w:cs="Calibri"/>
          <w:color w:val="222222"/>
          <w:sz w:val="18"/>
          <w:szCs w:val="18"/>
          <w:lang w:val="es-CO" w:eastAsia="fr-FR"/>
        </w:rPr>
        <w:tab/>
      </w:r>
      <w:r w:rsidRPr="005C771D">
        <w:rPr>
          <w:rFonts w:ascii="Calibri" w:eastAsia="Calibri" w:hAnsi="Calibri" w:cs="Calibri"/>
          <w:bCs/>
          <w:color w:val="222222"/>
          <w:sz w:val="18"/>
          <w:szCs w:val="18"/>
          <w:lang w:val="es-MX" w:eastAsia="fr-FR"/>
        </w:rPr>
        <w:t>JAIME ALBERTO SARAZA NARANJO</w:t>
      </w:r>
    </w:p>
    <w:p w:rsidR="005C771D" w:rsidRPr="005C771D" w:rsidRDefault="005C771D" w:rsidP="005C771D">
      <w:pPr>
        <w:shd w:val="clear" w:color="auto" w:fill="FFFFFF"/>
        <w:tabs>
          <w:tab w:val="left" w:pos="1843"/>
        </w:tabs>
        <w:overflowPunct/>
        <w:autoSpaceDE/>
        <w:autoSpaceDN/>
        <w:adjustRightInd/>
        <w:ind w:left="2124" w:hanging="2124"/>
        <w:jc w:val="both"/>
        <w:textAlignment w:val="auto"/>
        <w:rPr>
          <w:rFonts w:ascii="Calibri" w:eastAsia="Calibri" w:hAnsi="Calibri" w:cs="Calibri"/>
          <w:bCs/>
          <w:iCs/>
          <w:color w:val="222222"/>
          <w:sz w:val="18"/>
          <w:szCs w:val="18"/>
          <w:lang w:val="es-CO" w:eastAsia="fr-FR"/>
        </w:rPr>
      </w:pPr>
      <w:r w:rsidRPr="005C771D">
        <w:rPr>
          <w:rFonts w:ascii="Calibri" w:eastAsia="Calibri" w:hAnsi="Calibri" w:cs="Calibri"/>
          <w:bCs/>
          <w:iCs/>
          <w:color w:val="222222"/>
          <w:sz w:val="18"/>
          <w:szCs w:val="18"/>
          <w:lang w:val="es-CO" w:eastAsia="fr-FR"/>
        </w:rPr>
        <w:tab/>
        <w:t xml:space="preserve"> </w:t>
      </w:r>
    </w:p>
    <w:p w:rsidR="005C771D" w:rsidRPr="005C771D" w:rsidRDefault="005C771D" w:rsidP="005C771D">
      <w:pPr>
        <w:shd w:val="clear" w:color="auto" w:fill="FFFFFF"/>
        <w:tabs>
          <w:tab w:val="left" w:pos="1843"/>
        </w:tabs>
        <w:overflowPunct/>
        <w:autoSpaceDE/>
        <w:autoSpaceDN/>
        <w:adjustRightInd/>
        <w:spacing w:after="200"/>
        <w:jc w:val="both"/>
        <w:textAlignment w:val="auto"/>
        <w:rPr>
          <w:rFonts w:ascii="Calibri" w:eastAsia="Calibri" w:hAnsi="Calibri" w:cs="Calibri"/>
          <w:b/>
          <w:bCs/>
          <w:iCs/>
          <w:color w:val="222222"/>
          <w:sz w:val="18"/>
          <w:szCs w:val="18"/>
          <w:lang w:eastAsia="fr-FR"/>
        </w:rPr>
      </w:pPr>
      <w:r w:rsidRPr="005C771D">
        <w:rPr>
          <w:rFonts w:ascii="Calibri" w:eastAsia="Calibri" w:hAnsi="Calibri" w:cs="Calibri"/>
          <w:bCs/>
          <w:iCs/>
          <w:color w:val="222222"/>
          <w:sz w:val="18"/>
          <w:szCs w:val="18"/>
          <w:lang w:val="es-CO" w:eastAsia="fr-FR"/>
        </w:rPr>
        <w:t xml:space="preserve">Temas: </w:t>
      </w:r>
      <w:r w:rsidRPr="005C771D">
        <w:rPr>
          <w:rFonts w:ascii="Calibri" w:eastAsia="Calibri" w:hAnsi="Calibri" w:cs="Calibri"/>
          <w:bCs/>
          <w:iCs/>
          <w:color w:val="222222"/>
          <w:sz w:val="18"/>
          <w:szCs w:val="18"/>
          <w:lang w:val="es-CO" w:eastAsia="fr-FR"/>
        </w:rPr>
        <w:tab/>
      </w:r>
      <w:r w:rsidRPr="005C771D">
        <w:rPr>
          <w:rFonts w:ascii="Calibri" w:eastAsia="Calibri" w:hAnsi="Calibri" w:cs="Calibri"/>
          <w:b/>
          <w:bCs/>
          <w:iCs/>
          <w:color w:val="222222"/>
          <w:sz w:val="18"/>
          <w:szCs w:val="18"/>
          <w:lang w:val="es-CO" w:eastAsia="fr-FR"/>
        </w:rPr>
        <w:t xml:space="preserve"> </w:t>
      </w:r>
      <w:r w:rsidRPr="005C771D">
        <w:rPr>
          <w:rFonts w:ascii="Calibri" w:eastAsia="Calibri" w:hAnsi="Calibri" w:cs="Calibri"/>
          <w:b/>
          <w:bCs/>
          <w:iCs/>
          <w:color w:val="222222"/>
          <w:sz w:val="18"/>
          <w:szCs w:val="18"/>
          <w:lang w:eastAsia="fr-FR"/>
        </w:rPr>
        <w:t>D</w:t>
      </w:r>
      <w:proofErr w:type="spellStart"/>
      <w:r w:rsidRPr="005C771D">
        <w:rPr>
          <w:rFonts w:ascii="Calibri" w:eastAsia="Calibri" w:hAnsi="Calibri" w:cs="Calibri"/>
          <w:b/>
          <w:bCs/>
          <w:iCs/>
          <w:color w:val="222222"/>
          <w:sz w:val="18"/>
          <w:szCs w:val="18"/>
          <w:lang w:val="es-CO" w:eastAsia="fr-FR"/>
        </w:rPr>
        <w:t>EBIDO</w:t>
      </w:r>
      <w:proofErr w:type="spellEnd"/>
      <w:r w:rsidRPr="005C771D">
        <w:rPr>
          <w:rFonts w:ascii="Calibri" w:eastAsia="Calibri" w:hAnsi="Calibri" w:cs="Calibri"/>
          <w:b/>
          <w:bCs/>
          <w:iCs/>
          <w:color w:val="222222"/>
          <w:sz w:val="18"/>
          <w:szCs w:val="18"/>
          <w:lang w:val="es-CO" w:eastAsia="fr-FR"/>
        </w:rPr>
        <w:t xml:space="preserve"> PROCESO / TUTELA CONTRA PROVIDENCIA JUDICIAL / COSA JUZGADA CONSTITUCIONAL / IMPROCEDENCIA. </w:t>
      </w:r>
      <w:r w:rsidRPr="005C771D">
        <w:rPr>
          <w:rFonts w:ascii="Calibri" w:eastAsia="Calibri" w:hAnsi="Calibri" w:cs="Calibri"/>
          <w:bCs/>
          <w:iCs/>
          <w:color w:val="222222"/>
          <w:sz w:val="18"/>
          <w:szCs w:val="18"/>
          <w:lang w:val="es-CO" w:eastAsia="fr-FR"/>
        </w:rPr>
        <w:t>“</w:t>
      </w:r>
      <w:r w:rsidRPr="005C771D">
        <w:rPr>
          <w:rFonts w:ascii="Calibri" w:eastAsia="Calibri" w:hAnsi="Calibri" w:cs="Calibri"/>
          <w:bCs/>
          <w:iCs/>
          <w:color w:val="222222"/>
          <w:sz w:val="18"/>
          <w:szCs w:val="18"/>
          <w:lang w:val="es-419" w:eastAsia="fr-FR"/>
        </w:rPr>
        <w:t xml:space="preserve">[S]egún la información del </w:t>
      </w:r>
      <w:r w:rsidRPr="005C771D">
        <w:rPr>
          <w:rFonts w:ascii="Calibri" w:eastAsia="Calibri" w:hAnsi="Calibri" w:cs="Calibri"/>
          <w:bCs/>
          <w:iCs/>
          <w:color w:val="222222"/>
          <w:sz w:val="18"/>
          <w:szCs w:val="18"/>
          <w:lang w:eastAsia="fr-FR"/>
        </w:rPr>
        <w:t xml:space="preserve">despacho judicial demandado y como se puede observar </w:t>
      </w:r>
      <w:r w:rsidRPr="005C771D">
        <w:rPr>
          <w:rFonts w:ascii="Calibri" w:eastAsia="Calibri" w:hAnsi="Calibri" w:cs="Calibri"/>
          <w:bCs/>
          <w:iCs/>
          <w:color w:val="222222"/>
          <w:sz w:val="18"/>
          <w:szCs w:val="18"/>
          <w:lang w:val="es-419" w:eastAsia="fr-FR"/>
        </w:rPr>
        <w:t xml:space="preserve">en </w:t>
      </w:r>
      <w:r w:rsidRPr="005C771D">
        <w:rPr>
          <w:rFonts w:ascii="Calibri" w:eastAsia="Calibri" w:hAnsi="Calibri" w:cs="Calibri"/>
          <w:bCs/>
          <w:iCs/>
          <w:color w:val="222222"/>
          <w:sz w:val="18"/>
          <w:szCs w:val="18"/>
          <w:lang w:eastAsia="fr-FR"/>
        </w:rPr>
        <w:t xml:space="preserve">las copias </w:t>
      </w:r>
      <w:r w:rsidRPr="005C771D">
        <w:rPr>
          <w:rFonts w:ascii="Calibri" w:eastAsia="Calibri" w:hAnsi="Calibri" w:cs="Calibri"/>
          <w:bCs/>
          <w:iCs/>
          <w:color w:val="222222"/>
          <w:sz w:val="18"/>
          <w:szCs w:val="18"/>
          <w:lang w:val="es-419" w:eastAsia="fr-FR"/>
        </w:rPr>
        <w:t>adosadas</w:t>
      </w:r>
      <w:r w:rsidRPr="005C771D">
        <w:rPr>
          <w:rFonts w:ascii="Calibri" w:eastAsia="Calibri" w:hAnsi="Calibri" w:cs="Calibri"/>
          <w:bCs/>
          <w:iCs/>
          <w:color w:val="222222"/>
          <w:sz w:val="18"/>
          <w:szCs w:val="18"/>
          <w:lang w:eastAsia="fr-FR"/>
        </w:rPr>
        <w:t xml:space="preserve"> al </w:t>
      </w:r>
      <w:r w:rsidRPr="005C771D">
        <w:rPr>
          <w:rFonts w:ascii="Calibri" w:eastAsia="Calibri" w:hAnsi="Calibri" w:cs="Calibri"/>
          <w:bCs/>
          <w:iCs/>
          <w:color w:val="222222"/>
          <w:sz w:val="18"/>
          <w:szCs w:val="18"/>
          <w:lang w:val="es-419" w:eastAsia="fr-FR"/>
        </w:rPr>
        <w:t>expediente</w:t>
      </w:r>
      <w:r w:rsidRPr="005C771D">
        <w:rPr>
          <w:rFonts w:ascii="Calibri" w:eastAsia="Calibri" w:hAnsi="Calibri" w:cs="Calibri"/>
          <w:bCs/>
          <w:iCs/>
          <w:color w:val="222222"/>
          <w:sz w:val="18"/>
          <w:szCs w:val="18"/>
          <w:lang w:eastAsia="fr-FR"/>
        </w:rPr>
        <w:t xml:space="preserve"> (f. 21 a 32), el señor Arias </w:t>
      </w:r>
      <w:proofErr w:type="spellStart"/>
      <w:r w:rsidRPr="005C771D">
        <w:rPr>
          <w:rFonts w:ascii="Calibri" w:eastAsia="Calibri" w:hAnsi="Calibri" w:cs="Calibri"/>
          <w:bCs/>
          <w:iCs/>
          <w:color w:val="222222"/>
          <w:sz w:val="18"/>
          <w:szCs w:val="18"/>
          <w:lang w:eastAsia="fr-FR"/>
        </w:rPr>
        <w:t>Idárraga</w:t>
      </w:r>
      <w:proofErr w:type="spellEnd"/>
      <w:r w:rsidRPr="005C771D">
        <w:rPr>
          <w:rFonts w:ascii="Calibri" w:eastAsia="Calibri" w:hAnsi="Calibri" w:cs="Calibri"/>
          <w:bCs/>
          <w:iCs/>
          <w:color w:val="222222"/>
          <w:sz w:val="18"/>
          <w:szCs w:val="18"/>
          <w:lang w:eastAsia="fr-FR"/>
        </w:rPr>
        <w:t xml:space="preserve"> promovió</w:t>
      </w:r>
      <w:r w:rsidRPr="005C771D">
        <w:rPr>
          <w:rFonts w:ascii="Calibri" w:eastAsia="Calibri" w:hAnsi="Calibri" w:cs="Calibri"/>
          <w:bCs/>
          <w:iCs/>
          <w:color w:val="222222"/>
          <w:sz w:val="18"/>
          <w:szCs w:val="18"/>
          <w:lang w:val="es-419" w:eastAsia="fr-FR"/>
        </w:rPr>
        <w:t xml:space="preserve"> </w:t>
      </w:r>
      <w:r w:rsidRPr="005C771D">
        <w:rPr>
          <w:rFonts w:ascii="Calibri" w:eastAsia="Calibri" w:hAnsi="Calibri" w:cs="Calibri"/>
          <w:bCs/>
          <w:iCs/>
          <w:color w:val="222222"/>
          <w:sz w:val="18"/>
          <w:szCs w:val="18"/>
          <w:lang w:eastAsia="fr-FR"/>
        </w:rPr>
        <w:t>otra acción idéntica a esta, contra el Juzgado Segundo Civil del Circuito local</w:t>
      </w:r>
      <w:r w:rsidRPr="005C771D">
        <w:rPr>
          <w:rFonts w:ascii="Calibri" w:eastAsia="Calibri" w:hAnsi="Calibri" w:cs="Calibri"/>
          <w:bCs/>
          <w:iCs/>
          <w:color w:val="222222"/>
          <w:sz w:val="18"/>
          <w:szCs w:val="18"/>
          <w:lang w:val="es-419" w:eastAsia="fr-FR"/>
        </w:rPr>
        <w:t>, respecto de la misma acción popular</w:t>
      </w:r>
      <w:r w:rsidRPr="005C771D">
        <w:rPr>
          <w:rFonts w:ascii="Calibri" w:eastAsia="Calibri" w:hAnsi="Calibri" w:cs="Calibri"/>
          <w:bCs/>
          <w:iCs/>
          <w:color w:val="222222"/>
          <w:sz w:val="18"/>
          <w:szCs w:val="18"/>
          <w:lang w:eastAsia="fr-FR"/>
        </w:rPr>
        <w:t xml:space="preserve">. En efecto, con anterioridad se tramitó una solicitud de protección ante esta misma Sala, cuya decisión data del 23 de febrero del presente año; una vez declarada improcedente, fue remitida a la Sala de Casación Civil de la Corte Suprema de Justicia, según se </w:t>
      </w:r>
      <w:r w:rsidRPr="005C771D">
        <w:rPr>
          <w:rFonts w:ascii="Calibri" w:eastAsia="Calibri" w:hAnsi="Calibri" w:cs="Calibri"/>
          <w:bCs/>
          <w:iCs/>
          <w:color w:val="222222"/>
          <w:sz w:val="18"/>
          <w:szCs w:val="18"/>
          <w:lang w:val="es-419" w:eastAsia="fr-FR"/>
        </w:rPr>
        <w:t xml:space="preserve">registra </w:t>
      </w:r>
      <w:r w:rsidRPr="005C771D">
        <w:rPr>
          <w:rFonts w:ascii="Calibri" w:eastAsia="Calibri" w:hAnsi="Calibri" w:cs="Calibri"/>
          <w:bCs/>
          <w:iCs/>
          <w:color w:val="222222"/>
          <w:sz w:val="18"/>
          <w:szCs w:val="18"/>
          <w:lang w:eastAsia="fr-FR"/>
        </w:rPr>
        <w:t xml:space="preserve">Sistema Siglo XXI (f. 32 v), para surtir la impugnación propuesta frente a la misma. </w:t>
      </w:r>
      <w:r w:rsidRPr="005C771D">
        <w:rPr>
          <w:rFonts w:ascii="Calibri" w:eastAsia="Calibri" w:hAnsi="Calibri" w:cs="Calibri"/>
          <w:bCs/>
          <w:iCs/>
          <w:color w:val="222222"/>
          <w:sz w:val="18"/>
          <w:szCs w:val="18"/>
          <w:lang w:val="es-419" w:eastAsia="fr-FR"/>
        </w:rPr>
        <w:t xml:space="preserve">Allí, en la </w:t>
      </w:r>
      <w:r w:rsidRPr="005C771D">
        <w:rPr>
          <w:rFonts w:ascii="Calibri" w:eastAsia="Calibri" w:hAnsi="Calibri" w:cs="Calibri"/>
          <w:bCs/>
          <w:iCs/>
          <w:color w:val="222222"/>
          <w:sz w:val="18"/>
          <w:szCs w:val="18"/>
          <w:lang w:eastAsia="fr-FR"/>
        </w:rPr>
        <w:t>tutela radicada al número 2017-00069-00</w:t>
      </w:r>
      <w:r w:rsidRPr="005C771D">
        <w:rPr>
          <w:rFonts w:ascii="Calibri" w:eastAsia="Calibri" w:hAnsi="Calibri" w:cs="Calibri"/>
          <w:bCs/>
          <w:iCs/>
          <w:color w:val="222222"/>
          <w:sz w:val="18"/>
          <w:szCs w:val="18"/>
          <w:lang w:val="es-419" w:eastAsia="fr-FR"/>
        </w:rPr>
        <w:t>,</w:t>
      </w:r>
      <w:r w:rsidRPr="005C771D">
        <w:rPr>
          <w:rFonts w:ascii="Calibri" w:eastAsia="Calibri" w:hAnsi="Calibri" w:cs="Calibri"/>
          <w:bCs/>
          <w:iCs/>
          <w:color w:val="222222"/>
          <w:sz w:val="18"/>
          <w:szCs w:val="18"/>
          <w:lang w:eastAsia="fr-FR"/>
        </w:rPr>
        <w:t xml:space="preserve"> que hace relación a la acción popular 2014-00504-00 del Juzgado Segundo Civil del Circuito, consideró lesionadas sus “garantías procesales” y </w:t>
      </w:r>
      <w:r w:rsidRPr="005C771D">
        <w:rPr>
          <w:rFonts w:ascii="Calibri" w:eastAsia="Calibri" w:hAnsi="Calibri" w:cs="Calibri"/>
          <w:bCs/>
          <w:iCs/>
          <w:color w:val="222222"/>
          <w:sz w:val="18"/>
          <w:szCs w:val="18"/>
          <w:lang w:val="es-419" w:eastAsia="fr-FR"/>
        </w:rPr>
        <w:t xml:space="preserve">pidió que </w:t>
      </w:r>
      <w:r w:rsidRPr="005C771D">
        <w:rPr>
          <w:rFonts w:ascii="Calibri" w:eastAsia="Calibri" w:hAnsi="Calibri" w:cs="Calibri"/>
          <w:bCs/>
          <w:iCs/>
          <w:color w:val="222222"/>
          <w:sz w:val="18"/>
          <w:szCs w:val="18"/>
          <w:lang w:eastAsia="fr-FR"/>
        </w:rPr>
        <w:t xml:space="preserve">se ordenara al juzgado admitir inmediatamente la demanda popular, pues no era posible exigirle requisitos no contemplados en el artículo 18 de la Ley 472 de 1998. Es decir, que hay identidad de partes, pues el accionante en ambos casos es Javier Elías Arias </w:t>
      </w:r>
      <w:proofErr w:type="spellStart"/>
      <w:r w:rsidRPr="005C771D">
        <w:rPr>
          <w:rFonts w:ascii="Calibri" w:eastAsia="Calibri" w:hAnsi="Calibri" w:cs="Calibri"/>
          <w:bCs/>
          <w:iCs/>
          <w:color w:val="222222"/>
          <w:sz w:val="18"/>
          <w:szCs w:val="18"/>
          <w:lang w:eastAsia="fr-FR"/>
        </w:rPr>
        <w:t>Idárraga</w:t>
      </w:r>
      <w:proofErr w:type="spellEnd"/>
      <w:r w:rsidRPr="005C771D">
        <w:rPr>
          <w:rFonts w:ascii="Calibri" w:eastAsia="Calibri" w:hAnsi="Calibri" w:cs="Calibri"/>
          <w:bCs/>
          <w:iCs/>
          <w:color w:val="222222"/>
          <w:sz w:val="18"/>
          <w:szCs w:val="18"/>
          <w:lang w:eastAsia="fr-FR"/>
        </w:rPr>
        <w:t xml:space="preserve"> y el accionado principal, el Juzgado Segundo Civil del Circuito local, pese a que aquí incluye al agente del Ministerio Público, </w:t>
      </w:r>
      <w:r w:rsidRPr="005C771D">
        <w:rPr>
          <w:rFonts w:ascii="Calibri" w:eastAsia="Calibri" w:hAnsi="Calibri" w:cs="Calibri"/>
          <w:bCs/>
          <w:iCs/>
          <w:color w:val="222222"/>
          <w:sz w:val="18"/>
          <w:szCs w:val="18"/>
          <w:lang w:val="es-419" w:eastAsia="fr-FR"/>
        </w:rPr>
        <w:t xml:space="preserve">lo que nada novedoso implica en el análisis respectivo; tampoco cambia que ahora pida que se aporte un listado de acciones populares, porque ello, si fuera procedente, no se erigiría en más que una prueba. Quiere esto decir que también hay </w:t>
      </w:r>
      <w:r w:rsidRPr="005C771D">
        <w:rPr>
          <w:rFonts w:ascii="Calibri" w:eastAsia="Calibri" w:hAnsi="Calibri" w:cs="Calibri"/>
          <w:bCs/>
          <w:iCs/>
          <w:color w:val="222222"/>
          <w:sz w:val="18"/>
          <w:szCs w:val="18"/>
          <w:lang w:eastAsia="fr-FR"/>
        </w:rPr>
        <w:t>identidad de objeto, ya que lo que se pidió en aquella ocasión es lo mismo que ahora se invoca; e identidad de causa, porque los hechos no tienen divergencia alguna</w:t>
      </w:r>
      <w:r w:rsidRPr="005C771D">
        <w:rPr>
          <w:rFonts w:ascii="Calibri" w:eastAsia="Calibri" w:hAnsi="Calibri" w:cs="Calibri"/>
          <w:bCs/>
          <w:iCs/>
          <w:color w:val="222222"/>
          <w:sz w:val="18"/>
          <w:szCs w:val="18"/>
          <w:lang w:val="es-419" w:eastAsia="fr-FR"/>
        </w:rPr>
        <w:t xml:space="preserve">. </w:t>
      </w:r>
      <w:r w:rsidRPr="005C771D">
        <w:rPr>
          <w:rFonts w:ascii="Calibri" w:eastAsia="Calibri" w:hAnsi="Calibri" w:cs="Calibri"/>
          <w:bCs/>
          <w:iCs/>
          <w:color w:val="222222"/>
          <w:sz w:val="18"/>
          <w:szCs w:val="18"/>
          <w:lang w:eastAsia="fr-FR"/>
        </w:rPr>
        <w:t>A ello se suma, que se aducen iguales derechos. (…) [L]a decisión adoptada con antelación, aún se encuentra sometida al escrutinio de la impugnación presentada y de una eventual revisión ante la Corte Constitucional.</w:t>
      </w:r>
      <w:r w:rsidRPr="005C771D">
        <w:rPr>
          <w:rFonts w:ascii="Calibri" w:eastAsia="Calibri" w:hAnsi="Calibri" w:cs="Calibri"/>
          <w:bCs/>
          <w:i/>
          <w:iCs/>
          <w:color w:val="222222"/>
          <w:sz w:val="18"/>
          <w:szCs w:val="18"/>
          <w:lang w:eastAsia="fr-FR"/>
        </w:rPr>
        <w:t xml:space="preserve"> </w:t>
      </w:r>
      <w:r w:rsidRPr="005C771D">
        <w:rPr>
          <w:rFonts w:ascii="Calibri" w:eastAsia="Calibri" w:hAnsi="Calibri" w:cs="Calibri"/>
          <w:bCs/>
          <w:iCs/>
          <w:color w:val="222222"/>
          <w:sz w:val="18"/>
          <w:szCs w:val="18"/>
          <w:lang w:eastAsia="fr-FR"/>
        </w:rPr>
        <w:t xml:space="preserve">En consecuencia, se </w:t>
      </w:r>
      <w:r w:rsidRPr="005C771D">
        <w:rPr>
          <w:rFonts w:ascii="Calibri" w:eastAsia="Calibri" w:hAnsi="Calibri" w:cs="Calibri"/>
          <w:bCs/>
          <w:iCs/>
          <w:color w:val="222222"/>
          <w:sz w:val="18"/>
          <w:szCs w:val="18"/>
          <w:lang w:val="es-419" w:eastAsia="fr-FR"/>
        </w:rPr>
        <w:t>declarará improcedente</w:t>
      </w:r>
      <w:r w:rsidRPr="005C771D">
        <w:rPr>
          <w:rFonts w:ascii="Calibri" w:eastAsia="Calibri" w:hAnsi="Calibri" w:cs="Calibri"/>
          <w:bCs/>
          <w:iCs/>
          <w:color w:val="222222"/>
          <w:sz w:val="18"/>
          <w:szCs w:val="18"/>
          <w:lang w:eastAsia="fr-FR"/>
        </w:rPr>
        <w:t xml:space="preserve"> </w:t>
      </w:r>
      <w:r w:rsidRPr="005C771D">
        <w:rPr>
          <w:rFonts w:ascii="Calibri" w:eastAsia="Calibri" w:hAnsi="Calibri" w:cs="Calibri"/>
          <w:bCs/>
          <w:iCs/>
          <w:color w:val="222222"/>
          <w:sz w:val="18"/>
          <w:szCs w:val="18"/>
          <w:lang w:val="es-419" w:eastAsia="fr-FR"/>
        </w:rPr>
        <w:t xml:space="preserve">la acción.”. </w:t>
      </w:r>
      <w:r w:rsidRPr="005C771D">
        <w:rPr>
          <w:rFonts w:ascii="Calibri" w:eastAsia="Calibri" w:hAnsi="Calibri" w:cs="Calibri"/>
          <w:b/>
          <w:bCs/>
          <w:iCs/>
          <w:color w:val="222222"/>
          <w:sz w:val="18"/>
          <w:szCs w:val="18"/>
          <w:lang w:eastAsia="fr-FR"/>
        </w:rPr>
        <w:t xml:space="preserve">TEMERIDAD / CONDENA EN COSTAS. </w:t>
      </w:r>
      <w:r w:rsidRPr="005C771D">
        <w:rPr>
          <w:rFonts w:ascii="Calibri" w:eastAsia="Calibri" w:hAnsi="Calibri" w:cs="Calibri"/>
          <w:bCs/>
          <w:iCs/>
          <w:color w:val="222222"/>
          <w:sz w:val="18"/>
          <w:szCs w:val="18"/>
          <w:lang w:eastAsia="fr-FR"/>
        </w:rPr>
        <w:t>“</w:t>
      </w:r>
      <w:r w:rsidRPr="005C771D">
        <w:rPr>
          <w:rFonts w:ascii="Calibri" w:eastAsia="Calibri" w:hAnsi="Calibri" w:cs="Calibri"/>
          <w:bCs/>
          <w:iCs/>
          <w:color w:val="222222"/>
          <w:sz w:val="18"/>
          <w:szCs w:val="18"/>
          <w:lang w:val="es-419" w:eastAsia="fr-FR"/>
        </w:rPr>
        <w:t>[L]a complacencia de esta Sala hasta el momento ha sido manifiesta, en cuanto se ha exculpado al accionante de acudir abusivamente al uso de este mecanismo constitucional. Y parecía haberlo entendido, en la medida en que había dejado de involucrar a la Defensoría del Pueblo de Caldas. Pero vuelve, tozudamente, sin explicación alguna, sin argumentos adicionales, sin razones fácticas o jurídicas que justifiquen un nuevo estudio de la situación, a plantear la misma queja contra esa entidad, que en cientos de casos ha sido ya resuelta por esta Corporación y por la Corte Suprema, en primera y segunda instancia, como se anotó. (…) Es decir, que se dan todos los elementos para considerar temeraria la actuación del demandante, en lo que a la Defensoría del Pueblo de Caldas se refiere, siguiendo orientaciones de la Corte Constitucional (…)</w:t>
      </w:r>
      <w:r w:rsidRPr="005C771D">
        <w:rPr>
          <w:rFonts w:ascii="Calibri" w:eastAsia="Calibri" w:hAnsi="Calibri" w:cs="Calibri"/>
          <w:bCs/>
          <w:iCs/>
          <w:color w:val="222222"/>
          <w:sz w:val="18"/>
          <w:szCs w:val="18"/>
          <w:lang w:val="es-MX" w:eastAsia="fr-FR"/>
        </w:rPr>
        <w:t>En consecuencia, se condenará en costas al accionante,”.</w:t>
      </w:r>
    </w:p>
    <w:p w:rsidR="005C771D" w:rsidRDefault="005C771D" w:rsidP="005C771D">
      <w:pPr>
        <w:ind w:firstLine="2835"/>
        <w:jc w:val="both"/>
        <w:rPr>
          <w:rFonts w:ascii="Gadugi" w:hAnsi="Gadugi"/>
          <w:b/>
          <w:sz w:val="26"/>
          <w:szCs w:val="26"/>
        </w:rPr>
      </w:pPr>
    </w:p>
    <w:p w:rsidR="004C14EB" w:rsidRPr="004A0C78" w:rsidRDefault="004C14EB" w:rsidP="004C14EB">
      <w:pPr>
        <w:spacing w:line="276" w:lineRule="auto"/>
        <w:ind w:firstLine="2835"/>
        <w:jc w:val="both"/>
        <w:rPr>
          <w:rFonts w:ascii="Gadugi" w:hAnsi="Gadugi"/>
          <w:b/>
          <w:sz w:val="26"/>
          <w:szCs w:val="26"/>
        </w:rPr>
      </w:pPr>
      <w:r w:rsidRPr="004A0C78">
        <w:rPr>
          <w:rFonts w:ascii="Gadugi" w:hAnsi="Gadugi"/>
          <w:b/>
          <w:sz w:val="26"/>
          <w:szCs w:val="26"/>
        </w:rPr>
        <w:t xml:space="preserve">TRIBUNAL SUPERIOR DEL DISTRITO JUDICIAL </w:t>
      </w:r>
    </w:p>
    <w:p w:rsidR="004C14EB" w:rsidRPr="004A0C78" w:rsidRDefault="004C14EB" w:rsidP="004C14EB">
      <w:pPr>
        <w:spacing w:line="276" w:lineRule="auto"/>
        <w:ind w:firstLine="2835"/>
        <w:jc w:val="both"/>
        <w:rPr>
          <w:rFonts w:ascii="Gadugi" w:hAnsi="Gadugi"/>
          <w:b/>
          <w:sz w:val="26"/>
          <w:szCs w:val="26"/>
        </w:rPr>
      </w:pPr>
      <w:r w:rsidRPr="004A0C78">
        <w:rPr>
          <w:rFonts w:ascii="Gadugi" w:hAnsi="Gadugi"/>
          <w:b/>
          <w:sz w:val="26"/>
          <w:szCs w:val="26"/>
        </w:rPr>
        <w:t xml:space="preserve">          SALA DE DECISIÓN CIVIL FAMILIA </w:t>
      </w:r>
    </w:p>
    <w:p w:rsidR="004C14EB" w:rsidRPr="004A0C78" w:rsidRDefault="004C14EB" w:rsidP="004C14EB">
      <w:pPr>
        <w:spacing w:line="276" w:lineRule="auto"/>
        <w:ind w:firstLine="2835"/>
        <w:jc w:val="both"/>
        <w:rPr>
          <w:rFonts w:ascii="Gadugi" w:hAnsi="Gadugi"/>
          <w:sz w:val="24"/>
          <w:szCs w:val="24"/>
        </w:rPr>
      </w:pPr>
    </w:p>
    <w:p w:rsidR="004C14EB" w:rsidRPr="004A0C78" w:rsidRDefault="004C14EB" w:rsidP="004C14EB">
      <w:pPr>
        <w:spacing w:line="276" w:lineRule="auto"/>
        <w:ind w:firstLine="2835"/>
        <w:jc w:val="both"/>
        <w:rPr>
          <w:rFonts w:ascii="Gadugi" w:hAnsi="Gadugi"/>
          <w:sz w:val="24"/>
          <w:szCs w:val="24"/>
        </w:rPr>
      </w:pPr>
      <w:r w:rsidRPr="004A0C78">
        <w:rPr>
          <w:rFonts w:ascii="Gadugi" w:hAnsi="Gadugi"/>
          <w:sz w:val="24"/>
          <w:szCs w:val="24"/>
        </w:rPr>
        <w:t>Magistrado: Jaime Alberto Saraza Naranjo</w:t>
      </w:r>
    </w:p>
    <w:p w:rsidR="004C14EB" w:rsidRPr="00D22208" w:rsidRDefault="004C14EB" w:rsidP="004C14EB">
      <w:pPr>
        <w:spacing w:line="276" w:lineRule="auto"/>
        <w:ind w:firstLine="2835"/>
        <w:jc w:val="both"/>
        <w:rPr>
          <w:rFonts w:ascii="Gadugi" w:hAnsi="Gadugi"/>
          <w:sz w:val="24"/>
          <w:szCs w:val="24"/>
          <w:lang w:val="es-419"/>
        </w:rPr>
      </w:pPr>
      <w:r w:rsidRPr="004A0C78">
        <w:rPr>
          <w:rFonts w:ascii="Gadugi" w:hAnsi="Gadugi"/>
          <w:sz w:val="24"/>
          <w:szCs w:val="24"/>
        </w:rPr>
        <w:t xml:space="preserve">Pereira, </w:t>
      </w:r>
      <w:r>
        <w:rPr>
          <w:rFonts w:ascii="Gadugi" w:hAnsi="Gadugi"/>
          <w:sz w:val="24"/>
          <w:szCs w:val="24"/>
          <w:lang w:val="es-419"/>
        </w:rPr>
        <w:t>marzo catorce de dos mil diecisiete</w:t>
      </w:r>
    </w:p>
    <w:p w:rsidR="004C14EB" w:rsidRPr="004A0C78" w:rsidRDefault="004C14EB" w:rsidP="004C14EB">
      <w:pPr>
        <w:spacing w:line="276" w:lineRule="auto"/>
        <w:ind w:firstLine="2835"/>
        <w:jc w:val="both"/>
        <w:rPr>
          <w:rFonts w:ascii="Gadugi" w:hAnsi="Gadugi"/>
          <w:sz w:val="24"/>
          <w:szCs w:val="24"/>
        </w:rPr>
      </w:pPr>
      <w:r w:rsidRPr="004A0C78">
        <w:rPr>
          <w:rFonts w:ascii="Gadugi" w:hAnsi="Gadugi"/>
          <w:sz w:val="24"/>
          <w:szCs w:val="24"/>
        </w:rPr>
        <w:t>Expediente</w:t>
      </w:r>
      <w:r w:rsidRPr="004A0C78">
        <w:rPr>
          <w:rFonts w:ascii="Gadugi" w:hAnsi="Gadugi"/>
          <w:sz w:val="24"/>
          <w:szCs w:val="24"/>
          <w:lang w:val="es-419"/>
        </w:rPr>
        <w:t xml:space="preserve"> </w:t>
      </w:r>
      <w:r w:rsidRPr="004A0C78">
        <w:rPr>
          <w:rFonts w:ascii="Gadugi" w:hAnsi="Gadugi"/>
          <w:sz w:val="24"/>
          <w:szCs w:val="24"/>
        </w:rPr>
        <w:t xml:space="preserve"> 66001-22-13-000-2017-00186-00</w:t>
      </w:r>
    </w:p>
    <w:p w:rsidR="004C14EB" w:rsidRPr="004A0C78" w:rsidRDefault="004C14EB" w:rsidP="004C14EB">
      <w:pPr>
        <w:spacing w:line="276" w:lineRule="auto"/>
        <w:ind w:firstLine="2835"/>
        <w:jc w:val="both"/>
        <w:rPr>
          <w:rFonts w:ascii="Gadugi" w:hAnsi="Gadugi"/>
          <w:sz w:val="24"/>
          <w:szCs w:val="24"/>
        </w:rPr>
      </w:pPr>
      <w:r w:rsidRPr="004A0C78">
        <w:rPr>
          <w:rFonts w:ascii="Gadugi" w:hAnsi="Gadugi"/>
          <w:sz w:val="24"/>
          <w:szCs w:val="24"/>
        </w:rPr>
        <w:tab/>
        <w:t>Acta N°</w:t>
      </w:r>
      <w:r w:rsidRPr="004A0C78">
        <w:rPr>
          <w:rFonts w:ascii="Gadugi" w:hAnsi="Gadugi"/>
          <w:sz w:val="24"/>
          <w:szCs w:val="24"/>
          <w:lang w:val="es-419"/>
        </w:rPr>
        <w:t xml:space="preserve"> </w:t>
      </w:r>
      <w:r>
        <w:rPr>
          <w:rFonts w:ascii="Gadugi" w:hAnsi="Gadugi"/>
          <w:sz w:val="24"/>
          <w:szCs w:val="24"/>
          <w:lang w:val="es-419"/>
        </w:rPr>
        <w:t>130 de marzo 14 de 2017</w:t>
      </w:r>
    </w:p>
    <w:p w:rsidR="004C14EB" w:rsidRPr="004A0C78" w:rsidRDefault="004C14EB" w:rsidP="004C14EB">
      <w:pPr>
        <w:spacing w:line="276" w:lineRule="auto"/>
        <w:ind w:firstLine="2835"/>
        <w:jc w:val="both"/>
        <w:rPr>
          <w:rFonts w:ascii="Gadugi" w:hAnsi="Gadugi"/>
          <w:sz w:val="24"/>
          <w:szCs w:val="24"/>
        </w:rPr>
      </w:pPr>
    </w:p>
    <w:p w:rsidR="004C14EB" w:rsidRPr="004A0C78" w:rsidRDefault="004C14EB" w:rsidP="004C14EB">
      <w:pPr>
        <w:spacing w:line="276" w:lineRule="auto"/>
        <w:ind w:firstLine="2835"/>
        <w:jc w:val="both"/>
        <w:rPr>
          <w:rFonts w:ascii="Gadugi" w:hAnsi="Gadugi" w:cs="Century Gothic"/>
          <w:sz w:val="24"/>
          <w:szCs w:val="24"/>
          <w:lang w:val="es-419"/>
        </w:rPr>
      </w:pPr>
      <w:r w:rsidRPr="004A0C78">
        <w:rPr>
          <w:rFonts w:ascii="Gadugi" w:hAnsi="Gadugi" w:cs="Century Gothic"/>
          <w:sz w:val="24"/>
          <w:szCs w:val="24"/>
        </w:rPr>
        <w:t xml:space="preserve">Decide la Sala la acción de tutela promovida por </w:t>
      </w:r>
      <w:r w:rsidRPr="004A0C78">
        <w:rPr>
          <w:rFonts w:ascii="Gadugi" w:hAnsi="Gadugi" w:cs="Century Gothic"/>
          <w:b/>
          <w:sz w:val="24"/>
          <w:szCs w:val="24"/>
        </w:rPr>
        <w:t xml:space="preserve">Javier Elías Arias </w:t>
      </w:r>
      <w:r w:rsidRPr="004A0C78">
        <w:rPr>
          <w:rFonts w:ascii="Gadugi" w:hAnsi="Gadugi" w:cs="Century Gothic"/>
          <w:b/>
          <w:sz w:val="24"/>
          <w:szCs w:val="24"/>
          <w:lang w:val="es-419"/>
        </w:rPr>
        <w:t xml:space="preserve">Idárraga </w:t>
      </w:r>
      <w:r w:rsidRPr="004A0C78">
        <w:rPr>
          <w:rFonts w:ascii="Gadugi" w:hAnsi="Gadugi" w:cs="Century Gothic"/>
          <w:bCs/>
          <w:sz w:val="24"/>
          <w:szCs w:val="24"/>
        </w:rPr>
        <w:t>contra</w:t>
      </w:r>
      <w:r w:rsidRPr="004A0C78">
        <w:rPr>
          <w:rFonts w:ascii="Gadugi" w:hAnsi="Gadugi" w:cs="Century Gothic"/>
          <w:sz w:val="24"/>
          <w:szCs w:val="24"/>
        </w:rPr>
        <w:t xml:space="preserve"> el </w:t>
      </w:r>
      <w:r w:rsidRPr="004A0C78">
        <w:rPr>
          <w:rFonts w:ascii="Gadugi" w:hAnsi="Gadugi" w:cs="Century Gothic"/>
          <w:b/>
          <w:sz w:val="24"/>
          <w:szCs w:val="24"/>
        </w:rPr>
        <w:t xml:space="preserve">Juzgado Segundo Civil del Circuito </w:t>
      </w:r>
      <w:r w:rsidRPr="004A0C78">
        <w:rPr>
          <w:rFonts w:ascii="Gadugi" w:hAnsi="Gadugi" w:cs="Century Gothic"/>
          <w:sz w:val="24"/>
          <w:szCs w:val="24"/>
        </w:rPr>
        <w:t xml:space="preserve">local y el </w:t>
      </w:r>
      <w:r w:rsidRPr="004A0C78">
        <w:rPr>
          <w:rFonts w:ascii="Gadugi" w:hAnsi="Gadugi" w:cs="Century Gothic"/>
          <w:sz w:val="24"/>
          <w:szCs w:val="24"/>
          <w:lang w:val="es-CO"/>
        </w:rPr>
        <w:t xml:space="preserve"> </w:t>
      </w:r>
      <w:r w:rsidRPr="004A0C78">
        <w:rPr>
          <w:rFonts w:ascii="Gadugi" w:hAnsi="Gadugi" w:cs="Century Gothic"/>
          <w:b/>
          <w:sz w:val="24"/>
          <w:szCs w:val="24"/>
          <w:lang w:val="es-CO"/>
        </w:rPr>
        <w:t>agente del Ministerio Público</w:t>
      </w:r>
      <w:r w:rsidRPr="004A0C78">
        <w:rPr>
          <w:rFonts w:ascii="Gadugi" w:hAnsi="Gadugi" w:cs="Century Gothic"/>
          <w:sz w:val="24"/>
          <w:szCs w:val="24"/>
          <w:lang w:val="es-419"/>
        </w:rPr>
        <w:t xml:space="preserve">, a la que fue vinculada la </w:t>
      </w:r>
      <w:r w:rsidRPr="004A0C78">
        <w:rPr>
          <w:rFonts w:ascii="Gadugi" w:hAnsi="Gadugi" w:cs="Century Gothic"/>
          <w:b/>
          <w:sz w:val="24"/>
          <w:szCs w:val="24"/>
          <w:lang w:val="es-419"/>
        </w:rPr>
        <w:t>Defensoría del Pueblo</w:t>
      </w:r>
      <w:r w:rsidRPr="004A0C78">
        <w:rPr>
          <w:rFonts w:ascii="Gadugi" w:hAnsi="Gadugi" w:cs="Century Gothic"/>
          <w:b/>
          <w:sz w:val="24"/>
          <w:szCs w:val="24"/>
          <w:lang w:val="es-CO"/>
        </w:rPr>
        <w:t xml:space="preserve"> Regional Risaralda</w:t>
      </w:r>
      <w:r w:rsidRPr="004A0C78">
        <w:rPr>
          <w:rFonts w:ascii="Gadugi" w:hAnsi="Gadugi" w:cs="Century Gothic"/>
          <w:sz w:val="24"/>
          <w:szCs w:val="24"/>
          <w:lang w:val="es-419"/>
        </w:rPr>
        <w:t>.</w:t>
      </w:r>
    </w:p>
    <w:p w:rsidR="005C771D" w:rsidRPr="005C771D" w:rsidRDefault="005C771D" w:rsidP="004C14EB">
      <w:pPr>
        <w:pStyle w:val="Titre4"/>
        <w:spacing w:line="276" w:lineRule="auto"/>
        <w:rPr>
          <w:rFonts w:ascii="Gadugi" w:hAnsi="Gadugi"/>
          <w:b/>
          <w:sz w:val="16"/>
          <w:szCs w:val="16"/>
        </w:rPr>
      </w:pPr>
    </w:p>
    <w:p w:rsidR="004C14EB" w:rsidRPr="004A0C78" w:rsidRDefault="004C14EB" w:rsidP="004C14EB">
      <w:pPr>
        <w:pStyle w:val="Titre4"/>
        <w:spacing w:line="276" w:lineRule="auto"/>
        <w:rPr>
          <w:rFonts w:ascii="Gadugi" w:hAnsi="Gadugi"/>
          <w:b/>
          <w:sz w:val="24"/>
          <w:szCs w:val="24"/>
        </w:rPr>
      </w:pPr>
      <w:r w:rsidRPr="004A0C78">
        <w:rPr>
          <w:rFonts w:ascii="Gadugi" w:hAnsi="Gadugi"/>
          <w:b/>
          <w:sz w:val="24"/>
          <w:szCs w:val="24"/>
        </w:rPr>
        <w:t>ANTECEDENTES</w:t>
      </w:r>
    </w:p>
    <w:p w:rsidR="004C14EB" w:rsidRPr="004A0C78" w:rsidRDefault="004C14EB" w:rsidP="004C14EB">
      <w:pPr>
        <w:spacing w:line="276" w:lineRule="auto"/>
        <w:ind w:firstLine="2835"/>
        <w:jc w:val="both"/>
        <w:rPr>
          <w:rFonts w:ascii="Gadugi" w:hAnsi="Gadugi" w:cs="Century Gothic"/>
          <w:sz w:val="24"/>
          <w:szCs w:val="24"/>
        </w:rPr>
      </w:pPr>
    </w:p>
    <w:p w:rsidR="004C14EB" w:rsidRPr="004A0C78" w:rsidRDefault="004C14EB" w:rsidP="004C14EB">
      <w:pPr>
        <w:pStyle w:val="Corpsdetexte21"/>
        <w:spacing w:line="276" w:lineRule="auto"/>
        <w:rPr>
          <w:rFonts w:ascii="Gadugi" w:hAnsi="Gadugi" w:cs="Century Gothic"/>
          <w:szCs w:val="24"/>
          <w:lang w:val="es-CO"/>
        </w:rPr>
      </w:pPr>
      <w:r w:rsidRPr="004A0C78">
        <w:rPr>
          <w:rFonts w:ascii="Gadugi" w:hAnsi="Gadugi" w:cs="Century Gothic"/>
          <w:szCs w:val="24"/>
          <w:lang w:val="es-CO"/>
        </w:rPr>
        <w:t>Javier Elías Arias, quien actúa en su propio nombre</w:t>
      </w:r>
      <w:r w:rsidRPr="004A0C78">
        <w:rPr>
          <w:rFonts w:ascii="Gadugi" w:hAnsi="Gadugi" w:cs="Century Gothic"/>
          <w:szCs w:val="24"/>
        </w:rPr>
        <w:t>, presentó acción de tutela</w:t>
      </w:r>
      <w:r>
        <w:rPr>
          <w:rFonts w:ascii="Gadugi" w:hAnsi="Gadugi" w:cs="Century Gothic"/>
          <w:szCs w:val="24"/>
        </w:rPr>
        <w:t xml:space="preserve"> </w:t>
      </w:r>
      <w:r w:rsidRPr="004A0C78">
        <w:rPr>
          <w:rFonts w:ascii="Gadugi" w:hAnsi="Gadugi" w:cs="Century Gothic"/>
          <w:szCs w:val="24"/>
        </w:rPr>
        <w:t xml:space="preserve">contra el Juzgado Segundo Civil del Circuito de esta </w:t>
      </w:r>
      <w:r w:rsidRPr="004A0C78">
        <w:rPr>
          <w:rFonts w:ascii="Gadugi" w:hAnsi="Gadugi" w:cs="Century Gothic"/>
          <w:szCs w:val="24"/>
        </w:rPr>
        <w:lastRenderedPageBreak/>
        <w:t xml:space="preserve">ciudad, </w:t>
      </w:r>
      <w:r w:rsidRPr="004A0C78">
        <w:rPr>
          <w:rFonts w:ascii="Gadugi" w:hAnsi="Gadugi" w:cs="Century Gothic"/>
          <w:szCs w:val="24"/>
          <w:lang w:val="es-CO"/>
        </w:rPr>
        <w:t xml:space="preserve">en la que aduce </w:t>
      </w:r>
      <w:r>
        <w:rPr>
          <w:rFonts w:ascii="Gadugi" w:hAnsi="Gadugi" w:cs="Century Gothic"/>
          <w:szCs w:val="24"/>
          <w:lang w:val="es-419"/>
        </w:rPr>
        <w:t>“</w:t>
      </w:r>
      <w:r w:rsidRPr="004A0C78">
        <w:rPr>
          <w:rFonts w:ascii="Gadugi" w:hAnsi="Gadugi" w:cs="Century Gothic"/>
          <w:i/>
          <w:szCs w:val="24"/>
          <w:lang w:val="es-CO"/>
        </w:rPr>
        <w:t>vulneración a l</w:t>
      </w:r>
      <w:proofErr w:type="spellStart"/>
      <w:r w:rsidRPr="004A0C78">
        <w:rPr>
          <w:rFonts w:ascii="Gadugi" w:hAnsi="Gadugi" w:cs="Century Gothic"/>
          <w:i/>
          <w:szCs w:val="24"/>
        </w:rPr>
        <w:t>as</w:t>
      </w:r>
      <w:proofErr w:type="spellEnd"/>
      <w:r w:rsidRPr="004A0C78">
        <w:rPr>
          <w:rFonts w:ascii="Gadugi" w:hAnsi="Gadugi" w:cs="Century Gothic"/>
          <w:i/>
          <w:szCs w:val="24"/>
        </w:rPr>
        <w:t xml:space="preserve"> garantías procesales”</w:t>
      </w:r>
      <w:r w:rsidRPr="004A0C78">
        <w:rPr>
          <w:rFonts w:ascii="Gadugi" w:hAnsi="Gadugi" w:cs="Century Gothic"/>
          <w:szCs w:val="24"/>
          <w:lang w:val="es-419"/>
        </w:rPr>
        <w:t xml:space="preserve"> y pide que </w:t>
      </w:r>
      <w:r w:rsidRPr="004A0C78">
        <w:rPr>
          <w:rFonts w:ascii="Gadugi" w:hAnsi="Gadugi" w:cs="Century Gothic"/>
          <w:szCs w:val="24"/>
          <w:lang w:val="es-CO"/>
        </w:rPr>
        <w:t>se o</w:t>
      </w:r>
      <w:r w:rsidRPr="004A0C78">
        <w:rPr>
          <w:rFonts w:ascii="Gadugi" w:hAnsi="Gadugi" w:cs="Century Gothic"/>
          <w:szCs w:val="24"/>
          <w:lang w:val="es-419"/>
        </w:rPr>
        <w:t xml:space="preserve">rdene </w:t>
      </w:r>
      <w:r w:rsidRPr="004A0C78">
        <w:rPr>
          <w:rFonts w:ascii="Gadugi" w:hAnsi="Gadugi" w:cs="Century Gothic"/>
          <w:szCs w:val="24"/>
          <w:lang w:val="es-CO"/>
        </w:rPr>
        <w:t xml:space="preserve">al </w:t>
      </w:r>
      <w:r>
        <w:rPr>
          <w:rFonts w:ascii="Gadugi" w:hAnsi="Gadugi" w:cs="Century Gothic"/>
          <w:szCs w:val="24"/>
          <w:lang w:val="es-419"/>
        </w:rPr>
        <w:t>funcionario</w:t>
      </w:r>
      <w:r w:rsidRPr="004A0C78">
        <w:rPr>
          <w:rFonts w:ascii="Gadugi" w:hAnsi="Gadugi" w:cs="Century Gothic"/>
          <w:szCs w:val="24"/>
          <w:lang w:val="es-CO"/>
        </w:rPr>
        <w:t xml:space="preserve"> </w:t>
      </w:r>
      <w:proofErr w:type="spellStart"/>
      <w:r w:rsidRPr="004A0C78">
        <w:rPr>
          <w:rFonts w:ascii="Gadugi" w:hAnsi="Gadugi" w:cs="Century Gothic"/>
          <w:szCs w:val="24"/>
          <w:lang w:val="es-CO"/>
        </w:rPr>
        <w:t>admit</w:t>
      </w:r>
      <w:proofErr w:type="spellEnd"/>
      <w:r w:rsidRPr="004A0C78">
        <w:rPr>
          <w:rFonts w:ascii="Gadugi" w:hAnsi="Gadugi" w:cs="Century Gothic"/>
          <w:szCs w:val="24"/>
          <w:lang w:val="es-419"/>
        </w:rPr>
        <w:t>ir</w:t>
      </w:r>
      <w:r w:rsidRPr="004A0C78">
        <w:rPr>
          <w:rFonts w:ascii="Gadugi" w:hAnsi="Gadugi" w:cs="Century Gothic"/>
          <w:szCs w:val="24"/>
          <w:lang w:val="es-CO"/>
        </w:rPr>
        <w:t xml:space="preserve"> inmediatamente la acción popular que fue rechazada </w:t>
      </w:r>
      <w:r>
        <w:rPr>
          <w:rFonts w:ascii="Gadugi" w:hAnsi="Gadugi" w:cs="Century Gothic"/>
          <w:szCs w:val="24"/>
          <w:lang w:val="es-419"/>
        </w:rPr>
        <w:t xml:space="preserve">por exigencias </w:t>
      </w:r>
      <w:r w:rsidRPr="004A0C78">
        <w:rPr>
          <w:rFonts w:ascii="Gadugi" w:hAnsi="Gadugi" w:cs="Century Gothic"/>
          <w:szCs w:val="24"/>
          <w:lang w:val="es-CO"/>
        </w:rPr>
        <w:t>no prevista</w:t>
      </w:r>
      <w:r>
        <w:rPr>
          <w:rFonts w:ascii="Gadugi" w:hAnsi="Gadugi" w:cs="Century Gothic"/>
          <w:szCs w:val="24"/>
          <w:lang w:val="es-419"/>
        </w:rPr>
        <w:t>s</w:t>
      </w:r>
      <w:r w:rsidRPr="004A0C78">
        <w:rPr>
          <w:rFonts w:ascii="Gadugi" w:hAnsi="Gadugi" w:cs="Century Gothic"/>
          <w:szCs w:val="24"/>
          <w:lang w:val="es-CO"/>
        </w:rPr>
        <w:t xml:space="preserve"> en la Ley 472 de 1998, o se ordene inmediatamente conceder su alzada. Que se le ordene aportar un listado completo de todas las acciones populares donde ha exigido requisitos inexistentes en el artículo 18 de esa normativa y aplique inmediatamente el artículo 16</w:t>
      </w:r>
      <w:r>
        <w:rPr>
          <w:rFonts w:ascii="Gadugi" w:hAnsi="Gadugi" w:cs="Century Gothic"/>
          <w:szCs w:val="24"/>
          <w:lang w:val="es-419"/>
        </w:rPr>
        <w:t xml:space="preserve">, </w:t>
      </w:r>
      <w:r w:rsidRPr="004A0C78">
        <w:rPr>
          <w:rFonts w:ascii="Gadugi" w:hAnsi="Gadugi" w:cs="Century Gothic"/>
          <w:szCs w:val="24"/>
          <w:lang w:val="es-CO"/>
        </w:rPr>
        <w:t>al haber escogido el domicilio de la entidad en Pereira a prevención.</w:t>
      </w:r>
    </w:p>
    <w:p w:rsidR="004C14EB" w:rsidRPr="004A0C78" w:rsidRDefault="004C14EB" w:rsidP="004C14EB">
      <w:pPr>
        <w:pStyle w:val="Corpsdetexte21"/>
        <w:spacing w:line="276" w:lineRule="auto"/>
        <w:rPr>
          <w:rFonts w:ascii="Gadugi" w:hAnsi="Gadugi" w:cs="Century Gothic"/>
          <w:szCs w:val="24"/>
          <w:lang w:val="es-CO"/>
        </w:rPr>
      </w:pPr>
    </w:p>
    <w:p w:rsidR="004C14EB" w:rsidRPr="004A0C78" w:rsidRDefault="004C14EB" w:rsidP="004C14EB">
      <w:pPr>
        <w:spacing w:line="276" w:lineRule="auto"/>
        <w:jc w:val="both"/>
        <w:rPr>
          <w:rFonts w:ascii="Gadugi" w:hAnsi="Gadugi" w:cs="Century Gothic"/>
          <w:sz w:val="24"/>
          <w:szCs w:val="24"/>
          <w:lang w:val="es-CO"/>
        </w:rPr>
      </w:pPr>
      <w:r w:rsidRPr="004A0C78">
        <w:rPr>
          <w:rFonts w:ascii="Gadugi" w:hAnsi="Gadugi" w:cs="Century Gothic"/>
          <w:sz w:val="24"/>
          <w:szCs w:val="24"/>
          <w:lang w:val="es-CO"/>
        </w:rPr>
        <w:t xml:space="preserve">   </w:t>
      </w:r>
      <w:r w:rsidRPr="004A0C78">
        <w:rPr>
          <w:rFonts w:ascii="Gadugi" w:hAnsi="Gadugi" w:cs="Century Gothic"/>
          <w:sz w:val="24"/>
          <w:szCs w:val="24"/>
          <w:lang w:val="es-CO"/>
        </w:rPr>
        <w:tab/>
      </w:r>
      <w:r w:rsidRPr="004A0C78">
        <w:rPr>
          <w:rFonts w:ascii="Gadugi" w:hAnsi="Gadugi" w:cs="Century Gothic"/>
          <w:sz w:val="24"/>
          <w:szCs w:val="24"/>
          <w:lang w:val="es-CO"/>
        </w:rPr>
        <w:tab/>
      </w:r>
      <w:r w:rsidRPr="004A0C78">
        <w:rPr>
          <w:rFonts w:ascii="Gadugi" w:hAnsi="Gadugi" w:cs="Century Gothic"/>
          <w:sz w:val="24"/>
          <w:szCs w:val="24"/>
          <w:lang w:val="es-CO"/>
        </w:rPr>
        <w:tab/>
      </w:r>
      <w:r w:rsidRPr="004A0C78">
        <w:rPr>
          <w:rFonts w:ascii="Gadugi" w:hAnsi="Gadugi" w:cs="Century Gothic"/>
          <w:sz w:val="24"/>
          <w:szCs w:val="24"/>
          <w:lang w:val="es-CO"/>
        </w:rPr>
        <w:tab/>
      </w:r>
      <w:r w:rsidRPr="004A0C78">
        <w:rPr>
          <w:rFonts w:ascii="Gadugi" w:hAnsi="Gadugi" w:cs="Century Gothic"/>
          <w:sz w:val="24"/>
          <w:szCs w:val="24"/>
          <w:lang w:val="es-419"/>
        </w:rPr>
        <w:t xml:space="preserve">Dijo en </w:t>
      </w:r>
      <w:r w:rsidRPr="004A0C78">
        <w:rPr>
          <w:rFonts w:ascii="Gadugi" w:hAnsi="Gadugi" w:cs="Century Gothic"/>
          <w:sz w:val="24"/>
          <w:szCs w:val="24"/>
          <w:lang w:val="es-CO"/>
        </w:rPr>
        <w:t xml:space="preserve">su escrito que presentó acción popular radicada con el número </w:t>
      </w:r>
      <w:r w:rsidRPr="004A0C78">
        <w:rPr>
          <w:rFonts w:ascii="Gadugi" w:hAnsi="Gadugi" w:cs="Century Gothic"/>
          <w:i/>
          <w:sz w:val="24"/>
          <w:szCs w:val="24"/>
          <w:lang w:val="es-CO"/>
        </w:rPr>
        <w:t xml:space="preserve">“2016-504” </w:t>
      </w:r>
      <w:r w:rsidRPr="004A0C78">
        <w:rPr>
          <w:rFonts w:ascii="Gadugi" w:hAnsi="Gadugi" w:cs="Century Gothic"/>
          <w:sz w:val="24"/>
          <w:szCs w:val="24"/>
          <w:lang w:val="es-CO"/>
        </w:rPr>
        <w:t>en la cual el despacho accionado le exigió que aportara certificado de existencia y representación legal de la entidad demandada, pese a que manifestó que el domicilio de la misma está en Pereira; presentó recurso de reposición y en subsidio de apelación, aquel no tuvo eco y este no se concedió, en desconocimiento de la postura que sobre el tema tiene el Consejo de Estado; además, la Corte Suprema de Justicia, ha manifestado que no se le puede reclamar requisitos no contemplados en el citado artículo 18.</w:t>
      </w:r>
    </w:p>
    <w:p w:rsidR="004C14EB" w:rsidRPr="004A0C78" w:rsidRDefault="004C14EB" w:rsidP="004C14EB">
      <w:pPr>
        <w:spacing w:line="276" w:lineRule="auto"/>
        <w:jc w:val="both"/>
        <w:rPr>
          <w:rFonts w:ascii="Gadugi" w:hAnsi="Gadugi" w:cs="Century Gothic"/>
          <w:sz w:val="24"/>
          <w:szCs w:val="24"/>
          <w:lang w:val="es-CO"/>
        </w:rPr>
      </w:pPr>
      <w:r w:rsidRPr="004A0C78">
        <w:rPr>
          <w:rFonts w:ascii="Gadugi" w:hAnsi="Gadugi" w:cs="Century Gothic"/>
          <w:sz w:val="24"/>
          <w:szCs w:val="24"/>
          <w:lang w:val="es-CO"/>
        </w:rPr>
        <w:t xml:space="preserve"> </w:t>
      </w:r>
    </w:p>
    <w:p w:rsidR="004C14EB" w:rsidRPr="00AA7F32" w:rsidRDefault="004C14EB" w:rsidP="004C14EB">
      <w:pPr>
        <w:pStyle w:val="Corpsdetexte21"/>
        <w:spacing w:line="276" w:lineRule="auto"/>
        <w:rPr>
          <w:rFonts w:ascii="Gadugi" w:hAnsi="Gadugi" w:cs="Century Gothic"/>
          <w:szCs w:val="24"/>
          <w:lang w:val="es-419"/>
        </w:rPr>
      </w:pPr>
      <w:r w:rsidRPr="004A0C78">
        <w:rPr>
          <w:rFonts w:ascii="Gadugi" w:hAnsi="Gadugi" w:cs="Century Gothic"/>
          <w:szCs w:val="24"/>
        </w:rPr>
        <w:t xml:space="preserve">Se dispuso el trámite de rigor con la </w:t>
      </w:r>
      <w:proofErr w:type="spellStart"/>
      <w:r w:rsidRPr="004A0C78">
        <w:rPr>
          <w:rFonts w:ascii="Gadugi" w:hAnsi="Gadugi" w:cs="Century Gothic"/>
          <w:szCs w:val="24"/>
        </w:rPr>
        <w:t>vinculaci</w:t>
      </w:r>
      <w:proofErr w:type="spellEnd"/>
      <w:r w:rsidRPr="004A0C78">
        <w:rPr>
          <w:rFonts w:ascii="Gadugi" w:hAnsi="Gadugi" w:cs="Century Gothic"/>
          <w:szCs w:val="24"/>
          <w:lang w:val="es-419"/>
        </w:rPr>
        <w:t>ón</w:t>
      </w:r>
      <w:r w:rsidRPr="004A0C78">
        <w:rPr>
          <w:rFonts w:ascii="Gadugi" w:hAnsi="Gadugi" w:cs="Century Gothic"/>
          <w:szCs w:val="24"/>
        </w:rPr>
        <w:t xml:space="preserve"> de l</w:t>
      </w:r>
      <w:r w:rsidRPr="004A0C78">
        <w:rPr>
          <w:rFonts w:ascii="Gadugi" w:hAnsi="Gadugi" w:cs="Century Gothic"/>
          <w:szCs w:val="24"/>
          <w:lang w:val="es-419"/>
        </w:rPr>
        <w:t>a Defensoría del Pueblo</w:t>
      </w:r>
      <w:r w:rsidRPr="004A0C78">
        <w:rPr>
          <w:rFonts w:ascii="Gadugi" w:hAnsi="Gadugi" w:cs="Century Gothic"/>
          <w:szCs w:val="24"/>
          <w:lang w:val="es-CO"/>
        </w:rPr>
        <w:t>. El despacho judicial accionado remitió, vía correo electrónico, copias de las piezas procesales que se le solicitaron</w:t>
      </w:r>
      <w:r>
        <w:rPr>
          <w:rFonts w:ascii="Gadugi" w:hAnsi="Gadugi" w:cs="Century Gothic"/>
          <w:szCs w:val="24"/>
          <w:lang w:val="es-419"/>
        </w:rPr>
        <w:t xml:space="preserve"> </w:t>
      </w:r>
      <w:r w:rsidRPr="004A0C78">
        <w:rPr>
          <w:rFonts w:ascii="Gadugi" w:hAnsi="Gadugi" w:cs="Century Gothic"/>
          <w:szCs w:val="24"/>
          <w:lang w:val="es-CO"/>
        </w:rPr>
        <w:t>e indicó que con anterioridad el actor había promovido ya acción similar.</w:t>
      </w:r>
      <w:r>
        <w:rPr>
          <w:rFonts w:ascii="Gadugi" w:hAnsi="Gadugi" w:cs="Century Gothic"/>
          <w:szCs w:val="24"/>
          <w:lang w:val="es-419"/>
        </w:rPr>
        <w:t xml:space="preserve"> La Procuraduría se refirió a su gestión en defensa de los intereses colectivos.</w:t>
      </w:r>
    </w:p>
    <w:p w:rsidR="004C14EB" w:rsidRPr="004A0C78" w:rsidRDefault="004C14EB" w:rsidP="005C771D">
      <w:pPr>
        <w:pStyle w:val="Corpsdetexte21"/>
        <w:spacing w:line="360" w:lineRule="auto"/>
        <w:rPr>
          <w:rFonts w:ascii="Gadugi" w:hAnsi="Gadugi" w:cs="Century Gothic"/>
          <w:szCs w:val="24"/>
          <w:lang w:val="es-CO"/>
        </w:rPr>
      </w:pPr>
    </w:p>
    <w:p w:rsidR="004C14EB" w:rsidRPr="004A0C78" w:rsidRDefault="004C14EB" w:rsidP="004C14EB">
      <w:pPr>
        <w:spacing w:line="276" w:lineRule="auto"/>
        <w:ind w:firstLine="2835"/>
        <w:jc w:val="both"/>
        <w:rPr>
          <w:rFonts w:ascii="Gadugi" w:hAnsi="Gadugi" w:cs="Arial"/>
          <w:b/>
          <w:sz w:val="24"/>
          <w:szCs w:val="24"/>
        </w:rPr>
      </w:pPr>
      <w:r w:rsidRPr="004A0C78">
        <w:rPr>
          <w:rFonts w:ascii="Gadugi" w:hAnsi="Gadugi" w:cs="Arial"/>
          <w:b/>
          <w:sz w:val="24"/>
          <w:szCs w:val="24"/>
        </w:rPr>
        <w:t>CONSIDERACIONES</w:t>
      </w:r>
    </w:p>
    <w:p w:rsidR="004C14EB" w:rsidRDefault="004C14EB" w:rsidP="004C14EB">
      <w:pPr>
        <w:spacing w:line="276" w:lineRule="auto"/>
        <w:ind w:firstLine="2835"/>
        <w:jc w:val="both"/>
        <w:rPr>
          <w:rFonts w:ascii="Gadugi" w:hAnsi="Gadugi"/>
          <w:sz w:val="24"/>
          <w:szCs w:val="24"/>
        </w:rPr>
      </w:pPr>
    </w:p>
    <w:p w:rsidR="004C14EB" w:rsidRPr="004A0C78" w:rsidRDefault="004C14EB" w:rsidP="004C14EB">
      <w:pPr>
        <w:spacing w:line="276" w:lineRule="auto"/>
        <w:ind w:firstLine="2835"/>
        <w:jc w:val="both"/>
        <w:rPr>
          <w:rFonts w:ascii="Gadugi" w:hAnsi="Gadugi"/>
          <w:sz w:val="24"/>
          <w:szCs w:val="24"/>
        </w:rPr>
      </w:pPr>
      <w:r w:rsidRPr="004A0C78">
        <w:rPr>
          <w:rFonts w:ascii="Gadugi" w:hAnsi="Gadugi"/>
          <w:sz w:val="24"/>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4C14EB" w:rsidRPr="004A0C78" w:rsidRDefault="004C14EB" w:rsidP="004C14EB">
      <w:pPr>
        <w:spacing w:line="276" w:lineRule="auto"/>
        <w:ind w:firstLine="2835"/>
        <w:jc w:val="both"/>
        <w:rPr>
          <w:rFonts w:ascii="Gadugi" w:hAnsi="Gadugi"/>
          <w:sz w:val="24"/>
          <w:szCs w:val="24"/>
        </w:rPr>
      </w:pPr>
    </w:p>
    <w:p w:rsidR="004C14EB" w:rsidRPr="004A0C78" w:rsidRDefault="004C14EB" w:rsidP="004C14EB">
      <w:pPr>
        <w:spacing w:line="276" w:lineRule="auto"/>
        <w:ind w:firstLine="2835"/>
        <w:jc w:val="both"/>
        <w:rPr>
          <w:rFonts w:ascii="Gadugi" w:hAnsi="Gadugi" w:cs="Arial"/>
          <w:sz w:val="24"/>
          <w:szCs w:val="24"/>
          <w:lang w:val="es-CO"/>
        </w:rPr>
      </w:pPr>
      <w:r w:rsidRPr="004A0C78">
        <w:rPr>
          <w:rFonts w:ascii="Gadugi" w:hAnsi="Gadugi"/>
          <w:sz w:val="24"/>
          <w:szCs w:val="24"/>
        </w:rPr>
        <w:t xml:space="preserve">Se acude en esta oportunidad </w:t>
      </w:r>
      <w:r w:rsidRPr="004A0C78">
        <w:rPr>
          <w:rFonts w:ascii="Gadugi" w:hAnsi="Gadugi" w:cs="Arial"/>
          <w:sz w:val="24"/>
          <w:szCs w:val="24"/>
        </w:rPr>
        <w:t>en procura de</w:t>
      </w:r>
      <w:r>
        <w:rPr>
          <w:rFonts w:ascii="Gadugi" w:hAnsi="Gadugi" w:cs="Arial"/>
          <w:sz w:val="24"/>
          <w:szCs w:val="24"/>
          <w:lang w:val="es-419"/>
        </w:rPr>
        <w:t xml:space="preserve"> la protección del derecho que se nomina </w:t>
      </w:r>
      <w:r w:rsidRPr="004A0C78">
        <w:rPr>
          <w:rFonts w:ascii="Gadugi" w:hAnsi="Gadugi" w:cs="Arial"/>
          <w:sz w:val="24"/>
          <w:szCs w:val="24"/>
        </w:rPr>
        <w:t>como “garantías procesales”</w:t>
      </w:r>
      <w:r w:rsidRPr="004A0C78">
        <w:rPr>
          <w:rFonts w:ascii="Gadugi" w:hAnsi="Gadugi" w:cs="Arial"/>
          <w:i/>
          <w:sz w:val="24"/>
          <w:szCs w:val="24"/>
        </w:rPr>
        <w:t>“</w:t>
      </w:r>
      <w:r w:rsidRPr="004A0C78">
        <w:rPr>
          <w:rFonts w:ascii="Gadugi" w:hAnsi="Gadugi" w:cs="Arial"/>
          <w:sz w:val="24"/>
          <w:szCs w:val="24"/>
        </w:rPr>
        <w:t xml:space="preserve">, bajo la premisa del aparente desconocimiento, por parte del Juzgado Segundo Civil del Circuito de esta ciudad, de las normas especiales que regulan las acciones populares para efectos de su admisión, en la que no se pueden exigir requisitos no regulados y ceñirse a lo prevenido por el artículo 18 de la Ley 472 de 1998, máxime cuando ya el órgano de cierre ordinario en sede constitucional ha prevenido sobre </w:t>
      </w:r>
      <w:r w:rsidRPr="004A0C78">
        <w:rPr>
          <w:rFonts w:ascii="Gadugi" w:hAnsi="Gadugi" w:cs="Arial"/>
          <w:sz w:val="24"/>
          <w:szCs w:val="24"/>
        </w:rPr>
        <w:lastRenderedPageBreak/>
        <w:t>ese particular; adicionalmente, afirma, por no habérsele concedido el recurso de apelación que interpuso contra el auto que rechazó la demanda.</w:t>
      </w:r>
    </w:p>
    <w:p w:rsidR="004C14EB" w:rsidRPr="004A0C78" w:rsidRDefault="004C14EB" w:rsidP="004C14EB">
      <w:pPr>
        <w:spacing w:line="276" w:lineRule="auto"/>
        <w:ind w:firstLine="2835"/>
        <w:jc w:val="both"/>
        <w:rPr>
          <w:rFonts w:ascii="Gadugi" w:hAnsi="Gadugi" w:cs="Arial"/>
          <w:sz w:val="24"/>
          <w:szCs w:val="24"/>
          <w:lang w:val="es-CO"/>
        </w:rPr>
      </w:pPr>
    </w:p>
    <w:p w:rsidR="004C14EB" w:rsidRPr="004A0C78" w:rsidRDefault="004C14EB" w:rsidP="004C14EB">
      <w:pPr>
        <w:spacing w:line="276" w:lineRule="auto"/>
        <w:jc w:val="both"/>
        <w:rPr>
          <w:rFonts w:ascii="Gadugi" w:hAnsi="Gadugi"/>
          <w:sz w:val="24"/>
          <w:szCs w:val="24"/>
        </w:rPr>
      </w:pPr>
      <w:r w:rsidRPr="004A0C78">
        <w:rPr>
          <w:rFonts w:ascii="Gadugi" w:hAnsi="Gadugi" w:cs="Arial"/>
          <w:sz w:val="24"/>
          <w:szCs w:val="24"/>
        </w:rPr>
        <w:t xml:space="preserve">  </w:t>
      </w:r>
      <w:r w:rsidRPr="004A0C78">
        <w:rPr>
          <w:rFonts w:ascii="Gadugi" w:hAnsi="Gadugi" w:cs="Arial"/>
          <w:sz w:val="24"/>
          <w:szCs w:val="24"/>
        </w:rPr>
        <w:tab/>
      </w:r>
      <w:r w:rsidRPr="004A0C78">
        <w:rPr>
          <w:rFonts w:ascii="Gadugi" w:hAnsi="Gadugi" w:cs="Arial"/>
          <w:sz w:val="24"/>
          <w:szCs w:val="24"/>
        </w:rPr>
        <w:tab/>
      </w:r>
      <w:r w:rsidRPr="004A0C78">
        <w:rPr>
          <w:rFonts w:ascii="Gadugi" w:hAnsi="Gadugi" w:cs="Arial"/>
          <w:sz w:val="24"/>
          <w:szCs w:val="24"/>
        </w:rPr>
        <w:tab/>
      </w:r>
      <w:r w:rsidRPr="004A0C78">
        <w:rPr>
          <w:rFonts w:ascii="Gadugi" w:hAnsi="Gadugi" w:cs="Arial"/>
          <w:sz w:val="24"/>
          <w:szCs w:val="24"/>
        </w:rPr>
        <w:tab/>
      </w:r>
      <w:r w:rsidRPr="004A0C78">
        <w:rPr>
          <w:rFonts w:ascii="Gadugi" w:hAnsi="Gadugi"/>
          <w:sz w:val="24"/>
          <w:szCs w:val="24"/>
        </w:rPr>
        <w:t>Dispone el artículo 38 del Decreto 2591 de 1991 que “Cuando, sin motivo expresamente justificado, la misma acción de tutela sea presentada por la misma persona o su representante ante varios jueces o tribunales, se rechazarán o decidirán desfavorablemente todas las solicitudes</w:t>
      </w:r>
      <w:r w:rsidRPr="004A0C78">
        <w:rPr>
          <w:rFonts w:ascii="Gadugi" w:hAnsi="Gadugi"/>
          <w:i/>
          <w:sz w:val="24"/>
          <w:szCs w:val="24"/>
        </w:rPr>
        <w:t>”</w:t>
      </w:r>
      <w:r w:rsidRPr="004A0C78">
        <w:rPr>
          <w:rFonts w:ascii="Gadugi" w:hAnsi="Gadugi"/>
          <w:sz w:val="24"/>
          <w:szCs w:val="24"/>
        </w:rPr>
        <w:t xml:space="preserve">. </w:t>
      </w:r>
    </w:p>
    <w:p w:rsidR="004C14EB" w:rsidRPr="004A0C78" w:rsidRDefault="004C14EB" w:rsidP="004C14EB">
      <w:pPr>
        <w:pStyle w:val="Corpsdetexte2"/>
        <w:spacing w:after="0" w:line="276" w:lineRule="auto"/>
        <w:ind w:right="50"/>
        <w:jc w:val="both"/>
        <w:rPr>
          <w:rFonts w:ascii="Gadugi" w:hAnsi="Gadugi"/>
          <w:sz w:val="24"/>
          <w:szCs w:val="24"/>
        </w:rPr>
      </w:pPr>
    </w:p>
    <w:p w:rsidR="004C14EB" w:rsidRPr="004A0C78" w:rsidRDefault="004C14EB" w:rsidP="004C14EB">
      <w:pPr>
        <w:pStyle w:val="Sansinterligne1"/>
        <w:spacing w:line="276" w:lineRule="auto"/>
        <w:ind w:right="51"/>
        <w:jc w:val="both"/>
        <w:rPr>
          <w:rFonts w:ascii="Gadugi" w:hAnsi="Gadugi"/>
        </w:rPr>
      </w:pPr>
      <w:r w:rsidRPr="004A0C78">
        <w:rPr>
          <w:rFonts w:ascii="Gadugi" w:hAnsi="Gadugi" w:cs="Arial"/>
        </w:rPr>
        <w:t xml:space="preserve">  </w:t>
      </w:r>
      <w:r w:rsidRPr="004A0C78">
        <w:rPr>
          <w:rFonts w:ascii="Gadugi" w:hAnsi="Gadugi" w:cs="Arial"/>
        </w:rPr>
        <w:tab/>
      </w:r>
      <w:r w:rsidRPr="004A0C78">
        <w:rPr>
          <w:rFonts w:ascii="Gadugi" w:hAnsi="Gadugi" w:cs="Arial"/>
        </w:rPr>
        <w:tab/>
      </w:r>
      <w:r w:rsidRPr="004A0C78">
        <w:rPr>
          <w:rFonts w:ascii="Gadugi" w:hAnsi="Gadugi" w:cs="Arial"/>
        </w:rPr>
        <w:tab/>
      </w:r>
      <w:r w:rsidRPr="004A0C78">
        <w:rPr>
          <w:rFonts w:ascii="Gadugi" w:hAnsi="Gadugi" w:cs="Arial"/>
        </w:rPr>
        <w:tab/>
        <w:t xml:space="preserve">Esta norma viene al caso, porque, </w:t>
      </w:r>
      <w:r w:rsidRPr="004A0C78">
        <w:rPr>
          <w:rFonts w:ascii="Gadugi" w:hAnsi="Gadugi" w:cs="Arial"/>
          <w:lang w:val="es-419"/>
        </w:rPr>
        <w:t xml:space="preserve">según la información del </w:t>
      </w:r>
      <w:r w:rsidRPr="004A0C78">
        <w:rPr>
          <w:rFonts w:ascii="Gadugi" w:hAnsi="Gadugi" w:cs="Arial"/>
        </w:rPr>
        <w:t xml:space="preserve">despacho judicial demandado y como se puede observar </w:t>
      </w:r>
      <w:r w:rsidRPr="004A0C78">
        <w:rPr>
          <w:rFonts w:ascii="Gadugi" w:hAnsi="Gadugi" w:cs="Arial"/>
          <w:lang w:val="es-419"/>
        </w:rPr>
        <w:t xml:space="preserve">en </w:t>
      </w:r>
      <w:r w:rsidRPr="004A0C78">
        <w:rPr>
          <w:rFonts w:ascii="Gadugi" w:hAnsi="Gadugi" w:cs="Arial"/>
        </w:rPr>
        <w:t xml:space="preserve">las copias </w:t>
      </w:r>
      <w:r w:rsidRPr="004A0C78">
        <w:rPr>
          <w:rFonts w:ascii="Gadugi" w:hAnsi="Gadugi" w:cs="Arial"/>
          <w:lang w:val="es-419"/>
        </w:rPr>
        <w:t>adosadas</w:t>
      </w:r>
      <w:r w:rsidRPr="004A0C78">
        <w:rPr>
          <w:rFonts w:ascii="Gadugi" w:hAnsi="Gadugi" w:cs="Arial"/>
        </w:rPr>
        <w:t xml:space="preserve"> al </w:t>
      </w:r>
      <w:r w:rsidRPr="004A0C78">
        <w:rPr>
          <w:rFonts w:ascii="Gadugi" w:hAnsi="Gadugi" w:cs="Arial"/>
          <w:lang w:val="es-419"/>
        </w:rPr>
        <w:t>expediente</w:t>
      </w:r>
      <w:r w:rsidRPr="004A0C78">
        <w:rPr>
          <w:rFonts w:ascii="Gadugi" w:hAnsi="Gadugi" w:cs="Arial"/>
        </w:rPr>
        <w:t xml:space="preserve"> (f. 21 a 32), el señor Arias </w:t>
      </w:r>
      <w:proofErr w:type="spellStart"/>
      <w:r w:rsidRPr="004A0C78">
        <w:rPr>
          <w:rFonts w:ascii="Gadugi" w:hAnsi="Gadugi" w:cs="Arial"/>
        </w:rPr>
        <w:t>Idárraga</w:t>
      </w:r>
      <w:proofErr w:type="spellEnd"/>
      <w:r w:rsidRPr="004A0C78">
        <w:rPr>
          <w:rFonts w:ascii="Gadugi" w:hAnsi="Gadugi" w:cs="Arial"/>
        </w:rPr>
        <w:t xml:space="preserve"> promovió</w:t>
      </w:r>
      <w:r>
        <w:rPr>
          <w:rFonts w:ascii="Gadugi" w:hAnsi="Gadugi" w:cs="Arial"/>
          <w:lang w:val="es-419"/>
        </w:rPr>
        <w:t xml:space="preserve"> </w:t>
      </w:r>
      <w:r w:rsidRPr="004A0C78">
        <w:rPr>
          <w:rFonts w:ascii="Gadugi" w:hAnsi="Gadugi" w:cs="Arial"/>
        </w:rPr>
        <w:t>otra acción idéntica a esta, contra el Juzgado Segundo Civil del Circuito local</w:t>
      </w:r>
      <w:r w:rsidRPr="004A0C78">
        <w:rPr>
          <w:rFonts w:ascii="Gadugi" w:hAnsi="Gadugi" w:cs="Arial"/>
          <w:lang w:val="es-419"/>
        </w:rPr>
        <w:t>, respecto de la misma acción popular</w:t>
      </w:r>
      <w:r w:rsidRPr="004A0C78">
        <w:rPr>
          <w:rFonts w:ascii="Gadugi" w:hAnsi="Gadugi" w:cs="Arial"/>
        </w:rPr>
        <w:t xml:space="preserve">. En efecto, </w:t>
      </w:r>
      <w:r w:rsidRPr="004A0C78">
        <w:rPr>
          <w:rFonts w:ascii="Gadugi" w:hAnsi="Gadugi"/>
        </w:rPr>
        <w:t xml:space="preserve">con anterioridad se tramitó una solicitud de protección ante esta misma Sala, cuya decisión data del 23 de febrero del presente año; una vez declarada improcedente, fue remitida a la Sala de Casación Civil de la Corte Suprema de Justicia, según se </w:t>
      </w:r>
      <w:r w:rsidRPr="004A0C78">
        <w:rPr>
          <w:rFonts w:ascii="Gadugi" w:hAnsi="Gadugi"/>
          <w:lang w:val="es-419"/>
        </w:rPr>
        <w:t xml:space="preserve">registra </w:t>
      </w:r>
      <w:r w:rsidRPr="004A0C78">
        <w:rPr>
          <w:rFonts w:ascii="Gadugi" w:hAnsi="Gadugi"/>
        </w:rPr>
        <w:t>Sistema Siglo XXI (f. 32 v), para surtir la impugnación propuesta frente a la misma.</w:t>
      </w:r>
    </w:p>
    <w:p w:rsidR="005C771D" w:rsidRDefault="005C771D" w:rsidP="004C14EB">
      <w:pPr>
        <w:spacing w:line="276" w:lineRule="auto"/>
        <w:ind w:right="50"/>
        <w:jc w:val="both"/>
        <w:rPr>
          <w:rFonts w:ascii="Gadugi" w:hAnsi="Gadugi"/>
          <w:sz w:val="24"/>
          <w:szCs w:val="24"/>
        </w:rPr>
      </w:pPr>
    </w:p>
    <w:p w:rsidR="004C14EB" w:rsidRPr="004A0C78" w:rsidRDefault="004C14EB" w:rsidP="004C14EB">
      <w:pPr>
        <w:spacing w:line="276" w:lineRule="auto"/>
        <w:ind w:right="50"/>
        <w:jc w:val="both"/>
        <w:rPr>
          <w:rFonts w:ascii="Gadugi" w:hAnsi="Gadugi"/>
          <w:sz w:val="24"/>
          <w:szCs w:val="24"/>
        </w:rPr>
      </w:pPr>
      <w:r w:rsidRPr="004A0C78">
        <w:rPr>
          <w:rFonts w:ascii="Gadugi" w:hAnsi="Gadugi"/>
          <w:sz w:val="24"/>
          <w:szCs w:val="24"/>
        </w:rPr>
        <w:t xml:space="preserve">  </w:t>
      </w:r>
      <w:r w:rsidRPr="004A0C78">
        <w:rPr>
          <w:rFonts w:ascii="Gadugi" w:hAnsi="Gadugi"/>
          <w:sz w:val="24"/>
          <w:szCs w:val="24"/>
        </w:rPr>
        <w:tab/>
      </w:r>
      <w:r w:rsidRPr="004A0C78">
        <w:rPr>
          <w:rFonts w:ascii="Gadugi" w:hAnsi="Gadugi"/>
          <w:sz w:val="24"/>
          <w:szCs w:val="24"/>
        </w:rPr>
        <w:tab/>
      </w:r>
      <w:r w:rsidRPr="004A0C78">
        <w:rPr>
          <w:rFonts w:ascii="Gadugi" w:hAnsi="Gadugi"/>
          <w:sz w:val="24"/>
          <w:szCs w:val="24"/>
        </w:rPr>
        <w:tab/>
      </w:r>
      <w:r w:rsidRPr="004A0C78">
        <w:rPr>
          <w:rFonts w:ascii="Gadugi" w:hAnsi="Gadugi"/>
          <w:sz w:val="24"/>
          <w:szCs w:val="24"/>
        </w:rPr>
        <w:tab/>
      </w:r>
      <w:r w:rsidRPr="004A0C78">
        <w:rPr>
          <w:rFonts w:ascii="Gadugi" w:hAnsi="Gadugi"/>
          <w:sz w:val="24"/>
          <w:szCs w:val="24"/>
          <w:lang w:val="es-419"/>
        </w:rPr>
        <w:t xml:space="preserve">Allí, en la </w:t>
      </w:r>
      <w:r w:rsidRPr="004A0C78">
        <w:rPr>
          <w:rFonts w:ascii="Gadugi" w:hAnsi="Gadugi"/>
          <w:sz w:val="24"/>
          <w:szCs w:val="24"/>
        </w:rPr>
        <w:t>tutela radicada al número 2017-00069-00</w:t>
      </w:r>
      <w:r w:rsidRPr="004A0C78">
        <w:rPr>
          <w:rFonts w:ascii="Gadugi" w:hAnsi="Gadugi"/>
          <w:sz w:val="24"/>
          <w:szCs w:val="24"/>
          <w:lang w:val="es-419"/>
        </w:rPr>
        <w:t>,</w:t>
      </w:r>
      <w:r w:rsidRPr="004A0C78">
        <w:rPr>
          <w:rFonts w:ascii="Gadugi" w:hAnsi="Gadugi"/>
          <w:sz w:val="24"/>
          <w:szCs w:val="24"/>
        </w:rPr>
        <w:t xml:space="preserve"> que hace relación a la acción popular 2014-00504-00 del Juzgado Segundo Civil del Circuito, consideró lesionadas sus “garantías procesales” y </w:t>
      </w:r>
      <w:r>
        <w:rPr>
          <w:rFonts w:ascii="Gadugi" w:hAnsi="Gadugi"/>
          <w:sz w:val="24"/>
          <w:szCs w:val="24"/>
          <w:lang w:val="es-419"/>
        </w:rPr>
        <w:t xml:space="preserve">pidió que </w:t>
      </w:r>
      <w:r w:rsidRPr="004A0C78">
        <w:rPr>
          <w:rFonts w:ascii="Gadugi" w:hAnsi="Gadugi"/>
          <w:sz w:val="24"/>
          <w:szCs w:val="24"/>
        </w:rPr>
        <w:t>se ordenara al juzgado admitir inmediatamente la demanda popular, pues no era posible exigirle requisitos no contemplados en el artículo 18 de la Ley 472 de 1998.</w:t>
      </w:r>
    </w:p>
    <w:p w:rsidR="004C14EB" w:rsidRPr="004A0C78" w:rsidRDefault="004C14EB" w:rsidP="004C14EB">
      <w:pPr>
        <w:spacing w:line="276" w:lineRule="auto"/>
        <w:ind w:right="50"/>
        <w:jc w:val="both"/>
        <w:rPr>
          <w:rFonts w:ascii="Gadugi" w:hAnsi="Gadugi"/>
          <w:sz w:val="24"/>
          <w:szCs w:val="24"/>
        </w:rPr>
      </w:pPr>
    </w:p>
    <w:p w:rsidR="004C14EB" w:rsidRPr="004A0C78" w:rsidRDefault="004C14EB" w:rsidP="004C14EB">
      <w:pPr>
        <w:spacing w:line="276" w:lineRule="auto"/>
        <w:ind w:right="50"/>
        <w:jc w:val="both"/>
        <w:rPr>
          <w:rFonts w:ascii="Gadugi" w:hAnsi="Gadugi"/>
          <w:sz w:val="24"/>
          <w:szCs w:val="24"/>
        </w:rPr>
      </w:pPr>
      <w:r w:rsidRPr="004A0C78">
        <w:rPr>
          <w:rFonts w:ascii="Gadugi" w:hAnsi="Gadugi"/>
          <w:sz w:val="24"/>
          <w:szCs w:val="24"/>
        </w:rPr>
        <w:tab/>
        <w:t xml:space="preserve">  </w:t>
      </w:r>
      <w:r w:rsidRPr="004A0C78">
        <w:rPr>
          <w:rFonts w:ascii="Gadugi" w:hAnsi="Gadugi"/>
          <w:sz w:val="24"/>
          <w:szCs w:val="24"/>
        </w:rPr>
        <w:tab/>
      </w:r>
      <w:r w:rsidRPr="004A0C78">
        <w:rPr>
          <w:rFonts w:ascii="Gadugi" w:hAnsi="Gadugi"/>
          <w:sz w:val="24"/>
          <w:szCs w:val="24"/>
        </w:rPr>
        <w:tab/>
      </w:r>
      <w:r w:rsidRPr="004A0C78">
        <w:rPr>
          <w:rFonts w:ascii="Gadugi" w:hAnsi="Gadugi"/>
          <w:sz w:val="24"/>
          <w:szCs w:val="24"/>
        </w:rPr>
        <w:tab/>
        <w:t xml:space="preserve">Es decir, que hay identidad de partes, pues el accionante en ambos casos es Javier Elías Arias </w:t>
      </w:r>
      <w:proofErr w:type="spellStart"/>
      <w:r w:rsidRPr="004A0C78">
        <w:rPr>
          <w:rFonts w:ascii="Gadugi" w:hAnsi="Gadugi"/>
          <w:sz w:val="24"/>
          <w:szCs w:val="24"/>
        </w:rPr>
        <w:t>Idárraga</w:t>
      </w:r>
      <w:proofErr w:type="spellEnd"/>
      <w:r w:rsidRPr="004A0C78">
        <w:rPr>
          <w:rFonts w:ascii="Gadugi" w:hAnsi="Gadugi"/>
          <w:sz w:val="24"/>
          <w:szCs w:val="24"/>
        </w:rPr>
        <w:t xml:space="preserve"> y el accionado principal, el Juzgado Segundo Civil del Circuito local, pese a que aquí incluye al agente del Ministerio Público, </w:t>
      </w:r>
      <w:r>
        <w:rPr>
          <w:rFonts w:ascii="Gadugi" w:hAnsi="Gadugi"/>
          <w:sz w:val="24"/>
          <w:szCs w:val="24"/>
          <w:lang w:val="es-419"/>
        </w:rPr>
        <w:t xml:space="preserve">lo que nada novedoso implica en el análisis respectivo; tampoco cambia que ahora pida que se aporte un listado de acciones populares, porque ello, si fuera procedente, no se erigiría en más que una prueba. Quiere esto decir que también hay </w:t>
      </w:r>
      <w:r w:rsidRPr="004A0C78">
        <w:rPr>
          <w:rFonts w:ascii="Gadugi" w:hAnsi="Gadugi"/>
          <w:sz w:val="24"/>
          <w:szCs w:val="24"/>
        </w:rPr>
        <w:t>identidad de objeto, ya que lo que se pidió en aquella ocasión es lo mismo que ahora se invoca; e identidad de causa, porque los hechos no tienen divergencia alguna</w:t>
      </w:r>
      <w:r>
        <w:rPr>
          <w:rFonts w:ascii="Gadugi" w:hAnsi="Gadugi"/>
          <w:sz w:val="24"/>
          <w:szCs w:val="24"/>
          <w:lang w:val="es-419"/>
        </w:rPr>
        <w:t>.</w:t>
      </w:r>
      <w:r w:rsidRPr="004A0C78">
        <w:rPr>
          <w:rFonts w:ascii="Gadugi" w:hAnsi="Gadugi"/>
          <w:sz w:val="24"/>
          <w:szCs w:val="24"/>
          <w:lang w:val="es-419"/>
        </w:rPr>
        <w:t xml:space="preserve"> </w:t>
      </w:r>
      <w:r w:rsidRPr="004A0C78">
        <w:rPr>
          <w:rFonts w:ascii="Gadugi" w:hAnsi="Gadugi"/>
          <w:sz w:val="24"/>
          <w:szCs w:val="24"/>
        </w:rPr>
        <w:t>A ello se suma, que se aducen iguales derechos.</w:t>
      </w:r>
    </w:p>
    <w:p w:rsidR="004C14EB" w:rsidRPr="004A0C78" w:rsidRDefault="004C14EB" w:rsidP="004C14EB">
      <w:pPr>
        <w:spacing w:line="276" w:lineRule="auto"/>
        <w:ind w:right="50"/>
        <w:jc w:val="both"/>
        <w:rPr>
          <w:rFonts w:ascii="Gadugi" w:hAnsi="Gadugi"/>
          <w:sz w:val="24"/>
          <w:szCs w:val="24"/>
        </w:rPr>
      </w:pPr>
    </w:p>
    <w:p w:rsidR="004C14EB" w:rsidRPr="004A0C78" w:rsidRDefault="004C14EB" w:rsidP="004C14EB">
      <w:pPr>
        <w:spacing w:line="276" w:lineRule="auto"/>
        <w:ind w:right="50"/>
        <w:jc w:val="both"/>
        <w:rPr>
          <w:rFonts w:ascii="Gadugi" w:hAnsi="Gadugi"/>
          <w:sz w:val="24"/>
          <w:szCs w:val="24"/>
        </w:rPr>
      </w:pPr>
      <w:r w:rsidRPr="004A0C78">
        <w:rPr>
          <w:rFonts w:ascii="Gadugi" w:hAnsi="Gadugi"/>
          <w:sz w:val="24"/>
          <w:szCs w:val="24"/>
        </w:rPr>
        <w:t xml:space="preserve">   </w:t>
      </w:r>
      <w:r w:rsidRPr="004A0C78">
        <w:rPr>
          <w:rFonts w:ascii="Gadugi" w:hAnsi="Gadugi"/>
          <w:sz w:val="24"/>
          <w:szCs w:val="24"/>
        </w:rPr>
        <w:tab/>
      </w:r>
      <w:r w:rsidRPr="004A0C78">
        <w:rPr>
          <w:rFonts w:ascii="Gadugi" w:hAnsi="Gadugi"/>
          <w:sz w:val="24"/>
          <w:szCs w:val="24"/>
        </w:rPr>
        <w:tab/>
      </w:r>
      <w:r w:rsidRPr="004A0C78">
        <w:rPr>
          <w:rFonts w:ascii="Gadugi" w:hAnsi="Gadugi"/>
          <w:sz w:val="24"/>
          <w:szCs w:val="24"/>
        </w:rPr>
        <w:tab/>
      </w:r>
      <w:r w:rsidRPr="004A0C78">
        <w:rPr>
          <w:rFonts w:ascii="Gadugi" w:hAnsi="Gadugi"/>
          <w:sz w:val="24"/>
          <w:szCs w:val="24"/>
        </w:rPr>
        <w:tab/>
        <w:t>Sobre estos supuestos ha dicho la Corte Constitucional</w:t>
      </w:r>
      <w:r w:rsidRPr="004A0C78">
        <w:rPr>
          <w:rStyle w:val="Appelnotedebasdep"/>
          <w:rFonts w:ascii="Gadugi" w:hAnsi="Gadugi"/>
          <w:sz w:val="24"/>
          <w:szCs w:val="24"/>
        </w:rPr>
        <w:footnoteReference w:id="1"/>
      </w:r>
      <w:r w:rsidRPr="004A0C78">
        <w:rPr>
          <w:rFonts w:ascii="Gadugi" w:hAnsi="Gadugi"/>
          <w:sz w:val="24"/>
          <w:szCs w:val="24"/>
        </w:rPr>
        <w:t>, que:</w:t>
      </w:r>
    </w:p>
    <w:p w:rsidR="004C14EB" w:rsidRPr="004A0C78" w:rsidRDefault="004C14EB" w:rsidP="004C14EB">
      <w:pPr>
        <w:pStyle w:val="Corpsdetexte2"/>
        <w:spacing w:after="0" w:line="276" w:lineRule="auto"/>
        <w:ind w:right="50"/>
        <w:rPr>
          <w:rFonts w:ascii="Century Gothic" w:hAnsi="Century Gothic"/>
          <w:sz w:val="24"/>
          <w:szCs w:val="24"/>
        </w:rPr>
      </w:pPr>
      <w:r w:rsidRPr="004A0C78">
        <w:rPr>
          <w:rFonts w:ascii="Century Gothic" w:hAnsi="Century Gothic"/>
          <w:sz w:val="24"/>
          <w:szCs w:val="24"/>
        </w:rPr>
        <w:tab/>
      </w:r>
      <w:r w:rsidRPr="004A0C78">
        <w:rPr>
          <w:rFonts w:ascii="Century Gothic" w:hAnsi="Century Gothic"/>
          <w:sz w:val="24"/>
          <w:szCs w:val="24"/>
        </w:rPr>
        <w:tab/>
      </w:r>
      <w:r w:rsidRPr="004A0C78">
        <w:rPr>
          <w:rFonts w:ascii="Century Gothic" w:hAnsi="Century Gothic"/>
          <w:sz w:val="24"/>
          <w:szCs w:val="24"/>
        </w:rPr>
        <w:tab/>
      </w:r>
      <w:r w:rsidRPr="004A0C78">
        <w:rPr>
          <w:rFonts w:ascii="Century Gothic" w:hAnsi="Century Gothic"/>
          <w:sz w:val="24"/>
          <w:szCs w:val="24"/>
        </w:rPr>
        <w:tab/>
      </w:r>
    </w:p>
    <w:p w:rsidR="004C14EB" w:rsidRPr="004A0C78" w:rsidRDefault="004C14EB" w:rsidP="004C14EB">
      <w:pPr>
        <w:ind w:left="851" w:right="759"/>
        <w:jc w:val="both"/>
        <w:rPr>
          <w:rFonts w:ascii="Arial Narrow" w:hAnsi="Arial Narrow"/>
          <w:sz w:val="24"/>
          <w:szCs w:val="24"/>
        </w:rPr>
      </w:pPr>
      <w:r w:rsidRPr="004A0C78">
        <w:rPr>
          <w:rFonts w:ascii="Century Gothic" w:hAnsi="Century Gothic"/>
          <w:sz w:val="24"/>
          <w:szCs w:val="24"/>
        </w:rPr>
        <w:lastRenderedPageBreak/>
        <w:t xml:space="preserve">   </w:t>
      </w:r>
      <w:r w:rsidRPr="004A0C78">
        <w:rPr>
          <w:rFonts w:ascii="Century Gothic" w:hAnsi="Century Gothic"/>
          <w:sz w:val="24"/>
          <w:szCs w:val="24"/>
        </w:rPr>
        <w:tab/>
      </w:r>
      <w:r w:rsidRPr="004A0C78">
        <w:rPr>
          <w:rFonts w:ascii="Century Gothic" w:hAnsi="Century Gothic"/>
          <w:sz w:val="24"/>
          <w:szCs w:val="24"/>
        </w:rPr>
        <w:tab/>
      </w:r>
      <w:r w:rsidRPr="004A0C78">
        <w:rPr>
          <w:rFonts w:ascii="Century Gothic" w:hAnsi="Century Gothic"/>
          <w:sz w:val="24"/>
          <w:szCs w:val="24"/>
        </w:rPr>
        <w:tab/>
      </w:r>
      <w:r w:rsidRPr="004A0C78">
        <w:rPr>
          <w:rFonts w:ascii="Arial Narrow" w:hAnsi="Arial Narrow"/>
          <w:sz w:val="24"/>
          <w:szCs w:val="24"/>
        </w:rPr>
        <w:t>“Bajo este orden de ideas, la Sala debe resaltar que la jurisprudencia ha establecido los requisitos que soportan y condicionan la improcedencia por duplicidad de acciones y, por tanto, ha fijado el conjunto de condiciones a las que se debe remitir el juez en orden a confirmar la existencia de la infracción.  Cada una de ellas recalca la obligación de comprobar la completa identidad entre los elementos de cada solicitud de amparo a partir de cuatro pasos, y –además- de inspeccionar si existe un justificante relevante de dicho actuar. La sentencia de unificación citada, indicó textualmente lo siguiente:</w:t>
      </w:r>
    </w:p>
    <w:p w:rsidR="004C14EB" w:rsidRPr="004A0C78" w:rsidRDefault="004C14EB" w:rsidP="004C14EB">
      <w:pPr>
        <w:ind w:left="851" w:right="759"/>
        <w:jc w:val="both"/>
        <w:rPr>
          <w:rFonts w:ascii="Arial Narrow" w:hAnsi="Arial Narrow"/>
          <w:sz w:val="24"/>
          <w:szCs w:val="24"/>
        </w:rPr>
      </w:pPr>
    </w:p>
    <w:p w:rsidR="004C14EB" w:rsidRPr="004A0C78" w:rsidRDefault="004C14EB" w:rsidP="004C14EB">
      <w:pPr>
        <w:ind w:left="851" w:right="759" w:firstLine="1984"/>
        <w:jc w:val="both"/>
        <w:rPr>
          <w:rFonts w:ascii="Arial Narrow" w:hAnsi="Arial Narrow"/>
          <w:sz w:val="24"/>
          <w:szCs w:val="24"/>
          <w:lang w:val="es-CO"/>
        </w:rPr>
      </w:pPr>
      <w:r w:rsidRPr="004A0C78">
        <w:rPr>
          <w:rFonts w:ascii="Arial Narrow" w:hAnsi="Arial Narrow"/>
          <w:sz w:val="24"/>
          <w:szCs w:val="24"/>
          <w:lang w:val="es-CO"/>
        </w:rPr>
        <w:t>“</w:t>
      </w:r>
      <w:r w:rsidRPr="004A0C78">
        <w:rPr>
          <w:rFonts w:ascii="Arial Narrow" w:hAnsi="Arial Narrow"/>
          <w:b/>
          <w:i/>
          <w:sz w:val="24"/>
          <w:szCs w:val="24"/>
          <w:lang w:val="es-CO"/>
        </w:rPr>
        <w:t xml:space="preserve">8. </w:t>
      </w:r>
      <w:r w:rsidRPr="004A0C78">
        <w:rPr>
          <w:rFonts w:ascii="Arial Narrow" w:hAnsi="Arial Narrow"/>
          <w:i/>
          <w:sz w:val="24"/>
          <w:szCs w:val="24"/>
          <w:lang w:val="es-CO"/>
        </w:rPr>
        <w:t xml:space="preserve"> Para deducir que una misma demanda de tutela se ha interpuesto varias veces, con infracción de la prohibición prevista en el artículo 38 del Decreto 2591 de 1991, es indispensable acreditar:</w:t>
      </w:r>
      <w:r w:rsidRPr="004A0C78">
        <w:rPr>
          <w:rFonts w:ascii="Arial Narrow" w:hAnsi="Arial Narrow"/>
          <w:sz w:val="24"/>
          <w:szCs w:val="24"/>
          <w:lang w:val="es-CO"/>
        </w:rPr>
        <w:t xml:space="preserve"> </w:t>
      </w:r>
    </w:p>
    <w:p w:rsidR="004C14EB" w:rsidRPr="004A0C78" w:rsidRDefault="004C14EB" w:rsidP="004C14EB">
      <w:pPr>
        <w:ind w:left="851" w:right="759" w:firstLine="1984"/>
        <w:jc w:val="both"/>
        <w:rPr>
          <w:rFonts w:ascii="Arial Narrow" w:hAnsi="Arial Narrow"/>
          <w:sz w:val="24"/>
          <w:szCs w:val="24"/>
          <w:lang w:val="es-CO"/>
        </w:rPr>
      </w:pPr>
    </w:p>
    <w:p w:rsidR="004C14EB" w:rsidRPr="004A0C78" w:rsidRDefault="004C14EB" w:rsidP="004C14EB">
      <w:pPr>
        <w:ind w:left="851" w:right="759" w:firstLine="1984"/>
        <w:jc w:val="both"/>
        <w:rPr>
          <w:rFonts w:ascii="Arial Narrow" w:hAnsi="Arial Narrow"/>
          <w:sz w:val="24"/>
          <w:szCs w:val="24"/>
          <w:lang w:val="es-CO"/>
        </w:rPr>
      </w:pPr>
      <w:r w:rsidRPr="004A0C78">
        <w:rPr>
          <w:rFonts w:ascii="Arial Narrow" w:hAnsi="Arial Narrow"/>
          <w:sz w:val="24"/>
          <w:szCs w:val="24"/>
          <w:lang w:val="es-CO"/>
        </w:rPr>
        <w:t>“</w:t>
      </w:r>
      <w:r w:rsidRPr="004A0C78">
        <w:rPr>
          <w:rFonts w:ascii="Arial Narrow" w:hAnsi="Arial Narrow"/>
          <w:i/>
          <w:sz w:val="24"/>
          <w:szCs w:val="24"/>
          <w:lang w:val="es-CO"/>
        </w:rPr>
        <w:t xml:space="preserve">(i) La </w:t>
      </w:r>
      <w:r w:rsidRPr="004A0C78">
        <w:rPr>
          <w:rFonts w:ascii="Arial Narrow" w:hAnsi="Arial Narrow"/>
          <w:b/>
          <w:i/>
          <w:sz w:val="24"/>
          <w:szCs w:val="24"/>
          <w:lang w:val="es-CO"/>
        </w:rPr>
        <w:t>identidad de partes</w:t>
      </w:r>
      <w:r w:rsidRPr="004A0C78">
        <w:rPr>
          <w:rFonts w:ascii="Arial Narrow" w:hAnsi="Arial Narrow"/>
          <w:i/>
          <w:sz w:val="24"/>
          <w:szCs w:val="24"/>
          <w:lang w:val="es-CO"/>
        </w:rPr>
        <w:t>, es decir, que ambas acciones de tutela se dirijan contra el mismo demandado y, a su vez, sean propuestas por el mismo sujeto en su condición persona de natural, ya sea obrando a nombre propio o a través de apoderado judicial, o por la misma persona jurídica a través de cualquiera de sus representantes legales.</w:t>
      </w:r>
    </w:p>
    <w:p w:rsidR="004C14EB" w:rsidRPr="004A0C78" w:rsidRDefault="004C14EB" w:rsidP="004C14EB">
      <w:pPr>
        <w:pStyle w:val="BodyText25"/>
        <w:ind w:left="851" w:right="759" w:firstLine="1984"/>
        <w:rPr>
          <w:rFonts w:ascii="Arial Narrow" w:hAnsi="Arial Narrow"/>
          <w:sz w:val="24"/>
          <w:szCs w:val="24"/>
          <w:lang w:val="es-CO"/>
        </w:rPr>
      </w:pPr>
    </w:p>
    <w:p w:rsidR="004C14EB" w:rsidRPr="004A0C78" w:rsidRDefault="004C14EB" w:rsidP="004C14EB">
      <w:pPr>
        <w:ind w:left="851" w:right="759" w:firstLine="1984"/>
        <w:jc w:val="both"/>
        <w:rPr>
          <w:rFonts w:ascii="Arial Narrow" w:hAnsi="Arial Narrow"/>
          <w:sz w:val="24"/>
          <w:szCs w:val="24"/>
          <w:lang w:val="es-CO"/>
        </w:rPr>
      </w:pPr>
      <w:r w:rsidRPr="004A0C78">
        <w:rPr>
          <w:rFonts w:ascii="Arial Narrow" w:hAnsi="Arial Narrow"/>
          <w:sz w:val="24"/>
          <w:szCs w:val="24"/>
          <w:lang w:val="es-CO"/>
        </w:rPr>
        <w:t>“</w:t>
      </w:r>
      <w:r w:rsidRPr="004A0C78">
        <w:rPr>
          <w:rFonts w:ascii="Arial Narrow" w:hAnsi="Arial Narrow"/>
          <w:i/>
          <w:sz w:val="24"/>
          <w:szCs w:val="24"/>
          <w:lang w:val="es-CO"/>
        </w:rPr>
        <w:t xml:space="preserve">(ii) La </w:t>
      </w:r>
      <w:r w:rsidRPr="004A0C78">
        <w:rPr>
          <w:rFonts w:ascii="Arial Narrow" w:hAnsi="Arial Narrow"/>
          <w:b/>
          <w:i/>
          <w:sz w:val="24"/>
          <w:szCs w:val="24"/>
          <w:lang w:val="es-CO"/>
        </w:rPr>
        <w:t xml:space="preserve">identidad de causa </w:t>
      </w:r>
      <w:proofErr w:type="spellStart"/>
      <w:r w:rsidRPr="004A0C78">
        <w:rPr>
          <w:rFonts w:ascii="Arial Narrow" w:hAnsi="Arial Narrow"/>
          <w:b/>
          <w:i/>
          <w:sz w:val="24"/>
          <w:szCs w:val="24"/>
          <w:lang w:val="es-CO"/>
        </w:rPr>
        <w:t>petendi</w:t>
      </w:r>
      <w:proofErr w:type="spellEnd"/>
      <w:r w:rsidRPr="004A0C78">
        <w:rPr>
          <w:rFonts w:ascii="Arial Narrow" w:hAnsi="Arial Narrow"/>
          <w:i/>
          <w:sz w:val="24"/>
          <w:szCs w:val="24"/>
          <w:lang w:val="es-CO"/>
        </w:rPr>
        <w:t>, o lo que es lo mismo, que el ejercicio simultáneo o sucesivo de la acción se fundamente en unos mismos hechos que le sirvan de causa.</w:t>
      </w:r>
    </w:p>
    <w:p w:rsidR="004C14EB" w:rsidRPr="004A0C78" w:rsidRDefault="004C14EB" w:rsidP="004C14EB">
      <w:pPr>
        <w:pStyle w:val="BodyText25"/>
        <w:ind w:left="851" w:right="759" w:firstLine="1984"/>
        <w:rPr>
          <w:rFonts w:ascii="Arial Narrow" w:hAnsi="Arial Narrow"/>
          <w:sz w:val="24"/>
          <w:szCs w:val="24"/>
          <w:lang w:val="es-CO"/>
        </w:rPr>
      </w:pPr>
    </w:p>
    <w:p w:rsidR="004C14EB" w:rsidRPr="004A0C78" w:rsidRDefault="004C14EB" w:rsidP="004C14EB">
      <w:pPr>
        <w:ind w:left="851" w:right="759" w:firstLine="1984"/>
        <w:jc w:val="both"/>
        <w:rPr>
          <w:rFonts w:ascii="Arial Narrow" w:hAnsi="Arial Narrow"/>
          <w:sz w:val="24"/>
          <w:szCs w:val="24"/>
          <w:lang w:val="es-CO"/>
        </w:rPr>
      </w:pPr>
      <w:r w:rsidRPr="004A0C78">
        <w:rPr>
          <w:rFonts w:ascii="Arial Narrow" w:hAnsi="Arial Narrow"/>
          <w:sz w:val="24"/>
          <w:szCs w:val="24"/>
          <w:lang w:val="es-CO"/>
        </w:rPr>
        <w:t>“</w:t>
      </w:r>
      <w:r w:rsidRPr="004A0C78">
        <w:rPr>
          <w:rFonts w:ascii="Arial Narrow" w:hAnsi="Arial Narrow"/>
          <w:i/>
          <w:sz w:val="24"/>
          <w:szCs w:val="24"/>
          <w:lang w:val="es-CO"/>
        </w:rPr>
        <w:t xml:space="preserve">(iii) La </w:t>
      </w:r>
      <w:r w:rsidRPr="004A0C78">
        <w:rPr>
          <w:rFonts w:ascii="Arial Narrow" w:hAnsi="Arial Narrow"/>
          <w:b/>
          <w:i/>
          <w:sz w:val="24"/>
          <w:szCs w:val="24"/>
          <w:lang w:val="es-CO"/>
        </w:rPr>
        <w:t>identidad de objeto</w:t>
      </w:r>
      <w:r w:rsidRPr="004A0C78">
        <w:rPr>
          <w:rFonts w:ascii="Arial Narrow" w:hAnsi="Arial Narrow"/>
          <w:i/>
          <w:sz w:val="24"/>
          <w:szCs w:val="24"/>
          <w:lang w:val="es-CO"/>
        </w:rPr>
        <w:t>, esto es, que las demandas busquen la satisfacción de una misma pretensión tutelar o el amparo de un mismo derecho fundamental.</w:t>
      </w:r>
      <w:r w:rsidRPr="004A0C78">
        <w:rPr>
          <w:rFonts w:ascii="Arial Narrow" w:hAnsi="Arial Narrow"/>
          <w:sz w:val="24"/>
          <w:szCs w:val="24"/>
          <w:lang w:val="es-CO"/>
        </w:rPr>
        <w:t xml:space="preserve"> </w:t>
      </w:r>
    </w:p>
    <w:p w:rsidR="004C14EB" w:rsidRPr="004A0C78" w:rsidRDefault="004C14EB" w:rsidP="004C14EB">
      <w:pPr>
        <w:ind w:left="851" w:right="759" w:firstLine="1984"/>
        <w:jc w:val="both"/>
        <w:rPr>
          <w:rFonts w:ascii="Arial Narrow" w:hAnsi="Arial Narrow"/>
          <w:sz w:val="24"/>
          <w:szCs w:val="24"/>
          <w:lang w:val="es-CO"/>
        </w:rPr>
      </w:pPr>
    </w:p>
    <w:p w:rsidR="004C14EB" w:rsidRPr="004A0C78" w:rsidRDefault="004C14EB" w:rsidP="004C14EB">
      <w:pPr>
        <w:ind w:left="851" w:right="759" w:firstLine="1984"/>
        <w:jc w:val="both"/>
        <w:rPr>
          <w:rFonts w:ascii="Arial Narrow" w:hAnsi="Arial Narrow"/>
          <w:i/>
          <w:sz w:val="24"/>
          <w:szCs w:val="24"/>
          <w:lang w:val="es-CO"/>
        </w:rPr>
      </w:pPr>
      <w:r w:rsidRPr="004A0C78">
        <w:rPr>
          <w:rFonts w:ascii="Arial Narrow" w:hAnsi="Arial Narrow"/>
          <w:sz w:val="24"/>
          <w:szCs w:val="24"/>
          <w:lang w:val="es-CO"/>
        </w:rPr>
        <w:t>“</w:t>
      </w:r>
      <w:r w:rsidRPr="004A0C78">
        <w:rPr>
          <w:rFonts w:ascii="Arial Narrow" w:hAnsi="Arial Narrow"/>
          <w:i/>
          <w:sz w:val="24"/>
          <w:szCs w:val="24"/>
          <w:lang w:val="es-CO"/>
        </w:rPr>
        <w:t>(iv) Por último, y como se dijo anteriormente, a pesar de concurrir en un caso en concreto los tres (3) primeros elementos que conducirían a rechazar la solicitud de tutela, el juez constitucional tiene la obligación a través del desarrollo de un incidente dentro del mismo proceso tutelar, de excluir la existencia de un argumento válido que permita convalidar la duplicidad en el ejercicio del derecho de acción. Esta ha sido la posición reiterada y uniforme de esta Corporación, a partir de la interpretación del tenor literal de la parte inicial del artículo 38 del Decreto 2591 de 1991, conforme al cual: “</w:t>
      </w:r>
      <w:r w:rsidRPr="004A0C78">
        <w:rPr>
          <w:rFonts w:ascii="Arial Narrow" w:hAnsi="Arial Narrow"/>
          <w:i/>
          <w:sz w:val="24"/>
          <w:szCs w:val="24"/>
          <w:u w:val="single"/>
          <w:lang w:val="es-CO"/>
        </w:rPr>
        <w:t>Cuando sin motivo expresamente justificado</w:t>
      </w:r>
      <w:r w:rsidRPr="004A0C78">
        <w:rPr>
          <w:rFonts w:ascii="Arial Narrow" w:hAnsi="Arial Narrow"/>
          <w:i/>
          <w:sz w:val="24"/>
          <w:szCs w:val="24"/>
          <w:lang w:val="es-CO"/>
        </w:rPr>
        <w:t xml:space="preserve"> la misma acción de tutela sea presentada por la misma persona o su representante ante varios jueces o tribunales, se rechazarán o decidirán </w:t>
      </w:r>
      <w:proofErr w:type="spellStart"/>
      <w:r w:rsidRPr="004A0C78">
        <w:rPr>
          <w:rFonts w:ascii="Arial Narrow" w:hAnsi="Arial Narrow"/>
          <w:i/>
          <w:sz w:val="24"/>
          <w:szCs w:val="24"/>
          <w:lang w:val="es-CO"/>
        </w:rPr>
        <w:t>desfavorablemte</w:t>
      </w:r>
      <w:proofErr w:type="spellEnd"/>
      <w:r w:rsidRPr="004A0C78">
        <w:rPr>
          <w:rFonts w:ascii="Arial Narrow" w:hAnsi="Arial Narrow"/>
          <w:i/>
          <w:sz w:val="24"/>
          <w:szCs w:val="24"/>
          <w:lang w:val="es-CO"/>
        </w:rPr>
        <w:t xml:space="preserve"> todas a solicitudes”</w:t>
      </w:r>
      <w:r w:rsidRPr="004A0C78">
        <w:rPr>
          <w:rStyle w:val="Appelnotedebasdep"/>
          <w:rFonts w:ascii="Arial Narrow" w:hAnsi="Arial Narrow"/>
          <w:i/>
          <w:sz w:val="24"/>
          <w:szCs w:val="24"/>
        </w:rPr>
        <w:footnoteReference w:id="2"/>
      </w:r>
      <w:r w:rsidRPr="004A0C78">
        <w:rPr>
          <w:rFonts w:ascii="Arial Narrow" w:hAnsi="Arial Narrow"/>
          <w:i/>
          <w:sz w:val="24"/>
          <w:szCs w:val="24"/>
          <w:lang w:val="es-CO"/>
        </w:rPr>
        <w:t>.</w:t>
      </w:r>
    </w:p>
    <w:p w:rsidR="004C14EB" w:rsidRPr="004A0C78" w:rsidRDefault="004C14EB" w:rsidP="004C14EB">
      <w:pPr>
        <w:ind w:left="851" w:right="759"/>
        <w:jc w:val="both"/>
        <w:rPr>
          <w:rFonts w:ascii="Arial Narrow" w:hAnsi="Arial Narrow"/>
          <w:sz w:val="24"/>
          <w:szCs w:val="24"/>
          <w:lang w:val="es-CO"/>
        </w:rPr>
      </w:pPr>
    </w:p>
    <w:p w:rsidR="004C14EB" w:rsidRPr="004A0C78" w:rsidRDefault="004C14EB" w:rsidP="004C14EB">
      <w:pPr>
        <w:pStyle w:val="Retraitcorpsdetexte"/>
        <w:spacing w:after="0"/>
        <w:ind w:left="851" w:right="759" w:firstLine="1984"/>
        <w:jc w:val="both"/>
        <w:rPr>
          <w:rFonts w:ascii="Arial Narrow" w:hAnsi="Arial Narrow"/>
          <w:sz w:val="24"/>
          <w:szCs w:val="24"/>
          <w:lang w:val="es-CO"/>
        </w:rPr>
      </w:pPr>
      <w:r w:rsidRPr="004A0C78">
        <w:rPr>
          <w:rFonts w:ascii="Arial Narrow" w:hAnsi="Arial Narrow"/>
          <w:sz w:val="24"/>
          <w:szCs w:val="24"/>
          <w:lang w:val="es-CO"/>
        </w:rPr>
        <w:t>“</w:t>
      </w:r>
      <w:r w:rsidRPr="004A0C78">
        <w:rPr>
          <w:rFonts w:ascii="Arial Narrow" w:hAnsi="Arial Narrow"/>
          <w:i/>
          <w:sz w:val="24"/>
          <w:szCs w:val="24"/>
          <w:lang w:val="es-CO"/>
        </w:rPr>
        <w:t xml:space="preserve">Esto ha permitido entender el alcance del “juramento” previsto en el artículo 37 del Decreto 2591 de 1991, el cual se limita a requerir del </w:t>
      </w:r>
      <w:proofErr w:type="spellStart"/>
      <w:r w:rsidRPr="004A0C78">
        <w:rPr>
          <w:rFonts w:ascii="Arial Narrow" w:hAnsi="Arial Narrow"/>
          <w:i/>
          <w:sz w:val="24"/>
          <w:szCs w:val="24"/>
          <w:lang w:val="es-CO"/>
        </w:rPr>
        <w:t>tutelante</w:t>
      </w:r>
      <w:proofErr w:type="spellEnd"/>
      <w:r w:rsidRPr="004A0C78">
        <w:rPr>
          <w:rFonts w:ascii="Arial Narrow" w:hAnsi="Arial Narrow"/>
          <w:i/>
          <w:sz w:val="24"/>
          <w:szCs w:val="24"/>
          <w:lang w:val="es-CO"/>
        </w:rPr>
        <w:t xml:space="preserve"> la manifestación de no haber presentado respecto de los mismos hechos, entre las mismas partes y con el mismo objeto otra acción de tutela, pues dicha declaración no puede llegar al extremo de impedir que a partir de nuevos fundamentos de hecho se justifique el ejercicio de la misma acción tutelar.</w:t>
      </w:r>
      <w:r w:rsidRPr="004A0C78">
        <w:rPr>
          <w:rFonts w:ascii="Arial Narrow" w:hAnsi="Arial Narrow"/>
          <w:sz w:val="24"/>
          <w:szCs w:val="24"/>
          <w:lang w:val="es-CO"/>
        </w:rPr>
        <w:t>”</w:t>
      </w:r>
      <w:r w:rsidRPr="004A0C78">
        <w:rPr>
          <w:rFonts w:ascii="Arial Narrow" w:hAnsi="Arial Narrow"/>
          <w:i/>
          <w:sz w:val="24"/>
          <w:szCs w:val="24"/>
          <w:lang w:val="es-CO"/>
        </w:rPr>
        <w:t xml:space="preserve"> </w:t>
      </w:r>
    </w:p>
    <w:p w:rsidR="004C14EB" w:rsidRPr="004A0C78" w:rsidRDefault="004C14EB" w:rsidP="004C14EB">
      <w:pPr>
        <w:pStyle w:val="Corpsdetexte2"/>
        <w:spacing w:after="0" w:line="276" w:lineRule="auto"/>
        <w:ind w:right="50"/>
        <w:rPr>
          <w:rFonts w:ascii="Century Gothic" w:hAnsi="Century Gothic"/>
          <w:sz w:val="24"/>
          <w:szCs w:val="24"/>
          <w:lang w:val="es-CO"/>
        </w:rPr>
      </w:pPr>
    </w:p>
    <w:p w:rsidR="004C14EB" w:rsidRPr="004A0C78" w:rsidRDefault="004C14EB" w:rsidP="004C14EB">
      <w:pPr>
        <w:pStyle w:val="Corpsdetexte2"/>
        <w:spacing w:after="0" w:line="276" w:lineRule="auto"/>
        <w:ind w:right="50"/>
        <w:jc w:val="both"/>
        <w:rPr>
          <w:rFonts w:ascii="Gadugi" w:hAnsi="Gadugi"/>
          <w:sz w:val="24"/>
          <w:szCs w:val="24"/>
          <w:lang w:val="es-419"/>
        </w:rPr>
      </w:pPr>
      <w:r w:rsidRPr="004A0C78">
        <w:rPr>
          <w:rFonts w:ascii="Century Gothic" w:hAnsi="Century Gothic"/>
          <w:sz w:val="24"/>
          <w:szCs w:val="24"/>
        </w:rPr>
        <w:t xml:space="preserve">   </w:t>
      </w:r>
      <w:r w:rsidRPr="004A0C78">
        <w:rPr>
          <w:rFonts w:ascii="Century Gothic" w:hAnsi="Century Gothic"/>
          <w:sz w:val="24"/>
          <w:szCs w:val="24"/>
        </w:rPr>
        <w:tab/>
      </w:r>
      <w:r w:rsidRPr="004A0C78">
        <w:rPr>
          <w:rFonts w:ascii="Century Gothic" w:hAnsi="Century Gothic"/>
          <w:sz w:val="24"/>
          <w:szCs w:val="24"/>
        </w:rPr>
        <w:tab/>
      </w:r>
      <w:r w:rsidRPr="004A0C78">
        <w:rPr>
          <w:rFonts w:ascii="Century Gothic" w:hAnsi="Century Gothic"/>
          <w:sz w:val="24"/>
          <w:szCs w:val="24"/>
        </w:rPr>
        <w:tab/>
      </w:r>
      <w:r w:rsidRPr="004A0C78">
        <w:rPr>
          <w:rFonts w:ascii="Century Gothic" w:hAnsi="Century Gothic"/>
          <w:sz w:val="24"/>
          <w:szCs w:val="24"/>
        </w:rPr>
        <w:tab/>
      </w:r>
      <w:r w:rsidRPr="004A0C78">
        <w:rPr>
          <w:rFonts w:ascii="Gadugi" w:hAnsi="Gadugi"/>
          <w:sz w:val="24"/>
          <w:szCs w:val="24"/>
        </w:rPr>
        <w:t xml:space="preserve">Como se ve, cada uno de ellos se cumple en este caso, sin perder de vista, adicionalmente, que la decisión adoptada con antelación, aún se encuentra sometida al escrutinio de la impugnación presentada y de una </w:t>
      </w:r>
      <w:r w:rsidRPr="004A0C78">
        <w:rPr>
          <w:rFonts w:ascii="Gadugi" w:hAnsi="Gadugi"/>
          <w:sz w:val="24"/>
          <w:szCs w:val="24"/>
        </w:rPr>
        <w:lastRenderedPageBreak/>
        <w:t>eventual revisión ante la Corte Constitucional.</w:t>
      </w:r>
      <w:r w:rsidRPr="004A0C78">
        <w:rPr>
          <w:rFonts w:ascii="Gadugi" w:hAnsi="Gadugi"/>
          <w:i/>
          <w:sz w:val="24"/>
          <w:szCs w:val="24"/>
        </w:rPr>
        <w:t xml:space="preserve"> </w:t>
      </w:r>
      <w:r w:rsidRPr="004A0C78">
        <w:rPr>
          <w:rFonts w:ascii="Gadugi" w:hAnsi="Gadugi"/>
          <w:sz w:val="24"/>
          <w:szCs w:val="24"/>
        </w:rPr>
        <w:t xml:space="preserve">En consecuencia, se </w:t>
      </w:r>
      <w:r w:rsidRPr="004A0C78">
        <w:rPr>
          <w:rFonts w:ascii="Gadugi" w:hAnsi="Gadugi"/>
          <w:sz w:val="24"/>
          <w:szCs w:val="24"/>
          <w:lang w:val="es-419"/>
        </w:rPr>
        <w:t>declarará improcedente</w:t>
      </w:r>
      <w:r w:rsidRPr="004A0C78">
        <w:rPr>
          <w:rFonts w:ascii="Gadugi" w:hAnsi="Gadugi"/>
          <w:sz w:val="24"/>
          <w:szCs w:val="24"/>
        </w:rPr>
        <w:t xml:space="preserve"> </w:t>
      </w:r>
      <w:r w:rsidRPr="004A0C78">
        <w:rPr>
          <w:rFonts w:ascii="Gadugi" w:hAnsi="Gadugi"/>
          <w:sz w:val="24"/>
          <w:szCs w:val="24"/>
          <w:lang w:val="es-419"/>
        </w:rPr>
        <w:t xml:space="preserve">la acción. </w:t>
      </w:r>
    </w:p>
    <w:p w:rsidR="004C14EB" w:rsidRPr="004A0C78" w:rsidRDefault="004C14EB" w:rsidP="004C14EB">
      <w:pPr>
        <w:pStyle w:val="Corpsdetexte2"/>
        <w:spacing w:after="0" w:line="276" w:lineRule="auto"/>
        <w:ind w:right="50"/>
        <w:rPr>
          <w:rFonts w:ascii="Gadugi" w:hAnsi="Gadugi"/>
          <w:sz w:val="24"/>
          <w:szCs w:val="24"/>
        </w:rPr>
      </w:pPr>
    </w:p>
    <w:p w:rsidR="004C14EB" w:rsidRPr="001972B8" w:rsidRDefault="004C14EB" w:rsidP="004C14EB">
      <w:pPr>
        <w:spacing w:line="276" w:lineRule="auto"/>
        <w:ind w:right="51"/>
        <w:jc w:val="both"/>
        <w:rPr>
          <w:rFonts w:ascii="Gadugi" w:hAnsi="Gadugi"/>
          <w:sz w:val="24"/>
          <w:szCs w:val="24"/>
          <w:lang w:val="es-419"/>
        </w:rPr>
      </w:pPr>
      <w:r w:rsidRPr="004A0C78">
        <w:rPr>
          <w:rFonts w:ascii="Gadugi" w:hAnsi="Gadugi"/>
          <w:sz w:val="24"/>
          <w:szCs w:val="24"/>
        </w:rPr>
        <w:t xml:space="preserve">  </w:t>
      </w:r>
      <w:r w:rsidRPr="004A0C78">
        <w:rPr>
          <w:rFonts w:ascii="Gadugi" w:hAnsi="Gadugi"/>
          <w:sz w:val="24"/>
          <w:szCs w:val="24"/>
        </w:rPr>
        <w:tab/>
      </w:r>
      <w:r w:rsidRPr="004A0C78">
        <w:rPr>
          <w:rFonts w:ascii="Gadugi" w:hAnsi="Gadugi"/>
          <w:sz w:val="24"/>
          <w:szCs w:val="24"/>
        </w:rPr>
        <w:tab/>
      </w:r>
      <w:r w:rsidRPr="004A0C78">
        <w:rPr>
          <w:rFonts w:ascii="Gadugi" w:hAnsi="Gadugi"/>
          <w:sz w:val="24"/>
          <w:szCs w:val="24"/>
        </w:rPr>
        <w:tab/>
      </w:r>
      <w:r w:rsidRPr="004A0C78">
        <w:rPr>
          <w:rFonts w:ascii="Gadugi" w:hAnsi="Gadugi"/>
          <w:sz w:val="24"/>
          <w:szCs w:val="24"/>
        </w:rPr>
        <w:tab/>
        <w:t>Ahora</w:t>
      </w:r>
      <w:r w:rsidRPr="004A0C78">
        <w:rPr>
          <w:rFonts w:ascii="Gadugi" w:hAnsi="Gadugi"/>
          <w:sz w:val="24"/>
          <w:szCs w:val="24"/>
          <w:lang w:val="es-419"/>
        </w:rPr>
        <w:t xml:space="preserve"> bien; la complacencia de esta Sala hasta el momento ha sido manifiesta, en cuanto se ha exculpado al accionante de acudir abusivamente al uso de este mecanismo constitucional cuando promueve demandas de igual linaje frente a despachos judiciales. </w:t>
      </w:r>
      <w:r>
        <w:rPr>
          <w:rFonts w:ascii="Gadugi" w:hAnsi="Gadugi"/>
          <w:sz w:val="24"/>
          <w:szCs w:val="24"/>
          <w:lang w:val="es-419"/>
        </w:rPr>
        <w:t xml:space="preserve">En esta oportunidad, </w:t>
      </w:r>
      <w:r w:rsidRPr="004A0C78">
        <w:rPr>
          <w:rFonts w:ascii="Gadugi" w:hAnsi="Gadugi"/>
          <w:sz w:val="24"/>
          <w:szCs w:val="24"/>
          <w:lang w:val="es-419"/>
        </w:rPr>
        <w:t xml:space="preserve">sin explicación alguna, sin argumentos adicionales, sin razones fácticas o jurídicas que justifiquen un nuevo estudio </w:t>
      </w:r>
      <w:r w:rsidRPr="004A0C78">
        <w:rPr>
          <w:rFonts w:ascii="Gadugi" w:hAnsi="Gadugi"/>
          <w:sz w:val="24"/>
          <w:szCs w:val="24"/>
          <w:lang w:val="es-CO"/>
        </w:rPr>
        <w:t xml:space="preserve">de </w:t>
      </w:r>
      <w:r>
        <w:rPr>
          <w:rFonts w:ascii="Gadugi" w:hAnsi="Gadugi"/>
          <w:sz w:val="24"/>
          <w:szCs w:val="24"/>
          <w:lang w:val="es-419"/>
        </w:rPr>
        <w:t xml:space="preserve">la </w:t>
      </w:r>
      <w:r w:rsidRPr="004A0C78">
        <w:rPr>
          <w:rFonts w:ascii="Gadugi" w:hAnsi="Gadugi"/>
          <w:sz w:val="24"/>
          <w:szCs w:val="24"/>
          <w:lang w:val="es-CO"/>
        </w:rPr>
        <w:t>situación ya planteada como viene de verse</w:t>
      </w:r>
      <w:r>
        <w:rPr>
          <w:rFonts w:ascii="Gadugi" w:hAnsi="Gadugi"/>
          <w:sz w:val="24"/>
          <w:szCs w:val="24"/>
          <w:lang w:val="es-419"/>
        </w:rPr>
        <w:t xml:space="preserve">, y no obstante lo reciente de la resolución allí adoptada, </w:t>
      </w:r>
      <w:r w:rsidRPr="004A0C78">
        <w:rPr>
          <w:rFonts w:ascii="Gadugi" w:hAnsi="Gadugi"/>
          <w:sz w:val="24"/>
          <w:szCs w:val="24"/>
          <w:lang w:val="es-CO"/>
        </w:rPr>
        <w:t>como quiera que entre el fallo mencionado y la fecha de promoción de este nuevo libelo transcurri</w:t>
      </w:r>
      <w:r>
        <w:rPr>
          <w:rFonts w:ascii="Gadugi" w:hAnsi="Gadugi"/>
          <w:sz w:val="24"/>
          <w:szCs w:val="24"/>
          <w:lang w:val="es-CO"/>
        </w:rPr>
        <w:t>eron solo alrededor de dos días, vuelve a demandar.</w:t>
      </w:r>
    </w:p>
    <w:p w:rsidR="004C14EB" w:rsidRPr="004A0C78" w:rsidRDefault="004C14EB" w:rsidP="004C14EB">
      <w:pPr>
        <w:spacing w:line="276" w:lineRule="auto"/>
        <w:ind w:right="51"/>
        <w:jc w:val="both"/>
        <w:rPr>
          <w:rFonts w:ascii="Gadugi" w:hAnsi="Gadugi"/>
          <w:sz w:val="24"/>
          <w:szCs w:val="24"/>
          <w:lang w:val="es-419"/>
        </w:rPr>
      </w:pPr>
      <w:r w:rsidRPr="004A0C78">
        <w:rPr>
          <w:rFonts w:ascii="Gadugi" w:hAnsi="Gadugi"/>
          <w:sz w:val="24"/>
          <w:szCs w:val="24"/>
          <w:lang w:val="es-419"/>
        </w:rPr>
        <w:t xml:space="preserve">  </w:t>
      </w:r>
      <w:r w:rsidRPr="004A0C78">
        <w:rPr>
          <w:rFonts w:ascii="Gadugi" w:hAnsi="Gadugi"/>
          <w:sz w:val="24"/>
          <w:szCs w:val="24"/>
          <w:lang w:val="es-419"/>
        </w:rPr>
        <w:tab/>
      </w:r>
      <w:r w:rsidRPr="004A0C78">
        <w:rPr>
          <w:rFonts w:ascii="Gadugi" w:hAnsi="Gadugi"/>
          <w:sz w:val="24"/>
          <w:szCs w:val="24"/>
          <w:lang w:val="es-419"/>
        </w:rPr>
        <w:tab/>
      </w:r>
      <w:r w:rsidRPr="004A0C78">
        <w:rPr>
          <w:rFonts w:ascii="Gadugi" w:hAnsi="Gadugi"/>
          <w:sz w:val="24"/>
          <w:szCs w:val="24"/>
          <w:lang w:val="es-419"/>
        </w:rPr>
        <w:tab/>
      </w:r>
      <w:r w:rsidRPr="004A0C78">
        <w:rPr>
          <w:rFonts w:ascii="Gadugi" w:hAnsi="Gadugi"/>
          <w:sz w:val="24"/>
          <w:szCs w:val="24"/>
          <w:lang w:val="es-419"/>
        </w:rPr>
        <w:tab/>
      </w:r>
    </w:p>
    <w:p w:rsidR="004C14EB" w:rsidRDefault="004C14EB" w:rsidP="004C14EB">
      <w:pPr>
        <w:spacing w:line="276" w:lineRule="auto"/>
        <w:ind w:right="51"/>
        <w:jc w:val="both"/>
        <w:rPr>
          <w:rFonts w:ascii="Gadugi" w:hAnsi="Gadugi"/>
          <w:sz w:val="24"/>
          <w:szCs w:val="24"/>
          <w:lang w:val="es-419"/>
        </w:rPr>
      </w:pPr>
      <w:r w:rsidRPr="004A0C78">
        <w:rPr>
          <w:rFonts w:ascii="Gadugi" w:hAnsi="Gadugi"/>
          <w:sz w:val="24"/>
          <w:szCs w:val="24"/>
          <w:lang w:val="es-419"/>
        </w:rPr>
        <w:t xml:space="preserve">  </w:t>
      </w:r>
      <w:r w:rsidRPr="004A0C78">
        <w:rPr>
          <w:rFonts w:ascii="Gadugi" w:hAnsi="Gadugi"/>
          <w:sz w:val="24"/>
          <w:szCs w:val="24"/>
          <w:lang w:val="es-419"/>
        </w:rPr>
        <w:tab/>
      </w:r>
      <w:r w:rsidRPr="004A0C78">
        <w:rPr>
          <w:rFonts w:ascii="Gadugi" w:hAnsi="Gadugi"/>
          <w:sz w:val="24"/>
          <w:szCs w:val="24"/>
          <w:lang w:val="es-419"/>
        </w:rPr>
        <w:tab/>
      </w:r>
      <w:r w:rsidRPr="004A0C78">
        <w:rPr>
          <w:rFonts w:ascii="Gadugi" w:hAnsi="Gadugi"/>
          <w:sz w:val="24"/>
          <w:szCs w:val="24"/>
          <w:lang w:val="es-419"/>
        </w:rPr>
        <w:tab/>
      </w:r>
      <w:r w:rsidRPr="004A0C78">
        <w:rPr>
          <w:rFonts w:ascii="Gadugi" w:hAnsi="Gadugi"/>
          <w:sz w:val="24"/>
          <w:szCs w:val="24"/>
          <w:lang w:val="es-419"/>
        </w:rPr>
        <w:tab/>
        <w:t>Es decir, que se dan todos los elementos para considerar temeraria la actuación del demandante, siguiendo orientaciones de la Corte Constitucional</w:t>
      </w:r>
      <w:r w:rsidRPr="004A0C78">
        <w:rPr>
          <w:rStyle w:val="Appelnotedebasdep"/>
          <w:rFonts w:ascii="Gadugi" w:hAnsi="Gadugi"/>
          <w:sz w:val="24"/>
          <w:szCs w:val="24"/>
          <w:lang w:val="es-419"/>
        </w:rPr>
        <w:footnoteReference w:id="3"/>
      </w:r>
      <w:r w:rsidRPr="004A0C78">
        <w:rPr>
          <w:rFonts w:ascii="Gadugi" w:hAnsi="Gadugi"/>
          <w:sz w:val="24"/>
          <w:szCs w:val="24"/>
          <w:lang w:val="es-419"/>
        </w:rPr>
        <w:t xml:space="preserve">, si bien existe </w:t>
      </w:r>
      <w:r>
        <w:rPr>
          <w:rFonts w:ascii="Gadugi" w:hAnsi="Gadugi"/>
          <w:sz w:val="24"/>
          <w:szCs w:val="24"/>
          <w:lang w:val="es-419"/>
        </w:rPr>
        <w:t xml:space="preserve">la triple identidad anunciada, y en cambio, no se advierte </w:t>
      </w:r>
      <w:r w:rsidRPr="004A0C78">
        <w:rPr>
          <w:rFonts w:ascii="Gadugi" w:hAnsi="Gadugi"/>
          <w:sz w:val="24"/>
          <w:szCs w:val="24"/>
          <w:lang w:val="es-419"/>
        </w:rPr>
        <w:t xml:space="preserve">algún sustento que explique razonablemente, por qué otra vez se </w:t>
      </w:r>
      <w:r w:rsidRPr="004A0C78">
        <w:rPr>
          <w:rFonts w:ascii="Gadugi" w:hAnsi="Gadugi"/>
          <w:sz w:val="24"/>
          <w:szCs w:val="24"/>
          <w:lang w:val="es-CO"/>
        </w:rPr>
        <w:t xml:space="preserve">promociona cuando en forma reciente ya se dilucidó </w:t>
      </w:r>
      <w:r>
        <w:rPr>
          <w:rFonts w:ascii="Gadugi" w:hAnsi="Gadugi"/>
          <w:sz w:val="24"/>
          <w:szCs w:val="24"/>
          <w:lang w:val="es-419"/>
        </w:rPr>
        <w:t xml:space="preserve">su queja constitucional. </w:t>
      </w:r>
    </w:p>
    <w:p w:rsidR="004C14EB" w:rsidRPr="004A0C78" w:rsidRDefault="004C14EB" w:rsidP="004C14EB">
      <w:pPr>
        <w:spacing w:line="276" w:lineRule="auto"/>
        <w:ind w:right="51"/>
        <w:jc w:val="both"/>
        <w:rPr>
          <w:rFonts w:ascii="Gadugi" w:hAnsi="Gadugi"/>
          <w:sz w:val="24"/>
          <w:szCs w:val="24"/>
          <w:lang w:val="es-419"/>
        </w:rPr>
      </w:pPr>
    </w:p>
    <w:p w:rsidR="004C14EB" w:rsidRPr="004A0C78" w:rsidRDefault="004C14EB" w:rsidP="004C14EB">
      <w:pPr>
        <w:spacing w:line="276" w:lineRule="auto"/>
        <w:ind w:right="51" w:firstLine="2835"/>
        <w:jc w:val="both"/>
        <w:rPr>
          <w:rFonts w:ascii="Gadugi" w:hAnsi="Gadugi"/>
          <w:sz w:val="24"/>
          <w:szCs w:val="24"/>
          <w:lang w:val="es-CO"/>
        </w:rPr>
      </w:pPr>
      <w:r w:rsidRPr="004A0C78">
        <w:rPr>
          <w:rFonts w:ascii="Gadugi" w:hAnsi="Gadugi"/>
          <w:sz w:val="24"/>
          <w:szCs w:val="24"/>
          <w:lang w:val="es-419"/>
        </w:rPr>
        <w:t>Esto, aunque la misma doctrina constitucional ha morigerado la temeridad, cuando quien promueve la segunda acción es un sujeto que por sus condiciones es puesto en estado de ignorancia, o de especial vulnerabilidad o de indefensión, o cuando recibe un inadecuado asesoramiento por parte de un profesional del derecho, o cuando aparecen hechos nuevos</w:t>
      </w:r>
      <w:r w:rsidRPr="004A0C78">
        <w:rPr>
          <w:rStyle w:val="Appelnotedebasdep"/>
          <w:rFonts w:ascii="Gadugi" w:hAnsi="Gadugi"/>
          <w:sz w:val="24"/>
          <w:szCs w:val="24"/>
          <w:lang w:val="es-419"/>
        </w:rPr>
        <w:footnoteReference w:id="4"/>
      </w:r>
      <w:r w:rsidRPr="004A0C78">
        <w:rPr>
          <w:rFonts w:ascii="Gadugi" w:hAnsi="Gadugi"/>
          <w:sz w:val="24"/>
          <w:szCs w:val="24"/>
          <w:lang w:val="es-419"/>
        </w:rPr>
        <w:t xml:space="preserve">, por cuanto en el caso que nos ocupa, se inadvierte cualquiera de esas circunstancias. </w:t>
      </w:r>
      <w:r w:rsidRPr="004A0C78">
        <w:rPr>
          <w:rFonts w:ascii="Gadugi" w:hAnsi="Gadugi"/>
          <w:sz w:val="24"/>
          <w:szCs w:val="24"/>
          <w:lang w:val="es-CO"/>
        </w:rPr>
        <w:t xml:space="preserve">          </w:t>
      </w:r>
    </w:p>
    <w:p w:rsidR="004C14EB" w:rsidRPr="004A0C78" w:rsidRDefault="004C14EB" w:rsidP="004C14EB">
      <w:pPr>
        <w:spacing w:line="276" w:lineRule="auto"/>
        <w:ind w:right="51" w:firstLine="2835"/>
        <w:jc w:val="both"/>
        <w:rPr>
          <w:rFonts w:ascii="Gadugi" w:hAnsi="Gadugi"/>
          <w:sz w:val="24"/>
          <w:szCs w:val="24"/>
          <w:lang w:val="es-CO"/>
        </w:rPr>
      </w:pPr>
    </w:p>
    <w:p w:rsidR="004C14EB" w:rsidRPr="004A0C78" w:rsidRDefault="004C14EB" w:rsidP="004C14EB">
      <w:pPr>
        <w:spacing w:line="276" w:lineRule="auto"/>
        <w:ind w:right="51" w:firstLine="2835"/>
        <w:jc w:val="both"/>
        <w:rPr>
          <w:rFonts w:ascii="Gadugi" w:hAnsi="Gadugi"/>
          <w:sz w:val="24"/>
          <w:szCs w:val="24"/>
          <w:lang w:val="es-419"/>
        </w:rPr>
      </w:pPr>
      <w:r w:rsidRPr="004A0C78">
        <w:rPr>
          <w:rFonts w:ascii="Gadugi" w:hAnsi="Gadugi"/>
          <w:sz w:val="24"/>
          <w:szCs w:val="24"/>
          <w:lang w:val="es-419"/>
        </w:rPr>
        <w:t>Por un lado, son miles las acciones que ha propuesto el mismo accionante, con lo que es imposible hablar de su ignorancia en el tema, máxime cuando ha sido notificado de todas las decisiones adoptadas, entre ellas, la que declar</w:t>
      </w:r>
      <w:r w:rsidRPr="004A0C78">
        <w:rPr>
          <w:rFonts w:ascii="Gadugi" w:hAnsi="Gadugi"/>
          <w:sz w:val="24"/>
          <w:szCs w:val="24"/>
          <w:lang w:val="es-CO"/>
        </w:rPr>
        <w:t>ó la improcedencia en la radicada con el número 2017-00069-00</w:t>
      </w:r>
      <w:r w:rsidRPr="004A0C78">
        <w:rPr>
          <w:rFonts w:ascii="Gadugi" w:hAnsi="Gadugi"/>
          <w:sz w:val="24"/>
          <w:szCs w:val="24"/>
          <w:lang w:val="es-419"/>
        </w:rPr>
        <w:t xml:space="preserve">; no ha demostrado que se halle en estado alguno de indefensión o vulnerabilidad; ni ha propuesto, como quedó dicho, hechos nuevos o relevantes que puedan hacer la diferencia en este caso; además, nunca ha actuado en las acciones de tutela por medio de apoderado judicial. </w:t>
      </w:r>
    </w:p>
    <w:p w:rsidR="004C14EB" w:rsidRPr="004A0C78" w:rsidRDefault="004C14EB" w:rsidP="004C14EB">
      <w:pPr>
        <w:spacing w:line="276" w:lineRule="auto"/>
        <w:ind w:right="51"/>
        <w:jc w:val="both"/>
        <w:rPr>
          <w:rFonts w:ascii="Gadugi" w:hAnsi="Gadugi"/>
          <w:sz w:val="24"/>
          <w:szCs w:val="24"/>
          <w:lang w:val="es-419"/>
        </w:rPr>
      </w:pPr>
    </w:p>
    <w:p w:rsidR="004C14EB" w:rsidRPr="004A0C78" w:rsidRDefault="004C14EB" w:rsidP="004C14EB">
      <w:pPr>
        <w:spacing w:line="276" w:lineRule="auto"/>
        <w:ind w:right="51"/>
        <w:jc w:val="both"/>
        <w:rPr>
          <w:rFonts w:ascii="Gadugi" w:hAnsi="Gadugi"/>
          <w:sz w:val="24"/>
          <w:szCs w:val="24"/>
        </w:rPr>
      </w:pPr>
      <w:r w:rsidRPr="004A0C78">
        <w:rPr>
          <w:rFonts w:ascii="Gadugi" w:hAnsi="Gadugi"/>
          <w:sz w:val="24"/>
          <w:szCs w:val="24"/>
          <w:lang w:val="es-419"/>
        </w:rPr>
        <w:t xml:space="preserve">  </w:t>
      </w:r>
      <w:r w:rsidRPr="004A0C78">
        <w:rPr>
          <w:rFonts w:ascii="Gadugi" w:hAnsi="Gadugi"/>
          <w:sz w:val="24"/>
          <w:szCs w:val="24"/>
          <w:lang w:val="es-419"/>
        </w:rPr>
        <w:tab/>
      </w:r>
      <w:r w:rsidRPr="004A0C78">
        <w:rPr>
          <w:rFonts w:ascii="Gadugi" w:hAnsi="Gadugi"/>
          <w:sz w:val="24"/>
          <w:szCs w:val="24"/>
          <w:lang w:val="es-419"/>
        </w:rPr>
        <w:tab/>
      </w:r>
      <w:r w:rsidRPr="004A0C78">
        <w:rPr>
          <w:rFonts w:ascii="Gadugi" w:hAnsi="Gadugi"/>
          <w:sz w:val="24"/>
          <w:szCs w:val="24"/>
          <w:lang w:val="es-419"/>
        </w:rPr>
        <w:tab/>
      </w:r>
      <w:r w:rsidRPr="004A0C78">
        <w:rPr>
          <w:rFonts w:ascii="Gadugi" w:hAnsi="Gadugi"/>
          <w:sz w:val="24"/>
          <w:szCs w:val="24"/>
          <w:lang w:val="es-419"/>
        </w:rPr>
        <w:tab/>
        <w:t xml:space="preserve">Por ello, </w:t>
      </w:r>
      <w:r w:rsidRPr="004A0C78">
        <w:rPr>
          <w:rFonts w:ascii="Gadugi" w:hAnsi="Gadugi"/>
          <w:sz w:val="24"/>
          <w:szCs w:val="24"/>
        </w:rPr>
        <w:t xml:space="preserve">la Sala acoge el criterio que sobre el tema, para efectos de condena en costas, viene reiterando la Sala de Casación Laboral de la </w:t>
      </w:r>
      <w:r w:rsidRPr="004A0C78">
        <w:rPr>
          <w:rFonts w:ascii="Gadugi" w:hAnsi="Gadugi"/>
          <w:sz w:val="24"/>
          <w:szCs w:val="24"/>
        </w:rPr>
        <w:lastRenderedPageBreak/>
        <w:t xml:space="preserve">Corte Suprema de Justicia en sede constitucional, </w:t>
      </w:r>
      <w:r w:rsidRPr="004A0C78">
        <w:rPr>
          <w:rFonts w:ascii="Gadugi" w:hAnsi="Gadugi"/>
          <w:sz w:val="24"/>
          <w:szCs w:val="24"/>
          <w:lang w:val="es-419"/>
        </w:rPr>
        <w:t xml:space="preserve">en aplicación </w:t>
      </w:r>
      <w:r w:rsidRPr="004A0C78">
        <w:rPr>
          <w:rFonts w:ascii="Gadugi" w:hAnsi="Gadugi"/>
          <w:sz w:val="24"/>
          <w:szCs w:val="24"/>
        </w:rPr>
        <w:t xml:space="preserve">de lo prescrito en el inciso 3º del artículo 25 del Decreto Especial 2591 de 1991 que reza: </w:t>
      </w:r>
    </w:p>
    <w:p w:rsidR="004C14EB" w:rsidRPr="004A0C78" w:rsidRDefault="004C14EB" w:rsidP="004C14EB">
      <w:pPr>
        <w:spacing w:line="276" w:lineRule="auto"/>
        <w:ind w:right="51"/>
        <w:jc w:val="both"/>
        <w:rPr>
          <w:rFonts w:ascii="Gadugi" w:hAnsi="Gadugi"/>
          <w:sz w:val="24"/>
          <w:szCs w:val="24"/>
        </w:rPr>
      </w:pPr>
    </w:p>
    <w:p w:rsidR="004C14EB" w:rsidRPr="004A0C78" w:rsidRDefault="004C14EB" w:rsidP="004C14EB">
      <w:pPr>
        <w:spacing w:line="276" w:lineRule="auto"/>
        <w:ind w:left="851" w:right="1043" w:firstLine="1701"/>
        <w:jc w:val="both"/>
        <w:rPr>
          <w:rFonts w:ascii="Arial Narrow" w:hAnsi="Arial Narrow"/>
          <w:sz w:val="24"/>
          <w:szCs w:val="24"/>
        </w:rPr>
      </w:pPr>
      <w:r>
        <w:rPr>
          <w:rFonts w:ascii="Arial Narrow" w:hAnsi="Arial Narrow" w:cs="Arial"/>
          <w:sz w:val="24"/>
          <w:szCs w:val="24"/>
          <w:shd w:val="clear" w:color="auto" w:fill="FFFFFF"/>
          <w:lang w:val="es-419"/>
        </w:rPr>
        <w:t xml:space="preserve"> </w:t>
      </w:r>
      <w:r>
        <w:rPr>
          <w:rFonts w:ascii="Arial Narrow" w:hAnsi="Arial Narrow" w:cs="Arial"/>
          <w:sz w:val="24"/>
          <w:szCs w:val="24"/>
          <w:shd w:val="clear" w:color="auto" w:fill="FFFFFF"/>
          <w:lang w:val="es-419"/>
        </w:rPr>
        <w:tab/>
      </w:r>
      <w:r w:rsidRPr="004A0C78">
        <w:rPr>
          <w:rFonts w:ascii="Arial Narrow" w:hAnsi="Arial Narrow" w:cs="Arial"/>
          <w:sz w:val="24"/>
          <w:szCs w:val="24"/>
          <w:shd w:val="clear" w:color="auto" w:fill="FFFFFF"/>
        </w:rPr>
        <w:t>“Si la tutela fuere rechazada o denegada por el juez, éste condenará al solicitante al pago de las costas cuando estimare fundadamente que incurrió en temeridad.”</w:t>
      </w:r>
    </w:p>
    <w:p w:rsidR="004C14EB" w:rsidRPr="004A0C78" w:rsidRDefault="004C14EB" w:rsidP="004C14EB">
      <w:pPr>
        <w:spacing w:line="276" w:lineRule="auto"/>
        <w:ind w:right="51"/>
        <w:jc w:val="both"/>
        <w:rPr>
          <w:rFonts w:ascii="Gadugi" w:hAnsi="Gadugi"/>
          <w:sz w:val="24"/>
          <w:szCs w:val="24"/>
        </w:rPr>
      </w:pPr>
    </w:p>
    <w:p w:rsidR="004C14EB" w:rsidRPr="004A0C78" w:rsidRDefault="004C14EB" w:rsidP="004C14EB">
      <w:pPr>
        <w:spacing w:line="276" w:lineRule="auto"/>
        <w:ind w:right="51"/>
        <w:jc w:val="both"/>
        <w:rPr>
          <w:rFonts w:ascii="Gadugi" w:hAnsi="Gadugi"/>
          <w:sz w:val="24"/>
          <w:szCs w:val="24"/>
        </w:rPr>
      </w:pPr>
      <w:r w:rsidRPr="004A0C78">
        <w:rPr>
          <w:rFonts w:ascii="Gadugi" w:hAnsi="Gadugi"/>
          <w:sz w:val="24"/>
          <w:szCs w:val="24"/>
        </w:rPr>
        <w:t xml:space="preserve">  </w:t>
      </w:r>
      <w:r w:rsidRPr="004A0C78">
        <w:rPr>
          <w:rFonts w:ascii="Gadugi" w:hAnsi="Gadugi"/>
          <w:sz w:val="24"/>
          <w:szCs w:val="24"/>
        </w:rPr>
        <w:tab/>
      </w:r>
      <w:r w:rsidRPr="004A0C78">
        <w:rPr>
          <w:rFonts w:ascii="Gadugi" w:hAnsi="Gadugi"/>
          <w:sz w:val="24"/>
          <w:szCs w:val="24"/>
        </w:rPr>
        <w:tab/>
      </w:r>
      <w:r w:rsidRPr="004A0C78">
        <w:rPr>
          <w:rFonts w:ascii="Gadugi" w:hAnsi="Gadugi"/>
          <w:sz w:val="24"/>
          <w:szCs w:val="24"/>
        </w:rPr>
        <w:tab/>
      </w:r>
      <w:r w:rsidRPr="004A0C78">
        <w:rPr>
          <w:rFonts w:ascii="Gadugi" w:hAnsi="Gadugi"/>
          <w:sz w:val="24"/>
          <w:szCs w:val="24"/>
        </w:rPr>
        <w:tab/>
        <w:t>Cambiando lo que hay que cambiar se remite la Sala a lo expuesto sobre el particular por esa a</w:t>
      </w:r>
      <w:r w:rsidRPr="004A0C78">
        <w:rPr>
          <w:rFonts w:ascii="Gadugi" w:hAnsi="Gadugi"/>
          <w:sz w:val="24"/>
          <w:szCs w:val="24"/>
          <w:lang w:val="es-419"/>
        </w:rPr>
        <w:t>lta Corporación</w:t>
      </w:r>
      <w:r w:rsidRPr="004A0C78">
        <w:rPr>
          <w:rStyle w:val="Appelnotedebasdep"/>
          <w:rFonts w:ascii="Gadugi" w:hAnsi="Gadugi"/>
          <w:sz w:val="24"/>
          <w:szCs w:val="24"/>
        </w:rPr>
        <w:footnoteReference w:id="5"/>
      </w:r>
      <w:r w:rsidRPr="004A0C78">
        <w:rPr>
          <w:rFonts w:ascii="Gadugi" w:hAnsi="Gadugi"/>
          <w:sz w:val="24"/>
          <w:szCs w:val="24"/>
        </w:rPr>
        <w:t xml:space="preserve">, a cuya lectura se remite en gracia de la brevedad. </w:t>
      </w:r>
      <w:r w:rsidRPr="004A0C78">
        <w:rPr>
          <w:rFonts w:ascii="Gadugi" w:hAnsi="Gadugi"/>
          <w:sz w:val="24"/>
          <w:szCs w:val="24"/>
          <w:lang w:val="es-MX"/>
        </w:rPr>
        <w:t>Decisiones reiteradas</w:t>
      </w:r>
      <w:r w:rsidRPr="004A0C78">
        <w:rPr>
          <w:rStyle w:val="Appelnotedebasdep"/>
          <w:rFonts w:ascii="Gadugi" w:hAnsi="Gadugi"/>
          <w:sz w:val="24"/>
          <w:szCs w:val="24"/>
          <w:lang w:val="es-MX"/>
        </w:rPr>
        <w:footnoteReference w:id="6"/>
      </w:r>
      <w:r w:rsidRPr="004A0C78">
        <w:rPr>
          <w:rFonts w:ascii="Gadugi" w:hAnsi="Gadugi"/>
          <w:sz w:val="24"/>
          <w:szCs w:val="24"/>
          <w:lang w:val="es-MX"/>
        </w:rPr>
        <w:t xml:space="preserve"> que, como se dijo</w:t>
      </w:r>
      <w:r w:rsidRPr="004A0C78">
        <w:rPr>
          <w:rFonts w:ascii="Gadugi" w:hAnsi="Gadugi"/>
          <w:sz w:val="24"/>
          <w:szCs w:val="24"/>
          <w:lang w:val="es-419"/>
        </w:rPr>
        <w:t>,</w:t>
      </w:r>
      <w:r w:rsidRPr="004A0C78">
        <w:rPr>
          <w:rFonts w:ascii="Gadugi" w:hAnsi="Gadugi"/>
          <w:sz w:val="24"/>
          <w:szCs w:val="24"/>
          <w:lang w:val="es-MX"/>
        </w:rPr>
        <w:t xml:space="preserve"> </w:t>
      </w:r>
      <w:r w:rsidRPr="004A0C78">
        <w:rPr>
          <w:rFonts w:ascii="Gadugi" w:hAnsi="Gadugi"/>
          <w:sz w:val="24"/>
          <w:szCs w:val="24"/>
          <w:lang w:val="es-419"/>
        </w:rPr>
        <w:t xml:space="preserve">se </w:t>
      </w:r>
      <w:r w:rsidRPr="004A0C78">
        <w:rPr>
          <w:rFonts w:ascii="Gadugi" w:hAnsi="Gadugi"/>
          <w:sz w:val="24"/>
          <w:szCs w:val="24"/>
          <w:lang w:val="es-MX"/>
        </w:rPr>
        <w:t>comparte</w:t>
      </w:r>
      <w:r w:rsidRPr="004A0C78">
        <w:rPr>
          <w:rFonts w:ascii="Gadugi" w:hAnsi="Gadugi"/>
          <w:sz w:val="24"/>
          <w:szCs w:val="24"/>
          <w:lang w:val="es-419"/>
        </w:rPr>
        <w:t>n</w:t>
      </w:r>
      <w:r w:rsidRPr="004A0C78">
        <w:rPr>
          <w:rFonts w:ascii="Gadugi" w:hAnsi="Gadugi"/>
          <w:sz w:val="24"/>
          <w:szCs w:val="24"/>
          <w:lang w:val="es-CO"/>
        </w:rPr>
        <w:t xml:space="preserve"> en cuanto toca con la aludida temeridad</w:t>
      </w:r>
      <w:r w:rsidRPr="004A0C78">
        <w:rPr>
          <w:rFonts w:ascii="Gadugi" w:hAnsi="Gadugi"/>
          <w:sz w:val="24"/>
          <w:szCs w:val="24"/>
          <w:lang w:val="es-419"/>
        </w:rPr>
        <w:t xml:space="preserve">. </w:t>
      </w:r>
      <w:r w:rsidRPr="004A0C78">
        <w:rPr>
          <w:rFonts w:ascii="Gadugi" w:hAnsi="Gadugi"/>
          <w:sz w:val="24"/>
          <w:szCs w:val="24"/>
          <w:lang w:val="es-MX"/>
        </w:rPr>
        <w:t xml:space="preserve">En consecuencia, se condenará en costas al accionante, Javier Elías Arias </w:t>
      </w:r>
      <w:proofErr w:type="spellStart"/>
      <w:r w:rsidRPr="004A0C78">
        <w:rPr>
          <w:rFonts w:ascii="Gadugi" w:hAnsi="Gadugi"/>
          <w:sz w:val="24"/>
          <w:szCs w:val="24"/>
          <w:lang w:val="es-MX"/>
        </w:rPr>
        <w:t>Idárraga</w:t>
      </w:r>
      <w:proofErr w:type="spellEnd"/>
      <w:r w:rsidRPr="004A0C78">
        <w:rPr>
          <w:rFonts w:ascii="Gadugi" w:hAnsi="Gadugi"/>
          <w:sz w:val="24"/>
          <w:szCs w:val="24"/>
          <w:lang w:val="es-MX"/>
        </w:rPr>
        <w:t>, identificado con cédula de ciudadanía número 10.141.947</w:t>
      </w:r>
      <w:r w:rsidRPr="004A0C78">
        <w:rPr>
          <w:rFonts w:ascii="Gadugi" w:hAnsi="Gadugi"/>
          <w:sz w:val="24"/>
          <w:szCs w:val="24"/>
          <w:lang w:val="es-419"/>
        </w:rPr>
        <w:t xml:space="preserve">, en cuantía de </w:t>
      </w:r>
      <w:r w:rsidRPr="004A0C78">
        <w:rPr>
          <w:rFonts w:ascii="Gadugi" w:hAnsi="Gadugi"/>
          <w:sz w:val="24"/>
          <w:szCs w:val="24"/>
          <w:lang w:val="es-MX"/>
        </w:rPr>
        <w:t xml:space="preserve">un (1) salario </w:t>
      </w:r>
      <w:r w:rsidRPr="004A0C78">
        <w:rPr>
          <w:rFonts w:ascii="Gadugi" w:hAnsi="Gadugi" w:cs="Estrangelo Edessa"/>
          <w:spacing w:val="-3"/>
          <w:sz w:val="24"/>
          <w:szCs w:val="24"/>
        </w:rPr>
        <w:t>mínimo legal mensual vigente</w:t>
      </w:r>
      <w:r w:rsidRPr="004A0C78">
        <w:rPr>
          <w:rFonts w:ascii="Gadugi" w:hAnsi="Gadugi" w:cs="Estrangelo Edessa"/>
          <w:spacing w:val="-3"/>
          <w:sz w:val="24"/>
          <w:szCs w:val="24"/>
          <w:lang w:val="es-419"/>
        </w:rPr>
        <w:t xml:space="preserve">, </w:t>
      </w:r>
      <w:r w:rsidRPr="004A0C78">
        <w:rPr>
          <w:rFonts w:ascii="Gadugi" w:hAnsi="Gadugi" w:cs="Estrangelo Edessa"/>
          <w:spacing w:val="-3"/>
          <w:sz w:val="24"/>
          <w:szCs w:val="24"/>
        </w:rPr>
        <w:t>suma de dinero</w:t>
      </w:r>
      <w:r w:rsidRPr="004A0C78">
        <w:rPr>
          <w:rFonts w:ascii="Gadugi" w:hAnsi="Gadugi" w:cs="Estrangelo Edessa"/>
          <w:spacing w:val="-3"/>
          <w:sz w:val="24"/>
          <w:szCs w:val="24"/>
          <w:lang w:val="es-419"/>
        </w:rPr>
        <w:t xml:space="preserve"> que se </w:t>
      </w:r>
      <w:r w:rsidRPr="004A0C78">
        <w:rPr>
          <w:rFonts w:ascii="Gadugi" w:hAnsi="Gadugi" w:cs="Estrangelo Edessa"/>
          <w:spacing w:val="-3"/>
          <w:sz w:val="24"/>
          <w:szCs w:val="24"/>
        </w:rPr>
        <w:t xml:space="preserve">consignará </w:t>
      </w:r>
      <w:r w:rsidRPr="004A0C78">
        <w:rPr>
          <w:rFonts w:ascii="Gadugi" w:eastAsia="Dotum" w:hAnsi="Gadugi"/>
          <w:sz w:val="24"/>
          <w:szCs w:val="24"/>
        </w:rPr>
        <w:t>a favor de la Nación</w:t>
      </w:r>
      <w:r w:rsidRPr="004A0C78">
        <w:rPr>
          <w:rFonts w:ascii="Gadugi" w:eastAsia="Dotum" w:hAnsi="Gadugi"/>
          <w:sz w:val="24"/>
          <w:szCs w:val="24"/>
          <w:lang w:val="es-419"/>
        </w:rPr>
        <w:t>-</w:t>
      </w:r>
      <w:r w:rsidRPr="004A0C78">
        <w:rPr>
          <w:rFonts w:ascii="Gadugi" w:eastAsia="Dotum" w:hAnsi="Gadugi"/>
          <w:sz w:val="24"/>
          <w:szCs w:val="24"/>
        </w:rPr>
        <w:t xml:space="preserve">Consejo Superior de la Judicatura, Banco Agrario, cuenta </w:t>
      </w:r>
      <w:proofErr w:type="spellStart"/>
      <w:r w:rsidRPr="004A0C78">
        <w:rPr>
          <w:rFonts w:ascii="Gadugi" w:eastAsia="Dotum" w:hAnsi="Gadugi"/>
          <w:sz w:val="24"/>
          <w:szCs w:val="24"/>
        </w:rPr>
        <w:t>DTN</w:t>
      </w:r>
      <w:proofErr w:type="spellEnd"/>
      <w:r w:rsidRPr="004A0C78">
        <w:rPr>
          <w:rFonts w:ascii="Gadugi" w:eastAsia="Dotum" w:hAnsi="Gadugi"/>
          <w:sz w:val="24"/>
          <w:szCs w:val="24"/>
        </w:rPr>
        <w:t xml:space="preserve"> multas y cauciones efectivas No. 3-0070-000030-4, </w:t>
      </w:r>
      <w:r w:rsidRPr="004A0C78">
        <w:rPr>
          <w:rFonts w:ascii="Gadugi" w:eastAsia="Dotum" w:hAnsi="Gadugi"/>
          <w:sz w:val="24"/>
          <w:szCs w:val="24"/>
          <w:lang w:val="es-419"/>
        </w:rPr>
        <w:t xml:space="preserve">y se </w:t>
      </w:r>
      <w:r w:rsidRPr="004A0C78">
        <w:rPr>
          <w:rFonts w:ascii="Gadugi" w:eastAsia="Dotum" w:hAnsi="Gadugi"/>
          <w:sz w:val="24"/>
          <w:szCs w:val="24"/>
        </w:rPr>
        <w:t>pagar</w:t>
      </w:r>
      <w:r w:rsidRPr="004A0C78">
        <w:rPr>
          <w:rFonts w:ascii="Gadugi" w:eastAsia="Dotum" w:hAnsi="Gadugi"/>
          <w:sz w:val="24"/>
          <w:szCs w:val="24"/>
          <w:lang w:val="es-419"/>
        </w:rPr>
        <w:t>á</w:t>
      </w:r>
      <w:r w:rsidRPr="004A0C78">
        <w:rPr>
          <w:rFonts w:ascii="Gadugi" w:eastAsia="Dotum" w:hAnsi="Gadugi"/>
          <w:sz w:val="24"/>
          <w:szCs w:val="24"/>
        </w:rPr>
        <w:t xml:space="preserve"> en el término que se indicará adelante.</w:t>
      </w:r>
    </w:p>
    <w:p w:rsidR="004C14EB" w:rsidRPr="004A0C78" w:rsidRDefault="004C14EB" w:rsidP="004C14EB">
      <w:pPr>
        <w:spacing w:line="276" w:lineRule="auto"/>
        <w:ind w:right="51" w:firstLine="2835"/>
        <w:jc w:val="both"/>
        <w:rPr>
          <w:rFonts w:ascii="Gadugi" w:eastAsia="Dotum" w:hAnsi="Gadugi"/>
          <w:sz w:val="24"/>
          <w:szCs w:val="24"/>
        </w:rPr>
      </w:pPr>
    </w:p>
    <w:p w:rsidR="004C14EB" w:rsidRPr="004A0C78" w:rsidRDefault="004C14EB" w:rsidP="004C14EB">
      <w:pPr>
        <w:spacing w:line="276" w:lineRule="auto"/>
        <w:ind w:right="51" w:firstLine="2835"/>
        <w:jc w:val="both"/>
        <w:rPr>
          <w:rFonts w:ascii="Gadugi" w:hAnsi="Gadugi"/>
          <w:sz w:val="24"/>
          <w:szCs w:val="24"/>
        </w:rPr>
      </w:pPr>
      <w:r>
        <w:rPr>
          <w:rFonts w:ascii="Gadugi" w:eastAsia="Dotum" w:hAnsi="Gadugi"/>
          <w:sz w:val="24"/>
          <w:szCs w:val="24"/>
          <w:lang w:val="es-419"/>
        </w:rPr>
        <w:t>Por otra parte, s</w:t>
      </w:r>
      <w:proofErr w:type="spellStart"/>
      <w:r w:rsidRPr="004A0C78">
        <w:rPr>
          <w:rFonts w:ascii="Gadugi" w:eastAsia="Dotum" w:hAnsi="Gadugi"/>
          <w:sz w:val="24"/>
          <w:szCs w:val="24"/>
        </w:rPr>
        <w:t>e</w:t>
      </w:r>
      <w:proofErr w:type="spellEnd"/>
      <w:r w:rsidRPr="004A0C78">
        <w:rPr>
          <w:rFonts w:ascii="Gadugi" w:eastAsia="Dotum" w:hAnsi="Gadugi"/>
          <w:sz w:val="24"/>
          <w:szCs w:val="24"/>
        </w:rPr>
        <w:t xml:space="preserve"> negará</w:t>
      </w:r>
      <w:r>
        <w:rPr>
          <w:rFonts w:ascii="Gadugi" w:eastAsia="Dotum" w:hAnsi="Gadugi"/>
          <w:sz w:val="24"/>
          <w:szCs w:val="24"/>
        </w:rPr>
        <w:t>n</w:t>
      </w:r>
      <w:r w:rsidRPr="004A0C78">
        <w:rPr>
          <w:rFonts w:ascii="Gadugi" w:eastAsia="Dotum" w:hAnsi="Gadugi"/>
          <w:sz w:val="24"/>
          <w:szCs w:val="24"/>
        </w:rPr>
        <w:t xml:space="preserve"> (i) la petición de que se ordene conceder su alzada frente al auto que rechazó la acción popular</w:t>
      </w:r>
      <w:r>
        <w:rPr>
          <w:rFonts w:ascii="Gadugi" w:eastAsia="Dotum" w:hAnsi="Gadugi"/>
          <w:sz w:val="24"/>
          <w:szCs w:val="24"/>
          <w:lang w:val="es-419"/>
        </w:rPr>
        <w:t xml:space="preserve">, </w:t>
      </w:r>
      <w:r w:rsidRPr="004A0C78">
        <w:rPr>
          <w:rFonts w:ascii="Gadugi" w:eastAsia="Dotum" w:hAnsi="Gadugi"/>
          <w:sz w:val="24"/>
          <w:szCs w:val="24"/>
        </w:rPr>
        <w:t xml:space="preserve">ya que proferido y notificado el respectivo proveído, adquirió firmeza, según lo deja ver la constancia de folio 15 vuelto; esto es, </w:t>
      </w:r>
      <w:r>
        <w:rPr>
          <w:rFonts w:ascii="Gadugi" w:eastAsia="Dotum" w:hAnsi="Gadugi"/>
          <w:sz w:val="24"/>
          <w:szCs w:val="24"/>
          <w:lang w:val="es-419"/>
        </w:rPr>
        <w:t xml:space="preserve">que </w:t>
      </w:r>
      <w:r w:rsidRPr="004A0C78">
        <w:rPr>
          <w:rFonts w:ascii="Gadugi" w:eastAsia="Dotum" w:hAnsi="Gadugi"/>
          <w:sz w:val="24"/>
          <w:szCs w:val="24"/>
        </w:rPr>
        <w:t>no es cierto que haya elevado dicha impugnación y que le hubiere sido negada como lo afirma en la acción de tutela; (ii) la solicitud de que se aporte un listado completo de todas las acciones populares donde el juzgado “ha exigido requisitos inexistentes, en el artículo 18 de la Ley 472 de 1998…”, por infundada y (iii)</w:t>
      </w:r>
      <w:r w:rsidRPr="004A0C78">
        <w:rPr>
          <w:rFonts w:ascii="Gadugi" w:hAnsi="Gadugi"/>
          <w:sz w:val="24"/>
          <w:szCs w:val="24"/>
          <w:lang w:val="es-419"/>
        </w:rPr>
        <w:t xml:space="preserve"> </w:t>
      </w:r>
      <w:r w:rsidRPr="004A0C78">
        <w:rPr>
          <w:rFonts w:ascii="Gadugi" w:hAnsi="Gadugi"/>
          <w:sz w:val="24"/>
          <w:szCs w:val="24"/>
          <w:lang w:val="es-CO"/>
        </w:rPr>
        <w:t xml:space="preserve">la solicitud elevada contra el Ministerio Público, porque, </w:t>
      </w:r>
      <w:r w:rsidRPr="004A0C78">
        <w:rPr>
          <w:rFonts w:ascii="Gadugi" w:hAnsi="Gadugi"/>
          <w:sz w:val="24"/>
          <w:szCs w:val="24"/>
          <w:lang w:val="es-419"/>
        </w:rPr>
        <w:t>n</w:t>
      </w:r>
      <w:proofErr w:type="spellStart"/>
      <w:r w:rsidRPr="004A0C78">
        <w:rPr>
          <w:rFonts w:ascii="Gadugi" w:hAnsi="Gadugi"/>
          <w:sz w:val="24"/>
          <w:szCs w:val="24"/>
          <w:lang w:val="es-CO"/>
        </w:rPr>
        <w:t>ada</w:t>
      </w:r>
      <w:proofErr w:type="spellEnd"/>
      <w:r w:rsidRPr="004A0C78">
        <w:rPr>
          <w:rFonts w:ascii="Gadugi" w:hAnsi="Gadugi"/>
          <w:sz w:val="24"/>
          <w:szCs w:val="24"/>
          <w:lang w:val="es-CO"/>
        </w:rPr>
        <w:t xml:space="preserve"> se anuncia acerca de trasgresión de derecho alguno de su lado.</w:t>
      </w:r>
      <w:r>
        <w:rPr>
          <w:rFonts w:ascii="Gadugi" w:hAnsi="Gadugi"/>
          <w:sz w:val="24"/>
          <w:szCs w:val="24"/>
          <w:lang w:val="es-419"/>
        </w:rPr>
        <w:t xml:space="preserve"> Además, por esta misma razón, s</w:t>
      </w:r>
      <w:r w:rsidRPr="004A0C78">
        <w:rPr>
          <w:rFonts w:ascii="Gadugi" w:hAnsi="Gadugi"/>
          <w:sz w:val="24"/>
          <w:szCs w:val="24"/>
          <w:lang w:val="es-MX"/>
        </w:rPr>
        <w:t xml:space="preserve">e </w:t>
      </w:r>
      <w:r w:rsidRPr="004A0C78">
        <w:rPr>
          <w:rFonts w:ascii="Gadugi" w:hAnsi="Gadugi" w:cs="Arial"/>
          <w:sz w:val="24"/>
          <w:szCs w:val="24"/>
          <w:lang w:val="es-CO"/>
        </w:rPr>
        <w:t>a</w:t>
      </w:r>
      <w:proofErr w:type="spellStart"/>
      <w:r w:rsidRPr="004A0C78">
        <w:rPr>
          <w:rFonts w:ascii="Gadugi" w:hAnsi="Gadugi"/>
          <w:sz w:val="24"/>
          <w:szCs w:val="24"/>
        </w:rPr>
        <w:t>bsolverá</w:t>
      </w:r>
      <w:proofErr w:type="spellEnd"/>
      <w:r w:rsidRPr="004A0C78">
        <w:rPr>
          <w:rFonts w:ascii="Gadugi" w:hAnsi="Gadugi"/>
          <w:sz w:val="24"/>
          <w:szCs w:val="24"/>
        </w:rPr>
        <w:t xml:space="preserve"> a la Defensoría del Pueblo.</w:t>
      </w:r>
    </w:p>
    <w:p w:rsidR="004C14EB" w:rsidRPr="004A0C78" w:rsidRDefault="004C14EB" w:rsidP="004C14EB">
      <w:pPr>
        <w:spacing w:line="276" w:lineRule="auto"/>
        <w:ind w:firstLine="2835"/>
        <w:jc w:val="both"/>
        <w:rPr>
          <w:rFonts w:ascii="Gadugi" w:hAnsi="Gadugi" w:cs="Arial"/>
          <w:b/>
          <w:sz w:val="24"/>
          <w:szCs w:val="24"/>
        </w:rPr>
      </w:pPr>
    </w:p>
    <w:p w:rsidR="004C14EB" w:rsidRPr="004A0C78" w:rsidRDefault="004C14EB" w:rsidP="004C14EB">
      <w:pPr>
        <w:spacing w:line="276" w:lineRule="auto"/>
        <w:ind w:firstLine="2835"/>
        <w:jc w:val="both"/>
        <w:rPr>
          <w:rFonts w:ascii="Gadugi" w:hAnsi="Gadugi" w:cs="Arial"/>
          <w:b/>
          <w:sz w:val="24"/>
          <w:szCs w:val="24"/>
        </w:rPr>
      </w:pPr>
      <w:r w:rsidRPr="004A0C78">
        <w:rPr>
          <w:rFonts w:ascii="Gadugi" w:hAnsi="Gadugi" w:cs="Arial"/>
          <w:b/>
          <w:sz w:val="24"/>
          <w:szCs w:val="24"/>
        </w:rPr>
        <w:t>DECISIÓN</w:t>
      </w:r>
    </w:p>
    <w:p w:rsidR="004C14EB" w:rsidRPr="004A0C78" w:rsidRDefault="004C14EB" w:rsidP="004C14EB">
      <w:pPr>
        <w:pStyle w:val="Textoindependiente21"/>
        <w:spacing w:line="276" w:lineRule="auto"/>
        <w:rPr>
          <w:rFonts w:ascii="Gadugi" w:hAnsi="Gadugi"/>
          <w:lang w:val="es-CO"/>
        </w:rPr>
      </w:pPr>
    </w:p>
    <w:p w:rsidR="004C14EB" w:rsidRPr="004A0C78" w:rsidRDefault="004C14EB" w:rsidP="004C14EB">
      <w:pPr>
        <w:spacing w:line="276" w:lineRule="auto"/>
        <w:jc w:val="both"/>
        <w:rPr>
          <w:rFonts w:ascii="Gadugi" w:hAnsi="Gadugi" w:cs="Century Gothic"/>
          <w:sz w:val="24"/>
          <w:szCs w:val="24"/>
          <w:lang w:val="es-CO"/>
        </w:rPr>
      </w:pPr>
      <w:r w:rsidRPr="004A0C78">
        <w:rPr>
          <w:rFonts w:ascii="Gadugi" w:hAnsi="Gadugi" w:cs="Arial"/>
          <w:sz w:val="24"/>
          <w:szCs w:val="24"/>
          <w:lang w:val="es-419"/>
        </w:rPr>
        <w:t xml:space="preserve">  </w:t>
      </w:r>
      <w:r w:rsidRPr="004A0C78">
        <w:rPr>
          <w:rFonts w:ascii="Gadugi" w:hAnsi="Gadugi" w:cs="Arial"/>
          <w:sz w:val="24"/>
          <w:szCs w:val="24"/>
          <w:lang w:val="es-419"/>
        </w:rPr>
        <w:tab/>
      </w:r>
      <w:r w:rsidRPr="004A0C78">
        <w:rPr>
          <w:rFonts w:ascii="Gadugi" w:hAnsi="Gadugi" w:cs="Arial"/>
          <w:sz w:val="24"/>
          <w:szCs w:val="24"/>
          <w:lang w:val="es-419"/>
        </w:rPr>
        <w:tab/>
      </w:r>
      <w:r w:rsidRPr="004A0C78">
        <w:rPr>
          <w:rFonts w:ascii="Gadugi" w:hAnsi="Gadugi" w:cs="Arial"/>
          <w:sz w:val="24"/>
          <w:szCs w:val="24"/>
          <w:lang w:val="es-419"/>
        </w:rPr>
        <w:tab/>
      </w:r>
      <w:r w:rsidRPr="004A0C78">
        <w:rPr>
          <w:rFonts w:ascii="Gadugi" w:hAnsi="Gadugi" w:cs="Arial"/>
          <w:sz w:val="24"/>
          <w:szCs w:val="24"/>
          <w:lang w:val="es-419"/>
        </w:rPr>
        <w:tab/>
      </w:r>
      <w:r w:rsidRPr="004A0C78">
        <w:rPr>
          <w:rFonts w:ascii="Gadugi" w:hAnsi="Gadugi" w:cs="Arial"/>
          <w:sz w:val="24"/>
          <w:szCs w:val="24"/>
        </w:rPr>
        <w:t xml:space="preserve">En armonía con lo dicho, la Sala Civil Familia del Tribunal Superior de Pereira, administrando justicia en nombre de la República y por </w:t>
      </w:r>
      <w:r w:rsidRPr="004A0C78">
        <w:rPr>
          <w:rFonts w:ascii="Gadugi" w:hAnsi="Gadugi" w:cs="Arial"/>
          <w:sz w:val="24"/>
          <w:szCs w:val="24"/>
        </w:rPr>
        <w:lastRenderedPageBreak/>
        <w:t>autoridad de la Ley,</w:t>
      </w:r>
      <w:r w:rsidRPr="004A0C78">
        <w:rPr>
          <w:rFonts w:ascii="Gadugi" w:hAnsi="Gadugi" w:cs="Arial"/>
          <w:sz w:val="24"/>
          <w:szCs w:val="24"/>
          <w:lang w:val="es-419"/>
        </w:rPr>
        <w:t xml:space="preserve"> </w:t>
      </w:r>
      <w:r w:rsidRPr="004A0C78">
        <w:rPr>
          <w:rFonts w:ascii="Gadugi" w:hAnsi="Gadugi" w:cs="Arial"/>
          <w:sz w:val="24"/>
          <w:szCs w:val="24"/>
          <w:lang w:val="es-CO"/>
        </w:rPr>
        <w:t>declara</w:t>
      </w:r>
      <w:r w:rsidRPr="004A0C78">
        <w:rPr>
          <w:rFonts w:ascii="Gadugi" w:hAnsi="Gadugi" w:cs="Arial"/>
          <w:b/>
          <w:sz w:val="24"/>
          <w:szCs w:val="24"/>
          <w:lang w:val="es-CO"/>
        </w:rPr>
        <w:t xml:space="preserve"> IMPROCEDENTE </w:t>
      </w:r>
      <w:r w:rsidRPr="004A0C78">
        <w:rPr>
          <w:rFonts w:ascii="Gadugi" w:hAnsi="Gadugi" w:cs="Arial"/>
          <w:sz w:val="24"/>
          <w:szCs w:val="24"/>
          <w:lang w:val="es-CO"/>
        </w:rPr>
        <w:t xml:space="preserve">el </w:t>
      </w:r>
      <w:r w:rsidRPr="004A0C78">
        <w:rPr>
          <w:rFonts w:ascii="Gadugi" w:hAnsi="Gadugi" w:cs="Arial"/>
          <w:sz w:val="24"/>
          <w:szCs w:val="24"/>
        </w:rPr>
        <w:t>amparo impetrado por</w:t>
      </w:r>
      <w:r w:rsidRPr="004A0C78">
        <w:rPr>
          <w:rFonts w:ascii="Gadugi" w:hAnsi="Gadugi" w:cs="Century Gothic"/>
          <w:b/>
          <w:sz w:val="24"/>
          <w:szCs w:val="24"/>
        </w:rPr>
        <w:t xml:space="preserve"> Javier Elías Arias </w:t>
      </w:r>
      <w:proofErr w:type="spellStart"/>
      <w:r w:rsidRPr="004A0C78">
        <w:rPr>
          <w:rFonts w:ascii="Gadugi" w:hAnsi="Gadugi" w:cs="Century Gothic"/>
          <w:b/>
          <w:sz w:val="24"/>
          <w:szCs w:val="24"/>
        </w:rPr>
        <w:t>Idárraga</w:t>
      </w:r>
      <w:proofErr w:type="spellEnd"/>
      <w:r w:rsidRPr="004A0C78">
        <w:rPr>
          <w:rFonts w:ascii="Gadugi" w:hAnsi="Gadugi" w:cs="Century Gothic"/>
          <w:b/>
          <w:sz w:val="24"/>
          <w:szCs w:val="24"/>
        </w:rPr>
        <w:t xml:space="preserve"> </w:t>
      </w:r>
      <w:r w:rsidRPr="004A0C78">
        <w:rPr>
          <w:rFonts w:ascii="Gadugi" w:hAnsi="Gadugi" w:cs="Century Gothic"/>
          <w:bCs/>
          <w:sz w:val="24"/>
          <w:szCs w:val="24"/>
        </w:rPr>
        <w:t>contra</w:t>
      </w:r>
      <w:r w:rsidRPr="004A0C78">
        <w:rPr>
          <w:rFonts w:ascii="Gadugi" w:hAnsi="Gadugi" w:cs="Century Gothic"/>
          <w:sz w:val="24"/>
          <w:szCs w:val="24"/>
        </w:rPr>
        <w:t xml:space="preserve"> el </w:t>
      </w:r>
      <w:r w:rsidRPr="004A0C78">
        <w:rPr>
          <w:rFonts w:ascii="Gadugi" w:hAnsi="Gadugi" w:cs="Century Gothic"/>
          <w:b/>
          <w:sz w:val="24"/>
          <w:szCs w:val="24"/>
        </w:rPr>
        <w:t xml:space="preserve">Juzgado Segundo Civil del </w:t>
      </w:r>
      <w:r w:rsidRPr="004A0C78">
        <w:rPr>
          <w:rFonts w:ascii="Gadugi" w:hAnsi="Gadugi" w:cs="Century Gothic"/>
          <w:b/>
          <w:sz w:val="24"/>
          <w:szCs w:val="24"/>
          <w:lang w:val="es-CO"/>
        </w:rPr>
        <w:t xml:space="preserve">Circuito </w:t>
      </w:r>
      <w:r w:rsidRPr="004A0C78">
        <w:rPr>
          <w:rFonts w:ascii="Gadugi" w:hAnsi="Gadugi" w:cs="Century Gothic"/>
          <w:sz w:val="24"/>
          <w:szCs w:val="24"/>
          <w:lang w:val="es-CO"/>
        </w:rPr>
        <w:t xml:space="preserve">de </w:t>
      </w:r>
      <w:r w:rsidRPr="004A0C78">
        <w:rPr>
          <w:rFonts w:ascii="Gadugi" w:hAnsi="Gadugi" w:cs="Century Gothic"/>
          <w:b/>
          <w:sz w:val="24"/>
          <w:szCs w:val="24"/>
          <w:lang w:val="es-CO"/>
        </w:rPr>
        <w:t>Pereira</w:t>
      </w:r>
      <w:r w:rsidRPr="004A0C78">
        <w:rPr>
          <w:rFonts w:ascii="Gadugi" w:hAnsi="Gadugi" w:cs="Century Gothic"/>
          <w:sz w:val="24"/>
          <w:szCs w:val="24"/>
          <w:lang w:val="es-CO"/>
        </w:rPr>
        <w:t>.</w:t>
      </w:r>
    </w:p>
    <w:p w:rsidR="004C14EB" w:rsidRPr="004A0C78" w:rsidRDefault="004C14EB" w:rsidP="004C14EB">
      <w:pPr>
        <w:spacing w:line="276" w:lineRule="auto"/>
        <w:jc w:val="both"/>
        <w:rPr>
          <w:rFonts w:ascii="Gadugi" w:hAnsi="Gadugi" w:cs="Arial"/>
          <w:sz w:val="24"/>
          <w:szCs w:val="24"/>
        </w:rPr>
      </w:pPr>
    </w:p>
    <w:p w:rsidR="004C14EB" w:rsidRPr="004A0C78" w:rsidRDefault="004C14EB" w:rsidP="004C14EB">
      <w:pPr>
        <w:spacing w:line="276" w:lineRule="auto"/>
        <w:ind w:right="51"/>
        <w:jc w:val="both"/>
        <w:rPr>
          <w:rFonts w:ascii="Arial Narrow" w:eastAsia="Dotum" w:hAnsi="Arial Narrow"/>
          <w:sz w:val="24"/>
          <w:szCs w:val="24"/>
        </w:rPr>
      </w:pPr>
      <w:r w:rsidRPr="004A0C78">
        <w:rPr>
          <w:rFonts w:ascii="Gadugi" w:hAnsi="Gadugi" w:cs="Arial"/>
          <w:sz w:val="24"/>
          <w:szCs w:val="24"/>
        </w:rPr>
        <w:t xml:space="preserve">  </w:t>
      </w:r>
      <w:r w:rsidRPr="004A0C78">
        <w:rPr>
          <w:rFonts w:ascii="Gadugi" w:hAnsi="Gadugi" w:cs="Arial"/>
          <w:sz w:val="24"/>
          <w:szCs w:val="24"/>
        </w:rPr>
        <w:tab/>
      </w:r>
      <w:r w:rsidRPr="004A0C78">
        <w:rPr>
          <w:rFonts w:ascii="Gadugi" w:hAnsi="Gadugi" w:cs="Arial"/>
          <w:sz w:val="24"/>
          <w:szCs w:val="24"/>
        </w:rPr>
        <w:tab/>
      </w:r>
      <w:r w:rsidRPr="004A0C78">
        <w:rPr>
          <w:rFonts w:ascii="Gadugi" w:hAnsi="Gadugi" w:cs="Arial"/>
          <w:sz w:val="24"/>
          <w:szCs w:val="24"/>
        </w:rPr>
        <w:tab/>
      </w:r>
      <w:r w:rsidRPr="004A0C78">
        <w:rPr>
          <w:rFonts w:ascii="Gadugi" w:hAnsi="Gadugi" w:cs="Arial"/>
          <w:sz w:val="24"/>
          <w:szCs w:val="24"/>
        </w:rPr>
        <w:tab/>
        <w:t xml:space="preserve">Se condena en costas al accionante en </w:t>
      </w:r>
      <w:r w:rsidRPr="004A0C78">
        <w:rPr>
          <w:rFonts w:ascii="Gadugi" w:hAnsi="Gadugi" w:cs="Arial"/>
          <w:sz w:val="24"/>
          <w:szCs w:val="24"/>
          <w:lang w:val="es-419"/>
        </w:rPr>
        <w:t xml:space="preserve">la </w:t>
      </w:r>
      <w:r w:rsidRPr="004A0C78">
        <w:rPr>
          <w:rFonts w:ascii="Gadugi" w:hAnsi="Gadugi" w:cs="Arial"/>
          <w:sz w:val="24"/>
          <w:szCs w:val="24"/>
        </w:rPr>
        <w:t>suma de un (1) salario mínimo legal mensual vigente</w:t>
      </w:r>
      <w:r w:rsidRPr="004A0C78">
        <w:rPr>
          <w:rFonts w:ascii="Gadugi" w:eastAsia="Dotum" w:hAnsi="Gadugi"/>
          <w:sz w:val="24"/>
          <w:szCs w:val="24"/>
        </w:rPr>
        <w:t>, en favor de la Nación</w:t>
      </w:r>
      <w:r w:rsidRPr="004A0C78">
        <w:rPr>
          <w:rFonts w:ascii="Gadugi" w:eastAsia="Dotum" w:hAnsi="Gadugi"/>
          <w:sz w:val="24"/>
          <w:szCs w:val="24"/>
          <w:lang w:val="es-419"/>
        </w:rPr>
        <w:t>-</w:t>
      </w:r>
      <w:r w:rsidRPr="004A0C78">
        <w:rPr>
          <w:rFonts w:ascii="Gadugi" w:eastAsia="Dotum" w:hAnsi="Gadugi"/>
          <w:sz w:val="24"/>
          <w:szCs w:val="24"/>
        </w:rPr>
        <w:t xml:space="preserve">Consejo Superior de la Judicatura, Banco Agrario, cuenta </w:t>
      </w:r>
      <w:proofErr w:type="spellStart"/>
      <w:r w:rsidRPr="004A0C78">
        <w:rPr>
          <w:rFonts w:ascii="Gadugi" w:eastAsia="Dotum" w:hAnsi="Gadugi"/>
          <w:sz w:val="24"/>
          <w:szCs w:val="24"/>
        </w:rPr>
        <w:t>DTN</w:t>
      </w:r>
      <w:proofErr w:type="spellEnd"/>
      <w:r w:rsidRPr="004A0C78">
        <w:rPr>
          <w:rFonts w:ascii="Gadugi" w:eastAsia="Dotum" w:hAnsi="Gadugi"/>
          <w:sz w:val="24"/>
          <w:szCs w:val="24"/>
        </w:rPr>
        <w:t xml:space="preserve"> multas y cauciones efectivas No. 3-0070-000030-4. La misma deberá consignarse dentro de los 10 días siguientes a la notificación que de esta sentencia se efectúe al interesado</w:t>
      </w:r>
      <w:r w:rsidRPr="004A0C78">
        <w:rPr>
          <w:rFonts w:ascii="Arial Narrow" w:eastAsia="Dotum" w:hAnsi="Arial Narrow"/>
          <w:sz w:val="24"/>
          <w:szCs w:val="24"/>
        </w:rPr>
        <w:t>.</w:t>
      </w:r>
    </w:p>
    <w:p w:rsidR="004C14EB" w:rsidRPr="004A0C78" w:rsidRDefault="004C14EB" w:rsidP="004C14EB">
      <w:pPr>
        <w:spacing w:line="276" w:lineRule="auto"/>
        <w:ind w:right="51"/>
        <w:jc w:val="both"/>
        <w:rPr>
          <w:rFonts w:ascii="Arial Narrow" w:eastAsia="Dotum" w:hAnsi="Arial Narrow"/>
          <w:sz w:val="24"/>
          <w:szCs w:val="24"/>
        </w:rPr>
      </w:pPr>
    </w:p>
    <w:p w:rsidR="004C14EB" w:rsidRPr="004A0C78" w:rsidRDefault="004C14EB" w:rsidP="004C14EB">
      <w:pPr>
        <w:spacing w:line="276" w:lineRule="auto"/>
        <w:ind w:right="51"/>
        <w:jc w:val="both"/>
        <w:rPr>
          <w:rFonts w:ascii="Gadugi" w:eastAsia="Dotum" w:hAnsi="Gadugi"/>
          <w:sz w:val="24"/>
          <w:szCs w:val="24"/>
        </w:rPr>
      </w:pPr>
      <w:r w:rsidRPr="004A0C78">
        <w:rPr>
          <w:rFonts w:ascii="Arial Narrow" w:eastAsia="Dotum" w:hAnsi="Arial Narrow"/>
          <w:sz w:val="24"/>
          <w:szCs w:val="24"/>
        </w:rPr>
        <w:t xml:space="preserve"> </w:t>
      </w:r>
      <w:r w:rsidRPr="004A0C78">
        <w:rPr>
          <w:rFonts w:ascii="Arial Narrow" w:eastAsia="Dotum" w:hAnsi="Arial Narrow"/>
          <w:sz w:val="24"/>
          <w:szCs w:val="24"/>
        </w:rPr>
        <w:tab/>
      </w:r>
      <w:r w:rsidRPr="004A0C78">
        <w:rPr>
          <w:rFonts w:ascii="Arial Narrow" w:eastAsia="Dotum" w:hAnsi="Arial Narrow"/>
          <w:sz w:val="24"/>
          <w:szCs w:val="24"/>
        </w:rPr>
        <w:tab/>
      </w:r>
      <w:r w:rsidRPr="004A0C78">
        <w:rPr>
          <w:rFonts w:ascii="Arial Narrow" w:eastAsia="Dotum" w:hAnsi="Arial Narrow"/>
          <w:sz w:val="24"/>
          <w:szCs w:val="24"/>
        </w:rPr>
        <w:tab/>
      </w:r>
      <w:r w:rsidRPr="004A0C78">
        <w:rPr>
          <w:rFonts w:ascii="Arial Narrow" w:eastAsia="Dotum" w:hAnsi="Arial Narrow"/>
          <w:sz w:val="24"/>
          <w:szCs w:val="24"/>
        </w:rPr>
        <w:tab/>
      </w:r>
      <w:r w:rsidRPr="004A0C78">
        <w:rPr>
          <w:rFonts w:ascii="Gadugi" w:eastAsia="Dotum" w:hAnsi="Gadugi"/>
          <w:sz w:val="24"/>
          <w:szCs w:val="24"/>
        </w:rPr>
        <w:t xml:space="preserve">Vencido ese plazo, sin que se acredite </w:t>
      </w:r>
      <w:r w:rsidRPr="004A0C78">
        <w:rPr>
          <w:rFonts w:ascii="Gadugi" w:eastAsia="Dotum" w:hAnsi="Gadugi"/>
          <w:sz w:val="24"/>
          <w:szCs w:val="24"/>
          <w:lang w:val="es-419"/>
        </w:rPr>
        <w:t xml:space="preserve">el pago </w:t>
      </w:r>
      <w:r w:rsidRPr="004A0C78">
        <w:rPr>
          <w:rFonts w:ascii="Gadugi" w:eastAsia="Dotum" w:hAnsi="Gadugi"/>
          <w:sz w:val="24"/>
          <w:szCs w:val="24"/>
        </w:rPr>
        <w:t>y una vez adquiera firmeza esta providencia, se dispondrá la remisión de copias con las constancias de rigor ante la Dirección Ejecutiva Seccional de Administración Judicial –Oficina de Cobro Coactivo-, para lo de su cargo.</w:t>
      </w:r>
    </w:p>
    <w:p w:rsidR="004C14EB" w:rsidRPr="004A0C78" w:rsidRDefault="004C14EB" w:rsidP="004C14EB">
      <w:pPr>
        <w:spacing w:line="276" w:lineRule="auto"/>
        <w:ind w:right="51"/>
        <w:jc w:val="both"/>
        <w:rPr>
          <w:rFonts w:ascii="Gadugi" w:eastAsia="Dotum" w:hAnsi="Gadugi"/>
          <w:sz w:val="24"/>
          <w:szCs w:val="24"/>
        </w:rPr>
      </w:pPr>
    </w:p>
    <w:p w:rsidR="004C14EB" w:rsidRPr="004A0C78" w:rsidRDefault="004C14EB" w:rsidP="004C14EB">
      <w:pPr>
        <w:spacing w:line="276" w:lineRule="auto"/>
        <w:ind w:right="51"/>
        <w:jc w:val="both"/>
        <w:rPr>
          <w:rFonts w:ascii="Gadugi" w:eastAsia="Dotum" w:hAnsi="Gadugi"/>
          <w:sz w:val="24"/>
          <w:szCs w:val="24"/>
        </w:rPr>
      </w:pPr>
      <w:r w:rsidRPr="004A0C78">
        <w:rPr>
          <w:rFonts w:ascii="Gadugi" w:eastAsia="Dotum" w:hAnsi="Gadugi"/>
          <w:sz w:val="24"/>
          <w:szCs w:val="24"/>
        </w:rPr>
        <w:tab/>
      </w:r>
      <w:r w:rsidRPr="004A0C78">
        <w:rPr>
          <w:rFonts w:ascii="Gadugi" w:eastAsia="Dotum" w:hAnsi="Gadugi"/>
          <w:sz w:val="24"/>
          <w:szCs w:val="24"/>
        </w:rPr>
        <w:tab/>
      </w:r>
      <w:r w:rsidRPr="004A0C78">
        <w:rPr>
          <w:rFonts w:ascii="Gadugi" w:eastAsia="Dotum" w:hAnsi="Gadugi"/>
          <w:sz w:val="24"/>
          <w:szCs w:val="24"/>
        </w:rPr>
        <w:tab/>
      </w:r>
      <w:r w:rsidRPr="004A0C78">
        <w:rPr>
          <w:rFonts w:ascii="Gadugi" w:eastAsia="Dotum" w:hAnsi="Gadugi"/>
          <w:sz w:val="24"/>
          <w:szCs w:val="24"/>
        </w:rPr>
        <w:tab/>
        <w:t xml:space="preserve">Se </w:t>
      </w:r>
      <w:r w:rsidRPr="004A0C78">
        <w:rPr>
          <w:rFonts w:ascii="Gadugi" w:eastAsia="Dotum" w:hAnsi="Gadugi"/>
          <w:b/>
          <w:sz w:val="24"/>
          <w:szCs w:val="24"/>
        </w:rPr>
        <w:t xml:space="preserve">niegan  </w:t>
      </w:r>
      <w:r w:rsidRPr="004A0C78">
        <w:rPr>
          <w:rFonts w:ascii="Gadugi" w:eastAsia="Dotum" w:hAnsi="Gadugi"/>
          <w:sz w:val="24"/>
          <w:szCs w:val="24"/>
        </w:rPr>
        <w:t>las demás pretensiones elevadas.</w:t>
      </w:r>
    </w:p>
    <w:p w:rsidR="004C14EB" w:rsidRPr="004A0C78" w:rsidRDefault="004C14EB" w:rsidP="004C14EB">
      <w:pPr>
        <w:spacing w:line="276" w:lineRule="auto"/>
        <w:ind w:right="51"/>
        <w:jc w:val="both"/>
        <w:rPr>
          <w:rFonts w:ascii="Arial Narrow" w:hAnsi="Arial Narrow" w:cs="Arial"/>
          <w:spacing w:val="4"/>
          <w:sz w:val="24"/>
          <w:szCs w:val="24"/>
        </w:rPr>
      </w:pPr>
    </w:p>
    <w:p w:rsidR="004C14EB" w:rsidRPr="004A0C78" w:rsidRDefault="004C14EB" w:rsidP="004C14EB">
      <w:pPr>
        <w:spacing w:line="276" w:lineRule="auto"/>
        <w:ind w:firstLine="2835"/>
        <w:jc w:val="both"/>
        <w:rPr>
          <w:rFonts w:ascii="Gadugi" w:hAnsi="Gadugi" w:cs="Arial"/>
          <w:sz w:val="24"/>
          <w:szCs w:val="24"/>
        </w:rPr>
      </w:pPr>
      <w:r w:rsidRPr="004A0C78">
        <w:rPr>
          <w:rFonts w:ascii="Gadugi" w:hAnsi="Gadugi" w:cs="Arial"/>
          <w:sz w:val="24"/>
          <w:szCs w:val="24"/>
        </w:rPr>
        <w:t xml:space="preserve">Se </w:t>
      </w:r>
      <w:r w:rsidRPr="004A0C78">
        <w:rPr>
          <w:rFonts w:ascii="Gadugi" w:hAnsi="Gadugi" w:cs="Arial"/>
          <w:b/>
          <w:sz w:val="24"/>
          <w:szCs w:val="24"/>
        </w:rPr>
        <w:t xml:space="preserve">absuelve </w:t>
      </w:r>
      <w:r w:rsidRPr="004A0C78">
        <w:rPr>
          <w:rFonts w:ascii="Gadugi" w:hAnsi="Gadugi" w:cs="Arial"/>
          <w:sz w:val="24"/>
          <w:szCs w:val="24"/>
        </w:rPr>
        <w:t>a la Defensoría del Pueblo Regional Risaralda.</w:t>
      </w:r>
    </w:p>
    <w:p w:rsidR="004C14EB" w:rsidRPr="004A0C78" w:rsidRDefault="004C14EB" w:rsidP="004C14EB">
      <w:pPr>
        <w:spacing w:line="276" w:lineRule="auto"/>
        <w:ind w:firstLine="2835"/>
        <w:jc w:val="both"/>
        <w:rPr>
          <w:rFonts w:ascii="Gadugi" w:hAnsi="Gadugi" w:cs="Arial"/>
          <w:sz w:val="24"/>
          <w:szCs w:val="24"/>
        </w:rPr>
      </w:pPr>
    </w:p>
    <w:p w:rsidR="004C14EB" w:rsidRPr="004A0C78" w:rsidRDefault="004C14EB" w:rsidP="004C14EB">
      <w:pPr>
        <w:spacing w:line="276" w:lineRule="auto"/>
        <w:ind w:firstLine="2835"/>
        <w:jc w:val="both"/>
        <w:rPr>
          <w:rFonts w:ascii="Gadugi" w:hAnsi="Gadugi" w:cs="Arial"/>
          <w:sz w:val="24"/>
          <w:szCs w:val="24"/>
          <w:lang w:val="es-CO"/>
        </w:rPr>
      </w:pPr>
      <w:r w:rsidRPr="004A0C78">
        <w:rPr>
          <w:rFonts w:ascii="Gadugi" w:hAnsi="Gadugi" w:cs="Arial"/>
          <w:sz w:val="24"/>
          <w:szCs w:val="24"/>
        </w:rPr>
        <w:t>Notifíquese la decisión a las partes en la forma prevista en el artículo 5º del Decreto 306 de 1992</w:t>
      </w:r>
      <w:r w:rsidRPr="004A0C78">
        <w:rPr>
          <w:rFonts w:ascii="Gadugi" w:hAnsi="Gadugi" w:cs="Arial"/>
          <w:sz w:val="24"/>
          <w:szCs w:val="24"/>
          <w:lang w:val="es-419"/>
        </w:rPr>
        <w:t>, y si no es impugnada rem</w:t>
      </w:r>
      <w:proofErr w:type="spellStart"/>
      <w:r w:rsidRPr="004A0C78">
        <w:rPr>
          <w:rFonts w:ascii="Gadugi" w:hAnsi="Gadugi" w:cs="Arial"/>
          <w:sz w:val="24"/>
          <w:szCs w:val="24"/>
          <w:lang w:val="es-CO"/>
        </w:rPr>
        <w:t>ítase</w:t>
      </w:r>
      <w:proofErr w:type="spellEnd"/>
      <w:r w:rsidRPr="004A0C78">
        <w:rPr>
          <w:rFonts w:ascii="Gadugi" w:hAnsi="Gadugi" w:cs="Arial"/>
          <w:sz w:val="24"/>
          <w:szCs w:val="24"/>
          <w:lang w:val="es-CO"/>
        </w:rPr>
        <w:t xml:space="preserve"> a la Corte Constitucional para su eventual revisión.</w:t>
      </w:r>
    </w:p>
    <w:p w:rsidR="004C14EB" w:rsidRPr="004A0C78" w:rsidRDefault="004C14EB" w:rsidP="004C14EB">
      <w:pPr>
        <w:spacing w:line="276" w:lineRule="auto"/>
        <w:ind w:firstLine="2835"/>
        <w:jc w:val="both"/>
        <w:rPr>
          <w:rFonts w:ascii="Gadugi" w:hAnsi="Gadugi" w:cs="Arial"/>
          <w:sz w:val="24"/>
          <w:szCs w:val="24"/>
          <w:lang w:val="es-CO"/>
        </w:rPr>
      </w:pPr>
    </w:p>
    <w:p w:rsidR="004C14EB" w:rsidRPr="004A0C78" w:rsidRDefault="004C14EB" w:rsidP="004C14EB">
      <w:pPr>
        <w:spacing w:line="276" w:lineRule="auto"/>
        <w:ind w:firstLine="2835"/>
        <w:jc w:val="both"/>
        <w:rPr>
          <w:rFonts w:ascii="Gadugi" w:hAnsi="Gadugi" w:cs="Arial"/>
          <w:sz w:val="24"/>
          <w:szCs w:val="24"/>
          <w:lang w:val="es-CO"/>
        </w:rPr>
      </w:pPr>
      <w:r w:rsidRPr="004A0C78">
        <w:rPr>
          <w:rFonts w:ascii="Gadugi" w:hAnsi="Gadugi" w:cs="Arial"/>
          <w:sz w:val="24"/>
          <w:szCs w:val="24"/>
          <w:lang w:val="es-CO"/>
        </w:rPr>
        <w:t>A su regreso, archívese el expediente</w:t>
      </w:r>
      <w:r w:rsidRPr="004A0C78">
        <w:rPr>
          <w:rFonts w:ascii="Gadugi" w:hAnsi="Gadugi" w:cs="Arial"/>
          <w:sz w:val="24"/>
          <w:szCs w:val="24"/>
          <w:lang w:val="es-419"/>
        </w:rPr>
        <w:t>.</w:t>
      </w:r>
      <w:r w:rsidRPr="004A0C78">
        <w:rPr>
          <w:rFonts w:ascii="Gadugi" w:hAnsi="Gadugi" w:cs="Arial"/>
          <w:sz w:val="24"/>
          <w:szCs w:val="24"/>
          <w:lang w:val="es-CO"/>
        </w:rPr>
        <w:t xml:space="preserve"> </w:t>
      </w:r>
    </w:p>
    <w:p w:rsidR="004C14EB" w:rsidRPr="004A0C78" w:rsidRDefault="004C14EB" w:rsidP="004C14EB">
      <w:pPr>
        <w:spacing w:line="276" w:lineRule="auto"/>
        <w:ind w:firstLine="2835"/>
        <w:jc w:val="both"/>
        <w:rPr>
          <w:rFonts w:ascii="Gadugi" w:hAnsi="Gadugi" w:cs="Arial"/>
          <w:sz w:val="24"/>
          <w:szCs w:val="24"/>
        </w:rPr>
      </w:pPr>
    </w:p>
    <w:p w:rsidR="004C14EB" w:rsidRPr="004A0C78" w:rsidRDefault="004C14EB" w:rsidP="004C14EB">
      <w:pPr>
        <w:spacing w:line="276" w:lineRule="auto"/>
        <w:ind w:firstLine="2835"/>
        <w:jc w:val="both"/>
        <w:rPr>
          <w:rFonts w:ascii="Gadugi" w:hAnsi="Gadugi" w:cs="Arial"/>
          <w:bCs/>
          <w:sz w:val="24"/>
          <w:szCs w:val="24"/>
        </w:rPr>
      </w:pPr>
      <w:r w:rsidRPr="004A0C78">
        <w:rPr>
          <w:rFonts w:ascii="Gadugi" w:hAnsi="Gadugi" w:cs="Arial"/>
          <w:bCs/>
          <w:sz w:val="24"/>
          <w:szCs w:val="24"/>
        </w:rPr>
        <w:t>Los Magistrados,</w:t>
      </w:r>
    </w:p>
    <w:p w:rsidR="004C14EB" w:rsidRPr="004A0C78" w:rsidRDefault="004C14EB" w:rsidP="004C14EB">
      <w:pPr>
        <w:spacing w:line="276" w:lineRule="auto"/>
        <w:jc w:val="both"/>
        <w:rPr>
          <w:rFonts w:ascii="Gadugi" w:hAnsi="Gadugi" w:cs="Arial"/>
          <w:b/>
          <w:sz w:val="24"/>
          <w:szCs w:val="24"/>
        </w:rPr>
      </w:pPr>
    </w:p>
    <w:p w:rsidR="004C14EB" w:rsidRPr="004A0C78" w:rsidRDefault="004C14EB" w:rsidP="004C14EB">
      <w:pPr>
        <w:spacing w:line="276" w:lineRule="auto"/>
        <w:ind w:firstLine="2835"/>
        <w:jc w:val="both"/>
        <w:rPr>
          <w:rFonts w:ascii="Gadugi" w:hAnsi="Gadugi" w:cs="Arial"/>
          <w:b/>
          <w:sz w:val="24"/>
          <w:szCs w:val="24"/>
        </w:rPr>
      </w:pPr>
    </w:p>
    <w:p w:rsidR="004C14EB" w:rsidRPr="004A0C78" w:rsidRDefault="004C14EB" w:rsidP="004C14EB">
      <w:pPr>
        <w:spacing w:line="276" w:lineRule="auto"/>
        <w:ind w:firstLine="2835"/>
        <w:jc w:val="both"/>
        <w:rPr>
          <w:rFonts w:ascii="Gadugi" w:hAnsi="Gadugi" w:cs="Arial"/>
          <w:b/>
          <w:sz w:val="24"/>
          <w:szCs w:val="24"/>
        </w:rPr>
      </w:pPr>
    </w:p>
    <w:p w:rsidR="004C14EB" w:rsidRPr="004A0C78" w:rsidRDefault="004C14EB" w:rsidP="004C14EB">
      <w:pPr>
        <w:spacing w:line="276" w:lineRule="auto"/>
        <w:ind w:firstLine="2835"/>
        <w:jc w:val="both"/>
        <w:rPr>
          <w:rFonts w:ascii="Gadugi" w:hAnsi="Gadugi" w:cs="Arial"/>
          <w:b/>
          <w:sz w:val="24"/>
          <w:szCs w:val="24"/>
        </w:rPr>
      </w:pPr>
      <w:r w:rsidRPr="004A0C78">
        <w:rPr>
          <w:rFonts w:ascii="Gadugi" w:hAnsi="Gadugi" w:cs="Arial"/>
          <w:b/>
          <w:sz w:val="24"/>
          <w:szCs w:val="24"/>
        </w:rPr>
        <w:t>JAIME ALBERTO SARAZA NARANJO</w:t>
      </w:r>
    </w:p>
    <w:p w:rsidR="004C14EB" w:rsidRPr="004A0C78" w:rsidRDefault="004C14EB" w:rsidP="004C14EB">
      <w:pPr>
        <w:spacing w:line="276" w:lineRule="auto"/>
        <w:jc w:val="both"/>
        <w:rPr>
          <w:rFonts w:ascii="Gadugi" w:hAnsi="Gadugi" w:cs="Arial"/>
          <w:b/>
          <w:sz w:val="24"/>
          <w:szCs w:val="24"/>
        </w:rPr>
      </w:pPr>
    </w:p>
    <w:p w:rsidR="004C14EB" w:rsidRPr="004A0C78" w:rsidRDefault="004C14EB" w:rsidP="004C14EB">
      <w:pPr>
        <w:spacing w:line="276" w:lineRule="auto"/>
        <w:jc w:val="both"/>
        <w:rPr>
          <w:rFonts w:ascii="Gadugi" w:hAnsi="Gadugi" w:cs="Arial"/>
          <w:b/>
          <w:sz w:val="24"/>
          <w:szCs w:val="24"/>
          <w:lang w:val="es-CO"/>
        </w:rPr>
      </w:pPr>
    </w:p>
    <w:p w:rsidR="004C14EB" w:rsidRPr="004A0C78" w:rsidRDefault="004C14EB" w:rsidP="004C14EB">
      <w:pPr>
        <w:spacing w:line="276" w:lineRule="auto"/>
        <w:jc w:val="both"/>
        <w:rPr>
          <w:rFonts w:ascii="Gadugi" w:hAnsi="Gadugi" w:cs="Arial"/>
          <w:b/>
          <w:sz w:val="24"/>
          <w:szCs w:val="24"/>
          <w:lang w:val="es-CO"/>
        </w:rPr>
      </w:pPr>
    </w:p>
    <w:p w:rsidR="004C14EB" w:rsidRPr="004A0C78" w:rsidRDefault="004C14EB" w:rsidP="004C14EB">
      <w:pPr>
        <w:spacing w:line="276" w:lineRule="auto"/>
        <w:jc w:val="both"/>
        <w:rPr>
          <w:rFonts w:ascii="Gadugi" w:hAnsi="Gadugi" w:cs="Arial"/>
          <w:b/>
          <w:sz w:val="24"/>
          <w:szCs w:val="24"/>
          <w:lang w:val="es-ES_tradnl"/>
        </w:rPr>
      </w:pPr>
      <w:r w:rsidRPr="004A0C78">
        <w:rPr>
          <w:rFonts w:ascii="Gadugi" w:hAnsi="Gadugi" w:cs="Arial"/>
          <w:b/>
          <w:sz w:val="24"/>
          <w:szCs w:val="24"/>
          <w:lang w:val="es-ES_tradnl"/>
        </w:rPr>
        <w:t xml:space="preserve">CLAUDIA MARÍA ARCILA RÍOS  </w:t>
      </w:r>
      <w:r w:rsidRPr="004A0C78">
        <w:rPr>
          <w:rFonts w:ascii="Gadugi" w:hAnsi="Gadugi" w:cs="Arial"/>
          <w:b/>
          <w:sz w:val="24"/>
          <w:szCs w:val="24"/>
          <w:lang w:val="es-ES_tradnl"/>
        </w:rPr>
        <w:tab/>
      </w:r>
      <w:r w:rsidRPr="004A0C78">
        <w:rPr>
          <w:rFonts w:ascii="Gadugi" w:hAnsi="Gadugi" w:cs="Arial"/>
          <w:b/>
          <w:sz w:val="24"/>
          <w:szCs w:val="24"/>
          <w:lang w:val="es-ES_tradnl"/>
        </w:rPr>
        <w:tab/>
        <w:t xml:space="preserve">  </w:t>
      </w:r>
      <w:proofErr w:type="spellStart"/>
      <w:r w:rsidRPr="004A0C78">
        <w:rPr>
          <w:rFonts w:ascii="Gadugi" w:hAnsi="Gadugi" w:cs="Arial"/>
          <w:b/>
          <w:sz w:val="24"/>
          <w:szCs w:val="24"/>
          <w:lang w:val="es-ES_tradnl"/>
        </w:rPr>
        <w:t>DUBERNEY</w:t>
      </w:r>
      <w:proofErr w:type="spellEnd"/>
      <w:r w:rsidRPr="004A0C78">
        <w:rPr>
          <w:rFonts w:ascii="Gadugi" w:hAnsi="Gadugi" w:cs="Arial"/>
          <w:b/>
          <w:sz w:val="24"/>
          <w:szCs w:val="24"/>
          <w:lang w:val="es-ES_tradnl"/>
        </w:rPr>
        <w:t xml:space="preserve"> GRISALES HERRERA </w:t>
      </w:r>
    </w:p>
    <w:p w:rsidR="004C14EB" w:rsidRPr="004A0C78" w:rsidRDefault="004C14EB" w:rsidP="004C14EB">
      <w:pPr>
        <w:pStyle w:val="Sansinterligne1"/>
        <w:spacing w:line="276" w:lineRule="auto"/>
        <w:ind w:right="51"/>
        <w:jc w:val="both"/>
        <w:rPr>
          <w:rFonts w:ascii="Gadugi" w:hAnsi="Gadugi"/>
          <w:lang w:val="es-CO"/>
        </w:rPr>
      </w:pPr>
    </w:p>
    <w:p w:rsidR="004C14EB" w:rsidRPr="004A0C78" w:rsidRDefault="004C14EB" w:rsidP="005C771D">
      <w:pPr>
        <w:pStyle w:val="Sansinterligne1"/>
        <w:spacing w:line="276" w:lineRule="auto"/>
        <w:ind w:right="51"/>
        <w:jc w:val="both"/>
        <w:rPr>
          <w:rFonts w:ascii="Gadugi" w:hAnsi="Gadugi"/>
          <w:lang w:val="es-419"/>
        </w:rPr>
      </w:pPr>
      <w:r w:rsidRPr="004A0C78">
        <w:rPr>
          <w:rFonts w:ascii="Gadugi" w:hAnsi="Gadugi"/>
          <w:lang w:val="es-CO"/>
        </w:rPr>
        <w:t xml:space="preserve"> </w:t>
      </w:r>
      <w:r w:rsidRPr="004A0C78">
        <w:rPr>
          <w:rFonts w:ascii="Gadugi" w:hAnsi="Gadugi"/>
          <w:lang w:val="es-CO"/>
        </w:rPr>
        <w:tab/>
      </w:r>
      <w:r w:rsidRPr="004A0C78">
        <w:rPr>
          <w:rFonts w:ascii="Gadugi" w:hAnsi="Gadugi"/>
          <w:lang w:val="es-CO"/>
        </w:rPr>
        <w:tab/>
      </w:r>
      <w:r w:rsidRPr="004A0C78">
        <w:rPr>
          <w:rFonts w:ascii="Gadugi" w:hAnsi="Gadugi"/>
          <w:lang w:val="es-CO"/>
        </w:rPr>
        <w:tab/>
      </w:r>
      <w:r w:rsidRPr="004A0C78">
        <w:rPr>
          <w:rFonts w:ascii="Gadugi" w:hAnsi="Gadugi"/>
          <w:lang w:val="es-CO"/>
        </w:rPr>
        <w:tab/>
      </w:r>
      <w:r w:rsidRPr="004A0C78">
        <w:rPr>
          <w:rFonts w:ascii="Gadugi" w:hAnsi="Gadugi"/>
          <w:color w:val="806000"/>
          <w:lang w:val="es-419"/>
        </w:rPr>
        <w:t xml:space="preserve"> </w:t>
      </w:r>
    </w:p>
    <w:p w:rsidR="004C14EB" w:rsidRPr="004A0C78" w:rsidRDefault="004C14EB" w:rsidP="004C14EB">
      <w:pPr>
        <w:spacing w:line="276" w:lineRule="auto"/>
        <w:ind w:firstLine="2835"/>
        <w:jc w:val="both"/>
        <w:rPr>
          <w:rFonts w:ascii="Gadugi" w:hAnsi="Gadugi" w:cs="Arial"/>
          <w:sz w:val="24"/>
          <w:szCs w:val="24"/>
          <w:u w:val="single"/>
        </w:rPr>
      </w:pPr>
    </w:p>
    <w:p w:rsidR="005F1135" w:rsidRDefault="003C7D37"/>
    <w:sectPr w:rsidR="005F1135" w:rsidSect="004C14EB">
      <w:headerReference w:type="default" r:id="rId7"/>
      <w:footerReference w:type="default" r:id="rId8"/>
      <w:pgSz w:w="12242" w:h="18722" w:code="121"/>
      <w:pgMar w:top="2155"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D37" w:rsidRDefault="003C7D37" w:rsidP="004C14EB">
      <w:r>
        <w:separator/>
      </w:r>
    </w:p>
  </w:endnote>
  <w:endnote w:type="continuationSeparator" w:id="0">
    <w:p w:rsidR="003C7D37" w:rsidRDefault="003C7D37" w:rsidP="004C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adugi">
    <w:panose1 w:val="020B0502040204020203"/>
    <w:charset w:val="00"/>
    <w:family w:val="swiss"/>
    <w:pitch w:val="variable"/>
    <w:sig w:usb0="8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strangelo Edessa">
    <w:panose1 w:val="03080600000000000000"/>
    <w:charset w:val="01"/>
    <w:family w:val="roman"/>
    <w:notTrueType/>
    <w:pitch w:val="variable"/>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735C07">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C771D">
      <w:rPr>
        <w:rStyle w:val="Numrodepage"/>
        <w:noProof/>
      </w:rPr>
      <w:t>7</w:t>
    </w:r>
    <w:r>
      <w:rPr>
        <w:rStyle w:val="Numrodepage"/>
      </w:rPr>
      <w:fldChar w:fldCharType="end"/>
    </w:r>
  </w:p>
  <w:p w:rsidR="00E86AA4" w:rsidRDefault="003C7D37">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D37" w:rsidRDefault="003C7D37" w:rsidP="004C14EB">
      <w:r>
        <w:separator/>
      </w:r>
    </w:p>
  </w:footnote>
  <w:footnote w:type="continuationSeparator" w:id="0">
    <w:p w:rsidR="003C7D37" w:rsidRDefault="003C7D37" w:rsidP="004C14EB">
      <w:r>
        <w:continuationSeparator/>
      </w:r>
    </w:p>
  </w:footnote>
  <w:footnote w:id="1">
    <w:p w:rsidR="004C14EB" w:rsidRPr="002F5466" w:rsidRDefault="004C14EB" w:rsidP="004C14EB">
      <w:pPr>
        <w:pStyle w:val="Corpsdetexte2"/>
        <w:spacing w:line="240" w:lineRule="auto"/>
        <w:ind w:right="50"/>
        <w:rPr>
          <w:rFonts w:ascii="Agency FB" w:hAnsi="Agency FB"/>
          <w:sz w:val="24"/>
          <w:szCs w:val="24"/>
        </w:rPr>
      </w:pPr>
      <w:r w:rsidRPr="002F5466">
        <w:rPr>
          <w:rStyle w:val="Appelnotedebasdep"/>
          <w:rFonts w:ascii="Agency FB" w:hAnsi="Agency FB"/>
          <w:sz w:val="24"/>
          <w:szCs w:val="24"/>
        </w:rPr>
        <w:footnoteRef/>
      </w:r>
      <w:r w:rsidRPr="002F5466">
        <w:rPr>
          <w:rFonts w:ascii="Agency FB" w:hAnsi="Agency FB"/>
          <w:sz w:val="24"/>
          <w:szCs w:val="24"/>
        </w:rPr>
        <w:t xml:space="preserve"> Así lo expuso en la sentencia T-231-08, en la que transcribió apartes de la sentencia SU-713 de 2006.</w:t>
      </w:r>
    </w:p>
    <w:p w:rsidR="004C14EB" w:rsidRPr="0007019A" w:rsidRDefault="004C14EB" w:rsidP="004C14EB">
      <w:pPr>
        <w:pStyle w:val="Notedebasdepage"/>
      </w:pPr>
    </w:p>
  </w:footnote>
  <w:footnote w:id="2">
    <w:p w:rsidR="004C14EB" w:rsidRPr="002F5466" w:rsidRDefault="004C14EB" w:rsidP="004C14EB">
      <w:pPr>
        <w:pStyle w:val="Notedebasdepage"/>
        <w:jc w:val="both"/>
        <w:rPr>
          <w:rFonts w:ascii="Agency FB" w:hAnsi="Agency FB"/>
          <w:sz w:val="24"/>
          <w:szCs w:val="24"/>
        </w:rPr>
      </w:pPr>
      <w:r w:rsidRPr="002F5466">
        <w:rPr>
          <w:rStyle w:val="Appelnotedebasdep"/>
          <w:rFonts w:ascii="Agency FB" w:hAnsi="Agency FB"/>
          <w:sz w:val="24"/>
          <w:szCs w:val="24"/>
        </w:rPr>
        <w:footnoteRef/>
      </w:r>
      <w:r w:rsidRPr="002F5466">
        <w:rPr>
          <w:rFonts w:ascii="Agency FB" w:hAnsi="Agency FB"/>
          <w:sz w:val="24"/>
          <w:szCs w:val="24"/>
        </w:rPr>
        <w:t xml:space="preserve">   Subrayado por fuera del texto legal.</w:t>
      </w:r>
    </w:p>
  </w:footnote>
  <w:footnote w:id="3">
    <w:p w:rsidR="004C14EB" w:rsidRPr="000A1D6E" w:rsidRDefault="004C14EB" w:rsidP="004C14EB">
      <w:pPr>
        <w:pStyle w:val="Notedebasdepage"/>
        <w:rPr>
          <w:rFonts w:ascii="Agency FB" w:hAnsi="Agency FB"/>
          <w:sz w:val="24"/>
          <w:szCs w:val="24"/>
          <w:lang w:val="es-419"/>
        </w:rPr>
      </w:pPr>
      <w:r w:rsidRPr="000A1D6E">
        <w:rPr>
          <w:rStyle w:val="Appelnotedebasdep"/>
          <w:rFonts w:ascii="Agency FB" w:hAnsi="Agency FB"/>
          <w:sz w:val="24"/>
          <w:szCs w:val="24"/>
        </w:rPr>
        <w:footnoteRef/>
      </w:r>
      <w:r w:rsidRPr="000A1D6E">
        <w:rPr>
          <w:rFonts w:ascii="Agency FB" w:hAnsi="Agency FB"/>
          <w:sz w:val="24"/>
          <w:szCs w:val="24"/>
        </w:rPr>
        <w:t xml:space="preserve"> </w:t>
      </w:r>
      <w:r w:rsidRPr="000A1D6E">
        <w:rPr>
          <w:rFonts w:ascii="Agency FB" w:hAnsi="Agency FB"/>
          <w:sz w:val="24"/>
          <w:szCs w:val="24"/>
          <w:lang w:val="es-419"/>
        </w:rPr>
        <w:t>Sentencia T-193 de 2008</w:t>
      </w:r>
    </w:p>
  </w:footnote>
  <w:footnote w:id="4">
    <w:p w:rsidR="004C14EB" w:rsidRPr="000A1D6E" w:rsidRDefault="004C14EB" w:rsidP="004C14EB">
      <w:pPr>
        <w:pStyle w:val="Notedebasdepage"/>
        <w:rPr>
          <w:lang w:val="es-419"/>
        </w:rPr>
      </w:pPr>
      <w:r w:rsidRPr="000A1D6E">
        <w:rPr>
          <w:rStyle w:val="Appelnotedebasdep"/>
          <w:rFonts w:ascii="Agency FB" w:hAnsi="Agency FB"/>
          <w:sz w:val="24"/>
          <w:szCs w:val="24"/>
        </w:rPr>
        <w:footnoteRef/>
      </w:r>
      <w:r w:rsidRPr="000A1D6E">
        <w:rPr>
          <w:rFonts w:ascii="Agency FB" w:hAnsi="Agency FB"/>
          <w:sz w:val="24"/>
          <w:szCs w:val="24"/>
        </w:rPr>
        <w:t xml:space="preserve"> </w:t>
      </w:r>
      <w:r w:rsidRPr="000A1D6E">
        <w:rPr>
          <w:rFonts w:ascii="Agency FB" w:hAnsi="Agency FB"/>
          <w:sz w:val="24"/>
          <w:szCs w:val="24"/>
          <w:lang w:val="es-419"/>
        </w:rPr>
        <w:t xml:space="preserve">Sentencia </w:t>
      </w:r>
      <w:r w:rsidRPr="000A1D6E">
        <w:rPr>
          <w:rFonts w:ascii="Agency FB" w:hAnsi="Agency FB"/>
          <w:sz w:val="24"/>
          <w:szCs w:val="24"/>
          <w:lang w:val="es-419"/>
        </w:rPr>
        <w:t>T-001-2016</w:t>
      </w:r>
    </w:p>
  </w:footnote>
  <w:footnote w:id="5">
    <w:p w:rsidR="004C14EB" w:rsidRPr="00866BDF" w:rsidRDefault="004C14EB" w:rsidP="004C14EB">
      <w:pPr>
        <w:pStyle w:val="Notedebasdepage"/>
        <w:jc w:val="both"/>
        <w:rPr>
          <w:lang w:val="es-CO"/>
        </w:rPr>
      </w:pPr>
      <w:r>
        <w:rPr>
          <w:rStyle w:val="Appelnotedebasdep"/>
        </w:rPr>
        <w:footnoteRef/>
      </w:r>
      <w:r>
        <w:t xml:space="preserve"> </w:t>
      </w:r>
      <w:r>
        <w:rPr>
          <w:rFonts w:ascii="Agency FB" w:hAnsi="Agency FB"/>
          <w:sz w:val="24"/>
          <w:szCs w:val="24"/>
        </w:rPr>
        <w:t xml:space="preserve">CSJ, </w:t>
      </w:r>
      <w:proofErr w:type="spellStart"/>
      <w:r>
        <w:rPr>
          <w:rFonts w:ascii="Agency FB" w:hAnsi="Agency FB"/>
          <w:sz w:val="24"/>
          <w:szCs w:val="24"/>
        </w:rPr>
        <w:t>SCL</w:t>
      </w:r>
      <w:proofErr w:type="spellEnd"/>
      <w:r w:rsidRPr="00863EDD">
        <w:rPr>
          <w:rFonts w:ascii="Agency FB" w:hAnsi="Agency FB"/>
          <w:sz w:val="24"/>
          <w:szCs w:val="24"/>
        </w:rPr>
        <w:t xml:space="preserve">, acción de tutela, radicación </w:t>
      </w:r>
      <w:r>
        <w:rPr>
          <w:rFonts w:ascii="Agency FB" w:hAnsi="Agency FB"/>
          <w:sz w:val="24"/>
          <w:szCs w:val="24"/>
        </w:rPr>
        <w:t>número 45234</w:t>
      </w:r>
      <w:r w:rsidRPr="00863EDD">
        <w:rPr>
          <w:rFonts w:ascii="Agency FB" w:hAnsi="Agency FB"/>
          <w:sz w:val="24"/>
          <w:szCs w:val="24"/>
        </w:rPr>
        <w:t xml:space="preserve">, </w:t>
      </w:r>
      <w:proofErr w:type="spellStart"/>
      <w:r w:rsidRPr="00863EDD">
        <w:rPr>
          <w:rFonts w:ascii="Agency FB" w:hAnsi="Agency FB"/>
          <w:sz w:val="24"/>
          <w:szCs w:val="24"/>
        </w:rPr>
        <w:t>exp</w:t>
      </w:r>
      <w:proofErr w:type="spellEnd"/>
      <w:r w:rsidRPr="00863EDD">
        <w:rPr>
          <w:rFonts w:ascii="Agency FB" w:hAnsi="Agency FB"/>
          <w:sz w:val="24"/>
          <w:szCs w:val="24"/>
        </w:rPr>
        <w:t xml:space="preserve">. </w:t>
      </w:r>
      <w:proofErr w:type="spellStart"/>
      <w:r w:rsidRPr="00863EDD">
        <w:rPr>
          <w:rFonts w:ascii="Agency FB" w:hAnsi="Agency FB"/>
          <w:sz w:val="24"/>
          <w:szCs w:val="24"/>
        </w:rPr>
        <w:t>ST</w:t>
      </w:r>
      <w:r>
        <w:rPr>
          <w:rFonts w:ascii="Agency FB" w:hAnsi="Agency FB"/>
          <w:sz w:val="24"/>
          <w:szCs w:val="24"/>
        </w:rPr>
        <w:t>L16749</w:t>
      </w:r>
      <w:proofErr w:type="spellEnd"/>
      <w:r w:rsidRPr="00863EDD">
        <w:rPr>
          <w:rFonts w:ascii="Agency FB" w:hAnsi="Agency FB"/>
          <w:sz w:val="24"/>
          <w:szCs w:val="24"/>
        </w:rPr>
        <w:t xml:space="preserve">-2016; sentencia del </w:t>
      </w:r>
      <w:r>
        <w:rPr>
          <w:rFonts w:ascii="Agency FB" w:hAnsi="Agency FB"/>
          <w:sz w:val="24"/>
          <w:szCs w:val="24"/>
        </w:rPr>
        <w:t>16 de noviembre de</w:t>
      </w:r>
      <w:r w:rsidRPr="00863EDD">
        <w:rPr>
          <w:rFonts w:ascii="Agency FB" w:hAnsi="Agency FB"/>
          <w:sz w:val="24"/>
          <w:szCs w:val="24"/>
        </w:rPr>
        <w:t xml:space="preserve"> 2016; </w:t>
      </w:r>
      <w:proofErr w:type="spellStart"/>
      <w:r w:rsidRPr="00863EDD">
        <w:rPr>
          <w:rFonts w:ascii="Agency FB" w:hAnsi="Agency FB"/>
          <w:sz w:val="24"/>
          <w:szCs w:val="24"/>
        </w:rPr>
        <w:t>MP</w:t>
      </w:r>
      <w:proofErr w:type="spellEnd"/>
      <w:r w:rsidRPr="00863EDD">
        <w:rPr>
          <w:rFonts w:ascii="Agency FB" w:hAnsi="Agency FB"/>
          <w:sz w:val="24"/>
          <w:szCs w:val="24"/>
        </w:rPr>
        <w:t xml:space="preserve"> Fernando </w:t>
      </w:r>
      <w:r>
        <w:rPr>
          <w:rFonts w:ascii="Agency FB" w:hAnsi="Agency FB"/>
          <w:sz w:val="24"/>
          <w:szCs w:val="24"/>
        </w:rPr>
        <w:t>Castillo Cadena</w:t>
      </w:r>
    </w:p>
  </w:footnote>
  <w:footnote w:id="6">
    <w:p w:rsidR="004C14EB" w:rsidRDefault="004C14EB" w:rsidP="004C14EB">
      <w:pPr>
        <w:pStyle w:val="Notedebasdepage"/>
        <w:jc w:val="both"/>
        <w:rPr>
          <w:rFonts w:ascii="Agency FB" w:hAnsi="Agency FB"/>
          <w:sz w:val="24"/>
          <w:szCs w:val="24"/>
        </w:rPr>
      </w:pPr>
      <w:r>
        <w:rPr>
          <w:rStyle w:val="Appelnotedebasdep"/>
        </w:rPr>
        <w:footnoteRef/>
      </w:r>
      <w:r>
        <w:t xml:space="preserve"> </w:t>
      </w:r>
      <w:r>
        <w:rPr>
          <w:rFonts w:ascii="Agency FB" w:hAnsi="Agency FB"/>
          <w:sz w:val="24"/>
          <w:szCs w:val="24"/>
        </w:rPr>
        <w:t xml:space="preserve">CSJ, </w:t>
      </w:r>
      <w:proofErr w:type="spellStart"/>
      <w:r>
        <w:rPr>
          <w:rFonts w:ascii="Agency FB" w:hAnsi="Agency FB"/>
          <w:sz w:val="24"/>
          <w:szCs w:val="24"/>
        </w:rPr>
        <w:t>SCL</w:t>
      </w:r>
      <w:proofErr w:type="spellEnd"/>
      <w:r w:rsidRPr="00863EDD">
        <w:rPr>
          <w:rFonts w:ascii="Agency FB" w:hAnsi="Agency FB"/>
          <w:sz w:val="24"/>
          <w:szCs w:val="24"/>
        </w:rPr>
        <w:t xml:space="preserve">, acción de tutela, radicación </w:t>
      </w:r>
      <w:r>
        <w:rPr>
          <w:rFonts w:ascii="Agency FB" w:hAnsi="Agency FB"/>
          <w:sz w:val="24"/>
          <w:szCs w:val="24"/>
        </w:rPr>
        <w:t>número 45240</w:t>
      </w:r>
      <w:r w:rsidRPr="00863EDD">
        <w:rPr>
          <w:rFonts w:ascii="Agency FB" w:hAnsi="Agency FB"/>
          <w:sz w:val="24"/>
          <w:szCs w:val="24"/>
        </w:rPr>
        <w:t xml:space="preserve">, </w:t>
      </w:r>
      <w:proofErr w:type="spellStart"/>
      <w:r w:rsidRPr="00863EDD">
        <w:rPr>
          <w:rFonts w:ascii="Agency FB" w:hAnsi="Agency FB"/>
          <w:sz w:val="24"/>
          <w:szCs w:val="24"/>
        </w:rPr>
        <w:t>exp</w:t>
      </w:r>
      <w:proofErr w:type="spellEnd"/>
      <w:r w:rsidRPr="00863EDD">
        <w:rPr>
          <w:rFonts w:ascii="Agency FB" w:hAnsi="Agency FB"/>
          <w:sz w:val="24"/>
          <w:szCs w:val="24"/>
        </w:rPr>
        <w:t xml:space="preserve">. </w:t>
      </w:r>
      <w:proofErr w:type="spellStart"/>
      <w:r w:rsidRPr="00863EDD">
        <w:rPr>
          <w:rFonts w:ascii="Agency FB" w:hAnsi="Agency FB"/>
          <w:sz w:val="24"/>
          <w:szCs w:val="24"/>
        </w:rPr>
        <w:t>ST</w:t>
      </w:r>
      <w:r>
        <w:rPr>
          <w:rFonts w:ascii="Agency FB" w:hAnsi="Agency FB"/>
          <w:sz w:val="24"/>
          <w:szCs w:val="24"/>
        </w:rPr>
        <w:t>L16851</w:t>
      </w:r>
      <w:proofErr w:type="spellEnd"/>
      <w:r w:rsidRPr="00863EDD">
        <w:rPr>
          <w:rFonts w:ascii="Agency FB" w:hAnsi="Agency FB"/>
          <w:sz w:val="24"/>
          <w:szCs w:val="24"/>
        </w:rPr>
        <w:t xml:space="preserve">-2016; sentencia del </w:t>
      </w:r>
      <w:r>
        <w:rPr>
          <w:rFonts w:ascii="Agency FB" w:hAnsi="Agency FB"/>
          <w:sz w:val="24"/>
          <w:szCs w:val="24"/>
        </w:rPr>
        <w:t>16 de noviembre de</w:t>
      </w:r>
      <w:r w:rsidRPr="00863EDD">
        <w:rPr>
          <w:rFonts w:ascii="Agency FB" w:hAnsi="Agency FB"/>
          <w:sz w:val="24"/>
          <w:szCs w:val="24"/>
        </w:rPr>
        <w:t xml:space="preserve"> 2016; </w:t>
      </w:r>
      <w:proofErr w:type="spellStart"/>
      <w:r w:rsidRPr="00863EDD">
        <w:rPr>
          <w:rFonts w:ascii="Agency FB" w:hAnsi="Agency FB"/>
          <w:sz w:val="24"/>
          <w:szCs w:val="24"/>
        </w:rPr>
        <w:t>MP</w:t>
      </w:r>
      <w:proofErr w:type="spellEnd"/>
      <w:r w:rsidRPr="00863EDD">
        <w:rPr>
          <w:rFonts w:ascii="Agency FB" w:hAnsi="Agency FB"/>
          <w:sz w:val="24"/>
          <w:szCs w:val="24"/>
        </w:rPr>
        <w:t xml:space="preserve"> </w:t>
      </w:r>
      <w:r>
        <w:rPr>
          <w:rFonts w:ascii="Agency FB" w:hAnsi="Agency FB"/>
          <w:sz w:val="24"/>
          <w:szCs w:val="24"/>
        </w:rPr>
        <w:t>Gerardo Botero Zuluaga</w:t>
      </w:r>
    </w:p>
    <w:p w:rsidR="004C14EB" w:rsidRPr="00194AE0" w:rsidRDefault="004C14EB" w:rsidP="004C14EB">
      <w:pPr>
        <w:pStyle w:val="Notedebasdepage"/>
        <w:jc w:val="both"/>
        <w:rPr>
          <w:rFonts w:ascii="Agency FB" w:hAnsi="Agency FB"/>
          <w:sz w:val="24"/>
          <w:szCs w:val="24"/>
        </w:rPr>
      </w:pPr>
      <w:r>
        <w:rPr>
          <w:rFonts w:ascii="Agency FB" w:hAnsi="Agency FB"/>
          <w:sz w:val="24"/>
          <w:szCs w:val="24"/>
        </w:rPr>
        <w:t xml:space="preserve">CSJ, </w:t>
      </w:r>
      <w:proofErr w:type="spellStart"/>
      <w:r>
        <w:rPr>
          <w:rFonts w:ascii="Agency FB" w:hAnsi="Agency FB"/>
          <w:sz w:val="24"/>
          <w:szCs w:val="24"/>
        </w:rPr>
        <w:t>SCL</w:t>
      </w:r>
      <w:proofErr w:type="spellEnd"/>
      <w:r w:rsidRPr="00863EDD">
        <w:rPr>
          <w:rFonts w:ascii="Agency FB" w:hAnsi="Agency FB"/>
          <w:sz w:val="24"/>
          <w:szCs w:val="24"/>
        </w:rPr>
        <w:t xml:space="preserve">, acción de tutela, radicación </w:t>
      </w:r>
      <w:r>
        <w:rPr>
          <w:rFonts w:ascii="Agency FB" w:hAnsi="Agency FB"/>
          <w:sz w:val="24"/>
          <w:szCs w:val="24"/>
        </w:rPr>
        <w:t>número 70383</w:t>
      </w:r>
      <w:r w:rsidRPr="00863EDD">
        <w:rPr>
          <w:rFonts w:ascii="Agency FB" w:hAnsi="Agency FB"/>
          <w:sz w:val="24"/>
          <w:szCs w:val="24"/>
        </w:rPr>
        <w:t xml:space="preserve">, </w:t>
      </w:r>
      <w:proofErr w:type="spellStart"/>
      <w:r w:rsidRPr="00863EDD">
        <w:rPr>
          <w:rFonts w:ascii="Agency FB" w:hAnsi="Agency FB"/>
          <w:sz w:val="24"/>
          <w:szCs w:val="24"/>
        </w:rPr>
        <w:t>exp</w:t>
      </w:r>
      <w:proofErr w:type="spellEnd"/>
      <w:r w:rsidRPr="00863EDD">
        <w:rPr>
          <w:rFonts w:ascii="Agency FB" w:hAnsi="Agency FB"/>
          <w:sz w:val="24"/>
          <w:szCs w:val="24"/>
        </w:rPr>
        <w:t xml:space="preserve">. </w:t>
      </w:r>
      <w:proofErr w:type="spellStart"/>
      <w:r w:rsidRPr="00863EDD">
        <w:rPr>
          <w:rFonts w:ascii="Agency FB" w:hAnsi="Agency FB"/>
          <w:sz w:val="24"/>
          <w:szCs w:val="24"/>
        </w:rPr>
        <w:t>ST</w:t>
      </w:r>
      <w:r>
        <w:rPr>
          <w:rFonts w:ascii="Agency FB" w:hAnsi="Agency FB"/>
          <w:sz w:val="24"/>
          <w:szCs w:val="24"/>
        </w:rPr>
        <w:t>L1363</w:t>
      </w:r>
      <w:proofErr w:type="spellEnd"/>
      <w:r w:rsidRPr="00863EDD">
        <w:rPr>
          <w:rFonts w:ascii="Agency FB" w:hAnsi="Agency FB"/>
          <w:sz w:val="24"/>
          <w:szCs w:val="24"/>
        </w:rPr>
        <w:t>-201</w:t>
      </w:r>
      <w:r>
        <w:rPr>
          <w:rFonts w:ascii="Agency FB" w:hAnsi="Agency FB"/>
          <w:sz w:val="24"/>
          <w:szCs w:val="24"/>
        </w:rPr>
        <w:t>7</w:t>
      </w:r>
      <w:r w:rsidRPr="00863EDD">
        <w:rPr>
          <w:rFonts w:ascii="Agency FB" w:hAnsi="Agency FB"/>
          <w:sz w:val="24"/>
          <w:szCs w:val="24"/>
        </w:rPr>
        <w:t xml:space="preserve">; sentencia del </w:t>
      </w:r>
      <w:r>
        <w:rPr>
          <w:rFonts w:ascii="Agency FB" w:hAnsi="Agency FB"/>
          <w:sz w:val="24"/>
          <w:szCs w:val="24"/>
        </w:rPr>
        <w:t>1º de febrero de 2017</w:t>
      </w:r>
      <w:r w:rsidRPr="00863EDD">
        <w:rPr>
          <w:rFonts w:ascii="Agency FB" w:hAnsi="Agency FB"/>
          <w:sz w:val="24"/>
          <w:szCs w:val="24"/>
        </w:rPr>
        <w:t xml:space="preserve">; </w:t>
      </w:r>
      <w:proofErr w:type="spellStart"/>
      <w:r w:rsidRPr="00863EDD">
        <w:rPr>
          <w:rFonts w:ascii="Agency FB" w:hAnsi="Agency FB"/>
          <w:sz w:val="24"/>
          <w:szCs w:val="24"/>
        </w:rPr>
        <w:t>MP</w:t>
      </w:r>
      <w:proofErr w:type="spellEnd"/>
      <w:r w:rsidRPr="00863EDD">
        <w:rPr>
          <w:rFonts w:ascii="Agency FB" w:hAnsi="Agency FB"/>
          <w:sz w:val="24"/>
          <w:szCs w:val="24"/>
        </w:rPr>
        <w:t xml:space="preserve"> </w:t>
      </w:r>
      <w:r>
        <w:rPr>
          <w:rFonts w:ascii="Agency FB" w:hAnsi="Agency FB"/>
          <w:sz w:val="24"/>
          <w:szCs w:val="24"/>
        </w:rPr>
        <w:t>Clara Cecilia Dueñas Quevedo</w:t>
      </w:r>
    </w:p>
    <w:p w:rsidR="004C14EB" w:rsidRPr="00866BDF" w:rsidRDefault="004C14EB" w:rsidP="004C14EB">
      <w:pPr>
        <w:pStyle w:val="Notedebasdepage"/>
        <w:jc w:val="both"/>
        <w:rPr>
          <w:lang w:val="es-CO"/>
        </w:rPr>
      </w:pPr>
    </w:p>
    <w:p w:rsidR="004C14EB" w:rsidRPr="00194AE0" w:rsidRDefault="004C14EB" w:rsidP="004C14EB">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735C07"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D44"/>
    <w:rsid w:val="003C7D37"/>
    <w:rsid w:val="004C14EB"/>
    <w:rsid w:val="005C771D"/>
    <w:rsid w:val="00735C07"/>
    <w:rsid w:val="008C2308"/>
    <w:rsid w:val="00916D44"/>
    <w:rsid w:val="00B828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4E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4C14EB"/>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4C14EB"/>
    <w:rPr>
      <w:rFonts w:ascii="Perpetua" w:eastAsia="Times New Roman" w:hAnsi="Perpetua" w:cs="Times New Roman"/>
      <w:sz w:val="28"/>
      <w:szCs w:val="20"/>
      <w:lang w:val="es-MX" w:eastAsia="es-ES"/>
    </w:rPr>
  </w:style>
  <w:style w:type="paragraph" w:styleId="Corpsdetexte2">
    <w:name w:val="Body Text 2"/>
    <w:basedOn w:val="Normal"/>
    <w:link w:val="Corpsdetexte2Car"/>
    <w:rsid w:val="004C14EB"/>
    <w:pPr>
      <w:spacing w:after="120" w:line="480" w:lineRule="auto"/>
    </w:pPr>
  </w:style>
  <w:style w:type="character" w:customStyle="1" w:styleId="Corpsdetexte2Car">
    <w:name w:val="Corps de texte 2 Car"/>
    <w:basedOn w:val="Policepardfaut"/>
    <w:link w:val="Corpsdetexte2"/>
    <w:rsid w:val="004C14EB"/>
    <w:rPr>
      <w:rFonts w:ascii="Times New Roman" w:eastAsia="Times New Roman" w:hAnsi="Times New Roman" w:cs="Times New Roman"/>
      <w:sz w:val="20"/>
      <w:szCs w:val="20"/>
      <w:lang w:eastAsia="es-ES"/>
    </w:rPr>
  </w:style>
  <w:style w:type="paragraph" w:styleId="Pieddepage">
    <w:name w:val="footer"/>
    <w:basedOn w:val="Normal"/>
    <w:link w:val="PieddepageCar"/>
    <w:rsid w:val="004C14EB"/>
    <w:pPr>
      <w:tabs>
        <w:tab w:val="center" w:pos="4419"/>
        <w:tab w:val="right" w:pos="8838"/>
      </w:tabs>
    </w:pPr>
  </w:style>
  <w:style w:type="character" w:customStyle="1" w:styleId="PieddepageCar">
    <w:name w:val="Pied de page Car"/>
    <w:basedOn w:val="Policepardfaut"/>
    <w:link w:val="Pieddepage"/>
    <w:rsid w:val="004C14EB"/>
    <w:rPr>
      <w:rFonts w:ascii="Times New Roman" w:eastAsia="Times New Roman" w:hAnsi="Times New Roman" w:cs="Times New Roman"/>
      <w:sz w:val="20"/>
      <w:szCs w:val="20"/>
      <w:lang w:eastAsia="es-ES"/>
    </w:rPr>
  </w:style>
  <w:style w:type="character" w:styleId="Numrodepage">
    <w:name w:val="page number"/>
    <w:rsid w:val="004C14EB"/>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qFormat/>
    <w:rsid w:val="004C14EB"/>
  </w:style>
  <w:style w:type="character" w:customStyle="1" w:styleId="TextonotapieCar">
    <w:name w:val="Texto nota pie Car"/>
    <w:basedOn w:val="Policepardfaut"/>
    <w:uiPriority w:val="99"/>
    <w:semiHidden/>
    <w:rsid w:val="004C14EB"/>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BVI fnr,Footnote symbol,Footnote,Ref. de nota al pie2,Nota de pie,Ref,de nota al pie,Pie de pagina,Ref. ...,Ref1,FC,Ref. de nota al pie 2,Footnotes refss"/>
    <w:uiPriority w:val="99"/>
    <w:rsid w:val="004C14EB"/>
    <w:rPr>
      <w:rFonts w:cs="Times New Roman"/>
      <w:vertAlign w:val="superscript"/>
    </w:rPr>
  </w:style>
  <w:style w:type="paragraph" w:styleId="Retraitcorpsdetexte">
    <w:name w:val="Body Text Indent"/>
    <w:basedOn w:val="Normal"/>
    <w:link w:val="RetraitcorpsdetexteCar"/>
    <w:rsid w:val="004C14EB"/>
    <w:pPr>
      <w:spacing w:after="120"/>
      <w:ind w:left="283"/>
    </w:pPr>
  </w:style>
  <w:style w:type="character" w:customStyle="1" w:styleId="RetraitcorpsdetexteCar">
    <w:name w:val="Retrait corps de texte Car"/>
    <w:basedOn w:val="Policepardfaut"/>
    <w:link w:val="Retraitcorpsdetexte"/>
    <w:rsid w:val="004C14EB"/>
    <w:rPr>
      <w:rFonts w:ascii="Times New Roman" w:eastAsia="Times New Roman" w:hAnsi="Times New Roman" w:cs="Times New Roman"/>
      <w:sz w:val="20"/>
      <w:szCs w:val="20"/>
      <w:lang w:eastAsia="es-ES"/>
    </w:rPr>
  </w:style>
  <w:style w:type="paragraph" w:customStyle="1" w:styleId="Corpsdetexte21">
    <w:name w:val="Corps de texte 21"/>
    <w:basedOn w:val="Normal"/>
    <w:rsid w:val="004C14EB"/>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uiPriority w:val="99"/>
    <w:locked/>
    <w:rsid w:val="004C14EB"/>
    <w:rPr>
      <w:rFonts w:ascii="Times New Roman" w:eastAsia="Times New Roman" w:hAnsi="Times New Roman" w:cs="Times New Roman"/>
      <w:sz w:val="20"/>
      <w:szCs w:val="20"/>
      <w:lang w:eastAsia="es-ES"/>
    </w:rPr>
  </w:style>
  <w:style w:type="paragraph" w:customStyle="1" w:styleId="Sansinterligne1">
    <w:name w:val="Sans interligne1"/>
    <w:rsid w:val="004C14EB"/>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4C14EB"/>
    <w:pPr>
      <w:spacing w:line="360" w:lineRule="auto"/>
      <w:ind w:firstLine="2835"/>
      <w:jc w:val="both"/>
    </w:pPr>
    <w:rPr>
      <w:rFonts w:ascii="Verdana" w:hAnsi="Verdana" w:cs="Verdana"/>
      <w:sz w:val="24"/>
      <w:szCs w:val="24"/>
    </w:rPr>
  </w:style>
  <w:style w:type="paragraph" w:customStyle="1" w:styleId="BodyText25">
    <w:name w:val="Body Text 25"/>
    <w:basedOn w:val="Normal"/>
    <w:rsid w:val="004C14EB"/>
    <w:pPr>
      <w:overflowPunct/>
      <w:autoSpaceDE/>
      <w:autoSpaceDN/>
      <w:adjustRightInd/>
      <w:ind w:right="51"/>
      <w:jc w:val="both"/>
      <w:textAlignment w:val="auto"/>
    </w:pPr>
    <w:rPr>
      <w:rFonts w:ascii="Arial" w:hAnsi="Arial"/>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4E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4C14EB"/>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4C14EB"/>
    <w:rPr>
      <w:rFonts w:ascii="Perpetua" w:eastAsia="Times New Roman" w:hAnsi="Perpetua" w:cs="Times New Roman"/>
      <w:sz w:val="28"/>
      <w:szCs w:val="20"/>
      <w:lang w:val="es-MX" w:eastAsia="es-ES"/>
    </w:rPr>
  </w:style>
  <w:style w:type="paragraph" w:styleId="Corpsdetexte2">
    <w:name w:val="Body Text 2"/>
    <w:basedOn w:val="Normal"/>
    <w:link w:val="Corpsdetexte2Car"/>
    <w:rsid w:val="004C14EB"/>
    <w:pPr>
      <w:spacing w:after="120" w:line="480" w:lineRule="auto"/>
    </w:pPr>
  </w:style>
  <w:style w:type="character" w:customStyle="1" w:styleId="Corpsdetexte2Car">
    <w:name w:val="Corps de texte 2 Car"/>
    <w:basedOn w:val="Policepardfaut"/>
    <w:link w:val="Corpsdetexte2"/>
    <w:rsid w:val="004C14EB"/>
    <w:rPr>
      <w:rFonts w:ascii="Times New Roman" w:eastAsia="Times New Roman" w:hAnsi="Times New Roman" w:cs="Times New Roman"/>
      <w:sz w:val="20"/>
      <w:szCs w:val="20"/>
      <w:lang w:eastAsia="es-ES"/>
    </w:rPr>
  </w:style>
  <w:style w:type="paragraph" w:styleId="Pieddepage">
    <w:name w:val="footer"/>
    <w:basedOn w:val="Normal"/>
    <w:link w:val="PieddepageCar"/>
    <w:rsid w:val="004C14EB"/>
    <w:pPr>
      <w:tabs>
        <w:tab w:val="center" w:pos="4419"/>
        <w:tab w:val="right" w:pos="8838"/>
      </w:tabs>
    </w:pPr>
  </w:style>
  <w:style w:type="character" w:customStyle="1" w:styleId="PieddepageCar">
    <w:name w:val="Pied de page Car"/>
    <w:basedOn w:val="Policepardfaut"/>
    <w:link w:val="Pieddepage"/>
    <w:rsid w:val="004C14EB"/>
    <w:rPr>
      <w:rFonts w:ascii="Times New Roman" w:eastAsia="Times New Roman" w:hAnsi="Times New Roman" w:cs="Times New Roman"/>
      <w:sz w:val="20"/>
      <w:szCs w:val="20"/>
      <w:lang w:eastAsia="es-ES"/>
    </w:rPr>
  </w:style>
  <w:style w:type="character" w:styleId="Numrodepage">
    <w:name w:val="page number"/>
    <w:rsid w:val="004C14EB"/>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qFormat/>
    <w:rsid w:val="004C14EB"/>
  </w:style>
  <w:style w:type="character" w:customStyle="1" w:styleId="TextonotapieCar">
    <w:name w:val="Texto nota pie Car"/>
    <w:basedOn w:val="Policepardfaut"/>
    <w:uiPriority w:val="99"/>
    <w:semiHidden/>
    <w:rsid w:val="004C14EB"/>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BVI fnr,Footnote symbol,Footnote,Ref. de nota al pie2,Nota de pie,Ref,de nota al pie,Pie de pagina,Ref. ...,Ref1,FC,Ref. de nota al pie 2,Footnotes refss"/>
    <w:uiPriority w:val="99"/>
    <w:rsid w:val="004C14EB"/>
    <w:rPr>
      <w:rFonts w:cs="Times New Roman"/>
      <w:vertAlign w:val="superscript"/>
    </w:rPr>
  </w:style>
  <w:style w:type="paragraph" w:styleId="Retraitcorpsdetexte">
    <w:name w:val="Body Text Indent"/>
    <w:basedOn w:val="Normal"/>
    <w:link w:val="RetraitcorpsdetexteCar"/>
    <w:rsid w:val="004C14EB"/>
    <w:pPr>
      <w:spacing w:after="120"/>
      <w:ind w:left="283"/>
    </w:pPr>
  </w:style>
  <w:style w:type="character" w:customStyle="1" w:styleId="RetraitcorpsdetexteCar">
    <w:name w:val="Retrait corps de texte Car"/>
    <w:basedOn w:val="Policepardfaut"/>
    <w:link w:val="Retraitcorpsdetexte"/>
    <w:rsid w:val="004C14EB"/>
    <w:rPr>
      <w:rFonts w:ascii="Times New Roman" w:eastAsia="Times New Roman" w:hAnsi="Times New Roman" w:cs="Times New Roman"/>
      <w:sz w:val="20"/>
      <w:szCs w:val="20"/>
      <w:lang w:eastAsia="es-ES"/>
    </w:rPr>
  </w:style>
  <w:style w:type="paragraph" w:customStyle="1" w:styleId="Corpsdetexte21">
    <w:name w:val="Corps de texte 21"/>
    <w:basedOn w:val="Normal"/>
    <w:rsid w:val="004C14EB"/>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uiPriority w:val="99"/>
    <w:locked/>
    <w:rsid w:val="004C14EB"/>
    <w:rPr>
      <w:rFonts w:ascii="Times New Roman" w:eastAsia="Times New Roman" w:hAnsi="Times New Roman" w:cs="Times New Roman"/>
      <w:sz w:val="20"/>
      <w:szCs w:val="20"/>
      <w:lang w:eastAsia="es-ES"/>
    </w:rPr>
  </w:style>
  <w:style w:type="paragraph" w:customStyle="1" w:styleId="Sansinterligne1">
    <w:name w:val="Sans interligne1"/>
    <w:rsid w:val="004C14EB"/>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4C14EB"/>
    <w:pPr>
      <w:spacing w:line="360" w:lineRule="auto"/>
      <w:ind w:firstLine="2835"/>
      <w:jc w:val="both"/>
    </w:pPr>
    <w:rPr>
      <w:rFonts w:ascii="Verdana" w:hAnsi="Verdana" w:cs="Verdana"/>
      <w:sz w:val="24"/>
      <w:szCs w:val="24"/>
    </w:rPr>
  </w:style>
  <w:style w:type="paragraph" w:customStyle="1" w:styleId="BodyText25">
    <w:name w:val="Body Text 25"/>
    <w:basedOn w:val="Normal"/>
    <w:rsid w:val="004C14EB"/>
    <w:pPr>
      <w:overflowPunct/>
      <w:autoSpaceDE/>
      <w:autoSpaceDN/>
      <w:adjustRightInd/>
      <w:ind w:right="51"/>
      <w:jc w:val="both"/>
      <w:textAlignment w:val="auto"/>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2648</Words>
  <Characters>14568</Characters>
  <Application>Microsoft Office Word</Application>
  <DocSecurity>0</DocSecurity>
  <Lines>121</Lines>
  <Paragraphs>34</Paragraphs>
  <ScaleCrop>false</ScaleCrop>
  <Company/>
  <LinksUpToDate>false</LinksUpToDate>
  <CharactersWithSpaces>17182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3</cp:revision>
  <dcterms:created xsi:type="dcterms:W3CDTF">2017-05-08T15:16:00Z</dcterms:created>
  <dcterms:modified xsi:type="dcterms:W3CDTF">2017-05-11T22:25:00Z</dcterms:modified>
</cp:coreProperties>
</file>