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FA" w:rsidRPr="00666CFA" w:rsidRDefault="00666CFA" w:rsidP="00666CFA">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666CFA">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66CFA">
        <w:rPr>
          <w:rFonts w:ascii="Calibri" w:eastAsia="Calibri" w:hAnsi="Calibri" w:cs="Calibri"/>
          <w:color w:val="222222"/>
          <w:sz w:val="16"/>
          <w:szCs w:val="16"/>
          <w:lang w:val="es-CO" w:eastAsia="fr-FR"/>
        </w:rPr>
        <w:t> </w:t>
      </w:r>
    </w:p>
    <w:p w:rsidR="00666CFA" w:rsidRPr="00666CFA" w:rsidRDefault="00666CFA" w:rsidP="00666CFA">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666CFA">
        <w:rPr>
          <w:rFonts w:ascii="Calibri" w:hAnsi="Calibri" w:cs="Calibri"/>
          <w:color w:val="222222"/>
          <w:sz w:val="18"/>
          <w:szCs w:val="18"/>
          <w:lang w:val="es-CO" w:eastAsia="fr-FR"/>
        </w:rPr>
        <w:t>Providencia:</w:t>
      </w:r>
      <w:r w:rsidRPr="00666CFA">
        <w:rPr>
          <w:rFonts w:ascii="Calibri" w:hAnsi="Calibri" w:cs="Calibri"/>
          <w:color w:val="222222"/>
          <w:sz w:val="18"/>
          <w:szCs w:val="18"/>
          <w:lang w:val="es-CO" w:eastAsia="fr-FR"/>
        </w:rPr>
        <w:tab/>
        <w:t>Sentencia -  2ª instancia – 22 de marzo de 2017</w:t>
      </w:r>
    </w:p>
    <w:p w:rsidR="00666CFA" w:rsidRPr="00666CFA" w:rsidRDefault="00666CFA" w:rsidP="00666CF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666CFA">
        <w:rPr>
          <w:rFonts w:ascii="Calibri" w:eastAsia="Calibri" w:hAnsi="Calibri" w:cs="Calibri"/>
          <w:color w:val="222222"/>
          <w:sz w:val="18"/>
          <w:szCs w:val="18"/>
          <w:lang w:val="es-CO" w:eastAsia="fr-FR"/>
        </w:rPr>
        <w:t>Proceso:    </w:t>
      </w:r>
      <w:r w:rsidRPr="00666CFA">
        <w:rPr>
          <w:rFonts w:ascii="Calibri" w:eastAsia="Calibri" w:hAnsi="Calibri" w:cs="Calibri"/>
          <w:color w:val="222222"/>
          <w:sz w:val="18"/>
          <w:szCs w:val="18"/>
          <w:lang w:val="es-CO" w:eastAsia="fr-FR"/>
        </w:rPr>
        <w:tab/>
      </w:r>
      <w:r w:rsidRPr="00666CFA">
        <w:rPr>
          <w:rFonts w:ascii="Calibri" w:eastAsia="Calibri" w:hAnsi="Calibri" w:cs="Calibri"/>
          <w:color w:val="222222"/>
          <w:spacing w:val="-6"/>
          <w:sz w:val="18"/>
          <w:szCs w:val="18"/>
          <w:lang w:val="es-CO" w:eastAsia="fr-FR"/>
        </w:rPr>
        <w:t>Acción de Tutela – Modifica decisión del a quo y declara hecho superado</w:t>
      </w:r>
    </w:p>
    <w:p w:rsidR="00666CFA" w:rsidRPr="00666CFA" w:rsidRDefault="00666CFA" w:rsidP="00666CF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666CFA">
        <w:rPr>
          <w:rFonts w:ascii="Calibri" w:eastAsia="Calibri" w:hAnsi="Calibri" w:cs="Calibri"/>
          <w:color w:val="222222"/>
          <w:sz w:val="18"/>
          <w:szCs w:val="18"/>
          <w:lang w:val="es-CO" w:eastAsia="fr-FR"/>
        </w:rPr>
        <w:t>Radicación Nro. :</w:t>
      </w:r>
      <w:r w:rsidRPr="00666CFA">
        <w:rPr>
          <w:rFonts w:ascii="Calibri" w:eastAsia="Calibri" w:hAnsi="Calibri" w:cs="Calibri"/>
          <w:color w:val="222222"/>
          <w:sz w:val="18"/>
          <w:szCs w:val="18"/>
          <w:lang w:val="es-CO" w:eastAsia="fr-FR"/>
        </w:rPr>
        <w:tab/>
      </w:r>
      <w:r w:rsidRPr="00666CFA">
        <w:rPr>
          <w:rFonts w:ascii="Calibri" w:eastAsia="Calibri" w:hAnsi="Calibri" w:cs="Calibri"/>
          <w:bCs/>
          <w:iCs/>
          <w:color w:val="222222"/>
          <w:sz w:val="18"/>
          <w:szCs w:val="18"/>
          <w:lang w:val="es-419" w:eastAsia="fr-FR"/>
        </w:rPr>
        <w:t>660</w:t>
      </w:r>
      <w:r w:rsidRPr="00666CFA">
        <w:rPr>
          <w:rFonts w:ascii="Calibri" w:eastAsia="Calibri" w:hAnsi="Calibri" w:cs="Calibri"/>
          <w:bCs/>
          <w:iCs/>
          <w:color w:val="222222"/>
          <w:sz w:val="18"/>
          <w:szCs w:val="18"/>
          <w:lang w:val="es-CO" w:eastAsia="fr-FR"/>
        </w:rPr>
        <w:t>01</w:t>
      </w:r>
      <w:r w:rsidRPr="00666CFA">
        <w:rPr>
          <w:rFonts w:ascii="Calibri" w:eastAsia="Calibri" w:hAnsi="Calibri" w:cs="Calibri"/>
          <w:bCs/>
          <w:iCs/>
          <w:color w:val="222222"/>
          <w:sz w:val="18"/>
          <w:szCs w:val="18"/>
          <w:lang w:val="es-419" w:eastAsia="fr-FR"/>
        </w:rPr>
        <w:t>-31-03-00</w:t>
      </w:r>
      <w:r w:rsidRPr="00666CFA">
        <w:rPr>
          <w:rFonts w:ascii="Calibri" w:eastAsia="Calibri" w:hAnsi="Calibri" w:cs="Calibri"/>
          <w:bCs/>
          <w:iCs/>
          <w:color w:val="222222"/>
          <w:sz w:val="18"/>
          <w:szCs w:val="18"/>
          <w:lang w:val="es-CO" w:eastAsia="fr-FR"/>
        </w:rPr>
        <w:t>2</w:t>
      </w:r>
      <w:r w:rsidRPr="00666CFA">
        <w:rPr>
          <w:rFonts w:ascii="Calibri" w:eastAsia="Calibri" w:hAnsi="Calibri" w:cs="Calibri"/>
          <w:bCs/>
          <w:iCs/>
          <w:color w:val="222222"/>
          <w:sz w:val="18"/>
          <w:szCs w:val="18"/>
          <w:lang w:val="es-419" w:eastAsia="fr-FR"/>
        </w:rPr>
        <w:t>-2017-00032-01</w:t>
      </w:r>
      <w:r w:rsidRPr="00666CFA">
        <w:rPr>
          <w:rFonts w:ascii="Calibri" w:eastAsia="Calibri" w:hAnsi="Calibri" w:cs="Calibri"/>
          <w:bCs/>
          <w:iCs/>
          <w:color w:val="222222"/>
          <w:sz w:val="18"/>
          <w:szCs w:val="18"/>
          <w:lang w:eastAsia="fr-FR"/>
        </w:rPr>
        <w:tab/>
      </w:r>
    </w:p>
    <w:p w:rsidR="00666CFA" w:rsidRPr="00666CFA" w:rsidRDefault="00666CFA" w:rsidP="00666CF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666CFA">
        <w:rPr>
          <w:rFonts w:ascii="Calibri" w:eastAsia="Calibri" w:hAnsi="Calibri" w:cs="Calibri"/>
          <w:bCs/>
          <w:iCs/>
          <w:color w:val="222222"/>
          <w:sz w:val="18"/>
          <w:szCs w:val="18"/>
          <w:lang w:eastAsia="fr-FR"/>
        </w:rPr>
        <w:t>A</w:t>
      </w:r>
      <w:proofErr w:type="spellStart"/>
      <w:r w:rsidRPr="00666CFA">
        <w:rPr>
          <w:rFonts w:ascii="Calibri" w:eastAsia="Calibri" w:hAnsi="Calibri" w:cs="Calibri"/>
          <w:color w:val="222222"/>
          <w:sz w:val="18"/>
          <w:szCs w:val="18"/>
          <w:lang w:val="es-CO" w:eastAsia="fr-FR"/>
        </w:rPr>
        <w:t>ccionante</w:t>
      </w:r>
      <w:proofErr w:type="spellEnd"/>
      <w:r w:rsidRPr="00666CFA">
        <w:rPr>
          <w:rFonts w:ascii="Calibri" w:eastAsia="Calibri" w:hAnsi="Calibri" w:cs="Calibri"/>
          <w:color w:val="222222"/>
          <w:sz w:val="18"/>
          <w:szCs w:val="18"/>
          <w:lang w:val="es-CO" w:eastAsia="fr-FR"/>
        </w:rPr>
        <w:t>:</w:t>
      </w:r>
      <w:r w:rsidRPr="00666CFA">
        <w:rPr>
          <w:rFonts w:ascii="Calibri" w:eastAsia="Calibri" w:hAnsi="Calibri" w:cs="Calibri"/>
          <w:color w:val="222222"/>
          <w:sz w:val="18"/>
          <w:szCs w:val="18"/>
          <w:lang w:val="es-CO" w:eastAsia="fr-FR"/>
        </w:rPr>
        <w:tab/>
        <w:t>JUAN ALBERTO RAMÍREZ TORO</w:t>
      </w:r>
    </w:p>
    <w:p w:rsidR="00666CFA" w:rsidRPr="00666CFA" w:rsidRDefault="00666CFA" w:rsidP="00666CF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666CFA">
        <w:rPr>
          <w:rFonts w:ascii="Calibri" w:eastAsia="Calibri" w:hAnsi="Calibri" w:cs="Calibri"/>
          <w:bCs/>
          <w:color w:val="222222"/>
          <w:sz w:val="18"/>
          <w:szCs w:val="18"/>
          <w:lang w:val="es-ES_tradnl" w:eastAsia="fr-FR"/>
        </w:rPr>
        <w:t>A</w:t>
      </w:r>
      <w:proofErr w:type="spellStart"/>
      <w:r w:rsidRPr="00666CFA">
        <w:rPr>
          <w:rFonts w:ascii="Calibri" w:eastAsia="Calibri" w:hAnsi="Calibri" w:cs="Calibri"/>
          <w:color w:val="222222"/>
          <w:sz w:val="18"/>
          <w:szCs w:val="18"/>
          <w:lang w:val="es-CO" w:eastAsia="fr-FR"/>
        </w:rPr>
        <w:t>ccionado</w:t>
      </w:r>
      <w:proofErr w:type="spellEnd"/>
      <w:r w:rsidRPr="00666CFA">
        <w:rPr>
          <w:rFonts w:ascii="Calibri" w:eastAsia="Calibri" w:hAnsi="Calibri" w:cs="Calibri"/>
          <w:color w:val="222222"/>
          <w:sz w:val="18"/>
          <w:szCs w:val="18"/>
          <w:lang w:val="es-CO" w:eastAsia="fr-FR"/>
        </w:rPr>
        <w:t>:</w:t>
      </w:r>
      <w:r w:rsidRPr="00666CFA">
        <w:rPr>
          <w:rFonts w:ascii="Calibri" w:eastAsia="Calibri" w:hAnsi="Calibri" w:cs="Calibri"/>
          <w:color w:val="222222"/>
          <w:sz w:val="18"/>
          <w:szCs w:val="18"/>
          <w:lang w:val="es-CO" w:eastAsia="fr-FR"/>
        </w:rPr>
        <w:tab/>
      </w:r>
      <w:r w:rsidRPr="00666CFA">
        <w:rPr>
          <w:rFonts w:ascii="Calibri" w:eastAsia="Calibri" w:hAnsi="Calibri" w:cs="Calibri"/>
          <w:color w:val="222222"/>
          <w:sz w:val="18"/>
          <w:szCs w:val="18"/>
          <w:lang w:eastAsia="fr-FR"/>
        </w:rPr>
        <w:t>INSTITUTO GEOGRÁFICO AGUSTÍN CODAZZI TERRITORIAL RISARALDA</w:t>
      </w:r>
    </w:p>
    <w:p w:rsidR="00666CFA" w:rsidRPr="00666CFA" w:rsidRDefault="00666CFA" w:rsidP="00666CF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666CFA">
        <w:rPr>
          <w:rFonts w:ascii="Calibri" w:eastAsia="Calibri" w:hAnsi="Calibri" w:cs="Calibri"/>
          <w:color w:val="222222"/>
          <w:sz w:val="18"/>
          <w:szCs w:val="18"/>
          <w:lang w:val="es-CO" w:eastAsia="fr-FR"/>
        </w:rPr>
        <w:t>Magistrado Ponente: </w:t>
      </w:r>
      <w:r w:rsidRPr="00666CFA">
        <w:rPr>
          <w:rFonts w:ascii="Calibri" w:eastAsia="Calibri" w:hAnsi="Calibri" w:cs="Calibri"/>
          <w:color w:val="222222"/>
          <w:sz w:val="18"/>
          <w:szCs w:val="18"/>
          <w:lang w:val="es-CO" w:eastAsia="fr-FR"/>
        </w:rPr>
        <w:tab/>
      </w:r>
      <w:r w:rsidRPr="00666CFA">
        <w:rPr>
          <w:rFonts w:ascii="Calibri" w:eastAsia="Calibri" w:hAnsi="Calibri" w:cs="Calibri"/>
          <w:bCs/>
          <w:color w:val="222222"/>
          <w:sz w:val="18"/>
          <w:szCs w:val="18"/>
          <w:lang w:val="es-MX" w:eastAsia="fr-FR"/>
        </w:rPr>
        <w:t>JAIME ALBERTO SARAZA NARANJO</w:t>
      </w:r>
    </w:p>
    <w:p w:rsidR="00666CFA" w:rsidRPr="00666CFA" w:rsidRDefault="00666CFA" w:rsidP="00666CFA">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666CFA">
        <w:rPr>
          <w:rFonts w:ascii="Calibri" w:eastAsia="Calibri" w:hAnsi="Calibri" w:cs="Calibri"/>
          <w:bCs/>
          <w:iCs/>
          <w:color w:val="222222"/>
          <w:sz w:val="18"/>
          <w:szCs w:val="18"/>
          <w:lang w:val="es-CO" w:eastAsia="fr-FR"/>
        </w:rPr>
        <w:tab/>
        <w:t xml:space="preserve"> </w:t>
      </w:r>
    </w:p>
    <w:p w:rsidR="00666CFA" w:rsidRPr="00666CFA" w:rsidRDefault="00666CFA" w:rsidP="00666CFA">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666CFA">
        <w:rPr>
          <w:rFonts w:ascii="Calibri" w:eastAsia="Calibri" w:hAnsi="Calibri" w:cs="Calibri"/>
          <w:bCs/>
          <w:iCs/>
          <w:color w:val="222222"/>
          <w:sz w:val="18"/>
          <w:szCs w:val="18"/>
          <w:lang w:val="es-CO" w:eastAsia="fr-FR"/>
        </w:rPr>
        <w:t xml:space="preserve">Temas: </w:t>
      </w:r>
      <w:r w:rsidRPr="00666CFA">
        <w:rPr>
          <w:rFonts w:ascii="Calibri" w:eastAsia="Calibri" w:hAnsi="Calibri" w:cs="Calibri"/>
          <w:bCs/>
          <w:iCs/>
          <w:color w:val="222222"/>
          <w:sz w:val="18"/>
          <w:szCs w:val="18"/>
          <w:lang w:val="es-CO" w:eastAsia="fr-FR"/>
        </w:rPr>
        <w:tab/>
      </w:r>
      <w:r w:rsidRPr="00666CFA">
        <w:rPr>
          <w:rFonts w:ascii="Calibri" w:eastAsia="Calibri" w:hAnsi="Calibri" w:cs="Calibri"/>
          <w:b/>
          <w:bCs/>
          <w:iCs/>
          <w:color w:val="222222"/>
          <w:sz w:val="18"/>
          <w:szCs w:val="18"/>
          <w:lang w:val="es-CO" w:eastAsia="fr-FR"/>
        </w:rPr>
        <w:t xml:space="preserve">DERECHO DE PETICIÓN / </w:t>
      </w:r>
      <w:r w:rsidRPr="00666CFA">
        <w:rPr>
          <w:rFonts w:ascii="Calibri" w:eastAsia="Calibri" w:hAnsi="Calibri" w:cs="Calibri"/>
          <w:b/>
          <w:bCs/>
          <w:iCs/>
          <w:color w:val="222222"/>
          <w:sz w:val="18"/>
          <w:szCs w:val="18"/>
          <w:lang w:eastAsia="fr-FR"/>
        </w:rPr>
        <w:t xml:space="preserve">CARENCIA ACTUAL DE OBJETO. </w:t>
      </w:r>
      <w:r w:rsidRPr="00666CFA">
        <w:rPr>
          <w:rFonts w:ascii="Calibri" w:eastAsia="Calibri" w:hAnsi="Calibri" w:cs="Calibri"/>
          <w:bCs/>
          <w:iCs/>
          <w:color w:val="222222"/>
          <w:sz w:val="18"/>
          <w:szCs w:val="18"/>
          <w:lang w:eastAsia="fr-FR"/>
        </w:rPr>
        <w:t>“[D]</w:t>
      </w:r>
      <w:proofErr w:type="spellStart"/>
      <w:r w:rsidRPr="00666CFA">
        <w:rPr>
          <w:rFonts w:ascii="Calibri" w:eastAsia="Calibri" w:hAnsi="Calibri" w:cs="Calibri"/>
          <w:bCs/>
          <w:iCs/>
          <w:color w:val="222222"/>
          <w:sz w:val="18"/>
          <w:szCs w:val="18"/>
          <w:lang w:val="es-CO" w:eastAsia="fr-FR"/>
        </w:rPr>
        <w:t>escendiendo</w:t>
      </w:r>
      <w:proofErr w:type="spellEnd"/>
      <w:r w:rsidRPr="00666CFA">
        <w:rPr>
          <w:rFonts w:ascii="Calibri" w:eastAsia="Calibri" w:hAnsi="Calibri" w:cs="Calibri"/>
          <w:bCs/>
          <w:iCs/>
          <w:color w:val="222222"/>
          <w:sz w:val="18"/>
          <w:szCs w:val="18"/>
          <w:lang w:val="es-CO" w:eastAsia="fr-FR"/>
        </w:rPr>
        <w:t xml:space="preserve"> a la queja que plantea el accionante, la contestación que se generó, sí hace saber de manera clara y concreta lo relacionado con su requerimiento, si bien en forma explícita y con los argumentos necesarios, atendiendo la infraestructura física y humana de la entidad, se señaló el turno que le correspondía para desatar finalmente el pedimento elevado. </w:t>
      </w:r>
      <w:r w:rsidRPr="00666CFA">
        <w:rPr>
          <w:rFonts w:ascii="Calibri" w:eastAsia="Calibri" w:hAnsi="Calibri" w:cs="Calibri"/>
          <w:bCs/>
          <w:iCs/>
          <w:color w:val="222222"/>
          <w:sz w:val="18"/>
          <w:szCs w:val="18"/>
          <w:lang w:eastAsia="fr-FR"/>
        </w:rPr>
        <w:t>(…) [U]</w:t>
      </w:r>
      <w:proofErr w:type="spellStart"/>
      <w:r w:rsidRPr="00666CFA">
        <w:rPr>
          <w:rFonts w:ascii="Calibri" w:eastAsia="Calibri" w:hAnsi="Calibri" w:cs="Calibri"/>
          <w:bCs/>
          <w:iCs/>
          <w:color w:val="222222"/>
          <w:sz w:val="18"/>
          <w:szCs w:val="18"/>
          <w:lang w:eastAsia="fr-FR"/>
        </w:rPr>
        <w:t>na</w:t>
      </w:r>
      <w:proofErr w:type="spellEnd"/>
      <w:r w:rsidRPr="00666CFA">
        <w:rPr>
          <w:rFonts w:ascii="Calibri" w:eastAsia="Calibri" w:hAnsi="Calibri" w:cs="Calibri"/>
          <w:bCs/>
          <w:iCs/>
          <w:color w:val="222222"/>
          <w:sz w:val="18"/>
          <w:szCs w:val="18"/>
          <w:lang w:eastAsia="fr-FR"/>
        </w:rPr>
        <w:t xml:space="preserve"> cosa es que se deje de resolver materialmente lo pedido, y otra diversa es que se pretenda forzar la manera en que debe darse la respuesta, lo que alteraría la naturaleza misma del derecho que nos ocupa. En tal orden de ideas, en el presente evento, lo que se advierte, entonces, es que el Instituto se allanó a brindar la respuesta a la que estaba obligada bajo los fundamentos puntuales sobre lo que concierne al tema propuesto. Finalmente, es del caso anotar que no resulta adecuado negar lo que es improcedente, tal como lo concluyó el Juzgado, pues ante una causal de tal estirpe, esto es, de improcedencia, se </w:t>
      </w:r>
      <w:r w:rsidRPr="00666CFA">
        <w:rPr>
          <w:rFonts w:ascii="Calibri" w:eastAsia="Calibri" w:hAnsi="Calibri" w:cs="Calibri"/>
          <w:bCs/>
          <w:iCs/>
          <w:color w:val="222222"/>
          <w:sz w:val="18"/>
          <w:szCs w:val="18"/>
          <w:lang w:val="es-419" w:eastAsia="fr-FR"/>
        </w:rPr>
        <w:t xml:space="preserve">torna innecesario </w:t>
      </w:r>
      <w:r w:rsidRPr="00666CFA">
        <w:rPr>
          <w:rFonts w:ascii="Calibri" w:eastAsia="Calibri" w:hAnsi="Calibri" w:cs="Calibri"/>
          <w:bCs/>
          <w:iCs/>
          <w:color w:val="222222"/>
          <w:sz w:val="18"/>
          <w:szCs w:val="18"/>
          <w:lang w:eastAsia="fr-FR"/>
        </w:rPr>
        <w:t xml:space="preserve">un análisis de fondo </w:t>
      </w:r>
      <w:r w:rsidRPr="00666CFA">
        <w:rPr>
          <w:rFonts w:ascii="Calibri" w:eastAsia="Calibri" w:hAnsi="Calibri" w:cs="Calibri"/>
          <w:bCs/>
          <w:iCs/>
          <w:color w:val="222222"/>
          <w:sz w:val="18"/>
          <w:szCs w:val="18"/>
          <w:lang w:val="es-419" w:eastAsia="fr-FR"/>
        </w:rPr>
        <w:t>del asunto. Aquí, en realidad lo que ha debido es negarse por cuanto el hecho fue superado, sentido en el cual se modificará el ordinal primero de la resolutiva.”.</w:t>
      </w:r>
    </w:p>
    <w:p w:rsidR="00666CFA" w:rsidRDefault="00666CFA" w:rsidP="00DE2148">
      <w:pPr>
        <w:keepNext/>
        <w:overflowPunct/>
        <w:spacing w:line="276" w:lineRule="auto"/>
        <w:jc w:val="both"/>
        <w:textAlignment w:val="auto"/>
        <w:rPr>
          <w:rFonts w:ascii="Gadugi" w:hAnsi="Gadugi" w:cs="Arial Narrow"/>
          <w:sz w:val="24"/>
          <w:szCs w:val="24"/>
          <w:lang w:val="es-MX"/>
        </w:rPr>
      </w:pPr>
    </w:p>
    <w:p w:rsidR="00DE2148" w:rsidRPr="00DE2148" w:rsidRDefault="00DE2148" w:rsidP="00DE2148">
      <w:pPr>
        <w:keepNext/>
        <w:overflowPunct/>
        <w:spacing w:line="276" w:lineRule="auto"/>
        <w:jc w:val="both"/>
        <w:textAlignment w:val="auto"/>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26742B">
        <w:rPr>
          <w:rFonts w:ascii="Gadugi" w:hAnsi="Gadugi" w:cs="Arial Narrow"/>
          <w:sz w:val="24"/>
          <w:szCs w:val="24"/>
          <w:lang w:val="es-MX"/>
        </w:rPr>
        <w:t xml:space="preserve">  </w:t>
      </w:r>
      <w:r w:rsidRPr="0026742B">
        <w:rPr>
          <w:rFonts w:ascii="Gadugi" w:hAnsi="Gadugi" w:cs="Arial Narrow"/>
          <w:sz w:val="24"/>
          <w:szCs w:val="24"/>
          <w:lang w:val="es-MX"/>
        </w:rPr>
        <w:tab/>
      </w:r>
      <w:r w:rsidRPr="0026742B">
        <w:rPr>
          <w:rFonts w:ascii="Gadugi" w:hAnsi="Gadugi" w:cs="Arial Narrow"/>
          <w:sz w:val="24"/>
          <w:szCs w:val="24"/>
          <w:lang w:val="es-MX"/>
        </w:rPr>
        <w:tab/>
      </w:r>
      <w:r w:rsidRPr="0026742B">
        <w:rPr>
          <w:rFonts w:ascii="Gadugi" w:hAnsi="Gadugi" w:cs="Arial Narrow"/>
          <w:sz w:val="24"/>
          <w:szCs w:val="24"/>
          <w:lang w:val="es-MX"/>
        </w:rPr>
        <w:tab/>
      </w:r>
      <w:r w:rsidRPr="0026742B">
        <w:rPr>
          <w:rFonts w:ascii="Gadugi" w:hAnsi="Gadugi" w:cs="Arial Narrow"/>
          <w:sz w:val="24"/>
          <w:szCs w:val="24"/>
          <w:lang w:val="es-MX"/>
        </w:rPr>
        <w:tab/>
      </w:r>
      <w:r w:rsidRPr="00DE2148">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TRIBUNAL SUPERIOR DEL DISTRITO JUDICIAL </w:t>
      </w:r>
    </w:p>
    <w:p w:rsidR="00DE2148" w:rsidRPr="00DE2148" w:rsidRDefault="00DE2148" w:rsidP="00DE2148">
      <w:pPr>
        <w:overflowPunct/>
        <w:spacing w:line="276" w:lineRule="auto"/>
        <w:ind w:firstLine="2835"/>
        <w:jc w:val="both"/>
        <w:textAlignment w:val="auto"/>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DE2148">
        <w:rPr>
          <w:rFonts w:ascii="Gadugi" w:hAnsi="Gadugi"/>
          <w:sz w:val="26"/>
          <w:szCs w:val="26"/>
          <w14:shadow w14:blurRad="50800" w14:dist="38100" w14:dir="2700000" w14:sx="100000" w14:sy="100000" w14:kx="0" w14:ky="0" w14:algn="tl">
            <w14:srgbClr w14:val="000000">
              <w14:alpha w14:val="60000"/>
            </w14:srgbClr>
          </w14:shadow>
        </w:rPr>
        <w:t xml:space="preserve">      </w:t>
      </w:r>
      <w:r w:rsidRPr="00DE2148">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    SALA DE DECISIÓN CIVIL- FAMILIA </w:t>
      </w:r>
    </w:p>
    <w:p w:rsidR="00DE2148" w:rsidRPr="0026742B" w:rsidRDefault="00DE2148" w:rsidP="00DE2148">
      <w:pPr>
        <w:overflowPunct/>
        <w:spacing w:line="276" w:lineRule="auto"/>
        <w:ind w:firstLine="2835"/>
        <w:textAlignment w:val="auto"/>
        <w:rPr>
          <w:rFonts w:ascii="Gadugi" w:hAnsi="Gadugi" w:cs="Century Gothic"/>
          <w:sz w:val="24"/>
          <w:szCs w:val="24"/>
        </w:rPr>
      </w:pPr>
    </w:p>
    <w:p w:rsidR="00DE2148" w:rsidRPr="0026742B" w:rsidRDefault="00DE2148" w:rsidP="00DE2148">
      <w:pPr>
        <w:overflowPunct/>
        <w:spacing w:line="276" w:lineRule="auto"/>
        <w:ind w:firstLine="2835"/>
        <w:textAlignment w:val="auto"/>
        <w:rPr>
          <w:rFonts w:ascii="Gadugi" w:hAnsi="Gadugi" w:cs="Century Gothic"/>
          <w:sz w:val="24"/>
          <w:szCs w:val="24"/>
        </w:rPr>
      </w:pPr>
      <w:r w:rsidRPr="0026742B">
        <w:rPr>
          <w:rFonts w:ascii="Gadugi" w:hAnsi="Gadugi" w:cs="Century Gothic"/>
          <w:sz w:val="24"/>
          <w:szCs w:val="24"/>
        </w:rPr>
        <w:t xml:space="preserve">Magistrado: Jaime Alberto Saraza Naranjo  </w:t>
      </w:r>
    </w:p>
    <w:p w:rsidR="00DE2148" w:rsidRPr="00C51BF4" w:rsidRDefault="00DE2148" w:rsidP="00DE2148">
      <w:pPr>
        <w:overflowPunct/>
        <w:spacing w:line="276" w:lineRule="auto"/>
        <w:ind w:firstLine="2835"/>
        <w:textAlignment w:val="auto"/>
        <w:rPr>
          <w:rFonts w:ascii="Gadugi" w:hAnsi="Gadugi" w:cs="Century Gothic"/>
          <w:sz w:val="24"/>
          <w:szCs w:val="24"/>
          <w:lang w:val="es-419"/>
        </w:rPr>
      </w:pPr>
      <w:r w:rsidRPr="0026742B">
        <w:rPr>
          <w:rFonts w:ascii="Gadugi" w:hAnsi="Gadugi" w:cs="Century Gothic"/>
          <w:sz w:val="24"/>
          <w:szCs w:val="24"/>
        </w:rPr>
        <w:t xml:space="preserve">Pereira, </w:t>
      </w:r>
      <w:r>
        <w:rPr>
          <w:rFonts w:ascii="Gadugi" w:hAnsi="Gadugi" w:cs="Century Gothic"/>
          <w:sz w:val="24"/>
          <w:szCs w:val="24"/>
          <w:lang w:val="es-419"/>
        </w:rPr>
        <w:t>marzo veintidós de dos mil diecisiete</w:t>
      </w:r>
    </w:p>
    <w:p w:rsidR="00DE2148" w:rsidRPr="0026742B" w:rsidRDefault="00DE2148" w:rsidP="00DE2148">
      <w:pPr>
        <w:overflowPunct/>
        <w:spacing w:line="276" w:lineRule="auto"/>
        <w:ind w:firstLine="2835"/>
        <w:textAlignment w:val="auto"/>
        <w:rPr>
          <w:rFonts w:ascii="Gadugi" w:hAnsi="Gadugi" w:cs="Century Gothic"/>
          <w:sz w:val="24"/>
          <w:szCs w:val="24"/>
          <w:lang w:val="es-419"/>
        </w:rPr>
      </w:pPr>
      <w:r w:rsidRPr="0026742B">
        <w:rPr>
          <w:rFonts w:ascii="Gadugi" w:hAnsi="Gadugi" w:cs="Century Gothic"/>
          <w:sz w:val="24"/>
          <w:szCs w:val="24"/>
        </w:rPr>
        <w:t xml:space="preserve">Expediente </w:t>
      </w:r>
      <w:r w:rsidRPr="0026742B">
        <w:rPr>
          <w:rFonts w:ascii="Gadugi" w:hAnsi="Gadugi" w:cs="Century Gothic"/>
          <w:sz w:val="24"/>
          <w:szCs w:val="24"/>
          <w:lang w:val="es-419"/>
        </w:rPr>
        <w:t>660</w:t>
      </w:r>
      <w:r w:rsidRPr="0026742B">
        <w:rPr>
          <w:rFonts w:ascii="Gadugi" w:hAnsi="Gadugi" w:cs="Century Gothic"/>
          <w:sz w:val="24"/>
          <w:szCs w:val="24"/>
          <w:lang w:val="es-CO"/>
        </w:rPr>
        <w:t>01</w:t>
      </w:r>
      <w:r w:rsidRPr="0026742B">
        <w:rPr>
          <w:rFonts w:ascii="Gadugi" w:hAnsi="Gadugi" w:cs="Century Gothic"/>
          <w:sz w:val="24"/>
          <w:szCs w:val="24"/>
          <w:lang w:val="es-419"/>
        </w:rPr>
        <w:t>-31-03-00</w:t>
      </w:r>
      <w:r w:rsidRPr="0026742B">
        <w:rPr>
          <w:rFonts w:ascii="Gadugi" w:hAnsi="Gadugi" w:cs="Century Gothic"/>
          <w:sz w:val="24"/>
          <w:szCs w:val="24"/>
          <w:lang w:val="es-CO"/>
        </w:rPr>
        <w:t>2</w:t>
      </w:r>
      <w:r w:rsidRPr="0026742B">
        <w:rPr>
          <w:rFonts w:ascii="Gadugi" w:hAnsi="Gadugi" w:cs="Century Gothic"/>
          <w:sz w:val="24"/>
          <w:szCs w:val="24"/>
          <w:lang w:val="es-419"/>
        </w:rPr>
        <w:t>-2017-00032-01</w:t>
      </w:r>
    </w:p>
    <w:p w:rsidR="00DE2148" w:rsidRPr="00C51BF4" w:rsidRDefault="00DE2148" w:rsidP="00DE2148">
      <w:pPr>
        <w:overflowPunct/>
        <w:spacing w:line="276" w:lineRule="auto"/>
        <w:ind w:firstLine="2835"/>
        <w:jc w:val="both"/>
        <w:textAlignment w:val="auto"/>
        <w:rPr>
          <w:rFonts w:ascii="Gadugi" w:hAnsi="Gadugi" w:cs="Century Gothic"/>
          <w:sz w:val="24"/>
          <w:szCs w:val="24"/>
          <w:lang w:val="es-419"/>
        </w:rPr>
      </w:pPr>
      <w:r w:rsidRPr="0026742B">
        <w:rPr>
          <w:rFonts w:ascii="Gadugi" w:hAnsi="Gadugi" w:cs="Century Gothic"/>
          <w:sz w:val="24"/>
          <w:szCs w:val="24"/>
        </w:rPr>
        <w:t xml:space="preserve">Acta Nro. </w:t>
      </w:r>
      <w:r>
        <w:rPr>
          <w:rFonts w:ascii="Gadugi" w:hAnsi="Gadugi" w:cs="Century Gothic"/>
          <w:sz w:val="24"/>
          <w:szCs w:val="24"/>
          <w:lang w:val="es-419"/>
        </w:rPr>
        <w:t>148 de marzo 22 de 2017</w:t>
      </w:r>
    </w:p>
    <w:p w:rsidR="00DE2148" w:rsidRPr="0026742B" w:rsidRDefault="00DE2148" w:rsidP="00DE2148">
      <w:pPr>
        <w:overflowPunct/>
        <w:spacing w:line="276" w:lineRule="auto"/>
        <w:ind w:firstLine="2835"/>
        <w:jc w:val="both"/>
        <w:textAlignment w:val="auto"/>
        <w:rPr>
          <w:rFonts w:ascii="Gadugi" w:hAnsi="Gadugi" w:cs="Century Gothic"/>
          <w:sz w:val="24"/>
          <w:szCs w:val="24"/>
        </w:rPr>
      </w:pPr>
    </w:p>
    <w:p w:rsidR="00DE2148" w:rsidRPr="0026742B" w:rsidRDefault="00DE2148" w:rsidP="00DE2148">
      <w:pPr>
        <w:spacing w:line="276" w:lineRule="auto"/>
        <w:jc w:val="both"/>
        <w:rPr>
          <w:rFonts w:ascii="Gadugi" w:hAnsi="Gadugi"/>
          <w:b/>
          <w:sz w:val="24"/>
          <w:szCs w:val="24"/>
          <w:lang w:val="es-419"/>
        </w:rPr>
      </w:pPr>
      <w:r w:rsidRPr="0026742B">
        <w:rPr>
          <w:rFonts w:ascii="Gadugi" w:hAnsi="Gadugi" w:cs="Arial"/>
          <w:sz w:val="24"/>
          <w:szCs w:val="24"/>
        </w:rPr>
        <w:t xml:space="preserve">  </w:t>
      </w:r>
      <w:r w:rsidRPr="0026742B">
        <w:rPr>
          <w:rFonts w:ascii="Gadugi" w:hAnsi="Gadugi" w:cs="Arial"/>
          <w:sz w:val="24"/>
          <w:szCs w:val="24"/>
        </w:rPr>
        <w:tab/>
      </w:r>
      <w:r w:rsidRPr="0026742B">
        <w:rPr>
          <w:rFonts w:ascii="Gadugi" w:hAnsi="Gadugi" w:cs="Arial"/>
          <w:sz w:val="24"/>
          <w:szCs w:val="24"/>
        </w:rPr>
        <w:tab/>
      </w:r>
      <w:r w:rsidRPr="0026742B">
        <w:rPr>
          <w:rFonts w:ascii="Gadugi" w:hAnsi="Gadugi" w:cs="Arial"/>
          <w:sz w:val="24"/>
          <w:szCs w:val="24"/>
        </w:rPr>
        <w:tab/>
      </w:r>
      <w:r w:rsidRPr="0026742B">
        <w:rPr>
          <w:rFonts w:ascii="Gadugi" w:hAnsi="Gadugi" w:cs="Arial"/>
          <w:sz w:val="24"/>
          <w:szCs w:val="24"/>
        </w:rPr>
        <w:tab/>
        <w:t xml:space="preserve">Procede la Sala a decidir la </w:t>
      </w:r>
      <w:r w:rsidRPr="0026742B">
        <w:rPr>
          <w:rFonts w:ascii="Gadugi" w:hAnsi="Gadugi" w:cs="Arial"/>
          <w:sz w:val="24"/>
          <w:szCs w:val="24"/>
          <w:lang w:val="es-419"/>
        </w:rPr>
        <w:t xml:space="preserve">impugnación propuesta por la </w:t>
      </w:r>
      <w:r w:rsidRPr="0026742B">
        <w:rPr>
          <w:rFonts w:ascii="Gadugi" w:hAnsi="Gadugi" w:cs="Arial"/>
          <w:sz w:val="24"/>
          <w:szCs w:val="24"/>
          <w:lang w:val="es-CO"/>
        </w:rPr>
        <w:t xml:space="preserve">parte </w:t>
      </w:r>
      <w:r w:rsidRPr="0026742B">
        <w:rPr>
          <w:rFonts w:ascii="Gadugi" w:hAnsi="Gadugi" w:cs="Arial"/>
          <w:sz w:val="24"/>
          <w:szCs w:val="24"/>
          <w:lang w:val="es-419"/>
        </w:rPr>
        <w:t xml:space="preserve">accionante contra la sentencia del 9 de </w:t>
      </w:r>
      <w:r w:rsidRPr="0026742B">
        <w:rPr>
          <w:rFonts w:ascii="Gadugi" w:hAnsi="Gadugi" w:cs="Arial"/>
          <w:sz w:val="24"/>
          <w:szCs w:val="24"/>
          <w:lang w:val="es-CO"/>
        </w:rPr>
        <w:t>febrero último</w:t>
      </w:r>
      <w:r w:rsidRPr="0026742B">
        <w:rPr>
          <w:rFonts w:ascii="Gadugi" w:hAnsi="Gadugi" w:cs="Arial"/>
          <w:sz w:val="24"/>
          <w:szCs w:val="24"/>
          <w:lang w:val="es-419"/>
        </w:rPr>
        <w:t xml:space="preserve">, proferida por el Juzgado </w:t>
      </w:r>
      <w:r w:rsidRPr="0026742B">
        <w:rPr>
          <w:rFonts w:ascii="Gadugi" w:hAnsi="Gadugi" w:cs="Arial"/>
          <w:sz w:val="24"/>
          <w:szCs w:val="24"/>
          <w:lang w:val="es-CO"/>
        </w:rPr>
        <w:t>Segundo Civil del Circuito local</w:t>
      </w:r>
      <w:r w:rsidRPr="0026742B">
        <w:rPr>
          <w:rFonts w:ascii="Gadugi" w:hAnsi="Gadugi" w:cs="Arial"/>
          <w:sz w:val="24"/>
          <w:szCs w:val="24"/>
          <w:lang w:val="es-419"/>
        </w:rPr>
        <w:t xml:space="preserve">, en esta </w:t>
      </w:r>
      <w:r w:rsidRPr="0026742B">
        <w:rPr>
          <w:rFonts w:ascii="Gadugi" w:hAnsi="Gadugi" w:cs="Arial"/>
          <w:sz w:val="24"/>
          <w:szCs w:val="24"/>
        </w:rPr>
        <w:t xml:space="preserve">acción de tutela que </w:t>
      </w:r>
      <w:r w:rsidRPr="0026742B">
        <w:rPr>
          <w:rFonts w:ascii="Gadugi" w:hAnsi="Gadugi" w:cs="Arial"/>
          <w:b/>
          <w:sz w:val="24"/>
          <w:szCs w:val="24"/>
        </w:rPr>
        <w:t xml:space="preserve">Juan Alberto Ramírez Toro, </w:t>
      </w:r>
      <w:r w:rsidRPr="0026742B">
        <w:rPr>
          <w:rFonts w:ascii="Gadugi" w:hAnsi="Gadugi" w:cs="Arial"/>
          <w:sz w:val="24"/>
          <w:szCs w:val="24"/>
        </w:rPr>
        <w:t xml:space="preserve">inició contra el </w:t>
      </w:r>
      <w:r w:rsidRPr="0026742B">
        <w:rPr>
          <w:rFonts w:ascii="Gadugi" w:hAnsi="Gadugi" w:cs="Arial"/>
          <w:b/>
          <w:sz w:val="24"/>
          <w:szCs w:val="24"/>
        </w:rPr>
        <w:t>Instituto Geográfico Agustín Codazzi Territorial Risaralda</w:t>
      </w:r>
      <w:r w:rsidRPr="0026742B">
        <w:rPr>
          <w:rFonts w:ascii="Gadugi" w:hAnsi="Gadugi" w:cs="Arial"/>
          <w:sz w:val="24"/>
          <w:szCs w:val="24"/>
        </w:rPr>
        <w:t>.</w:t>
      </w:r>
    </w:p>
    <w:p w:rsidR="00DE2148" w:rsidRPr="0026742B" w:rsidRDefault="00DE2148" w:rsidP="00DE2148">
      <w:pPr>
        <w:spacing w:line="276" w:lineRule="auto"/>
        <w:jc w:val="both"/>
        <w:rPr>
          <w:rFonts w:ascii="Gadugi" w:hAnsi="Gadugi"/>
          <w:b/>
          <w:sz w:val="24"/>
          <w:szCs w:val="24"/>
          <w:lang w:val="es-CO"/>
        </w:rPr>
      </w:pPr>
      <w:r w:rsidRPr="0026742B">
        <w:rPr>
          <w:rFonts w:ascii="Gadugi" w:hAnsi="Gadugi"/>
          <w:b/>
          <w:sz w:val="24"/>
          <w:szCs w:val="24"/>
          <w:lang w:val="es-CO"/>
        </w:rPr>
        <w:t xml:space="preserve"> </w:t>
      </w:r>
    </w:p>
    <w:p w:rsidR="00DE2148" w:rsidRPr="0026742B" w:rsidRDefault="00DE2148" w:rsidP="00DE2148">
      <w:pPr>
        <w:spacing w:line="276" w:lineRule="auto"/>
        <w:rPr>
          <w:rFonts w:ascii="Gadugi" w:hAnsi="Gadugi" w:cs="Arial"/>
          <w:sz w:val="24"/>
          <w:szCs w:val="24"/>
        </w:rPr>
      </w:pPr>
      <w:r w:rsidRPr="0026742B">
        <w:rPr>
          <w:rFonts w:ascii="Gadugi" w:hAnsi="Gadugi" w:cs="Arial"/>
          <w:b/>
          <w:bCs/>
          <w:sz w:val="24"/>
          <w:szCs w:val="24"/>
        </w:rPr>
        <w:tab/>
        <w:t xml:space="preserve">  </w:t>
      </w:r>
      <w:r w:rsidRPr="0026742B">
        <w:rPr>
          <w:rFonts w:ascii="Gadugi" w:hAnsi="Gadugi" w:cs="Arial"/>
          <w:b/>
          <w:bCs/>
          <w:sz w:val="24"/>
          <w:szCs w:val="24"/>
        </w:rPr>
        <w:tab/>
      </w:r>
      <w:r w:rsidRPr="0026742B">
        <w:rPr>
          <w:rFonts w:ascii="Gadugi" w:hAnsi="Gadugi" w:cs="Arial"/>
          <w:b/>
          <w:bCs/>
          <w:sz w:val="24"/>
          <w:szCs w:val="24"/>
        </w:rPr>
        <w:tab/>
      </w:r>
      <w:r w:rsidRPr="0026742B">
        <w:rPr>
          <w:rFonts w:ascii="Gadugi" w:hAnsi="Gadugi" w:cs="Arial"/>
          <w:b/>
          <w:bCs/>
          <w:sz w:val="24"/>
          <w:szCs w:val="24"/>
        </w:rPr>
        <w:tab/>
        <w:t>ANTECEDENTES</w:t>
      </w:r>
    </w:p>
    <w:p w:rsidR="00DE2148" w:rsidRPr="0026742B" w:rsidRDefault="00DE2148" w:rsidP="00DE2148">
      <w:pPr>
        <w:spacing w:line="276" w:lineRule="auto"/>
        <w:jc w:val="both"/>
        <w:rPr>
          <w:rFonts w:ascii="Gadugi" w:hAnsi="Gadugi" w:cs="Arial"/>
          <w:sz w:val="24"/>
          <w:szCs w:val="24"/>
        </w:rPr>
      </w:pPr>
    </w:p>
    <w:p w:rsidR="00DE2148" w:rsidRPr="0026742B" w:rsidRDefault="00DE2148" w:rsidP="00DE2148">
      <w:pPr>
        <w:spacing w:line="276" w:lineRule="auto"/>
        <w:jc w:val="both"/>
        <w:rPr>
          <w:rFonts w:ascii="Gadugi" w:hAnsi="Gadugi" w:cs="Arial"/>
          <w:sz w:val="24"/>
          <w:szCs w:val="24"/>
        </w:rPr>
      </w:pPr>
      <w:r w:rsidRPr="0026742B">
        <w:rPr>
          <w:rFonts w:ascii="Gadugi" w:hAnsi="Gadugi" w:cs="Arial"/>
          <w:sz w:val="24"/>
          <w:szCs w:val="24"/>
        </w:rPr>
        <w:t xml:space="preserve">  </w:t>
      </w:r>
      <w:r w:rsidRPr="0026742B">
        <w:rPr>
          <w:rFonts w:ascii="Gadugi" w:hAnsi="Gadugi" w:cs="Arial"/>
          <w:sz w:val="24"/>
          <w:szCs w:val="24"/>
        </w:rPr>
        <w:tab/>
      </w:r>
      <w:r w:rsidRPr="0026742B">
        <w:rPr>
          <w:rFonts w:ascii="Gadugi" w:hAnsi="Gadugi" w:cs="Arial"/>
          <w:sz w:val="24"/>
          <w:szCs w:val="24"/>
        </w:rPr>
        <w:tab/>
      </w:r>
      <w:r w:rsidRPr="0026742B">
        <w:rPr>
          <w:rFonts w:ascii="Gadugi" w:hAnsi="Gadugi" w:cs="Arial"/>
          <w:sz w:val="24"/>
          <w:szCs w:val="24"/>
        </w:rPr>
        <w:tab/>
      </w:r>
      <w:r w:rsidRPr="0026742B">
        <w:rPr>
          <w:rFonts w:ascii="Gadugi" w:hAnsi="Gadugi" w:cs="Arial"/>
          <w:sz w:val="24"/>
          <w:szCs w:val="24"/>
        </w:rPr>
        <w:tab/>
        <w:t>Por intermedio de apoderado judicial, Juan Alberto Ramírez Toro, acude a este especial mecanismo en procura del amparo al derecho de petición que estima conculcado por el Instituto Geográfico Agustín Codazzi-Dirección Territorial Risaralda.</w:t>
      </w:r>
    </w:p>
    <w:p w:rsidR="00DE2148" w:rsidRPr="0026742B" w:rsidRDefault="00DE2148" w:rsidP="00DE2148">
      <w:pPr>
        <w:spacing w:line="276" w:lineRule="auto"/>
        <w:jc w:val="both"/>
        <w:rPr>
          <w:rFonts w:ascii="Gadugi" w:hAnsi="Gadugi" w:cs="Arial"/>
          <w:sz w:val="24"/>
          <w:szCs w:val="24"/>
        </w:rPr>
      </w:pPr>
    </w:p>
    <w:p w:rsidR="00DE2148" w:rsidRPr="0026742B" w:rsidRDefault="00DE2148" w:rsidP="00DE2148">
      <w:pPr>
        <w:spacing w:line="276" w:lineRule="auto"/>
        <w:jc w:val="both"/>
        <w:rPr>
          <w:rFonts w:ascii="Gadugi" w:hAnsi="Gadugi" w:cs="Arial"/>
          <w:sz w:val="24"/>
          <w:szCs w:val="24"/>
        </w:rPr>
      </w:pPr>
      <w:r w:rsidRPr="0026742B">
        <w:rPr>
          <w:rFonts w:ascii="Gadugi" w:hAnsi="Gadugi" w:cs="Arial"/>
          <w:sz w:val="24"/>
          <w:szCs w:val="24"/>
        </w:rPr>
        <w:t xml:space="preserve"> </w:t>
      </w:r>
      <w:r w:rsidRPr="0026742B">
        <w:rPr>
          <w:rFonts w:ascii="Gadugi" w:hAnsi="Gadugi" w:cs="Arial"/>
          <w:sz w:val="24"/>
          <w:szCs w:val="24"/>
        </w:rPr>
        <w:tab/>
      </w:r>
      <w:r w:rsidRPr="0026742B">
        <w:rPr>
          <w:rFonts w:ascii="Gadugi" w:hAnsi="Gadugi" w:cs="Arial"/>
          <w:sz w:val="24"/>
          <w:szCs w:val="24"/>
        </w:rPr>
        <w:tab/>
      </w:r>
      <w:r w:rsidRPr="0026742B">
        <w:rPr>
          <w:rFonts w:ascii="Gadugi" w:hAnsi="Gadugi" w:cs="Arial"/>
          <w:sz w:val="24"/>
          <w:szCs w:val="24"/>
        </w:rPr>
        <w:tab/>
      </w:r>
      <w:r w:rsidRPr="0026742B">
        <w:rPr>
          <w:rFonts w:ascii="Gadugi" w:hAnsi="Gadugi" w:cs="Arial"/>
          <w:sz w:val="24"/>
          <w:szCs w:val="24"/>
        </w:rPr>
        <w:tab/>
      </w:r>
      <w:r>
        <w:rPr>
          <w:rFonts w:ascii="Gadugi" w:hAnsi="Gadugi" w:cs="Arial"/>
          <w:sz w:val="24"/>
          <w:szCs w:val="24"/>
          <w:lang w:val="es-419"/>
        </w:rPr>
        <w:t>N</w:t>
      </w:r>
      <w:proofErr w:type="spellStart"/>
      <w:r w:rsidRPr="0026742B">
        <w:rPr>
          <w:rFonts w:ascii="Gadugi" w:hAnsi="Gadugi" w:cs="Arial"/>
          <w:sz w:val="24"/>
          <w:szCs w:val="24"/>
        </w:rPr>
        <w:t>arró</w:t>
      </w:r>
      <w:proofErr w:type="spellEnd"/>
      <w:r w:rsidRPr="0026742B">
        <w:rPr>
          <w:rFonts w:ascii="Gadugi" w:hAnsi="Gadugi" w:cs="Arial"/>
          <w:sz w:val="24"/>
          <w:szCs w:val="24"/>
        </w:rPr>
        <w:t xml:space="preserve">, que el 22 de diciembre de 2016 elevó una solicitud a dicha entidad, con el fin de que se expidieran las resoluciones que autorizan el número de ficha catastral de 13 bienes que se encuentran a su </w:t>
      </w:r>
      <w:r w:rsidRPr="0026742B">
        <w:rPr>
          <w:rFonts w:ascii="Gadugi" w:hAnsi="Gadugi" w:cs="Arial"/>
          <w:sz w:val="24"/>
          <w:szCs w:val="24"/>
        </w:rPr>
        <w:lastRenderedPageBreak/>
        <w:t>nombre, detallados por sus matrículas inmobiliarias</w:t>
      </w:r>
      <w:r>
        <w:rPr>
          <w:rFonts w:ascii="Gadugi" w:hAnsi="Gadugi" w:cs="Arial"/>
          <w:sz w:val="24"/>
          <w:szCs w:val="24"/>
          <w:lang w:val="es-419"/>
        </w:rPr>
        <w:t>,</w:t>
      </w:r>
      <w:r w:rsidRPr="0026742B">
        <w:rPr>
          <w:rFonts w:ascii="Gadugi" w:hAnsi="Gadugi" w:cs="Arial"/>
          <w:sz w:val="24"/>
          <w:szCs w:val="24"/>
        </w:rPr>
        <w:t xml:space="preserve"> pero no se ha producido la respuesta del caso.</w:t>
      </w:r>
    </w:p>
    <w:p w:rsidR="00DE2148" w:rsidRPr="0026742B" w:rsidRDefault="00DE2148" w:rsidP="00DE2148">
      <w:pPr>
        <w:spacing w:line="276" w:lineRule="auto"/>
        <w:jc w:val="both"/>
        <w:rPr>
          <w:rFonts w:ascii="Gadugi" w:hAnsi="Gadugi" w:cs="Arial"/>
          <w:sz w:val="24"/>
          <w:szCs w:val="24"/>
          <w:lang w:val="es-CO"/>
        </w:rPr>
      </w:pPr>
    </w:p>
    <w:p w:rsidR="00DE2148" w:rsidRPr="000330E0" w:rsidRDefault="00DE2148" w:rsidP="00DE2148">
      <w:pPr>
        <w:spacing w:line="276" w:lineRule="auto"/>
        <w:jc w:val="both"/>
        <w:rPr>
          <w:rFonts w:ascii="Gadugi" w:hAnsi="Gadugi" w:cs="Arial"/>
          <w:sz w:val="24"/>
          <w:szCs w:val="24"/>
          <w:lang w:val="es-419"/>
        </w:rPr>
      </w:pPr>
      <w:r w:rsidRPr="0026742B">
        <w:rPr>
          <w:rFonts w:ascii="Gadugi" w:hAnsi="Gadugi" w:cs="Arial"/>
          <w:sz w:val="24"/>
          <w:szCs w:val="24"/>
        </w:rPr>
        <w:tab/>
      </w:r>
      <w:r w:rsidRPr="0026742B">
        <w:rPr>
          <w:rFonts w:ascii="Gadugi" w:hAnsi="Gadugi" w:cs="Arial"/>
          <w:sz w:val="24"/>
          <w:szCs w:val="24"/>
        </w:rPr>
        <w:tab/>
      </w:r>
      <w:r w:rsidRPr="0026742B">
        <w:rPr>
          <w:rFonts w:ascii="Gadugi" w:hAnsi="Gadugi" w:cs="Arial"/>
          <w:sz w:val="24"/>
          <w:szCs w:val="24"/>
        </w:rPr>
        <w:tab/>
      </w:r>
      <w:r w:rsidRPr="0026742B">
        <w:rPr>
          <w:rFonts w:ascii="Gadugi" w:hAnsi="Gadugi" w:cs="Arial"/>
          <w:sz w:val="24"/>
          <w:szCs w:val="24"/>
        </w:rPr>
        <w:tab/>
        <w:t xml:space="preserve">Pidió, por tanto, </w:t>
      </w:r>
      <w:r>
        <w:rPr>
          <w:rFonts w:ascii="Gadugi" w:hAnsi="Gadugi" w:cs="Arial"/>
          <w:sz w:val="24"/>
          <w:szCs w:val="24"/>
          <w:lang w:val="es-419"/>
        </w:rPr>
        <w:t xml:space="preserve">que </w:t>
      </w:r>
      <w:r w:rsidRPr="0026742B">
        <w:rPr>
          <w:rFonts w:ascii="Gadugi" w:hAnsi="Gadugi" w:cs="Arial"/>
          <w:sz w:val="24"/>
          <w:szCs w:val="24"/>
          <w:lang w:val="es-419"/>
        </w:rPr>
        <w:t xml:space="preserve">se le </w:t>
      </w:r>
      <w:r w:rsidRPr="0026742B">
        <w:rPr>
          <w:rFonts w:ascii="Gadugi" w:hAnsi="Gadugi" w:cs="Arial"/>
          <w:sz w:val="24"/>
          <w:szCs w:val="24"/>
        </w:rPr>
        <w:t>orden</w:t>
      </w:r>
      <w:r w:rsidRPr="0026742B">
        <w:rPr>
          <w:rFonts w:ascii="Gadugi" w:hAnsi="Gadugi" w:cs="Arial"/>
          <w:sz w:val="24"/>
          <w:szCs w:val="24"/>
          <w:lang w:val="es-419"/>
        </w:rPr>
        <w:t>e</w:t>
      </w:r>
      <w:r w:rsidRPr="0026742B">
        <w:rPr>
          <w:rFonts w:ascii="Gadugi" w:hAnsi="Gadugi" w:cs="Arial"/>
          <w:sz w:val="24"/>
          <w:szCs w:val="24"/>
        </w:rPr>
        <w:t xml:space="preserve"> al Instituto Geográfico Agustín Codazzi que </w:t>
      </w:r>
      <w:proofErr w:type="spellStart"/>
      <w:r w:rsidRPr="0026742B">
        <w:rPr>
          <w:rFonts w:ascii="Gadugi" w:hAnsi="Gadugi" w:cs="Arial"/>
          <w:sz w:val="24"/>
          <w:szCs w:val="24"/>
        </w:rPr>
        <w:t>proced</w:t>
      </w:r>
      <w:proofErr w:type="spellEnd"/>
      <w:r w:rsidRPr="0026742B">
        <w:rPr>
          <w:rFonts w:ascii="Gadugi" w:hAnsi="Gadugi" w:cs="Arial"/>
          <w:sz w:val="24"/>
          <w:szCs w:val="24"/>
          <w:lang w:val="es-419"/>
        </w:rPr>
        <w:t>a</w:t>
      </w:r>
      <w:r w:rsidRPr="0026742B">
        <w:rPr>
          <w:rFonts w:ascii="Gadugi" w:hAnsi="Gadugi" w:cs="Arial"/>
          <w:sz w:val="24"/>
          <w:szCs w:val="24"/>
        </w:rPr>
        <w:t xml:space="preserve"> a </w:t>
      </w:r>
      <w:r w:rsidRPr="0026742B">
        <w:rPr>
          <w:rFonts w:ascii="Gadugi" w:hAnsi="Gadugi" w:cs="Arial"/>
          <w:sz w:val="24"/>
          <w:szCs w:val="24"/>
          <w:lang w:val="es-419"/>
        </w:rPr>
        <w:t xml:space="preserve">contestar su </w:t>
      </w:r>
      <w:r w:rsidRPr="0026742B">
        <w:rPr>
          <w:rFonts w:ascii="Gadugi" w:hAnsi="Gadugi" w:cs="Arial"/>
          <w:sz w:val="24"/>
          <w:szCs w:val="24"/>
        </w:rPr>
        <w:t>solicitud</w:t>
      </w:r>
      <w:r>
        <w:rPr>
          <w:rFonts w:ascii="Gadugi" w:hAnsi="Gadugi" w:cs="Arial"/>
          <w:sz w:val="24"/>
          <w:szCs w:val="24"/>
          <w:lang w:val="es-419"/>
        </w:rPr>
        <w:t>.</w:t>
      </w:r>
    </w:p>
    <w:p w:rsidR="00DE2148" w:rsidRPr="0026742B" w:rsidRDefault="00DE2148" w:rsidP="00DE2148">
      <w:pPr>
        <w:spacing w:line="276" w:lineRule="auto"/>
        <w:jc w:val="both"/>
        <w:rPr>
          <w:rFonts w:ascii="Gadugi" w:hAnsi="Gadugi" w:cs="Arial"/>
          <w:sz w:val="24"/>
          <w:szCs w:val="24"/>
        </w:rPr>
      </w:pPr>
    </w:p>
    <w:p w:rsidR="00DE2148" w:rsidRPr="0026742B" w:rsidRDefault="00DE2148" w:rsidP="00DE2148">
      <w:pPr>
        <w:spacing w:line="276" w:lineRule="auto"/>
        <w:jc w:val="both"/>
        <w:rPr>
          <w:rFonts w:ascii="Gadugi" w:hAnsi="Gadugi" w:cs="Arial"/>
          <w:sz w:val="24"/>
          <w:szCs w:val="24"/>
          <w:lang w:val="es-419"/>
        </w:rPr>
      </w:pPr>
      <w:r w:rsidRPr="0026742B">
        <w:rPr>
          <w:rFonts w:ascii="Gadugi" w:hAnsi="Gadugi" w:cs="Arial"/>
          <w:sz w:val="24"/>
          <w:szCs w:val="24"/>
        </w:rPr>
        <w:t xml:space="preserve">  </w:t>
      </w:r>
      <w:r w:rsidRPr="0026742B">
        <w:rPr>
          <w:rFonts w:ascii="Gadugi" w:hAnsi="Gadugi" w:cs="Arial"/>
          <w:sz w:val="24"/>
          <w:szCs w:val="24"/>
        </w:rPr>
        <w:tab/>
      </w:r>
      <w:r w:rsidRPr="0026742B">
        <w:rPr>
          <w:rFonts w:ascii="Gadugi" w:hAnsi="Gadugi" w:cs="Arial"/>
          <w:sz w:val="24"/>
          <w:szCs w:val="24"/>
        </w:rPr>
        <w:tab/>
      </w:r>
      <w:r w:rsidRPr="0026742B">
        <w:rPr>
          <w:rFonts w:ascii="Gadugi" w:hAnsi="Gadugi" w:cs="Arial"/>
          <w:sz w:val="24"/>
          <w:szCs w:val="24"/>
        </w:rPr>
        <w:tab/>
      </w:r>
      <w:r w:rsidRPr="0026742B">
        <w:rPr>
          <w:rFonts w:ascii="Gadugi" w:hAnsi="Gadugi" w:cs="Arial"/>
          <w:sz w:val="24"/>
          <w:szCs w:val="24"/>
        </w:rPr>
        <w:tab/>
        <w:t>El Juzgado de primer grado admitió la acción</w:t>
      </w:r>
      <w:r w:rsidRPr="0026742B">
        <w:rPr>
          <w:rFonts w:ascii="Gadugi" w:hAnsi="Gadugi" w:cs="Arial"/>
          <w:sz w:val="24"/>
          <w:szCs w:val="24"/>
          <w:lang w:val="es-CO"/>
        </w:rPr>
        <w:t xml:space="preserve"> y corrió </w:t>
      </w:r>
      <w:r w:rsidRPr="0026742B">
        <w:rPr>
          <w:rFonts w:ascii="Gadugi" w:hAnsi="Gadugi" w:cs="Arial"/>
          <w:sz w:val="24"/>
          <w:szCs w:val="24"/>
        </w:rPr>
        <w:t xml:space="preserve">traslado por el término de 3 días. Oportunamente el Director Territorial Risaralda, </w:t>
      </w:r>
      <w:r>
        <w:rPr>
          <w:rFonts w:ascii="Gadugi" w:hAnsi="Gadugi" w:cs="Arial"/>
          <w:sz w:val="24"/>
          <w:szCs w:val="24"/>
          <w:lang w:val="es-419"/>
        </w:rPr>
        <w:t xml:space="preserve">señaló </w:t>
      </w:r>
      <w:r w:rsidRPr="0026742B">
        <w:rPr>
          <w:rFonts w:ascii="Gadugi" w:hAnsi="Gadugi" w:cs="Arial"/>
          <w:sz w:val="24"/>
          <w:szCs w:val="24"/>
        </w:rPr>
        <w:t>que</w:t>
      </w:r>
      <w:r>
        <w:rPr>
          <w:rFonts w:ascii="Gadugi" w:hAnsi="Gadugi" w:cs="Arial"/>
          <w:sz w:val="24"/>
          <w:szCs w:val="24"/>
          <w:lang w:val="es-419"/>
        </w:rPr>
        <w:t xml:space="preserve"> el</w:t>
      </w:r>
      <w:r w:rsidRPr="0026742B">
        <w:rPr>
          <w:rFonts w:ascii="Gadugi" w:hAnsi="Gadugi" w:cs="Arial"/>
          <w:sz w:val="24"/>
          <w:szCs w:val="24"/>
        </w:rPr>
        <w:t xml:space="preserve"> Instituto actuó dentro del plazo legal parar dar respuesta a lo requerido por el interesado, esto es, dentro de los 30 días siguientes a la recepción de la solicitud, según lo prevé el numeral 2º del artículo 14 de la Ley 1755 de 2015, que se r</w:t>
      </w:r>
      <w:r>
        <w:rPr>
          <w:rFonts w:ascii="Gadugi" w:hAnsi="Gadugi" w:cs="Arial"/>
          <w:sz w:val="24"/>
          <w:szCs w:val="24"/>
          <w:lang w:val="es-419"/>
        </w:rPr>
        <w:t xml:space="preserve">efiere a </w:t>
      </w:r>
      <w:r w:rsidRPr="000330E0">
        <w:rPr>
          <w:rFonts w:ascii="Gadugi" w:hAnsi="Gadugi" w:cs="Arial"/>
          <w:sz w:val="24"/>
          <w:szCs w:val="24"/>
        </w:rPr>
        <w:t>consultas</w:t>
      </w:r>
      <w:r w:rsidRPr="0026742B">
        <w:rPr>
          <w:rFonts w:ascii="Gadugi" w:hAnsi="Gadugi" w:cs="Arial"/>
          <w:sz w:val="24"/>
          <w:szCs w:val="24"/>
        </w:rPr>
        <w:t xml:space="preserve">, </w:t>
      </w:r>
      <w:r>
        <w:rPr>
          <w:rFonts w:ascii="Gadugi" w:hAnsi="Gadugi" w:cs="Arial"/>
          <w:sz w:val="24"/>
          <w:szCs w:val="24"/>
          <w:lang w:val="es-419"/>
        </w:rPr>
        <w:t xml:space="preserve">es decir, que </w:t>
      </w:r>
      <w:r w:rsidRPr="0026742B">
        <w:rPr>
          <w:rFonts w:ascii="Gadugi" w:hAnsi="Gadugi" w:cs="Arial"/>
          <w:sz w:val="24"/>
          <w:szCs w:val="24"/>
        </w:rPr>
        <w:t>el actor impetró la acción ante</w:t>
      </w:r>
      <w:r>
        <w:rPr>
          <w:rFonts w:ascii="Gadugi" w:hAnsi="Gadugi" w:cs="Arial"/>
          <w:sz w:val="24"/>
          <w:szCs w:val="24"/>
          <w:lang w:val="es-419"/>
        </w:rPr>
        <w:t>s</w:t>
      </w:r>
      <w:r w:rsidRPr="0026742B">
        <w:rPr>
          <w:rFonts w:ascii="Gadugi" w:hAnsi="Gadugi" w:cs="Arial"/>
          <w:sz w:val="24"/>
          <w:szCs w:val="24"/>
        </w:rPr>
        <w:t xml:space="preserve"> de cumplirse el respectivo término, toda vez que el 6 de febrero de 2017 se </w:t>
      </w:r>
      <w:r>
        <w:rPr>
          <w:rFonts w:ascii="Gadugi" w:hAnsi="Gadugi" w:cs="Arial"/>
          <w:sz w:val="24"/>
          <w:szCs w:val="24"/>
          <w:lang w:val="es-419"/>
        </w:rPr>
        <w:t xml:space="preserve">le </w:t>
      </w:r>
      <w:r w:rsidRPr="0026742B">
        <w:rPr>
          <w:rFonts w:ascii="Gadugi" w:hAnsi="Gadugi" w:cs="Arial"/>
          <w:sz w:val="24"/>
          <w:szCs w:val="24"/>
        </w:rPr>
        <w:t xml:space="preserve">expidió la comunicación en </w:t>
      </w:r>
      <w:r>
        <w:rPr>
          <w:rFonts w:ascii="Gadugi" w:hAnsi="Gadugi" w:cs="Arial"/>
          <w:sz w:val="24"/>
          <w:szCs w:val="24"/>
          <w:lang w:val="es-419"/>
        </w:rPr>
        <w:t xml:space="preserve">la que </w:t>
      </w:r>
      <w:r w:rsidRPr="0026742B">
        <w:rPr>
          <w:rFonts w:ascii="Gadugi" w:hAnsi="Gadugi" w:cs="Arial"/>
          <w:sz w:val="24"/>
          <w:szCs w:val="24"/>
        </w:rPr>
        <w:t xml:space="preserve">se le </w:t>
      </w:r>
      <w:r>
        <w:rPr>
          <w:rFonts w:ascii="Gadugi" w:hAnsi="Gadugi" w:cs="Arial"/>
          <w:sz w:val="24"/>
          <w:szCs w:val="24"/>
          <w:lang w:val="es-419"/>
        </w:rPr>
        <w:t xml:space="preserve">informa que </w:t>
      </w:r>
      <w:r w:rsidRPr="0026742B">
        <w:rPr>
          <w:rFonts w:ascii="Gadugi" w:hAnsi="Gadugi" w:cs="Arial"/>
          <w:sz w:val="24"/>
          <w:szCs w:val="24"/>
        </w:rPr>
        <w:t xml:space="preserve">ha cumplido con el lleno de los requisitos exigidos por la </w:t>
      </w:r>
      <w:proofErr w:type="spellStart"/>
      <w:r w:rsidRPr="0026742B">
        <w:rPr>
          <w:rFonts w:ascii="Gadugi" w:hAnsi="Gadugi" w:cs="Arial"/>
          <w:sz w:val="24"/>
          <w:szCs w:val="24"/>
        </w:rPr>
        <w:t>normativ</w:t>
      </w:r>
      <w:proofErr w:type="spellEnd"/>
      <w:r>
        <w:rPr>
          <w:rFonts w:ascii="Gadugi" w:hAnsi="Gadugi" w:cs="Arial"/>
          <w:sz w:val="24"/>
          <w:szCs w:val="24"/>
          <w:lang w:val="es-419"/>
        </w:rPr>
        <w:t xml:space="preserve">a </w:t>
      </w:r>
      <w:r w:rsidRPr="0026742B">
        <w:rPr>
          <w:rFonts w:ascii="Gadugi" w:hAnsi="Gadugi" w:cs="Arial"/>
          <w:sz w:val="24"/>
          <w:szCs w:val="24"/>
        </w:rPr>
        <w:t xml:space="preserve">técnica y que el trámite deberá aguardar el turno respectivo, atendiendo el gran número de </w:t>
      </w:r>
      <w:r>
        <w:rPr>
          <w:rFonts w:ascii="Gadugi" w:hAnsi="Gadugi" w:cs="Arial"/>
          <w:sz w:val="24"/>
          <w:szCs w:val="24"/>
          <w:lang w:val="es-419"/>
        </w:rPr>
        <w:t xml:space="preserve">requerimientos </w:t>
      </w:r>
      <w:r w:rsidRPr="0026742B">
        <w:rPr>
          <w:rFonts w:ascii="Gadugi" w:hAnsi="Gadugi" w:cs="Arial"/>
          <w:sz w:val="24"/>
          <w:szCs w:val="24"/>
        </w:rPr>
        <w:t>que le anteceden y los pocos oficiales de catastro con los que cuentan para las labores de rigor</w:t>
      </w:r>
      <w:r w:rsidRPr="0026742B">
        <w:rPr>
          <w:rFonts w:ascii="Gadugi" w:hAnsi="Gadugi" w:cs="Arial"/>
          <w:sz w:val="24"/>
          <w:szCs w:val="24"/>
          <w:lang w:val="es-419"/>
        </w:rPr>
        <w:t>.</w:t>
      </w:r>
    </w:p>
    <w:p w:rsidR="00DE2148" w:rsidRPr="0026742B" w:rsidRDefault="00DE2148" w:rsidP="00DE2148">
      <w:pPr>
        <w:spacing w:line="276" w:lineRule="auto"/>
        <w:jc w:val="both"/>
        <w:rPr>
          <w:rFonts w:ascii="Gadugi" w:hAnsi="Gadugi" w:cs="Arial"/>
          <w:sz w:val="24"/>
          <w:szCs w:val="24"/>
          <w:lang w:val="es-419"/>
        </w:rPr>
      </w:pPr>
    </w:p>
    <w:p w:rsidR="00DE2148" w:rsidRPr="0026742B" w:rsidRDefault="00DE2148" w:rsidP="00DE2148">
      <w:pPr>
        <w:spacing w:line="276" w:lineRule="auto"/>
        <w:jc w:val="both"/>
        <w:rPr>
          <w:rFonts w:ascii="Gadugi" w:hAnsi="Gadugi" w:cs="Arial"/>
          <w:sz w:val="24"/>
          <w:szCs w:val="24"/>
          <w:lang w:val="es-CO"/>
        </w:rPr>
      </w:pPr>
      <w:r w:rsidRPr="0026742B">
        <w:rPr>
          <w:rFonts w:ascii="Gadugi" w:hAnsi="Gadugi" w:cs="Arial"/>
          <w:sz w:val="24"/>
          <w:szCs w:val="24"/>
          <w:lang w:val="es-419"/>
        </w:rPr>
        <w:tab/>
      </w:r>
      <w:r w:rsidRPr="0026742B">
        <w:rPr>
          <w:rFonts w:ascii="Gadugi" w:hAnsi="Gadugi" w:cs="Arial"/>
          <w:sz w:val="24"/>
          <w:szCs w:val="24"/>
          <w:lang w:val="es-419"/>
        </w:rPr>
        <w:tab/>
      </w:r>
      <w:r w:rsidRPr="0026742B">
        <w:rPr>
          <w:rFonts w:ascii="Gadugi" w:hAnsi="Gadugi" w:cs="Arial"/>
          <w:sz w:val="24"/>
          <w:szCs w:val="24"/>
          <w:lang w:val="es-419"/>
        </w:rPr>
        <w:tab/>
      </w:r>
      <w:r w:rsidRPr="0026742B">
        <w:rPr>
          <w:rFonts w:ascii="Gadugi" w:hAnsi="Gadugi" w:cs="Arial"/>
          <w:sz w:val="24"/>
          <w:szCs w:val="24"/>
          <w:lang w:val="es-419"/>
        </w:rPr>
        <w:tab/>
      </w:r>
      <w:r w:rsidRPr="0026742B">
        <w:rPr>
          <w:rFonts w:ascii="Gadugi" w:hAnsi="Gadugi" w:cs="Arial"/>
          <w:sz w:val="24"/>
          <w:szCs w:val="24"/>
          <w:lang w:val="es-CO"/>
        </w:rPr>
        <w:t>Previa constancia acerca de verificar la entrega de la referida contestación al interesado (f. 16), v</w:t>
      </w:r>
      <w:r w:rsidRPr="0026742B">
        <w:rPr>
          <w:rFonts w:ascii="Gadugi" w:hAnsi="Gadugi" w:cs="Arial"/>
          <w:sz w:val="24"/>
          <w:szCs w:val="24"/>
          <w:lang w:val="es-419"/>
        </w:rPr>
        <w:t xml:space="preserve">ino la sentencia </w:t>
      </w:r>
      <w:r w:rsidRPr="0026742B">
        <w:rPr>
          <w:rFonts w:ascii="Gadugi" w:hAnsi="Gadugi" w:cs="Arial"/>
          <w:sz w:val="24"/>
          <w:szCs w:val="24"/>
          <w:lang w:val="es-CO"/>
        </w:rPr>
        <w:t>que dispuso “NEGAR POR IMPROCEDENTE” la acción promovida. Para así decidir se hicieron consideraciones en torno al derecho deprecado</w:t>
      </w:r>
      <w:r>
        <w:rPr>
          <w:rFonts w:ascii="Gadugi" w:hAnsi="Gadugi" w:cs="Arial"/>
          <w:sz w:val="24"/>
          <w:szCs w:val="24"/>
          <w:lang w:val="es-419"/>
        </w:rPr>
        <w:t xml:space="preserve"> y se dijo </w:t>
      </w:r>
      <w:r w:rsidRPr="0026742B">
        <w:rPr>
          <w:rFonts w:ascii="Gadugi" w:hAnsi="Gadugi" w:cs="Arial"/>
          <w:sz w:val="24"/>
          <w:szCs w:val="24"/>
          <w:lang w:val="es-CO"/>
        </w:rPr>
        <w:t>que el término para la respuesta era de 30 días, por ser una petición especial</w:t>
      </w:r>
      <w:r>
        <w:rPr>
          <w:rFonts w:ascii="Gadugi" w:hAnsi="Gadugi" w:cs="Arial"/>
          <w:sz w:val="24"/>
          <w:szCs w:val="24"/>
          <w:lang w:val="es-419"/>
        </w:rPr>
        <w:t xml:space="preserve">; </w:t>
      </w:r>
      <w:r w:rsidRPr="0026742B">
        <w:rPr>
          <w:rFonts w:ascii="Gadugi" w:hAnsi="Gadugi" w:cs="Arial"/>
          <w:sz w:val="24"/>
          <w:szCs w:val="24"/>
          <w:lang w:val="es-CO"/>
        </w:rPr>
        <w:t xml:space="preserve">y a pesar de que la misma se brindó fuera del plazo, fue ya materializada, se explicaron las razones y el procedimiento para atender finalmente lo esperado, </w:t>
      </w:r>
      <w:r>
        <w:rPr>
          <w:rFonts w:ascii="Gadugi" w:hAnsi="Gadugi" w:cs="Arial"/>
          <w:sz w:val="24"/>
          <w:szCs w:val="24"/>
          <w:lang w:val="es-419"/>
        </w:rPr>
        <w:t xml:space="preserve">y se </w:t>
      </w:r>
      <w:r w:rsidRPr="0026742B">
        <w:rPr>
          <w:rFonts w:ascii="Gadugi" w:hAnsi="Gadugi" w:cs="Arial"/>
          <w:sz w:val="24"/>
          <w:szCs w:val="24"/>
          <w:lang w:val="es-CO"/>
        </w:rPr>
        <w:t xml:space="preserve">asignó un turno, sin que sea viable desconocerlo para darle prioridad al accionante, porque ello truncaría el derecho a la igualdad </w:t>
      </w:r>
      <w:r>
        <w:rPr>
          <w:rFonts w:ascii="Gadugi" w:hAnsi="Gadugi" w:cs="Arial"/>
          <w:sz w:val="24"/>
          <w:szCs w:val="24"/>
          <w:lang w:val="es-419"/>
        </w:rPr>
        <w:t xml:space="preserve">frente a otras </w:t>
      </w:r>
      <w:r w:rsidRPr="0026742B">
        <w:rPr>
          <w:rFonts w:ascii="Gadugi" w:hAnsi="Gadugi" w:cs="Arial"/>
          <w:sz w:val="24"/>
          <w:szCs w:val="24"/>
          <w:lang w:val="es-CO"/>
        </w:rPr>
        <w:t>solicitudes que anteceden.</w:t>
      </w:r>
    </w:p>
    <w:p w:rsidR="00DE2148" w:rsidRPr="0026742B" w:rsidRDefault="00DE2148" w:rsidP="00DE2148">
      <w:pPr>
        <w:spacing w:line="276" w:lineRule="auto"/>
        <w:jc w:val="both"/>
        <w:rPr>
          <w:rFonts w:ascii="Gadugi" w:hAnsi="Gadugi" w:cs="Arial"/>
          <w:sz w:val="24"/>
          <w:szCs w:val="24"/>
          <w:lang w:val="es-CO"/>
        </w:rPr>
      </w:pPr>
    </w:p>
    <w:p w:rsidR="00DE2148" w:rsidRPr="0026742B" w:rsidRDefault="00DE2148" w:rsidP="00DE2148">
      <w:pPr>
        <w:spacing w:line="276" w:lineRule="auto"/>
        <w:jc w:val="both"/>
        <w:rPr>
          <w:rFonts w:ascii="Gadugi" w:hAnsi="Gadugi" w:cs="Arial"/>
          <w:sz w:val="24"/>
          <w:szCs w:val="24"/>
          <w:lang w:val="es-419"/>
        </w:rPr>
      </w:pPr>
      <w:r w:rsidRPr="0026742B">
        <w:rPr>
          <w:rFonts w:ascii="Gadugi" w:hAnsi="Gadugi" w:cs="Arial"/>
          <w:sz w:val="24"/>
          <w:szCs w:val="24"/>
          <w:lang w:val="es-CO"/>
        </w:rPr>
        <w:t xml:space="preserve">  </w:t>
      </w:r>
      <w:r w:rsidRPr="0026742B">
        <w:rPr>
          <w:rFonts w:ascii="Gadugi" w:hAnsi="Gadugi" w:cs="Arial"/>
          <w:sz w:val="24"/>
          <w:szCs w:val="24"/>
          <w:lang w:val="es-CO"/>
        </w:rPr>
        <w:tab/>
      </w:r>
      <w:r w:rsidRPr="0026742B">
        <w:rPr>
          <w:rFonts w:ascii="Gadugi" w:hAnsi="Gadugi" w:cs="Arial"/>
          <w:sz w:val="24"/>
          <w:szCs w:val="24"/>
          <w:lang w:val="es-CO"/>
        </w:rPr>
        <w:tab/>
      </w:r>
      <w:r w:rsidRPr="0026742B">
        <w:rPr>
          <w:rFonts w:ascii="Gadugi" w:hAnsi="Gadugi" w:cs="Arial"/>
          <w:sz w:val="24"/>
          <w:szCs w:val="24"/>
          <w:lang w:val="es-CO"/>
        </w:rPr>
        <w:tab/>
      </w:r>
      <w:r w:rsidRPr="0026742B">
        <w:rPr>
          <w:rFonts w:ascii="Gadugi" w:hAnsi="Gadugi" w:cs="Arial"/>
          <w:sz w:val="24"/>
          <w:szCs w:val="24"/>
          <w:lang w:val="es-CO"/>
        </w:rPr>
        <w:tab/>
        <w:t>Impugnó el demandante, quien expresa que la referida contestación no es de fondo, ni satisface lo señalado por el artículo 14 de la Ley 1755, pues se responde con evasivas, no se establece un plazo razonable, ni se definen las etapas, medios, términos o procesos necesarios para dar una respuesta definitiva y contundente.</w:t>
      </w:r>
    </w:p>
    <w:p w:rsidR="00DE2148" w:rsidRPr="0026742B" w:rsidRDefault="00DE2148" w:rsidP="00DE2148">
      <w:pPr>
        <w:spacing w:line="276" w:lineRule="auto"/>
        <w:jc w:val="both"/>
        <w:rPr>
          <w:rFonts w:ascii="Gadugi" w:hAnsi="Gadugi" w:cs="Arial"/>
          <w:b/>
          <w:sz w:val="24"/>
          <w:szCs w:val="24"/>
          <w:lang w:val="es-CO"/>
        </w:rPr>
      </w:pPr>
      <w:r w:rsidRPr="0026742B">
        <w:rPr>
          <w:rFonts w:ascii="Gadugi" w:hAnsi="Gadugi" w:cs="Arial"/>
          <w:sz w:val="24"/>
          <w:szCs w:val="24"/>
          <w:lang w:val="es-419"/>
        </w:rPr>
        <w:tab/>
      </w:r>
      <w:r w:rsidRPr="0026742B">
        <w:rPr>
          <w:rFonts w:ascii="Gadugi" w:hAnsi="Gadugi" w:cs="Arial"/>
          <w:sz w:val="24"/>
          <w:szCs w:val="24"/>
          <w:lang w:val="es-419"/>
        </w:rPr>
        <w:tab/>
      </w:r>
    </w:p>
    <w:p w:rsidR="00DE2148" w:rsidRPr="0026742B" w:rsidRDefault="00DE2148" w:rsidP="00DE2148">
      <w:pPr>
        <w:spacing w:line="276" w:lineRule="auto"/>
        <w:ind w:firstLine="2835"/>
        <w:jc w:val="both"/>
        <w:rPr>
          <w:rFonts w:ascii="Gadugi" w:hAnsi="Gadugi" w:cs="Arial"/>
          <w:b/>
          <w:sz w:val="24"/>
          <w:szCs w:val="24"/>
        </w:rPr>
      </w:pPr>
      <w:r w:rsidRPr="0026742B">
        <w:rPr>
          <w:rFonts w:ascii="Gadugi" w:hAnsi="Gadugi" w:cs="Arial"/>
          <w:b/>
          <w:sz w:val="24"/>
          <w:szCs w:val="24"/>
        </w:rPr>
        <w:t>CONSIDERACIONES</w:t>
      </w:r>
    </w:p>
    <w:p w:rsidR="00DE2148" w:rsidRPr="0026742B" w:rsidRDefault="00DE2148" w:rsidP="00DE2148">
      <w:pPr>
        <w:spacing w:line="276" w:lineRule="auto"/>
        <w:ind w:firstLine="2835"/>
        <w:jc w:val="both"/>
        <w:rPr>
          <w:rFonts w:ascii="Gadugi" w:hAnsi="Gadugi" w:cs="Arial"/>
          <w:sz w:val="24"/>
          <w:szCs w:val="24"/>
        </w:rPr>
      </w:pPr>
    </w:p>
    <w:p w:rsidR="00DE2148" w:rsidRPr="0026742B" w:rsidRDefault="00DE2148" w:rsidP="00DE2148">
      <w:pPr>
        <w:spacing w:line="276" w:lineRule="auto"/>
        <w:ind w:firstLine="2835"/>
        <w:jc w:val="both"/>
        <w:rPr>
          <w:rFonts w:ascii="Gadugi" w:hAnsi="Gadugi" w:cs="Arial"/>
          <w:sz w:val="24"/>
          <w:szCs w:val="24"/>
        </w:rPr>
      </w:pPr>
      <w:r w:rsidRPr="0026742B">
        <w:rPr>
          <w:rFonts w:ascii="Gadugi" w:hAnsi="Gadugi" w:cs="Arial"/>
          <w:sz w:val="24"/>
          <w:szCs w:val="24"/>
        </w:rPr>
        <w:t xml:space="preserve">Desde 1991, con la entrada en vigencia de </w:t>
      </w:r>
      <w:smartTag w:uri="urn:schemas-microsoft-com:office:smarttags" w:element="PersonName">
        <w:smartTagPr>
          <w:attr w:name="ProductID" w:val="la Constituci￳n Pol￭tica"/>
        </w:smartTagPr>
        <w:r w:rsidRPr="0026742B">
          <w:rPr>
            <w:rFonts w:ascii="Gadugi" w:hAnsi="Gadugi" w:cs="Arial"/>
            <w:sz w:val="24"/>
            <w:szCs w:val="24"/>
          </w:rPr>
          <w:t>la Constitución Política</w:t>
        </w:r>
      </w:smartTag>
      <w:r w:rsidRPr="0026742B">
        <w:rPr>
          <w:rFonts w:ascii="Gadugi" w:hAnsi="Gadugi" w:cs="Arial"/>
          <w:sz w:val="24"/>
          <w:szCs w:val="24"/>
        </w:rPr>
        <w:t xml:space="preserve">, el constituyente incluyó en el derecho positivo nacional la </w:t>
      </w:r>
      <w:r w:rsidRPr="0026742B">
        <w:rPr>
          <w:rFonts w:ascii="Gadugi" w:hAnsi="Gadugi" w:cs="Arial"/>
          <w:sz w:val="24"/>
          <w:szCs w:val="24"/>
        </w:rPr>
        <w:lastRenderedPageBreak/>
        <w:t xml:space="preserve">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rsidR="00DE2148" w:rsidRPr="0026742B" w:rsidRDefault="00DE2148" w:rsidP="00DE2148">
      <w:pPr>
        <w:spacing w:line="276" w:lineRule="auto"/>
        <w:ind w:firstLine="2835"/>
        <w:jc w:val="both"/>
        <w:rPr>
          <w:rFonts w:ascii="Gadugi" w:hAnsi="Gadugi" w:cs="Arial"/>
          <w:sz w:val="24"/>
          <w:szCs w:val="24"/>
        </w:rPr>
      </w:pPr>
      <w:r w:rsidRPr="0026742B">
        <w:rPr>
          <w:rFonts w:ascii="Gadugi" w:hAnsi="Gadugi" w:cs="Arial"/>
          <w:bCs/>
          <w:sz w:val="24"/>
          <w:szCs w:val="24"/>
        </w:rPr>
        <w:tab/>
      </w:r>
      <w:r w:rsidRPr="0026742B">
        <w:rPr>
          <w:rFonts w:ascii="Gadugi" w:hAnsi="Gadugi" w:cs="Arial"/>
          <w:bCs/>
          <w:sz w:val="24"/>
          <w:szCs w:val="24"/>
        </w:rPr>
        <w:tab/>
      </w:r>
      <w:r w:rsidRPr="0026742B">
        <w:rPr>
          <w:rFonts w:ascii="Gadugi" w:hAnsi="Gadugi" w:cs="Arial"/>
          <w:bCs/>
          <w:sz w:val="24"/>
          <w:szCs w:val="24"/>
        </w:rPr>
        <w:tab/>
      </w:r>
      <w:r w:rsidRPr="0026742B">
        <w:rPr>
          <w:rFonts w:ascii="Gadugi" w:hAnsi="Gadugi" w:cs="Arial"/>
          <w:bCs/>
          <w:sz w:val="24"/>
          <w:szCs w:val="24"/>
        </w:rPr>
        <w:tab/>
      </w:r>
    </w:p>
    <w:p w:rsidR="00DE2148" w:rsidRPr="0026742B" w:rsidRDefault="00DE2148" w:rsidP="00DE2148">
      <w:pPr>
        <w:spacing w:line="276" w:lineRule="auto"/>
        <w:ind w:firstLine="2835"/>
        <w:jc w:val="both"/>
        <w:rPr>
          <w:rFonts w:ascii="Gadugi" w:hAnsi="Gadugi" w:cs="Arial"/>
          <w:sz w:val="24"/>
          <w:szCs w:val="24"/>
        </w:rPr>
      </w:pPr>
      <w:r w:rsidRPr="0026742B">
        <w:rPr>
          <w:rFonts w:ascii="Gadugi" w:hAnsi="Gadugi" w:cs="Arial"/>
          <w:sz w:val="24"/>
          <w:szCs w:val="24"/>
        </w:rPr>
        <w:t xml:space="preserve">En uso de tal prerrogativa Juan Alberto Ramírez Toro, </w:t>
      </w:r>
      <w:r w:rsidRPr="0026742B">
        <w:rPr>
          <w:rFonts w:ascii="Gadugi" w:hAnsi="Gadugi" w:cs="Arial"/>
          <w:sz w:val="24"/>
          <w:szCs w:val="24"/>
          <w:lang w:val="es-CO"/>
        </w:rPr>
        <w:t>por intermedio de apoderado judicial,</w:t>
      </w:r>
      <w:r w:rsidRPr="0026742B">
        <w:rPr>
          <w:rFonts w:ascii="Gadugi" w:hAnsi="Gadugi" w:cs="Arial"/>
          <w:sz w:val="24"/>
          <w:szCs w:val="24"/>
          <w:lang w:val="es-419"/>
        </w:rPr>
        <w:t xml:space="preserve"> </w:t>
      </w:r>
      <w:r w:rsidRPr="0026742B">
        <w:rPr>
          <w:rFonts w:ascii="Gadugi" w:hAnsi="Gadugi" w:cs="Arial"/>
          <w:sz w:val="24"/>
          <w:szCs w:val="24"/>
        </w:rPr>
        <w:t>hizo valer</w:t>
      </w:r>
      <w:r w:rsidRPr="0026742B">
        <w:rPr>
          <w:rFonts w:ascii="Gadugi" w:hAnsi="Gadugi" w:cs="Arial"/>
          <w:sz w:val="24"/>
          <w:szCs w:val="24"/>
          <w:lang w:val="es-419"/>
        </w:rPr>
        <w:t xml:space="preserve"> el</w:t>
      </w:r>
      <w:r w:rsidRPr="0026742B">
        <w:rPr>
          <w:rFonts w:ascii="Gadugi" w:hAnsi="Gadugi" w:cs="Arial"/>
          <w:sz w:val="24"/>
          <w:szCs w:val="24"/>
        </w:rPr>
        <w:t xml:space="preserve"> derecho fundamental de petición, cuyo</w:t>
      </w:r>
      <w:r w:rsidRPr="0026742B">
        <w:rPr>
          <w:rFonts w:ascii="Gadugi" w:hAnsi="Gadugi" w:cs="Arial"/>
          <w:bCs/>
          <w:sz w:val="24"/>
          <w:szCs w:val="24"/>
        </w:rPr>
        <w:t xml:space="preserve"> núcleo principal consiste en que </w:t>
      </w:r>
      <w:r w:rsidRPr="0026742B">
        <w:rPr>
          <w:rFonts w:ascii="Gadugi" w:hAnsi="Gadugi" w:cs="Arial"/>
          <w:sz w:val="24"/>
          <w:szCs w:val="24"/>
        </w:rPr>
        <w:t>las autoridades, o algunos particulares, respondan en tiempo y de manera concreta y exacta sobre lo que se les reclama; positiva o negativamente, pero en forma clara y completa, si bien no es posible por este medio imponer el sentido de la decisión que la autoridad deba adoptar; y, adicional a ello, que cumplan el deber de enterar al solicitante de la respuesta que se le brinda, pues, de lo contrario ningún efecto produciría.</w:t>
      </w:r>
    </w:p>
    <w:p w:rsidR="00DE2148" w:rsidRPr="0026742B" w:rsidRDefault="00DE2148" w:rsidP="00DE2148">
      <w:pPr>
        <w:spacing w:line="276" w:lineRule="auto"/>
        <w:ind w:firstLine="2835"/>
        <w:jc w:val="both"/>
        <w:rPr>
          <w:rFonts w:ascii="Gadugi" w:hAnsi="Gadugi"/>
          <w:sz w:val="24"/>
          <w:szCs w:val="24"/>
          <w:lang w:val="es-CO"/>
        </w:rPr>
      </w:pPr>
    </w:p>
    <w:p w:rsidR="00DE2148" w:rsidRPr="0026742B" w:rsidRDefault="00DE2148" w:rsidP="00DE2148">
      <w:pPr>
        <w:spacing w:line="276" w:lineRule="auto"/>
        <w:jc w:val="both"/>
        <w:rPr>
          <w:rFonts w:ascii="Gadugi" w:hAnsi="Gadugi"/>
          <w:sz w:val="24"/>
          <w:szCs w:val="24"/>
        </w:rPr>
      </w:pPr>
      <w:r w:rsidRPr="0026742B">
        <w:rPr>
          <w:rFonts w:ascii="Gadugi" w:hAnsi="Gadugi"/>
          <w:sz w:val="24"/>
          <w:szCs w:val="24"/>
        </w:rPr>
        <w:t xml:space="preserve">  </w:t>
      </w:r>
      <w:r w:rsidRPr="0026742B">
        <w:rPr>
          <w:rFonts w:ascii="Gadugi" w:hAnsi="Gadugi"/>
          <w:sz w:val="24"/>
          <w:szCs w:val="24"/>
        </w:rPr>
        <w:tab/>
      </w:r>
      <w:r w:rsidRPr="0026742B">
        <w:rPr>
          <w:rFonts w:ascii="Gadugi" w:hAnsi="Gadugi"/>
          <w:sz w:val="24"/>
          <w:szCs w:val="24"/>
        </w:rPr>
        <w:tab/>
      </w:r>
      <w:r w:rsidRPr="0026742B">
        <w:rPr>
          <w:rFonts w:ascii="Gadugi" w:hAnsi="Gadugi"/>
          <w:sz w:val="24"/>
          <w:szCs w:val="24"/>
        </w:rPr>
        <w:tab/>
      </w:r>
      <w:r w:rsidRPr="0026742B">
        <w:rPr>
          <w:rFonts w:ascii="Gadugi" w:hAnsi="Gadugi"/>
          <w:sz w:val="24"/>
          <w:szCs w:val="24"/>
        </w:rPr>
        <w:tab/>
        <w:t>Sobre el particular ha sido reiterativa la Corte Constitucional; en un pronunciamiento reciente</w:t>
      </w:r>
      <w:r w:rsidRPr="0026742B">
        <w:rPr>
          <w:rStyle w:val="Appelnotedebasdep"/>
          <w:rFonts w:ascii="Gadugi" w:hAnsi="Gadugi"/>
          <w:sz w:val="24"/>
          <w:szCs w:val="24"/>
        </w:rPr>
        <w:footnoteReference w:id="1"/>
      </w:r>
      <w:r w:rsidRPr="0026742B">
        <w:rPr>
          <w:rFonts w:ascii="Gadugi" w:hAnsi="Gadugi"/>
          <w:sz w:val="24"/>
          <w:szCs w:val="24"/>
        </w:rPr>
        <w:t xml:space="preserve"> recordó que:</w:t>
      </w:r>
    </w:p>
    <w:p w:rsidR="00DE2148" w:rsidRPr="0026742B" w:rsidRDefault="00DE2148" w:rsidP="00666CFA">
      <w:pPr>
        <w:spacing w:line="480" w:lineRule="auto"/>
        <w:jc w:val="both"/>
        <w:rPr>
          <w:rFonts w:ascii="Arial" w:hAnsi="Arial" w:cs="Arial"/>
          <w:sz w:val="24"/>
          <w:szCs w:val="24"/>
        </w:rPr>
      </w:pPr>
    </w:p>
    <w:p w:rsidR="00DE2148" w:rsidRPr="00666CFA" w:rsidRDefault="00DE2148" w:rsidP="00DE2148">
      <w:pPr>
        <w:ind w:left="851" w:right="902" w:firstLine="1984"/>
        <w:jc w:val="both"/>
        <w:rPr>
          <w:rFonts w:ascii="Arial Narrow" w:hAnsi="Arial Narrow"/>
          <w:sz w:val="22"/>
          <w:szCs w:val="22"/>
          <w:lang w:val="es-ES_tradnl" w:eastAsia="es-CO"/>
        </w:rPr>
      </w:pPr>
      <w:r w:rsidRPr="00666CFA">
        <w:rPr>
          <w:rFonts w:ascii="Arial Narrow" w:hAnsi="Arial Narrow"/>
          <w:sz w:val="22"/>
          <w:szCs w:val="22"/>
          <w:lang w:eastAsia="es-CO"/>
        </w:rPr>
        <w:t>13. El artículo 23 Constitucional establece que “toda persona tiene derecho a presentar peticiones respetuosas a las autoridades por motivos de interés general o particular”. Las autoridades están en la obligación frente al ciudadano de dar una respuesta clara, de fondo y oportuna. La jurisprudencia de esta Corporación</w:t>
      </w:r>
      <w:r w:rsidRPr="00666CFA">
        <w:rPr>
          <w:rFonts w:ascii="Arial Narrow" w:hAnsi="Arial Narrow"/>
          <w:sz w:val="22"/>
          <w:szCs w:val="22"/>
          <w:lang w:val="es-ES_tradnl" w:eastAsia="es-CO"/>
        </w:rPr>
        <w:t xml:space="preserve"> ha decantado también la responsabilidad de las entidades públicas respecto de la información que deben suministrar a los administrados, cuando estos hacen uso del derecho de petición.</w:t>
      </w:r>
    </w:p>
    <w:p w:rsidR="00DE2148" w:rsidRPr="00666CFA" w:rsidRDefault="00DE2148" w:rsidP="00DE2148">
      <w:pPr>
        <w:ind w:left="851" w:right="902" w:firstLine="1984"/>
        <w:jc w:val="both"/>
        <w:rPr>
          <w:rFonts w:ascii="Arial Narrow" w:hAnsi="Arial Narrow"/>
          <w:sz w:val="22"/>
          <w:szCs w:val="22"/>
          <w:lang w:val="es-ES_tradnl" w:eastAsia="es-CO"/>
        </w:rPr>
      </w:pPr>
    </w:p>
    <w:p w:rsidR="00DE2148" w:rsidRPr="00666CFA" w:rsidRDefault="00DE2148" w:rsidP="00DE2148">
      <w:pPr>
        <w:ind w:left="851" w:right="902" w:firstLine="1984"/>
        <w:jc w:val="both"/>
        <w:rPr>
          <w:rFonts w:ascii="Gadugi" w:hAnsi="Gadugi"/>
          <w:iCs/>
          <w:sz w:val="22"/>
          <w:szCs w:val="22"/>
          <w:lang w:val="es-CO" w:eastAsia="en-US"/>
        </w:rPr>
      </w:pPr>
      <w:r w:rsidRPr="00666CFA">
        <w:rPr>
          <w:rFonts w:ascii="Arial Narrow" w:hAnsi="Arial Narrow"/>
          <w:sz w:val="22"/>
          <w:szCs w:val="22"/>
        </w:rPr>
        <w:t>14. En Sentencia T-1089 de 2001</w:t>
      </w:r>
      <w:r w:rsidRPr="00666CFA">
        <w:rPr>
          <w:rStyle w:val="Appelnotedebasdep"/>
          <w:rFonts w:ascii="Arial Narrow" w:hAnsi="Arial Narrow"/>
          <w:sz w:val="22"/>
          <w:szCs w:val="22"/>
        </w:rPr>
        <w:footnoteReference w:id="2"/>
      </w:r>
      <w:r w:rsidRPr="00666CFA">
        <w:rPr>
          <w:rFonts w:ascii="Arial Narrow" w:hAnsi="Arial Narrow"/>
          <w:sz w:val="22"/>
          <w:szCs w:val="22"/>
        </w:rPr>
        <w:t xml:space="preserve">, la Corporación sintetizó las reglas básicas que rigen el derecho de petición y las obligaciones derivadas de este, así: (i) </w:t>
      </w:r>
      <w:r w:rsidRPr="00666CFA">
        <w:rPr>
          <w:rFonts w:ascii="Arial Narrow" w:hAnsi="Arial Narrow"/>
          <w:iCs/>
          <w:sz w:val="22"/>
          <w:szCs w:val="22"/>
        </w:rPr>
        <w:t>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(ii) el núcleo esencial del derecho de petición reside en la resolución pronta y oportuna de la cuestión, pues de nada serviría la posibilidad de dirigirse a la autoridad si ésta no resuelve o se reserva para sí el sentido de lo decidido, (iii)</w:t>
      </w:r>
      <w:r w:rsidRPr="00666CFA">
        <w:rPr>
          <w:rFonts w:ascii="Arial Narrow" w:hAnsi="Arial Narrow"/>
          <w:b/>
          <w:bCs/>
          <w:iCs/>
          <w:sz w:val="22"/>
          <w:szCs w:val="22"/>
        </w:rPr>
        <w:t xml:space="preserve"> </w:t>
      </w:r>
      <w:r w:rsidRPr="00666CFA">
        <w:rPr>
          <w:rFonts w:ascii="Arial Narrow" w:hAnsi="Arial Narrow"/>
          <w:iCs/>
          <w:sz w:val="22"/>
          <w:szCs w:val="22"/>
        </w:rPr>
        <w:t xml:space="preserve">la respuesta debe cumplir con estos requisitos: 1. Oportunidad 2. Debe resolverse de fondo, clara, precisa y de manera congruente con lo solicitado 3. Ser puesta en conocimiento del peticionario, (iv) la respuesta no implica aceptación de lo solicitado ni tampoco se concreta siempre en una respuesta escrita, (v) este derecho, por regla general, se aplica a entidades estatales, esto es, a quienes ejercen autoridad. Pero, la Constitución lo extendió a las organizaciones privadas cuando la ley así lo determine y (vi) En relación con la oportunidad de la respuesta, esto es, con el término que tiene la </w:t>
      </w:r>
      <w:r w:rsidRPr="00666CFA">
        <w:rPr>
          <w:rFonts w:ascii="Arial Narrow" w:hAnsi="Arial Narrow"/>
          <w:iCs/>
          <w:sz w:val="22"/>
          <w:szCs w:val="22"/>
        </w:rPr>
        <w:lastRenderedPageBreak/>
        <w:t>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w:t>
      </w:r>
      <w:r w:rsidRPr="00666CFA">
        <w:rPr>
          <w:rFonts w:ascii="Gadugi" w:hAnsi="Gadugi"/>
          <w:iCs/>
          <w:sz w:val="22"/>
          <w:szCs w:val="22"/>
        </w:rPr>
        <w:t>.</w:t>
      </w:r>
    </w:p>
    <w:p w:rsidR="00DE2148" w:rsidRPr="0026742B" w:rsidRDefault="00DE2148" w:rsidP="00666CFA">
      <w:pPr>
        <w:pStyle w:val="Corpsdetexte"/>
        <w:rPr>
          <w:rFonts w:ascii="Gadugi" w:hAnsi="Gadugi"/>
          <w:iCs/>
          <w:szCs w:val="24"/>
          <w:shd w:val="clear" w:color="auto" w:fill="FFFFFF"/>
        </w:rPr>
      </w:pPr>
    </w:p>
    <w:p w:rsidR="00DE2148" w:rsidRPr="0026742B" w:rsidRDefault="00DE2148" w:rsidP="00DE2148">
      <w:pPr>
        <w:spacing w:line="276" w:lineRule="auto"/>
        <w:ind w:firstLine="2835"/>
        <w:jc w:val="both"/>
        <w:rPr>
          <w:rFonts w:ascii="Gadugi" w:hAnsi="Gadugi"/>
          <w:iCs/>
          <w:sz w:val="24"/>
          <w:szCs w:val="24"/>
          <w:shd w:val="clear" w:color="auto" w:fill="FFFFFF"/>
        </w:rPr>
      </w:pPr>
      <w:r w:rsidRPr="0026742B">
        <w:rPr>
          <w:rFonts w:ascii="Gadugi" w:hAnsi="Gadugi"/>
          <w:iCs/>
          <w:sz w:val="24"/>
          <w:szCs w:val="24"/>
          <w:shd w:val="clear" w:color="auto" w:fill="FFFFFF"/>
        </w:rPr>
        <w:t xml:space="preserve">Descendiendo al caso concreto, halla la Sala, aunque con las precisiones que se consignarán y </w:t>
      </w:r>
      <w:r>
        <w:rPr>
          <w:rFonts w:ascii="Gadugi" w:hAnsi="Gadugi"/>
          <w:iCs/>
          <w:sz w:val="24"/>
          <w:szCs w:val="24"/>
          <w:shd w:val="clear" w:color="auto" w:fill="FFFFFF"/>
          <w:lang w:val="es-419"/>
        </w:rPr>
        <w:t xml:space="preserve">la </w:t>
      </w:r>
      <w:r w:rsidRPr="0026742B">
        <w:rPr>
          <w:rFonts w:ascii="Gadugi" w:hAnsi="Gadugi"/>
          <w:iCs/>
          <w:sz w:val="24"/>
          <w:szCs w:val="24"/>
          <w:shd w:val="clear" w:color="auto" w:fill="FFFFFF"/>
        </w:rPr>
        <w:t xml:space="preserve">modificación de la resolución, </w:t>
      </w:r>
      <w:r>
        <w:rPr>
          <w:rFonts w:ascii="Gadugi" w:hAnsi="Gadugi"/>
          <w:iCs/>
          <w:sz w:val="24"/>
          <w:szCs w:val="24"/>
          <w:shd w:val="clear" w:color="auto" w:fill="FFFFFF"/>
          <w:lang w:val="es-419"/>
        </w:rPr>
        <w:t xml:space="preserve">que la </w:t>
      </w:r>
      <w:r w:rsidRPr="0026742B">
        <w:rPr>
          <w:rFonts w:ascii="Gadugi" w:hAnsi="Gadugi"/>
          <w:iCs/>
          <w:sz w:val="24"/>
          <w:szCs w:val="24"/>
          <w:shd w:val="clear" w:color="auto" w:fill="FFFFFF"/>
        </w:rPr>
        <w:t>razón</w:t>
      </w:r>
      <w:r>
        <w:rPr>
          <w:rFonts w:ascii="Gadugi" w:hAnsi="Gadugi"/>
          <w:iCs/>
          <w:sz w:val="24"/>
          <w:szCs w:val="24"/>
          <w:shd w:val="clear" w:color="auto" w:fill="FFFFFF"/>
          <w:lang w:val="es-419"/>
        </w:rPr>
        <w:t xml:space="preserve"> para</w:t>
      </w:r>
      <w:r w:rsidRPr="0026742B">
        <w:rPr>
          <w:rFonts w:ascii="Gadugi" w:hAnsi="Gadugi"/>
          <w:iCs/>
          <w:sz w:val="24"/>
          <w:szCs w:val="24"/>
          <w:shd w:val="clear" w:color="auto" w:fill="FFFFFF"/>
        </w:rPr>
        <w:t xml:space="preserve"> desestimar el amparo está de parte del despacho judicial de primer grado, como quiera que, </w:t>
      </w:r>
      <w:r>
        <w:rPr>
          <w:rFonts w:ascii="Gadugi" w:hAnsi="Gadugi"/>
          <w:iCs/>
          <w:sz w:val="24"/>
          <w:szCs w:val="24"/>
          <w:shd w:val="clear" w:color="auto" w:fill="FFFFFF"/>
          <w:lang w:val="es-419"/>
        </w:rPr>
        <w:t xml:space="preserve">según se </w:t>
      </w:r>
      <w:r w:rsidRPr="0026742B">
        <w:rPr>
          <w:rFonts w:ascii="Gadugi" w:hAnsi="Gadugi"/>
          <w:iCs/>
          <w:sz w:val="24"/>
          <w:szCs w:val="24"/>
          <w:shd w:val="clear" w:color="auto" w:fill="FFFFFF"/>
        </w:rPr>
        <w:t xml:space="preserve">desprende del expediente,  en particular de los folios 15 a 16 del cuaderno 1, al momento de promoción de la demanda, si bien había transcurrido el término legal para brindar la respuesta del caso, ella se produjo durante el </w:t>
      </w:r>
      <w:r>
        <w:rPr>
          <w:rFonts w:ascii="Gadugi" w:hAnsi="Gadugi"/>
          <w:iCs/>
          <w:sz w:val="24"/>
          <w:szCs w:val="24"/>
          <w:shd w:val="clear" w:color="auto" w:fill="FFFFFF"/>
          <w:lang w:val="es-419"/>
        </w:rPr>
        <w:t xml:space="preserve">trámite y </w:t>
      </w:r>
      <w:r w:rsidRPr="0026742B">
        <w:rPr>
          <w:rFonts w:ascii="Gadugi" w:hAnsi="Gadugi"/>
          <w:iCs/>
          <w:sz w:val="24"/>
          <w:szCs w:val="24"/>
          <w:shd w:val="clear" w:color="auto" w:fill="FFFFFF"/>
        </w:rPr>
        <w:t>se le dio a conocer al interesado</w:t>
      </w:r>
      <w:r>
        <w:rPr>
          <w:rFonts w:ascii="Gadugi" w:hAnsi="Gadugi"/>
          <w:iCs/>
          <w:sz w:val="24"/>
          <w:szCs w:val="24"/>
          <w:shd w:val="clear" w:color="auto" w:fill="FFFFFF"/>
          <w:lang w:val="es-419"/>
        </w:rPr>
        <w:t>,</w:t>
      </w:r>
      <w:r w:rsidRPr="0026742B">
        <w:rPr>
          <w:rFonts w:ascii="Gadugi" w:hAnsi="Gadugi"/>
          <w:iCs/>
          <w:sz w:val="24"/>
          <w:szCs w:val="24"/>
          <w:shd w:val="clear" w:color="auto" w:fill="FFFFFF"/>
        </w:rPr>
        <w:t xml:space="preserve"> como de igual manera se desprende del contenido de la impugnación.</w:t>
      </w:r>
    </w:p>
    <w:p w:rsidR="00DE2148" w:rsidRPr="0026742B" w:rsidRDefault="00DE2148" w:rsidP="00DE2148">
      <w:pPr>
        <w:spacing w:line="276" w:lineRule="auto"/>
        <w:ind w:firstLine="2835"/>
        <w:jc w:val="both"/>
        <w:rPr>
          <w:rFonts w:ascii="Gadugi" w:hAnsi="Gadugi"/>
          <w:iCs/>
          <w:sz w:val="24"/>
          <w:szCs w:val="24"/>
          <w:shd w:val="clear" w:color="auto" w:fill="FFFFFF"/>
        </w:rPr>
      </w:pPr>
    </w:p>
    <w:p w:rsidR="00DE2148" w:rsidRPr="004D083F" w:rsidRDefault="00DE2148" w:rsidP="00DE2148">
      <w:pPr>
        <w:spacing w:line="276" w:lineRule="auto"/>
        <w:ind w:firstLine="2835"/>
        <w:jc w:val="both"/>
        <w:rPr>
          <w:rFonts w:ascii="Gadugi" w:hAnsi="Gadugi"/>
          <w:iCs/>
          <w:sz w:val="24"/>
          <w:szCs w:val="24"/>
          <w:shd w:val="clear" w:color="auto" w:fill="FFFFFF"/>
          <w:lang w:val="es-419"/>
        </w:rPr>
      </w:pPr>
      <w:r>
        <w:rPr>
          <w:rFonts w:ascii="Gadugi" w:hAnsi="Gadugi"/>
          <w:iCs/>
          <w:sz w:val="24"/>
          <w:szCs w:val="24"/>
          <w:shd w:val="clear" w:color="auto" w:fill="FFFFFF"/>
          <w:lang w:val="es-419"/>
        </w:rPr>
        <w:t>S</w:t>
      </w:r>
      <w:proofErr w:type="spellStart"/>
      <w:r w:rsidRPr="0026742B">
        <w:rPr>
          <w:rFonts w:ascii="Gadugi" w:hAnsi="Gadugi"/>
          <w:iCs/>
          <w:sz w:val="24"/>
          <w:szCs w:val="24"/>
          <w:shd w:val="clear" w:color="auto" w:fill="FFFFFF"/>
        </w:rPr>
        <w:t>e</w:t>
      </w:r>
      <w:proofErr w:type="spellEnd"/>
      <w:r w:rsidRPr="0026742B">
        <w:rPr>
          <w:rFonts w:ascii="Gadugi" w:hAnsi="Gadugi"/>
          <w:iCs/>
          <w:sz w:val="24"/>
          <w:szCs w:val="24"/>
          <w:shd w:val="clear" w:color="auto" w:fill="FFFFFF"/>
        </w:rPr>
        <w:t xml:space="preserve"> empieza por precisar</w:t>
      </w:r>
      <w:r>
        <w:rPr>
          <w:rFonts w:ascii="Gadugi" w:hAnsi="Gadugi"/>
          <w:iCs/>
          <w:sz w:val="24"/>
          <w:szCs w:val="24"/>
          <w:shd w:val="clear" w:color="auto" w:fill="FFFFFF"/>
          <w:lang w:val="es-419"/>
        </w:rPr>
        <w:t xml:space="preserve"> </w:t>
      </w:r>
      <w:r w:rsidRPr="0026742B">
        <w:rPr>
          <w:rFonts w:ascii="Gadugi" w:hAnsi="Gadugi"/>
          <w:iCs/>
          <w:sz w:val="24"/>
          <w:szCs w:val="24"/>
          <w:shd w:val="clear" w:color="auto" w:fill="FFFFFF"/>
        </w:rPr>
        <w:t xml:space="preserve">que el plazo al que hizo mención la parte accionada, para establecer que al momento de radicación de la acción de tutela no había vencido para emitir la respuesta pertinente, </w:t>
      </w:r>
      <w:r>
        <w:rPr>
          <w:rFonts w:ascii="Gadugi" w:hAnsi="Gadugi"/>
          <w:iCs/>
          <w:sz w:val="24"/>
          <w:szCs w:val="24"/>
          <w:shd w:val="clear" w:color="auto" w:fill="FFFFFF"/>
          <w:lang w:val="es-419"/>
        </w:rPr>
        <w:t xml:space="preserve">y en el que se apoyó el </w:t>
      </w:r>
      <w:r w:rsidRPr="0026742B">
        <w:rPr>
          <w:rFonts w:ascii="Gadugi" w:hAnsi="Gadugi"/>
          <w:iCs/>
          <w:sz w:val="24"/>
          <w:szCs w:val="24"/>
          <w:shd w:val="clear" w:color="auto" w:fill="FFFFFF"/>
        </w:rPr>
        <w:t>Juzgado, esto es, 30 días, no se acompasa con lo que</w:t>
      </w:r>
      <w:r>
        <w:rPr>
          <w:rFonts w:ascii="Gadugi" w:hAnsi="Gadugi"/>
          <w:iCs/>
          <w:sz w:val="24"/>
          <w:szCs w:val="24"/>
          <w:shd w:val="clear" w:color="auto" w:fill="FFFFFF"/>
          <w:lang w:val="es-419"/>
        </w:rPr>
        <w:t xml:space="preserve"> </w:t>
      </w:r>
      <w:r w:rsidRPr="0026742B">
        <w:rPr>
          <w:rFonts w:ascii="Gadugi" w:hAnsi="Gadugi"/>
          <w:iCs/>
          <w:sz w:val="24"/>
          <w:szCs w:val="24"/>
          <w:shd w:val="clear" w:color="auto" w:fill="FFFFFF"/>
        </w:rPr>
        <w:t>enseña el artículo 14 de la Ley 1755 de 2015, que fija un término general de quince (15) días para tal</w:t>
      </w:r>
      <w:r>
        <w:rPr>
          <w:rFonts w:ascii="Gadugi" w:hAnsi="Gadugi"/>
          <w:iCs/>
          <w:sz w:val="24"/>
          <w:szCs w:val="24"/>
          <w:shd w:val="clear" w:color="auto" w:fill="FFFFFF"/>
          <w:lang w:val="es-419"/>
        </w:rPr>
        <w:t xml:space="preserve"> efecto, </w:t>
      </w:r>
      <w:r w:rsidRPr="0026742B">
        <w:rPr>
          <w:rFonts w:ascii="Gadugi" w:hAnsi="Gadugi"/>
          <w:iCs/>
          <w:sz w:val="24"/>
          <w:szCs w:val="24"/>
          <w:shd w:val="clear" w:color="auto" w:fill="FFFFFF"/>
        </w:rPr>
        <w:t xml:space="preserve">salvo la reducción o ampliación que fija el mismo canon para los eventos allí señalados, en el que en su numeral 2º establece uno de treinta (30) días, para </w:t>
      </w:r>
      <w:r w:rsidRPr="0026742B">
        <w:rPr>
          <w:rFonts w:ascii="Gadugi" w:hAnsi="Gadugi"/>
          <w:i/>
          <w:iCs/>
          <w:sz w:val="24"/>
          <w:szCs w:val="24"/>
          <w:shd w:val="clear" w:color="auto" w:fill="FFFFFF"/>
        </w:rPr>
        <w:t xml:space="preserve">consultas </w:t>
      </w:r>
      <w:r w:rsidRPr="0026742B">
        <w:rPr>
          <w:rFonts w:ascii="Gadugi" w:hAnsi="Gadugi"/>
          <w:iCs/>
          <w:sz w:val="24"/>
          <w:szCs w:val="24"/>
          <w:shd w:val="clear" w:color="auto" w:fill="FFFFFF"/>
        </w:rPr>
        <w:t>sobre temas relacionados con la materia a cargo de determinada entidad</w:t>
      </w:r>
      <w:r>
        <w:rPr>
          <w:rFonts w:ascii="Gadugi" w:hAnsi="Gadugi"/>
          <w:iCs/>
          <w:sz w:val="24"/>
          <w:szCs w:val="24"/>
          <w:shd w:val="clear" w:color="auto" w:fill="FFFFFF"/>
          <w:lang w:val="es-419"/>
        </w:rPr>
        <w:t xml:space="preserve">. Aquí no se trataba de una consulta, sino de la </w:t>
      </w:r>
      <w:r w:rsidRPr="0026742B">
        <w:rPr>
          <w:rFonts w:ascii="Gadugi" w:hAnsi="Gadugi"/>
          <w:iCs/>
          <w:sz w:val="24"/>
          <w:szCs w:val="24"/>
          <w:shd w:val="clear" w:color="auto" w:fill="FFFFFF"/>
        </w:rPr>
        <w:t xml:space="preserve">expedición de unos actos requeridos para </w:t>
      </w:r>
      <w:r>
        <w:rPr>
          <w:rFonts w:ascii="Gadugi" w:hAnsi="Gadugi"/>
          <w:iCs/>
          <w:sz w:val="24"/>
          <w:szCs w:val="24"/>
          <w:shd w:val="clear" w:color="auto" w:fill="FFFFFF"/>
          <w:lang w:val="es-419"/>
        </w:rPr>
        <w:t xml:space="preserve">la </w:t>
      </w:r>
      <w:r w:rsidRPr="0026742B">
        <w:rPr>
          <w:rFonts w:ascii="Gadugi" w:hAnsi="Gadugi"/>
          <w:iCs/>
          <w:sz w:val="24"/>
          <w:szCs w:val="24"/>
          <w:shd w:val="clear" w:color="auto" w:fill="FFFFFF"/>
        </w:rPr>
        <w:t>asignación de fichas catastrales</w:t>
      </w:r>
      <w:r>
        <w:rPr>
          <w:rFonts w:ascii="Gadugi" w:hAnsi="Gadugi"/>
          <w:iCs/>
          <w:sz w:val="24"/>
          <w:szCs w:val="24"/>
          <w:shd w:val="clear" w:color="auto" w:fill="FFFFFF"/>
          <w:lang w:val="es-419"/>
        </w:rPr>
        <w:t xml:space="preserve">, de manera que era </w:t>
      </w:r>
      <w:r w:rsidRPr="0026742B">
        <w:rPr>
          <w:rFonts w:ascii="Gadugi" w:hAnsi="Gadugi"/>
          <w:iCs/>
          <w:sz w:val="24"/>
          <w:szCs w:val="24"/>
          <w:shd w:val="clear" w:color="auto" w:fill="FFFFFF"/>
        </w:rPr>
        <w:t xml:space="preserve">una petición concreta en torno a una actividad administrativa que </w:t>
      </w:r>
      <w:r>
        <w:rPr>
          <w:rFonts w:ascii="Gadugi" w:hAnsi="Gadugi"/>
          <w:iCs/>
          <w:sz w:val="24"/>
          <w:szCs w:val="24"/>
          <w:shd w:val="clear" w:color="auto" w:fill="FFFFFF"/>
          <w:lang w:val="es-419"/>
        </w:rPr>
        <w:t xml:space="preserve">ha debido contestarse en ese término genérico. De ahí que el mismo se hallaba vencido al tiempo de promoción de la demanda, lo que dejaba en evidencia la </w:t>
      </w:r>
      <w:r w:rsidRPr="0026742B">
        <w:rPr>
          <w:rFonts w:ascii="Gadugi" w:hAnsi="Gadugi"/>
          <w:iCs/>
          <w:sz w:val="24"/>
          <w:szCs w:val="24"/>
          <w:shd w:val="clear" w:color="auto" w:fill="FFFFFF"/>
        </w:rPr>
        <w:t xml:space="preserve">violación </w:t>
      </w:r>
      <w:r>
        <w:rPr>
          <w:rFonts w:ascii="Gadugi" w:hAnsi="Gadugi"/>
          <w:iCs/>
          <w:sz w:val="24"/>
          <w:szCs w:val="24"/>
          <w:shd w:val="clear" w:color="auto" w:fill="FFFFFF"/>
          <w:lang w:val="es-419"/>
        </w:rPr>
        <w:t xml:space="preserve">de ese </w:t>
      </w:r>
      <w:r w:rsidRPr="0026742B">
        <w:rPr>
          <w:rFonts w:ascii="Gadugi" w:hAnsi="Gadugi"/>
          <w:iCs/>
          <w:sz w:val="24"/>
          <w:szCs w:val="24"/>
          <w:shd w:val="clear" w:color="auto" w:fill="FFFFFF"/>
        </w:rPr>
        <w:t>derecho fundamental</w:t>
      </w:r>
      <w:r>
        <w:rPr>
          <w:rFonts w:ascii="Gadugi" w:hAnsi="Gadugi"/>
          <w:iCs/>
          <w:sz w:val="24"/>
          <w:szCs w:val="24"/>
          <w:shd w:val="clear" w:color="auto" w:fill="FFFFFF"/>
          <w:lang w:val="es-419"/>
        </w:rPr>
        <w:t xml:space="preserve">. </w:t>
      </w:r>
      <w:r w:rsidRPr="0026742B">
        <w:rPr>
          <w:rFonts w:ascii="Gadugi" w:hAnsi="Gadugi"/>
          <w:iCs/>
          <w:sz w:val="24"/>
          <w:szCs w:val="24"/>
          <w:shd w:val="clear" w:color="auto" w:fill="FFFFFF"/>
        </w:rPr>
        <w:t xml:space="preserve"> </w:t>
      </w:r>
    </w:p>
    <w:p w:rsidR="00DE2148" w:rsidRPr="0026742B" w:rsidRDefault="00DE2148" w:rsidP="00DE2148">
      <w:pPr>
        <w:spacing w:line="276" w:lineRule="auto"/>
        <w:ind w:firstLine="2835"/>
        <w:jc w:val="both"/>
        <w:rPr>
          <w:rFonts w:ascii="Gadugi" w:hAnsi="Gadugi"/>
          <w:iCs/>
          <w:sz w:val="24"/>
          <w:szCs w:val="24"/>
          <w:shd w:val="clear" w:color="auto" w:fill="FFFFFF"/>
        </w:rPr>
      </w:pPr>
    </w:p>
    <w:p w:rsidR="00DE2148" w:rsidRPr="0026742B" w:rsidRDefault="00DE2148" w:rsidP="00DE2148">
      <w:pPr>
        <w:spacing w:line="276" w:lineRule="auto"/>
        <w:ind w:firstLine="2835"/>
        <w:jc w:val="both"/>
        <w:rPr>
          <w:rFonts w:ascii="Gadugi" w:hAnsi="Gadugi"/>
          <w:iCs/>
          <w:sz w:val="24"/>
          <w:szCs w:val="24"/>
          <w:shd w:val="clear" w:color="auto" w:fill="FFFFFF"/>
        </w:rPr>
      </w:pPr>
      <w:r w:rsidRPr="0026742B">
        <w:rPr>
          <w:rFonts w:ascii="Gadugi" w:hAnsi="Gadugi"/>
          <w:iCs/>
          <w:sz w:val="24"/>
          <w:szCs w:val="24"/>
          <w:shd w:val="clear" w:color="auto" w:fill="FFFFFF"/>
        </w:rPr>
        <w:t>Pero la cuestión varió, de manera concluyente, en el decurso de</w:t>
      </w:r>
      <w:r>
        <w:rPr>
          <w:rFonts w:ascii="Gadugi" w:hAnsi="Gadugi"/>
          <w:iCs/>
          <w:sz w:val="24"/>
          <w:szCs w:val="24"/>
          <w:shd w:val="clear" w:color="auto" w:fill="FFFFFF"/>
          <w:lang w:val="es-419"/>
        </w:rPr>
        <w:t xml:space="preserve"> la tutela, </w:t>
      </w:r>
      <w:r w:rsidRPr="0026742B">
        <w:rPr>
          <w:rFonts w:ascii="Gadugi" w:hAnsi="Gadugi"/>
          <w:iCs/>
          <w:sz w:val="24"/>
          <w:szCs w:val="24"/>
          <w:shd w:val="clear" w:color="auto" w:fill="FFFFFF"/>
        </w:rPr>
        <w:t>como quiera que la entidad expidió y dio a conocer a la parte interesada, la respuesta a la solicitud del 22 de diciembre de 2016, lo que conducía a la declaratoria del hecho superado por carencia actual de objeto.</w:t>
      </w:r>
    </w:p>
    <w:p w:rsidR="00666CFA" w:rsidRDefault="00666CFA" w:rsidP="00DE2148">
      <w:pPr>
        <w:spacing w:line="276" w:lineRule="auto"/>
        <w:ind w:firstLine="2835"/>
        <w:jc w:val="both"/>
        <w:rPr>
          <w:rFonts w:ascii="Gadugi" w:hAnsi="Gadugi"/>
          <w:iCs/>
          <w:sz w:val="24"/>
          <w:szCs w:val="24"/>
          <w:shd w:val="clear" w:color="auto" w:fill="FFFFFF"/>
          <w:lang w:val="es-419"/>
        </w:rPr>
      </w:pPr>
    </w:p>
    <w:p w:rsidR="00DE2148" w:rsidRPr="0026742B" w:rsidRDefault="00DE2148" w:rsidP="00DE2148">
      <w:pPr>
        <w:spacing w:line="276" w:lineRule="auto"/>
        <w:ind w:firstLine="2835"/>
        <w:jc w:val="both"/>
        <w:rPr>
          <w:rFonts w:ascii="Gadugi" w:hAnsi="Gadugi"/>
          <w:iCs/>
          <w:sz w:val="24"/>
          <w:szCs w:val="24"/>
          <w:shd w:val="clear" w:color="auto" w:fill="FFFFFF"/>
        </w:rPr>
      </w:pPr>
      <w:r>
        <w:rPr>
          <w:rFonts w:ascii="Gadugi" w:hAnsi="Gadugi"/>
          <w:iCs/>
          <w:sz w:val="24"/>
          <w:szCs w:val="24"/>
          <w:shd w:val="clear" w:color="auto" w:fill="FFFFFF"/>
          <w:lang w:val="es-419"/>
        </w:rPr>
        <w:t xml:space="preserve">Y de que así debió ser </w:t>
      </w:r>
      <w:r w:rsidRPr="0026742B">
        <w:rPr>
          <w:rFonts w:ascii="Gadugi" w:hAnsi="Gadugi"/>
          <w:iCs/>
          <w:sz w:val="24"/>
          <w:szCs w:val="24"/>
          <w:shd w:val="clear" w:color="auto" w:fill="FFFFFF"/>
          <w:lang w:val="es-CO"/>
        </w:rPr>
        <w:t xml:space="preserve">no hay duda, porque descendiendo a la queja que plantea el accionante, la contestación que se generó, sí hace saber de manera clara y concreta lo relacionado con su requerimiento, si bien en forma explícita y con los argumentos necesarios, atendiendo la </w:t>
      </w:r>
      <w:r w:rsidRPr="0026742B">
        <w:rPr>
          <w:rFonts w:ascii="Gadugi" w:hAnsi="Gadugi"/>
          <w:iCs/>
          <w:sz w:val="24"/>
          <w:szCs w:val="24"/>
          <w:shd w:val="clear" w:color="auto" w:fill="FFFFFF"/>
          <w:lang w:val="es-CO"/>
        </w:rPr>
        <w:lastRenderedPageBreak/>
        <w:t>infraestructura física y humana de la entidad, se señaló el turno que le correspondía para desatar finalmente el pedimento elevado.</w:t>
      </w:r>
    </w:p>
    <w:p w:rsidR="00DE2148" w:rsidRPr="0026742B" w:rsidRDefault="00DE2148" w:rsidP="00DE2148">
      <w:pPr>
        <w:pStyle w:val="Corpsdetexte"/>
        <w:spacing w:line="276" w:lineRule="auto"/>
        <w:rPr>
          <w:rFonts w:ascii="Gadugi" w:hAnsi="Gadugi" w:cs="Arial"/>
          <w:szCs w:val="24"/>
          <w:lang w:val="es-CO"/>
        </w:rPr>
      </w:pPr>
    </w:p>
    <w:p w:rsidR="00DE2148" w:rsidRPr="0026742B" w:rsidRDefault="00DE2148" w:rsidP="00DE2148">
      <w:pPr>
        <w:pStyle w:val="Corpsdetexte"/>
        <w:spacing w:line="276" w:lineRule="auto"/>
        <w:rPr>
          <w:rFonts w:ascii="Gadugi" w:hAnsi="Gadugi" w:cs="Arial"/>
          <w:szCs w:val="24"/>
          <w:lang w:val="es-CO"/>
        </w:rPr>
      </w:pPr>
      <w:r w:rsidRPr="0026742B">
        <w:rPr>
          <w:rFonts w:ascii="Gadugi" w:hAnsi="Gadugi" w:cs="Arial"/>
          <w:szCs w:val="24"/>
          <w:lang w:val="es-CO"/>
        </w:rPr>
        <w:t xml:space="preserve">  </w:t>
      </w:r>
      <w:r w:rsidRPr="0026742B">
        <w:rPr>
          <w:rFonts w:ascii="Gadugi" w:hAnsi="Gadugi" w:cs="Arial"/>
          <w:szCs w:val="24"/>
          <w:lang w:val="es-CO"/>
        </w:rPr>
        <w:tab/>
      </w:r>
      <w:r w:rsidRPr="0026742B">
        <w:rPr>
          <w:rFonts w:ascii="Gadugi" w:hAnsi="Gadugi" w:cs="Arial"/>
          <w:szCs w:val="24"/>
          <w:lang w:val="es-CO"/>
        </w:rPr>
        <w:tab/>
      </w:r>
      <w:r w:rsidRPr="0026742B">
        <w:rPr>
          <w:rFonts w:ascii="Gadugi" w:hAnsi="Gadugi" w:cs="Arial"/>
          <w:szCs w:val="24"/>
          <w:lang w:val="es-CO"/>
        </w:rPr>
        <w:tab/>
      </w:r>
      <w:r w:rsidRPr="0026742B">
        <w:rPr>
          <w:rFonts w:ascii="Gadugi" w:hAnsi="Gadugi" w:cs="Arial"/>
          <w:szCs w:val="24"/>
          <w:lang w:val="es-CO"/>
        </w:rPr>
        <w:tab/>
        <w:t xml:space="preserve">Que esté inconforme con esa respuesta, por sí solo no le imprime un alcance vulnerador o trasgresor a la posición de la accionada. Así, por ejemplo, en eventos similares, cambiando lo que hay que cambiar, ha dicho la Corte Constitucional que: </w:t>
      </w:r>
    </w:p>
    <w:p w:rsidR="00DE2148" w:rsidRPr="0026742B" w:rsidRDefault="00DE2148" w:rsidP="00DE2148">
      <w:pPr>
        <w:spacing w:line="276" w:lineRule="auto"/>
        <w:ind w:right="51"/>
        <w:jc w:val="both"/>
        <w:rPr>
          <w:sz w:val="24"/>
          <w:szCs w:val="24"/>
        </w:rPr>
      </w:pPr>
    </w:p>
    <w:p w:rsidR="00DE2148" w:rsidRDefault="00DE2148" w:rsidP="00DE2148">
      <w:pPr>
        <w:tabs>
          <w:tab w:val="left" w:pos="2410"/>
          <w:tab w:val="left" w:pos="2835"/>
          <w:tab w:val="left" w:pos="8080"/>
        </w:tabs>
        <w:ind w:left="851" w:right="760"/>
        <w:jc w:val="both"/>
        <w:rPr>
          <w:rFonts w:ascii="Arial Narrow" w:hAnsi="Arial Narrow"/>
          <w:sz w:val="22"/>
          <w:szCs w:val="22"/>
        </w:rPr>
      </w:pPr>
      <w:r w:rsidRPr="00666CFA">
        <w:rPr>
          <w:rFonts w:ascii="Arial Narrow" w:hAnsi="Arial Narrow"/>
          <w:i/>
          <w:sz w:val="22"/>
          <w:szCs w:val="22"/>
        </w:rPr>
        <w:t xml:space="preserve">                            </w:t>
      </w:r>
      <w:r w:rsidRPr="00666CFA">
        <w:rPr>
          <w:rFonts w:ascii="Arial Narrow" w:hAnsi="Arial Narrow"/>
          <w:i/>
          <w:sz w:val="22"/>
          <w:szCs w:val="22"/>
        </w:rPr>
        <w:tab/>
      </w:r>
      <w:r w:rsidRPr="00666CFA">
        <w:rPr>
          <w:rFonts w:ascii="Arial Narrow" w:hAnsi="Arial Narrow"/>
          <w:sz w:val="22"/>
          <w:szCs w:val="22"/>
        </w:rPr>
        <w:t>Sin embargo, ha de recordarse que la Corte también ha precisado que, ni el derecho de petición, ni la acción de tutela, tienen la virtualidad de obligar a las autoridades a lo imposible, como así lo indicó en la Sentencia T-464 de 1.996</w:t>
      </w:r>
      <w:r w:rsidRPr="00666CFA">
        <w:rPr>
          <w:rStyle w:val="Appelnotedebasdep"/>
          <w:rFonts w:ascii="Arial Narrow" w:hAnsi="Arial Narrow"/>
          <w:sz w:val="22"/>
          <w:szCs w:val="22"/>
        </w:rPr>
        <w:footnoteReference w:id="3"/>
      </w:r>
      <w:r w:rsidRPr="00666CFA">
        <w:rPr>
          <w:rFonts w:ascii="Arial Narrow" w:hAnsi="Arial Narrow"/>
          <w:sz w:val="22"/>
          <w:szCs w:val="22"/>
        </w:rPr>
        <w:t>:</w:t>
      </w:r>
    </w:p>
    <w:p w:rsidR="00666CFA" w:rsidRPr="00666CFA" w:rsidRDefault="00666CFA" w:rsidP="00DE2148">
      <w:pPr>
        <w:tabs>
          <w:tab w:val="left" w:pos="2410"/>
          <w:tab w:val="left" w:pos="2835"/>
          <w:tab w:val="left" w:pos="8080"/>
        </w:tabs>
        <w:ind w:left="851" w:right="760"/>
        <w:jc w:val="both"/>
        <w:rPr>
          <w:rFonts w:ascii="Arial Narrow" w:hAnsi="Arial Narrow"/>
          <w:sz w:val="10"/>
          <w:szCs w:val="10"/>
        </w:rPr>
      </w:pPr>
    </w:p>
    <w:p w:rsidR="00DE2148" w:rsidRPr="00666CFA" w:rsidRDefault="00DE2148" w:rsidP="00DE2148">
      <w:pPr>
        <w:tabs>
          <w:tab w:val="left" w:pos="2835"/>
          <w:tab w:val="left" w:pos="7938"/>
          <w:tab w:val="left" w:pos="8222"/>
        </w:tabs>
        <w:ind w:left="851" w:right="760"/>
        <w:jc w:val="both"/>
        <w:rPr>
          <w:rFonts w:ascii="Arial Narrow" w:hAnsi="Arial Narrow"/>
          <w:sz w:val="22"/>
          <w:szCs w:val="22"/>
        </w:rPr>
      </w:pPr>
      <w:r w:rsidRPr="00666CFA">
        <w:rPr>
          <w:rFonts w:ascii="Arial Narrow" w:hAnsi="Arial Narrow"/>
          <w:sz w:val="22"/>
          <w:szCs w:val="22"/>
        </w:rPr>
        <w:t xml:space="preserve">                                  </w:t>
      </w:r>
      <w:r w:rsidRPr="00666CFA">
        <w:rPr>
          <w:rFonts w:ascii="Arial Narrow" w:hAnsi="Arial Narrow"/>
          <w:sz w:val="22"/>
          <w:szCs w:val="22"/>
        </w:rPr>
        <w:tab/>
        <w:t>“Ahora bien, una cosa es que resulte violado el derecho de petición cuando no se resuelve material y oportunamente acerca de la solicitud presentada y otra muy distinta que, ya respondido lo que la autoridad tiene a su alcance como respuesta, el peticionario aspire a que se le conceda forzosamente y de manera inmediata algo que resulte imposible.”</w:t>
      </w:r>
    </w:p>
    <w:p w:rsidR="00DE2148" w:rsidRPr="00666CFA" w:rsidRDefault="00DE2148" w:rsidP="00DE2148">
      <w:pPr>
        <w:tabs>
          <w:tab w:val="left" w:pos="7938"/>
          <w:tab w:val="left" w:pos="8222"/>
        </w:tabs>
        <w:ind w:left="851" w:right="22"/>
        <w:jc w:val="both"/>
        <w:rPr>
          <w:rFonts w:ascii="Arial Narrow" w:hAnsi="Arial Narrow"/>
          <w:sz w:val="10"/>
          <w:szCs w:val="10"/>
        </w:rPr>
      </w:pPr>
      <w:r w:rsidRPr="00666CFA">
        <w:rPr>
          <w:rFonts w:ascii="Arial Narrow" w:hAnsi="Arial Narrow"/>
          <w:sz w:val="22"/>
          <w:szCs w:val="22"/>
        </w:rPr>
        <w:t xml:space="preserve">     </w:t>
      </w:r>
      <w:r w:rsidRPr="00666CFA">
        <w:rPr>
          <w:rFonts w:ascii="Arial Narrow" w:hAnsi="Arial Narrow"/>
          <w:sz w:val="10"/>
          <w:szCs w:val="10"/>
        </w:rPr>
        <w:t xml:space="preserve">                               </w:t>
      </w:r>
    </w:p>
    <w:p w:rsidR="00DE2148" w:rsidRPr="00666CFA" w:rsidRDefault="00DE2148" w:rsidP="00DE2148">
      <w:pPr>
        <w:tabs>
          <w:tab w:val="left" w:pos="2835"/>
          <w:tab w:val="left" w:pos="7938"/>
          <w:tab w:val="left" w:pos="8222"/>
        </w:tabs>
        <w:ind w:left="851" w:right="22"/>
        <w:jc w:val="both"/>
        <w:rPr>
          <w:rFonts w:ascii="Arial Narrow" w:hAnsi="Arial Narrow"/>
          <w:sz w:val="22"/>
          <w:szCs w:val="22"/>
        </w:rPr>
      </w:pPr>
      <w:r w:rsidRPr="00666CFA">
        <w:rPr>
          <w:rFonts w:ascii="Arial Narrow" w:hAnsi="Arial Narrow"/>
          <w:sz w:val="22"/>
          <w:szCs w:val="22"/>
        </w:rPr>
        <w:t xml:space="preserve">                                  (...)</w:t>
      </w:r>
    </w:p>
    <w:p w:rsidR="00DE2148" w:rsidRPr="00666CFA" w:rsidRDefault="00DE2148" w:rsidP="00DE2148">
      <w:pPr>
        <w:tabs>
          <w:tab w:val="left" w:pos="7938"/>
          <w:tab w:val="left" w:pos="8222"/>
        </w:tabs>
        <w:ind w:left="851" w:right="760"/>
        <w:jc w:val="both"/>
        <w:rPr>
          <w:rFonts w:ascii="Arial Narrow" w:hAnsi="Arial Narrow"/>
          <w:sz w:val="10"/>
          <w:szCs w:val="10"/>
        </w:rPr>
      </w:pPr>
    </w:p>
    <w:p w:rsidR="00DE2148" w:rsidRPr="00666CFA" w:rsidRDefault="00DE2148" w:rsidP="00DE2148">
      <w:pPr>
        <w:tabs>
          <w:tab w:val="left" w:pos="7938"/>
          <w:tab w:val="left" w:pos="8222"/>
        </w:tabs>
        <w:ind w:left="851" w:right="760"/>
        <w:jc w:val="both"/>
        <w:rPr>
          <w:rFonts w:ascii="Arial Narrow" w:hAnsi="Arial Narrow"/>
          <w:sz w:val="22"/>
          <w:szCs w:val="22"/>
        </w:rPr>
      </w:pPr>
      <w:r w:rsidRPr="00666CFA">
        <w:rPr>
          <w:rFonts w:ascii="Arial Narrow" w:hAnsi="Arial Narrow"/>
          <w:sz w:val="22"/>
          <w:szCs w:val="22"/>
        </w:rPr>
        <w:t xml:space="preserve">                                  El derecho de petición no ha sido vulnerado y, por tanto, no cabe la protección judicial, pues la acción de tutela tampoco es procedente para alcanzar efectos fácticos que están fuera del alcance de la autoridad contra la cual se intenta.”</w:t>
      </w:r>
      <w:r w:rsidRPr="00666CFA">
        <w:rPr>
          <w:rStyle w:val="Appelnotedebasdep"/>
          <w:rFonts w:ascii="Arial Narrow" w:hAnsi="Arial Narrow"/>
          <w:sz w:val="22"/>
          <w:szCs w:val="22"/>
        </w:rPr>
        <w:footnoteReference w:id="4"/>
      </w:r>
      <w:r w:rsidRPr="00666CFA">
        <w:rPr>
          <w:rFonts w:ascii="Arial Narrow" w:hAnsi="Arial Narrow"/>
          <w:bCs/>
          <w:sz w:val="22"/>
          <w:szCs w:val="22"/>
        </w:rPr>
        <w:t xml:space="preserve">   </w:t>
      </w:r>
    </w:p>
    <w:p w:rsidR="00DE2148" w:rsidRPr="004D083F" w:rsidRDefault="00DE2148" w:rsidP="00DE2148">
      <w:pPr>
        <w:tabs>
          <w:tab w:val="left" w:pos="8222"/>
        </w:tabs>
        <w:ind w:right="51" w:firstLine="426"/>
        <w:jc w:val="both"/>
        <w:rPr>
          <w:rFonts w:ascii="Arial Narrow" w:hAnsi="Arial Narrow"/>
          <w:bCs/>
          <w:sz w:val="24"/>
          <w:szCs w:val="24"/>
        </w:rPr>
      </w:pPr>
      <w:r w:rsidRPr="00666CFA">
        <w:rPr>
          <w:rFonts w:ascii="Arial Narrow" w:hAnsi="Arial Narrow"/>
          <w:bCs/>
          <w:sz w:val="22"/>
          <w:szCs w:val="22"/>
        </w:rPr>
        <w:t xml:space="preserve">       </w:t>
      </w:r>
      <w:r w:rsidRPr="004D083F">
        <w:rPr>
          <w:rFonts w:ascii="Arial Narrow" w:hAnsi="Arial Narrow"/>
          <w:bCs/>
          <w:sz w:val="24"/>
          <w:szCs w:val="24"/>
        </w:rPr>
        <w:t xml:space="preserve">                            </w:t>
      </w:r>
    </w:p>
    <w:p w:rsidR="00DE2148" w:rsidRPr="004D083F" w:rsidRDefault="00DE2148" w:rsidP="00DE2148">
      <w:pPr>
        <w:tabs>
          <w:tab w:val="left" w:pos="2835"/>
          <w:tab w:val="left" w:pos="8222"/>
        </w:tabs>
        <w:spacing w:line="276" w:lineRule="auto"/>
        <w:ind w:right="51" w:firstLine="426"/>
        <w:jc w:val="both"/>
        <w:rPr>
          <w:rFonts w:ascii="Gadugi" w:hAnsi="Gadugi"/>
          <w:bCs/>
          <w:sz w:val="24"/>
          <w:szCs w:val="24"/>
        </w:rPr>
      </w:pPr>
      <w:r w:rsidRPr="004D083F">
        <w:rPr>
          <w:rFonts w:ascii="Arial Narrow" w:hAnsi="Arial Narrow"/>
          <w:bCs/>
          <w:sz w:val="24"/>
          <w:szCs w:val="24"/>
        </w:rPr>
        <w:t xml:space="preserve">   </w:t>
      </w:r>
      <w:r w:rsidRPr="004D083F">
        <w:rPr>
          <w:rFonts w:ascii="Arial Narrow" w:hAnsi="Arial Narrow"/>
          <w:bCs/>
          <w:sz w:val="24"/>
          <w:szCs w:val="24"/>
        </w:rPr>
        <w:tab/>
        <w:t xml:space="preserve"> </w:t>
      </w:r>
      <w:r w:rsidRPr="004D083F">
        <w:rPr>
          <w:rFonts w:ascii="Gadugi" w:hAnsi="Gadugi"/>
          <w:bCs/>
          <w:sz w:val="24"/>
          <w:szCs w:val="24"/>
        </w:rPr>
        <w:t>A ello se suma, de manera más puntual, lo que la Sala de Casación Civil de la Corte Suprema de Justicia</w:t>
      </w:r>
      <w:r w:rsidRPr="004D083F">
        <w:rPr>
          <w:rStyle w:val="Appelnotedebasdep"/>
          <w:rFonts w:ascii="Gadugi" w:hAnsi="Gadugi"/>
          <w:bCs/>
          <w:sz w:val="24"/>
          <w:szCs w:val="24"/>
        </w:rPr>
        <w:footnoteReference w:id="5"/>
      </w:r>
      <w:r w:rsidRPr="004D083F">
        <w:rPr>
          <w:rFonts w:ascii="Gadugi" w:hAnsi="Gadugi"/>
          <w:bCs/>
          <w:sz w:val="24"/>
          <w:szCs w:val="24"/>
        </w:rPr>
        <w:t>, en un escenario que bien puede aparejarse al presente, adujo, en relación con una respuesta que en primera instancia se tuvo por inconclusa, al no concretar una fecha precisa acerca de cuándo se produciría la materialización de un pago, indicó:</w:t>
      </w:r>
    </w:p>
    <w:p w:rsidR="00DE2148" w:rsidRPr="004D083F" w:rsidRDefault="00DE2148" w:rsidP="00DE2148">
      <w:pPr>
        <w:tabs>
          <w:tab w:val="left" w:pos="2835"/>
          <w:tab w:val="left" w:pos="8222"/>
        </w:tabs>
        <w:ind w:right="51" w:firstLine="426"/>
        <w:jc w:val="both"/>
        <w:rPr>
          <w:rFonts w:ascii="Arial Narrow" w:hAnsi="Arial Narrow"/>
          <w:bCs/>
          <w:sz w:val="24"/>
          <w:szCs w:val="24"/>
        </w:rPr>
      </w:pPr>
      <w:r w:rsidRPr="004D083F">
        <w:rPr>
          <w:rFonts w:ascii="Arial Narrow" w:hAnsi="Arial Narrow"/>
          <w:bCs/>
          <w:sz w:val="24"/>
          <w:szCs w:val="24"/>
        </w:rPr>
        <w:t xml:space="preserve"> </w:t>
      </w:r>
    </w:p>
    <w:p w:rsidR="00DE2148" w:rsidRPr="00666CFA" w:rsidRDefault="00DE2148" w:rsidP="00DE2148">
      <w:pPr>
        <w:ind w:left="1134" w:right="902" w:firstLine="709"/>
        <w:jc w:val="both"/>
        <w:rPr>
          <w:rFonts w:ascii="Arial Narrow" w:hAnsi="Arial Narrow" w:cs="Arial"/>
          <w:sz w:val="22"/>
          <w:szCs w:val="22"/>
        </w:rPr>
      </w:pPr>
      <w:r w:rsidRPr="004D083F">
        <w:rPr>
          <w:rFonts w:ascii="Arial Narrow" w:hAnsi="Arial Narrow" w:cs="Arial"/>
          <w:sz w:val="24"/>
          <w:szCs w:val="24"/>
          <w:lang w:eastAsia="es-CO"/>
        </w:rPr>
        <w:t xml:space="preserve"> </w:t>
      </w:r>
      <w:r w:rsidRPr="004D083F">
        <w:rPr>
          <w:rFonts w:ascii="Arial Narrow" w:hAnsi="Arial Narrow" w:cs="Arial"/>
          <w:sz w:val="24"/>
          <w:szCs w:val="24"/>
          <w:lang w:eastAsia="es-CO"/>
        </w:rPr>
        <w:tab/>
      </w:r>
      <w:r w:rsidRPr="004D083F">
        <w:rPr>
          <w:rFonts w:ascii="Arial Narrow" w:hAnsi="Arial Narrow" w:cs="Arial"/>
          <w:sz w:val="24"/>
          <w:szCs w:val="24"/>
          <w:lang w:eastAsia="es-CO"/>
        </w:rPr>
        <w:tab/>
      </w:r>
      <w:r w:rsidRPr="00666CFA">
        <w:rPr>
          <w:rFonts w:ascii="Arial Narrow" w:hAnsi="Arial Narrow" w:cs="Arial"/>
          <w:sz w:val="22"/>
          <w:szCs w:val="22"/>
          <w:lang w:eastAsia="es-CO"/>
        </w:rPr>
        <w:t xml:space="preserve">No obstante lo anterior, el Tribunal al emitir el fallo de primera instancia consideró que la contestación proferida por la autoridad accionada no satisfacía el núcleo esencial del derecho de petición. Particularmente, advirtió que el segundo punto de la solicitud, esto es, </w:t>
      </w:r>
      <w:r w:rsidRPr="00666CFA">
        <w:rPr>
          <w:rFonts w:ascii="Arial Narrow" w:hAnsi="Arial Narrow" w:cs="Arial"/>
          <w:sz w:val="22"/>
          <w:szCs w:val="22"/>
        </w:rPr>
        <w:t>«se me informe cuál es el turno que se está atendiendo actualmente», no se resolvió de manera efectiva.</w:t>
      </w:r>
    </w:p>
    <w:p w:rsidR="00DE2148" w:rsidRPr="00666CFA" w:rsidRDefault="00DE2148" w:rsidP="00DE2148">
      <w:pPr>
        <w:ind w:left="1134" w:right="902" w:firstLine="709"/>
        <w:jc w:val="both"/>
        <w:rPr>
          <w:rFonts w:ascii="Arial Narrow" w:hAnsi="Arial Narrow" w:cs="Arial"/>
          <w:sz w:val="22"/>
          <w:szCs w:val="22"/>
        </w:rPr>
      </w:pPr>
      <w:r w:rsidRPr="00666CFA">
        <w:rPr>
          <w:rFonts w:ascii="Arial Narrow" w:hAnsi="Arial Narrow" w:cs="Arial"/>
          <w:sz w:val="22"/>
          <w:szCs w:val="22"/>
        </w:rPr>
        <w:t xml:space="preserve"> </w:t>
      </w:r>
      <w:r w:rsidRPr="00666CFA">
        <w:rPr>
          <w:rFonts w:ascii="Arial Narrow" w:hAnsi="Arial Narrow" w:cs="Arial"/>
          <w:sz w:val="22"/>
          <w:szCs w:val="22"/>
        </w:rPr>
        <w:tab/>
      </w:r>
      <w:r w:rsidRPr="00666CFA">
        <w:rPr>
          <w:rFonts w:ascii="Arial Narrow" w:hAnsi="Arial Narrow" w:cs="Arial"/>
          <w:sz w:val="22"/>
          <w:szCs w:val="22"/>
        </w:rPr>
        <w:tab/>
      </w:r>
    </w:p>
    <w:p w:rsidR="00DE2148" w:rsidRDefault="00DE2148" w:rsidP="00DE2148">
      <w:pPr>
        <w:ind w:left="1134" w:right="902"/>
        <w:jc w:val="both"/>
        <w:rPr>
          <w:rFonts w:ascii="Arial Narrow" w:hAnsi="Arial Narrow" w:cs="Arial"/>
          <w:sz w:val="22"/>
          <w:szCs w:val="22"/>
        </w:rPr>
      </w:pPr>
      <w:r w:rsidRPr="00666CFA">
        <w:rPr>
          <w:rFonts w:ascii="Arial Narrow" w:hAnsi="Arial Narrow" w:cs="Arial"/>
          <w:sz w:val="22"/>
          <w:szCs w:val="22"/>
          <w:lang w:val="es-419"/>
        </w:rPr>
        <w:t xml:space="preserve">   </w:t>
      </w:r>
      <w:r w:rsidRPr="00666CFA">
        <w:rPr>
          <w:rFonts w:ascii="Arial Narrow" w:hAnsi="Arial Narrow" w:cs="Arial"/>
          <w:sz w:val="22"/>
          <w:szCs w:val="22"/>
          <w:lang w:val="es-419"/>
        </w:rPr>
        <w:tab/>
      </w:r>
      <w:r w:rsidRPr="00666CFA">
        <w:rPr>
          <w:rFonts w:ascii="Arial Narrow" w:hAnsi="Arial Narrow" w:cs="Arial"/>
          <w:sz w:val="22"/>
          <w:szCs w:val="22"/>
          <w:lang w:val="es-419"/>
        </w:rPr>
        <w:tab/>
      </w:r>
      <w:r w:rsidRPr="00666CFA">
        <w:rPr>
          <w:rFonts w:ascii="Arial Narrow" w:hAnsi="Arial Narrow" w:cs="Arial"/>
          <w:sz w:val="22"/>
          <w:szCs w:val="22"/>
          <w:lang w:val="es-419"/>
        </w:rPr>
        <w:tab/>
      </w:r>
      <w:r w:rsidRPr="00666CFA">
        <w:rPr>
          <w:rFonts w:ascii="Arial Narrow" w:hAnsi="Arial Narrow" w:cs="Arial"/>
          <w:sz w:val="22"/>
          <w:szCs w:val="22"/>
        </w:rPr>
        <w:t>Frente a esta determinación, la entidad accionada interpone el recurso de impugnación, insistiendo en que la respuesta sí desató de manera íntegra las dos suplicas elevadas por el actor.</w:t>
      </w:r>
    </w:p>
    <w:p w:rsidR="00666CFA" w:rsidRPr="00666CFA" w:rsidRDefault="00666CFA" w:rsidP="00DE2148">
      <w:pPr>
        <w:ind w:left="1134" w:right="902"/>
        <w:jc w:val="both"/>
        <w:rPr>
          <w:rFonts w:ascii="Arial Narrow" w:hAnsi="Arial Narrow" w:cs="Arial"/>
          <w:sz w:val="22"/>
          <w:szCs w:val="22"/>
        </w:rPr>
      </w:pPr>
    </w:p>
    <w:p w:rsidR="00DE2148" w:rsidRPr="00666CFA" w:rsidRDefault="00DE2148" w:rsidP="00DE2148">
      <w:pPr>
        <w:ind w:left="1134" w:right="902" w:firstLine="709"/>
        <w:jc w:val="both"/>
        <w:rPr>
          <w:rFonts w:ascii="Arial Narrow" w:hAnsi="Arial Narrow" w:cs="Arial"/>
          <w:sz w:val="22"/>
          <w:szCs w:val="22"/>
        </w:rPr>
      </w:pPr>
      <w:r w:rsidRPr="00666CFA">
        <w:rPr>
          <w:rFonts w:ascii="Arial Narrow" w:hAnsi="Arial Narrow" w:cs="Arial"/>
          <w:sz w:val="22"/>
          <w:szCs w:val="22"/>
        </w:rPr>
        <w:t xml:space="preserve"> </w:t>
      </w:r>
      <w:r w:rsidRPr="00666CFA">
        <w:rPr>
          <w:rFonts w:ascii="Arial Narrow" w:hAnsi="Arial Narrow" w:cs="Arial"/>
          <w:sz w:val="22"/>
          <w:szCs w:val="22"/>
        </w:rPr>
        <w:tab/>
      </w:r>
      <w:r w:rsidRPr="00666CFA">
        <w:rPr>
          <w:rFonts w:ascii="Arial Narrow" w:hAnsi="Arial Narrow" w:cs="Arial"/>
          <w:sz w:val="22"/>
          <w:szCs w:val="22"/>
        </w:rPr>
        <w:tab/>
        <w:t>En ese orden de ideas, le corresponde a esta Sala establecer si efectivamente la vulneración del derecho invocado persiste con la respuesta que expidió la entidad accionada, o si por el contrario, como ésta última lo aduce en la impugnación, emerge un hecho superado en el presente caso que implica la negativa de la protección constitucional deprecada.</w:t>
      </w:r>
    </w:p>
    <w:p w:rsidR="00DE2148" w:rsidRPr="00666CFA" w:rsidRDefault="00DE2148" w:rsidP="00DE2148">
      <w:pPr>
        <w:ind w:left="1134" w:right="902" w:firstLine="709"/>
        <w:jc w:val="both"/>
        <w:rPr>
          <w:rFonts w:ascii="Arial Narrow" w:hAnsi="Arial Narrow" w:cs="Arial"/>
          <w:sz w:val="22"/>
          <w:szCs w:val="22"/>
          <w:lang w:eastAsia="es-CO"/>
        </w:rPr>
      </w:pPr>
      <w:r w:rsidRPr="00666CFA">
        <w:rPr>
          <w:rFonts w:ascii="Arial Narrow" w:hAnsi="Arial Narrow" w:cs="Arial"/>
          <w:sz w:val="22"/>
          <w:szCs w:val="22"/>
          <w:lang w:eastAsia="es-CO"/>
        </w:rPr>
        <w:lastRenderedPageBreak/>
        <w:t xml:space="preserve"> </w:t>
      </w:r>
      <w:r w:rsidRPr="00666CFA">
        <w:rPr>
          <w:rFonts w:ascii="Arial Narrow" w:hAnsi="Arial Narrow" w:cs="Arial"/>
          <w:sz w:val="22"/>
          <w:szCs w:val="22"/>
          <w:lang w:eastAsia="es-CO"/>
        </w:rPr>
        <w:tab/>
      </w:r>
      <w:r w:rsidRPr="00666CFA">
        <w:rPr>
          <w:rFonts w:ascii="Arial Narrow" w:hAnsi="Arial Narrow" w:cs="Arial"/>
          <w:sz w:val="22"/>
          <w:szCs w:val="22"/>
          <w:lang w:eastAsia="es-CO"/>
        </w:rPr>
        <w:tab/>
        <w:t>4.</w:t>
      </w:r>
      <w:r w:rsidRPr="00666CFA">
        <w:rPr>
          <w:rFonts w:ascii="Arial Narrow" w:hAnsi="Arial Narrow" w:cs="Arial"/>
          <w:b/>
          <w:sz w:val="22"/>
          <w:szCs w:val="22"/>
          <w:lang w:eastAsia="es-CO"/>
        </w:rPr>
        <w:t xml:space="preserve"> </w:t>
      </w:r>
      <w:r w:rsidRPr="00666CFA">
        <w:rPr>
          <w:rFonts w:ascii="Arial Narrow" w:hAnsi="Arial Narrow" w:cs="Arial"/>
          <w:sz w:val="22"/>
          <w:szCs w:val="22"/>
          <w:lang w:eastAsia="es-CO"/>
        </w:rPr>
        <w:t>Para ello, resulta oportuno citar el contenido de la respuesta emitida por la Fiscalía, donde además de señalar que al accionante se le había asignado el turno 780, explicó las razones por las cuales no podía indicar una fecha cierta para el pago de la conciliación que pretende el interesado, pues reiteró que esa circunstancia dependía de múltiples factores. Específicamente, recalcó:</w:t>
      </w:r>
    </w:p>
    <w:p w:rsidR="00DE2148" w:rsidRPr="00666CFA" w:rsidRDefault="00DE2148" w:rsidP="00DE2148">
      <w:pPr>
        <w:ind w:left="1134" w:right="902" w:firstLine="709"/>
        <w:jc w:val="both"/>
        <w:rPr>
          <w:rFonts w:ascii="Arial Narrow" w:hAnsi="Arial Narrow" w:cs="Arial"/>
          <w:sz w:val="22"/>
          <w:szCs w:val="22"/>
          <w:lang w:eastAsia="es-CO"/>
        </w:rPr>
      </w:pPr>
    </w:p>
    <w:p w:rsidR="00DE2148" w:rsidRPr="00666CFA" w:rsidRDefault="00DE2148" w:rsidP="00DE2148">
      <w:pPr>
        <w:pStyle w:val="Style8"/>
        <w:spacing w:line="240" w:lineRule="auto"/>
        <w:ind w:left="1134" w:right="902"/>
        <w:jc w:val="both"/>
        <w:rPr>
          <w:rStyle w:val="FontStyle31"/>
          <w:rFonts w:ascii="Arial Narrow" w:hAnsi="Arial Narrow"/>
          <w:sz w:val="22"/>
          <w:szCs w:val="22"/>
          <w:lang w:val="es-ES_tradnl" w:eastAsia="es-ES_tradnl"/>
        </w:rPr>
      </w:pPr>
      <w:r w:rsidRPr="00666CFA">
        <w:rPr>
          <w:rStyle w:val="FontStyle31"/>
          <w:rFonts w:ascii="Arial Narrow" w:hAnsi="Arial Narrow"/>
          <w:sz w:val="22"/>
          <w:szCs w:val="22"/>
          <w:lang w:val="es-ES_tradnl" w:eastAsia="es-ES_tradnl"/>
        </w:rPr>
        <w:t xml:space="preserve">  </w:t>
      </w:r>
      <w:r w:rsidRPr="00666CFA">
        <w:rPr>
          <w:rStyle w:val="FontStyle31"/>
          <w:rFonts w:ascii="Arial Narrow" w:hAnsi="Arial Narrow"/>
          <w:sz w:val="22"/>
          <w:szCs w:val="22"/>
          <w:lang w:val="es-ES_tradnl" w:eastAsia="es-ES_tradnl"/>
        </w:rPr>
        <w:tab/>
      </w:r>
      <w:r w:rsidRPr="00666CFA">
        <w:rPr>
          <w:rStyle w:val="FontStyle31"/>
          <w:rFonts w:ascii="Arial Narrow" w:hAnsi="Arial Narrow"/>
          <w:sz w:val="22"/>
          <w:szCs w:val="22"/>
          <w:lang w:val="es-ES_tradnl" w:eastAsia="es-ES_tradnl"/>
        </w:rPr>
        <w:tab/>
      </w:r>
      <w:r w:rsidRPr="00666CFA">
        <w:rPr>
          <w:rStyle w:val="FontStyle31"/>
          <w:rFonts w:ascii="Arial Narrow" w:hAnsi="Arial Narrow"/>
          <w:sz w:val="22"/>
          <w:szCs w:val="22"/>
          <w:lang w:val="es-ES_tradnl" w:eastAsia="es-ES_tradnl"/>
        </w:rPr>
        <w:tab/>
        <w:t>‘Gracias a las oportunas y eficientes gestiones de los funcionarios que laboran en el grupo de</w:t>
      </w:r>
      <w:r w:rsidRPr="00666CFA">
        <w:rPr>
          <w:rFonts w:ascii="Arial Narrow" w:hAnsi="Arial Narrow"/>
          <w:sz w:val="22"/>
          <w:szCs w:val="22"/>
        </w:rPr>
        <w:t xml:space="preserve"> </w:t>
      </w:r>
      <w:r w:rsidRPr="00666CFA">
        <w:rPr>
          <w:rStyle w:val="FontStyle31"/>
          <w:rFonts w:ascii="Arial Narrow" w:hAnsi="Arial Narrow"/>
          <w:sz w:val="22"/>
          <w:szCs w:val="22"/>
          <w:lang w:val="es-ES_tradnl" w:eastAsia="es-ES_tradnl"/>
        </w:rPr>
        <w:t>pagos de sentencias y conciliaciones su solicitud se encuentra en la actualidad en el turno 780 en el listado de conciliaciones del 17 de octubre de 2014, este despacho procederá a pagar la obligación contenida en la conciliación una vez se trasladen mayores recursos al Grupo de Pagos de Sentencias y Conciliaciones de la Fiscalía General de la Nación para dar cumplimiento a la misma.</w:t>
      </w:r>
    </w:p>
    <w:p w:rsidR="00DE2148" w:rsidRPr="00666CFA" w:rsidRDefault="00DE2148" w:rsidP="00DE2148">
      <w:pPr>
        <w:pStyle w:val="Style8"/>
        <w:spacing w:line="240" w:lineRule="auto"/>
        <w:ind w:left="1134" w:right="902"/>
        <w:jc w:val="both"/>
        <w:rPr>
          <w:rStyle w:val="FontStyle31"/>
          <w:rFonts w:ascii="Arial Narrow" w:hAnsi="Arial Narrow"/>
          <w:sz w:val="22"/>
          <w:szCs w:val="22"/>
          <w:lang w:val="es-ES_tradnl" w:eastAsia="es-ES_tradnl"/>
        </w:rPr>
      </w:pPr>
    </w:p>
    <w:p w:rsidR="00DE2148" w:rsidRPr="00666CFA" w:rsidRDefault="00DE2148" w:rsidP="00DE2148">
      <w:pPr>
        <w:pStyle w:val="Style8"/>
        <w:spacing w:line="240" w:lineRule="auto"/>
        <w:ind w:left="1134" w:right="902"/>
        <w:jc w:val="both"/>
        <w:rPr>
          <w:rStyle w:val="FontStyle31"/>
          <w:rFonts w:ascii="Arial Narrow" w:hAnsi="Arial Narrow"/>
          <w:sz w:val="22"/>
          <w:szCs w:val="22"/>
          <w:lang w:val="es-ES_tradnl" w:eastAsia="es-ES_tradnl"/>
        </w:rPr>
      </w:pPr>
      <w:r w:rsidRPr="00666CFA">
        <w:rPr>
          <w:rStyle w:val="FontStyle31"/>
          <w:rFonts w:ascii="Arial Narrow" w:hAnsi="Arial Narrow"/>
          <w:sz w:val="22"/>
          <w:szCs w:val="22"/>
          <w:lang w:val="es-ES_tradnl" w:eastAsia="es-ES_tradnl"/>
        </w:rPr>
        <w:t xml:space="preserve">  </w:t>
      </w:r>
      <w:r w:rsidRPr="00666CFA">
        <w:rPr>
          <w:rStyle w:val="FontStyle31"/>
          <w:rFonts w:ascii="Arial Narrow" w:hAnsi="Arial Narrow"/>
          <w:sz w:val="22"/>
          <w:szCs w:val="22"/>
          <w:lang w:val="es-ES_tradnl" w:eastAsia="es-ES_tradnl"/>
        </w:rPr>
        <w:tab/>
      </w:r>
      <w:r w:rsidRPr="00666CFA">
        <w:rPr>
          <w:rStyle w:val="FontStyle31"/>
          <w:rFonts w:ascii="Arial Narrow" w:hAnsi="Arial Narrow"/>
          <w:sz w:val="22"/>
          <w:szCs w:val="22"/>
          <w:lang w:val="es-ES_tradnl" w:eastAsia="es-ES_tradnl"/>
        </w:rPr>
        <w:tab/>
      </w:r>
      <w:r w:rsidRPr="00666CFA">
        <w:rPr>
          <w:rStyle w:val="FontStyle31"/>
          <w:rFonts w:ascii="Arial Narrow" w:hAnsi="Arial Narrow"/>
          <w:sz w:val="22"/>
          <w:szCs w:val="22"/>
          <w:lang w:val="es-ES_tradnl" w:eastAsia="es-ES_tradnl"/>
        </w:rPr>
        <w:tab/>
        <w:t>La Fiscalía General de la Nación no puede determinar un día exacto para el pago de la obligación en su favor, pues dicha operación depende de múltiples factores tales como: la suficiencia de recursos para cubrir el rubro de pago de sentencias y conciliaciones durante el año 2015. las adiciones presupuéstales que pueda hacer el Ministerio de Hacienda y Crédito Público para cumplir las obligaciones restantes, la existencia de órdenes judiciales que alteren el sistema de turnos y la voluntad de las personas que decidan retirar la solicitud de pago, entre otros factores que pueden modificar el orden y tracto sucesivo de los mismos.’</w:t>
      </w:r>
    </w:p>
    <w:p w:rsidR="00DE2148" w:rsidRPr="00666CFA" w:rsidRDefault="00DE2148" w:rsidP="00DE2148">
      <w:pPr>
        <w:pStyle w:val="Style8"/>
        <w:spacing w:line="240" w:lineRule="auto"/>
        <w:ind w:left="1134" w:right="902"/>
        <w:jc w:val="both"/>
        <w:rPr>
          <w:rStyle w:val="FontStyle31"/>
          <w:rFonts w:ascii="Arial Narrow" w:hAnsi="Arial Narrow"/>
          <w:sz w:val="22"/>
          <w:szCs w:val="22"/>
          <w:lang w:val="es-ES_tradnl" w:eastAsia="es-ES_tradnl"/>
        </w:rPr>
      </w:pPr>
    </w:p>
    <w:p w:rsidR="00DE2148" w:rsidRPr="00666CFA" w:rsidRDefault="00DE2148" w:rsidP="00DE2148">
      <w:pPr>
        <w:ind w:left="1134" w:right="902" w:firstLine="709"/>
        <w:jc w:val="both"/>
        <w:rPr>
          <w:rFonts w:ascii="Arial Narrow" w:hAnsi="Arial Narrow" w:cs="Arial"/>
          <w:bCs/>
          <w:iCs/>
          <w:sz w:val="22"/>
          <w:szCs w:val="22"/>
        </w:rPr>
      </w:pPr>
      <w:r w:rsidRPr="00666CFA">
        <w:rPr>
          <w:rFonts w:ascii="Arial Narrow" w:hAnsi="Arial Narrow" w:cs="Arial"/>
          <w:bCs/>
          <w:iCs/>
          <w:sz w:val="22"/>
          <w:szCs w:val="22"/>
        </w:rPr>
        <w:t xml:space="preserve"> </w:t>
      </w:r>
      <w:r w:rsidRPr="00666CFA">
        <w:rPr>
          <w:rFonts w:ascii="Arial Narrow" w:hAnsi="Arial Narrow" w:cs="Arial"/>
          <w:bCs/>
          <w:iCs/>
          <w:sz w:val="22"/>
          <w:szCs w:val="22"/>
        </w:rPr>
        <w:tab/>
      </w:r>
      <w:r w:rsidRPr="00666CFA">
        <w:rPr>
          <w:rFonts w:ascii="Arial Narrow" w:hAnsi="Arial Narrow" w:cs="Arial"/>
          <w:bCs/>
          <w:iCs/>
          <w:sz w:val="22"/>
          <w:szCs w:val="22"/>
        </w:rPr>
        <w:tab/>
        <w:t>(…)</w:t>
      </w:r>
    </w:p>
    <w:p w:rsidR="00DE2148" w:rsidRPr="00666CFA" w:rsidRDefault="00DE2148" w:rsidP="00DE2148">
      <w:pPr>
        <w:ind w:left="1134" w:right="902" w:firstLine="709"/>
        <w:jc w:val="both"/>
        <w:rPr>
          <w:rFonts w:ascii="Arial Narrow" w:hAnsi="Arial Narrow" w:cs="Arial"/>
          <w:bCs/>
          <w:iCs/>
          <w:sz w:val="22"/>
          <w:szCs w:val="22"/>
        </w:rPr>
      </w:pPr>
      <w:r w:rsidRPr="00666CFA">
        <w:rPr>
          <w:rFonts w:ascii="Arial Narrow" w:hAnsi="Arial Narrow" w:cs="Arial"/>
          <w:bCs/>
          <w:iCs/>
          <w:sz w:val="22"/>
          <w:szCs w:val="22"/>
        </w:rPr>
        <w:t xml:space="preserve"> </w:t>
      </w:r>
      <w:r w:rsidRPr="00666CFA">
        <w:rPr>
          <w:rFonts w:ascii="Arial Narrow" w:hAnsi="Arial Narrow" w:cs="Arial"/>
          <w:bCs/>
          <w:iCs/>
          <w:sz w:val="22"/>
          <w:szCs w:val="22"/>
        </w:rPr>
        <w:tab/>
      </w:r>
      <w:r w:rsidRPr="00666CFA">
        <w:rPr>
          <w:rFonts w:ascii="Arial Narrow" w:hAnsi="Arial Narrow" w:cs="Arial"/>
          <w:bCs/>
          <w:iCs/>
          <w:sz w:val="22"/>
          <w:szCs w:val="22"/>
        </w:rPr>
        <w:tab/>
      </w:r>
      <w:r w:rsidRPr="00666CFA">
        <w:rPr>
          <w:rFonts w:ascii="Arial Narrow" w:hAnsi="Arial Narrow" w:cs="Arial"/>
          <w:bCs/>
          <w:iCs/>
          <w:sz w:val="22"/>
          <w:szCs w:val="22"/>
        </w:rPr>
        <w:tab/>
        <w:t xml:space="preserve"> </w:t>
      </w:r>
    </w:p>
    <w:p w:rsidR="00DE2148" w:rsidRPr="00666CFA" w:rsidRDefault="00DE2148" w:rsidP="00DE2148">
      <w:pPr>
        <w:ind w:left="1134" w:right="902" w:firstLine="708"/>
        <w:jc w:val="both"/>
        <w:rPr>
          <w:rFonts w:ascii="Arial Narrow" w:hAnsi="Arial Narrow" w:cs="Arial"/>
          <w:bCs/>
          <w:iCs/>
          <w:sz w:val="22"/>
          <w:szCs w:val="22"/>
        </w:rPr>
      </w:pPr>
      <w:r w:rsidRPr="00666CFA">
        <w:rPr>
          <w:rFonts w:ascii="Arial Narrow" w:hAnsi="Arial Narrow" w:cs="Arial"/>
          <w:bCs/>
          <w:iCs/>
          <w:sz w:val="22"/>
          <w:szCs w:val="22"/>
        </w:rPr>
        <w:t xml:space="preserve">  </w:t>
      </w:r>
      <w:r w:rsidRPr="00666CFA">
        <w:rPr>
          <w:rFonts w:ascii="Arial Narrow" w:hAnsi="Arial Narrow" w:cs="Arial"/>
          <w:bCs/>
          <w:iCs/>
          <w:sz w:val="22"/>
          <w:szCs w:val="22"/>
        </w:rPr>
        <w:tab/>
      </w:r>
      <w:r w:rsidRPr="00666CFA">
        <w:rPr>
          <w:rFonts w:ascii="Arial Narrow" w:hAnsi="Arial Narrow" w:cs="Arial"/>
          <w:bCs/>
          <w:iCs/>
          <w:sz w:val="22"/>
          <w:szCs w:val="22"/>
        </w:rPr>
        <w:tab/>
        <w:t>De ahí, entonces, que dicha respuesta sí satisface el núcleo esencial del derecho fundamental de petición, pues atendió la solicitud hecha por el actor, y aunque no determinó ni precisó la fecha exacta en que se haría el pago de lo adeudado en virtud de la conciliación, sí señaló qué obligaciones serían las primeras en sufragar, una vez se reciban los recursos adicionales.</w:t>
      </w:r>
    </w:p>
    <w:p w:rsidR="00DE2148" w:rsidRPr="00666CFA" w:rsidRDefault="00DE2148" w:rsidP="00DE2148">
      <w:pPr>
        <w:ind w:left="1134" w:right="902" w:firstLine="709"/>
        <w:jc w:val="both"/>
        <w:rPr>
          <w:rFonts w:ascii="Arial Narrow" w:hAnsi="Arial Narrow" w:cs="Arial"/>
          <w:bCs/>
          <w:iCs/>
          <w:sz w:val="22"/>
          <w:szCs w:val="22"/>
        </w:rPr>
      </w:pPr>
      <w:r w:rsidRPr="00666CFA">
        <w:rPr>
          <w:rFonts w:ascii="Arial Narrow" w:hAnsi="Arial Narrow" w:cs="Arial"/>
          <w:bCs/>
          <w:iCs/>
          <w:sz w:val="22"/>
          <w:szCs w:val="22"/>
        </w:rPr>
        <w:t xml:space="preserve">  </w:t>
      </w:r>
      <w:r w:rsidRPr="00666CFA">
        <w:rPr>
          <w:rFonts w:ascii="Arial Narrow" w:hAnsi="Arial Narrow" w:cs="Arial"/>
          <w:bCs/>
          <w:iCs/>
          <w:sz w:val="22"/>
          <w:szCs w:val="22"/>
        </w:rPr>
        <w:tab/>
      </w:r>
      <w:r w:rsidRPr="00666CFA">
        <w:rPr>
          <w:rFonts w:ascii="Arial Narrow" w:hAnsi="Arial Narrow" w:cs="Arial"/>
          <w:bCs/>
          <w:iCs/>
          <w:sz w:val="22"/>
          <w:szCs w:val="22"/>
        </w:rPr>
        <w:tab/>
      </w:r>
    </w:p>
    <w:p w:rsidR="00DE2148" w:rsidRPr="00666CFA" w:rsidRDefault="00DE2148" w:rsidP="00DE2148">
      <w:pPr>
        <w:ind w:left="1134" w:right="902" w:firstLine="709"/>
        <w:jc w:val="both"/>
        <w:rPr>
          <w:rFonts w:ascii="Arial Narrow" w:hAnsi="Arial Narrow" w:cs="Arial"/>
          <w:bCs/>
          <w:iCs/>
          <w:sz w:val="22"/>
          <w:szCs w:val="22"/>
        </w:rPr>
      </w:pPr>
      <w:r w:rsidRPr="00666CFA">
        <w:rPr>
          <w:rFonts w:ascii="Arial Narrow" w:hAnsi="Arial Narrow" w:cs="Arial"/>
          <w:bCs/>
          <w:iCs/>
          <w:sz w:val="22"/>
          <w:szCs w:val="22"/>
          <w:lang w:val="es-419"/>
        </w:rPr>
        <w:t xml:space="preserve">  </w:t>
      </w:r>
      <w:r w:rsidRPr="00666CFA">
        <w:rPr>
          <w:rFonts w:ascii="Arial Narrow" w:hAnsi="Arial Narrow" w:cs="Arial"/>
          <w:bCs/>
          <w:iCs/>
          <w:sz w:val="22"/>
          <w:szCs w:val="22"/>
          <w:lang w:val="es-419"/>
        </w:rPr>
        <w:tab/>
      </w:r>
      <w:r w:rsidRPr="00666CFA">
        <w:rPr>
          <w:rFonts w:ascii="Arial Narrow" w:hAnsi="Arial Narrow" w:cs="Arial"/>
          <w:bCs/>
          <w:iCs/>
          <w:sz w:val="22"/>
          <w:szCs w:val="22"/>
          <w:lang w:val="es-419"/>
        </w:rPr>
        <w:tab/>
      </w:r>
      <w:r w:rsidRPr="00666CFA">
        <w:rPr>
          <w:rFonts w:ascii="Arial Narrow" w:hAnsi="Arial Narrow" w:cs="Arial"/>
          <w:bCs/>
          <w:iCs/>
          <w:sz w:val="22"/>
          <w:szCs w:val="22"/>
        </w:rPr>
        <w:t xml:space="preserve">Por otra parte, como se anunció desde el inicio, no puede considerarse que por no acceder a lo pedido, se ocasione la vulneración de los derechos del accionante, pues ha de recordarse que lo obligatorio para la entidad vinculada con la petición, es responder de forma clara, congruente y oportuna la petición que se le eleva, lo cual ocurrió en el presente caso, por lo que carecería de objeto dictar una orden de protección encaminada a que la Fiscalía responda nuevamente la solicitud del </w:t>
      </w:r>
      <w:proofErr w:type="spellStart"/>
      <w:r w:rsidRPr="00666CFA">
        <w:rPr>
          <w:rFonts w:ascii="Arial Narrow" w:hAnsi="Arial Narrow" w:cs="Arial"/>
          <w:bCs/>
          <w:iCs/>
          <w:sz w:val="22"/>
          <w:szCs w:val="22"/>
        </w:rPr>
        <w:t>tutelante</w:t>
      </w:r>
      <w:proofErr w:type="spellEnd"/>
      <w:r w:rsidRPr="00666CFA">
        <w:rPr>
          <w:rFonts w:ascii="Arial Narrow" w:hAnsi="Arial Narrow" w:cs="Arial"/>
          <w:bCs/>
          <w:iCs/>
          <w:sz w:val="22"/>
          <w:szCs w:val="22"/>
        </w:rPr>
        <w:t>.</w:t>
      </w:r>
    </w:p>
    <w:p w:rsidR="00DE2148" w:rsidRPr="00666CFA" w:rsidRDefault="00DE2148" w:rsidP="00DE2148">
      <w:pPr>
        <w:spacing w:line="276" w:lineRule="auto"/>
        <w:ind w:left="1134" w:right="902" w:firstLine="709"/>
        <w:jc w:val="both"/>
        <w:rPr>
          <w:rFonts w:ascii="Arial Narrow" w:hAnsi="Arial Narrow" w:cs="Arial"/>
          <w:bCs/>
          <w:i/>
          <w:iCs/>
          <w:sz w:val="22"/>
          <w:szCs w:val="22"/>
        </w:rPr>
      </w:pPr>
    </w:p>
    <w:p w:rsidR="00DE2148" w:rsidRPr="0026742B" w:rsidRDefault="00DE2148" w:rsidP="00DE2148">
      <w:pPr>
        <w:tabs>
          <w:tab w:val="left" w:pos="2835"/>
          <w:tab w:val="left" w:pos="8222"/>
        </w:tabs>
        <w:spacing w:line="276" w:lineRule="auto"/>
        <w:ind w:right="51" w:firstLine="426"/>
        <w:jc w:val="both"/>
        <w:rPr>
          <w:rFonts w:ascii="Gadugi" w:hAnsi="Gadugi"/>
          <w:bCs/>
          <w:sz w:val="24"/>
          <w:szCs w:val="24"/>
        </w:rPr>
      </w:pPr>
      <w:r w:rsidRPr="0026742B">
        <w:rPr>
          <w:rFonts w:ascii="Gadugi" w:hAnsi="Gadugi"/>
          <w:bCs/>
          <w:sz w:val="24"/>
          <w:szCs w:val="24"/>
        </w:rPr>
        <w:t xml:space="preserve">    </w:t>
      </w:r>
      <w:r w:rsidRPr="0026742B">
        <w:rPr>
          <w:rFonts w:ascii="Gadugi" w:hAnsi="Gadugi"/>
          <w:bCs/>
          <w:sz w:val="24"/>
          <w:szCs w:val="24"/>
        </w:rPr>
        <w:tab/>
        <w:t>Así que, una cosa es que se deje de resolver materialmente lo pedido, y otra diversa es que se pretenda forzar la manera en que debe darse la respuesta, lo que alteraría la naturaleza misma del derecho que nos ocupa. En tal orden de ideas, en el presente evento, lo que se advierte, entonces, es que el Instituto se allanó a brindar la respuesta a la que estaba obligada bajo los fundamentos puntuales sobre lo que concierne al tema propuesto.</w:t>
      </w:r>
    </w:p>
    <w:p w:rsidR="00DE2148" w:rsidRPr="0026742B" w:rsidRDefault="00DE2148" w:rsidP="00666CFA">
      <w:pPr>
        <w:tabs>
          <w:tab w:val="left" w:pos="2835"/>
          <w:tab w:val="left" w:pos="8222"/>
        </w:tabs>
        <w:ind w:right="51" w:firstLine="426"/>
        <w:jc w:val="both"/>
        <w:rPr>
          <w:rFonts w:ascii="Gadugi" w:hAnsi="Gadugi"/>
          <w:bCs/>
          <w:sz w:val="24"/>
          <w:szCs w:val="24"/>
        </w:rPr>
      </w:pPr>
    </w:p>
    <w:p w:rsidR="00DE2148" w:rsidRPr="0026742B" w:rsidRDefault="00DE2148" w:rsidP="00DE2148">
      <w:pPr>
        <w:tabs>
          <w:tab w:val="left" w:pos="2835"/>
          <w:tab w:val="left" w:pos="8222"/>
        </w:tabs>
        <w:spacing w:line="276" w:lineRule="auto"/>
        <w:ind w:right="51" w:firstLine="426"/>
        <w:jc w:val="both"/>
        <w:rPr>
          <w:rFonts w:ascii="Gadugi" w:hAnsi="Gadugi"/>
          <w:bCs/>
          <w:sz w:val="24"/>
          <w:szCs w:val="24"/>
        </w:rPr>
      </w:pPr>
      <w:r w:rsidRPr="0026742B">
        <w:rPr>
          <w:rFonts w:ascii="Gadugi" w:hAnsi="Gadugi"/>
          <w:bCs/>
          <w:sz w:val="24"/>
          <w:szCs w:val="24"/>
        </w:rPr>
        <w:tab/>
        <w:t xml:space="preserve">Finalmente, es del caso anotar que no resulta adecuado negar lo que es improcedente, tal como lo concluyó el Juzgado, pues ante una causal de tal estirpe, esto es, de improcedencia, se </w:t>
      </w:r>
      <w:r>
        <w:rPr>
          <w:rFonts w:ascii="Gadugi" w:hAnsi="Gadugi"/>
          <w:bCs/>
          <w:sz w:val="24"/>
          <w:szCs w:val="24"/>
          <w:lang w:val="es-419"/>
        </w:rPr>
        <w:t xml:space="preserve">torna innecesario </w:t>
      </w:r>
      <w:r w:rsidRPr="0026742B">
        <w:rPr>
          <w:rFonts w:ascii="Gadugi" w:hAnsi="Gadugi"/>
          <w:bCs/>
          <w:sz w:val="24"/>
          <w:szCs w:val="24"/>
        </w:rPr>
        <w:t xml:space="preserve">un análisis de </w:t>
      </w:r>
      <w:r w:rsidRPr="0026742B">
        <w:rPr>
          <w:rFonts w:ascii="Gadugi" w:hAnsi="Gadugi"/>
          <w:bCs/>
          <w:sz w:val="24"/>
          <w:szCs w:val="24"/>
        </w:rPr>
        <w:lastRenderedPageBreak/>
        <w:t xml:space="preserve">fondo </w:t>
      </w:r>
      <w:r>
        <w:rPr>
          <w:rFonts w:ascii="Gadugi" w:hAnsi="Gadugi"/>
          <w:bCs/>
          <w:sz w:val="24"/>
          <w:szCs w:val="24"/>
          <w:lang w:val="es-419"/>
        </w:rPr>
        <w:t xml:space="preserve">del asunto. Aquí, en realidad lo que ha debido es negarse por cuanto el hecho fue superado, sentido en el cual se modificará el ordinal primero de la resolutiva. </w:t>
      </w:r>
    </w:p>
    <w:p w:rsidR="00666CFA" w:rsidRDefault="00DE2148" w:rsidP="00DE2148">
      <w:pPr>
        <w:spacing w:line="276" w:lineRule="auto"/>
        <w:jc w:val="both"/>
        <w:rPr>
          <w:rFonts w:ascii="Gadugi" w:hAnsi="Gadugi"/>
          <w:bCs/>
          <w:sz w:val="24"/>
          <w:szCs w:val="24"/>
        </w:rPr>
      </w:pPr>
      <w:r w:rsidRPr="0026742B">
        <w:rPr>
          <w:rFonts w:ascii="Gadugi" w:hAnsi="Gadugi"/>
          <w:bCs/>
          <w:sz w:val="24"/>
          <w:szCs w:val="24"/>
        </w:rPr>
        <w:t xml:space="preserve"> </w:t>
      </w:r>
      <w:r w:rsidRPr="0026742B">
        <w:rPr>
          <w:rFonts w:ascii="Gadugi" w:hAnsi="Gadugi"/>
          <w:bCs/>
          <w:sz w:val="24"/>
          <w:szCs w:val="24"/>
        </w:rPr>
        <w:tab/>
      </w:r>
      <w:r w:rsidRPr="0026742B">
        <w:rPr>
          <w:rFonts w:ascii="Gadugi" w:hAnsi="Gadugi"/>
          <w:bCs/>
          <w:sz w:val="24"/>
          <w:szCs w:val="24"/>
        </w:rPr>
        <w:tab/>
      </w:r>
      <w:r w:rsidRPr="0026742B">
        <w:rPr>
          <w:rFonts w:ascii="Gadugi" w:hAnsi="Gadugi"/>
          <w:bCs/>
          <w:sz w:val="24"/>
          <w:szCs w:val="24"/>
        </w:rPr>
        <w:tab/>
      </w:r>
      <w:r w:rsidRPr="0026742B">
        <w:rPr>
          <w:rFonts w:ascii="Gadugi" w:hAnsi="Gadugi"/>
          <w:bCs/>
          <w:sz w:val="24"/>
          <w:szCs w:val="24"/>
        </w:rPr>
        <w:tab/>
      </w:r>
    </w:p>
    <w:p w:rsidR="00DE2148" w:rsidRPr="0026742B" w:rsidRDefault="00DE2148" w:rsidP="00666CFA">
      <w:pPr>
        <w:spacing w:line="276" w:lineRule="auto"/>
        <w:ind w:left="2124" w:firstLine="708"/>
        <w:jc w:val="both"/>
        <w:rPr>
          <w:rFonts w:ascii="Gadugi" w:hAnsi="Gadugi"/>
          <w:b/>
          <w:bCs/>
          <w:sz w:val="24"/>
          <w:szCs w:val="24"/>
        </w:rPr>
      </w:pPr>
      <w:r w:rsidRPr="0026742B">
        <w:rPr>
          <w:rFonts w:ascii="Gadugi" w:hAnsi="Gadugi"/>
          <w:b/>
          <w:bCs/>
          <w:sz w:val="24"/>
          <w:szCs w:val="24"/>
        </w:rPr>
        <w:t xml:space="preserve">DECISIÓN  </w:t>
      </w:r>
    </w:p>
    <w:p w:rsidR="00DE2148" w:rsidRPr="0026742B" w:rsidRDefault="00DE2148" w:rsidP="00DE2148">
      <w:pPr>
        <w:spacing w:line="276" w:lineRule="auto"/>
        <w:jc w:val="both"/>
        <w:rPr>
          <w:rFonts w:ascii="Gadugi" w:hAnsi="Gadugi"/>
          <w:bCs/>
          <w:sz w:val="24"/>
          <w:szCs w:val="24"/>
        </w:rPr>
      </w:pPr>
      <w:r w:rsidRPr="0026742B">
        <w:rPr>
          <w:rFonts w:ascii="Gadugi" w:hAnsi="Gadugi"/>
          <w:bCs/>
          <w:sz w:val="24"/>
          <w:szCs w:val="24"/>
        </w:rPr>
        <w:t xml:space="preserve">   </w:t>
      </w:r>
      <w:r w:rsidRPr="0026742B">
        <w:rPr>
          <w:rFonts w:ascii="Gadugi" w:hAnsi="Gadugi"/>
          <w:bCs/>
          <w:sz w:val="24"/>
          <w:szCs w:val="24"/>
        </w:rPr>
        <w:tab/>
      </w:r>
      <w:r w:rsidRPr="0026742B">
        <w:rPr>
          <w:rFonts w:ascii="Gadugi" w:hAnsi="Gadugi"/>
          <w:bCs/>
          <w:sz w:val="24"/>
          <w:szCs w:val="24"/>
        </w:rPr>
        <w:tab/>
      </w:r>
      <w:r w:rsidRPr="0026742B">
        <w:rPr>
          <w:rFonts w:ascii="Gadugi" w:hAnsi="Gadugi"/>
          <w:bCs/>
          <w:sz w:val="24"/>
          <w:szCs w:val="24"/>
        </w:rPr>
        <w:tab/>
      </w:r>
      <w:r w:rsidRPr="0026742B">
        <w:rPr>
          <w:rFonts w:ascii="Gadugi" w:hAnsi="Gadugi"/>
          <w:bCs/>
          <w:sz w:val="24"/>
          <w:szCs w:val="24"/>
        </w:rPr>
        <w:tab/>
      </w:r>
    </w:p>
    <w:p w:rsidR="00DE2148" w:rsidRPr="0082351F" w:rsidRDefault="00DE2148" w:rsidP="00DE2148">
      <w:pPr>
        <w:spacing w:line="276" w:lineRule="auto"/>
        <w:jc w:val="both"/>
        <w:rPr>
          <w:rFonts w:ascii="Gadugi" w:hAnsi="Gadugi" w:cs="Arial"/>
          <w:sz w:val="24"/>
          <w:szCs w:val="24"/>
          <w:lang w:val="es-419"/>
        </w:rPr>
      </w:pPr>
      <w:r w:rsidRPr="0026742B">
        <w:rPr>
          <w:rFonts w:ascii="Gadugi" w:hAnsi="Gadugi" w:cs="Century Gothic"/>
          <w:sz w:val="24"/>
          <w:szCs w:val="24"/>
        </w:rPr>
        <w:t xml:space="preserve">  </w:t>
      </w:r>
      <w:r w:rsidRPr="0026742B">
        <w:rPr>
          <w:rFonts w:ascii="Gadugi" w:hAnsi="Gadugi" w:cs="Century Gothic"/>
          <w:sz w:val="24"/>
          <w:szCs w:val="24"/>
        </w:rPr>
        <w:tab/>
      </w:r>
      <w:r w:rsidRPr="0026742B">
        <w:rPr>
          <w:rFonts w:ascii="Gadugi" w:hAnsi="Gadugi" w:cs="Century Gothic"/>
          <w:sz w:val="24"/>
          <w:szCs w:val="24"/>
        </w:rPr>
        <w:tab/>
      </w:r>
      <w:r w:rsidRPr="0026742B">
        <w:rPr>
          <w:rFonts w:ascii="Gadugi" w:hAnsi="Gadugi" w:cs="Century Gothic"/>
          <w:sz w:val="24"/>
          <w:szCs w:val="24"/>
        </w:rPr>
        <w:tab/>
      </w:r>
      <w:r w:rsidRPr="0026742B">
        <w:rPr>
          <w:rFonts w:ascii="Gadugi" w:hAnsi="Gadugi" w:cs="Century Gothic"/>
          <w:sz w:val="24"/>
          <w:szCs w:val="24"/>
        </w:rPr>
        <w:tab/>
        <w:t>Por lo expuesto, la Sala Civil-Familia del Tribunal Superior de Pereira, Risaralda, administrando justicia en nombre de la República y por autoridad de la ley,</w:t>
      </w:r>
      <w:r w:rsidRPr="0026742B">
        <w:rPr>
          <w:rFonts w:ascii="Gadugi" w:hAnsi="Gadugi" w:cs="Century Gothic"/>
          <w:b/>
          <w:sz w:val="24"/>
          <w:szCs w:val="24"/>
        </w:rPr>
        <w:t xml:space="preserve"> </w:t>
      </w:r>
      <w:r w:rsidRPr="0026742B">
        <w:rPr>
          <w:rFonts w:ascii="Gadugi" w:hAnsi="Gadugi" w:cs="Century Gothic"/>
          <w:b/>
          <w:sz w:val="24"/>
          <w:szCs w:val="24"/>
          <w:lang w:val="es-CO"/>
        </w:rPr>
        <w:t>MODIFICA</w:t>
      </w:r>
      <w:r w:rsidRPr="0026742B">
        <w:rPr>
          <w:rFonts w:ascii="Gadugi" w:hAnsi="Gadugi" w:cs="Century Gothic"/>
          <w:b/>
          <w:sz w:val="24"/>
          <w:szCs w:val="24"/>
          <w:lang w:val="es-419"/>
        </w:rPr>
        <w:t xml:space="preserve"> </w:t>
      </w:r>
      <w:r w:rsidRPr="0026742B">
        <w:rPr>
          <w:rFonts w:ascii="Gadugi" w:hAnsi="Gadugi" w:cs="Century Gothic"/>
          <w:sz w:val="24"/>
          <w:szCs w:val="24"/>
          <w:lang w:val="es-419"/>
        </w:rPr>
        <w:t>la sentencia del</w:t>
      </w:r>
      <w:r w:rsidRPr="0026742B">
        <w:rPr>
          <w:rFonts w:ascii="Gadugi" w:hAnsi="Gadugi" w:cs="Arial"/>
          <w:sz w:val="24"/>
          <w:szCs w:val="24"/>
          <w:lang w:val="es-CO"/>
        </w:rPr>
        <w:t xml:space="preserve"> </w:t>
      </w:r>
      <w:r w:rsidRPr="0026742B">
        <w:rPr>
          <w:rFonts w:ascii="Gadugi" w:hAnsi="Gadugi" w:cs="Arial"/>
          <w:sz w:val="24"/>
          <w:szCs w:val="24"/>
          <w:lang w:val="es-419"/>
        </w:rPr>
        <w:t>9 de febrero de 2017</w:t>
      </w:r>
      <w:r w:rsidRPr="0026742B">
        <w:rPr>
          <w:rFonts w:ascii="Gadugi" w:hAnsi="Gadugi" w:cs="Arial"/>
          <w:sz w:val="24"/>
          <w:szCs w:val="24"/>
          <w:lang w:val="es-CO"/>
        </w:rPr>
        <w:t xml:space="preserve">, </w:t>
      </w:r>
      <w:r w:rsidRPr="0026742B">
        <w:rPr>
          <w:rFonts w:ascii="Gadugi" w:hAnsi="Gadugi" w:cs="Arial"/>
          <w:sz w:val="24"/>
          <w:szCs w:val="24"/>
          <w:lang w:val="es-419"/>
        </w:rPr>
        <w:t xml:space="preserve">proferida por el Juzgado </w:t>
      </w:r>
      <w:r w:rsidRPr="0026742B">
        <w:rPr>
          <w:rFonts w:ascii="Gadugi" w:hAnsi="Gadugi" w:cs="Arial"/>
          <w:sz w:val="24"/>
          <w:szCs w:val="24"/>
          <w:lang w:val="es-CO"/>
        </w:rPr>
        <w:t>Segundo Civil del Circuito de esta ciudad</w:t>
      </w:r>
      <w:r w:rsidRPr="0026742B">
        <w:rPr>
          <w:rFonts w:ascii="Gadugi" w:hAnsi="Gadugi" w:cs="Arial"/>
          <w:sz w:val="24"/>
          <w:szCs w:val="24"/>
          <w:lang w:val="es-419"/>
        </w:rPr>
        <w:t xml:space="preserve">, en esta </w:t>
      </w:r>
      <w:r w:rsidRPr="0026742B">
        <w:rPr>
          <w:rFonts w:ascii="Gadugi" w:hAnsi="Gadugi" w:cs="Arial"/>
          <w:sz w:val="24"/>
          <w:szCs w:val="24"/>
        </w:rPr>
        <w:t xml:space="preserve">acción de tutela que </w:t>
      </w:r>
      <w:r w:rsidRPr="0026742B">
        <w:rPr>
          <w:rFonts w:ascii="Gadugi" w:hAnsi="Gadugi" w:cs="Arial"/>
          <w:b/>
          <w:sz w:val="24"/>
          <w:szCs w:val="24"/>
        </w:rPr>
        <w:t>Juan Alberto Ramírez Toro</w:t>
      </w:r>
      <w:r w:rsidRPr="0026742B">
        <w:rPr>
          <w:rFonts w:ascii="Gadugi" w:hAnsi="Gadugi" w:cs="Arial"/>
          <w:sz w:val="24"/>
          <w:szCs w:val="24"/>
        </w:rPr>
        <w:t>,</w:t>
      </w:r>
      <w:r w:rsidRPr="0026742B">
        <w:rPr>
          <w:rFonts w:ascii="Gadugi" w:hAnsi="Gadugi" w:cs="Arial"/>
          <w:b/>
          <w:sz w:val="24"/>
          <w:szCs w:val="24"/>
        </w:rPr>
        <w:t xml:space="preserve"> </w:t>
      </w:r>
      <w:r w:rsidRPr="0026742B">
        <w:rPr>
          <w:rFonts w:ascii="Gadugi" w:hAnsi="Gadugi" w:cs="Arial"/>
          <w:sz w:val="24"/>
          <w:szCs w:val="24"/>
        </w:rPr>
        <w:t xml:space="preserve">inició contra el </w:t>
      </w:r>
      <w:r w:rsidRPr="0026742B">
        <w:rPr>
          <w:rFonts w:ascii="Gadugi" w:hAnsi="Gadugi" w:cs="Arial"/>
          <w:b/>
          <w:sz w:val="24"/>
          <w:szCs w:val="24"/>
        </w:rPr>
        <w:t>Instituto Geográfico Agustín Codazzi Territorial Risaralda</w:t>
      </w:r>
      <w:r>
        <w:rPr>
          <w:rFonts w:ascii="Gadugi" w:hAnsi="Gadugi" w:cs="Arial"/>
          <w:sz w:val="24"/>
          <w:szCs w:val="24"/>
        </w:rPr>
        <w:t xml:space="preserve">, en el sentido de que se NIEGA </w:t>
      </w:r>
      <w:r>
        <w:rPr>
          <w:rFonts w:ascii="Gadugi" w:hAnsi="Gadugi" w:cs="Arial"/>
          <w:sz w:val="24"/>
          <w:szCs w:val="24"/>
          <w:lang w:val="es-419"/>
        </w:rPr>
        <w:t xml:space="preserve">el amparo </w:t>
      </w:r>
      <w:r>
        <w:rPr>
          <w:rFonts w:ascii="Gadugi" w:hAnsi="Gadugi" w:cs="Arial"/>
          <w:sz w:val="24"/>
          <w:szCs w:val="24"/>
        </w:rPr>
        <w:t xml:space="preserve">por haberse superado el </w:t>
      </w:r>
      <w:r>
        <w:rPr>
          <w:rFonts w:ascii="Gadugi" w:hAnsi="Gadugi" w:cs="Arial"/>
          <w:sz w:val="24"/>
          <w:szCs w:val="24"/>
          <w:lang w:val="es-419"/>
        </w:rPr>
        <w:t xml:space="preserve">hecho que le dio origen. </w:t>
      </w:r>
    </w:p>
    <w:p w:rsidR="00DE2148" w:rsidRPr="0026742B" w:rsidRDefault="00DE2148" w:rsidP="00DE2148">
      <w:pPr>
        <w:spacing w:line="276" w:lineRule="auto"/>
        <w:jc w:val="both"/>
        <w:rPr>
          <w:rFonts w:ascii="Gadugi" w:hAnsi="Gadugi" w:cs="Arial"/>
          <w:sz w:val="24"/>
          <w:szCs w:val="24"/>
        </w:rPr>
      </w:pPr>
    </w:p>
    <w:p w:rsidR="00DE2148" w:rsidRPr="0026742B" w:rsidRDefault="00DE2148" w:rsidP="00DE2148">
      <w:pPr>
        <w:spacing w:line="276" w:lineRule="auto"/>
        <w:jc w:val="both"/>
        <w:rPr>
          <w:rFonts w:ascii="Gadugi" w:hAnsi="Gadugi"/>
          <w:sz w:val="24"/>
          <w:szCs w:val="24"/>
          <w:lang w:val="es-419"/>
        </w:rPr>
      </w:pPr>
      <w:r w:rsidRPr="0026742B">
        <w:rPr>
          <w:rFonts w:ascii="Gadugi" w:hAnsi="Gadugi"/>
          <w:sz w:val="24"/>
          <w:szCs w:val="24"/>
        </w:rPr>
        <w:t xml:space="preserve">    </w:t>
      </w:r>
      <w:r w:rsidRPr="0026742B">
        <w:rPr>
          <w:rFonts w:ascii="Gadugi" w:hAnsi="Gadugi"/>
          <w:sz w:val="24"/>
          <w:szCs w:val="24"/>
        </w:rPr>
        <w:tab/>
      </w:r>
      <w:r w:rsidRPr="0026742B">
        <w:rPr>
          <w:rFonts w:ascii="Gadugi" w:hAnsi="Gadugi"/>
          <w:sz w:val="24"/>
          <w:szCs w:val="24"/>
        </w:rPr>
        <w:tab/>
      </w:r>
      <w:r w:rsidRPr="0026742B">
        <w:rPr>
          <w:rFonts w:ascii="Gadugi" w:hAnsi="Gadugi"/>
          <w:sz w:val="24"/>
          <w:szCs w:val="24"/>
        </w:rPr>
        <w:tab/>
      </w:r>
      <w:r w:rsidRPr="0026742B">
        <w:rPr>
          <w:rFonts w:ascii="Gadugi" w:hAnsi="Gadugi"/>
          <w:sz w:val="24"/>
          <w:szCs w:val="24"/>
        </w:rPr>
        <w:tab/>
        <w:t>Notifíquese esta decisión a las partes en la forma prevista en el artículo 5º del Decreto 306 de 1992</w:t>
      </w:r>
      <w:r w:rsidRPr="0026742B">
        <w:rPr>
          <w:rFonts w:ascii="Gadugi" w:hAnsi="Gadugi"/>
          <w:sz w:val="24"/>
          <w:szCs w:val="24"/>
          <w:lang w:val="es-419"/>
        </w:rPr>
        <w:t xml:space="preserve">. </w:t>
      </w:r>
    </w:p>
    <w:p w:rsidR="00DE2148" w:rsidRPr="0026742B" w:rsidRDefault="00DE2148" w:rsidP="00DE2148">
      <w:pPr>
        <w:pStyle w:val="Corpsdetexte2"/>
        <w:spacing w:line="276" w:lineRule="auto"/>
        <w:jc w:val="both"/>
        <w:rPr>
          <w:rFonts w:ascii="Gadugi" w:hAnsi="Gadugi"/>
          <w:sz w:val="24"/>
          <w:szCs w:val="24"/>
          <w:lang w:val="es-419"/>
        </w:rPr>
      </w:pPr>
      <w:r w:rsidRPr="0026742B">
        <w:rPr>
          <w:rFonts w:ascii="Gadugi" w:hAnsi="Gadugi"/>
          <w:sz w:val="24"/>
          <w:szCs w:val="24"/>
          <w:lang w:val="es-419"/>
        </w:rPr>
        <w:t xml:space="preserve">    </w:t>
      </w:r>
      <w:r w:rsidRPr="0026742B">
        <w:rPr>
          <w:rFonts w:ascii="Gadugi" w:hAnsi="Gadugi"/>
          <w:sz w:val="24"/>
          <w:szCs w:val="24"/>
          <w:lang w:val="es-419"/>
        </w:rPr>
        <w:tab/>
      </w:r>
      <w:r w:rsidRPr="0026742B">
        <w:rPr>
          <w:rFonts w:ascii="Gadugi" w:hAnsi="Gadugi"/>
          <w:sz w:val="24"/>
          <w:szCs w:val="24"/>
          <w:lang w:val="es-419"/>
        </w:rPr>
        <w:tab/>
      </w:r>
      <w:r w:rsidRPr="0026742B">
        <w:rPr>
          <w:rFonts w:ascii="Gadugi" w:hAnsi="Gadugi"/>
          <w:sz w:val="24"/>
          <w:szCs w:val="24"/>
          <w:lang w:val="es-419"/>
        </w:rPr>
        <w:tab/>
      </w:r>
      <w:r w:rsidRPr="0026742B">
        <w:rPr>
          <w:rFonts w:ascii="Gadugi" w:hAnsi="Gadugi"/>
          <w:sz w:val="24"/>
          <w:szCs w:val="24"/>
          <w:lang w:val="es-419"/>
        </w:rPr>
        <w:tab/>
      </w:r>
    </w:p>
    <w:p w:rsidR="00DE2148" w:rsidRPr="0026742B" w:rsidRDefault="00DE2148" w:rsidP="00DE2148">
      <w:pPr>
        <w:pStyle w:val="Corpsdetexte2"/>
        <w:spacing w:line="276" w:lineRule="auto"/>
        <w:jc w:val="both"/>
        <w:rPr>
          <w:rFonts w:ascii="Gadugi" w:hAnsi="Gadugi"/>
          <w:sz w:val="24"/>
          <w:szCs w:val="24"/>
          <w:lang w:val="es-419"/>
        </w:rPr>
      </w:pPr>
      <w:r w:rsidRPr="0026742B">
        <w:rPr>
          <w:rFonts w:ascii="Gadugi" w:hAnsi="Gadugi"/>
          <w:sz w:val="24"/>
          <w:szCs w:val="24"/>
          <w:lang w:val="es-419"/>
        </w:rPr>
        <w:t xml:space="preserve">  </w:t>
      </w:r>
      <w:r w:rsidRPr="0026742B">
        <w:rPr>
          <w:rFonts w:ascii="Gadugi" w:hAnsi="Gadugi"/>
          <w:sz w:val="24"/>
          <w:szCs w:val="24"/>
          <w:lang w:val="es-419"/>
        </w:rPr>
        <w:tab/>
      </w:r>
      <w:r w:rsidRPr="0026742B">
        <w:rPr>
          <w:rFonts w:ascii="Gadugi" w:hAnsi="Gadugi"/>
          <w:sz w:val="24"/>
          <w:szCs w:val="24"/>
          <w:lang w:val="es-419"/>
        </w:rPr>
        <w:tab/>
      </w:r>
      <w:r w:rsidRPr="0026742B">
        <w:rPr>
          <w:rFonts w:ascii="Gadugi" w:hAnsi="Gadugi"/>
          <w:sz w:val="24"/>
          <w:szCs w:val="24"/>
          <w:lang w:val="es-419"/>
        </w:rPr>
        <w:tab/>
      </w:r>
      <w:r w:rsidRPr="0026742B">
        <w:rPr>
          <w:rFonts w:ascii="Gadugi" w:hAnsi="Gadugi"/>
          <w:sz w:val="24"/>
          <w:szCs w:val="24"/>
          <w:lang w:val="es-419"/>
        </w:rPr>
        <w:tab/>
        <w:t>Re</w:t>
      </w:r>
      <w:proofErr w:type="spellStart"/>
      <w:r w:rsidRPr="0026742B">
        <w:rPr>
          <w:rFonts w:ascii="Gadugi" w:hAnsi="Gadugi"/>
          <w:sz w:val="24"/>
          <w:szCs w:val="24"/>
        </w:rPr>
        <w:t>mítase</w:t>
      </w:r>
      <w:proofErr w:type="spellEnd"/>
      <w:r w:rsidRPr="0026742B">
        <w:rPr>
          <w:rFonts w:ascii="Gadugi" w:hAnsi="Gadugi"/>
          <w:sz w:val="24"/>
          <w:szCs w:val="24"/>
        </w:rPr>
        <w:t xml:space="preserve"> el expediente a la Corte Constitucional para su eventual revisión.</w:t>
      </w:r>
      <w:r w:rsidRPr="0026742B">
        <w:rPr>
          <w:rFonts w:ascii="Gadugi" w:hAnsi="Gadugi"/>
          <w:sz w:val="24"/>
          <w:szCs w:val="24"/>
          <w:lang w:val="es-419"/>
        </w:rPr>
        <w:t xml:space="preserve"> A su regreso, archívese. </w:t>
      </w:r>
    </w:p>
    <w:p w:rsidR="00DE2148" w:rsidRPr="0026742B" w:rsidRDefault="00DE2148" w:rsidP="00DE2148">
      <w:pPr>
        <w:spacing w:line="276" w:lineRule="auto"/>
        <w:ind w:firstLine="2835"/>
        <w:jc w:val="both"/>
        <w:rPr>
          <w:rFonts w:ascii="Gadugi" w:hAnsi="Gadugi" w:cs="Century Gothic"/>
          <w:sz w:val="24"/>
          <w:szCs w:val="24"/>
        </w:rPr>
      </w:pPr>
      <w:r w:rsidRPr="0026742B">
        <w:rPr>
          <w:rFonts w:ascii="Gadugi" w:hAnsi="Gadugi" w:cs="Century Gothic"/>
          <w:b/>
          <w:bCs/>
          <w:sz w:val="24"/>
          <w:szCs w:val="24"/>
        </w:rPr>
        <w:t xml:space="preserve"> </w:t>
      </w:r>
    </w:p>
    <w:p w:rsidR="00DE2148" w:rsidRPr="0026742B" w:rsidRDefault="00DE2148" w:rsidP="00DE2148">
      <w:pPr>
        <w:spacing w:line="276" w:lineRule="auto"/>
        <w:ind w:firstLine="2835"/>
        <w:jc w:val="both"/>
        <w:rPr>
          <w:rFonts w:ascii="Gadugi" w:hAnsi="Gadugi" w:cs="Century Gothic"/>
          <w:sz w:val="24"/>
          <w:szCs w:val="24"/>
        </w:rPr>
      </w:pPr>
      <w:r w:rsidRPr="0026742B">
        <w:rPr>
          <w:rFonts w:ascii="Gadugi" w:hAnsi="Gadugi" w:cs="Century Gothic"/>
          <w:sz w:val="24"/>
          <w:szCs w:val="24"/>
        </w:rPr>
        <w:t>Los Magistrados,</w:t>
      </w:r>
    </w:p>
    <w:p w:rsidR="00DE2148" w:rsidRPr="0026742B" w:rsidRDefault="00DE2148" w:rsidP="00DE2148">
      <w:pPr>
        <w:spacing w:line="276" w:lineRule="auto"/>
        <w:ind w:firstLine="2835"/>
        <w:jc w:val="both"/>
        <w:rPr>
          <w:rFonts w:ascii="Gadugi" w:hAnsi="Gadugi" w:cs="Century Gothic"/>
          <w:sz w:val="24"/>
          <w:szCs w:val="24"/>
          <w:lang w:val="es-CO"/>
        </w:rPr>
      </w:pPr>
    </w:p>
    <w:p w:rsidR="00DE2148" w:rsidRDefault="00DE2148" w:rsidP="00DE2148">
      <w:pPr>
        <w:spacing w:line="276" w:lineRule="auto"/>
        <w:ind w:firstLine="2835"/>
        <w:jc w:val="both"/>
        <w:rPr>
          <w:rFonts w:ascii="Gadugi" w:hAnsi="Gadugi" w:cs="Century Gothic"/>
          <w:sz w:val="24"/>
          <w:szCs w:val="24"/>
        </w:rPr>
      </w:pPr>
    </w:p>
    <w:p w:rsidR="00DE2148" w:rsidRPr="0026742B" w:rsidRDefault="00DE2148" w:rsidP="00DE2148">
      <w:pPr>
        <w:spacing w:line="276" w:lineRule="auto"/>
        <w:ind w:firstLine="2835"/>
        <w:jc w:val="both"/>
        <w:rPr>
          <w:rFonts w:ascii="Gadugi" w:hAnsi="Gadugi" w:cs="Century Gothic"/>
          <w:sz w:val="24"/>
          <w:szCs w:val="24"/>
        </w:rPr>
      </w:pPr>
    </w:p>
    <w:p w:rsidR="00DE2148" w:rsidRPr="0026742B" w:rsidRDefault="00DE2148" w:rsidP="00DE2148">
      <w:pPr>
        <w:spacing w:line="276" w:lineRule="auto"/>
        <w:ind w:firstLine="2835"/>
        <w:jc w:val="both"/>
        <w:rPr>
          <w:rFonts w:ascii="Gadugi" w:hAnsi="Gadugi" w:cs="Century Gothic"/>
          <w:b/>
          <w:bCs/>
          <w:sz w:val="24"/>
          <w:szCs w:val="24"/>
        </w:rPr>
      </w:pPr>
      <w:r w:rsidRPr="0026742B">
        <w:rPr>
          <w:rFonts w:ascii="Gadugi" w:hAnsi="Gadugi" w:cs="Century Gothic"/>
          <w:b/>
          <w:bCs/>
          <w:sz w:val="24"/>
          <w:szCs w:val="24"/>
        </w:rPr>
        <w:t>JAIME ALBERTO SARAZA NARANJO</w:t>
      </w:r>
    </w:p>
    <w:p w:rsidR="00DE2148" w:rsidRPr="0026742B" w:rsidRDefault="00DE2148" w:rsidP="00DE2148">
      <w:pPr>
        <w:spacing w:line="276" w:lineRule="auto"/>
        <w:ind w:firstLine="2835"/>
        <w:jc w:val="both"/>
        <w:rPr>
          <w:rFonts w:ascii="Gadugi" w:hAnsi="Gadugi" w:cs="Century Gothic"/>
          <w:b/>
          <w:bCs/>
          <w:sz w:val="24"/>
          <w:szCs w:val="24"/>
        </w:rPr>
      </w:pPr>
    </w:p>
    <w:p w:rsidR="00DE2148" w:rsidRDefault="00DE2148" w:rsidP="00DE2148">
      <w:pPr>
        <w:spacing w:line="276" w:lineRule="auto"/>
        <w:ind w:firstLine="2835"/>
        <w:jc w:val="both"/>
        <w:rPr>
          <w:rFonts w:ascii="Gadugi" w:hAnsi="Gadugi" w:cs="Century Gothic"/>
          <w:b/>
          <w:bCs/>
          <w:sz w:val="24"/>
          <w:szCs w:val="24"/>
        </w:rPr>
      </w:pPr>
    </w:p>
    <w:p w:rsidR="00DE2148" w:rsidRPr="0026742B" w:rsidRDefault="00DE2148" w:rsidP="00DE2148">
      <w:pPr>
        <w:spacing w:line="276" w:lineRule="auto"/>
        <w:ind w:firstLine="2835"/>
        <w:jc w:val="both"/>
        <w:rPr>
          <w:rFonts w:ascii="Gadugi" w:hAnsi="Gadugi" w:cs="Century Gothic"/>
          <w:b/>
          <w:bCs/>
          <w:sz w:val="24"/>
          <w:szCs w:val="24"/>
        </w:rPr>
      </w:pPr>
    </w:p>
    <w:p w:rsidR="00DE2148" w:rsidRPr="0026742B" w:rsidRDefault="00DE2148" w:rsidP="00DE2148">
      <w:pPr>
        <w:spacing w:line="276" w:lineRule="auto"/>
        <w:jc w:val="both"/>
        <w:rPr>
          <w:rFonts w:ascii="Gadugi" w:hAnsi="Gadugi" w:cs="Century Gothic"/>
          <w:b/>
          <w:bCs/>
          <w:sz w:val="24"/>
          <w:szCs w:val="24"/>
        </w:rPr>
      </w:pPr>
      <w:r w:rsidRPr="0026742B">
        <w:rPr>
          <w:rFonts w:ascii="Gadugi" w:hAnsi="Gadugi" w:cs="Century Gothic"/>
          <w:b/>
          <w:bCs/>
          <w:sz w:val="24"/>
          <w:szCs w:val="24"/>
        </w:rPr>
        <w:t xml:space="preserve">CLAUDIA MARÍA ARCILA RÍOS                           </w:t>
      </w:r>
      <w:proofErr w:type="spellStart"/>
      <w:r w:rsidRPr="0026742B">
        <w:rPr>
          <w:rFonts w:ascii="Gadugi" w:hAnsi="Gadugi" w:cs="Century Gothic"/>
          <w:b/>
          <w:bCs/>
          <w:sz w:val="24"/>
          <w:szCs w:val="24"/>
        </w:rPr>
        <w:t>DUBERNEY</w:t>
      </w:r>
      <w:proofErr w:type="spellEnd"/>
      <w:r w:rsidRPr="0026742B">
        <w:rPr>
          <w:rFonts w:ascii="Gadugi" w:hAnsi="Gadugi" w:cs="Century Gothic"/>
          <w:b/>
          <w:bCs/>
          <w:sz w:val="24"/>
          <w:szCs w:val="24"/>
        </w:rPr>
        <w:t xml:space="preserve"> GRISALES HERRERA   </w:t>
      </w:r>
    </w:p>
    <w:p w:rsidR="00DE2148" w:rsidRPr="00C51BF4" w:rsidRDefault="00DE2148" w:rsidP="00DE2148">
      <w:pPr>
        <w:spacing w:line="276" w:lineRule="auto"/>
        <w:jc w:val="both"/>
        <w:rPr>
          <w:rFonts w:ascii="Gadugi" w:hAnsi="Gadugi"/>
          <w:sz w:val="24"/>
          <w:szCs w:val="24"/>
          <w:lang w:val="es-419"/>
        </w:rPr>
      </w:pPr>
      <w:r w:rsidRPr="0026742B">
        <w:rPr>
          <w:rFonts w:ascii="Gadugi" w:hAnsi="Gadugi" w:cs="Century Gothic"/>
          <w:bCs/>
          <w:sz w:val="24"/>
          <w:szCs w:val="24"/>
        </w:rPr>
        <w:t xml:space="preserve">      </w:t>
      </w:r>
      <w:r>
        <w:rPr>
          <w:rFonts w:ascii="Gadugi" w:hAnsi="Gadugi" w:cs="Century Gothic"/>
          <w:bCs/>
          <w:sz w:val="24"/>
          <w:szCs w:val="24"/>
          <w:lang w:val="es-419"/>
        </w:rPr>
        <w:t xml:space="preserve">Salvamento de voto </w:t>
      </w:r>
    </w:p>
    <w:p w:rsidR="005F1135" w:rsidRDefault="00C87B98">
      <w:bookmarkStart w:id="0" w:name="_GoBack"/>
      <w:bookmarkEnd w:id="0"/>
    </w:p>
    <w:sectPr w:rsidR="005F1135" w:rsidSect="00DE2148">
      <w:headerReference w:type="default" r:id="rId7"/>
      <w:footerReference w:type="default" r:id="rId8"/>
      <w:pgSz w:w="12242" w:h="18654" w:code="1"/>
      <w:pgMar w:top="2268" w:right="1701" w:bottom="2268" w:left="1701"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98" w:rsidRDefault="00C87B98" w:rsidP="00DE2148">
      <w:r>
        <w:separator/>
      </w:r>
    </w:p>
  </w:endnote>
  <w:endnote w:type="continuationSeparator" w:id="0">
    <w:p w:rsidR="00C87B98" w:rsidRDefault="00C87B98" w:rsidP="00DE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Estrangelo Edessa">
    <w:panose1 w:val="03080600000000000000"/>
    <w:charset w:val="01"/>
    <w:family w:val="roman"/>
    <w:notTrueType/>
    <w:pitch w:val="variable"/>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1F" w:rsidRDefault="00F719D2">
    <w:pPr>
      <w:pStyle w:val="Pieddepage"/>
      <w:jc w:val="right"/>
    </w:pPr>
    <w:r>
      <w:fldChar w:fldCharType="begin"/>
    </w:r>
    <w:r>
      <w:instrText>PAGE   \* MERGEFORMAT</w:instrText>
    </w:r>
    <w:r>
      <w:fldChar w:fldCharType="separate"/>
    </w:r>
    <w:r w:rsidR="00666CFA">
      <w:rPr>
        <w:noProof/>
      </w:rPr>
      <w:t>7</w:t>
    </w:r>
    <w:r>
      <w:fldChar w:fldCharType="end"/>
    </w:r>
  </w:p>
  <w:p w:rsidR="0082351F" w:rsidRDefault="00C87B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98" w:rsidRDefault="00C87B98" w:rsidP="00DE2148">
      <w:r>
        <w:separator/>
      </w:r>
    </w:p>
  </w:footnote>
  <w:footnote w:type="continuationSeparator" w:id="0">
    <w:p w:rsidR="00C87B98" w:rsidRDefault="00C87B98" w:rsidP="00DE2148">
      <w:r>
        <w:continuationSeparator/>
      </w:r>
    </w:p>
  </w:footnote>
  <w:footnote w:id="1">
    <w:p w:rsidR="00DE2148" w:rsidRPr="00666CFA" w:rsidRDefault="00DE2148" w:rsidP="00DE2148">
      <w:pPr>
        <w:pStyle w:val="Notedebasdepage"/>
        <w:tabs>
          <w:tab w:val="left" w:pos="284"/>
        </w:tabs>
        <w:rPr>
          <w:rFonts w:ascii="Agency FB" w:hAnsi="Agency FB"/>
          <w:sz w:val="24"/>
          <w:szCs w:val="24"/>
          <w:lang w:val="fr-FR"/>
        </w:rPr>
      </w:pPr>
      <w:r w:rsidRPr="00AE46E0">
        <w:rPr>
          <w:rStyle w:val="Appelnotedebasdep"/>
          <w:rFonts w:ascii="Agency FB" w:hAnsi="Agency FB"/>
          <w:sz w:val="24"/>
          <w:szCs w:val="24"/>
        </w:rPr>
        <w:footnoteRef/>
      </w:r>
      <w:r w:rsidRPr="00666CFA">
        <w:rPr>
          <w:rFonts w:ascii="Agency FB" w:hAnsi="Agency FB"/>
          <w:sz w:val="24"/>
          <w:szCs w:val="24"/>
          <w:lang w:val="fr-FR"/>
        </w:rPr>
        <w:t xml:space="preserve"> </w:t>
      </w:r>
      <w:r w:rsidRPr="00666CFA">
        <w:rPr>
          <w:rFonts w:ascii="Agency FB" w:hAnsi="Agency FB"/>
          <w:sz w:val="24"/>
          <w:szCs w:val="24"/>
          <w:lang w:val="fr-FR"/>
        </w:rPr>
        <w:tab/>
        <w:t>Sentencia T-404 de 2015</w:t>
      </w:r>
    </w:p>
  </w:footnote>
  <w:footnote w:id="2">
    <w:p w:rsidR="00DE2148" w:rsidRPr="00AE46E0" w:rsidRDefault="00DE2148" w:rsidP="00DE2148">
      <w:pPr>
        <w:pStyle w:val="Notedebasdepage"/>
        <w:tabs>
          <w:tab w:val="left" w:pos="284"/>
          <w:tab w:val="left" w:pos="993"/>
        </w:tabs>
        <w:ind w:right="51"/>
        <w:jc w:val="both"/>
        <w:rPr>
          <w:rFonts w:ascii="Agency FB" w:hAnsi="Agency FB"/>
          <w:sz w:val="24"/>
          <w:szCs w:val="24"/>
        </w:rPr>
      </w:pPr>
      <w:r w:rsidRPr="00AE46E0">
        <w:rPr>
          <w:rStyle w:val="Appelnotedebasdep"/>
          <w:rFonts w:ascii="Agency FB" w:hAnsi="Agency FB"/>
          <w:color w:val="000000"/>
          <w:sz w:val="24"/>
          <w:szCs w:val="24"/>
        </w:rPr>
        <w:footnoteRef/>
      </w:r>
      <w:r w:rsidRPr="00AE46E0">
        <w:rPr>
          <w:rFonts w:ascii="Agency FB" w:hAnsi="Agency FB"/>
          <w:color w:val="000000"/>
          <w:sz w:val="24"/>
          <w:szCs w:val="24"/>
          <w:lang w:val="fr-FR"/>
        </w:rPr>
        <w:t xml:space="preserve"> </w:t>
      </w:r>
      <w:r w:rsidRPr="00AE46E0">
        <w:rPr>
          <w:rFonts w:ascii="Agency FB" w:hAnsi="Agency FB"/>
          <w:color w:val="000000"/>
          <w:sz w:val="24"/>
          <w:szCs w:val="24"/>
          <w:lang w:val="fr-FR"/>
        </w:rPr>
        <w:tab/>
        <w:t xml:space="preserve">MP. Manuel José </w:t>
      </w:r>
      <w:proofErr w:type="spellStart"/>
      <w:r w:rsidRPr="00AE46E0">
        <w:rPr>
          <w:rFonts w:ascii="Agency FB" w:hAnsi="Agency FB"/>
          <w:color w:val="000000"/>
          <w:sz w:val="24"/>
          <w:szCs w:val="24"/>
          <w:lang w:val="fr-FR"/>
        </w:rPr>
        <w:t>Cepeda</w:t>
      </w:r>
      <w:proofErr w:type="spellEnd"/>
      <w:r w:rsidRPr="00AE46E0">
        <w:rPr>
          <w:rFonts w:ascii="Agency FB" w:hAnsi="Agency FB"/>
          <w:color w:val="000000"/>
          <w:sz w:val="24"/>
          <w:szCs w:val="24"/>
          <w:lang w:val="fr-FR"/>
        </w:rPr>
        <w:t xml:space="preserve">. </w:t>
      </w:r>
      <w:r w:rsidRPr="00AE46E0">
        <w:rPr>
          <w:rFonts w:ascii="Agency FB" w:hAnsi="Agency FB"/>
          <w:color w:val="000000"/>
          <w:sz w:val="24"/>
          <w:szCs w:val="24"/>
          <w:lang w:val="es-MX"/>
        </w:rPr>
        <w:t xml:space="preserve">En esta providencia la Corte estudió el caso de un ciudadano que mediante derecho de petición había solicitado al </w:t>
      </w:r>
      <w:proofErr w:type="spellStart"/>
      <w:r w:rsidRPr="00AE46E0">
        <w:rPr>
          <w:rFonts w:ascii="Agency FB" w:hAnsi="Agency FB"/>
          <w:color w:val="000000"/>
          <w:sz w:val="24"/>
          <w:szCs w:val="24"/>
          <w:lang w:val="es-MX"/>
        </w:rPr>
        <w:t>ISS</w:t>
      </w:r>
      <w:proofErr w:type="spellEnd"/>
      <w:r w:rsidRPr="00AE46E0">
        <w:rPr>
          <w:rFonts w:ascii="Agency FB" w:hAnsi="Agency FB"/>
          <w:color w:val="000000"/>
          <w:sz w:val="24"/>
          <w:szCs w:val="24"/>
          <w:lang w:val="es-MX"/>
        </w:rPr>
        <w:t xml:space="preserve"> se le informara sobre requisitos y procedimientos para acceder a la pensión de invalidez o en su defecto, sobre la indemnización sustitutiva. El </w:t>
      </w:r>
      <w:proofErr w:type="spellStart"/>
      <w:r w:rsidRPr="00AE46E0">
        <w:rPr>
          <w:rFonts w:ascii="Agency FB" w:hAnsi="Agency FB"/>
          <w:color w:val="000000"/>
          <w:sz w:val="24"/>
          <w:szCs w:val="24"/>
          <w:lang w:val="es-MX"/>
        </w:rPr>
        <w:t>ISS</w:t>
      </w:r>
      <w:proofErr w:type="spellEnd"/>
      <w:r w:rsidRPr="00AE46E0">
        <w:rPr>
          <w:rFonts w:ascii="Agency FB" w:hAnsi="Agency FB"/>
          <w:color w:val="000000"/>
          <w:sz w:val="24"/>
          <w:szCs w:val="24"/>
          <w:lang w:val="es-MX"/>
        </w:rPr>
        <w:t xml:space="preserve"> no dio respuesta a dicha solicitud. La Corte ordena a la entidad que, en un término de 48 horas, dé respuesta a las pretensiones del actor.</w:t>
      </w:r>
    </w:p>
  </w:footnote>
  <w:footnote w:id="3">
    <w:p w:rsidR="00DE2148" w:rsidRPr="00AE46E0" w:rsidRDefault="00DE2148" w:rsidP="00DE2148">
      <w:pPr>
        <w:pStyle w:val="Notedebasdepage"/>
        <w:tabs>
          <w:tab w:val="left" w:pos="426"/>
        </w:tabs>
        <w:rPr>
          <w:rFonts w:ascii="Agency FB" w:hAnsi="Agency FB"/>
          <w:sz w:val="24"/>
          <w:szCs w:val="24"/>
        </w:rPr>
      </w:pPr>
      <w:r w:rsidRPr="00AE46E0">
        <w:rPr>
          <w:rStyle w:val="Appelnotedebasdep"/>
          <w:rFonts w:ascii="Agency FB" w:hAnsi="Agency FB" w:cs="Arial"/>
          <w:sz w:val="24"/>
          <w:szCs w:val="24"/>
        </w:rPr>
        <w:footnoteRef/>
      </w:r>
      <w:r w:rsidRPr="00AE46E0">
        <w:rPr>
          <w:rFonts w:ascii="Agency FB" w:hAnsi="Agency FB" w:cs="Arial"/>
          <w:sz w:val="24"/>
          <w:szCs w:val="24"/>
        </w:rPr>
        <w:t xml:space="preserve"> </w:t>
      </w:r>
      <w:r w:rsidRPr="00AE46E0">
        <w:rPr>
          <w:rFonts w:ascii="Agency FB" w:hAnsi="Agency FB" w:cs="Arial"/>
          <w:sz w:val="24"/>
          <w:szCs w:val="24"/>
        </w:rPr>
        <w:tab/>
      </w:r>
      <w:proofErr w:type="spellStart"/>
      <w:r w:rsidRPr="00AE46E0">
        <w:rPr>
          <w:rFonts w:ascii="Agency FB" w:hAnsi="Agency FB" w:cs="Arial"/>
          <w:sz w:val="24"/>
          <w:szCs w:val="24"/>
        </w:rPr>
        <w:t>M.P</w:t>
      </w:r>
      <w:proofErr w:type="spellEnd"/>
      <w:r w:rsidRPr="00AE46E0">
        <w:rPr>
          <w:rFonts w:ascii="Agency FB" w:hAnsi="Agency FB" w:cs="Arial"/>
          <w:sz w:val="24"/>
          <w:szCs w:val="24"/>
        </w:rPr>
        <w:t>. Dr. José Gregorio Hernández Galindo.</w:t>
      </w:r>
    </w:p>
  </w:footnote>
  <w:footnote w:id="4">
    <w:p w:rsidR="00DE2148" w:rsidRPr="00AE46E0" w:rsidRDefault="00DE2148" w:rsidP="00DE2148">
      <w:pPr>
        <w:tabs>
          <w:tab w:val="left" w:pos="284"/>
          <w:tab w:val="left" w:pos="426"/>
          <w:tab w:val="left" w:pos="709"/>
        </w:tabs>
        <w:ind w:right="22"/>
        <w:jc w:val="both"/>
        <w:rPr>
          <w:rFonts w:ascii="Agency FB" w:hAnsi="Agency FB"/>
          <w:sz w:val="24"/>
          <w:szCs w:val="24"/>
          <w:lang w:val="es-CL"/>
        </w:rPr>
      </w:pPr>
      <w:r w:rsidRPr="00AE46E0">
        <w:rPr>
          <w:rStyle w:val="Appelnotedebasdep"/>
          <w:rFonts w:ascii="Agency FB" w:hAnsi="Agency FB" w:cs="Arial"/>
          <w:sz w:val="24"/>
          <w:szCs w:val="24"/>
        </w:rPr>
        <w:footnoteRef/>
      </w:r>
      <w:r w:rsidRPr="00AE46E0">
        <w:rPr>
          <w:rFonts w:ascii="Agency FB" w:hAnsi="Agency FB" w:cs="Arial"/>
          <w:sz w:val="24"/>
          <w:szCs w:val="24"/>
        </w:rPr>
        <w:t xml:space="preserve"> </w:t>
      </w:r>
      <w:r w:rsidRPr="00AE46E0">
        <w:rPr>
          <w:rFonts w:ascii="Agency FB" w:hAnsi="Agency FB" w:cs="Arial"/>
          <w:bCs/>
          <w:sz w:val="24"/>
          <w:szCs w:val="24"/>
        </w:rPr>
        <w:t xml:space="preserve"> </w:t>
      </w:r>
      <w:r w:rsidRPr="00AE46E0">
        <w:rPr>
          <w:rFonts w:ascii="Agency FB" w:hAnsi="Agency FB" w:cs="Arial"/>
          <w:bCs/>
          <w:sz w:val="24"/>
          <w:szCs w:val="24"/>
        </w:rPr>
        <w:tab/>
      </w:r>
      <w:r w:rsidRPr="00AE46E0">
        <w:rPr>
          <w:rFonts w:ascii="Agency FB" w:hAnsi="Agency FB" w:cs="Arial"/>
          <w:bCs/>
          <w:sz w:val="24"/>
          <w:szCs w:val="24"/>
        </w:rPr>
        <w:tab/>
        <w:t>Sentencia T-412/98</w:t>
      </w:r>
    </w:p>
  </w:footnote>
  <w:footnote w:id="5">
    <w:p w:rsidR="00DE2148" w:rsidRPr="00AE46E0" w:rsidRDefault="00DE2148" w:rsidP="00DE2148">
      <w:pPr>
        <w:tabs>
          <w:tab w:val="left" w:pos="426"/>
        </w:tabs>
        <w:jc w:val="both"/>
        <w:rPr>
          <w:rFonts w:ascii="Agency FB" w:hAnsi="Agency FB" w:cs="Estrangelo Edessa"/>
          <w:sz w:val="24"/>
          <w:szCs w:val="24"/>
        </w:rPr>
      </w:pPr>
      <w:r w:rsidRPr="00AE46E0">
        <w:rPr>
          <w:rStyle w:val="Appelnotedebasdep"/>
          <w:rFonts w:ascii="Agency FB" w:hAnsi="Agency FB"/>
          <w:sz w:val="24"/>
          <w:szCs w:val="24"/>
        </w:rPr>
        <w:footnoteRef/>
      </w:r>
      <w:r w:rsidRPr="00AE46E0">
        <w:rPr>
          <w:rFonts w:ascii="Agency FB" w:hAnsi="Agency FB"/>
          <w:sz w:val="24"/>
          <w:szCs w:val="24"/>
        </w:rPr>
        <w:t xml:space="preserve"> </w:t>
      </w:r>
      <w:r w:rsidRPr="00AE46E0">
        <w:rPr>
          <w:rFonts w:ascii="Agency FB" w:hAnsi="Agency FB"/>
          <w:sz w:val="24"/>
          <w:szCs w:val="24"/>
        </w:rPr>
        <w:tab/>
        <w:t xml:space="preserve">Sentencia del 17 de septiembre de 2015, radicación </w:t>
      </w:r>
      <w:r w:rsidRPr="00AE46E0">
        <w:rPr>
          <w:rFonts w:ascii="Agency FB" w:hAnsi="Agency FB" w:cs="Estrangelo Edessa"/>
          <w:sz w:val="24"/>
          <w:szCs w:val="24"/>
        </w:rPr>
        <w:t xml:space="preserve">05001-22-03-000-2015-00583-01; expediente </w:t>
      </w:r>
      <w:proofErr w:type="spellStart"/>
      <w:r w:rsidRPr="00AE46E0">
        <w:rPr>
          <w:rFonts w:ascii="Agency FB" w:hAnsi="Agency FB" w:cs="Estrangelo Edessa"/>
          <w:sz w:val="24"/>
          <w:szCs w:val="24"/>
        </w:rPr>
        <w:t>STC12650</w:t>
      </w:r>
      <w:proofErr w:type="spellEnd"/>
      <w:r w:rsidRPr="00AE46E0">
        <w:rPr>
          <w:rFonts w:ascii="Agency FB" w:hAnsi="Agency FB" w:cs="Estrangelo Edessa"/>
          <w:sz w:val="24"/>
          <w:szCs w:val="24"/>
        </w:rPr>
        <w:t xml:space="preserve">-2015, </w:t>
      </w:r>
      <w:proofErr w:type="spellStart"/>
      <w:r w:rsidRPr="00AE46E0">
        <w:rPr>
          <w:rFonts w:ascii="Agency FB" w:hAnsi="Agency FB" w:cs="Estrangelo Edessa"/>
          <w:sz w:val="24"/>
          <w:szCs w:val="24"/>
        </w:rPr>
        <w:t>M.P</w:t>
      </w:r>
      <w:proofErr w:type="spellEnd"/>
      <w:r w:rsidRPr="00AE46E0">
        <w:rPr>
          <w:rFonts w:ascii="Agency FB" w:hAnsi="Agency FB" w:cs="Estrangelo Edessa"/>
          <w:sz w:val="24"/>
          <w:szCs w:val="24"/>
        </w:rPr>
        <w:t>, Ariel Salazar Ramírez.</w:t>
      </w:r>
    </w:p>
    <w:p w:rsidR="00DE2148" w:rsidRPr="008558E0" w:rsidRDefault="00DE2148" w:rsidP="00DE2148">
      <w:pPr>
        <w:pStyle w:val="Notedebasdepage"/>
        <w:jc w:val="both"/>
        <w:rPr>
          <w:rFonts w:ascii="Agency FB" w:hAnsi="Agency FB"/>
          <w:sz w:val="24"/>
          <w:szCs w:val="24"/>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8B" w:rsidRDefault="00C87B98">
    <w:pPr>
      <w:tabs>
        <w:tab w:val="left" w:pos="-720"/>
      </w:tabs>
      <w:suppressAutoHyphens/>
      <w:ind w:left="-1418"/>
      <w:rPr>
        <w:rFonts w:ascii="Algerian" w:hAnsi="Algeri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10"/>
    <w:rsid w:val="00524810"/>
    <w:rsid w:val="00666CFA"/>
    <w:rsid w:val="008C2308"/>
    <w:rsid w:val="00B82871"/>
    <w:rsid w:val="00C87B98"/>
    <w:rsid w:val="00DE2148"/>
    <w:rsid w:val="00F719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E2148"/>
    <w:pPr>
      <w:spacing w:line="360" w:lineRule="auto"/>
      <w:jc w:val="both"/>
    </w:pPr>
    <w:rPr>
      <w:rFonts w:ascii="Courier New" w:hAnsi="Courier New"/>
      <w:sz w:val="24"/>
      <w:lang w:val="es-MX"/>
    </w:rPr>
  </w:style>
  <w:style w:type="character" w:customStyle="1" w:styleId="TextoindependienteCar">
    <w:name w:val="Texto independiente Car"/>
    <w:basedOn w:val="Policepardfaut"/>
    <w:uiPriority w:val="99"/>
    <w:semiHidden/>
    <w:rsid w:val="00DE2148"/>
    <w:rPr>
      <w:rFonts w:ascii="Times New Roman" w:eastAsia="Times New Roman" w:hAnsi="Times New Roman" w:cs="Times New Roman"/>
      <w:sz w:val="20"/>
      <w:szCs w:val="20"/>
      <w:lang w:eastAsia="es-ES"/>
    </w:rPr>
  </w:style>
  <w:style w:type="character" w:customStyle="1" w:styleId="CorpsdetexteCar">
    <w:name w:val="Corps de texte Car"/>
    <w:link w:val="Corpsdetexte"/>
    <w:locked/>
    <w:rsid w:val="00DE2148"/>
    <w:rPr>
      <w:rFonts w:ascii="Courier New" w:eastAsia="Times New Roman" w:hAnsi="Courier New" w:cs="Times New Roman"/>
      <w:sz w:val="24"/>
      <w:szCs w:val="20"/>
      <w:lang w:val="es-MX" w:eastAsia="es-ES"/>
    </w:rPr>
  </w:style>
  <w:style w:type="paragraph" w:styleId="Pieddepage">
    <w:name w:val="footer"/>
    <w:basedOn w:val="Normal"/>
    <w:link w:val="PieddepageCar"/>
    <w:uiPriority w:val="99"/>
    <w:rsid w:val="00DE2148"/>
    <w:pPr>
      <w:tabs>
        <w:tab w:val="center" w:pos="4419"/>
        <w:tab w:val="right" w:pos="8838"/>
      </w:tabs>
    </w:pPr>
  </w:style>
  <w:style w:type="character" w:customStyle="1" w:styleId="PiedepginaCar">
    <w:name w:val="Pie de página Car"/>
    <w:basedOn w:val="Policepardfaut"/>
    <w:uiPriority w:val="99"/>
    <w:semiHidden/>
    <w:rsid w:val="00DE2148"/>
    <w:rPr>
      <w:rFonts w:ascii="Times New Roman" w:eastAsia="Times New Roman" w:hAnsi="Times New Roman" w:cs="Times New Roman"/>
      <w:sz w:val="20"/>
      <w:szCs w:val="20"/>
      <w:lang w:eastAsia="es-ES"/>
    </w:rPr>
  </w:style>
  <w:style w:type="character" w:customStyle="1" w:styleId="PieddepageCar">
    <w:name w:val="Pied de page Car"/>
    <w:link w:val="Pieddepage"/>
    <w:uiPriority w:val="99"/>
    <w:locked/>
    <w:rsid w:val="00DE2148"/>
    <w:rPr>
      <w:rFonts w:ascii="Times New Roman" w:eastAsia="Times New Roman" w:hAnsi="Times New Roman" w:cs="Times New Roman"/>
      <w:sz w:val="20"/>
      <w:szCs w:val="20"/>
      <w:lang w:eastAsia="es-ES"/>
    </w:rPr>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qFormat/>
    <w:rsid w:val="00DE2148"/>
  </w:style>
  <w:style w:type="character" w:customStyle="1" w:styleId="TextonotapieCar">
    <w:name w:val="Texto nota pie Car"/>
    <w:basedOn w:val="Policepardfaut"/>
    <w:uiPriority w:val="99"/>
    <w:semiHidden/>
    <w:rsid w:val="00DE2148"/>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uiPriority w:val="99"/>
    <w:locked/>
    <w:rsid w:val="00DE2148"/>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Footnote number,BVI fnr,4_G,16 Point,Superscript 6 Point,Ref. de nota al pie 2,Nota a pie,Footnote symbol"/>
    <w:uiPriority w:val="99"/>
    <w:rsid w:val="00DE2148"/>
    <w:rPr>
      <w:vertAlign w:val="superscript"/>
    </w:rPr>
  </w:style>
  <w:style w:type="paragraph" w:styleId="Corpsdetexte2">
    <w:name w:val="Body Text 2"/>
    <w:basedOn w:val="Normal"/>
    <w:link w:val="Corpsdetexte2Car"/>
    <w:rsid w:val="00DE2148"/>
    <w:pPr>
      <w:spacing w:after="120" w:line="480" w:lineRule="auto"/>
    </w:pPr>
  </w:style>
  <w:style w:type="character" w:customStyle="1" w:styleId="Corpsdetexte2Car">
    <w:name w:val="Corps de texte 2 Car"/>
    <w:basedOn w:val="Policepardfaut"/>
    <w:link w:val="Corpsdetexte2"/>
    <w:rsid w:val="00DE2148"/>
    <w:rPr>
      <w:rFonts w:ascii="Times New Roman" w:eastAsia="Times New Roman" w:hAnsi="Times New Roman" w:cs="Times New Roman"/>
      <w:sz w:val="20"/>
      <w:szCs w:val="20"/>
      <w:lang w:eastAsia="es-ES"/>
    </w:rPr>
  </w:style>
  <w:style w:type="paragraph" w:customStyle="1" w:styleId="Style8">
    <w:name w:val="Style8"/>
    <w:basedOn w:val="Normal"/>
    <w:uiPriority w:val="99"/>
    <w:rsid w:val="00DE2148"/>
    <w:pPr>
      <w:widowControl w:val="0"/>
      <w:overflowPunct/>
      <w:spacing w:line="264" w:lineRule="exact"/>
      <w:textAlignment w:val="auto"/>
    </w:pPr>
    <w:rPr>
      <w:rFonts w:ascii="Arial" w:hAnsi="Arial" w:cs="Arial"/>
      <w:sz w:val="24"/>
      <w:szCs w:val="24"/>
      <w:lang w:val="es-CO" w:eastAsia="es-CO"/>
    </w:rPr>
  </w:style>
  <w:style w:type="character" w:customStyle="1" w:styleId="FontStyle31">
    <w:name w:val="Font Style31"/>
    <w:uiPriority w:val="99"/>
    <w:rsid w:val="00DE214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E2148"/>
    <w:pPr>
      <w:spacing w:line="360" w:lineRule="auto"/>
      <w:jc w:val="both"/>
    </w:pPr>
    <w:rPr>
      <w:rFonts w:ascii="Courier New" w:hAnsi="Courier New"/>
      <w:sz w:val="24"/>
      <w:lang w:val="es-MX"/>
    </w:rPr>
  </w:style>
  <w:style w:type="character" w:customStyle="1" w:styleId="TextoindependienteCar">
    <w:name w:val="Texto independiente Car"/>
    <w:basedOn w:val="Policepardfaut"/>
    <w:uiPriority w:val="99"/>
    <w:semiHidden/>
    <w:rsid w:val="00DE2148"/>
    <w:rPr>
      <w:rFonts w:ascii="Times New Roman" w:eastAsia="Times New Roman" w:hAnsi="Times New Roman" w:cs="Times New Roman"/>
      <w:sz w:val="20"/>
      <w:szCs w:val="20"/>
      <w:lang w:eastAsia="es-ES"/>
    </w:rPr>
  </w:style>
  <w:style w:type="character" w:customStyle="1" w:styleId="CorpsdetexteCar">
    <w:name w:val="Corps de texte Car"/>
    <w:link w:val="Corpsdetexte"/>
    <w:locked/>
    <w:rsid w:val="00DE2148"/>
    <w:rPr>
      <w:rFonts w:ascii="Courier New" w:eastAsia="Times New Roman" w:hAnsi="Courier New" w:cs="Times New Roman"/>
      <w:sz w:val="24"/>
      <w:szCs w:val="20"/>
      <w:lang w:val="es-MX" w:eastAsia="es-ES"/>
    </w:rPr>
  </w:style>
  <w:style w:type="paragraph" w:styleId="Pieddepage">
    <w:name w:val="footer"/>
    <w:basedOn w:val="Normal"/>
    <w:link w:val="PieddepageCar"/>
    <w:uiPriority w:val="99"/>
    <w:rsid w:val="00DE2148"/>
    <w:pPr>
      <w:tabs>
        <w:tab w:val="center" w:pos="4419"/>
        <w:tab w:val="right" w:pos="8838"/>
      </w:tabs>
    </w:pPr>
  </w:style>
  <w:style w:type="character" w:customStyle="1" w:styleId="PiedepginaCar">
    <w:name w:val="Pie de página Car"/>
    <w:basedOn w:val="Policepardfaut"/>
    <w:uiPriority w:val="99"/>
    <w:semiHidden/>
    <w:rsid w:val="00DE2148"/>
    <w:rPr>
      <w:rFonts w:ascii="Times New Roman" w:eastAsia="Times New Roman" w:hAnsi="Times New Roman" w:cs="Times New Roman"/>
      <w:sz w:val="20"/>
      <w:szCs w:val="20"/>
      <w:lang w:eastAsia="es-ES"/>
    </w:rPr>
  </w:style>
  <w:style w:type="character" w:customStyle="1" w:styleId="PieddepageCar">
    <w:name w:val="Pied de page Car"/>
    <w:link w:val="Pieddepage"/>
    <w:uiPriority w:val="99"/>
    <w:locked/>
    <w:rsid w:val="00DE2148"/>
    <w:rPr>
      <w:rFonts w:ascii="Times New Roman" w:eastAsia="Times New Roman" w:hAnsi="Times New Roman" w:cs="Times New Roman"/>
      <w:sz w:val="20"/>
      <w:szCs w:val="20"/>
      <w:lang w:eastAsia="es-ES"/>
    </w:rPr>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qFormat/>
    <w:rsid w:val="00DE2148"/>
  </w:style>
  <w:style w:type="character" w:customStyle="1" w:styleId="TextonotapieCar">
    <w:name w:val="Texto nota pie Car"/>
    <w:basedOn w:val="Policepardfaut"/>
    <w:uiPriority w:val="99"/>
    <w:semiHidden/>
    <w:rsid w:val="00DE2148"/>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uiPriority w:val="99"/>
    <w:locked/>
    <w:rsid w:val="00DE2148"/>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Footnote number,BVI fnr,4_G,16 Point,Superscript 6 Point,Ref. de nota al pie 2,Nota a pie,Footnote symbol"/>
    <w:uiPriority w:val="99"/>
    <w:rsid w:val="00DE2148"/>
    <w:rPr>
      <w:vertAlign w:val="superscript"/>
    </w:rPr>
  </w:style>
  <w:style w:type="paragraph" w:styleId="Corpsdetexte2">
    <w:name w:val="Body Text 2"/>
    <w:basedOn w:val="Normal"/>
    <w:link w:val="Corpsdetexte2Car"/>
    <w:rsid w:val="00DE2148"/>
    <w:pPr>
      <w:spacing w:after="120" w:line="480" w:lineRule="auto"/>
    </w:pPr>
  </w:style>
  <w:style w:type="character" w:customStyle="1" w:styleId="Corpsdetexte2Car">
    <w:name w:val="Corps de texte 2 Car"/>
    <w:basedOn w:val="Policepardfaut"/>
    <w:link w:val="Corpsdetexte2"/>
    <w:rsid w:val="00DE2148"/>
    <w:rPr>
      <w:rFonts w:ascii="Times New Roman" w:eastAsia="Times New Roman" w:hAnsi="Times New Roman" w:cs="Times New Roman"/>
      <w:sz w:val="20"/>
      <w:szCs w:val="20"/>
      <w:lang w:eastAsia="es-ES"/>
    </w:rPr>
  </w:style>
  <w:style w:type="paragraph" w:customStyle="1" w:styleId="Style8">
    <w:name w:val="Style8"/>
    <w:basedOn w:val="Normal"/>
    <w:uiPriority w:val="99"/>
    <w:rsid w:val="00DE2148"/>
    <w:pPr>
      <w:widowControl w:val="0"/>
      <w:overflowPunct/>
      <w:spacing w:line="264" w:lineRule="exact"/>
      <w:textAlignment w:val="auto"/>
    </w:pPr>
    <w:rPr>
      <w:rFonts w:ascii="Arial" w:hAnsi="Arial" w:cs="Arial"/>
      <w:sz w:val="24"/>
      <w:szCs w:val="24"/>
      <w:lang w:val="es-CO" w:eastAsia="es-CO"/>
    </w:rPr>
  </w:style>
  <w:style w:type="character" w:customStyle="1" w:styleId="FontStyle31">
    <w:name w:val="Font Style31"/>
    <w:uiPriority w:val="99"/>
    <w:rsid w:val="00DE214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2719</Words>
  <Characters>14958</Characters>
  <Application>Microsoft Office Word</Application>
  <DocSecurity>0</DocSecurity>
  <Lines>124</Lines>
  <Paragraphs>35</Paragraphs>
  <ScaleCrop>false</ScaleCrop>
  <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2017-05-08T14:29:00Z</dcterms:created>
  <dcterms:modified xsi:type="dcterms:W3CDTF">2017-05-12T00:37:00Z</dcterms:modified>
</cp:coreProperties>
</file>