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E2" w:rsidRPr="00AF1AE2" w:rsidRDefault="00AF1AE2" w:rsidP="00AF1AE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AF1AE2">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F1AE2" w:rsidRPr="00AF1AE2" w:rsidRDefault="00AF1AE2" w:rsidP="00AF1AE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AF1AE2">
        <w:rPr>
          <w:rFonts w:ascii="Calibri" w:hAnsi="Calibri" w:cs="Calibri"/>
          <w:color w:val="FF0000"/>
          <w:sz w:val="16"/>
          <w:szCs w:val="16"/>
          <w:lang w:val="es-CO" w:eastAsia="fr-FR"/>
        </w:rPr>
        <w:t>El contenido total y fiel de la decisión debe ser verificado en la Secretaría de esta Sala.</w:t>
      </w:r>
    </w:p>
    <w:p w:rsidR="00AF1AE2" w:rsidRPr="00AF1AE2" w:rsidRDefault="00AF1AE2" w:rsidP="00AF1AE2">
      <w:pPr>
        <w:shd w:val="clear" w:color="auto" w:fill="FFFFFF"/>
        <w:ind w:left="1843" w:hanging="1843"/>
        <w:jc w:val="both"/>
        <w:rPr>
          <w:rFonts w:ascii="Calibri" w:eastAsia="Times New Roman" w:hAnsi="Calibri" w:cs="Calibri"/>
          <w:color w:val="222222"/>
          <w:sz w:val="18"/>
          <w:szCs w:val="18"/>
          <w:lang w:val="es-CO" w:eastAsia="fr-FR"/>
        </w:rPr>
      </w:pPr>
      <w:r w:rsidRPr="00AF1AE2">
        <w:rPr>
          <w:rFonts w:ascii="Calibri" w:eastAsia="Times New Roman" w:hAnsi="Calibri" w:cs="Calibri"/>
          <w:color w:val="222222"/>
          <w:sz w:val="18"/>
          <w:szCs w:val="18"/>
          <w:lang w:val="es-CO" w:eastAsia="fr-FR"/>
        </w:rPr>
        <w:t>Providencia:</w:t>
      </w:r>
      <w:r w:rsidRPr="00AF1AE2">
        <w:rPr>
          <w:rFonts w:ascii="Calibri" w:eastAsia="Times New Roman" w:hAnsi="Calibri" w:cs="Calibri"/>
          <w:color w:val="222222"/>
          <w:sz w:val="18"/>
          <w:szCs w:val="18"/>
          <w:lang w:val="es-CO" w:eastAsia="fr-FR"/>
        </w:rPr>
        <w:tab/>
        <w:t>Sentencia  – 1ª instancia –</w:t>
      </w:r>
      <w:r w:rsidRPr="00AF1AE2">
        <w:rPr>
          <w:rFonts w:ascii="Calibri" w:eastAsia="Times New Roman" w:hAnsi="Calibri" w:cs="Calibri"/>
          <w:color w:val="222222"/>
          <w:sz w:val="18"/>
          <w:szCs w:val="18"/>
          <w:lang w:val="es-CO" w:eastAsia="fr-FR"/>
        </w:rPr>
        <w:pgNum/>
      </w:r>
      <w:r w:rsidRPr="00AF1AE2">
        <w:rPr>
          <w:rFonts w:ascii="Calibri" w:eastAsia="Times New Roman" w:hAnsi="Calibri" w:cs="Calibri"/>
          <w:color w:val="222222"/>
          <w:sz w:val="18"/>
          <w:szCs w:val="18"/>
          <w:lang w:val="es-CO" w:eastAsia="fr-FR"/>
        </w:rPr>
        <w:t>8 de octubre de 2017</w:t>
      </w:r>
    </w:p>
    <w:p w:rsidR="00AF1AE2" w:rsidRPr="00AF1AE2" w:rsidRDefault="00AF1AE2" w:rsidP="00AF1AE2">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AF1AE2">
        <w:rPr>
          <w:rFonts w:ascii="Calibri" w:hAnsi="Calibri" w:cs="Calibri"/>
          <w:color w:val="222222"/>
          <w:sz w:val="18"/>
          <w:szCs w:val="18"/>
          <w:lang w:val="es-CO" w:eastAsia="fr-FR"/>
        </w:rPr>
        <w:t>Proceso:    </w:t>
      </w:r>
      <w:r w:rsidRPr="00AF1AE2">
        <w:rPr>
          <w:rFonts w:ascii="Calibri" w:hAnsi="Calibri" w:cs="Calibri"/>
          <w:color w:val="222222"/>
          <w:sz w:val="18"/>
          <w:szCs w:val="18"/>
          <w:lang w:val="es-CO" w:eastAsia="fr-FR"/>
        </w:rPr>
        <w:tab/>
        <w:t>Acción de Tutela – Declara improcedente el amparo</w:t>
      </w:r>
    </w:p>
    <w:p w:rsidR="00AF1AE2" w:rsidRPr="00AF1AE2" w:rsidRDefault="00AF1AE2" w:rsidP="00AF1AE2">
      <w:pPr>
        <w:shd w:val="clear" w:color="auto" w:fill="FFFFFF"/>
        <w:tabs>
          <w:tab w:val="left" w:pos="1843"/>
          <w:tab w:val="left" w:pos="4755"/>
        </w:tabs>
        <w:ind w:left="1843" w:hanging="1843"/>
        <w:jc w:val="both"/>
        <w:rPr>
          <w:rFonts w:ascii="Calibri" w:hAnsi="Calibri" w:cs="Calibri"/>
          <w:bCs/>
          <w:sz w:val="18"/>
          <w:szCs w:val="18"/>
          <w:lang w:val="es-CO" w:eastAsia="en-US"/>
        </w:rPr>
      </w:pPr>
      <w:r w:rsidRPr="00AF1AE2">
        <w:rPr>
          <w:rFonts w:ascii="Calibri" w:hAnsi="Calibri" w:cs="Calibri"/>
          <w:color w:val="222222"/>
          <w:sz w:val="18"/>
          <w:szCs w:val="18"/>
          <w:lang w:val="es-CO" w:eastAsia="fr-FR"/>
        </w:rPr>
        <w:t>Radicación Nro. :</w:t>
      </w:r>
      <w:r w:rsidRPr="00AF1AE2">
        <w:rPr>
          <w:rFonts w:ascii="Calibri" w:hAnsi="Calibri" w:cs="Calibri"/>
          <w:color w:val="222222"/>
          <w:sz w:val="18"/>
          <w:szCs w:val="18"/>
          <w:lang w:val="es-CO" w:eastAsia="fr-FR"/>
        </w:rPr>
        <w:tab/>
      </w:r>
      <w:r w:rsidRPr="00AF1AE2">
        <w:rPr>
          <w:rFonts w:ascii="Calibri" w:hAnsi="Calibri" w:cs="Calibri"/>
          <w:bCs/>
          <w:sz w:val="18"/>
          <w:szCs w:val="18"/>
          <w:lang w:eastAsia="en-US"/>
        </w:rPr>
        <w:t>66001-22-13-000-2017-01070-00</w:t>
      </w:r>
    </w:p>
    <w:p w:rsidR="00AF1AE2" w:rsidRPr="00AF1AE2" w:rsidRDefault="00AF1AE2" w:rsidP="00AF1AE2">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AF1AE2">
        <w:rPr>
          <w:rFonts w:ascii="Calibri" w:hAnsi="Calibri" w:cs="Calibri"/>
          <w:bCs/>
          <w:iCs/>
          <w:color w:val="222222"/>
          <w:sz w:val="18"/>
          <w:szCs w:val="18"/>
          <w:lang w:eastAsia="fr-FR"/>
        </w:rPr>
        <w:t xml:space="preserve">Accionante: </w:t>
      </w:r>
      <w:r w:rsidRPr="00AF1AE2">
        <w:rPr>
          <w:rFonts w:ascii="Calibri" w:hAnsi="Calibri" w:cs="Calibri"/>
          <w:bCs/>
          <w:iCs/>
          <w:color w:val="222222"/>
          <w:sz w:val="18"/>
          <w:szCs w:val="18"/>
          <w:lang w:eastAsia="fr-FR"/>
        </w:rPr>
        <w:tab/>
        <w:t>LEANDRO GIRALDO</w:t>
      </w:r>
    </w:p>
    <w:p w:rsidR="00AF1AE2" w:rsidRPr="00AF1AE2" w:rsidRDefault="00AF1AE2" w:rsidP="00AF1AE2">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AF1AE2">
        <w:rPr>
          <w:rFonts w:ascii="Calibri" w:hAnsi="Calibri" w:cs="Calibri"/>
          <w:color w:val="222222"/>
          <w:sz w:val="18"/>
          <w:szCs w:val="18"/>
          <w:lang w:val="es-CO" w:eastAsia="fr-FR"/>
        </w:rPr>
        <w:t>Accionado:</w:t>
      </w:r>
      <w:r w:rsidRPr="00AF1AE2">
        <w:rPr>
          <w:rFonts w:ascii="Calibri" w:hAnsi="Calibri" w:cs="Calibri"/>
          <w:color w:val="222222"/>
          <w:sz w:val="18"/>
          <w:szCs w:val="18"/>
          <w:lang w:val="es-CO" w:eastAsia="fr-FR"/>
        </w:rPr>
        <w:tab/>
      </w:r>
      <w:r w:rsidRPr="00AF1AE2">
        <w:rPr>
          <w:rFonts w:ascii="Calibri" w:hAnsi="Calibri" w:cs="Calibri"/>
          <w:color w:val="222222"/>
          <w:spacing w:val="-6"/>
          <w:sz w:val="18"/>
          <w:szCs w:val="18"/>
          <w:lang w:eastAsia="fr-FR"/>
        </w:rPr>
        <w:t>JUZGADO SEGUNDO CIVIL DEL CIRCUITO DE PEREIRA</w:t>
      </w:r>
    </w:p>
    <w:p w:rsidR="00AF1AE2" w:rsidRPr="00AF1AE2" w:rsidRDefault="00AF1AE2" w:rsidP="00AF1AE2">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AF1AE2">
        <w:rPr>
          <w:rFonts w:ascii="Calibri" w:hAnsi="Calibri" w:cs="Calibri"/>
          <w:color w:val="222222"/>
          <w:sz w:val="18"/>
          <w:szCs w:val="18"/>
          <w:lang w:val="es-CO" w:eastAsia="fr-FR"/>
        </w:rPr>
        <w:t>Magistrado Ponente: </w:t>
      </w:r>
      <w:r w:rsidRPr="00AF1AE2">
        <w:rPr>
          <w:rFonts w:ascii="Calibri" w:hAnsi="Calibri" w:cs="Calibri"/>
          <w:color w:val="222222"/>
          <w:sz w:val="18"/>
          <w:szCs w:val="18"/>
          <w:lang w:val="es-CO" w:eastAsia="fr-FR"/>
        </w:rPr>
        <w:tab/>
      </w:r>
      <w:proofErr w:type="spellStart"/>
      <w:r w:rsidRPr="00AF1AE2">
        <w:rPr>
          <w:rFonts w:ascii="Calibri" w:hAnsi="Calibri" w:cs="Calibri"/>
          <w:bCs/>
          <w:iCs/>
          <w:color w:val="222222"/>
          <w:sz w:val="18"/>
          <w:szCs w:val="18"/>
          <w:lang w:eastAsia="fr-FR"/>
        </w:rPr>
        <w:t>EDDER</w:t>
      </w:r>
      <w:proofErr w:type="spellEnd"/>
      <w:r w:rsidRPr="00AF1AE2">
        <w:rPr>
          <w:rFonts w:ascii="Calibri" w:hAnsi="Calibri" w:cs="Calibri"/>
          <w:bCs/>
          <w:iCs/>
          <w:color w:val="222222"/>
          <w:sz w:val="18"/>
          <w:szCs w:val="18"/>
          <w:lang w:eastAsia="fr-FR"/>
        </w:rPr>
        <w:t xml:space="preserve"> JIMMY SÁNCHEZ </w:t>
      </w:r>
      <w:proofErr w:type="spellStart"/>
      <w:r w:rsidRPr="00AF1AE2">
        <w:rPr>
          <w:rFonts w:ascii="Calibri" w:hAnsi="Calibri" w:cs="Calibri"/>
          <w:bCs/>
          <w:iCs/>
          <w:color w:val="222222"/>
          <w:sz w:val="18"/>
          <w:szCs w:val="18"/>
          <w:lang w:eastAsia="fr-FR"/>
        </w:rPr>
        <w:t>CALAMBÁS</w:t>
      </w:r>
      <w:proofErr w:type="spellEnd"/>
    </w:p>
    <w:p w:rsidR="00AF1AE2" w:rsidRPr="00AF1AE2" w:rsidRDefault="00AF1AE2" w:rsidP="00AF1AE2">
      <w:pPr>
        <w:shd w:val="clear" w:color="auto" w:fill="FFFFFF"/>
        <w:tabs>
          <w:tab w:val="left" w:pos="1843"/>
          <w:tab w:val="left" w:pos="4755"/>
        </w:tabs>
        <w:ind w:left="1843" w:hanging="1843"/>
        <w:jc w:val="both"/>
        <w:rPr>
          <w:sz w:val="16"/>
          <w:szCs w:val="16"/>
          <w:lang w:eastAsia="fr-FR"/>
        </w:rPr>
      </w:pPr>
    </w:p>
    <w:p w:rsidR="00AF1AE2" w:rsidRPr="00AF1AE2" w:rsidRDefault="00AF1AE2" w:rsidP="00AF1AE2">
      <w:pPr>
        <w:tabs>
          <w:tab w:val="left" w:pos="1861"/>
          <w:tab w:val="left" w:pos="2432"/>
        </w:tabs>
        <w:spacing w:after="200"/>
        <w:jc w:val="both"/>
        <w:rPr>
          <w:rFonts w:ascii="Calibri" w:hAnsi="Calibri" w:cs="Calibri"/>
          <w:bCs/>
          <w:iCs/>
          <w:color w:val="222222"/>
          <w:sz w:val="18"/>
          <w:szCs w:val="18"/>
          <w:lang w:val="es-CO" w:eastAsia="fr-FR"/>
        </w:rPr>
      </w:pPr>
      <w:r w:rsidRPr="00AF1AE2">
        <w:rPr>
          <w:rFonts w:ascii="Calibri" w:hAnsi="Calibri" w:cs="Calibri"/>
          <w:b/>
          <w:bCs/>
          <w:iCs/>
          <w:color w:val="222222"/>
          <w:sz w:val="18"/>
          <w:szCs w:val="18"/>
          <w:lang w:val="es-CO" w:eastAsia="fr-FR"/>
        </w:rPr>
        <w:t xml:space="preserve">Temas: </w:t>
      </w:r>
      <w:r w:rsidRPr="00AF1AE2">
        <w:rPr>
          <w:rFonts w:ascii="Calibri" w:hAnsi="Calibri" w:cs="Calibri"/>
          <w:b/>
          <w:bCs/>
          <w:iCs/>
          <w:color w:val="222222"/>
          <w:sz w:val="18"/>
          <w:szCs w:val="18"/>
          <w:lang w:val="es-CO" w:eastAsia="fr-FR"/>
        </w:rPr>
        <w:tab/>
        <w:t xml:space="preserve">DEBIDO PROCESO / </w:t>
      </w:r>
      <w:r w:rsidRPr="00AF1AE2">
        <w:rPr>
          <w:rFonts w:ascii="Calibri" w:hAnsi="Calibri" w:cs="Calibri"/>
          <w:b/>
          <w:bCs/>
          <w:iCs/>
          <w:color w:val="222222"/>
          <w:sz w:val="18"/>
          <w:szCs w:val="18"/>
          <w:lang w:eastAsia="fr-FR"/>
        </w:rPr>
        <w:t xml:space="preserve">TUTELA CONTRA PROVIDENCIA JUDICIAL / CARÁCTER RESIDUAL DE LA ACCIÓN DE TUTELA / NO SE AGOTARON LOS RECURSOS / IMPROCEDENCIA. </w:t>
      </w:r>
      <w:r w:rsidRPr="00AF1AE2">
        <w:rPr>
          <w:rFonts w:ascii="Calibri" w:hAnsi="Calibri" w:cs="Calibri"/>
          <w:bCs/>
          <w:iCs/>
          <w:color w:val="222222"/>
          <w:sz w:val="18"/>
          <w:szCs w:val="18"/>
          <w:lang w:eastAsia="fr-FR"/>
        </w:rPr>
        <w:t>[</w:t>
      </w:r>
      <w:r w:rsidR="005A5883">
        <w:rPr>
          <w:rFonts w:ascii="Calibri" w:hAnsi="Calibri" w:cs="Calibri"/>
          <w:bCs/>
          <w:iCs/>
          <w:color w:val="222222"/>
          <w:sz w:val="18"/>
          <w:szCs w:val="18"/>
          <w:lang w:eastAsia="fr-FR"/>
        </w:rPr>
        <w:t>S</w:t>
      </w:r>
      <w:bookmarkStart w:id="0" w:name="_GoBack"/>
      <w:bookmarkEnd w:id="0"/>
      <w:r w:rsidRPr="00AF1AE2">
        <w:rPr>
          <w:rFonts w:ascii="Calibri" w:hAnsi="Calibri" w:cs="Calibri"/>
          <w:bCs/>
          <w:iCs/>
          <w:color w:val="222222"/>
          <w:sz w:val="18"/>
          <w:szCs w:val="18"/>
          <w:lang w:eastAsia="fr-FR"/>
        </w:rPr>
        <w:t>]e advierte la improcedencia del amparo constitucional, por ausencia del requisito de subsidiariedad, toda vez que, como se pudo constatar, el juzgado por auto del 22 de septiembre decidió rechazar la demanda, el que fue notificado por estado el 25 de septiembre siguiente</w:t>
      </w:r>
      <w:r w:rsidRPr="00AF1AE2">
        <w:rPr>
          <w:rFonts w:ascii="Calibri" w:hAnsi="Calibri" w:cs="Calibri"/>
          <w:bCs/>
          <w:iCs/>
          <w:color w:val="222222"/>
          <w:sz w:val="18"/>
          <w:szCs w:val="18"/>
          <w:lang w:val="es-CO" w:eastAsia="fr-FR"/>
        </w:rPr>
        <w:t xml:space="preserve">, sin que </w:t>
      </w:r>
      <w:r w:rsidRPr="00AF1AE2">
        <w:rPr>
          <w:rFonts w:ascii="Calibri" w:hAnsi="Calibri" w:cs="Calibri"/>
          <w:bCs/>
          <w:iCs/>
          <w:color w:val="222222"/>
          <w:sz w:val="18"/>
          <w:szCs w:val="18"/>
          <w:lang w:eastAsia="fr-FR"/>
        </w:rPr>
        <w:t>el actor</w:t>
      </w:r>
      <w:r w:rsidRPr="00AF1AE2">
        <w:rPr>
          <w:rFonts w:ascii="Calibri" w:hAnsi="Calibri" w:cs="Calibri"/>
          <w:bCs/>
          <w:iCs/>
          <w:color w:val="222222"/>
          <w:sz w:val="18"/>
          <w:szCs w:val="18"/>
          <w:lang w:val="es-CO" w:eastAsia="fr-FR"/>
        </w:rPr>
        <w:t xml:space="preserve"> formulara recurso de reposición frente a esa decisión. Es decir, no empleó el medio ordinario de protección con que contaba en ese proceso para obtener lo que pretende sea decidido por vía de tutela. (…) </w:t>
      </w:r>
      <w:r w:rsidRPr="00AF1AE2">
        <w:rPr>
          <w:rFonts w:ascii="Calibri" w:hAnsi="Calibri" w:cs="Calibr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r w:rsidRPr="00AF1AE2">
        <w:rPr>
          <w:rFonts w:ascii="Calibri" w:hAnsi="Calibri" w:cs="Calibri"/>
          <w:bCs/>
          <w:iCs/>
          <w:color w:val="222222"/>
          <w:sz w:val="18"/>
          <w:szCs w:val="18"/>
          <w:lang w:val="es-CO" w:eastAsia="fr-FR"/>
        </w:rPr>
        <w:t xml:space="preserve"> </w:t>
      </w:r>
    </w:p>
    <w:p w:rsidR="00AF1AE2" w:rsidRPr="00AF1AE2" w:rsidRDefault="00AF1AE2" w:rsidP="00B053C0">
      <w:pPr>
        <w:spacing w:line="360" w:lineRule="auto"/>
        <w:jc w:val="center"/>
        <w:rPr>
          <w:rFonts w:ascii="Arial" w:hAnsi="Arial" w:cs="Arial"/>
          <w:b/>
          <w:bCs/>
          <w:sz w:val="24"/>
          <w:szCs w:val="26"/>
          <w:lang w:val="es-CO"/>
        </w:rPr>
      </w:pPr>
    </w:p>
    <w:p w:rsidR="00AF1AE2" w:rsidRDefault="00AF1AE2"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253D9C">
        <w:rPr>
          <w:rFonts w:ascii="Arial" w:hAnsi="Arial" w:cs="Arial"/>
          <w:bCs/>
          <w:sz w:val="24"/>
          <w:szCs w:val="24"/>
        </w:rPr>
        <w:t>diec</w:t>
      </w:r>
      <w:r w:rsidR="001F7FF9">
        <w:rPr>
          <w:rFonts w:ascii="Arial" w:hAnsi="Arial" w:cs="Arial"/>
          <w:bCs/>
          <w:sz w:val="24"/>
          <w:szCs w:val="24"/>
        </w:rPr>
        <w:t>iocho</w:t>
      </w:r>
      <w:r w:rsidR="00F5062B">
        <w:rPr>
          <w:rFonts w:ascii="Arial" w:hAnsi="Arial" w:cs="Arial"/>
          <w:bCs/>
          <w:sz w:val="24"/>
          <w:szCs w:val="24"/>
        </w:rPr>
        <w:t xml:space="preserve"> (</w:t>
      </w:r>
      <w:r w:rsidR="00253D9C">
        <w:rPr>
          <w:rFonts w:ascii="Arial" w:hAnsi="Arial" w:cs="Arial"/>
          <w:bCs/>
          <w:sz w:val="24"/>
          <w:szCs w:val="24"/>
        </w:rPr>
        <w:t>1</w:t>
      </w:r>
      <w:r w:rsidR="001F7FF9">
        <w:rPr>
          <w:rFonts w:ascii="Arial" w:hAnsi="Arial" w:cs="Arial"/>
          <w:bCs/>
          <w:sz w:val="24"/>
          <w:szCs w:val="24"/>
        </w:rPr>
        <w:t>8</w:t>
      </w:r>
      <w:r w:rsidRPr="0090313C">
        <w:rPr>
          <w:rFonts w:ascii="Arial" w:hAnsi="Arial" w:cs="Arial"/>
          <w:bCs/>
          <w:sz w:val="24"/>
          <w:szCs w:val="24"/>
        </w:rPr>
        <w:t xml:space="preserve">) de </w:t>
      </w:r>
      <w:r w:rsidR="00253D9C">
        <w:rPr>
          <w:rFonts w:ascii="Arial" w:hAnsi="Arial" w:cs="Arial"/>
          <w:bCs/>
          <w:sz w:val="24"/>
          <w:szCs w:val="24"/>
        </w:rPr>
        <w:t>octubre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9C4F7F">
        <w:rPr>
          <w:rFonts w:ascii="Arial" w:hAnsi="Arial" w:cs="Arial"/>
          <w:sz w:val="24"/>
          <w:szCs w:val="24"/>
        </w:rPr>
        <w:t>539</w:t>
      </w:r>
      <w:r w:rsidR="00B053C0">
        <w:rPr>
          <w:rFonts w:ascii="Arial" w:hAnsi="Arial" w:cs="Arial"/>
          <w:sz w:val="24"/>
          <w:szCs w:val="24"/>
        </w:rPr>
        <w:t xml:space="preserve"> de </w:t>
      </w:r>
      <w:r w:rsidR="00253D9C">
        <w:rPr>
          <w:rFonts w:ascii="Arial" w:hAnsi="Arial" w:cs="Arial"/>
          <w:sz w:val="24"/>
          <w:szCs w:val="24"/>
        </w:rPr>
        <w:t>1</w:t>
      </w:r>
      <w:r w:rsidR="001F7FF9">
        <w:rPr>
          <w:rFonts w:ascii="Arial" w:hAnsi="Arial" w:cs="Arial"/>
          <w:sz w:val="24"/>
          <w:szCs w:val="24"/>
        </w:rPr>
        <w:t>8</w:t>
      </w:r>
      <w:r w:rsidR="00F5062B">
        <w:rPr>
          <w:rFonts w:ascii="Arial" w:hAnsi="Arial" w:cs="Arial"/>
          <w:sz w:val="24"/>
          <w:szCs w:val="24"/>
        </w:rPr>
        <w:t>-</w:t>
      </w:r>
      <w:r w:rsidR="00253D9C">
        <w:rPr>
          <w:rFonts w:ascii="Arial" w:hAnsi="Arial" w:cs="Arial"/>
          <w:sz w:val="24"/>
          <w:szCs w:val="24"/>
        </w:rPr>
        <w:t>1</w:t>
      </w:r>
      <w:r w:rsidR="00F5062B">
        <w:rPr>
          <w:rFonts w:ascii="Arial" w:hAnsi="Arial" w:cs="Arial"/>
          <w:sz w:val="24"/>
          <w:szCs w:val="24"/>
        </w:rPr>
        <w:t>0</w:t>
      </w:r>
      <w:r w:rsidR="00B053C0">
        <w:rPr>
          <w:rFonts w:ascii="Arial" w:hAnsi="Arial" w:cs="Arial"/>
          <w:sz w:val="24"/>
          <w:szCs w:val="24"/>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w:t>
      </w:r>
      <w:r w:rsidRPr="00253D9C">
        <w:rPr>
          <w:rFonts w:ascii="Arial" w:hAnsi="Arial" w:cs="Arial"/>
          <w:b/>
          <w:sz w:val="24"/>
          <w:szCs w:val="24"/>
        </w:rPr>
        <w:t>201</w:t>
      </w:r>
      <w:r w:rsidR="00F5062B" w:rsidRPr="00253D9C">
        <w:rPr>
          <w:rFonts w:ascii="Arial" w:hAnsi="Arial" w:cs="Arial"/>
          <w:b/>
          <w:sz w:val="24"/>
          <w:szCs w:val="24"/>
        </w:rPr>
        <w:t>7</w:t>
      </w:r>
      <w:r w:rsidRPr="00253D9C">
        <w:rPr>
          <w:rFonts w:ascii="Arial" w:hAnsi="Arial" w:cs="Arial"/>
          <w:b/>
          <w:sz w:val="24"/>
          <w:szCs w:val="24"/>
        </w:rPr>
        <w:t>-0</w:t>
      </w:r>
      <w:r w:rsidR="00253D9C" w:rsidRPr="00253D9C">
        <w:rPr>
          <w:rFonts w:ascii="Arial" w:hAnsi="Arial" w:cs="Arial"/>
          <w:b/>
          <w:sz w:val="24"/>
          <w:szCs w:val="24"/>
        </w:rPr>
        <w:t>1</w:t>
      </w:r>
      <w:r w:rsidR="00F5062B" w:rsidRPr="00253D9C">
        <w:rPr>
          <w:rFonts w:ascii="Arial" w:hAnsi="Arial" w:cs="Arial"/>
          <w:b/>
          <w:sz w:val="24"/>
          <w:szCs w:val="24"/>
        </w:rPr>
        <w:t>0</w:t>
      </w:r>
      <w:r w:rsidR="00253D9C" w:rsidRPr="00253D9C">
        <w:rPr>
          <w:rFonts w:ascii="Arial" w:hAnsi="Arial" w:cs="Arial"/>
          <w:b/>
          <w:sz w:val="24"/>
          <w:szCs w:val="24"/>
        </w:rPr>
        <w:t>7</w:t>
      </w:r>
      <w:r w:rsidR="00F5062B" w:rsidRPr="00253D9C">
        <w:rPr>
          <w:rFonts w:ascii="Arial" w:hAnsi="Arial" w:cs="Arial"/>
          <w:b/>
          <w:sz w:val="24"/>
          <w:szCs w:val="24"/>
        </w:rPr>
        <w:t>0</w:t>
      </w:r>
      <w:r w:rsidR="00F5062B"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2B47BD">
        <w:rPr>
          <w:rFonts w:ascii="Arial" w:hAnsi="Arial" w:cs="Arial"/>
          <w:szCs w:val="24"/>
          <w:lang w:val="es-ES" w:eastAsia="es-ES"/>
        </w:rPr>
        <w:t>LEANDRO GIRALDO</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2B47BD">
        <w:rPr>
          <w:rFonts w:ascii="Arial" w:hAnsi="Arial" w:cs="Arial"/>
          <w:szCs w:val="26"/>
          <w:lang w:val="es-ES" w:eastAsia="es-ES"/>
        </w:rPr>
        <w:t>SEGUND</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F5062B">
        <w:rPr>
          <w:rFonts w:ascii="Arial" w:hAnsi="Arial" w:cs="Arial"/>
          <w:szCs w:val="28"/>
          <w:lang w:val="es-ES" w:eastAsia="es-ES"/>
        </w:rPr>
        <w:t>PEREIRA,</w:t>
      </w:r>
      <w:r w:rsidR="00F5062B">
        <w:rPr>
          <w:rFonts w:ascii="Arial" w:hAnsi="Arial" w:cs="Arial"/>
          <w:sz w:val="26"/>
          <w:szCs w:val="26"/>
          <w:lang w:val="es-ES" w:eastAsia="es-ES"/>
        </w:rPr>
        <w:t xml:space="preserve"> 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w:t>
      </w:r>
      <w:r w:rsidR="00BE0084">
        <w:rPr>
          <w:rFonts w:ascii="Arial" w:hAnsi="Arial" w:cs="Arial"/>
          <w:sz w:val="26"/>
          <w:szCs w:val="26"/>
        </w:rPr>
        <w:t xml:space="preserve"> derecho fundamental a la igualdad</w:t>
      </w:r>
      <w:r>
        <w:rPr>
          <w:rFonts w:ascii="Arial" w:hAnsi="Arial" w:cs="Arial"/>
          <w:sz w:val="26"/>
          <w:szCs w:val="26"/>
        </w:rPr>
        <w:t xml:space="preserve">, </w:t>
      </w:r>
      <w:r w:rsidR="00BE0084">
        <w:rPr>
          <w:rFonts w:ascii="Arial" w:hAnsi="Arial" w:cs="Arial"/>
          <w:sz w:val="26"/>
          <w:szCs w:val="26"/>
        </w:rPr>
        <w:t xml:space="preserve">en el </w:t>
      </w:r>
      <w:r>
        <w:rPr>
          <w:rFonts w:ascii="Arial" w:hAnsi="Arial" w:cs="Arial"/>
          <w:sz w:val="26"/>
          <w:szCs w:val="26"/>
        </w:rPr>
        <w:t xml:space="preserve">trámite de la </w:t>
      </w:r>
      <w:r w:rsidR="0062309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62309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w:t>
      </w:r>
      <w:r w:rsidR="00B151EF">
        <w:rPr>
          <w:rFonts w:ascii="Arial" w:hAnsi="Arial" w:cs="Arial"/>
          <w:sz w:val="24"/>
          <w:szCs w:val="26"/>
        </w:rPr>
        <w:t>5</w:t>
      </w:r>
      <w:r w:rsidRPr="00244EF2">
        <w:rPr>
          <w:rFonts w:ascii="Arial" w:hAnsi="Arial" w:cs="Arial"/>
          <w:sz w:val="24"/>
          <w:szCs w:val="26"/>
        </w:rPr>
        <w:t>-</w:t>
      </w:r>
      <w:r w:rsidR="005B5A06">
        <w:rPr>
          <w:rFonts w:ascii="Arial" w:hAnsi="Arial" w:cs="Arial"/>
          <w:sz w:val="24"/>
          <w:szCs w:val="26"/>
        </w:rPr>
        <w:t>0</w:t>
      </w:r>
      <w:r w:rsidR="001F7FF9">
        <w:rPr>
          <w:rFonts w:ascii="Arial" w:hAnsi="Arial" w:cs="Arial"/>
          <w:b/>
          <w:sz w:val="24"/>
          <w:szCs w:val="26"/>
        </w:rPr>
        <w:t>1</w:t>
      </w:r>
      <w:r w:rsidR="00A85DAD">
        <w:rPr>
          <w:rFonts w:ascii="Arial" w:hAnsi="Arial" w:cs="Arial"/>
          <w:b/>
          <w:sz w:val="24"/>
          <w:szCs w:val="26"/>
        </w:rPr>
        <w:t>27</w:t>
      </w:r>
      <w:r w:rsidR="001F7FF9">
        <w:rPr>
          <w:rFonts w:ascii="Arial" w:hAnsi="Arial" w:cs="Arial"/>
          <w:b/>
          <w:sz w:val="24"/>
          <w:szCs w:val="26"/>
        </w:rPr>
        <w:t>4</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BE0084" w:rsidRPr="000905F6">
        <w:rPr>
          <w:rFonts w:ascii="Arial" w:hAnsi="Arial" w:cs="Arial"/>
          <w:sz w:val="26"/>
          <w:szCs w:val="26"/>
        </w:rPr>
        <w:t>Adujo</w:t>
      </w:r>
      <w:r w:rsidR="00BE0084">
        <w:rPr>
          <w:rFonts w:ascii="Arial" w:hAnsi="Arial" w:cs="Arial"/>
          <w:sz w:val="26"/>
          <w:szCs w:val="26"/>
        </w:rPr>
        <w:t xml:space="preserve"> que presentó la referida acción popular, la cual fue rechazada, pese a consignar que el domicilio de la accionada está en Pereira, desconociéndose lo contemplado en el artículo 16 de la Ley 472 de 1998 y un precedente de la Corte Suprema de Justicia que referencia</w:t>
      </w:r>
      <w:r>
        <w:rPr>
          <w:rFonts w:ascii="Arial" w:hAnsi="Arial" w:cs="Arial"/>
          <w:sz w:val="26"/>
          <w:szCs w:val="26"/>
        </w:rPr>
        <w:t>.</w:t>
      </w:r>
    </w:p>
    <w:p w:rsidR="001D44A8" w:rsidRDefault="001D44A8"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 xml:space="preserve">ordene </w:t>
      </w:r>
      <w:r w:rsidR="008E35B4">
        <w:rPr>
          <w:rFonts w:ascii="Arial" w:hAnsi="Arial" w:cs="Arial"/>
          <w:sz w:val="26"/>
          <w:szCs w:val="26"/>
        </w:rPr>
        <w:t>admitir su acción popular e investigar al funcionario accionado</w:t>
      </w:r>
      <w:r w:rsidR="00D62DC1">
        <w:rPr>
          <w:rFonts w:ascii="Arial" w:hAnsi="Arial" w:cs="Arial"/>
          <w:sz w:val="26"/>
          <w:szCs w:val="26"/>
        </w:rPr>
        <w:t xml:space="preserve"> </w:t>
      </w:r>
      <w:r w:rsidR="008E35B4">
        <w:rPr>
          <w:rFonts w:ascii="Arial" w:hAnsi="Arial" w:cs="Arial"/>
          <w:sz w:val="26"/>
          <w:szCs w:val="26"/>
        </w:rPr>
        <w:t>al</w:t>
      </w:r>
      <w:r w:rsidR="00186AF0">
        <w:rPr>
          <w:rFonts w:ascii="Arial" w:hAnsi="Arial" w:cs="Arial"/>
          <w:sz w:val="26"/>
          <w:szCs w:val="26"/>
        </w:rPr>
        <w:t xml:space="preserve"> desconocer</w:t>
      </w:r>
      <w:r w:rsidR="008E35B4">
        <w:rPr>
          <w:rFonts w:ascii="Arial" w:hAnsi="Arial" w:cs="Arial"/>
          <w:sz w:val="26"/>
          <w:szCs w:val="26"/>
        </w:rPr>
        <w:t xml:space="preserve"> normas de orden público, las cuales pide que se apliquen, así como</w:t>
      </w:r>
      <w:r w:rsidR="00186AF0">
        <w:rPr>
          <w:rFonts w:ascii="Arial" w:hAnsi="Arial" w:cs="Arial"/>
          <w:sz w:val="26"/>
          <w:szCs w:val="26"/>
        </w:rPr>
        <w:t xml:space="preserve"> lo</w:t>
      </w:r>
      <w:r w:rsidR="008E35B4">
        <w:rPr>
          <w:rFonts w:ascii="Arial" w:hAnsi="Arial" w:cs="Arial"/>
          <w:sz w:val="26"/>
          <w:szCs w:val="26"/>
        </w:rPr>
        <w:t>s “cientos de conflictos” (sic) resueltos por</w:t>
      </w:r>
      <w:r w:rsidR="00186AF0">
        <w:rPr>
          <w:rFonts w:ascii="Arial" w:hAnsi="Arial" w:cs="Arial"/>
          <w:sz w:val="26"/>
          <w:szCs w:val="26"/>
        </w:rPr>
        <w:t xml:space="preserve"> la </w:t>
      </w:r>
      <w:r w:rsidR="00186AF0" w:rsidRPr="00186AF0">
        <w:rPr>
          <w:rFonts w:ascii="Arial" w:hAnsi="Arial" w:cs="Arial"/>
          <w:sz w:val="26"/>
          <w:szCs w:val="26"/>
        </w:rPr>
        <w:t>Corte Suprema de Justicia</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F0613A" w:rsidRDefault="00B24AE7"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912410">
        <w:rPr>
          <w:rFonts w:ascii="Arial" w:hAnsi="Arial" w:cs="Arial"/>
          <w:sz w:val="26"/>
          <w:szCs w:val="26"/>
          <w:lang w:val="es-ES"/>
        </w:rPr>
        <w:t xml:space="preserve">. </w:t>
      </w:r>
      <w:r w:rsidR="009B0A74">
        <w:rPr>
          <w:rFonts w:ascii="Arial" w:hAnsi="Arial" w:cs="Arial"/>
          <w:sz w:val="26"/>
          <w:szCs w:val="26"/>
          <w:lang w:val="es-ES"/>
        </w:rPr>
        <w:t>La Alcaldía de Pere</w:t>
      </w:r>
      <w:r>
        <w:rPr>
          <w:rFonts w:ascii="Arial" w:hAnsi="Arial" w:cs="Arial"/>
          <w:sz w:val="26"/>
          <w:szCs w:val="26"/>
          <w:lang w:val="es-ES"/>
        </w:rPr>
        <w:t>ira, por intermedio de apoderado</w:t>
      </w:r>
      <w:r w:rsidR="009B0A74">
        <w:rPr>
          <w:rFonts w:ascii="Arial" w:hAnsi="Arial" w:cs="Arial"/>
          <w:sz w:val="26"/>
          <w:szCs w:val="26"/>
          <w:lang w:val="es-ES"/>
        </w:rPr>
        <w:t xml:space="preserve"> judicial</w:t>
      </w:r>
      <w:r w:rsidR="009B0A74" w:rsidRPr="00F0613A">
        <w:rPr>
          <w:rFonts w:ascii="Arial" w:hAnsi="Arial" w:cs="Arial"/>
          <w:sz w:val="26"/>
          <w:szCs w:val="26"/>
          <w:lang w:val="es-ES"/>
        </w:rPr>
        <w:t>,</w:t>
      </w:r>
      <w:r w:rsidR="009B0A74">
        <w:rPr>
          <w:rFonts w:ascii="Arial" w:hAnsi="Arial" w:cs="Arial"/>
          <w:sz w:val="26"/>
          <w:szCs w:val="26"/>
          <w:lang w:val="es-ES"/>
        </w:rPr>
        <w:t xml:space="preserve"> </w:t>
      </w:r>
      <w:r w:rsidR="009B0A74" w:rsidRPr="00273CD0">
        <w:rPr>
          <w:rFonts w:ascii="Arial" w:hAnsi="Arial" w:cs="Arial"/>
          <w:sz w:val="26"/>
          <w:szCs w:val="26"/>
          <w:lang w:val="es-ES"/>
        </w:rPr>
        <w:t xml:space="preserve">invoca </w:t>
      </w:r>
      <w:r w:rsidR="009B0A74">
        <w:rPr>
          <w:rFonts w:ascii="Arial" w:hAnsi="Arial" w:cs="Arial"/>
          <w:sz w:val="26"/>
          <w:szCs w:val="26"/>
          <w:lang w:val="es-ES"/>
        </w:rPr>
        <w:t xml:space="preserve">como </w:t>
      </w:r>
      <w:r w:rsidR="00F37DAA">
        <w:rPr>
          <w:rFonts w:ascii="Arial" w:hAnsi="Arial" w:cs="Arial"/>
          <w:sz w:val="26"/>
          <w:szCs w:val="26"/>
          <w:lang w:val="es-ES"/>
        </w:rPr>
        <w:t>excepción</w:t>
      </w:r>
      <w:r w:rsidR="009B0A74">
        <w:rPr>
          <w:rFonts w:ascii="Arial" w:hAnsi="Arial" w:cs="Arial"/>
          <w:sz w:val="26"/>
          <w:szCs w:val="26"/>
          <w:lang w:val="es-ES"/>
        </w:rPr>
        <w:t xml:space="preserve"> </w:t>
      </w:r>
      <w:r w:rsidR="009B0A74" w:rsidRPr="00273CD0">
        <w:rPr>
          <w:rFonts w:ascii="Arial" w:hAnsi="Arial" w:cs="Arial"/>
          <w:sz w:val="26"/>
          <w:szCs w:val="26"/>
          <w:lang w:val="es-ES"/>
        </w:rPr>
        <w:t>la falta de legitimación en la causa por pasiva</w:t>
      </w:r>
      <w:r w:rsidR="009B0A74">
        <w:rPr>
          <w:rFonts w:ascii="Arial" w:hAnsi="Arial" w:cs="Arial"/>
          <w:sz w:val="26"/>
          <w:szCs w:val="26"/>
          <w:lang w:val="es-ES"/>
        </w:rPr>
        <w:t>. Pidió desvincular a</w:t>
      </w:r>
      <w:r w:rsidR="009B0A74" w:rsidRPr="00273CD0">
        <w:rPr>
          <w:rFonts w:ascii="Arial" w:hAnsi="Arial" w:cs="Arial"/>
          <w:sz w:val="26"/>
          <w:szCs w:val="26"/>
          <w:lang w:val="es-ES"/>
        </w:rPr>
        <w:t>l ente territorial</w:t>
      </w:r>
      <w:r w:rsidR="009B0A74">
        <w:rPr>
          <w:rFonts w:ascii="Arial" w:hAnsi="Arial" w:cs="Arial"/>
          <w:sz w:val="26"/>
          <w:szCs w:val="26"/>
          <w:lang w:val="es-ES"/>
        </w:rPr>
        <w:t xml:space="preserve"> de la acción de tutela</w:t>
      </w:r>
      <w:r w:rsidR="006653DE">
        <w:rPr>
          <w:rFonts w:ascii="Arial" w:hAnsi="Arial" w:cs="Arial"/>
          <w:sz w:val="26"/>
          <w:szCs w:val="26"/>
          <w:lang w:val="es-ES"/>
        </w:rPr>
        <w:t xml:space="preserve"> </w:t>
      </w:r>
      <w:r w:rsidR="006653DE" w:rsidRPr="00F0613A">
        <w:rPr>
          <w:rFonts w:ascii="Arial" w:hAnsi="Arial" w:cs="Arial"/>
          <w:sz w:val="26"/>
          <w:szCs w:val="26"/>
          <w:lang w:val="es-ES"/>
        </w:rPr>
        <w:t xml:space="preserve">y </w:t>
      </w:r>
      <w:r w:rsidR="006653DE">
        <w:rPr>
          <w:rFonts w:ascii="Arial" w:hAnsi="Arial" w:cs="Arial"/>
          <w:sz w:val="26"/>
          <w:szCs w:val="26"/>
          <w:lang w:val="es-ES"/>
        </w:rPr>
        <w:t>en caso de configurarse mala fe o temeridad del actor, imponer las sanciones a que haya lugar</w:t>
      </w:r>
      <w:r w:rsidR="009B0A74">
        <w:rPr>
          <w:rFonts w:ascii="Arial" w:hAnsi="Arial" w:cs="Arial"/>
          <w:sz w:val="26"/>
          <w:szCs w:val="26"/>
          <w:lang w:val="es-ES"/>
        </w:rPr>
        <w:t>.</w:t>
      </w:r>
      <w:r w:rsidR="00912410">
        <w:rPr>
          <w:rFonts w:ascii="Arial" w:hAnsi="Arial" w:cs="Arial"/>
          <w:sz w:val="26"/>
          <w:szCs w:val="26"/>
          <w:lang w:val="es-ES"/>
        </w:rPr>
        <w:t xml:space="preserve"> (</w:t>
      </w:r>
      <w:proofErr w:type="spellStart"/>
      <w:r w:rsidR="00912410">
        <w:rPr>
          <w:rFonts w:ascii="Arial" w:hAnsi="Arial" w:cs="Arial"/>
          <w:sz w:val="26"/>
          <w:szCs w:val="26"/>
          <w:lang w:val="es-ES"/>
        </w:rPr>
        <w:t>fls</w:t>
      </w:r>
      <w:proofErr w:type="spellEnd"/>
      <w:r w:rsidR="00912410">
        <w:rPr>
          <w:rFonts w:ascii="Arial" w:hAnsi="Arial" w:cs="Arial"/>
          <w:sz w:val="26"/>
          <w:szCs w:val="26"/>
          <w:lang w:val="es-ES"/>
        </w:rPr>
        <w:t xml:space="preserve">. </w:t>
      </w:r>
      <w:r>
        <w:rPr>
          <w:rFonts w:ascii="Arial" w:hAnsi="Arial" w:cs="Arial"/>
          <w:sz w:val="26"/>
          <w:szCs w:val="26"/>
          <w:lang w:val="es-ES"/>
        </w:rPr>
        <w:t>8</w:t>
      </w:r>
      <w:r w:rsidR="009B0A74">
        <w:rPr>
          <w:rFonts w:ascii="Arial" w:hAnsi="Arial" w:cs="Arial"/>
          <w:sz w:val="26"/>
          <w:szCs w:val="26"/>
          <w:lang w:val="es-ES"/>
        </w:rPr>
        <w:t>-</w:t>
      </w:r>
      <w:r>
        <w:rPr>
          <w:rFonts w:ascii="Arial" w:hAnsi="Arial" w:cs="Arial"/>
          <w:sz w:val="26"/>
          <w:szCs w:val="26"/>
          <w:lang w:val="es-ES"/>
        </w:rPr>
        <w:t>9</w:t>
      </w:r>
      <w:r w:rsidR="00912410"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B24AE7" w:rsidRPr="00185EFF" w:rsidRDefault="00B24AE7" w:rsidP="00B24AE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LEANDRO GIRALDO</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18</w:t>
      </w:r>
      <w:r w:rsidRPr="000905F6">
        <w:rPr>
          <w:rFonts w:ascii="Arial" w:hAnsi="Arial" w:cs="Arial"/>
          <w:sz w:val="28"/>
          <w:szCs w:val="28"/>
          <w:lang w:val="es-ES"/>
        </w:rPr>
        <w:t>).</w:t>
      </w:r>
    </w:p>
    <w:p w:rsidR="001D44A8"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4.3.</w:t>
      </w:r>
      <w:r w:rsidR="001D44A8">
        <w:rPr>
          <w:rFonts w:ascii="Arial" w:hAnsi="Arial" w:cs="Arial"/>
          <w:sz w:val="26"/>
          <w:szCs w:val="26"/>
          <w:lang w:val="es-ES"/>
        </w:rPr>
        <w:t xml:space="preserve"> Por su parte, el Juzgado </w:t>
      </w:r>
      <w:r w:rsidR="00A85DAD">
        <w:rPr>
          <w:rFonts w:ascii="Arial" w:hAnsi="Arial" w:cs="Arial"/>
          <w:sz w:val="26"/>
          <w:szCs w:val="26"/>
          <w:lang w:val="es-ES"/>
        </w:rPr>
        <w:t>Segund</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1D44A8" w:rsidRPr="001D44A8" w:rsidRDefault="001D44A8" w:rsidP="00D631D5">
      <w:pPr>
        <w:pStyle w:val="Sinespaciado1"/>
        <w:spacing w:line="360" w:lineRule="auto"/>
        <w:ind w:firstLine="2835"/>
        <w:jc w:val="both"/>
        <w:rPr>
          <w:rFonts w:ascii="Arial" w:hAnsi="Arial" w:cs="Arial"/>
          <w:sz w:val="16"/>
          <w:szCs w:val="16"/>
          <w:lang w:val="es-ES"/>
        </w:rPr>
      </w:pPr>
    </w:p>
    <w:p w:rsidR="001A040E" w:rsidRPr="00D631D5" w:rsidRDefault="001D44A8"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4.4.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B24AE7" w:rsidRDefault="00B24AE7" w:rsidP="0047357B">
      <w:pPr>
        <w:pStyle w:val="Sinespaciado1"/>
        <w:spacing w:line="360" w:lineRule="auto"/>
        <w:ind w:firstLine="2832"/>
        <w:jc w:val="both"/>
        <w:rPr>
          <w:rFonts w:ascii="Arial" w:hAnsi="Arial" w:cs="Arial"/>
          <w:sz w:val="16"/>
          <w:szCs w:val="16"/>
        </w:rPr>
      </w:pPr>
    </w:p>
    <w:p w:rsidR="00B24AE7" w:rsidRPr="00B24AE7" w:rsidRDefault="00B24AE7" w:rsidP="00B24AE7">
      <w:pPr>
        <w:rPr>
          <w:lang w:val="es-CO" w:eastAsia="en-US"/>
        </w:rPr>
      </w:pPr>
    </w:p>
    <w:p w:rsidR="0047357B" w:rsidRPr="00B24AE7" w:rsidRDefault="00B24AE7" w:rsidP="00B24AE7">
      <w:pPr>
        <w:tabs>
          <w:tab w:val="left" w:pos="5370"/>
        </w:tabs>
        <w:rPr>
          <w:lang w:val="es-CO" w:eastAsia="en-US"/>
        </w:rPr>
      </w:pPr>
      <w:r>
        <w:rPr>
          <w:lang w:val="es-CO" w:eastAsia="en-US"/>
        </w:rPr>
        <w:tab/>
      </w: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A85DAD">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vulneró</w:t>
      </w:r>
      <w:r w:rsidR="00A513F5">
        <w:rPr>
          <w:rFonts w:ascii="Arial" w:hAnsi="Arial" w:cs="Arial"/>
          <w:sz w:val="26"/>
          <w:szCs w:val="26"/>
        </w:rPr>
        <w:t xml:space="preserve"> el derecho fundamental a la igualdad </w:t>
      </w:r>
      <w:r>
        <w:rPr>
          <w:rFonts w:ascii="Arial" w:hAnsi="Arial" w:cs="Arial"/>
          <w:sz w:val="26"/>
          <w:szCs w:val="26"/>
        </w:rPr>
        <w:t>del actor</w:t>
      </w:r>
      <w:r w:rsidR="00A513F5">
        <w:rPr>
          <w:rFonts w:ascii="Arial" w:hAnsi="Arial" w:cs="Arial"/>
          <w:sz w:val="26"/>
          <w:szCs w:val="26"/>
        </w:rPr>
        <w:t>,</w:t>
      </w:r>
      <w:r>
        <w:rPr>
          <w:rFonts w:ascii="Arial" w:hAnsi="Arial" w:cs="Arial"/>
          <w:sz w:val="26"/>
          <w:szCs w:val="26"/>
        </w:rPr>
        <w:t xml:space="preserve"> </w:t>
      </w:r>
      <w:r w:rsidR="00A513F5">
        <w:rPr>
          <w:rFonts w:ascii="Arial" w:hAnsi="Arial" w:cs="Arial"/>
          <w:sz w:val="26"/>
          <w:szCs w:val="26"/>
        </w:rPr>
        <w:t xml:space="preserve">en el </w:t>
      </w:r>
      <w:r>
        <w:rPr>
          <w:rFonts w:ascii="Arial" w:hAnsi="Arial" w:cs="Arial"/>
          <w:sz w:val="26"/>
          <w:szCs w:val="26"/>
        </w:rPr>
        <w:t xml:space="preserve">trámite de la </w:t>
      </w:r>
      <w:r w:rsidR="005A5D34">
        <w:rPr>
          <w:rFonts w:ascii="Arial" w:hAnsi="Arial" w:cs="Arial"/>
          <w:sz w:val="26"/>
          <w:szCs w:val="26"/>
        </w:rPr>
        <w:t>acción</w:t>
      </w:r>
      <w:r>
        <w:rPr>
          <w:rFonts w:ascii="Arial" w:hAnsi="Arial" w:cs="Arial"/>
          <w:sz w:val="26"/>
          <w:szCs w:val="26"/>
        </w:rPr>
        <w:t xml:space="preserve"> popular con radicado número </w:t>
      </w:r>
      <w:r w:rsidR="007E531B" w:rsidRPr="00244EF2">
        <w:rPr>
          <w:rFonts w:ascii="Arial" w:hAnsi="Arial" w:cs="Arial"/>
          <w:sz w:val="24"/>
          <w:szCs w:val="26"/>
        </w:rPr>
        <w:t>201</w:t>
      </w:r>
      <w:r w:rsidR="001D44A8">
        <w:rPr>
          <w:rFonts w:ascii="Arial" w:hAnsi="Arial" w:cs="Arial"/>
          <w:sz w:val="24"/>
          <w:szCs w:val="26"/>
        </w:rPr>
        <w:t>5</w:t>
      </w:r>
      <w:r w:rsidR="007E531B" w:rsidRPr="00244EF2">
        <w:rPr>
          <w:rFonts w:ascii="Arial" w:hAnsi="Arial" w:cs="Arial"/>
          <w:sz w:val="24"/>
          <w:szCs w:val="26"/>
        </w:rPr>
        <w:t>-</w:t>
      </w:r>
      <w:r w:rsidR="001D44A8">
        <w:rPr>
          <w:rFonts w:ascii="Arial" w:hAnsi="Arial" w:cs="Arial"/>
          <w:sz w:val="24"/>
          <w:szCs w:val="26"/>
        </w:rPr>
        <w:t>0</w:t>
      </w:r>
      <w:r w:rsidR="001D44A8">
        <w:rPr>
          <w:rFonts w:ascii="Arial" w:hAnsi="Arial" w:cs="Arial"/>
          <w:b/>
          <w:sz w:val="24"/>
          <w:szCs w:val="26"/>
        </w:rPr>
        <w:t>1</w:t>
      </w:r>
      <w:r w:rsidR="00A85DAD">
        <w:rPr>
          <w:rFonts w:ascii="Arial" w:hAnsi="Arial" w:cs="Arial"/>
          <w:b/>
          <w:sz w:val="24"/>
          <w:szCs w:val="26"/>
        </w:rPr>
        <w:t>27</w:t>
      </w:r>
      <w:r w:rsidR="001D44A8">
        <w:rPr>
          <w:rFonts w:ascii="Arial" w:hAnsi="Arial" w:cs="Arial"/>
          <w:b/>
          <w:sz w:val="24"/>
          <w:szCs w:val="26"/>
        </w:rPr>
        <w:t>4</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5E69C2" w:rsidRPr="00C30A3B" w:rsidRDefault="005E69C2"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w:t>
      </w:r>
      <w:r w:rsidR="00A85DAD">
        <w:rPr>
          <w:rFonts w:ascii="Arial" w:hAnsi="Arial" w:cs="Arial"/>
          <w:sz w:val="26"/>
          <w:szCs w:val="26"/>
        </w:rPr>
        <w:t xml:space="preserve"> en el disco compacto anexo</w:t>
      </w:r>
      <w:r w:rsidR="005A5D34">
        <w:rPr>
          <w:rFonts w:ascii="Arial" w:hAnsi="Arial" w:cs="Arial"/>
          <w:sz w:val="26"/>
          <w:szCs w:val="26"/>
        </w:rPr>
        <w:t xml:space="preserve"> a folio </w:t>
      </w:r>
      <w:r w:rsidR="00A85DAD">
        <w:rPr>
          <w:rFonts w:ascii="Arial" w:hAnsi="Arial" w:cs="Arial"/>
          <w:sz w:val="26"/>
          <w:szCs w:val="26"/>
        </w:rPr>
        <w:t>17 del expediente</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A81CAE">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w:t>
      </w:r>
      <w:r w:rsidR="00315741">
        <w:rPr>
          <w:rFonts w:ascii="Arial" w:hAnsi="Arial" w:cs="Arial"/>
          <w:sz w:val="26"/>
          <w:szCs w:val="26"/>
        </w:rPr>
        <w:t xml:space="preserve">con radicado número </w:t>
      </w:r>
      <w:r w:rsidR="00315741" w:rsidRPr="00244EF2">
        <w:rPr>
          <w:rFonts w:ascii="Arial" w:hAnsi="Arial" w:cs="Arial"/>
          <w:sz w:val="24"/>
          <w:szCs w:val="26"/>
        </w:rPr>
        <w:t>201</w:t>
      </w:r>
      <w:r w:rsidR="00315741">
        <w:rPr>
          <w:rFonts w:ascii="Arial" w:hAnsi="Arial" w:cs="Arial"/>
          <w:sz w:val="24"/>
          <w:szCs w:val="26"/>
        </w:rPr>
        <w:t>5</w:t>
      </w:r>
      <w:r w:rsidR="00315741" w:rsidRPr="00244EF2">
        <w:rPr>
          <w:rFonts w:ascii="Arial" w:hAnsi="Arial" w:cs="Arial"/>
          <w:sz w:val="24"/>
          <w:szCs w:val="26"/>
        </w:rPr>
        <w:t>-</w:t>
      </w:r>
      <w:r w:rsidR="00315741">
        <w:rPr>
          <w:rFonts w:ascii="Arial" w:hAnsi="Arial" w:cs="Arial"/>
          <w:sz w:val="24"/>
          <w:szCs w:val="26"/>
        </w:rPr>
        <w:t>0</w:t>
      </w:r>
      <w:r w:rsidR="00315741">
        <w:rPr>
          <w:rFonts w:ascii="Arial" w:hAnsi="Arial" w:cs="Arial"/>
          <w:b/>
          <w:sz w:val="24"/>
          <w:szCs w:val="26"/>
        </w:rPr>
        <w:t>1274</w:t>
      </w:r>
      <w:r>
        <w:rPr>
          <w:rFonts w:ascii="Arial" w:hAnsi="Arial" w:cs="Arial"/>
          <w:sz w:val="26"/>
          <w:szCs w:val="26"/>
          <w:lang w:val="es-ES_tradnl"/>
        </w:rPr>
        <w:t>,</w:t>
      </w:r>
      <w:r w:rsidRPr="009E0AFC">
        <w:rPr>
          <w:rFonts w:ascii="Arial" w:hAnsi="Arial" w:cs="Arial"/>
          <w:sz w:val="26"/>
          <w:szCs w:val="26"/>
        </w:rPr>
        <w:t xml:space="preserve"> </w:t>
      </w:r>
      <w:r w:rsidR="00315741">
        <w:rPr>
          <w:rFonts w:ascii="Arial" w:hAnsi="Arial" w:cs="Arial"/>
          <w:sz w:val="26"/>
          <w:szCs w:val="26"/>
        </w:rPr>
        <w:t xml:space="preserve">acumulada con otras dos más, </w:t>
      </w:r>
      <w:r w:rsidRPr="009E0AFC">
        <w:rPr>
          <w:rFonts w:ascii="Arial" w:hAnsi="Arial" w:cs="Arial"/>
          <w:sz w:val="26"/>
          <w:szCs w:val="26"/>
        </w:rPr>
        <w:t>en la que funge como demandante</w:t>
      </w:r>
      <w:r>
        <w:rPr>
          <w:rFonts w:ascii="Arial" w:hAnsi="Arial" w:cs="Arial"/>
          <w:sz w:val="26"/>
          <w:szCs w:val="26"/>
        </w:rPr>
        <w:t xml:space="preserve"> el señor </w:t>
      </w:r>
      <w:r w:rsidR="001D44A8" w:rsidRPr="00A85DAD">
        <w:rPr>
          <w:rFonts w:ascii="Arial" w:hAnsi="Arial" w:cs="Arial"/>
          <w:sz w:val="24"/>
          <w:szCs w:val="26"/>
          <w:lang w:val="es-ES_tradnl"/>
        </w:rPr>
        <w:t>LEANDRO GIRALDO</w:t>
      </w:r>
      <w:r w:rsidR="001D44A8">
        <w:rPr>
          <w:rFonts w:ascii="Arial" w:hAnsi="Arial" w:cs="Arial"/>
          <w:szCs w:val="26"/>
          <w:lang w:val="es-ES_tradnl"/>
        </w:rPr>
        <w:t>,</w:t>
      </w:r>
      <w:r w:rsidR="001D44A8" w:rsidRPr="009E0AFC">
        <w:rPr>
          <w:rFonts w:ascii="Arial" w:hAnsi="Arial" w:cs="Arial"/>
          <w:szCs w:val="26"/>
          <w:lang w:val="es-ES_tradnl"/>
        </w:rPr>
        <w:t xml:space="preserve"> </w:t>
      </w:r>
      <w:r w:rsidR="001D44A8">
        <w:rPr>
          <w:rFonts w:ascii="Arial" w:hAnsi="Arial" w:cs="Arial"/>
          <w:sz w:val="26"/>
          <w:szCs w:val="26"/>
          <w:lang w:val="es-ES_tradnl"/>
        </w:rPr>
        <w:t xml:space="preserve">contra el banco </w:t>
      </w:r>
      <w:r w:rsidR="001D44A8" w:rsidRPr="00A85DAD">
        <w:rPr>
          <w:rFonts w:ascii="Arial" w:hAnsi="Arial" w:cs="Arial"/>
          <w:sz w:val="22"/>
          <w:szCs w:val="22"/>
        </w:rPr>
        <w:t xml:space="preserve">BANCOLOMBIA </w:t>
      </w:r>
      <w:proofErr w:type="spellStart"/>
      <w:r w:rsidR="001D44A8" w:rsidRPr="00A85DAD">
        <w:rPr>
          <w:rFonts w:ascii="Arial" w:hAnsi="Arial" w:cs="Arial"/>
          <w:sz w:val="22"/>
          <w:szCs w:val="22"/>
        </w:rPr>
        <w:t>SA</w:t>
      </w:r>
      <w:proofErr w:type="spellEnd"/>
      <w:r w:rsidR="001D44A8">
        <w:rPr>
          <w:rFonts w:ascii="Arial" w:hAnsi="Arial" w:cs="Arial"/>
          <w:szCs w:val="26"/>
        </w:rPr>
        <w:t xml:space="preserve">, </w:t>
      </w:r>
      <w:r w:rsidR="001D44A8" w:rsidRPr="007C62B6">
        <w:rPr>
          <w:rFonts w:ascii="Arial" w:hAnsi="Arial" w:cs="Arial"/>
          <w:sz w:val="26"/>
          <w:szCs w:val="26"/>
        </w:rPr>
        <w:t>en</w:t>
      </w:r>
      <w:r w:rsidR="001D44A8">
        <w:rPr>
          <w:rFonts w:ascii="Arial" w:hAnsi="Arial" w:cs="Arial"/>
          <w:sz w:val="26"/>
          <w:szCs w:val="26"/>
        </w:rPr>
        <w:t xml:space="preserve"> la</w:t>
      </w:r>
      <w:r w:rsidR="001D44A8" w:rsidRPr="007C62B6">
        <w:rPr>
          <w:rFonts w:ascii="Arial" w:hAnsi="Arial" w:cs="Arial"/>
          <w:sz w:val="26"/>
          <w:szCs w:val="26"/>
        </w:rPr>
        <w:t xml:space="preserve"> que se indicó como sitio de vulneración</w:t>
      </w:r>
      <w:r w:rsidR="00A81CAE">
        <w:rPr>
          <w:rFonts w:ascii="Arial" w:hAnsi="Arial" w:cs="Arial"/>
          <w:sz w:val="26"/>
          <w:szCs w:val="26"/>
        </w:rPr>
        <w:t xml:space="preserve"> la ciudad de</w:t>
      </w:r>
      <w:r w:rsidR="001D44A8" w:rsidRPr="007C62B6">
        <w:rPr>
          <w:rFonts w:ascii="Arial" w:hAnsi="Arial" w:cs="Arial"/>
          <w:sz w:val="26"/>
          <w:szCs w:val="26"/>
        </w:rPr>
        <w:t xml:space="preserve"> </w:t>
      </w:r>
      <w:r w:rsidR="00315741">
        <w:rPr>
          <w:rFonts w:ascii="Arial" w:hAnsi="Arial" w:cs="Arial"/>
          <w:sz w:val="26"/>
          <w:szCs w:val="26"/>
        </w:rPr>
        <w:t>Yopal</w:t>
      </w:r>
      <w:r w:rsidR="00A81CAE">
        <w:rPr>
          <w:rFonts w:ascii="Arial" w:hAnsi="Arial" w:cs="Arial"/>
          <w:sz w:val="26"/>
          <w:szCs w:val="26"/>
        </w:rPr>
        <w:t xml:space="preserve">, </w:t>
      </w:r>
      <w:r w:rsidR="00315741">
        <w:rPr>
          <w:rFonts w:ascii="Arial" w:hAnsi="Arial" w:cs="Arial"/>
          <w:sz w:val="26"/>
          <w:szCs w:val="26"/>
        </w:rPr>
        <w:t>Casanare</w:t>
      </w:r>
      <w:r w:rsidR="00A81CAE">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315741">
        <w:rPr>
          <w:rFonts w:ascii="Arial" w:hAnsi="Arial" w:cs="Arial"/>
          <w:sz w:val="26"/>
          <w:szCs w:val="26"/>
        </w:rPr>
        <w:t>19</w:t>
      </w:r>
      <w:r w:rsidR="005A5D34">
        <w:rPr>
          <w:rFonts w:ascii="Arial" w:hAnsi="Arial" w:cs="Arial"/>
          <w:sz w:val="26"/>
          <w:szCs w:val="26"/>
        </w:rPr>
        <w:t xml:space="preserve"> de </w:t>
      </w:r>
      <w:r w:rsidR="00A81CAE">
        <w:rPr>
          <w:rFonts w:ascii="Arial" w:hAnsi="Arial" w:cs="Arial"/>
          <w:sz w:val="26"/>
          <w:szCs w:val="26"/>
        </w:rPr>
        <w:t>enero</w:t>
      </w:r>
      <w:r w:rsidR="005A5D34">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A81CAE">
        <w:rPr>
          <w:rFonts w:ascii="Arial" w:hAnsi="Arial" w:cs="Arial"/>
          <w:sz w:val="26"/>
          <w:szCs w:val="26"/>
        </w:rPr>
        <w:t>rechazó</w:t>
      </w:r>
      <w:r w:rsidR="00B151EF">
        <w:rPr>
          <w:rFonts w:ascii="Arial" w:hAnsi="Arial" w:cs="Arial"/>
          <w:sz w:val="26"/>
          <w:szCs w:val="26"/>
        </w:rPr>
        <w:t xml:space="preserve"> y o</w:t>
      </w:r>
      <w:r w:rsidR="00A81CAE">
        <w:rPr>
          <w:rFonts w:ascii="Arial" w:hAnsi="Arial" w:cs="Arial"/>
          <w:sz w:val="26"/>
          <w:szCs w:val="26"/>
        </w:rPr>
        <w:t>rdenó la remisión del expediente</w:t>
      </w:r>
      <w:r w:rsidR="00A81CAE" w:rsidRPr="007C62B6">
        <w:rPr>
          <w:rFonts w:ascii="Arial" w:hAnsi="Arial" w:cs="Arial"/>
          <w:sz w:val="26"/>
          <w:szCs w:val="26"/>
        </w:rPr>
        <w:t xml:space="preserve"> a la Oficina Judicial de </w:t>
      </w:r>
      <w:r w:rsidR="00EC4176">
        <w:rPr>
          <w:rFonts w:ascii="Arial" w:hAnsi="Arial" w:cs="Arial"/>
          <w:sz w:val="26"/>
          <w:szCs w:val="26"/>
        </w:rPr>
        <w:t xml:space="preserve">Yopal, </w:t>
      </w:r>
      <w:r w:rsidR="00A81CAE">
        <w:rPr>
          <w:rFonts w:ascii="Arial" w:hAnsi="Arial" w:cs="Arial"/>
          <w:sz w:val="26"/>
          <w:szCs w:val="26"/>
        </w:rPr>
        <w:t>para que fuera repartida</w:t>
      </w:r>
      <w:r w:rsidR="00A81CAE" w:rsidRPr="007C62B6">
        <w:rPr>
          <w:rFonts w:ascii="Arial" w:hAnsi="Arial" w:cs="Arial"/>
          <w:sz w:val="26"/>
          <w:szCs w:val="26"/>
        </w:rPr>
        <w:t xml:space="preserve"> ante los Juzgados Civiles del Circuito, por competencia</w:t>
      </w:r>
      <w:r w:rsidR="005A5D34">
        <w:rPr>
          <w:rFonts w:ascii="Arial" w:hAnsi="Arial" w:cs="Arial"/>
          <w:sz w:val="26"/>
          <w:szCs w:val="26"/>
        </w:rPr>
        <w:t xml:space="preserve">; providencia notificada por estado del </w:t>
      </w:r>
      <w:r w:rsidR="00466BD7">
        <w:rPr>
          <w:rFonts w:ascii="Arial" w:hAnsi="Arial" w:cs="Arial"/>
          <w:sz w:val="26"/>
          <w:szCs w:val="26"/>
        </w:rPr>
        <w:t>2</w:t>
      </w:r>
      <w:r w:rsidR="00EC4176">
        <w:rPr>
          <w:rFonts w:ascii="Arial" w:hAnsi="Arial" w:cs="Arial"/>
          <w:sz w:val="26"/>
          <w:szCs w:val="26"/>
        </w:rPr>
        <w:t>0</w:t>
      </w:r>
      <w:r w:rsidR="005A5D34">
        <w:rPr>
          <w:rFonts w:ascii="Arial" w:hAnsi="Arial" w:cs="Arial"/>
          <w:sz w:val="26"/>
          <w:szCs w:val="26"/>
        </w:rPr>
        <w:t xml:space="preserve"> de </w:t>
      </w:r>
      <w:r w:rsidR="00C1112A">
        <w:rPr>
          <w:rFonts w:ascii="Arial" w:hAnsi="Arial" w:cs="Arial"/>
          <w:sz w:val="26"/>
          <w:szCs w:val="26"/>
        </w:rPr>
        <w:t>enero</w:t>
      </w:r>
      <w:r w:rsidR="005A5D34">
        <w:rPr>
          <w:rFonts w:ascii="Arial" w:hAnsi="Arial" w:cs="Arial"/>
          <w:sz w:val="26"/>
          <w:szCs w:val="26"/>
        </w:rPr>
        <w:t xml:space="preserve"> siguiente </w:t>
      </w:r>
      <w:r w:rsidR="00C1112A" w:rsidRPr="007C62B6">
        <w:rPr>
          <w:rFonts w:ascii="Arial" w:hAnsi="Arial" w:cs="Arial"/>
          <w:sz w:val="26"/>
          <w:szCs w:val="26"/>
        </w:rPr>
        <w:t>(</w:t>
      </w:r>
      <w:proofErr w:type="spellStart"/>
      <w:r w:rsidR="00C1112A" w:rsidRPr="007C62B6">
        <w:rPr>
          <w:rFonts w:ascii="Arial" w:hAnsi="Arial" w:cs="Arial"/>
          <w:sz w:val="26"/>
          <w:szCs w:val="26"/>
        </w:rPr>
        <w:t>fls</w:t>
      </w:r>
      <w:proofErr w:type="spellEnd"/>
      <w:r w:rsidR="00C1112A" w:rsidRPr="007C62B6">
        <w:rPr>
          <w:rFonts w:ascii="Arial" w:hAnsi="Arial" w:cs="Arial"/>
          <w:sz w:val="26"/>
          <w:szCs w:val="26"/>
        </w:rPr>
        <w:t xml:space="preserve">. </w:t>
      </w:r>
      <w:r w:rsidR="00C1112A">
        <w:rPr>
          <w:rFonts w:ascii="Arial" w:hAnsi="Arial" w:cs="Arial"/>
          <w:sz w:val="26"/>
          <w:szCs w:val="26"/>
        </w:rPr>
        <w:t>1</w:t>
      </w:r>
      <w:r w:rsidR="00EC4176">
        <w:rPr>
          <w:rFonts w:ascii="Arial" w:hAnsi="Arial" w:cs="Arial"/>
          <w:sz w:val="26"/>
          <w:szCs w:val="26"/>
        </w:rPr>
        <w:t>1</w:t>
      </w:r>
      <w:r w:rsidR="00C1112A">
        <w:rPr>
          <w:rFonts w:ascii="Arial" w:hAnsi="Arial" w:cs="Arial"/>
          <w:sz w:val="26"/>
          <w:szCs w:val="26"/>
        </w:rPr>
        <w:t>-1</w:t>
      </w:r>
      <w:r w:rsidR="00EC4176">
        <w:rPr>
          <w:rFonts w:ascii="Arial" w:hAnsi="Arial" w:cs="Arial"/>
          <w:sz w:val="26"/>
          <w:szCs w:val="26"/>
        </w:rPr>
        <w:t>4</w:t>
      </w:r>
      <w:r w:rsidR="00C1112A">
        <w:rPr>
          <w:rFonts w:ascii="Arial" w:hAnsi="Arial" w:cs="Arial"/>
          <w:sz w:val="26"/>
          <w:szCs w:val="26"/>
        </w:rPr>
        <w:t>)</w:t>
      </w:r>
      <w:r w:rsidR="005A5D34">
        <w:rPr>
          <w:rFonts w:ascii="Arial" w:hAnsi="Arial" w:cs="Arial"/>
          <w:sz w:val="26"/>
          <w:szCs w:val="26"/>
        </w:rPr>
        <w:t>.</w:t>
      </w:r>
    </w:p>
    <w:p w:rsidR="005A5D34" w:rsidRPr="006F247E" w:rsidRDefault="005A5D34" w:rsidP="005A5D34">
      <w:pPr>
        <w:pStyle w:val="Sinespaciado1"/>
        <w:spacing w:line="360" w:lineRule="auto"/>
        <w:ind w:firstLine="2832"/>
        <w:jc w:val="both"/>
        <w:rPr>
          <w:rFonts w:ascii="Arial" w:hAnsi="Arial" w:cs="Arial"/>
          <w:sz w:val="16"/>
          <w:szCs w:val="26"/>
        </w:rPr>
      </w:pPr>
    </w:p>
    <w:p w:rsidR="00A81CAE" w:rsidRDefault="00C314D8" w:rsidP="00EC4176">
      <w:pPr>
        <w:pStyle w:val="Sinespaciado1"/>
        <w:spacing w:line="360" w:lineRule="auto"/>
        <w:ind w:firstLine="2832"/>
        <w:jc w:val="both"/>
        <w:rPr>
          <w:rFonts w:ascii="Arial" w:hAnsi="Arial" w:cs="Arial"/>
          <w:sz w:val="26"/>
          <w:szCs w:val="26"/>
        </w:rPr>
      </w:pPr>
      <w:r>
        <w:rPr>
          <w:rFonts w:ascii="Arial" w:hAnsi="Arial" w:cs="Arial"/>
          <w:sz w:val="26"/>
          <w:szCs w:val="26"/>
        </w:rPr>
        <w:t xml:space="preserve">(ii) </w:t>
      </w:r>
      <w:r w:rsidR="00EC4176">
        <w:rPr>
          <w:rFonts w:ascii="Arial" w:hAnsi="Arial" w:cs="Arial"/>
          <w:sz w:val="26"/>
          <w:szCs w:val="26"/>
        </w:rPr>
        <w:t xml:space="preserve">Al desatar el conflicto negativo de competencia que surgió entre los Juzgados Primero Civil del Circuito de </w:t>
      </w:r>
      <w:r w:rsidR="00BB6974">
        <w:rPr>
          <w:rFonts w:ascii="Arial" w:hAnsi="Arial" w:cs="Arial"/>
          <w:sz w:val="26"/>
          <w:szCs w:val="26"/>
        </w:rPr>
        <w:t>Yopal,</w:t>
      </w:r>
      <w:r w:rsidR="00EC4176">
        <w:rPr>
          <w:rFonts w:ascii="Arial" w:hAnsi="Arial" w:cs="Arial"/>
          <w:sz w:val="26"/>
          <w:szCs w:val="26"/>
        </w:rPr>
        <w:t xml:space="preserve"> y </w:t>
      </w:r>
      <w:r w:rsidR="00A90AD1">
        <w:rPr>
          <w:rFonts w:ascii="Arial" w:hAnsi="Arial" w:cs="Arial"/>
          <w:sz w:val="26"/>
          <w:szCs w:val="26"/>
        </w:rPr>
        <w:t xml:space="preserve">el </w:t>
      </w:r>
      <w:r w:rsidR="00EC4176">
        <w:rPr>
          <w:rFonts w:ascii="Arial" w:hAnsi="Arial" w:cs="Arial"/>
          <w:sz w:val="26"/>
          <w:szCs w:val="26"/>
        </w:rPr>
        <w:t xml:space="preserve">Primero Civil del Circuito </w:t>
      </w:r>
      <w:r w:rsidR="00A90AD1">
        <w:rPr>
          <w:rFonts w:ascii="Arial" w:hAnsi="Arial" w:cs="Arial"/>
          <w:sz w:val="26"/>
          <w:szCs w:val="26"/>
        </w:rPr>
        <w:t>de Oralidad de Barranquilla,</w:t>
      </w:r>
      <w:r w:rsidR="00EC4176">
        <w:rPr>
          <w:rFonts w:ascii="Arial" w:hAnsi="Arial" w:cs="Arial"/>
          <w:sz w:val="26"/>
          <w:szCs w:val="26"/>
        </w:rPr>
        <w:t xml:space="preserve"> el 3</w:t>
      </w:r>
      <w:r w:rsidR="00A90AD1">
        <w:rPr>
          <w:rFonts w:ascii="Arial" w:hAnsi="Arial" w:cs="Arial"/>
          <w:sz w:val="26"/>
          <w:szCs w:val="26"/>
        </w:rPr>
        <w:t>0</w:t>
      </w:r>
      <w:r w:rsidR="00EC4176">
        <w:rPr>
          <w:rFonts w:ascii="Arial" w:hAnsi="Arial" w:cs="Arial"/>
          <w:sz w:val="26"/>
          <w:szCs w:val="26"/>
        </w:rPr>
        <w:t xml:space="preserve"> de </w:t>
      </w:r>
      <w:r w:rsidR="00A90AD1">
        <w:rPr>
          <w:rFonts w:ascii="Arial" w:hAnsi="Arial" w:cs="Arial"/>
          <w:sz w:val="26"/>
          <w:szCs w:val="26"/>
        </w:rPr>
        <w:t>junio</w:t>
      </w:r>
      <w:r w:rsidR="00EC4176">
        <w:rPr>
          <w:rFonts w:ascii="Arial" w:hAnsi="Arial" w:cs="Arial"/>
          <w:sz w:val="26"/>
          <w:szCs w:val="26"/>
        </w:rPr>
        <w:t xml:space="preserve"> pasado</w:t>
      </w:r>
      <w:r w:rsidR="00A90AD1">
        <w:rPr>
          <w:rFonts w:ascii="Arial" w:hAnsi="Arial" w:cs="Arial"/>
          <w:sz w:val="26"/>
          <w:szCs w:val="26"/>
        </w:rPr>
        <w:t>,</w:t>
      </w:r>
      <w:r w:rsidR="00EC4176">
        <w:rPr>
          <w:rFonts w:ascii="Arial" w:hAnsi="Arial" w:cs="Arial"/>
          <w:sz w:val="26"/>
          <w:szCs w:val="26"/>
        </w:rPr>
        <w:t xml:space="preserve"> la Corte Suprema de Justicia declaró que el mismo era prematuro y ordenó devolver el expediente al Juzgado </w:t>
      </w:r>
      <w:r w:rsidR="00A90AD1">
        <w:rPr>
          <w:rFonts w:ascii="Arial" w:hAnsi="Arial" w:cs="Arial"/>
          <w:sz w:val="26"/>
          <w:szCs w:val="26"/>
        </w:rPr>
        <w:t>Segundo</w:t>
      </w:r>
      <w:r w:rsidR="00EC4176">
        <w:rPr>
          <w:rFonts w:ascii="Arial" w:hAnsi="Arial" w:cs="Arial"/>
          <w:sz w:val="26"/>
          <w:szCs w:val="26"/>
        </w:rPr>
        <w:t xml:space="preserve"> Civil del Circuito de Pereira, para</w:t>
      </w:r>
      <w:r w:rsidR="00A90AD1">
        <w:rPr>
          <w:rFonts w:ascii="Arial" w:hAnsi="Arial" w:cs="Arial"/>
          <w:sz w:val="26"/>
          <w:szCs w:val="26"/>
        </w:rPr>
        <w:t xml:space="preserve"> que</w:t>
      </w:r>
      <w:r w:rsidR="00EC4176">
        <w:rPr>
          <w:rFonts w:ascii="Arial" w:hAnsi="Arial" w:cs="Arial"/>
          <w:sz w:val="26"/>
          <w:szCs w:val="26"/>
        </w:rPr>
        <w:t xml:space="preserve"> </w:t>
      </w:r>
      <w:r w:rsidR="00A90AD1">
        <w:rPr>
          <w:rFonts w:ascii="Arial" w:hAnsi="Arial" w:cs="Arial"/>
          <w:sz w:val="26"/>
          <w:szCs w:val="26"/>
        </w:rPr>
        <w:t>“</w:t>
      </w:r>
      <w:r w:rsidR="00A90AD1" w:rsidRPr="00A90AD1">
        <w:rPr>
          <w:rFonts w:ascii="Arial" w:hAnsi="Arial" w:cs="Arial"/>
          <w:sz w:val="26"/>
          <w:szCs w:val="26"/>
          <w:u w:val="single"/>
        </w:rPr>
        <w:t>inadmitiera</w:t>
      </w:r>
      <w:r w:rsidR="00A90AD1">
        <w:rPr>
          <w:rFonts w:ascii="Arial" w:hAnsi="Arial" w:cs="Arial"/>
          <w:sz w:val="26"/>
          <w:szCs w:val="26"/>
        </w:rPr>
        <w:t xml:space="preserve"> el libelo” y requiriera al actor popular para que  </w:t>
      </w:r>
      <w:r w:rsidR="00EC4176">
        <w:rPr>
          <w:rFonts w:ascii="Arial" w:hAnsi="Arial" w:cs="Arial"/>
          <w:sz w:val="26"/>
          <w:szCs w:val="26"/>
        </w:rPr>
        <w:t xml:space="preserve">precisara </w:t>
      </w:r>
      <w:r w:rsidR="00A90AD1">
        <w:rPr>
          <w:rFonts w:ascii="Arial" w:hAnsi="Arial" w:cs="Arial"/>
          <w:sz w:val="26"/>
          <w:szCs w:val="26"/>
        </w:rPr>
        <w:t xml:space="preserve">si </w:t>
      </w:r>
      <w:r w:rsidR="00EC4176">
        <w:rPr>
          <w:rFonts w:ascii="Arial" w:hAnsi="Arial" w:cs="Arial"/>
          <w:sz w:val="26"/>
          <w:szCs w:val="26"/>
        </w:rPr>
        <w:t>el domicilio</w:t>
      </w:r>
      <w:r w:rsidR="00A90AD1">
        <w:rPr>
          <w:rFonts w:ascii="Arial" w:hAnsi="Arial" w:cs="Arial"/>
          <w:sz w:val="26"/>
          <w:szCs w:val="26"/>
        </w:rPr>
        <w:t xml:space="preserve"> </w:t>
      </w:r>
      <w:r w:rsidR="00EC4176">
        <w:rPr>
          <w:rFonts w:ascii="Arial" w:hAnsi="Arial" w:cs="Arial"/>
          <w:sz w:val="26"/>
          <w:szCs w:val="26"/>
        </w:rPr>
        <w:t xml:space="preserve">de la parte demandada </w:t>
      </w:r>
      <w:r w:rsidR="00A90AD1">
        <w:rPr>
          <w:rFonts w:ascii="Arial" w:hAnsi="Arial" w:cs="Arial"/>
          <w:sz w:val="26"/>
          <w:szCs w:val="26"/>
        </w:rPr>
        <w:t>es el principal o si más bien se trata del correspondiente a una sucursal o agencia suya, y además, a</w:t>
      </w:r>
      <w:r w:rsidR="00BB6974">
        <w:rPr>
          <w:rFonts w:ascii="Arial" w:hAnsi="Arial" w:cs="Arial"/>
          <w:sz w:val="26"/>
          <w:szCs w:val="26"/>
        </w:rPr>
        <w:t>llegar</w:t>
      </w:r>
      <w:r w:rsidR="00A90AD1">
        <w:rPr>
          <w:rFonts w:ascii="Arial" w:hAnsi="Arial" w:cs="Arial"/>
          <w:sz w:val="26"/>
          <w:szCs w:val="26"/>
        </w:rPr>
        <w:t xml:space="preserve">a </w:t>
      </w:r>
      <w:r w:rsidR="00BB6974">
        <w:rPr>
          <w:rFonts w:ascii="Arial" w:hAnsi="Arial" w:cs="Arial"/>
          <w:sz w:val="26"/>
          <w:szCs w:val="26"/>
        </w:rPr>
        <w:t>el</w:t>
      </w:r>
      <w:r w:rsidR="00A90AD1">
        <w:rPr>
          <w:rFonts w:ascii="Arial" w:hAnsi="Arial" w:cs="Arial"/>
          <w:sz w:val="26"/>
          <w:szCs w:val="26"/>
        </w:rPr>
        <w:t xml:space="preserve"> certificado de existencia y representación legal (</w:t>
      </w:r>
      <w:proofErr w:type="spellStart"/>
      <w:r w:rsidR="00A90AD1">
        <w:rPr>
          <w:rFonts w:ascii="Arial" w:hAnsi="Arial" w:cs="Arial"/>
          <w:sz w:val="26"/>
          <w:szCs w:val="26"/>
        </w:rPr>
        <w:t>fls</w:t>
      </w:r>
      <w:proofErr w:type="spellEnd"/>
      <w:r w:rsidR="00A90AD1">
        <w:rPr>
          <w:rFonts w:ascii="Arial" w:hAnsi="Arial" w:cs="Arial"/>
          <w:sz w:val="26"/>
          <w:szCs w:val="26"/>
        </w:rPr>
        <w:t>. 152</w:t>
      </w:r>
      <w:r w:rsidR="00A81CAE">
        <w:rPr>
          <w:rFonts w:ascii="Arial" w:hAnsi="Arial" w:cs="Arial"/>
          <w:sz w:val="26"/>
          <w:szCs w:val="26"/>
        </w:rPr>
        <w:t>-1</w:t>
      </w:r>
      <w:r w:rsidR="00A90AD1">
        <w:rPr>
          <w:rFonts w:ascii="Arial" w:hAnsi="Arial" w:cs="Arial"/>
          <w:sz w:val="26"/>
          <w:szCs w:val="26"/>
        </w:rPr>
        <w:t>59</w:t>
      </w:r>
      <w:r w:rsidR="00A81CAE">
        <w:rPr>
          <w:rFonts w:ascii="Arial" w:hAnsi="Arial" w:cs="Arial"/>
          <w:sz w:val="26"/>
          <w:szCs w:val="26"/>
        </w:rPr>
        <w:t>).</w:t>
      </w:r>
    </w:p>
    <w:p w:rsidR="00A81CAE" w:rsidRPr="00F86B53" w:rsidRDefault="00A81CAE" w:rsidP="00A81CAE">
      <w:pPr>
        <w:pStyle w:val="Sinespaciado2"/>
        <w:spacing w:line="360" w:lineRule="auto"/>
        <w:ind w:firstLine="2835"/>
        <w:jc w:val="both"/>
        <w:rPr>
          <w:rFonts w:ascii="Arial" w:hAnsi="Arial" w:cs="Arial"/>
          <w:sz w:val="16"/>
          <w:szCs w:val="26"/>
        </w:rPr>
      </w:pPr>
    </w:p>
    <w:p w:rsidR="005A5D34" w:rsidRDefault="00C30A3B" w:rsidP="00A81CAE">
      <w:pPr>
        <w:pStyle w:val="Sinespaciado1"/>
        <w:spacing w:line="360" w:lineRule="auto"/>
        <w:ind w:firstLine="2832"/>
        <w:jc w:val="both"/>
        <w:rPr>
          <w:rFonts w:ascii="Arial" w:hAnsi="Arial" w:cs="Arial"/>
          <w:sz w:val="26"/>
          <w:szCs w:val="26"/>
        </w:rPr>
      </w:pPr>
      <w:r>
        <w:rPr>
          <w:rFonts w:ascii="Arial" w:hAnsi="Arial" w:cs="Arial"/>
          <w:sz w:val="26"/>
          <w:szCs w:val="26"/>
        </w:rPr>
        <w:t>(i</w:t>
      </w:r>
      <w:r w:rsidR="00BB6974">
        <w:rPr>
          <w:rFonts w:ascii="Arial" w:hAnsi="Arial" w:cs="Arial"/>
          <w:sz w:val="26"/>
          <w:szCs w:val="26"/>
        </w:rPr>
        <w:t>ii</w:t>
      </w:r>
      <w:r w:rsidR="00A81CAE">
        <w:rPr>
          <w:rFonts w:ascii="Arial" w:hAnsi="Arial" w:cs="Arial"/>
          <w:sz w:val="26"/>
          <w:szCs w:val="26"/>
        </w:rPr>
        <w:t>) En obedecimiento a lo ordenado en el punto anterior, con prove</w:t>
      </w:r>
      <w:r w:rsidR="00BB6974">
        <w:rPr>
          <w:rFonts w:ascii="Arial" w:hAnsi="Arial" w:cs="Arial"/>
          <w:sz w:val="26"/>
          <w:szCs w:val="26"/>
        </w:rPr>
        <w:t>ído del 12 de septiembre último, el J</w:t>
      </w:r>
      <w:r w:rsidR="00A81CAE">
        <w:rPr>
          <w:rFonts w:ascii="Arial" w:hAnsi="Arial" w:cs="Arial"/>
          <w:sz w:val="26"/>
          <w:szCs w:val="26"/>
        </w:rPr>
        <w:t xml:space="preserve">uzgado </w:t>
      </w:r>
      <w:r w:rsidR="00BB6974">
        <w:rPr>
          <w:rFonts w:ascii="Arial" w:hAnsi="Arial" w:cs="Arial"/>
          <w:sz w:val="26"/>
          <w:szCs w:val="26"/>
        </w:rPr>
        <w:t xml:space="preserve">Segundo Civil del Circuito de Pereira, </w:t>
      </w:r>
      <w:r w:rsidR="00A81CAE">
        <w:rPr>
          <w:rFonts w:ascii="Arial" w:hAnsi="Arial" w:cs="Arial"/>
          <w:sz w:val="26"/>
          <w:szCs w:val="26"/>
        </w:rPr>
        <w:t xml:space="preserve">dio trámite a la demanda popular inadmitiéndola, para que el </w:t>
      </w:r>
      <w:r w:rsidR="00C314D8">
        <w:rPr>
          <w:rFonts w:ascii="Arial" w:hAnsi="Arial" w:cs="Arial"/>
          <w:sz w:val="26"/>
          <w:szCs w:val="26"/>
        </w:rPr>
        <w:t xml:space="preserve">actor </w:t>
      </w:r>
      <w:r w:rsidR="00A81CAE">
        <w:rPr>
          <w:rFonts w:ascii="Arial" w:hAnsi="Arial" w:cs="Arial"/>
          <w:sz w:val="26"/>
          <w:szCs w:val="26"/>
        </w:rPr>
        <w:t xml:space="preserve">la corrigiera, </w:t>
      </w:r>
      <w:r w:rsidR="00BB6974">
        <w:rPr>
          <w:rFonts w:ascii="Arial" w:hAnsi="Arial" w:cs="Arial"/>
          <w:sz w:val="26"/>
          <w:szCs w:val="26"/>
        </w:rPr>
        <w:t xml:space="preserve">indicando si la dirección </w:t>
      </w:r>
      <w:r w:rsidR="00BB6974">
        <w:rPr>
          <w:rFonts w:ascii="Arial" w:hAnsi="Arial" w:cs="Arial"/>
          <w:sz w:val="26"/>
          <w:szCs w:val="26"/>
        </w:rPr>
        <w:lastRenderedPageBreak/>
        <w:t>señalada en la demanda, corresponde al domicilio principal de la entidad bancaria o si por el contrario se trata de una sucursal o agencia suya</w:t>
      </w:r>
      <w:r w:rsidR="00F2559A">
        <w:rPr>
          <w:rFonts w:ascii="Arial" w:hAnsi="Arial" w:cs="Arial"/>
          <w:sz w:val="26"/>
          <w:szCs w:val="26"/>
        </w:rPr>
        <w:t>; o en su defecto allegara</w:t>
      </w:r>
      <w:r w:rsidR="00A81CAE">
        <w:rPr>
          <w:rFonts w:ascii="Arial" w:hAnsi="Arial" w:cs="Arial"/>
          <w:sz w:val="26"/>
          <w:szCs w:val="26"/>
        </w:rPr>
        <w:t xml:space="preserve"> el certificado de existencia y representación legal </w:t>
      </w:r>
      <w:r w:rsidR="00F2559A">
        <w:rPr>
          <w:rFonts w:ascii="Arial" w:hAnsi="Arial" w:cs="Arial"/>
          <w:sz w:val="26"/>
          <w:szCs w:val="26"/>
        </w:rPr>
        <w:t>de Bancolombia</w:t>
      </w:r>
      <w:r w:rsidR="00BE76C6">
        <w:rPr>
          <w:rFonts w:ascii="Arial" w:hAnsi="Arial" w:cs="Arial"/>
          <w:sz w:val="26"/>
          <w:szCs w:val="26"/>
        </w:rPr>
        <w:t>, como lo indicó la Corte Suprema de Justicia</w:t>
      </w:r>
      <w:r w:rsidR="00A81CAE">
        <w:rPr>
          <w:rFonts w:ascii="Arial" w:hAnsi="Arial" w:cs="Arial"/>
          <w:sz w:val="26"/>
          <w:szCs w:val="26"/>
        </w:rPr>
        <w:t xml:space="preserve">; auto que </w:t>
      </w:r>
      <w:r w:rsidR="00F2559A">
        <w:rPr>
          <w:rFonts w:ascii="Arial" w:hAnsi="Arial" w:cs="Arial"/>
          <w:sz w:val="26"/>
          <w:szCs w:val="26"/>
        </w:rPr>
        <w:t>fue notificado por estado del 13</w:t>
      </w:r>
      <w:r w:rsidR="00A81CAE">
        <w:rPr>
          <w:rFonts w:ascii="Arial" w:hAnsi="Arial" w:cs="Arial"/>
          <w:sz w:val="26"/>
          <w:szCs w:val="26"/>
        </w:rPr>
        <w:t xml:space="preserve"> de </w:t>
      </w:r>
      <w:r w:rsidR="00F2559A">
        <w:rPr>
          <w:rFonts w:ascii="Arial" w:hAnsi="Arial" w:cs="Arial"/>
          <w:sz w:val="26"/>
          <w:szCs w:val="26"/>
        </w:rPr>
        <w:t>septiembre</w:t>
      </w:r>
      <w:r w:rsidR="00B151EF">
        <w:rPr>
          <w:rFonts w:ascii="Arial" w:hAnsi="Arial" w:cs="Arial"/>
          <w:sz w:val="26"/>
          <w:szCs w:val="26"/>
        </w:rPr>
        <w:t xml:space="preserve"> </w:t>
      </w:r>
      <w:r w:rsidR="00BB6974">
        <w:rPr>
          <w:rFonts w:ascii="Arial" w:hAnsi="Arial" w:cs="Arial"/>
          <w:sz w:val="26"/>
          <w:szCs w:val="26"/>
        </w:rPr>
        <w:t>(</w:t>
      </w:r>
      <w:proofErr w:type="spellStart"/>
      <w:r w:rsidR="00BB6974">
        <w:rPr>
          <w:rFonts w:ascii="Arial" w:hAnsi="Arial" w:cs="Arial"/>
          <w:sz w:val="26"/>
          <w:szCs w:val="26"/>
        </w:rPr>
        <w:t>fls</w:t>
      </w:r>
      <w:proofErr w:type="spellEnd"/>
      <w:r w:rsidR="00BB6974">
        <w:rPr>
          <w:rFonts w:ascii="Arial" w:hAnsi="Arial" w:cs="Arial"/>
          <w:sz w:val="26"/>
          <w:szCs w:val="26"/>
        </w:rPr>
        <w:t>. 165-166</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5A5D34" w:rsidRPr="001E5F68" w:rsidRDefault="00A81CAE" w:rsidP="005A5D34">
      <w:pPr>
        <w:pStyle w:val="Sinespaciado1"/>
        <w:spacing w:line="360" w:lineRule="auto"/>
        <w:ind w:firstLine="2832"/>
        <w:jc w:val="both"/>
        <w:rPr>
          <w:rFonts w:ascii="Arial" w:hAnsi="Arial" w:cs="Arial"/>
          <w:sz w:val="26"/>
          <w:szCs w:val="26"/>
        </w:rPr>
      </w:pPr>
      <w:r>
        <w:rPr>
          <w:rFonts w:ascii="Arial" w:hAnsi="Arial" w:cs="Arial"/>
          <w:sz w:val="26"/>
          <w:szCs w:val="26"/>
        </w:rPr>
        <w:t>(</w:t>
      </w:r>
      <w:r w:rsidR="00BE76C6">
        <w:rPr>
          <w:rFonts w:ascii="Arial" w:hAnsi="Arial" w:cs="Arial"/>
          <w:sz w:val="26"/>
          <w:szCs w:val="26"/>
        </w:rPr>
        <w:t>i</w:t>
      </w:r>
      <w:r>
        <w:rPr>
          <w:rFonts w:ascii="Arial" w:hAnsi="Arial" w:cs="Arial"/>
          <w:sz w:val="26"/>
          <w:szCs w:val="26"/>
        </w:rPr>
        <w:t>v</w:t>
      </w:r>
      <w:r w:rsidR="005A5D34">
        <w:rPr>
          <w:rFonts w:ascii="Arial" w:hAnsi="Arial" w:cs="Arial"/>
          <w:sz w:val="26"/>
          <w:szCs w:val="26"/>
        </w:rPr>
        <w:t xml:space="preserve">) Mediante providencia del </w:t>
      </w:r>
      <w:r w:rsidR="00451746">
        <w:rPr>
          <w:rFonts w:ascii="Arial" w:hAnsi="Arial" w:cs="Arial"/>
          <w:sz w:val="26"/>
          <w:szCs w:val="26"/>
        </w:rPr>
        <w:t>22</w:t>
      </w:r>
      <w:r w:rsidR="005A5D34">
        <w:rPr>
          <w:rFonts w:ascii="Arial" w:hAnsi="Arial" w:cs="Arial"/>
          <w:sz w:val="26"/>
          <w:szCs w:val="26"/>
        </w:rPr>
        <w:t xml:space="preserve"> de </w:t>
      </w:r>
      <w:r w:rsidR="00451746">
        <w:rPr>
          <w:rFonts w:ascii="Arial" w:hAnsi="Arial" w:cs="Arial"/>
          <w:sz w:val="26"/>
          <w:szCs w:val="26"/>
        </w:rPr>
        <w:t>septiembre</w:t>
      </w:r>
      <w:r w:rsidR="005A5D34">
        <w:rPr>
          <w:rFonts w:ascii="Arial" w:hAnsi="Arial" w:cs="Arial"/>
          <w:sz w:val="26"/>
          <w:szCs w:val="26"/>
        </w:rPr>
        <w:t xml:space="preserve"> pasado, el despacho judicial rechazó la demanda popular, por no haber sido subs</w:t>
      </w:r>
      <w:r w:rsidR="00C1112A">
        <w:rPr>
          <w:rFonts w:ascii="Arial" w:hAnsi="Arial" w:cs="Arial"/>
          <w:sz w:val="26"/>
          <w:szCs w:val="26"/>
        </w:rPr>
        <w:t>anada dentro del término de ley</w:t>
      </w:r>
      <w:r w:rsidR="00451746">
        <w:rPr>
          <w:rFonts w:ascii="Arial" w:hAnsi="Arial" w:cs="Arial"/>
          <w:sz w:val="26"/>
          <w:szCs w:val="26"/>
        </w:rPr>
        <w:t xml:space="preserve"> (</w:t>
      </w:r>
      <w:proofErr w:type="spellStart"/>
      <w:r w:rsidR="00451746">
        <w:rPr>
          <w:rFonts w:ascii="Arial" w:hAnsi="Arial" w:cs="Arial"/>
          <w:sz w:val="26"/>
          <w:szCs w:val="26"/>
        </w:rPr>
        <w:t>fl</w:t>
      </w:r>
      <w:proofErr w:type="spellEnd"/>
      <w:r w:rsidR="00451746">
        <w:rPr>
          <w:rFonts w:ascii="Arial" w:hAnsi="Arial" w:cs="Arial"/>
          <w:sz w:val="26"/>
          <w:szCs w:val="26"/>
        </w:rPr>
        <w:t>. 169)</w:t>
      </w:r>
      <w:r w:rsidR="00C1112A">
        <w:rPr>
          <w:rFonts w:ascii="Arial" w:hAnsi="Arial" w:cs="Arial"/>
          <w:sz w:val="26"/>
          <w:szCs w:val="26"/>
        </w:rPr>
        <w:t>.</w:t>
      </w:r>
      <w:r w:rsidR="005A5D34">
        <w:rPr>
          <w:rFonts w:ascii="Arial" w:hAnsi="Arial" w:cs="Arial"/>
          <w:sz w:val="26"/>
          <w:szCs w:val="26"/>
        </w:rPr>
        <w:t xml:space="preserve"> </w:t>
      </w:r>
      <w:r w:rsidR="00451746">
        <w:rPr>
          <w:rFonts w:ascii="Arial" w:hAnsi="Arial" w:cs="Arial"/>
          <w:sz w:val="26"/>
          <w:szCs w:val="26"/>
        </w:rPr>
        <w:t>D</w:t>
      </w:r>
      <w:r w:rsidR="005A5D34">
        <w:rPr>
          <w:rFonts w:ascii="Arial" w:hAnsi="Arial" w:cs="Arial"/>
          <w:sz w:val="26"/>
          <w:szCs w:val="26"/>
        </w:rPr>
        <w:t xml:space="preserve">ecisión notificada en estado del </w:t>
      </w:r>
      <w:r w:rsidR="00451746">
        <w:rPr>
          <w:rFonts w:ascii="Arial" w:hAnsi="Arial" w:cs="Arial"/>
          <w:sz w:val="26"/>
          <w:szCs w:val="26"/>
        </w:rPr>
        <w:t>25</w:t>
      </w:r>
      <w:r w:rsidR="005A5D34">
        <w:rPr>
          <w:rFonts w:ascii="Arial" w:hAnsi="Arial" w:cs="Arial"/>
          <w:sz w:val="26"/>
          <w:szCs w:val="26"/>
        </w:rPr>
        <w:t xml:space="preserve"> de </w:t>
      </w:r>
      <w:r w:rsidR="00451746">
        <w:rPr>
          <w:rFonts w:ascii="Arial" w:hAnsi="Arial" w:cs="Arial"/>
          <w:sz w:val="26"/>
          <w:szCs w:val="26"/>
        </w:rPr>
        <w:t>septiembre</w:t>
      </w:r>
      <w:r w:rsidR="005A5D34">
        <w:rPr>
          <w:rFonts w:ascii="Arial" w:hAnsi="Arial" w:cs="Arial"/>
          <w:sz w:val="26"/>
          <w:szCs w:val="26"/>
        </w:rPr>
        <w:t xml:space="preserve"> siguiente (</w:t>
      </w:r>
      <w:proofErr w:type="spellStart"/>
      <w:r w:rsidR="005A5D34">
        <w:rPr>
          <w:rFonts w:ascii="Arial" w:hAnsi="Arial" w:cs="Arial"/>
          <w:sz w:val="26"/>
          <w:szCs w:val="26"/>
        </w:rPr>
        <w:t>fl</w:t>
      </w:r>
      <w:proofErr w:type="spellEnd"/>
      <w:r w:rsidR="00B36D79">
        <w:rPr>
          <w:rFonts w:ascii="Arial" w:hAnsi="Arial" w:cs="Arial"/>
          <w:sz w:val="26"/>
          <w:szCs w:val="26"/>
        </w:rPr>
        <w:t xml:space="preserve">. </w:t>
      </w:r>
      <w:r w:rsidR="00451746">
        <w:rPr>
          <w:rFonts w:ascii="Arial" w:hAnsi="Arial" w:cs="Arial"/>
          <w:sz w:val="26"/>
          <w:szCs w:val="26"/>
        </w:rPr>
        <w:t>170</w:t>
      </w:r>
      <w:r w:rsidR="005A5D34">
        <w:rPr>
          <w:rFonts w:ascii="Arial" w:hAnsi="Arial" w:cs="Arial"/>
          <w:sz w:val="26"/>
          <w:szCs w:val="26"/>
        </w:rPr>
        <w:t>).</w:t>
      </w:r>
    </w:p>
    <w:p w:rsidR="005A5D34" w:rsidRDefault="005A5D34" w:rsidP="005A5D34">
      <w:pPr>
        <w:pStyle w:val="Sinespaciado1"/>
        <w:spacing w:line="360" w:lineRule="auto"/>
        <w:ind w:firstLine="2832"/>
        <w:jc w:val="both"/>
        <w:rPr>
          <w:rFonts w:ascii="Arial" w:hAnsi="Arial" w:cs="Arial"/>
          <w:sz w:val="16"/>
          <w:szCs w:val="26"/>
        </w:rPr>
      </w:pPr>
    </w:p>
    <w:p w:rsidR="000005E2" w:rsidRDefault="005A5D34" w:rsidP="000005E2">
      <w:pPr>
        <w:pStyle w:val="Sinespaciado2"/>
        <w:spacing w:line="360" w:lineRule="auto"/>
        <w:ind w:firstLine="2835"/>
        <w:jc w:val="both"/>
        <w:rPr>
          <w:rFonts w:ascii="Arial" w:hAnsi="Arial" w:cs="Arial"/>
          <w:sz w:val="26"/>
          <w:szCs w:val="26"/>
          <w:lang w:val="es-CO"/>
        </w:rPr>
      </w:pPr>
      <w:r>
        <w:rPr>
          <w:rFonts w:ascii="Arial" w:hAnsi="Arial" w:cs="Arial"/>
          <w:sz w:val="26"/>
          <w:szCs w:val="26"/>
        </w:rPr>
        <w:t xml:space="preserve">2. Vistas así las cosas, pronto se advierte la improcedencia del amparo constitucional, por ausencia del requisito de subsidiariedad, toda vez que, como se pudo constatar, el juzgado por </w:t>
      </w:r>
      <w:r w:rsidR="00B36D79">
        <w:rPr>
          <w:rFonts w:ascii="Arial" w:hAnsi="Arial" w:cs="Arial"/>
          <w:sz w:val="26"/>
          <w:szCs w:val="26"/>
        </w:rPr>
        <w:t>auto</w:t>
      </w:r>
      <w:r>
        <w:rPr>
          <w:rFonts w:ascii="Arial" w:hAnsi="Arial" w:cs="Arial"/>
          <w:sz w:val="26"/>
          <w:szCs w:val="26"/>
        </w:rPr>
        <w:t xml:space="preserve"> del </w:t>
      </w:r>
      <w:r w:rsidR="000005E2">
        <w:rPr>
          <w:rFonts w:ascii="Arial" w:hAnsi="Arial" w:cs="Arial"/>
          <w:sz w:val="26"/>
          <w:szCs w:val="26"/>
        </w:rPr>
        <w:t>22</w:t>
      </w:r>
      <w:r>
        <w:rPr>
          <w:rFonts w:ascii="Arial" w:hAnsi="Arial" w:cs="Arial"/>
          <w:sz w:val="26"/>
          <w:szCs w:val="26"/>
        </w:rPr>
        <w:t xml:space="preserve"> de </w:t>
      </w:r>
      <w:r w:rsidR="000005E2">
        <w:rPr>
          <w:rFonts w:ascii="Arial" w:hAnsi="Arial" w:cs="Arial"/>
          <w:sz w:val="26"/>
          <w:szCs w:val="26"/>
        </w:rPr>
        <w:t>septiembre</w:t>
      </w:r>
      <w:r>
        <w:rPr>
          <w:rFonts w:ascii="Arial" w:hAnsi="Arial" w:cs="Arial"/>
          <w:sz w:val="26"/>
          <w:szCs w:val="26"/>
        </w:rPr>
        <w:t xml:space="preserve"> decidió rechazar la demanda, </w:t>
      </w:r>
      <w:r w:rsidR="00B36D79">
        <w:rPr>
          <w:rFonts w:ascii="Arial" w:hAnsi="Arial" w:cs="Arial"/>
          <w:sz w:val="26"/>
          <w:szCs w:val="26"/>
        </w:rPr>
        <w:t>e</w:t>
      </w:r>
      <w:r>
        <w:rPr>
          <w:rFonts w:ascii="Arial" w:hAnsi="Arial" w:cs="Arial"/>
          <w:sz w:val="26"/>
          <w:szCs w:val="26"/>
        </w:rPr>
        <w:t xml:space="preserve">l que fue notificado por estado el </w:t>
      </w:r>
      <w:r w:rsidR="000005E2">
        <w:rPr>
          <w:rFonts w:ascii="Arial" w:hAnsi="Arial" w:cs="Arial"/>
          <w:sz w:val="26"/>
          <w:szCs w:val="26"/>
        </w:rPr>
        <w:t xml:space="preserve">25 de septiembre </w:t>
      </w:r>
      <w:r>
        <w:rPr>
          <w:rFonts w:ascii="Arial" w:hAnsi="Arial" w:cs="Arial"/>
          <w:sz w:val="26"/>
          <w:szCs w:val="26"/>
        </w:rPr>
        <w:t>siguiente</w:t>
      </w:r>
      <w:r w:rsidR="000005E2">
        <w:rPr>
          <w:rFonts w:ascii="Arial" w:hAnsi="Arial" w:cs="Arial"/>
          <w:sz w:val="26"/>
          <w:szCs w:val="26"/>
          <w:lang w:val="es-CO"/>
        </w:rPr>
        <w:t xml:space="preserve">, sin que </w:t>
      </w:r>
      <w:r w:rsidR="000005E2">
        <w:rPr>
          <w:rFonts w:ascii="Arial" w:hAnsi="Arial" w:cs="Arial"/>
          <w:sz w:val="26"/>
          <w:szCs w:val="26"/>
        </w:rPr>
        <w:t>el actor</w:t>
      </w:r>
      <w:r w:rsidR="000005E2">
        <w:rPr>
          <w:rFonts w:ascii="Arial" w:hAnsi="Arial" w:cs="Arial"/>
          <w:sz w:val="26"/>
          <w:szCs w:val="26"/>
          <w:lang w:val="es-CO"/>
        </w:rPr>
        <w:t xml:space="preserve"> formulara recurso de reposición frente a esa decisión. </w:t>
      </w:r>
      <w:r w:rsidR="000005E2" w:rsidRPr="00F05222">
        <w:rPr>
          <w:rFonts w:ascii="Arial" w:hAnsi="Arial" w:cs="Arial"/>
          <w:sz w:val="26"/>
          <w:szCs w:val="26"/>
          <w:lang w:val="es-CO"/>
        </w:rPr>
        <w:t>Es decir, no empleó el medio ordinario de protección con que contaba en ese proceso para obtener lo que pretende sea decidido por vía de tutela.</w:t>
      </w:r>
    </w:p>
    <w:p w:rsidR="000005E2" w:rsidRPr="00AB220C" w:rsidRDefault="000005E2" w:rsidP="000005E2">
      <w:pPr>
        <w:pStyle w:val="Sinespaciado2"/>
        <w:spacing w:line="360" w:lineRule="auto"/>
        <w:ind w:firstLine="2835"/>
        <w:jc w:val="both"/>
        <w:rPr>
          <w:rFonts w:ascii="Arial" w:hAnsi="Arial" w:cs="Arial"/>
          <w:sz w:val="16"/>
          <w:szCs w:val="16"/>
          <w:lang w:val="es-CO"/>
        </w:rPr>
      </w:pPr>
    </w:p>
    <w:p w:rsidR="000005E2" w:rsidRPr="00F019BF" w:rsidRDefault="000005E2" w:rsidP="000005E2">
      <w:pPr>
        <w:pStyle w:val="Sinespaciado2"/>
        <w:spacing w:line="360" w:lineRule="auto"/>
        <w:ind w:firstLine="2835"/>
        <w:jc w:val="both"/>
        <w:rPr>
          <w:rFonts w:ascii="Arial" w:hAnsi="Arial" w:cs="Arial"/>
          <w:sz w:val="16"/>
          <w:szCs w:val="28"/>
        </w:rPr>
      </w:pPr>
      <w:r>
        <w:rPr>
          <w:rFonts w:ascii="Arial" w:hAnsi="Arial" w:cs="Arial"/>
          <w:sz w:val="26"/>
          <w:szCs w:val="26"/>
          <w:lang w:val="es-CO"/>
        </w:rPr>
        <w:t xml:space="preserve">3.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0005E2" w:rsidRPr="00D631D5" w:rsidRDefault="000005E2" w:rsidP="000005E2">
      <w:pPr>
        <w:pStyle w:val="Sinespaciado2"/>
        <w:spacing w:line="360" w:lineRule="auto"/>
        <w:ind w:firstLine="2835"/>
        <w:jc w:val="both"/>
        <w:rPr>
          <w:rFonts w:ascii="Arial" w:hAnsi="Arial" w:cs="Arial"/>
          <w:sz w:val="16"/>
          <w:szCs w:val="26"/>
        </w:rPr>
      </w:pPr>
    </w:p>
    <w:p w:rsidR="000005E2" w:rsidRPr="00CC7DCF" w:rsidRDefault="000005E2" w:rsidP="000005E2">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w:t>
      </w:r>
      <w:r>
        <w:rPr>
          <w:rFonts w:ascii="Arial" w:hAnsi="Arial" w:cs="Arial"/>
          <w:i/>
          <w:sz w:val="24"/>
          <w:szCs w:val="26"/>
        </w:rPr>
        <w:lastRenderedPageBreak/>
        <w:t xml:space="preserve">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0005E2" w:rsidRPr="00276FCF" w:rsidRDefault="000005E2" w:rsidP="000005E2">
      <w:pPr>
        <w:pStyle w:val="Sinespaciado1"/>
        <w:spacing w:line="360" w:lineRule="auto"/>
        <w:ind w:firstLine="2832"/>
        <w:jc w:val="both"/>
        <w:rPr>
          <w:rFonts w:ascii="Arial" w:hAnsi="Arial" w:cs="Arial"/>
          <w:sz w:val="16"/>
          <w:szCs w:val="26"/>
        </w:rPr>
      </w:pPr>
    </w:p>
    <w:p w:rsidR="000005E2" w:rsidRPr="00413A6D" w:rsidRDefault="000005E2" w:rsidP="000005E2">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0005E2" w:rsidRDefault="000005E2" w:rsidP="000005E2">
      <w:pPr>
        <w:pStyle w:val="Sinespaciado2"/>
        <w:spacing w:line="360" w:lineRule="auto"/>
        <w:ind w:firstLine="2835"/>
        <w:jc w:val="both"/>
        <w:rPr>
          <w:rFonts w:ascii="Arial" w:hAnsi="Arial" w:cs="Arial"/>
          <w:sz w:val="16"/>
          <w:szCs w:val="26"/>
        </w:rPr>
      </w:pPr>
    </w:p>
    <w:p w:rsidR="005E69C2" w:rsidRDefault="000005E2" w:rsidP="000005E2">
      <w:pPr>
        <w:pStyle w:val="Sinespaciado1"/>
        <w:spacing w:line="360" w:lineRule="auto"/>
        <w:ind w:firstLine="2832"/>
        <w:jc w:val="both"/>
        <w:rPr>
          <w:rFonts w:ascii="Arial" w:hAnsi="Arial" w:cs="Arial"/>
          <w:sz w:val="26"/>
          <w:szCs w:val="26"/>
        </w:rPr>
      </w:pPr>
      <w:r>
        <w:rPr>
          <w:rFonts w:ascii="Arial" w:hAnsi="Arial" w:cs="Arial"/>
          <w:sz w:val="26"/>
          <w:szCs w:val="26"/>
        </w:rPr>
        <w:t>6</w:t>
      </w:r>
      <w:r w:rsidR="004D4D0C">
        <w:rPr>
          <w:rFonts w:ascii="Arial" w:hAnsi="Arial" w:cs="Arial"/>
          <w:sz w:val="26"/>
          <w:szCs w:val="26"/>
        </w:rPr>
        <w:t xml:space="preserve">. </w:t>
      </w:r>
      <w:r w:rsidR="005E69C2">
        <w:rPr>
          <w:rFonts w:ascii="Arial" w:hAnsi="Arial" w:cs="Arial"/>
          <w:sz w:val="26"/>
          <w:szCs w:val="26"/>
        </w:rPr>
        <w:t xml:space="preserve">Así las cosas, con respaldo en lo anteriormente expuesto, se declarará improcedente la </w:t>
      </w:r>
      <w:r w:rsidR="005A5D34">
        <w:rPr>
          <w:rFonts w:ascii="Arial" w:hAnsi="Arial" w:cs="Arial"/>
          <w:sz w:val="26"/>
          <w:szCs w:val="26"/>
        </w:rPr>
        <w:t>acción</w:t>
      </w:r>
      <w:r w:rsidR="005E69C2">
        <w:rPr>
          <w:rFonts w:ascii="Arial" w:hAnsi="Arial" w:cs="Arial"/>
          <w:sz w:val="26"/>
          <w:szCs w:val="26"/>
        </w:rPr>
        <w:t xml:space="preserve"> d</w:t>
      </w:r>
      <w:r w:rsidR="00BB31FA">
        <w:rPr>
          <w:rFonts w:ascii="Arial" w:hAnsi="Arial" w:cs="Arial"/>
          <w:sz w:val="26"/>
          <w:szCs w:val="26"/>
        </w:rPr>
        <w:t xml:space="preserve">e tutela frente al Juzgado </w:t>
      </w:r>
      <w:r w:rsidR="00A85DAD">
        <w:rPr>
          <w:rFonts w:ascii="Arial" w:hAnsi="Arial" w:cs="Arial"/>
          <w:sz w:val="26"/>
          <w:szCs w:val="26"/>
        </w:rPr>
        <w:t>Segund</w:t>
      </w:r>
      <w:r w:rsidR="005E69C2">
        <w:rPr>
          <w:rFonts w:ascii="Arial" w:hAnsi="Arial" w:cs="Arial"/>
          <w:sz w:val="26"/>
          <w:szCs w:val="26"/>
        </w:rPr>
        <w:t xml:space="preserve">o Civil del Circuito de Pereira y se </w:t>
      </w:r>
      <w:r w:rsidR="00D01C49">
        <w:rPr>
          <w:rFonts w:ascii="Arial" w:hAnsi="Arial" w:cs="Arial"/>
          <w:sz w:val="26"/>
          <w:szCs w:val="26"/>
        </w:rPr>
        <w:t>ordenará la desvinculación de lo</w:t>
      </w:r>
      <w:r w:rsidR="005E69C2">
        <w:rPr>
          <w:rFonts w:ascii="Arial" w:hAnsi="Arial" w:cs="Arial"/>
          <w:sz w:val="26"/>
          <w:szCs w:val="26"/>
        </w:rPr>
        <w:t xml:space="preserve">s demás </w:t>
      </w:r>
      <w:r w:rsidR="00D01C49">
        <w:rPr>
          <w:rFonts w:ascii="Arial" w:hAnsi="Arial" w:cs="Arial"/>
          <w:sz w:val="26"/>
          <w:szCs w:val="26"/>
        </w:rPr>
        <w:t>convocado</w:t>
      </w:r>
      <w:r w:rsidR="005E69C2">
        <w:rPr>
          <w:rFonts w:ascii="Arial" w:hAnsi="Arial" w:cs="Arial"/>
          <w:sz w:val="26"/>
          <w:szCs w:val="26"/>
        </w:rPr>
        <w:t>s a este trámite.</w:t>
      </w:r>
    </w:p>
    <w:p w:rsidR="00FC1E3E" w:rsidRPr="004D4D0C" w:rsidRDefault="00FC1E3E" w:rsidP="005E69C2">
      <w:pPr>
        <w:pStyle w:val="Sinespaciado1"/>
        <w:spacing w:line="360" w:lineRule="auto"/>
        <w:ind w:firstLine="2832"/>
        <w:jc w:val="both"/>
        <w:rPr>
          <w:rFonts w:ascii="Arial" w:hAnsi="Arial" w:cs="Arial"/>
          <w:sz w:val="16"/>
          <w:szCs w:val="16"/>
        </w:rPr>
      </w:pPr>
    </w:p>
    <w:p w:rsidR="00F94531" w:rsidRDefault="000005E2" w:rsidP="004D4D0C">
      <w:pPr>
        <w:pStyle w:val="Sinespaciado1"/>
        <w:spacing w:line="360" w:lineRule="auto"/>
        <w:ind w:firstLine="2832"/>
        <w:jc w:val="both"/>
        <w:rPr>
          <w:rFonts w:ascii="Arial" w:hAnsi="Arial" w:cs="Arial"/>
          <w:sz w:val="26"/>
          <w:szCs w:val="26"/>
        </w:rPr>
      </w:pPr>
      <w:r>
        <w:rPr>
          <w:rFonts w:ascii="Arial" w:hAnsi="Arial" w:cs="Arial"/>
          <w:sz w:val="26"/>
          <w:szCs w:val="26"/>
        </w:rPr>
        <w:t>7</w:t>
      </w:r>
      <w:r w:rsidR="004D4D0C">
        <w:rPr>
          <w:rFonts w:ascii="Arial" w:hAnsi="Arial" w:cs="Arial"/>
          <w:sz w:val="26"/>
          <w:szCs w:val="26"/>
        </w:rPr>
        <w:t xml:space="preserve">. </w:t>
      </w:r>
      <w:r w:rsidR="00E15E1D">
        <w:rPr>
          <w:rFonts w:ascii="Arial" w:hAnsi="Arial" w:cs="Arial"/>
          <w:sz w:val="26"/>
          <w:szCs w:val="26"/>
        </w:rPr>
        <w:t>La anterior</w:t>
      </w:r>
      <w:r w:rsidR="004D4D0C">
        <w:rPr>
          <w:rFonts w:ascii="Arial" w:hAnsi="Arial" w:cs="Arial"/>
          <w:sz w:val="26"/>
          <w:szCs w:val="26"/>
        </w:rPr>
        <w:t xml:space="preserve"> decisión se toma, no obstante</w:t>
      </w:r>
      <w:r w:rsidR="00E15E1D">
        <w:rPr>
          <w:rFonts w:ascii="Arial" w:hAnsi="Arial" w:cs="Arial"/>
          <w:sz w:val="26"/>
          <w:szCs w:val="26"/>
        </w:rPr>
        <w:t xml:space="preserve"> esta</w:t>
      </w:r>
      <w:r w:rsidR="004D4D0C">
        <w:rPr>
          <w:rFonts w:ascii="Arial" w:hAnsi="Arial" w:cs="Arial"/>
          <w:sz w:val="26"/>
          <w:szCs w:val="26"/>
        </w:rPr>
        <w:t xml:space="preserve"> corporación </w:t>
      </w:r>
      <w:r w:rsidR="00C362F1">
        <w:rPr>
          <w:rFonts w:ascii="Arial" w:hAnsi="Arial" w:cs="Arial"/>
          <w:sz w:val="26"/>
          <w:szCs w:val="26"/>
        </w:rPr>
        <w:t>en</w:t>
      </w:r>
      <w:r w:rsidR="004D4D0C">
        <w:rPr>
          <w:rFonts w:ascii="Arial" w:hAnsi="Arial" w:cs="Arial"/>
          <w:sz w:val="26"/>
          <w:szCs w:val="26"/>
        </w:rPr>
        <w:t xml:space="preserve"> recientes pronunciamientos</w:t>
      </w:r>
      <w:r w:rsidR="00C362F1">
        <w:rPr>
          <w:rFonts w:ascii="Arial" w:hAnsi="Arial" w:cs="Arial"/>
          <w:sz w:val="26"/>
          <w:szCs w:val="26"/>
        </w:rPr>
        <w:t>,</w:t>
      </w:r>
      <w:r w:rsidR="004D4D0C">
        <w:rPr>
          <w:rFonts w:ascii="Arial" w:hAnsi="Arial" w:cs="Arial"/>
          <w:sz w:val="26"/>
          <w:szCs w:val="26"/>
        </w:rPr>
        <w:t xml:space="preserve"> en asuntos similares al caso concreto,</w:t>
      </w:r>
      <w:r w:rsidR="00E15E1D">
        <w:rPr>
          <w:rFonts w:ascii="Arial" w:hAnsi="Arial" w:cs="Arial"/>
          <w:sz w:val="26"/>
          <w:szCs w:val="26"/>
        </w:rPr>
        <w:t xml:space="preserve"> concedió el amparo constitucional invocado a pesar de no haberse cumplido con el presupuesto de subsidiaridad, al considerar que el juzgador incurrió en una protuberante irregularidad que afecta el debido proceso del actor, pues inadmitió y posteriormente rechazó sus demandas populares, con fundamento en la falta de un requisito no consagrado por el legislador en la normatividad especial que regula la materia. </w:t>
      </w:r>
    </w:p>
    <w:p w:rsidR="00F94531" w:rsidRPr="00F94531" w:rsidRDefault="00F94531" w:rsidP="004D4D0C">
      <w:pPr>
        <w:pStyle w:val="Sinespaciado1"/>
        <w:spacing w:line="360" w:lineRule="auto"/>
        <w:ind w:firstLine="2832"/>
        <w:jc w:val="both"/>
        <w:rPr>
          <w:rFonts w:ascii="Arial" w:hAnsi="Arial" w:cs="Arial"/>
          <w:sz w:val="16"/>
          <w:szCs w:val="16"/>
        </w:rPr>
      </w:pPr>
    </w:p>
    <w:p w:rsidR="007E5335" w:rsidRDefault="00550D9A" w:rsidP="00550D9A">
      <w:pPr>
        <w:pStyle w:val="Sinespaciado1"/>
        <w:spacing w:line="360" w:lineRule="auto"/>
        <w:ind w:firstLine="2835"/>
        <w:jc w:val="both"/>
        <w:rPr>
          <w:rFonts w:ascii="Arial" w:hAnsi="Arial" w:cs="Arial"/>
          <w:sz w:val="26"/>
          <w:szCs w:val="26"/>
        </w:rPr>
      </w:pPr>
      <w:r>
        <w:rPr>
          <w:rFonts w:ascii="Arial" w:hAnsi="Arial" w:cs="Arial"/>
          <w:sz w:val="26"/>
          <w:szCs w:val="26"/>
        </w:rPr>
        <w:t>Precisando</w:t>
      </w:r>
      <w:r w:rsidR="007E5335" w:rsidRPr="00E15E1D">
        <w:rPr>
          <w:rFonts w:ascii="Arial" w:hAnsi="Arial" w:cs="Arial"/>
          <w:sz w:val="26"/>
          <w:szCs w:val="26"/>
        </w:rPr>
        <w:t xml:space="preserve"> que</w:t>
      </w:r>
      <w:r>
        <w:rPr>
          <w:rFonts w:ascii="Arial" w:hAnsi="Arial" w:cs="Arial"/>
          <w:sz w:val="26"/>
          <w:szCs w:val="26"/>
        </w:rPr>
        <w:t xml:space="preserve"> así se ha procedido, teniendo en cuenta que</w:t>
      </w:r>
      <w:r w:rsidR="007E5335" w:rsidRPr="00E15E1D">
        <w:rPr>
          <w:rFonts w:ascii="Arial" w:hAnsi="Arial" w:cs="Arial"/>
          <w:sz w:val="26"/>
          <w:szCs w:val="26"/>
        </w:rPr>
        <w:t xml:space="preserve"> </w:t>
      </w:r>
      <w:r w:rsidR="007E5335">
        <w:rPr>
          <w:rFonts w:ascii="Arial" w:hAnsi="Arial" w:cs="Arial"/>
          <w:sz w:val="26"/>
          <w:szCs w:val="26"/>
        </w:rPr>
        <w:t>l</w:t>
      </w:r>
      <w:r w:rsidR="007E5335" w:rsidRPr="001A49A7">
        <w:rPr>
          <w:rFonts w:ascii="Arial" w:hAnsi="Arial" w:cs="Arial"/>
          <w:sz w:val="26"/>
          <w:szCs w:val="26"/>
        </w:rPr>
        <w:t>a Sala de Casación Civil</w:t>
      </w:r>
      <w:r w:rsidR="007E5335">
        <w:rPr>
          <w:rFonts w:ascii="Arial" w:hAnsi="Arial" w:cs="Arial"/>
          <w:sz w:val="26"/>
          <w:szCs w:val="26"/>
        </w:rPr>
        <w:t xml:space="preserve"> de la Corte Suprema de Justicia, considera que </w:t>
      </w:r>
      <w:r w:rsidR="007E5335" w:rsidRPr="00C968E8">
        <w:rPr>
          <w:rFonts w:ascii="Arial" w:hAnsi="Arial" w:cs="Arial"/>
          <w:spacing w:val="-5"/>
          <w:sz w:val="26"/>
          <w:szCs w:val="26"/>
        </w:rPr>
        <w:t xml:space="preserve">los </w:t>
      </w:r>
      <w:r>
        <w:rPr>
          <w:rFonts w:ascii="Arial" w:hAnsi="Arial" w:cs="Arial"/>
          <w:spacing w:val="-5"/>
          <w:sz w:val="26"/>
          <w:szCs w:val="26"/>
        </w:rPr>
        <w:t>requisitos</w:t>
      </w:r>
      <w:r w:rsidR="007E5335" w:rsidRPr="00C968E8">
        <w:rPr>
          <w:rFonts w:ascii="Arial" w:hAnsi="Arial" w:cs="Arial"/>
          <w:spacing w:val="-5"/>
          <w:sz w:val="26"/>
          <w:szCs w:val="26"/>
        </w:rPr>
        <w:t xml:space="preserve"> de subsidiariedad e inmediatez no son aplicables </w:t>
      </w:r>
      <w:r w:rsidR="007E5335" w:rsidRPr="00C968E8">
        <w:rPr>
          <w:rFonts w:ascii="Arial" w:hAnsi="Arial" w:cs="Arial"/>
          <w:spacing w:val="-5"/>
          <w:sz w:val="26"/>
          <w:szCs w:val="26"/>
        </w:rPr>
        <w:lastRenderedPageBreak/>
        <w:t xml:space="preserve">cuando </w:t>
      </w:r>
      <w:r w:rsidR="007E5335" w:rsidRPr="00C968E8">
        <w:rPr>
          <w:rFonts w:ascii="Arial" w:hAnsi="Arial" w:cs="Arial"/>
          <w:i/>
          <w:spacing w:val="-5"/>
          <w:sz w:val="24"/>
          <w:szCs w:val="24"/>
        </w:rPr>
        <w:t>“</w:t>
      </w:r>
      <w:r w:rsidR="007E5335">
        <w:rPr>
          <w:rFonts w:ascii="Arial" w:hAnsi="Arial" w:cs="Arial"/>
          <w:i/>
          <w:spacing w:val="-5"/>
          <w:sz w:val="24"/>
          <w:szCs w:val="24"/>
        </w:rPr>
        <w:t xml:space="preserve">el </w:t>
      </w:r>
      <w:r w:rsidR="007E5335" w:rsidRPr="00C968E8">
        <w:rPr>
          <w:rFonts w:ascii="Arial" w:hAnsi="Arial" w:cs="Arial"/>
          <w:i/>
          <w:spacing w:val="-5"/>
          <w:sz w:val="24"/>
          <w:szCs w:val="24"/>
        </w:rPr>
        <w:t>pronunciamiento objeto de reproche desconoce de manera protuberante los derechos fundamentales o las normas de orden público”</w:t>
      </w:r>
      <w:r w:rsidR="007E5335" w:rsidRPr="00C968E8">
        <w:rPr>
          <w:rStyle w:val="Appelnotedebasdep"/>
          <w:rFonts w:ascii="Arial" w:hAnsi="Arial" w:cs="Arial"/>
          <w:i/>
          <w:spacing w:val="-5"/>
          <w:sz w:val="24"/>
          <w:szCs w:val="24"/>
        </w:rPr>
        <w:footnoteReference w:id="4"/>
      </w:r>
      <w:r w:rsidR="007E5335">
        <w:rPr>
          <w:rFonts w:ascii="Arial" w:hAnsi="Arial" w:cs="Arial"/>
          <w:sz w:val="26"/>
          <w:szCs w:val="26"/>
        </w:rPr>
        <w:t>.</w:t>
      </w:r>
    </w:p>
    <w:p w:rsidR="007E5335" w:rsidRPr="00A21ADE" w:rsidRDefault="007E5335" w:rsidP="00550D9A">
      <w:pPr>
        <w:pStyle w:val="Sinespaciado1"/>
        <w:spacing w:line="360" w:lineRule="auto"/>
        <w:ind w:firstLine="2835"/>
        <w:jc w:val="both"/>
        <w:rPr>
          <w:rFonts w:ascii="Arial" w:hAnsi="Arial" w:cs="Arial"/>
          <w:sz w:val="16"/>
          <w:szCs w:val="16"/>
        </w:rPr>
      </w:pPr>
    </w:p>
    <w:p w:rsidR="007E5335" w:rsidRDefault="007E5335" w:rsidP="00550D9A">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7E5335" w:rsidRPr="00583F58" w:rsidRDefault="007E5335" w:rsidP="007E5335">
      <w:pPr>
        <w:tabs>
          <w:tab w:val="left" w:pos="-720"/>
        </w:tabs>
        <w:suppressAutoHyphens/>
        <w:spacing w:line="360" w:lineRule="auto"/>
        <w:ind w:firstLine="2835"/>
        <w:jc w:val="both"/>
        <w:rPr>
          <w:rFonts w:ascii="Arial" w:hAnsi="Arial" w:cs="Arial"/>
          <w:sz w:val="12"/>
          <w:szCs w:val="12"/>
        </w:rPr>
      </w:pPr>
    </w:p>
    <w:p w:rsidR="007E5335" w:rsidRPr="003F4823" w:rsidRDefault="007E5335" w:rsidP="007E5335">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w:t>
      </w:r>
      <w:proofErr w:type="spellStart"/>
      <w:r w:rsidRPr="00D278AB">
        <w:rPr>
          <w:rFonts w:ascii="Arial" w:hAnsi="Arial" w:cs="Arial"/>
          <w:i/>
          <w:spacing w:val="-5"/>
          <w:sz w:val="24"/>
          <w:szCs w:val="24"/>
        </w:rPr>
        <w:t>tutelante</w:t>
      </w:r>
      <w:proofErr w:type="spellEnd"/>
      <w:r w:rsidRPr="00D278AB">
        <w:rPr>
          <w:rFonts w:ascii="Arial" w:hAnsi="Arial" w:cs="Arial"/>
          <w:i/>
          <w:spacing w:val="-5"/>
          <w:sz w:val="24"/>
          <w:szCs w:val="24"/>
        </w:rPr>
        <w:t xml:space="preserve"> en su libelo pide que a su demandada se le exija alleg</w:t>
      </w:r>
      <w:r>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Appelnotedebasdep"/>
          <w:rFonts w:ascii="Arial" w:hAnsi="Arial" w:cs="Arial"/>
          <w:i/>
          <w:spacing w:val="-5"/>
          <w:sz w:val="24"/>
          <w:szCs w:val="24"/>
        </w:rPr>
        <w:footnoteReference w:id="5"/>
      </w:r>
    </w:p>
    <w:p w:rsidR="007E5335" w:rsidRDefault="007E5335" w:rsidP="007E5335">
      <w:pPr>
        <w:pStyle w:val="Sinespaciado1"/>
        <w:ind w:firstLine="2829"/>
        <w:jc w:val="both"/>
        <w:rPr>
          <w:rFonts w:ascii="Arial" w:eastAsia="MS Gothic" w:hAnsi="Arial" w:cs="Arial"/>
          <w:sz w:val="16"/>
          <w:szCs w:val="16"/>
        </w:rPr>
      </w:pPr>
    </w:p>
    <w:p w:rsidR="007E5335" w:rsidRPr="00584DEE" w:rsidRDefault="007E5335" w:rsidP="007E5335">
      <w:pPr>
        <w:pStyle w:val="Sinespaciado1"/>
        <w:ind w:firstLine="2829"/>
        <w:jc w:val="both"/>
        <w:rPr>
          <w:rFonts w:ascii="Arial" w:eastAsia="MS Gothic" w:hAnsi="Arial" w:cs="Arial"/>
          <w:sz w:val="16"/>
          <w:szCs w:val="16"/>
        </w:rPr>
      </w:pPr>
    </w:p>
    <w:p w:rsidR="00ED277C" w:rsidRPr="00D01C49" w:rsidRDefault="00550D9A" w:rsidP="00D01C49">
      <w:pPr>
        <w:pStyle w:val="Sinespaciado1"/>
        <w:spacing w:line="360" w:lineRule="auto"/>
        <w:ind w:firstLine="2832"/>
        <w:jc w:val="both"/>
        <w:rPr>
          <w:rFonts w:ascii="Arial" w:hAnsi="Arial" w:cs="Arial"/>
          <w:sz w:val="26"/>
          <w:szCs w:val="26"/>
        </w:rPr>
      </w:pPr>
      <w:r>
        <w:rPr>
          <w:rFonts w:ascii="Arial" w:hAnsi="Arial" w:cs="Arial"/>
          <w:sz w:val="26"/>
          <w:szCs w:val="26"/>
        </w:rPr>
        <w:t>N</w:t>
      </w:r>
      <w:r w:rsidR="00E15E1D" w:rsidRPr="00E15E1D">
        <w:rPr>
          <w:rFonts w:ascii="Arial" w:hAnsi="Arial" w:cs="Arial"/>
          <w:sz w:val="26"/>
          <w:szCs w:val="26"/>
        </w:rPr>
        <w:t>o desconoce</w:t>
      </w:r>
      <w:r w:rsidR="0019540C">
        <w:rPr>
          <w:rFonts w:ascii="Arial" w:hAnsi="Arial" w:cs="Arial"/>
          <w:sz w:val="26"/>
          <w:szCs w:val="26"/>
        </w:rPr>
        <w:t xml:space="preserve"> esta Sala</w:t>
      </w:r>
      <w:r w:rsidR="00E15E1D" w:rsidRPr="00E15E1D">
        <w:rPr>
          <w:rFonts w:ascii="Arial" w:hAnsi="Arial" w:cs="Arial"/>
          <w:sz w:val="26"/>
          <w:szCs w:val="26"/>
        </w:rPr>
        <w:t xml:space="preserve"> el contenido de</w:t>
      </w:r>
      <w:r w:rsidR="00F94531">
        <w:rPr>
          <w:rFonts w:ascii="Arial" w:hAnsi="Arial" w:cs="Arial"/>
          <w:sz w:val="26"/>
          <w:szCs w:val="26"/>
        </w:rPr>
        <w:t xml:space="preserve"> </w:t>
      </w:r>
      <w:r w:rsidR="00E15E1D" w:rsidRPr="00E15E1D">
        <w:rPr>
          <w:rFonts w:ascii="Arial" w:hAnsi="Arial" w:cs="Arial"/>
          <w:sz w:val="26"/>
          <w:szCs w:val="26"/>
        </w:rPr>
        <w:t>l</w:t>
      </w:r>
      <w:r w:rsidR="00F94531">
        <w:rPr>
          <w:rFonts w:ascii="Arial" w:hAnsi="Arial" w:cs="Arial"/>
          <w:sz w:val="26"/>
          <w:szCs w:val="26"/>
        </w:rPr>
        <w:t>as providencias citadas</w:t>
      </w:r>
      <w:r w:rsidR="004D4D0C">
        <w:rPr>
          <w:rFonts w:ascii="Arial" w:hAnsi="Arial" w:cs="Arial"/>
          <w:sz w:val="26"/>
          <w:szCs w:val="26"/>
        </w:rPr>
        <w:t xml:space="preserve">, sin embargo, </w:t>
      </w:r>
      <w:r>
        <w:rPr>
          <w:rFonts w:ascii="Arial" w:hAnsi="Arial" w:cs="Arial"/>
          <w:sz w:val="26"/>
          <w:szCs w:val="26"/>
        </w:rPr>
        <w:t xml:space="preserve">en este caso concreto, </w:t>
      </w:r>
      <w:r w:rsidR="009A2C94">
        <w:rPr>
          <w:rFonts w:ascii="Arial" w:hAnsi="Arial" w:cs="Arial"/>
          <w:sz w:val="26"/>
          <w:szCs w:val="26"/>
        </w:rPr>
        <w:t xml:space="preserve">respetuosamente se aparta de ellas, </w:t>
      </w:r>
      <w:r>
        <w:rPr>
          <w:rFonts w:ascii="Arial" w:hAnsi="Arial" w:cs="Arial"/>
          <w:sz w:val="26"/>
          <w:szCs w:val="26"/>
        </w:rPr>
        <w:t>ante la</w:t>
      </w:r>
      <w:r w:rsidR="00F94531">
        <w:rPr>
          <w:rFonts w:ascii="Arial" w:hAnsi="Arial" w:cs="Arial"/>
          <w:sz w:val="26"/>
          <w:szCs w:val="26"/>
        </w:rPr>
        <w:t xml:space="preserve"> </w:t>
      </w:r>
      <w:r>
        <w:rPr>
          <w:rFonts w:ascii="Arial" w:hAnsi="Arial" w:cs="Arial"/>
          <w:sz w:val="26"/>
          <w:szCs w:val="26"/>
        </w:rPr>
        <w:t xml:space="preserve">decisión de la propia </w:t>
      </w:r>
      <w:r w:rsidR="00CD0456" w:rsidRPr="00395749">
        <w:rPr>
          <w:rFonts w:ascii="Arial" w:hAnsi="Arial" w:cs="Arial"/>
          <w:sz w:val="26"/>
          <w:szCs w:val="26"/>
        </w:rPr>
        <w:t>Corte Suprema de Justicia</w:t>
      </w:r>
      <w:r w:rsidR="0019540C">
        <w:rPr>
          <w:rFonts w:ascii="Arial" w:hAnsi="Arial" w:cs="Arial"/>
          <w:sz w:val="26"/>
          <w:szCs w:val="26"/>
        </w:rPr>
        <w:t>, del 30 de junio pasado, que ordenó devolver el expediente al Juzgado Segundo Civil del Circuito de Pereira, para que “</w:t>
      </w:r>
      <w:r w:rsidR="0019540C" w:rsidRPr="00A90AD1">
        <w:rPr>
          <w:rFonts w:ascii="Arial" w:hAnsi="Arial" w:cs="Arial"/>
          <w:sz w:val="26"/>
          <w:szCs w:val="26"/>
          <w:u w:val="single"/>
        </w:rPr>
        <w:t>inadmitiera</w:t>
      </w:r>
      <w:r w:rsidR="0019540C">
        <w:rPr>
          <w:rFonts w:ascii="Arial" w:hAnsi="Arial" w:cs="Arial"/>
          <w:sz w:val="26"/>
          <w:szCs w:val="26"/>
        </w:rPr>
        <w:t xml:space="preserve"> el libelo” y requiriera al actor popular para que precisara si el domicilio de la parte demandada era el principal o el de una sucursal o agencia suya, y además, allegara el certificado de existencia y representación legal (</w:t>
      </w:r>
      <w:proofErr w:type="spellStart"/>
      <w:r w:rsidR="0019540C">
        <w:rPr>
          <w:rFonts w:ascii="Arial" w:hAnsi="Arial" w:cs="Arial"/>
          <w:sz w:val="26"/>
          <w:szCs w:val="26"/>
        </w:rPr>
        <w:t>fls</w:t>
      </w:r>
      <w:proofErr w:type="spellEnd"/>
      <w:r w:rsidR="0019540C">
        <w:rPr>
          <w:rFonts w:ascii="Arial" w:hAnsi="Arial" w:cs="Arial"/>
          <w:sz w:val="26"/>
          <w:szCs w:val="26"/>
        </w:rPr>
        <w:t>. 152-159 del disco compacto anexo a folio 17 del expediente)</w:t>
      </w:r>
      <w:r w:rsidR="004D4D0C">
        <w:rPr>
          <w:rFonts w:ascii="Arial" w:hAnsi="Arial" w:cs="Arial"/>
          <w:sz w:val="26"/>
          <w:szCs w:val="26"/>
        </w:rPr>
        <w:t>.</w:t>
      </w:r>
      <w:r w:rsidR="00386FF6">
        <w:rPr>
          <w:rFonts w:ascii="Arial" w:hAnsi="Arial" w:cs="Arial"/>
          <w:sz w:val="26"/>
          <w:szCs w:val="26"/>
        </w:rPr>
        <w:t xml:space="preserve"> Ante la orden perentoria del alto tribunal, no le quedaba otra opción al juzgado, que, en obedecimiento a lo dispuesto, rechazar la acción constitucional.</w:t>
      </w:r>
    </w:p>
    <w:p w:rsidR="004D4D0C" w:rsidRPr="005E67C0" w:rsidRDefault="004D4D0C" w:rsidP="004D4D0C">
      <w:pPr>
        <w:pStyle w:val="Sinespaciado1"/>
        <w:spacing w:line="360" w:lineRule="auto"/>
        <w:ind w:firstLine="2832"/>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5E67C0"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5E67C0"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lastRenderedPageBreak/>
        <w:t>RESUELVE:</w:t>
      </w:r>
    </w:p>
    <w:p w:rsidR="005E67C0" w:rsidRPr="005E67C0"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DECLARAR IMPROCEDENTE</w:t>
      </w:r>
      <w:r>
        <w:rPr>
          <w:rFonts w:ascii="Arial" w:hAnsi="Arial" w:cs="Arial"/>
          <w:spacing w:val="-3"/>
        </w:rPr>
        <w:t xml:space="preserve"> </w:t>
      </w:r>
      <w:r w:rsidR="005A5D34">
        <w:rPr>
          <w:rFonts w:ascii="Arial" w:hAnsi="Arial" w:cs="Arial"/>
          <w:spacing w:val="-3"/>
        </w:rPr>
        <w:t>e</w:t>
      </w:r>
      <w:r>
        <w:rPr>
          <w:rFonts w:ascii="Arial" w:hAnsi="Arial" w:cs="Arial"/>
          <w:spacing w:val="-3"/>
          <w:sz w:val="26"/>
          <w:szCs w:val="26"/>
          <w:lang w:val="es-ES"/>
        </w:rPr>
        <w:t xml:space="preserv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00A85DAD">
        <w:rPr>
          <w:rFonts w:ascii="Arial" w:hAnsi="Arial" w:cs="Arial"/>
          <w:szCs w:val="24"/>
          <w:lang w:val="es-ES" w:eastAsia="es-ES"/>
        </w:rPr>
        <w:t>LEANDRO GIRALDO</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A85DAD">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E69C2" w:rsidRPr="000905F6" w:rsidRDefault="005E69C2" w:rsidP="005E69C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E69C2"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5E69C2" w:rsidRPr="000905F6" w:rsidRDefault="005E69C2"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5E69C2" w:rsidRPr="000905F6" w:rsidRDefault="005E69C2" w:rsidP="005E69C2">
      <w:pPr>
        <w:pStyle w:val="Sinespaciado1"/>
        <w:spacing w:line="360" w:lineRule="auto"/>
        <w:ind w:firstLine="2835"/>
        <w:jc w:val="both"/>
        <w:rPr>
          <w:rFonts w:ascii="Arial" w:hAnsi="Arial" w:cs="Arial"/>
          <w:spacing w:val="-3"/>
          <w:sz w:val="18"/>
          <w:szCs w:val="26"/>
        </w:rPr>
      </w:pPr>
    </w:p>
    <w:p w:rsidR="005E69C2" w:rsidRPr="00EC2B78" w:rsidRDefault="005E69C2" w:rsidP="005E69C2">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C1786" w:rsidRDefault="00EC1786" w:rsidP="00BB31FA">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5E69C2" w:rsidRPr="00BB31FA" w:rsidRDefault="005E69C2" w:rsidP="00BB31FA">
      <w:pPr>
        <w:pStyle w:val="Sinespaciado1"/>
        <w:ind w:firstLine="2835"/>
        <w:jc w:val="both"/>
        <w:rPr>
          <w:rFonts w:ascii="Arial" w:hAnsi="Arial" w:cs="Arial"/>
          <w:b/>
          <w:spacing w:val="-3"/>
        </w:rPr>
      </w:pPr>
    </w:p>
    <w:p w:rsidR="00F517CE" w:rsidRPr="00BB31FA" w:rsidRDefault="00F517CE"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BB31FA" w:rsidRPr="00BB31FA" w:rsidRDefault="00BB31FA" w:rsidP="00BB31FA">
      <w:pPr>
        <w:pStyle w:val="Sinespaciado1"/>
        <w:ind w:firstLine="2835"/>
        <w:jc w:val="both"/>
        <w:rPr>
          <w:rFonts w:ascii="Arial" w:hAnsi="Arial" w:cs="Arial"/>
          <w:b/>
          <w:spacing w:val="-3"/>
        </w:rPr>
      </w:pPr>
    </w:p>
    <w:p w:rsidR="00B36D79" w:rsidRDefault="005E69C2" w:rsidP="00B36D79">
      <w:pPr>
        <w:pStyle w:val="Sinespaciado1"/>
        <w:ind w:left="2832"/>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spacing w:val="-3"/>
        </w:rPr>
      </w:pPr>
    </w:p>
    <w:p w:rsidR="00B36D79" w:rsidRDefault="00B36D79" w:rsidP="00B36D79">
      <w:pPr>
        <w:pStyle w:val="Sinespaciado1"/>
        <w:ind w:left="2832"/>
        <w:jc w:val="both"/>
        <w:rPr>
          <w:rFonts w:ascii="Arial" w:hAnsi="Arial" w:cs="Arial"/>
          <w:b/>
        </w:rPr>
      </w:pPr>
    </w:p>
    <w:p w:rsidR="00D01C49" w:rsidRDefault="005E69C2" w:rsidP="00D01C49">
      <w:pPr>
        <w:pStyle w:val="Sinespaciado1"/>
        <w:ind w:left="2832"/>
        <w:jc w:val="both"/>
        <w:rPr>
          <w:rFonts w:ascii="Arial" w:hAnsi="Arial" w:cs="Arial"/>
          <w:b/>
        </w:rPr>
      </w:pPr>
      <w:r w:rsidRPr="00BB31FA">
        <w:rPr>
          <w:rFonts w:ascii="Arial" w:hAnsi="Arial" w:cs="Arial"/>
          <w:b/>
        </w:rPr>
        <w:t>CLAUDIA MARÍA ARCILA RÍOS</w:t>
      </w:r>
    </w:p>
    <w:p w:rsidR="00A85DAD" w:rsidRPr="00A85DAD" w:rsidRDefault="00A85DAD" w:rsidP="00A85DAD">
      <w:pPr>
        <w:pStyle w:val="Sinespaciado1"/>
        <w:jc w:val="center"/>
        <w:rPr>
          <w:rFonts w:ascii="Arial" w:hAnsi="Arial" w:cs="Arial"/>
        </w:rPr>
      </w:pPr>
      <w:r>
        <w:rPr>
          <w:rFonts w:ascii="Arial" w:hAnsi="Arial" w:cs="Arial"/>
        </w:rPr>
        <w:t xml:space="preserve">  (</w:t>
      </w:r>
      <w:proofErr w:type="gramStart"/>
      <w:r>
        <w:rPr>
          <w:rFonts w:ascii="Arial" w:hAnsi="Arial" w:cs="Arial"/>
        </w:rPr>
        <w:t>ausente</w:t>
      </w:r>
      <w:proofErr w:type="gramEnd"/>
      <w:r>
        <w:rPr>
          <w:rFonts w:ascii="Arial" w:hAnsi="Arial" w:cs="Arial"/>
        </w:rPr>
        <w:t xml:space="preserve"> con causa justificada)</w:t>
      </w:r>
    </w:p>
    <w:sectPr w:rsidR="00A85DAD" w:rsidRPr="00A85DAD" w:rsidSect="009A2C94">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4D" w:rsidRDefault="00CA6E4D" w:rsidP="00354126">
      <w:r>
        <w:separator/>
      </w:r>
    </w:p>
  </w:endnote>
  <w:endnote w:type="continuationSeparator" w:id="0">
    <w:p w:rsidR="00CA6E4D" w:rsidRDefault="00CA6E4D"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A5883">
      <w:rPr>
        <w:rFonts w:ascii="Arial" w:hAnsi="Arial" w:cs="Arial"/>
        <w:noProof/>
        <w:sz w:val="22"/>
        <w:szCs w:val="22"/>
      </w:rPr>
      <w:t>1</w:t>
    </w:r>
    <w:r w:rsidRPr="00B97631">
      <w:rPr>
        <w:rFonts w:ascii="Arial" w:hAnsi="Arial" w:cs="Arial"/>
        <w:sz w:val="22"/>
        <w:szCs w:val="22"/>
      </w:rPr>
      <w:fldChar w:fldCharType="end"/>
    </w:r>
  </w:p>
  <w:p w:rsidR="004903EA" w:rsidRDefault="00CA6E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4D" w:rsidRDefault="00CA6E4D" w:rsidP="00354126">
      <w:r>
        <w:separator/>
      </w:r>
    </w:p>
  </w:footnote>
  <w:footnote w:type="continuationSeparator" w:id="0">
    <w:p w:rsidR="00CA6E4D" w:rsidRDefault="00CA6E4D"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0005E2" w:rsidRPr="000F09CD" w:rsidRDefault="000005E2" w:rsidP="000005E2">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0005E2" w:rsidRPr="00C1307D" w:rsidRDefault="000005E2" w:rsidP="000005E2">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 w:id="4">
    <w:p w:rsidR="007E5335" w:rsidRPr="00C968E8" w:rsidRDefault="007E5335" w:rsidP="007E5335">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xml:space="preserve">: Dr. Ariel Salazar Ramírez, sentencia </w:t>
      </w:r>
      <w:proofErr w:type="spellStart"/>
      <w:r w:rsidRPr="00C968E8">
        <w:rPr>
          <w:rFonts w:ascii="Arial" w:hAnsi="Arial" w:cs="Arial"/>
        </w:rPr>
        <w:t>STC1932</w:t>
      </w:r>
      <w:proofErr w:type="spellEnd"/>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proofErr w:type="spellStart"/>
      <w:r w:rsidRPr="000A10F0">
        <w:rPr>
          <w:rFonts w:ascii="Arial" w:hAnsi="Arial" w:cs="Arial"/>
        </w:rPr>
        <w:t>STC</w:t>
      </w:r>
      <w:proofErr w:type="spellEnd"/>
      <w:r w:rsidRPr="000A10F0">
        <w:rPr>
          <w:rFonts w:ascii="Arial" w:hAnsi="Arial" w:cs="Arial"/>
        </w:rPr>
        <w:t xml:space="preserve">-4810-2017, </w:t>
      </w:r>
      <w:proofErr w:type="spellStart"/>
      <w:r w:rsidRPr="000A10F0">
        <w:rPr>
          <w:rFonts w:ascii="Arial" w:hAnsi="Arial" w:cs="Arial"/>
        </w:rPr>
        <w:t>STC</w:t>
      </w:r>
      <w:proofErr w:type="spellEnd"/>
      <w:r w:rsidRPr="000A10F0">
        <w:rPr>
          <w:rFonts w:ascii="Arial" w:hAnsi="Arial" w:cs="Arial"/>
        </w:rPr>
        <w:t xml:space="preserve">-4591-2017, </w:t>
      </w:r>
      <w:proofErr w:type="spellStart"/>
      <w:r w:rsidRPr="000A10F0">
        <w:rPr>
          <w:rFonts w:ascii="Arial" w:hAnsi="Arial" w:cs="Arial"/>
        </w:rPr>
        <w:t>STC</w:t>
      </w:r>
      <w:proofErr w:type="spellEnd"/>
      <w:r w:rsidRPr="000A10F0">
        <w:rPr>
          <w:rFonts w:ascii="Arial" w:hAnsi="Arial" w:cs="Arial"/>
        </w:rPr>
        <w:t xml:space="preserve">-3680-2017, </w:t>
      </w:r>
      <w:proofErr w:type="spellStart"/>
      <w:r w:rsidRPr="000A10F0">
        <w:rPr>
          <w:rFonts w:ascii="Arial" w:hAnsi="Arial" w:cs="Arial"/>
        </w:rPr>
        <w:t>STC</w:t>
      </w:r>
      <w:proofErr w:type="spellEnd"/>
      <w:r w:rsidRPr="000A10F0">
        <w:rPr>
          <w:rFonts w:ascii="Arial" w:hAnsi="Arial" w:cs="Arial"/>
        </w:rPr>
        <w:t xml:space="preserve">-3664-2017, </w:t>
      </w:r>
      <w:proofErr w:type="spellStart"/>
      <w:r w:rsidRPr="000A10F0">
        <w:rPr>
          <w:rFonts w:ascii="Arial" w:hAnsi="Arial" w:cs="Arial"/>
        </w:rPr>
        <w:t>STC1932</w:t>
      </w:r>
      <w:proofErr w:type="spellEnd"/>
      <w:r w:rsidRPr="000A10F0">
        <w:rPr>
          <w:rFonts w:ascii="Arial" w:hAnsi="Arial" w:cs="Arial"/>
        </w:rPr>
        <w:t xml:space="preserve">-2017, sentencia del </w:t>
      </w:r>
      <w:proofErr w:type="spellStart"/>
      <w:r w:rsidRPr="000A10F0">
        <w:rPr>
          <w:rFonts w:ascii="Arial" w:hAnsi="Arial" w:cs="Arial"/>
        </w:rPr>
        <w:t>17</w:t>
      </w:r>
      <w:r w:rsidRPr="00C968E8">
        <w:rPr>
          <w:rFonts w:ascii="Arial" w:hAnsi="Arial" w:cs="Arial"/>
        </w:rPr>
        <w:t>de</w:t>
      </w:r>
      <w:proofErr w:type="spellEnd"/>
      <w:r w:rsidRPr="00C968E8">
        <w:rPr>
          <w:rFonts w:ascii="Arial" w:hAnsi="Arial" w:cs="Arial"/>
        </w:rPr>
        <w:t xml:space="preserve"> febrero de 2017, expediente </w:t>
      </w:r>
      <w:proofErr w:type="spellStart"/>
      <w:r w:rsidRPr="00C968E8">
        <w:rPr>
          <w:rFonts w:ascii="Arial" w:hAnsi="Arial" w:cs="Arial"/>
        </w:rPr>
        <w:t>No.</w:t>
      </w:r>
      <w:r w:rsidRPr="000A10F0">
        <w:rPr>
          <w:rFonts w:ascii="Arial" w:hAnsi="Arial" w:cs="Arial"/>
        </w:rPr>
        <w:t>66001</w:t>
      </w:r>
      <w:proofErr w:type="spellEnd"/>
      <w:r w:rsidRPr="000A10F0">
        <w:rPr>
          <w:rFonts w:ascii="Arial" w:hAnsi="Arial" w:cs="Arial"/>
        </w:rPr>
        <w:t>-22-13-000-2016-01122-01, entre otras.</w:t>
      </w:r>
    </w:p>
  </w:footnote>
  <w:footnote w:id="5">
    <w:p w:rsidR="007E5335" w:rsidRPr="00BD2BD4" w:rsidRDefault="007E5335" w:rsidP="007E5335">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w:t>
      </w:r>
      <w:proofErr w:type="spellStart"/>
      <w:r w:rsidRPr="00BD2BD4">
        <w:rPr>
          <w:rFonts w:ascii="Verdana" w:hAnsi="Verdana"/>
          <w:sz w:val="18"/>
          <w:szCs w:val="18"/>
        </w:rPr>
        <w:t>Monsalvo</w:t>
      </w:r>
      <w:proofErr w:type="spellEnd"/>
      <w:r w:rsidRPr="00BD2BD4">
        <w:rPr>
          <w:rFonts w:ascii="Verdana" w:hAnsi="Verdana"/>
          <w:sz w:val="18"/>
          <w:szCs w:val="18"/>
        </w:rPr>
        <w:t xml:space="preserve"> sentencia de tutela </w:t>
      </w:r>
      <w:proofErr w:type="spellStart"/>
      <w:r w:rsidRPr="00BD2BD4">
        <w:rPr>
          <w:rFonts w:ascii="Verdana" w:hAnsi="Verdana"/>
          <w:sz w:val="18"/>
          <w:szCs w:val="18"/>
        </w:rPr>
        <w:t>STC5482</w:t>
      </w:r>
      <w:proofErr w:type="spellEnd"/>
      <w:r w:rsidRPr="00BD2BD4">
        <w:rPr>
          <w:rFonts w:ascii="Verdana" w:hAnsi="Verdana"/>
          <w:sz w:val="18"/>
          <w:szCs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 xml:space="preserve">ACCIÓN DE TUTELA </w:t>
    </w:r>
    <w:proofErr w:type="spellStart"/>
    <w:r w:rsidR="0062309C" w:rsidRPr="00014395">
      <w:rPr>
        <w:rFonts w:ascii="Arial" w:hAnsi="Arial" w:cs="Arial"/>
        <w:sz w:val="16"/>
        <w:szCs w:val="16"/>
      </w:rPr>
      <w:t>1a</w:t>
    </w:r>
    <w:proofErr w:type="spellEnd"/>
    <w:r w:rsidR="0062309C" w:rsidRPr="00014395">
      <w:rPr>
        <w:rFonts w:ascii="Arial" w:hAnsi="Arial" w:cs="Arial"/>
        <w:sz w:val="16"/>
        <w:szCs w:val="16"/>
      </w:rPr>
      <w:t>. Expedie</w:t>
    </w:r>
    <w:r w:rsidR="0062309C">
      <w:rPr>
        <w:rFonts w:ascii="Arial" w:hAnsi="Arial" w:cs="Arial"/>
        <w:sz w:val="16"/>
        <w:szCs w:val="16"/>
      </w:rPr>
      <w:t>nte: 66001-22-13-000-2017-0</w:t>
    </w:r>
    <w:r w:rsidR="00253D9C">
      <w:rPr>
        <w:rFonts w:ascii="Arial" w:hAnsi="Arial" w:cs="Arial"/>
        <w:sz w:val="16"/>
        <w:szCs w:val="16"/>
      </w:rPr>
      <w:t>1</w:t>
    </w:r>
    <w:r w:rsidR="0062309C">
      <w:rPr>
        <w:rFonts w:ascii="Arial" w:hAnsi="Arial" w:cs="Arial"/>
        <w:sz w:val="16"/>
        <w:szCs w:val="16"/>
      </w:rPr>
      <w:t>0</w:t>
    </w:r>
    <w:r w:rsidR="00253D9C">
      <w:rPr>
        <w:rFonts w:ascii="Arial" w:hAnsi="Arial" w:cs="Arial"/>
        <w:sz w:val="16"/>
        <w:szCs w:val="16"/>
      </w:rPr>
      <w:t>7</w:t>
    </w:r>
    <w:r w:rsidR="0062309C">
      <w:rPr>
        <w:rFonts w:ascii="Arial" w:hAnsi="Arial" w:cs="Arial"/>
        <w:sz w:val="16"/>
        <w:szCs w:val="16"/>
      </w:rPr>
      <w:t>0</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CA6E4D"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5E2"/>
    <w:rsid w:val="00000E09"/>
    <w:rsid w:val="00003C51"/>
    <w:rsid w:val="00010679"/>
    <w:rsid w:val="00012EEA"/>
    <w:rsid w:val="000215E9"/>
    <w:rsid w:val="00024092"/>
    <w:rsid w:val="00025F11"/>
    <w:rsid w:val="0002663D"/>
    <w:rsid w:val="0003747A"/>
    <w:rsid w:val="00061D14"/>
    <w:rsid w:val="00084EDE"/>
    <w:rsid w:val="000938FC"/>
    <w:rsid w:val="000A640D"/>
    <w:rsid w:val="000C53A5"/>
    <w:rsid w:val="000F30D3"/>
    <w:rsid w:val="000F52AE"/>
    <w:rsid w:val="001058CC"/>
    <w:rsid w:val="00110ADA"/>
    <w:rsid w:val="00120444"/>
    <w:rsid w:val="001445DA"/>
    <w:rsid w:val="00144950"/>
    <w:rsid w:val="00152D85"/>
    <w:rsid w:val="00154799"/>
    <w:rsid w:val="00162AFA"/>
    <w:rsid w:val="00166DFB"/>
    <w:rsid w:val="0018690A"/>
    <w:rsid w:val="00186AF0"/>
    <w:rsid w:val="00187677"/>
    <w:rsid w:val="0019540C"/>
    <w:rsid w:val="00195906"/>
    <w:rsid w:val="00196ABA"/>
    <w:rsid w:val="001A040E"/>
    <w:rsid w:val="001A3D01"/>
    <w:rsid w:val="001B759E"/>
    <w:rsid w:val="001C09B6"/>
    <w:rsid w:val="001D0D65"/>
    <w:rsid w:val="001D44A8"/>
    <w:rsid w:val="001F7FF9"/>
    <w:rsid w:val="00222FAB"/>
    <w:rsid w:val="00227FE8"/>
    <w:rsid w:val="00253D9C"/>
    <w:rsid w:val="002618F9"/>
    <w:rsid w:val="002831C6"/>
    <w:rsid w:val="00296D2B"/>
    <w:rsid w:val="002B47BD"/>
    <w:rsid w:val="002B4D14"/>
    <w:rsid w:val="002B786A"/>
    <w:rsid w:val="002E04B7"/>
    <w:rsid w:val="002F1DE9"/>
    <w:rsid w:val="00315741"/>
    <w:rsid w:val="00326079"/>
    <w:rsid w:val="0033345E"/>
    <w:rsid w:val="0033519D"/>
    <w:rsid w:val="0034300C"/>
    <w:rsid w:val="00347921"/>
    <w:rsid w:val="00354126"/>
    <w:rsid w:val="003603FF"/>
    <w:rsid w:val="00386FF6"/>
    <w:rsid w:val="00395749"/>
    <w:rsid w:val="003A65F4"/>
    <w:rsid w:val="003C1ADD"/>
    <w:rsid w:val="003C2A4C"/>
    <w:rsid w:val="00413A6D"/>
    <w:rsid w:val="004232F7"/>
    <w:rsid w:val="00443181"/>
    <w:rsid w:val="00451746"/>
    <w:rsid w:val="00453D33"/>
    <w:rsid w:val="00466BD7"/>
    <w:rsid w:val="0047357B"/>
    <w:rsid w:val="004755E6"/>
    <w:rsid w:val="0048040B"/>
    <w:rsid w:val="00490FC3"/>
    <w:rsid w:val="004B4A56"/>
    <w:rsid w:val="004D4D0C"/>
    <w:rsid w:val="004D4D38"/>
    <w:rsid w:val="004D4FB5"/>
    <w:rsid w:val="004F3E09"/>
    <w:rsid w:val="00513377"/>
    <w:rsid w:val="0051551D"/>
    <w:rsid w:val="00532B0A"/>
    <w:rsid w:val="00550D9A"/>
    <w:rsid w:val="00566D70"/>
    <w:rsid w:val="00580086"/>
    <w:rsid w:val="005A5883"/>
    <w:rsid w:val="005A5D34"/>
    <w:rsid w:val="005B5A06"/>
    <w:rsid w:val="005D143E"/>
    <w:rsid w:val="005E0D88"/>
    <w:rsid w:val="005E67C0"/>
    <w:rsid w:val="005E69C2"/>
    <w:rsid w:val="00600157"/>
    <w:rsid w:val="0062309C"/>
    <w:rsid w:val="00632B12"/>
    <w:rsid w:val="00635A41"/>
    <w:rsid w:val="006631C4"/>
    <w:rsid w:val="006653DE"/>
    <w:rsid w:val="006A009A"/>
    <w:rsid w:val="006A6258"/>
    <w:rsid w:val="006C39EA"/>
    <w:rsid w:val="006C4053"/>
    <w:rsid w:val="006D37A1"/>
    <w:rsid w:val="00700CAD"/>
    <w:rsid w:val="007036F5"/>
    <w:rsid w:val="00707E92"/>
    <w:rsid w:val="00712EF4"/>
    <w:rsid w:val="007175F4"/>
    <w:rsid w:val="00743E6A"/>
    <w:rsid w:val="00762892"/>
    <w:rsid w:val="00770F85"/>
    <w:rsid w:val="007848FC"/>
    <w:rsid w:val="007B3469"/>
    <w:rsid w:val="007C7430"/>
    <w:rsid w:val="007D36C7"/>
    <w:rsid w:val="007D7E0C"/>
    <w:rsid w:val="007E416A"/>
    <w:rsid w:val="007E531B"/>
    <w:rsid w:val="007E5335"/>
    <w:rsid w:val="007F40F5"/>
    <w:rsid w:val="007F7A7A"/>
    <w:rsid w:val="00800D81"/>
    <w:rsid w:val="00817251"/>
    <w:rsid w:val="008218AA"/>
    <w:rsid w:val="00825101"/>
    <w:rsid w:val="008329B9"/>
    <w:rsid w:val="00835D24"/>
    <w:rsid w:val="008425BF"/>
    <w:rsid w:val="008613EB"/>
    <w:rsid w:val="00885449"/>
    <w:rsid w:val="00891786"/>
    <w:rsid w:val="0089324F"/>
    <w:rsid w:val="008B3D4F"/>
    <w:rsid w:val="008B695F"/>
    <w:rsid w:val="008E35B4"/>
    <w:rsid w:val="009029E6"/>
    <w:rsid w:val="009058C7"/>
    <w:rsid w:val="00910A4D"/>
    <w:rsid w:val="00912410"/>
    <w:rsid w:val="00916AC2"/>
    <w:rsid w:val="009205DE"/>
    <w:rsid w:val="00970AC4"/>
    <w:rsid w:val="009752D6"/>
    <w:rsid w:val="009771D2"/>
    <w:rsid w:val="0099353B"/>
    <w:rsid w:val="00995594"/>
    <w:rsid w:val="009A28FC"/>
    <w:rsid w:val="009A2C94"/>
    <w:rsid w:val="009A5805"/>
    <w:rsid w:val="009B0A74"/>
    <w:rsid w:val="009C11A6"/>
    <w:rsid w:val="009C4F7F"/>
    <w:rsid w:val="009D7A4B"/>
    <w:rsid w:val="00A134CE"/>
    <w:rsid w:val="00A21424"/>
    <w:rsid w:val="00A35436"/>
    <w:rsid w:val="00A513F5"/>
    <w:rsid w:val="00A613DA"/>
    <w:rsid w:val="00A81CAE"/>
    <w:rsid w:val="00A859C4"/>
    <w:rsid w:val="00A85DAD"/>
    <w:rsid w:val="00A90AD1"/>
    <w:rsid w:val="00A94EF0"/>
    <w:rsid w:val="00AE36C5"/>
    <w:rsid w:val="00AE3D59"/>
    <w:rsid w:val="00AF1444"/>
    <w:rsid w:val="00AF1AE2"/>
    <w:rsid w:val="00B023AC"/>
    <w:rsid w:val="00B053C0"/>
    <w:rsid w:val="00B151EF"/>
    <w:rsid w:val="00B24AE7"/>
    <w:rsid w:val="00B33794"/>
    <w:rsid w:val="00B36D79"/>
    <w:rsid w:val="00B466B0"/>
    <w:rsid w:val="00B626BB"/>
    <w:rsid w:val="00B75182"/>
    <w:rsid w:val="00B85BE4"/>
    <w:rsid w:val="00B8748D"/>
    <w:rsid w:val="00BB31FA"/>
    <w:rsid w:val="00BB6974"/>
    <w:rsid w:val="00BD5BAF"/>
    <w:rsid w:val="00BD5FD8"/>
    <w:rsid w:val="00BE0084"/>
    <w:rsid w:val="00BE64F5"/>
    <w:rsid w:val="00BE76C6"/>
    <w:rsid w:val="00C01BA5"/>
    <w:rsid w:val="00C078E5"/>
    <w:rsid w:val="00C107C6"/>
    <w:rsid w:val="00C1112A"/>
    <w:rsid w:val="00C24F3A"/>
    <w:rsid w:val="00C257DC"/>
    <w:rsid w:val="00C26F20"/>
    <w:rsid w:val="00C30A3B"/>
    <w:rsid w:val="00C314D8"/>
    <w:rsid w:val="00C362F1"/>
    <w:rsid w:val="00C46634"/>
    <w:rsid w:val="00C51FEF"/>
    <w:rsid w:val="00C62C66"/>
    <w:rsid w:val="00C640C5"/>
    <w:rsid w:val="00C726C9"/>
    <w:rsid w:val="00C95B0F"/>
    <w:rsid w:val="00CA40F7"/>
    <w:rsid w:val="00CA6E4D"/>
    <w:rsid w:val="00CD0456"/>
    <w:rsid w:val="00CE4638"/>
    <w:rsid w:val="00CF13FE"/>
    <w:rsid w:val="00CF6212"/>
    <w:rsid w:val="00D01C49"/>
    <w:rsid w:val="00D02271"/>
    <w:rsid w:val="00D23AA1"/>
    <w:rsid w:val="00D25324"/>
    <w:rsid w:val="00D369D4"/>
    <w:rsid w:val="00D36EBE"/>
    <w:rsid w:val="00D475BB"/>
    <w:rsid w:val="00D62DC1"/>
    <w:rsid w:val="00D631D5"/>
    <w:rsid w:val="00D80A09"/>
    <w:rsid w:val="00DA42E6"/>
    <w:rsid w:val="00DD59DF"/>
    <w:rsid w:val="00DD6B36"/>
    <w:rsid w:val="00DE6EC3"/>
    <w:rsid w:val="00DF005C"/>
    <w:rsid w:val="00DF2BD7"/>
    <w:rsid w:val="00E132BE"/>
    <w:rsid w:val="00E15E1D"/>
    <w:rsid w:val="00E76542"/>
    <w:rsid w:val="00E83A11"/>
    <w:rsid w:val="00E91F86"/>
    <w:rsid w:val="00E94FF7"/>
    <w:rsid w:val="00EC1786"/>
    <w:rsid w:val="00EC4176"/>
    <w:rsid w:val="00EC51B0"/>
    <w:rsid w:val="00ED277C"/>
    <w:rsid w:val="00EE263D"/>
    <w:rsid w:val="00EF4434"/>
    <w:rsid w:val="00EF44A0"/>
    <w:rsid w:val="00F11EF6"/>
    <w:rsid w:val="00F2429B"/>
    <w:rsid w:val="00F2559A"/>
    <w:rsid w:val="00F37DAA"/>
    <w:rsid w:val="00F37F9E"/>
    <w:rsid w:val="00F5062B"/>
    <w:rsid w:val="00F510D9"/>
    <w:rsid w:val="00F517CE"/>
    <w:rsid w:val="00F92092"/>
    <w:rsid w:val="00F94531"/>
    <w:rsid w:val="00FC1E3E"/>
    <w:rsid w:val="00FD53C4"/>
    <w:rsid w:val="00FE0920"/>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4120-98C4-4247-92AA-4C960C19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2132</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24</cp:revision>
  <cp:lastPrinted>2017-10-19T12:50:00Z</cp:lastPrinted>
  <dcterms:created xsi:type="dcterms:W3CDTF">2017-10-18T14:51:00Z</dcterms:created>
  <dcterms:modified xsi:type="dcterms:W3CDTF">2017-11-28T09:31:00Z</dcterms:modified>
</cp:coreProperties>
</file>