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0D" w:rsidRPr="0094372D" w:rsidRDefault="003D0B0D" w:rsidP="003D0B0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D0B0D" w:rsidRDefault="003D0B0D" w:rsidP="004A6AB6">
      <w:pPr>
        <w:spacing w:line="360" w:lineRule="auto"/>
        <w:jc w:val="both"/>
        <w:rPr>
          <w:rFonts w:ascii="Arial Narrow" w:hAnsi="Arial Narrow" w:cs="Arial"/>
          <w:b/>
          <w:bCs/>
          <w:i/>
          <w:iCs/>
          <w:sz w:val="28"/>
          <w:szCs w:val="28"/>
          <w:u w:val="single"/>
        </w:rPr>
      </w:pPr>
    </w:p>
    <w:p w:rsidR="004A6AB6" w:rsidRPr="00FD38A6" w:rsidRDefault="004A6AB6" w:rsidP="004A6AB6">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 xml:space="preserve">Sentencia de Segunda Instancia, jueves </w:t>
      </w:r>
      <w:r w:rsidR="00AD5A55">
        <w:rPr>
          <w:rFonts w:ascii="Arial Narrow" w:hAnsi="Arial Narrow" w:cs="Arial"/>
          <w:sz w:val="18"/>
          <w:szCs w:val="18"/>
        </w:rPr>
        <w:t>26</w:t>
      </w:r>
      <w:r w:rsidRPr="004A6AB6">
        <w:rPr>
          <w:rFonts w:ascii="Arial Narrow" w:hAnsi="Arial Narrow" w:cs="Arial"/>
          <w:sz w:val="18"/>
          <w:szCs w:val="18"/>
        </w:rPr>
        <w:t xml:space="preserve"> de </w:t>
      </w:r>
      <w:r w:rsidR="00AD5A55">
        <w:rPr>
          <w:rFonts w:ascii="Arial Narrow" w:hAnsi="Arial Narrow" w:cs="Arial"/>
          <w:sz w:val="18"/>
          <w:szCs w:val="18"/>
        </w:rPr>
        <w:t>enero</w:t>
      </w:r>
      <w:r w:rsidRPr="004A6AB6">
        <w:rPr>
          <w:rFonts w:ascii="Arial Narrow" w:hAnsi="Arial Narrow" w:cs="Arial"/>
          <w:sz w:val="18"/>
          <w:szCs w:val="18"/>
        </w:rPr>
        <w:t xml:space="preserve"> de 201</w:t>
      </w:r>
      <w:r w:rsidR="00AD5A55">
        <w:rPr>
          <w:rFonts w:ascii="Arial Narrow" w:hAnsi="Arial Narrow" w:cs="Arial"/>
          <w:sz w:val="18"/>
          <w:szCs w:val="18"/>
        </w:rPr>
        <w:t>7</w:t>
      </w:r>
      <w:r w:rsidRPr="004A6AB6">
        <w:rPr>
          <w:rFonts w:ascii="Arial Narrow" w:hAnsi="Arial Narrow" w:cs="Arial"/>
          <w:sz w:val="18"/>
          <w:szCs w:val="18"/>
        </w:rPr>
        <w:t>.</w:t>
      </w:r>
    </w:p>
    <w:p w:rsidR="004A6AB6" w:rsidRPr="004A6AB6" w:rsidRDefault="004A6AB6" w:rsidP="004A6AB6">
      <w:pPr>
        <w:jc w:val="both"/>
        <w:rPr>
          <w:rFonts w:ascii="Arial Narrow" w:hAnsi="Arial Narrow" w:cs="Arial"/>
          <w:bCs/>
          <w:i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AD5A55">
        <w:rPr>
          <w:rFonts w:ascii="Arial Narrow" w:hAnsi="Arial Narrow" w:cs="Arial"/>
          <w:bCs/>
          <w:sz w:val="18"/>
          <w:szCs w:val="18"/>
        </w:rPr>
        <w:t>4</w:t>
      </w:r>
      <w:r w:rsidRPr="004A6AB6">
        <w:rPr>
          <w:rFonts w:ascii="Arial Narrow" w:hAnsi="Arial Narrow" w:cs="Arial"/>
          <w:bCs/>
          <w:sz w:val="18"/>
          <w:szCs w:val="18"/>
        </w:rPr>
        <w:t>-201</w:t>
      </w:r>
      <w:r w:rsidR="00AD5A55">
        <w:rPr>
          <w:rFonts w:ascii="Arial Narrow" w:hAnsi="Arial Narrow" w:cs="Arial"/>
          <w:bCs/>
          <w:sz w:val="18"/>
          <w:szCs w:val="18"/>
        </w:rPr>
        <w:t>5</w:t>
      </w:r>
      <w:r w:rsidRPr="004A6AB6">
        <w:rPr>
          <w:rFonts w:ascii="Arial Narrow" w:hAnsi="Arial Narrow" w:cs="Arial"/>
          <w:bCs/>
          <w:sz w:val="18"/>
          <w:szCs w:val="18"/>
        </w:rPr>
        <w:t>-00</w:t>
      </w:r>
      <w:r w:rsidR="00AD5A55">
        <w:rPr>
          <w:rFonts w:ascii="Arial Narrow" w:hAnsi="Arial Narrow" w:cs="Arial"/>
          <w:bCs/>
          <w:sz w:val="18"/>
          <w:szCs w:val="18"/>
        </w:rPr>
        <w:t>021</w:t>
      </w:r>
      <w:r w:rsidRPr="004A6AB6">
        <w:rPr>
          <w:rFonts w:ascii="Arial Narrow" w:hAnsi="Arial Narrow" w:cs="Arial"/>
          <w:bCs/>
          <w:sz w:val="18"/>
          <w:szCs w:val="18"/>
        </w:rPr>
        <w:t>-01</w:t>
      </w:r>
    </w:p>
    <w:p w:rsidR="004A6AB6" w:rsidRPr="004A6AB6" w:rsidRDefault="004A6AB6" w:rsidP="004A6AB6">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003D0B0D">
        <w:rPr>
          <w:rFonts w:ascii="Arial Narrow" w:hAnsi="Arial Narrow" w:cs="Arial"/>
          <w:iCs/>
          <w:sz w:val="18"/>
          <w:szCs w:val="18"/>
        </w:rPr>
        <w:t>Ordinario Laboral – Revoca decisión del a quo y accede a las pretensiones</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AD5A55">
        <w:rPr>
          <w:rFonts w:ascii="Arial Narrow" w:hAnsi="Arial Narrow" w:cs="Arial"/>
          <w:iCs/>
          <w:sz w:val="18"/>
          <w:szCs w:val="18"/>
        </w:rPr>
        <w:t>Alberto de Jesús Cano Vallejo</w:t>
      </w:r>
      <w:r w:rsidRPr="004A6AB6">
        <w:rPr>
          <w:rFonts w:ascii="Arial Narrow" w:hAnsi="Arial Narrow" w:cs="Arial"/>
          <w:iCs/>
          <w:sz w:val="18"/>
          <w:szCs w:val="18"/>
        </w:rPr>
        <w:t xml:space="preserve"> </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AD5A55">
        <w:rPr>
          <w:rFonts w:ascii="Arial Narrow" w:hAnsi="Arial Narrow" w:cs="Arial"/>
          <w:sz w:val="18"/>
          <w:szCs w:val="18"/>
        </w:rPr>
        <w:t xml:space="preserve">Cuarto </w:t>
      </w:r>
      <w:r w:rsidRPr="004A6AB6">
        <w:rPr>
          <w:rFonts w:ascii="Arial Narrow" w:hAnsi="Arial Narrow" w:cs="Arial"/>
          <w:sz w:val="18"/>
          <w:szCs w:val="18"/>
        </w:rPr>
        <w:t>Laboral del Circuito de Pereira.</w:t>
      </w:r>
    </w:p>
    <w:p w:rsidR="004A6AB6" w:rsidRDefault="004A6AB6" w:rsidP="004A6AB6">
      <w:pPr>
        <w:jc w:val="both"/>
        <w:rPr>
          <w:rFonts w:ascii="Arial Narrow" w:hAnsi="Arial Narrow" w:cs="Arial"/>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3D0B0D" w:rsidRPr="004A6AB6" w:rsidRDefault="003D0B0D" w:rsidP="004A6AB6">
      <w:pPr>
        <w:jc w:val="both"/>
        <w:rPr>
          <w:rFonts w:ascii="Arial Narrow" w:hAnsi="Arial Narrow" w:cs="Arial"/>
          <w:b/>
          <w:iCs/>
          <w:sz w:val="18"/>
          <w:szCs w:val="18"/>
        </w:rPr>
      </w:pPr>
    </w:p>
    <w:p w:rsidR="00500953" w:rsidRPr="00AF5728" w:rsidRDefault="00500953" w:rsidP="003D0B0D">
      <w:pPr>
        <w:pStyle w:val="Textoindependiente31"/>
        <w:spacing w:line="240" w:lineRule="auto"/>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3D0B0D">
        <w:rPr>
          <w:rFonts w:ascii="Arial Narrow" w:hAnsi="Arial Narrow" w:cs="Arial"/>
          <w:b/>
          <w:bCs/>
          <w:sz w:val="18"/>
          <w:szCs w:val="18"/>
        </w:rPr>
        <w:tab/>
        <w:t>PENSIÓN DE INVALIDEZ. CONDICIÓN MÁS BENEFICIOSA.</w:t>
      </w:r>
      <w:r w:rsidR="00AF5728">
        <w:rPr>
          <w:rFonts w:ascii="Arial Narrow" w:hAnsi="Arial Narrow" w:cs="Arial"/>
          <w:b/>
          <w:bCs/>
          <w:sz w:val="18"/>
          <w:szCs w:val="18"/>
        </w:rPr>
        <w:t xml:space="preserve"> </w:t>
      </w:r>
      <w:r w:rsidR="00AF5728" w:rsidRPr="00AF5728">
        <w:rPr>
          <w:rFonts w:ascii="Arial Narrow" w:hAnsi="Arial Narrow" w:cs="Arial"/>
          <w:bCs/>
          <w:sz w:val="18"/>
          <w:szCs w:val="18"/>
        </w:rPr>
        <w:t>Partiendo de tales supuestos, necesariamente debe recordarse que la pensión de invalidez, por regla general, se regula por la normatividad vigente al momento de la estructuración de la pérdida de la capacidad laboral. No obstante, tal regla no es inflexible y permite que, en eventos especiales, el asunto se regule por otra norma diferente. Uno de tales eventos, es la aplicación de la condición más beneficiosa, en virtud de la cual, cuando una persona bajo una normatividad anterior logró satisfacer los requisitos objetivos para alcanzar una prestación pensional (densidad de cotizaciones) y el riesgo se concreta en vigencia de otra legislación que flexibilizó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w:t>
      </w:r>
      <w:r w:rsidR="00AF5728">
        <w:rPr>
          <w:rFonts w:ascii="Arial Narrow" w:hAnsi="Arial Narrow" w:cs="Arial"/>
          <w:bCs/>
          <w:sz w:val="18"/>
          <w:szCs w:val="18"/>
        </w:rPr>
        <w:t xml:space="preserve"> </w:t>
      </w:r>
      <w:r w:rsidR="00AF5728">
        <w:rPr>
          <w:rFonts w:ascii="Arial Narrow" w:hAnsi="Arial Narrow" w:cs="Arial"/>
          <w:b/>
          <w:bCs/>
          <w:sz w:val="18"/>
          <w:szCs w:val="18"/>
        </w:rPr>
        <w:t xml:space="preserve">Pensión de invalidez. Indemnización sustitutiva. </w:t>
      </w:r>
      <w:r w:rsidR="00AF5728" w:rsidRPr="00AF5728">
        <w:rPr>
          <w:rFonts w:ascii="Arial Narrow" w:hAnsi="Arial Narrow" w:cs="Arial"/>
          <w:bCs/>
          <w:sz w:val="18"/>
          <w:szCs w:val="18"/>
        </w:rPr>
        <w:t>En cuanto a la posibilidad de reconocer el derecho pensional, una vez se ha pagado una indemnización sustitutiva, debe decirse que ante el carácter subsidiario que ostenta esta última, no puede convertirse en un obstáculo para el reconocimiento del derecho pensional. Así lo ha dejado claro la jurisprudencia de la Sala de Casación Laboral (por ejemplo en providencia SL 6080 de 2016), indicando que en esos casos lo procedente es la devolución del monto pagado por indemnización sustitutiva y el reconocimiento del derecho pensional.</w:t>
      </w:r>
    </w:p>
    <w:p w:rsidR="004A6AB6" w:rsidRDefault="004A6AB6" w:rsidP="004A6AB6">
      <w:pPr>
        <w:ind w:left="2127" w:hanging="2127"/>
        <w:jc w:val="both"/>
        <w:rPr>
          <w:rFonts w:ascii="Arial Narrow" w:hAnsi="Arial Narrow" w:cs="Arial"/>
          <w:bCs/>
          <w:i/>
          <w:color w:val="00B0F0"/>
          <w:sz w:val="18"/>
          <w:szCs w:val="18"/>
          <w:lang w:val="es-ES"/>
        </w:rPr>
      </w:pPr>
    </w:p>
    <w:p w:rsidR="004A6AB6" w:rsidRPr="00977ED0" w:rsidRDefault="004A6AB6" w:rsidP="004A6AB6">
      <w:pPr>
        <w:ind w:left="2127" w:hanging="2127"/>
        <w:jc w:val="both"/>
        <w:rPr>
          <w:rFonts w:ascii="Arial Narrow" w:hAnsi="Arial Narrow" w:cs="Arial"/>
          <w:bCs/>
          <w:i/>
          <w:color w:val="00B0F0"/>
          <w:sz w:val="18"/>
          <w:szCs w:val="18"/>
          <w:lang w:val="es-ES"/>
        </w:rPr>
      </w:pPr>
    </w:p>
    <w:p w:rsidR="004A6AB6" w:rsidRPr="00E845FE" w:rsidRDefault="004A6AB6" w:rsidP="004A6AB6">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4A6AB6" w:rsidRPr="00500953" w:rsidRDefault="004A6AB6" w:rsidP="00500953">
      <w:pPr>
        <w:pStyle w:val="Sansinterligne"/>
      </w:pPr>
    </w:p>
    <w:p w:rsidR="004A6AB6" w:rsidRPr="00E845FE" w:rsidRDefault="004A6AB6" w:rsidP="004A6AB6">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sidR="00AD5A55">
        <w:rPr>
          <w:rFonts w:ascii="Arial Narrow" w:eastAsia="Calibri" w:hAnsi="Arial Narrow" w:cs="Arial"/>
          <w:sz w:val="28"/>
          <w:szCs w:val="28"/>
          <w:lang w:val="es-CO" w:eastAsia="en-US"/>
        </w:rPr>
        <w:t>veintiséis</w:t>
      </w:r>
      <w:r>
        <w:rPr>
          <w:rFonts w:ascii="Arial Narrow" w:eastAsia="Calibri" w:hAnsi="Arial Narrow" w:cs="Arial"/>
          <w:sz w:val="28"/>
          <w:szCs w:val="28"/>
          <w:lang w:val="es-CO" w:eastAsia="en-US"/>
        </w:rPr>
        <w:t xml:space="preserve"> (</w:t>
      </w:r>
      <w:r w:rsidR="00AD5A55">
        <w:rPr>
          <w:rFonts w:ascii="Arial Narrow" w:eastAsia="Calibri" w:hAnsi="Arial Narrow" w:cs="Arial"/>
          <w:sz w:val="28"/>
          <w:szCs w:val="28"/>
          <w:lang w:val="es-CO" w:eastAsia="en-US"/>
        </w:rPr>
        <w:t>26</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 xml:space="preserve">días del mes de </w:t>
      </w:r>
      <w:r w:rsidR="00AD5A55">
        <w:rPr>
          <w:rFonts w:ascii="Arial Narrow" w:eastAsia="Calibri" w:hAnsi="Arial Narrow" w:cs="Arial"/>
          <w:sz w:val="28"/>
          <w:szCs w:val="28"/>
          <w:lang w:val="es-CO" w:eastAsia="en-US"/>
        </w:rPr>
        <w:t>enero</w:t>
      </w:r>
      <w:r>
        <w:rPr>
          <w:rFonts w:ascii="Arial Narrow" w:eastAsia="Calibri" w:hAnsi="Arial Narrow" w:cs="Arial"/>
          <w:sz w:val="28"/>
          <w:szCs w:val="28"/>
          <w:lang w:val="es-CO" w:eastAsia="en-US"/>
        </w:rPr>
        <w:t xml:space="preserve"> de dos mil diecis</w:t>
      </w:r>
      <w:r w:rsidR="00AD5A55">
        <w:rPr>
          <w:rFonts w:ascii="Arial Narrow" w:eastAsia="Calibri" w:hAnsi="Arial Narrow" w:cs="Arial"/>
          <w:sz w:val="28"/>
          <w:szCs w:val="28"/>
          <w:lang w:val="es-CO" w:eastAsia="en-US"/>
        </w:rPr>
        <w:t>iete</w:t>
      </w:r>
      <w:r>
        <w:rPr>
          <w:rFonts w:ascii="Arial Narrow" w:eastAsia="Calibri" w:hAnsi="Arial Narrow" w:cs="Arial"/>
          <w:sz w:val="28"/>
          <w:szCs w:val="28"/>
          <w:lang w:val="es-CO" w:eastAsia="en-US"/>
        </w:rPr>
        <w:t xml:space="preserve"> (2016</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8557D">
        <w:rPr>
          <w:rFonts w:ascii="Arial Narrow" w:eastAsia="Calibri" w:hAnsi="Arial Narrow" w:cs="Arial"/>
          <w:sz w:val="28"/>
          <w:szCs w:val="28"/>
          <w:lang w:val="es-CO" w:eastAsia="en-US"/>
        </w:rPr>
        <w:t>once y quince</w:t>
      </w:r>
      <w:r>
        <w:rPr>
          <w:rFonts w:ascii="Arial Narrow" w:eastAsia="Calibri" w:hAnsi="Arial Narrow" w:cs="Arial"/>
          <w:sz w:val="28"/>
          <w:szCs w:val="28"/>
          <w:lang w:val="es-CO" w:eastAsia="en-US"/>
        </w:rPr>
        <w:t xml:space="preserve"> minutos de la mañana </w:t>
      </w:r>
      <w:r w:rsidRPr="00E845FE">
        <w:rPr>
          <w:rFonts w:ascii="Arial Narrow" w:eastAsia="Calibri" w:hAnsi="Arial Narrow" w:cs="Arial"/>
          <w:sz w:val="28"/>
          <w:szCs w:val="28"/>
          <w:lang w:val="es-CO" w:eastAsia="en-US"/>
        </w:rPr>
        <w:t>(</w:t>
      </w:r>
      <w:r w:rsidR="0048557D">
        <w:rPr>
          <w:rFonts w:ascii="Arial Narrow" w:eastAsia="Calibri" w:hAnsi="Arial Narrow" w:cs="Arial"/>
          <w:sz w:val="28"/>
          <w:szCs w:val="28"/>
          <w:lang w:val="es-CO" w:eastAsia="en-US"/>
        </w:rPr>
        <w:t>11</w:t>
      </w:r>
      <w:r>
        <w:rPr>
          <w:rFonts w:ascii="Arial Narrow" w:eastAsia="Calibri" w:hAnsi="Arial Narrow" w:cs="Arial"/>
          <w:sz w:val="28"/>
          <w:szCs w:val="28"/>
          <w:lang w:val="es-CO" w:eastAsia="en-US"/>
        </w:rPr>
        <w:t>:</w:t>
      </w:r>
      <w:r w:rsidR="0048557D">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 xml:space="preserve">reunidos en la Sala de Audiencia </w:t>
      </w:r>
      <w:r w:rsidR="00AD5A55">
        <w:rPr>
          <w:rFonts w:ascii="Arial Narrow" w:hAnsi="Arial Narrow" w:cs="Tahoma"/>
          <w:bCs/>
          <w:color w:val="000000"/>
          <w:sz w:val="28"/>
          <w:szCs w:val="28"/>
          <w:lang w:eastAsia="es-CO"/>
        </w:rPr>
        <w:t>el magistrado</w:t>
      </w:r>
      <w:r>
        <w:rPr>
          <w:rFonts w:ascii="Arial Narrow" w:hAnsi="Arial Narrow" w:cs="Tahoma"/>
          <w:bCs/>
          <w:color w:val="000000"/>
          <w:sz w:val="28"/>
          <w:szCs w:val="28"/>
          <w:lang w:eastAsia="es-CO"/>
        </w:rPr>
        <w:t xml:space="preserve"> y l</w:t>
      </w:r>
      <w:r w:rsidR="00AD5A55">
        <w:rPr>
          <w:rFonts w:ascii="Arial Narrow" w:hAnsi="Arial Narrow" w:cs="Tahoma"/>
          <w:bCs/>
          <w:color w:val="000000"/>
          <w:sz w:val="28"/>
          <w:szCs w:val="28"/>
          <w:lang w:eastAsia="es-CO"/>
        </w:rPr>
        <w:t>a</w:t>
      </w:r>
      <w:r w:rsidRPr="00E845FE">
        <w:rPr>
          <w:rFonts w:ascii="Arial Narrow" w:hAnsi="Arial Narrow" w:cs="Tahoma"/>
          <w:bCs/>
          <w:color w:val="000000"/>
          <w:sz w:val="28"/>
          <w:szCs w:val="28"/>
          <w:lang w:eastAsia="es-CO"/>
        </w:rPr>
        <w:t>s magistrad</w:t>
      </w:r>
      <w:r w:rsidR="00AD5A55">
        <w:rPr>
          <w:rFonts w:ascii="Arial Narrow" w:hAnsi="Arial Narrow" w:cs="Tahoma"/>
          <w:bCs/>
          <w:color w:val="000000"/>
          <w:sz w:val="28"/>
          <w:szCs w:val="28"/>
          <w:lang w:eastAsia="es-CO"/>
        </w:rPr>
        <w:t>a</w:t>
      </w:r>
      <w:r w:rsidRPr="00E845FE">
        <w:rPr>
          <w:rFonts w:ascii="Arial Narrow" w:hAnsi="Arial Narrow" w:cs="Tahoma"/>
          <w:bCs/>
          <w:color w:val="000000"/>
          <w:sz w:val="28"/>
          <w:szCs w:val="28"/>
          <w:lang w:eastAsia="es-CO"/>
        </w:rPr>
        <w:t>s de la Sala</w:t>
      </w:r>
      <w:r w:rsidR="00AD5A55">
        <w:rPr>
          <w:rFonts w:ascii="Arial Narrow" w:hAnsi="Arial Narrow" w:cs="Tahoma"/>
          <w:bCs/>
          <w:color w:val="000000"/>
          <w:sz w:val="28"/>
          <w:szCs w:val="28"/>
          <w:lang w:eastAsia="es-CO"/>
        </w:rPr>
        <w:t xml:space="preserve"> de Decisión </w:t>
      </w:r>
      <w:r w:rsidRPr="00E845FE">
        <w:rPr>
          <w:rFonts w:ascii="Arial Narrow" w:hAnsi="Arial Narrow" w:cs="Tahoma"/>
          <w:bCs/>
          <w:color w:val="000000"/>
          <w:sz w:val="28"/>
          <w:szCs w:val="28"/>
          <w:lang w:eastAsia="es-CO"/>
        </w:rPr>
        <w:t xml:space="preserve">Laboral </w:t>
      </w:r>
      <w:r w:rsidR="00AD5A55">
        <w:rPr>
          <w:rFonts w:ascii="Arial Narrow" w:hAnsi="Arial Narrow" w:cs="Tahoma"/>
          <w:bCs/>
          <w:color w:val="000000"/>
          <w:sz w:val="28"/>
          <w:szCs w:val="28"/>
          <w:lang w:eastAsia="es-CO"/>
        </w:rPr>
        <w:t xml:space="preserve">No. 04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sidR="00AD5A55">
        <w:rPr>
          <w:rFonts w:ascii="Arial Narrow" w:hAnsi="Arial Narrow" w:cs="Tahoma"/>
          <w:bCs/>
          <w:color w:val="000000"/>
          <w:sz w:val="28"/>
          <w:szCs w:val="28"/>
          <w:lang w:eastAsia="es-CO"/>
        </w:rPr>
        <w:t>recurso de apelación</w:t>
      </w:r>
      <w:r>
        <w:rPr>
          <w:rFonts w:ascii="Arial Narrow" w:hAnsi="Arial Narrow" w:cs="Tahoma"/>
          <w:bCs/>
          <w:color w:val="000000"/>
          <w:sz w:val="28"/>
          <w:szCs w:val="28"/>
          <w:lang w:eastAsia="es-CO"/>
        </w:rPr>
        <w:t xml:space="preserve"> </w:t>
      </w:r>
      <w:r w:rsidR="00AD5A55">
        <w:rPr>
          <w:rFonts w:ascii="Arial Narrow" w:hAnsi="Arial Narrow" w:cs="Tahoma"/>
          <w:bCs/>
          <w:color w:val="000000"/>
          <w:sz w:val="28"/>
          <w:szCs w:val="28"/>
          <w:lang w:eastAsia="es-CO"/>
        </w:rPr>
        <w:t>propuesto por el portavoz judicial de la parte actora contra</w:t>
      </w:r>
      <w:r>
        <w:rPr>
          <w:rFonts w:ascii="Arial Narrow" w:hAnsi="Arial Narrow" w:cs="Tahoma"/>
          <w:bCs/>
          <w:color w:val="000000"/>
          <w:sz w:val="28"/>
          <w:szCs w:val="28"/>
          <w:lang w:eastAsia="es-CO"/>
        </w:rPr>
        <w:t xml:space="preserve">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AD5A55">
        <w:rPr>
          <w:rFonts w:ascii="Arial Narrow" w:hAnsi="Arial Narrow" w:cs="Arial"/>
          <w:sz w:val="28"/>
          <w:szCs w:val="28"/>
        </w:rPr>
        <w:t xml:space="preserve">08 de febrero de 2016 </w:t>
      </w:r>
      <w:r w:rsidRPr="00E845FE">
        <w:rPr>
          <w:rFonts w:ascii="Arial Narrow" w:hAnsi="Arial Narrow" w:cs="Arial"/>
          <w:sz w:val="28"/>
          <w:szCs w:val="28"/>
        </w:rPr>
        <w:t>por el Juzgado</w:t>
      </w:r>
      <w:r>
        <w:rPr>
          <w:rFonts w:ascii="Arial Narrow" w:hAnsi="Arial Narrow" w:cs="Arial"/>
          <w:sz w:val="28"/>
          <w:szCs w:val="28"/>
        </w:rPr>
        <w:t xml:space="preserve"> </w:t>
      </w:r>
      <w:r w:rsidR="00AD5A55">
        <w:rPr>
          <w:rFonts w:ascii="Arial Narrow" w:hAnsi="Arial Narrow" w:cs="Arial"/>
          <w:sz w:val="28"/>
          <w:szCs w:val="28"/>
        </w:rPr>
        <w:t>Cuarto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AD5A55">
        <w:rPr>
          <w:rFonts w:ascii="Arial Narrow" w:hAnsi="Arial Narrow" w:cs="Arial"/>
          <w:b/>
          <w:i/>
          <w:sz w:val="28"/>
          <w:szCs w:val="28"/>
        </w:rPr>
        <w:t xml:space="preserve">Alberto de Jesús Cano Vallejo </w:t>
      </w:r>
      <w:r>
        <w:rPr>
          <w:rFonts w:ascii="Arial Narrow" w:hAnsi="Arial Narrow" w:cs="Arial"/>
          <w:b/>
          <w:i/>
          <w:sz w:val="28"/>
          <w:szCs w:val="28"/>
        </w:rPr>
        <w:t xml:space="preserve">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4A6AB6" w:rsidRPr="003D0B0D" w:rsidRDefault="004A6AB6" w:rsidP="007420E2">
      <w:pPr>
        <w:pStyle w:val="Sansinterligne"/>
        <w:rPr>
          <w:sz w:val="28"/>
          <w:szCs w:val="28"/>
        </w:rPr>
      </w:pPr>
    </w:p>
    <w:p w:rsidR="004A6AB6" w:rsidRPr="00E845FE" w:rsidRDefault="004A6AB6" w:rsidP="004A6AB6">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AF5728" w:rsidRPr="00E845FE" w:rsidRDefault="00AF5728" w:rsidP="004A6AB6">
      <w:pPr>
        <w:shd w:val="clear" w:color="auto" w:fill="FFFFFF"/>
        <w:jc w:val="both"/>
        <w:rPr>
          <w:rFonts w:ascii="Arial Narrow" w:hAnsi="Arial Narrow" w:cs="Tahoma"/>
          <w:b/>
          <w:bCs/>
          <w:i/>
          <w:color w:val="000000"/>
          <w:sz w:val="28"/>
          <w:szCs w:val="28"/>
          <w:lang w:eastAsia="es-CO"/>
        </w:rPr>
      </w:pPr>
    </w:p>
    <w:p w:rsidR="00AD5A55" w:rsidRDefault="004A6AB6" w:rsidP="004A6AB6">
      <w:pPr>
        <w:spacing w:line="360" w:lineRule="auto"/>
        <w:ind w:firstLine="900"/>
        <w:jc w:val="both"/>
        <w:rPr>
          <w:rFonts w:ascii="Arial Narrow" w:hAnsi="Arial Narrow" w:cs="Tahoma"/>
          <w:sz w:val="28"/>
          <w:szCs w:val="28"/>
        </w:rPr>
      </w:pPr>
      <w:r w:rsidRPr="00E845FE">
        <w:rPr>
          <w:rFonts w:ascii="Arial Narrow" w:hAnsi="Arial Narrow" w:cs="Tahoma"/>
          <w:sz w:val="28"/>
          <w:szCs w:val="28"/>
        </w:rPr>
        <w:t>Antes de que procedan los asistentes a descorrer el traslado para alegar en esta instancia, conforme a las voces del artículo 13 de la Ley 1149 de 2007, a modo de introducción se tiene</w:t>
      </w:r>
      <w:r w:rsidR="00AD5A55">
        <w:rPr>
          <w:rFonts w:ascii="Arial Narrow" w:hAnsi="Arial Narrow" w:cs="Tahoma"/>
          <w:sz w:val="28"/>
          <w:szCs w:val="28"/>
        </w:rPr>
        <w:t xml:space="preserve"> que el actor persigue que se declare que tiene derecho al reconocimiento y pago de la pensión de invalidez en virtud del principio de la condición más beneficiosa y, en consecuencia, pide que se condene a la sociedad demandada a reconocer y pagar la misma a partir del 14 de noviembre de 1995, con </w:t>
      </w:r>
      <w:r w:rsidR="00AD5A55">
        <w:rPr>
          <w:rFonts w:ascii="Arial Narrow" w:hAnsi="Arial Narrow" w:cs="Tahoma"/>
          <w:sz w:val="28"/>
          <w:szCs w:val="28"/>
        </w:rPr>
        <w:lastRenderedPageBreak/>
        <w:t xml:space="preserve">los correspondientes réditos moratorios o la indexación de las condenas más las costas procesales. </w:t>
      </w:r>
    </w:p>
    <w:p w:rsidR="00AD5A55" w:rsidRDefault="00AD5A55" w:rsidP="004A6AB6">
      <w:pPr>
        <w:spacing w:line="360" w:lineRule="auto"/>
        <w:ind w:firstLine="900"/>
        <w:jc w:val="both"/>
        <w:rPr>
          <w:rFonts w:ascii="Arial Narrow" w:hAnsi="Arial Narrow" w:cs="Tahoma"/>
          <w:sz w:val="28"/>
          <w:szCs w:val="28"/>
        </w:rPr>
      </w:pPr>
    </w:p>
    <w:p w:rsidR="00272A25" w:rsidRDefault="00AD5A55"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de sus pedidos, se indica que elevó solicitud de reconocimiento de la pensión de invalidez al ISS el 21 de febrero de 1996, que en </w:t>
      </w:r>
      <w:r w:rsidR="002A495C">
        <w:rPr>
          <w:rFonts w:ascii="Arial Narrow" w:hAnsi="Arial Narrow" w:cs="Tahoma"/>
          <w:sz w:val="28"/>
          <w:szCs w:val="28"/>
        </w:rPr>
        <w:t>R</w:t>
      </w:r>
      <w:r>
        <w:rPr>
          <w:rFonts w:ascii="Arial Narrow" w:hAnsi="Arial Narrow" w:cs="Tahoma"/>
          <w:sz w:val="28"/>
          <w:szCs w:val="28"/>
        </w:rPr>
        <w:t>esolución No. 2859 de 1997</w:t>
      </w:r>
      <w:r w:rsidR="002A495C">
        <w:rPr>
          <w:rFonts w:ascii="Arial Narrow" w:hAnsi="Arial Narrow" w:cs="Tahoma"/>
          <w:sz w:val="28"/>
          <w:szCs w:val="28"/>
        </w:rPr>
        <w:t xml:space="preserve"> la entidad le negó el derecho por no contar con la densidad de semanas exigidas en la ley 100de 1993 –art.- 39-; que nuevamente se elevó petición para el reconocimiento del derecho pensional el 19 de julio de 2012 ante Colpensiones, que nuevamente se negó la prestación pensional, que el actor fue declarado invalido a partir del 14 de noviembre de 1995</w:t>
      </w:r>
      <w:r w:rsidR="00272A25">
        <w:rPr>
          <w:rFonts w:ascii="Arial Narrow" w:hAnsi="Arial Narrow" w:cs="Tahoma"/>
          <w:sz w:val="28"/>
          <w:szCs w:val="28"/>
        </w:rPr>
        <w:t>.</w:t>
      </w:r>
    </w:p>
    <w:p w:rsidR="00500953" w:rsidRDefault="00500953" w:rsidP="00500953">
      <w:pPr>
        <w:pStyle w:val="Sansinterligne"/>
      </w:pPr>
    </w:p>
    <w:p w:rsidR="002A495C" w:rsidRDefault="004F7163" w:rsidP="004A6AB6">
      <w:pPr>
        <w:spacing w:line="360" w:lineRule="auto"/>
        <w:ind w:firstLine="900"/>
        <w:jc w:val="both"/>
        <w:rPr>
          <w:rFonts w:ascii="Arial Narrow" w:hAnsi="Arial Narrow" w:cs="Arial"/>
          <w:sz w:val="28"/>
          <w:szCs w:val="28"/>
        </w:rPr>
      </w:pPr>
      <w:r>
        <w:rPr>
          <w:rFonts w:ascii="Arial Narrow" w:hAnsi="Arial Narrow" w:cs="Arial"/>
          <w:sz w:val="28"/>
          <w:szCs w:val="28"/>
        </w:rPr>
        <w:t>Una vez admitida la demanda, se dispuso el traslado a la demandada, entidad que allegó respuesta por intermedio de procurador</w:t>
      </w:r>
      <w:r w:rsidR="002A495C">
        <w:rPr>
          <w:rFonts w:ascii="Arial Narrow" w:hAnsi="Arial Narrow" w:cs="Arial"/>
          <w:sz w:val="28"/>
          <w:szCs w:val="28"/>
        </w:rPr>
        <w:t>a</w:t>
      </w:r>
      <w:r>
        <w:rPr>
          <w:rFonts w:ascii="Arial Narrow" w:hAnsi="Arial Narrow" w:cs="Arial"/>
          <w:sz w:val="28"/>
          <w:szCs w:val="28"/>
        </w:rPr>
        <w:t xml:space="preserve"> judicial, </w:t>
      </w:r>
      <w:r w:rsidR="002A495C">
        <w:rPr>
          <w:rFonts w:ascii="Arial Narrow" w:hAnsi="Arial Narrow" w:cs="Arial"/>
          <w:sz w:val="28"/>
          <w:szCs w:val="28"/>
        </w:rPr>
        <w:t>en la que se pronunció frente a los hechos, aceptando los atinentes a las reclamaciones elevadas por el accionante y las respuestas negativas de la entidad, así como la fecha de estructuración de la invalidez. Frente a los restantes indica que no le constan. Se opuso a los pedidos de la demanda y excepcionó de fondo “Inexistencia de la obligación”, “Improcedencia de los intereses de mora” y “Prescripción”.</w:t>
      </w:r>
    </w:p>
    <w:p w:rsidR="0018341A" w:rsidRDefault="0018341A" w:rsidP="005F1F04">
      <w:pPr>
        <w:spacing w:line="276" w:lineRule="auto"/>
        <w:ind w:firstLine="900"/>
        <w:jc w:val="both"/>
        <w:rPr>
          <w:rFonts w:ascii="Arial Narrow" w:hAnsi="Arial Narrow" w:cs="Tahoma"/>
          <w:sz w:val="28"/>
          <w:szCs w:val="28"/>
        </w:rPr>
      </w:pPr>
    </w:p>
    <w:p w:rsidR="005F1F04" w:rsidRDefault="005F1F04" w:rsidP="004A6AB6">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5F1F04" w:rsidRPr="008278F7" w:rsidRDefault="005F1F04" w:rsidP="008278F7">
      <w:pPr>
        <w:pStyle w:val="Sansinterligne"/>
      </w:pPr>
    </w:p>
    <w:p w:rsidR="008C260B" w:rsidRDefault="002A495C" w:rsidP="004A6AB6">
      <w:pPr>
        <w:spacing w:line="360" w:lineRule="auto"/>
        <w:ind w:firstLine="900"/>
        <w:jc w:val="both"/>
        <w:rPr>
          <w:rFonts w:ascii="Arial Narrow" w:hAnsi="Arial Narrow" w:cs="Tahoma"/>
          <w:sz w:val="28"/>
          <w:szCs w:val="28"/>
        </w:rPr>
      </w:pPr>
      <w:r>
        <w:rPr>
          <w:rFonts w:ascii="Arial Narrow" w:hAnsi="Arial Narrow" w:cs="Tahoma"/>
          <w:sz w:val="28"/>
          <w:szCs w:val="28"/>
        </w:rPr>
        <w:t>El Despacho a quo, mediante la providencia apelada, puso fin a la primera instancia, negando las pretensiones de la demand</w:t>
      </w:r>
      <w:r w:rsidR="008C260B">
        <w:rPr>
          <w:rFonts w:ascii="Arial Narrow" w:hAnsi="Arial Narrow" w:cs="Tahoma"/>
          <w:sz w:val="28"/>
          <w:szCs w:val="28"/>
        </w:rPr>
        <w:t xml:space="preserve">a, al encontrar que si bien es cierto que el actor se encuentra en estado de invalidez, también lo es que al momento de su estructuración -1995-, no satisfacía los presupuestos legales para acceder a la pensión de invalidez, pues no contaba con las 26 semanas en el año anterior. En cuanto a la aplicación del principio de la condición más beneficiosa, estima que el mismo efectivamente resultaría aplicable al caso, salvo por dos circunstancias: La primera alude a que la jurisprudencia de la Corte Suprema de Justicia, que abre esa posibilidad, apenas data de 2005, lo que impide que se aplique a este caso y segundo, que el actor recibió la indemnización sustitutiva, razón por la cual utilizó los recursos en otra prestación del sistema, siendo inviable reutilizarlos nuevamente para </w:t>
      </w:r>
      <w:r w:rsidR="008C260B">
        <w:rPr>
          <w:rFonts w:ascii="Arial Narrow" w:hAnsi="Arial Narrow" w:cs="Tahoma"/>
          <w:sz w:val="28"/>
          <w:szCs w:val="28"/>
        </w:rPr>
        <w:lastRenderedPageBreak/>
        <w:t>el reconocimiento de la prestación principal, máxime cuando la decisión que adoptó el fondo pensional estaba amparada por la legislación aplicable al caso.</w:t>
      </w:r>
    </w:p>
    <w:p w:rsidR="008C260B" w:rsidRDefault="008C260B" w:rsidP="004A6AB6">
      <w:pPr>
        <w:spacing w:line="360" w:lineRule="auto"/>
        <w:ind w:firstLine="900"/>
        <w:jc w:val="both"/>
        <w:rPr>
          <w:rFonts w:ascii="Arial Narrow" w:hAnsi="Arial Narrow" w:cs="Tahoma"/>
          <w:sz w:val="28"/>
          <w:szCs w:val="28"/>
        </w:rPr>
      </w:pPr>
    </w:p>
    <w:p w:rsidR="008C260B" w:rsidRDefault="008C260B" w:rsidP="004A6AB6">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APELACIÒN.</w:t>
      </w:r>
    </w:p>
    <w:p w:rsidR="0018341A" w:rsidRPr="007420E2" w:rsidRDefault="0018341A" w:rsidP="007420E2">
      <w:pPr>
        <w:pStyle w:val="Sansinterligne"/>
      </w:pPr>
    </w:p>
    <w:p w:rsidR="00AB417D" w:rsidRDefault="008C260B" w:rsidP="004A6AB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apoderado de la parte actora, insiste en que el actor tiene derecho al reconocimiento de la prestación pensional, en aplicación del principio de la condición más beneficiosa, por cuanto al 1º de abril de 1994, contaba con más de</w:t>
      </w:r>
      <w:r w:rsidR="00AB417D">
        <w:rPr>
          <w:rFonts w:ascii="Arial Narrow" w:hAnsi="Arial Narrow" w:cs="Tahoma"/>
          <w:color w:val="000000"/>
          <w:sz w:val="28"/>
          <w:szCs w:val="28"/>
          <w:lang w:eastAsia="es-CO"/>
        </w:rPr>
        <w:t xml:space="preserve"> 300 semanas cotizadas al sistema, lo que permite la aplicación ultraactiva de dicha normatividad.</w:t>
      </w:r>
    </w:p>
    <w:p w:rsidR="004F7163" w:rsidRDefault="004F7163" w:rsidP="004A6AB6">
      <w:pPr>
        <w:shd w:val="clear" w:color="auto" w:fill="FFFFFF"/>
        <w:tabs>
          <w:tab w:val="left" w:pos="5197"/>
        </w:tabs>
        <w:spacing w:line="360" w:lineRule="auto"/>
        <w:ind w:firstLine="851"/>
        <w:jc w:val="both"/>
        <w:rPr>
          <w:rFonts w:ascii="Arial Narrow" w:hAnsi="Arial Narrow" w:cs="Tahoma"/>
          <w:b/>
          <w:i/>
          <w:sz w:val="28"/>
          <w:szCs w:val="28"/>
        </w:rPr>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4A6AB6" w:rsidRDefault="004A6AB6" w:rsidP="007420E2">
      <w:pPr>
        <w:pStyle w:val="Sansinterligne"/>
      </w:pPr>
    </w:p>
    <w:p w:rsidR="004A6AB6"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3D0B0D" w:rsidRPr="00E845FE" w:rsidRDefault="003D0B0D"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A6AB6" w:rsidRPr="004F7163" w:rsidRDefault="004A6AB6" w:rsidP="004F7163">
      <w:pPr>
        <w:tabs>
          <w:tab w:val="left" w:pos="0"/>
          <w:tab w:val="left" w:pos="8647"/>
        </w:tabs>
        <w:suppressAutoHyphens/>
        <w:spacing w:line="360" w:lineRule="auto"/>
        <w:ind w:firstLine="900"/>
        <w:jc w:val="both"/>
        <w:rPr>
          <w:rFonts w:ascii="Arial Narrow" w:hAnsi="Arial Narrow" w:cs="Tahoma"/>
          <w:i/>
          <w:iCs/>
          <w:sz w:val="28"/>
          <w:szCs w:val="26"/>
        </w:rPr>
      </w:pPr>
      <w:r w:rsidRPr="004F7163">
        <w:rPr>
          <w:rFonts w:ascii="Arial Narrow" w:hAnsi="Arial Narrow" w:cs="Tahoma"/>
          <w:i/>
          <w:sz w:val="28"/>
          <w:szCs w:val="26"/>
        </w:rPr>
        <w:t>¿</w:t>
      </w:r>
      <w:r w:rsidR="007420E2" w:rsidRPr="004F7163">
        <w:rPr>
          <w:rFonts w:ascii="Arial Narrow" w:hAnsi="Arial Narrow" w:cs="Tahoma"/>
          <w:i/>
          <w:sz w:val="28"/>
          <w:szCs w:val="26"/>
        </w:rPr>
        <w:t xml:space="preserve">Es </w:t>
      </w:r>
      <w:r w:rsidRPr="004F7163">
        <w:rPr>
          <w:rFonts w:ascii="Arial Narrow" w:hAnsi="Arial Narrow" w:cs="Tahoma"/>
          <w:i/>
          <w:sz w:val="28"/>
          <w:szCs w:val="26"/>
        </w:rPr>
        <w:t xml:space="preserve">procedente </w:t>
      </w:r>
      <w:r w:rsidR="007420E2" w:rsidRPr="004F7163">
        <w:rPr>
          <w:rFonts w:ascii="Arial Narrow" w:hAnsi="Arial Narrow" w:cs="Tahoma"/>
          <w:i/>
          <w:sz w:val="28"/>
          <w:szCs w:val="26"/>
        </w:rPr>
        <w:t xml:space="preserve">reconocer la </w:t>
      </w:r>
      <w:r w:rsidRPr="004F7163">
        <w:rPr>
          <w:rFonts w:ascii="Arial Narrow" w:hAnsi="Arial Narrow" w:cs="Tahoma"/>
          <w:i/>
          <w:sz w:val="28"/>
          <w:szCs w:val="26"/>
        </w:rPr>
        <w:t xml:space="preserve">pensión de </w:t>
      </w:r>
      <w:r w:rsidR="00AB417D">
        <w:rPr>
          <w:rFonts w:ascii="Arial Narrow" w:hAnsi="Arial Narrow" w:cs="Tahoma"/>
          <w:i/>
          <w:sz w:val="28"/>
          <w:szCs w:val="26"/>
        </w:rPr>
        <w:t>invalidez</w:t>
      </w:r>
      <w:r w:rsidRPr="004F7163">
        <w:rPr>
          <w:rFonts w:ascii="Arial Narrow" w:hAnsi="Arial Narrow" w:cs="Tahoma"/>
          <w:i/>
          <w:sz w:val="28"/>
          <w:szCs w:val="26"/>
        </w:rPr>
        <w:t xml:space="preserve"> conforme al Acuerdo 049 de 1990, en aplicación </w:t>
      </w:r>
      <w:r w:rsidR="007420E2" w:rsidRPr="004F7163">
        <w:rPr>
          <w:rFonts w:ascii="Arial Narrow" w:hAnsi="Arial Narrow" w:cs="Tahoma"/>
          <w:i/>
          <w:sz w:val="28"/>
          <w:szCs w:val="26"/>
        </w:rPr>
        <w:t xml:space="preserve">de la condición más beneficiosa, </w:t>
      </w:r>
      <w:r w:rsidRPr="004F7163">
        <w:rPr>
          <w:rFonts w:ascii="Arial Narrow" w:hAnsi="Arial Narrow" w:cs="Tahoma"/>
          <w:i/>
          <w:sz w:val="28"/>
          <w:szCs w:val="26"/>
        </w:rPr>
        <w:t xml:space="preserve">cuando </w:t>
      </w:r>
      <w:r w:rsidR="00AB417D">
        <w:rPr>
          <w:rFonts w:ascii="Arial Narrow" w:hAnsi="Arial Narrow" w:cs="Tahoma"/>
          <w:i/>
          <w:sz w:val="28"/>
          <w:szCs w:val="26"/>
        </w:rPr>
        <w:t xml:space="preserve">la estructuración de la invalidez del demandante </w:t>
      </w:r>
      <w:r w:rsidRPr="004F7163">
        <w:rPr>
          <w:rFonts w:ascii="Arial Narrow" w:hAnsi="Arial Narrow" w:cs="Tahoma"/>
          <w:i/>
          <w:sz w:val="28"/>
          <w:szCs w:val="26"/>
        </w:rPr>
        <w:t xml:space="preserve">se produjo en vigencia de la Ley </w:t>
      </w:r>
      <w:r w:rsidR="00AB417D">
        <w:rPr>
          <w:rFonts w:ascii="Arial Narrow" w:hAnsi="Arial Narrow" w:cs="Tahoma"/>
          <w:i/>
          <w:sz w:val="28"/>
          <w:szCs w:val="26"/>
        </w:rPr>
        <w:t>100</w:t>
      </w:r>
      <w:r w:rsidRPr="004F7163">
        <w:rPr>
          <w:rFonts w:ascii="Arial Narrow" w:hAnsi="Arial Narrow" w:cs="Tahoma"/>
          <w:i/>
          <w:sz w:val="28"/>
          <w:szCs w:val="26"/>
        </w:rPr>
        <w:t xml:space="preserve"> de </w:t>
      </w:r>
      <w:r w:rsidR="00AB417D">
        <w:rPr>
          <w:rFonts w:ascii="Arial Narrow" w:hAnsi="Arial Narrow" w:cs="Tahoma"/>
          <w:i/>
          <w:sz w:val="28"/>
          <w:szCs w:val="26"/>
        </w:rPr>
        <w:t>1993</w:t>
      </w:r>
      <w:r w:rsidRPr="004F7163">
        <w:rPr>
          <w:rFonts w:ascii="Arial Narrow" w:hAnsi="Arial Narrow" w:cs="Tahoma"/>
          <w:i/>
          <w:iCs/>
          <w:sz w:val="28"/>
          <w:szCs w:val="26"/>
        </w:rPr>
        <w:t>?</w:t>
      </w:r>
    </w:p>
    <w:p w:rsidR="007420E2" w:rsidRPr="003D0B0D" w:rsidRDefault="007420E2" w:rsidP="007420E2">
      <w:pPr>
        <w:pStyle w:val="Sansinterligne"/>
        <w:rPr>
          <w:sz w:val="28"/>
          <w:szCs w:val="28"/>
        </w:rPr>
      </w:pPr>
    </w:p>
    <w:p w:rsidR="007420E2" w:rsidRPr="004F7163" w:rsidRDefault="007420E2" w:rsidP="003D0B0D">
      <w:pPr>
        <w:tabs>
          <w:tab w:val="left" w:pos="0"/>
          <w:tab w:val="left" w:pos="8647"/>
        </w:tabs>
        <w:suppressAutoHyphens/>
        <w:spacing w:line="360" w:lineRule="auto"/>
        <w:ind w:firstLine="900"/>
        <w:jc w:val="both"/>
        <w:rPr>
          <w:rFonts w:ascii="Arial Narrow" w:hAnsi="Arial Narrow" w:cs="Tahoma"/>
          <w:i/>
          <w:iCs/>
          <w:sz w:val="28"/>
          <w:szCs w:val="26"/>
        </w:rPr>
      </w:pPr>
      <w:r w:rsidRPr="004F7163">
        <w:rPr>
          <w:rFonts w:ascii="Arial Narrow" w:hAnsi="Arial Narrow" w:cs="Tahoma"/>
          <w:i/>
          <w:iCs/>
          <w:sz w:val="28"/>
          <w:szCs w:val="26"/>
        </w:rPr>
        <w:t>¿</w:t>
      </w:r>
      <w:r w:rsidR="00AB417D">
        <w:rPr>
          <w:rFonts w:ascii="Arial Narrow" w:hAnsi="Arial Narrow" w:cs="Tahoma"/>
          <w:i/>
          <w:iCs/>
          <w:sz w:val="28"/>
          <w:szCs w:val="26"/>
        </w:rPr>
        <w:t>Se ve afectado el reconocimiento del derecho pensional, cuando el actor recibió la indemnización sustitutiva</w:t>
      </w:r>
      <w:r w:rsidRPr="004F7163">
        <w:rPr>
          <w:rFonts w:ascii="Arial Narrow" w:hAnsi="Arial Narrow" w:cs="Tahoma"/>
          <w:i/>
          <w:iCs/>
          <w:sz w:val="28"/>
          <w:szCs w:val="26"/>
        </w:rPr>
        <w:t xml:space="preserve">? </w:t>
      </w:r>
    </w:p>
    <w:p w:rsidR="004A6AB6" w:rsidRDefault="004A6AB6" w:rsidP="007420E2">
      <w:pPr>
        <w:pStyle w:val="Sansinterligne"/>
        <w:spacing w:line="360" w:lineRule="auto"/>
        <w:rPr>
          <w:sz w:val="24"/>
        </w:rPr>
      </w:pPr>
    </w:p>
    <w:p w:rsidR="003D0B0D" w:rsidRPr="004F7163" w:rsidRDefault="003D0B0D" w:rsidP="007420E2">
      <w:pPr>
        <w:pStyle w:val="Sansinterligne"/>
        <w:spacing w:line="360" w:lineRule="auto"/>
        <w:rPr>
          <w:sz w:val="24"/>
        </w:rPr>
      </w:pPr>
    </w:p>
    <w:p w:rsidR="004A6AB6" w:rsidRDefault="004A6AB6" w:rsidP="004A6AB6">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A6AB6" w:rsidRPr="00E845FE" w:rsidRDefault="004A6AB6" w:rsidP="007420E2">
      <w:pPr>
        <w:pStyle w:val="Sansinterligne"/>
      </w:pPr>
    </w:p>
    <w:p w:rsidR="004A6AB6"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7420E2">
        <w:rPr>
          <w:rFonts w:ascii="Arial Narrow" w:hAnsi="Arial Narrow" w:cs="Tahoma"/>
          <w:sz w:val="28"/>
          <w:szCs w:val="28"/>
        </w:rPr>
        <w:t>para que presenten sus alegatos de conclusión.</w:t>
      </w:r>
    </w:p>
    <w:p w:rsidR="004A6AB6" w:rsidRPr="003D0B0D" w:rsidRDefault="004A6AB6" w:rsidP="0036284D">
      <w:pPr>
        <w:pStyle w:val="Sansinterligne"/>
        <w:rPr>
          <w:sz w:val="28"/>
          <w:szCs w:val="28"/>
        </w:rPr>
      </w:pPr>
    </w:p>
    <w:p w:rsidR="004A6AB6" w:rsidRPr="00E845FE"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A6AB6" w:rsidRPr="00E845FE" w:rsidRDefault="004A6AB6" w:rsidP="0036284D">
      <w:pPr>
        <w:pStyle w:val="Sansinterligne"/>
      </w:pPr>
    </w:p>
    <w:p w:rsidR="004A6AB6" w:rsidRPr="000E0538" w:rsidRDefault="00F7593E" w:rsidP="004A6AB6">
      <w:pPr>
        <w:spacing w:line="360" w:lineRule="auto"/>
        <w:ind w:left="1418" w:hanging="578"/>
        <w:jc w:val="both"/>
        <w:rPr>
          <w:rFonts w:ascii="Arial Narrow" w:hAnsi="Arial Narrow" w:cs="Tahoma"/>
          <w:b/>
          <w:i/>
          <w:sz w:val="28"/>
          <w:szCs w:val="28"/>
        </w:rPr>
      </w:pPr>
      <w:r>
        <w:rPr>
          <w:rFonts w:ascii="Arial Narrow" w:hAnsi="Arial Narrow" w:cs="Tahoma"/>
          <w:b/>
          <w:i/>
          <w:sz w:val="28"/>
          <w:szCs w:val="28"/>
        </w:rPr>
        <w:lastRenderedPageBreak/>
        <w:t>IV</w:t>
      </w:r>
      <w:r w:rsidR="004A6AB6" w:rsidRPr="0036284D">
        <w:rPr>
          <w:rFonts w:ascii="Arial Narrow" w:hAnsi="Arial Narrow" w:cs="Tahoma"/>
          <w:b/>
          <w:i/>
          <w:sz w:val="28"/>
          <w:szCs w:val="28"/>
        </w:rPr>
        <w:t>.</w:t>
      </w:r>
      <w:r w:rsidR="004A6AB6" w:rsidRPr="000E0538">
        <w:rPr>
          <w:rFonts w:ascii="Arial Narrow" w:hAnsi="Arial Narrow" w:cs="Tahoma"/>
          <w:b/>
          <w:i/>
          <w:sz w:val="28"/>
          <w:szCs w:val="28"/>
        </w:rPr>
        <w:t xml:space="preserve"> CONSIDERACIONES:</w:t>
      </w:r>
    </w:p>
    <w:p w:rsidR="004A6AB6" w:rsidRPr="0036284D" w:rsidRDefault="004A6AB6" w:rsidP="0036284D">
      <w:pPr>
        <w:pStyle w:val="Sansinterligne"/>
      </w:pPr>
      <w:r w:rsidRPr="000E0538">
        <w:rPr>
          <w:i/>
        </w:rPr>
        <w:tab/>
      </w:r>
      <w:r w:rsidRPr="00E845FE">
        <w:tab/>
      </w:r>
    </w:p>
    <w:p w:rsidR="004A6AB6" w:rsidRDefault="004A6AB6" w:rsidP="004A6AB6">
      <w:pPr>
        <w:pStyle w:val="Corpsdetexte"/>
        <w:spacing w:line="360" w:lineRule="auto"/>
        <w:ind w:firstLine="858"/>
        <w:rPr>
          <w:rFonts w:ascii="Arial Narrow" w:hAnsi="Arial Narrow"/>
          <w:b/>
          <w:i/>
          <w:sz w:val="28"/>
          <w:szCs w:val="28"/>
          <w:lang w:eastAsia="en-US"/>
        </w:rPr>
      </w:pPr>
      <w:r w:rsidRPr="00E845FE">
        <w:rPr>
          <w:rFonts w:ascii="Arial Narrow" w:hAnsi="Arial Narrow"/>
          <w:b/>
          <w:i/>
          <w:sz w:val="28"/>
          <w:szCs w:val="28"/>
          <w:lang w:eastAsia="en-US"/>
        </w:rPr>
        <w:t>Desenvolvimiento de la problemática planteada</w:t>
      </w:r>
    </w:p>
    <w:p w:rsidR="00B65778" w:rsidRPr="008278F7" w:rsidRDefault="00B65778" w:rsidP="008278F7">
      <w:pPr>
        <w:pStyle w:val="Sansinterligne"/>
      </w:pPr>
    </w:p>
    <w:p w:rsidR="00CF2EDC" w:rsidRDefault="00B65778" w:rsidP="0036284D">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w:t>
      </w:r>
      <w:r w:rsidR="00B51915" w:rsidRPr="00F769BA">
        <w:rPr>
          <w:rFonts w:ascii="Arial Narrow" w:hAnsi="Arial Narrow"/>
          <w:sz w:val="28"/>
          <w:szCs w:val="28"/>
          <w:lang w:eastAsia="en-US"/>
        </w:rPr>
        <w:t xml:space="preserve">instancia: (i) que </w:t>
      </w:r>
      <w:r w:rsidRPr="00F769BA">
        <w:rPr>
          <w:rFonts w:ascii="Arial Narrow" w:hAnsi="Arial Narrow"/>
          <w:sz w:val="28"/>
          <w:szCs w:val="28"/>
          <w:lang w:eastAsia="en-US"/>
        </w:rPr>
        <w:t>el</w:t>
      </w:r>
      <w:r w:rsidR="00CF2EDC">
        <w:rPr>
          <w:rFonts w:ascii="Arial Narrow" w:hAnsi="Arial Narrow"/>
          <w:sz w:val="28"/>
          <w:szCs w:val="28"/>
          <w:lang w:eastAsia="en-US"/>
        </w:rPr>
        <w:t xml:space="preserve"> actor fue calificado con una pérdida de su capacidad laboral del 50%, estructurada el 14 de noviembre de 1995, tal como aparece en el dictamen médico visible a folio 43</w:t>
      </w:r>
      <w:r w:rsidR="0091382D">
        <w:rPr>
          <w:rFonts w:ascii="Arial Narrow" w:hAnsi="Arial Narrow"/>
          <w:sz w:val="28"/>
          <w:szCs w:val="28"/>
          <w:lang w:eastAsia="en-US"/>
        </w:rPr>
        <w:t>,</w:t>
      </w:r>
      <w:r w:rsidR="00CF2EDC">
        <w:rPr>
          <w:rFonts w:ascii="Arial Narrow" w:hAnsi="Arial Narrow"/>
          <w:sz w:val="28"/>
          <w:szCs w:val="28"/>
          <w:lang w:eastAsia="en-US"/>
        </w:rPr>
        <w:t xml:space="preserve"> (ii) que el señor Cano Vallejo tenía cotizado al 1º de abril de 1994, un total de 396,68 semanas, tal como se desprende de la historia laboral visible a folio 51</w:t>
      </w:r>
      <w:r w:rsidR="0091382D">
        <w:rPr>
          <w:rFonts w:ascii="Arial Narrow" w:hAnsi="Arial Narrow"/>
          <w:sz w:val="28"/>
          <w:szCs w:val="28"/>
          <w:lang w:eastAsia="en-US"/>
        </w:rPr>
        <w:t xml:space="preserve"> y (iii) que la entidad demandada reconoció al demandante una indemnización sustitutiva  de la pensión en cuantía única de $769.196, según la Resolución No. 002859 de 1997 –</w:t>
      </w:r>
      <w:proofErr w:type="spellStart"/>
      <w:r w:rsidR="0091382D">
        <w:rPr>
          <w:rFonts w:ascii="Arial Narrow" w:hAnsi="Arial Narrow"/>
          <w:sz w:val="28"/>
          <w:szCs w:val="28"/>
          <w:lang w:eastAsia="en-US"/>
        </w:rPr>
        <w:t>fl</w:t>
      </w:r>
      <w:proofErr w:type="spellEnd"/>
      <w:r w:rsidR="0091382D">
        <w:rPr>
          <w:rFonts w:ascii="Arial Narrow" w:hAnsi="Arial Narrow"/>
          <w:sz w:val="28"/>
          <w:szCs w:val="28"/>
          <w:lang w:eastAsia="en-US"/>
        </w:rPr>
        <w:t>. 10-.</w:t>
      </w:r>
    </w:p>
    <w:p w:rsidR="00AF5728" w:rsidRDefault="00AF5728" w:rsidP="0036284D">
      <w:pPr>
        <w:spacing w:line="360" w:lineRule="auto"/>
        <w:ind w:firstLine="708"/>
        <w:jc w:val="both"/>
        <w:rPr>
          <w:rFonts w:ascii="Arial Narrow" w:hAnsi="Arial Narrow"/>
          <w:sz w:val="28"/>
          <w:szCs w:val="28"/>
          <w:lang w:eastAsia="en-US"/>
        </w:rPr>
      </w:pPr>
    </w:p>
    <w:p w:rsidR="00AC157E" w:rsidRPr="008278F7" w:rsidRDefault="00AC157E" w:rsidP="008278F7">
      <w:pPr>
        <w:pStyle w:val="Sansinterligne"/>
      </w:pPr>
    </w:p>
    <w:p w:rsidR="00F87D3F" w:rsidRDefault="00C067BB" w:rsidP="00B775B0">
      <w:pPr>
        <w:spacing w:line="360" w:lineRule="auto"/>
        <w:ind w:firstLine="708"/>
        <w:jc w:val="both"/>
        <w:rPr>
          <w:rFonts w:ascii="Arial Narrow" w:hAnsi="Arial Narrow" w:cs="Arial"/>
          <w:sz w:val="28"/>
          <w:szCs w:val="28"/>
        </w:rPr>
      </w:pPr>
      <w:r>
        <w:rPr>
          <w:rFonts w:ascii="Arial Narrow" w:hAnsi="Arial Narrow" w:cs="Arial"/>
          <w:sz w:val="28"/>
          <w:szCs w:val="28"/>
        </w:rPr>
        <w:t>Partiendo de tales supuestos, necesariamente debe recordarse que la pensión de invalidez, por regla general, se regula por la normatividad vigente al momento de la</w:t>
      </w:r>
      <w:r w:rsidR="006612D7">
        <w:rPr>
          <w:rFonts w:ascii="Arial Narrow" w:hAnsi="Arial Narrow" w:cs="Arial"/>
          <w:sz w:val="28"/>
          <w:szCs w:val="28"/>
        </w:rPr>
        <w:t xml:space="preserve"> estructuración de la pérdida de la capacidad laboral. No obstante, tal regla no es inflexible y permite que, en eventos especiales, el asunto se regule por otra norma diferente. Uno de tales eventos, es la aplicación de la condición m</w:t>
      </w:r>
      <w:r w:rsidR="00F87D3F">
        <w:rPr>
          <w:rFonts w:ascii="Arial Narrow" w:hAnsi="Arial Narrow" w:cs="Arial"/>
          <w:sz w:val="28"/>
          <w:szCs w:val="28"/>
        </w:rPr>
        <w:t>ás beneficiosa, en virtud de la cual, cuando una persona bajo una normatividad anterior logró satisfacer los requisitos objetivos para alcanzar una prestación pensional (densidad de cotizaciones) y el riesgo se concreta en vigencia de otra legislación que flexibilizó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w:t>
      </w:r>
    </w:p>
    <w:p w:rsidR="00F87D3F" w:rsidRDefault="00F87D3F" w:rsidP="00B775B0">
      <w:pPr>
        <w:spacing w:line="360" w:lineRule="auto"/>
        <w:ind w:firstLine="708"/>
        <w:jc w:val="both"/>
        <w:rPr>
          <w:rFonts w:ascii="Arial Narrow" w:hAnsi="Arial Narrow" w:cs="Arial"/>
          <w:sz w:val="28"/>
          <w:szCs w:val="28"/>
        </w:rPr>
      </w:pPr>
    </w:p>
    <w:p w:rsidR="00F87D3F" w:rsidRDefault="00F87D3F" w:rsidP="00B775B0">
      <w:pPr>
        <w:spacing w:line="360" w:lineRule="auto"/>
        <w:ind w:firstLine="708"/>
        <w:jc w:val="both"/>
        <w:rPr>
          <w:rFonts w:ascii="Arial Narrow" w:hAnsi="Arial Narrow" w:cs="Arial"/>
          <w:sz w:val="28"/>
          <w:szCs w:val="28"/>
        </w:rPr>
      </w:pPr>
      <w:r>
        <w:rPr>
          <w:rFonts w:ascii="Arial Narrow" w:hAnsi="Arial Narrow" w:cs="Arial"/>
          <w:sz w:val="28"/>
          <w:szCs w:val="28"/>
        </w:rPr>
        <w:t>Entratándose de la pensión de invalidez, de vieja data la Sala de Casación Laboral de la Corte Suprema de Justicia ha venido permitiendo la aplicación del aludido principio</w:t>
      </w:r>
      <w:r w:rsidR="00B50296">
        <w:rPr>
          <w:rFonts w:ascii="Arial Narrow" w:hAnsi="Arial Narrow" w:cs="Arial"/>
          <w:sz w:val="28"/>
          <w:szCs w:val="28"/>
        </w:rPr>
        <w:t>, cuando el riesgo se consolidó bajo el amparo de la Ley 100 de 1993, en su redacción original, pero se persigue que el tema se regule por el Acuerdo 049 de 1990</w:t>
      </w:r>
      <w:r>
        <w:rPr>
          <w:rFonts w:ascii="Arial Narrow" w:hAnsi="Arial Narrow" w:cs="Arial"/>
          <w:sz w:val="28"/>
          <w:szCs w:val="28"/>
        </w:rPr>
        <w:t xml:space="preserve">, siendo pertinente citar una reciente decisión que, además de ratificar la línea trazada de tiempo atrás, explica diáfanamente cómo </w:t>
      </w:r>
      <w:r w:rsidR="00B50296">
        <w:rPr>
          <w:rFonts w:ascii="Arial Narrow" w:hAnsi="Arial Narrow" w:cs="Arial"/>
          <w:sz w:val="28"/>
          <w:szCs w:val="28"/>
        </w:rPr>
        <w:t xml:space="preserve">y cuándo deben verificarse las </w:t>
      </w:r>
      <w:r w:rsidR="00B50296">
        <w:rPr>
          <w:rFonts w:ascii="Arial Narrow" w:hAnsi="Arial Narrow" w:cs="Arial"/>
          <w:sz w:val="28"/>
          <w:szCs w:val="28"/>
        </w:rPr>
        <w:lastRenderedPageBreak/>
        <w:t>semanas exigidas en el Acuerdo 049 de 1990, con el fin de dar aplicación al principio de la condición m</w:t>
      </w:r>
      <w:r w:rsidR="003552D2">
        <w:rPr>
          <w:rFonts w:ascii="Arial Narrow" w:hAnsi="Arial Narrow" w:cs="Arial"/>
          <w:sz w:val="28"/>
          <w:szCs w:val="28"/>
        </w:rPr>
        <w:t>ás beneficiosa:</w:t>
      </w:r>
    </w:p>
    <w:p w:rsidR="003552D2" w:rsidRDefault="003552D2" w:rsidP="00B775B0">
      <w:pPr>
        <w:spacing w:line="360" w:lineRule="auto"/>
        <w:ind w:firstLine="708"/>
        <w:jc w:val="both"/>
        <w:rPr>
          <w:rFonts w:ascii="Arial Narrow" w:hAnsi="Arial Narrow" w:cs="Arial"/>
          <w:sz w:val="28"/>
          <w:szCs w:val="28"/>
        </w:rPr>
      </w:pPr>
    </w:p>
    <w:p w:rsidR="003552D2" w:rsidRPr="003552D2" w:rsidRDefault="003552D2" w:rsidP="003552D2">
      <w:pPr>
        <w:spacing w:line="360" w:lineRule="auto"/>
        <w:ind w:firstLine="708"/>
        <w:jc w:val="both"/>
        <w:rPr>
          <w:rFonts w:ascii="Arial Narrow" w:hAnsi="Arial Narrow" w:cs="Arial"/>
          <w:i/>
          <w:sz w:val="28"/>
          <w:szCs w:val="28"/>
        </w:rPr>
      </w:pPr>
      <w:r>
        <w:rPr>
          <w:rFonts w:ascii="Arial Narrow" w:hAnsi="Arial Narrow" w:cs="Arial"/>
          <w:i/>
          <w:sz w:val="28"/>
          <w:szCs w:val="28"/>
        </w:rPr>
        <w:t>“</w:t>
      </w:r>
      <w:r w:rsidRPr="003552D2">
        <w:rPr>
          <w:rFonts w:ascii="Arial Narrow" w:hAnsi="Arial Narrow" w:cs="Arial"/>
          <w:i/>
          <w:sz w:val="28"/>
          <w:szCs w:val="28"/>
        </w:rPr>
        <w:t>Pues bien, sobre la aplicación de la condición más beneficiosa, tratándose de pensiones de invalidez, cuando se estructura dicha invalidez en vigencia de la Ley 100 de 1993, esta Corporación ha sostenido desde la sentencia del 5 de julio de 2005, rad. 24280, que es inadmisible aceptar que el asegurado que sufragó un abundante número de semanas, quede privado de la prestación por no contar con las 26 semanas requeridas en el nuevo régimen, en la medida que dentro del antiguo tenga consolidado el amparo, lo cual no pude ser desconocido, pues resultaría el sistema ineficaz y sin sentido práctico o dinámico</w:t>
      </w:r>
      <w:r>
        <w:rPr>
          <w:rFonts w:ascii="Arial Narrow" w:hAnsi="Arial Narrow" w:cs="Arial"/>
          <w:i/>
          <w:sz w:val="28"/>
          <w:szCs w:val="28"/>
        </w:rPr>
        <w:t>…</w:t>
      </w:r>
      <w:r w:rsidRPr="003552D2">
        <w:rPr>
          <w:rFonts w:ascii="Arial Narrow" w:hAnsi="Arial Narrow" w:cs="Arial"/>
          <w:i/>
          <w:sz w:val="28"/>
          <w:szCs w:val="28"/>
        </w:rPr>
        <w:t>.</w:t>
      </w:r>
    </w:p>
    <w:p w:rsidR="003552D2" w:rsidRPr="003552D2" w:rsidRDefault="003552D2" w:rsidP="003552D2">
      <w:pPr>
        <w:spacing w:line="360" w:lineRule="auto"/>
        <w:ind w:firstLine="708"/>
        <w:jc w:val="both"/>
        <w:rPr>
          <w:rFonts w:ascii="Arial Narrow" w:hAnsi="Arial Narrow" w:cs="Arial"/>
          <w:i/>
          <w:sz w:val="28"/>
          <w:szCs w:val="28"/>
        </w:rPr>
      </w:pPr>
    </w:p>
    <w:p w:rsidR="003552D2" w:rsidRDefault="003552D2" w:rsidP="003552D2">
      <w:pPr>
        <w:spacing w:line="360" w:lineRule="auto"/>
        <w:ind w:firstLine="708"/>
        <w:jc w:val="both"/>
        <w:rPr>
          <w:rFonts w:ascii="Arial Narrow" w:hAnsi="Arial Narrow" w:cs="Arial"/>
          <w:i/>
          <w:sz w:val="28"/>
          <w:szCs w:val="28"/>
        </w:rPr>
      </w:pPr>
      <w:r w:rsidRPr="003552D2">
        <w:rPr>
          <w:rFonts w:ascii="Arial Narrow" w:hAnsi="Arial Narrow" w:cs="Arial"/>
          <w:i/>
          <w:sz w:val="28"/>
          <w:szCs w:val="28"/>
        </w:rPr>
        <w:tab/>
        <w:t>Igualmente de manera pacífica, la Corte viene reiterando, en lo concerniente a las dos hipótesis sobre semanas cotizadas, que contiene la normatividad anterior a la nueva ley de seguridad social el Acuerdo 049 de 1990 art.6°, que: (i) la relativa a las 300 semanas cotizadas en cualquier época, deben estar satisfecha para el momento en que comenzó a regir la Ley 100 de 1993, o sea antes del 1° de abril de 1994; (ii) frente al otro supuesto referido a una densidad equivalente a 150 semanas, aportadas dentro de los seis (6) años anteriores a la fecha del estado de invalidez, se fijó el criterio que este requisito para efectos de la aplicación del principio de la condición más beneficiosa, cuando la invalidez o el deceso acontece en imperio de la Ley 100 de 1993, según se reclame una pensión de invalidez o una de sobrevivientes, debe cumplirse dentro de los seis (6) años que inmediatamente anteceden a la fecha de vigencia de esta ley (o sea, desde el 1° de abril de 1994, retrospectivamente hasta el 1° de abril de 1988), pero además, es menester que el asegurado también tenga en su haber esa misma densidad de semanas (150) en los seis (6) años que anteceden a la fecha de estructuración de la invalidez o la muerte, y en el entendido de que ese suceso ocurra antes del 1° de abril de 2000</w:t>
      </w:r>
      <w:r>
        <w:rPr>
          <w:rFonts w:ascii="Arial Narrow" w:hAnsi="Arial Narrow" w:cs="Arial"/>
          <w:i/>
          <w:sz w:val="28"/>
          <w:szCs w:val="28"/>
        </w:rPr>
        <w:t>.” (Providencia SL 14091 del 07 de septiembre de 2016)</w:t>
      </w:r>
      <w:r w:rsidR="00315315">
        <w:rPr>
          <w:rFonts w:ascii="Arial Narrow" w:hAnsi="Arial Narrow" w:cs="Arial"/>
          <w:i/>
          <w:sz w:val="28"/>
          <w:szCs w:val="28"/>
        </w:rPr>
        <w:t>.</w:t>
      </w:r>
    </w:p>
    <w:p w:rsidR="00315315" w:rsidRDefault="00315315" w:rsidP="003552D2">
      <w:pPr>
        <w:spacing w:line="360" w:lineRule="auto"/>
        <w:ind w:firstLine="708"/>
        <w:jc w:val="both"/>
        <w:rPr>
          <w:rFonts w:ascii="Arial Narrow" w:hAnsi="Arial Narrow" w:cs="Arial"/>
          <w:i/>
          <w:sz w:val="28"/>
          <w:szCs w:val="28"/>
        </w:rPr>
      </w:pPr>
    </w:p>
    <w:p w:rsidR="00315315" w:rsidRPr="00315315" w:rsidRDefault="00315315" w:rsidP="003552D2">
      <w:pPr>
        <w:spacing w:line="360" w:lineRule="auto"/>
        <w:ind w:firstLine="708"/>
        <w:jc w:val="both"/>
        <w:rPr>
          <w:rFonts w:ascii="Arial Narrow" w:hAnsi="Arial Narrow" w:cs="Arial"/>
          <w:sz w:val="28"/>
          <w:szCs w:val="28"/>
        </w:rPr>
      </w:pPr>
      <w:r>
        <w:rPr>
          <w:rFonts w:ascii="Arial Narrow" w:hAnsi="Arial Narrow" w:cs="Arial"/>
          <w:sz w:val="28"/>
          <w:szCs w:val="28"/>
        </w:rPr>
        <w:t>Se evidencia pues, que la transición normat</w:t>
      </w:r>
      <w:r w:rsidR="000E7121">
        <w:rPr>
          <w:rFonts w:ascii="Arial Narrow" w:hAnsi="Arial Narrow" w:cs="Arial"/>
          <w:sz w:val="28"/>
          <w:szCs w:val="28"/>
        </w:rPr>
        <w:t xml:space="preserve">iva no puede ser la excusa para desconocer los derechos de una persona que ha efectuado cotizaciones por tan largo </w:t>
      </w:r>
      <w:r w:rsidR="000E7121">
        <w:rPr>
          <w:rFonts w:ascii="Arial Narrow" w:hAnsi="Arial Narrow" w:cs="Arial"/>
          <w:sz w:val="28"/>
          <w:szCs w:val="28"/>
        </w:rPr>
        <w:lastRenderedPageBreak/>
        <w:t>espacio –</w:t>
      </w:r>
      <w:r w:rsidR="00773998">
        <w:rPr>
          <w:rFonts w:ascii="Arial Narrow" w:hAnsi="Arial Narrow" w:cs="Arial"/>
          <w:sz w:val="28"/>
          <w:szCs w:val="28"/>
        </w:rPr>
        <w:t>más</w:t>
      </w:r>
      <w:r w:rsidR="000E7121">
        <w:rPr>
          <w:rFonts w:ascii="Arial Narrow" w:hAnsi="Arial Narrow" w:cs="Arial"/>
          <w:sz w:val="28"/>
          <w:szCs w:val="28"/>
        </w:rPr>
        <w:t xml:space="preserve"> de 300 semanas-</w:t>
      </w:r>
      <w:r w:rsidR="00773998">
        <w:rPr>
          <w:rFonts w:ascii="Arial Narrow" w:hAnsi="Arial Narrow" w:cs="Arial"/>
          <w:sz w:val="28"/>
          <w:szCs w:val="28"/>
        </w:rPr>
        <w:t>, por lo que en aplicación del principio de la condición más beneficiosa</w:t>
      </w:r>
      <w:r w:rsidR="004B1230">
        <w:rPr>
          <w:rFonts w:ascii="Arial Narrow" w:hAnsi="Arial Narrow" w:cs="Arial"/>
          <w:sz w:val="28"/>
          <w:szCs w:val="28"/>
        </w:rPr>
        <w:t>, es posible que se aplique a la pensión de invalidez del demandante el Acuerdo 049 de 1990, conclusión que no varía porque el argumento jurisprudencial apenas se hubiere esgrimido en el año 2005 por la Sala de Casación Laboral de la Corte Suprema de Justicia, como lo dijo la Jueza, pues el caso apenas se está resolviendo judicialmente en este momento y, el sustento normativo que autoriza la aplicación del principio de la condición más beneficiosa es anterior al caso puntual</w:t>
      </w:r>
      <w:r w:rsidR="00016118">
        <w:rPr>
          <w:rFonts w:ascii="Arial Narrow" w:hAnsi="Arial Narrow" w:cs="Arial"/>
          <w:sz w:val="28"/>
          <w:szCs w:val="28"/>
        </w:rPr>
        <w:t>, pues se estableció en la misma Carta Política.</w:t>
      </w:r>
    </w:p>
    <w:p w:rsidR="00F87D3F" w:rsidRDefault="00F87D3F" w:rsidP="00B775B0">
      <w:pPr>
        <w:spacing w:line="360" w:lineRule="auto"/>
        <w:ind w:firstLine="708"/>
        <w:jc w:val="both"/>
        <w:rPr>
          <w:rFonts w:ascii="Arial Narrow" w:hAnsi="Arial Narrow" w:cs="Arial"/>
          <w:sz w:val="28"/>
          <w:szCs w:val="28"/>
        </w:rPr>
      </w:pPr>
    </w:p>
    <w:p w:rsidR="00A84153" w:rsidRDefault="00016118" w:rsidP="00B775B0">
      <w:pPr>
        <w:spacing w:line="360" w:lineRule="auto"/>
        <w:ind w:firstLine="708"/>
        <w:jc w:val="both"/>
        <w:rPr>
          <w:rFonts w:ascii="Arial Narrow" w:hAnsi="Arial Narrow" w:cs="Arial"/>
          <w:sz w:val="28"/>
          <w:szCs w:val="28"/>
        </w:rPr>
      </w:pPr>
      <w:r>
        <w:rPr>
          <w:rFonts w:ascii="Arial Narrow" w:hAnsi="Arial Narrow" w:cs="Arial"/>
          <w:sz w:val="28"/>
          <w:szCs w:val="28"/>
        </w:rPr>
        <w:t>En cuanto a la posibilidad de reconocer el derecho pensional, una vez se ha pagado una indemnización sustitutiva</w:t>
      </w:r>
      <w:r w:rsidR="009E7724">
        <w:rPr>
          <w:rFonts w:ascii="Arial Narrow" w:hAnsi="Arial Narrow" w:cs="Arial"/>
          <w:sz w:val="28"/>
          <w:szCs w:val="28"/>
        </w:rPr>
        <w:t>, debe decirse que ante el carácter subsidiario que ostenta esta última, no puede convertirse en un obstáculo para el reconocimiento del derecho pensional. Así lo ha dejado claro la jurisprudencia de la Sala de Casaci</w:t>
      </w:r>
      <w:r w:rsidR="00A55987">
        <w:rPr>
          <w:rFonts w:ascii="Arial Narrow" w:hAnsi="Arial Narrow" w:cs="Arial"/>
          <w:sz w:val="28"/>
          <w:szCs w:val="28"/>
        </w:rPr>
        <w:t xml:space="preserve">ón Laboral (por ejemplo en providencia SL 6080 de 2016), indicando que en esos casos lo procedente es la devolución del monto pagado por indemnización sustitutiva y el reconocimiento del derecho pensional. Por tal razón, no pueden aceptarse los argumentos dados por la a quo en el </w:t>
      </w:r>
      <w:r w:rsidR="00A84153">
        <w:rPr>
          <w:rFonts w:ascii="Arial Narrow" w:hAnsi="Arial Narrow" w:cs="Arial"/>
          <w:sz w:val="28"/>
          <w:szCs w:val="28"/>
        </w:rPr>
        <w:t>caso puntual, en cuanto a que</w:t>
      </w:r>
      <w:r w:rsidR="00A55987">
        <w:rPr>
          <w:rFonts w:ascii="Arial Narrow" w:hAnsi="Arial Narrow" w:cs="Arial"/>
          <w:sz w:val="28"/>
          <w:szCs w:val="28"/>
        </w:rPr>
        <w:t>, con el reconocimiento de la</w:t>
      </w:r>
      <w:r w:rsidR="00A84153">
        <w:rPr>
          <w:rFonts w:ascii="Arial Narrow" w:hAnsi="Arial Narrow" w:cs="Arial"/>
          <w:sz w:val="28"/>
          <w:szCs w:val="28"/>
        </w:rPr>
        <w:t xml:space="preserve"> indemnización sustitutiva al demandante, se hubiere agotado la posibilidad de acceder a la pensión por invalidez, puesto que basta solamente con la devolución de la aludida suma para que el actor pueda perfectamente consolidar su derecho pensional. Darle a la figura de la indemnización sustitutiva el alcance que le fija la a quo, sería tanto como darle el carácter de prestación principal, cuando el mismo legislador la fijó como un medio subsidiario, reconocido únicamente cuando la persona no cuenta con los presupuestos suficientes para alcanzar la pensión.</w:t>
      </w:r>
      <w:r w:rsidR="00A549A9">
        <w:rPr>
          <w:rFonts w:ascii="Arial Narrow" w:hAnsi="Arial Narrow" w:cs="Arial"/>
          <w:sz w:val="28"/>
          <w:szCs w:val="28"/>
        </w:rPr>
        <w:t xml:space="preserve"> </w:t>
      </w:r>
    </w:p>
    <w:p w:rsidR="00A84153" w:rsidRDefault="00A84153" w:rsidP="00B775B0">
      <w:pPr>
        <w:spacing w:line="360" w:lineRule="auto"/>
        <w:ind w:firstLine="708"/>
        <w:jc w:val="both"/>
        <w:rPr>
          <w:rFonts w:ascii="Arial Narrow" w:hAnsi="Arial Narrow" w:cs="Arial"/>
          <w:sz w:val="28"/>
          <w:szCs w:val="28"/>
        </w:rPr>
      </w:pPr>
    </w:p>
    <w:p w:rsidR="00C32792" w:rsidRDefault="00A84153" w:rsidP="00B775B0">
      <w:pPr>
        <w:spacing w:line="360" w:lineRule="auto"/>
        <w:ind w:firstLine="708"/>
        <w:jc w:val="both"/>
        <w:rPr>
          <w:rFonts w:ascii="Arial Narrow" w:hAnsi="Arial Narrow" w:cs="Arial"/>
          <w:sz w:val="28"/>
          <w:szCs w:val="28"/>
        </w:rPr>
      </w:pPr>
      <w:r>
        <w:rPr>
          <w:rFonts w:ascii="Arial Narrow" w:hAnsi="Arial Narrow" w:cs="Arial"/>
          <w:sz w:val="28"/>
          <w:szCs w:val="28"/>
        </w:rPr>
        <w:t>Por lo tanto, se insiste, no puede avalarse la negativa al reconocimiento pensional, por cuanto en el caso del señor Cano Vallejo es perfectamente aplicable, por condición más beneficiosa, el Acuerdo 049 de 1990, dado que antes de la entrada en vigencia de la Ley 100 de 1993 cotizó un total de 396,68 semanas</w:t>
      </w:r>
      <w:r w:rsidR="008E59BB">
        <w:rPr>
          <w:rFonts w:ascii="Arial Narrow" w:hAnsi="Arial Narrow" w:cs="Arial"/>
          <w:sz w:val="28"/>
          <w:szCs w:val="28"/>
        </w:rPr>
        <w:t xml:space="preserve">, superando con creces la exigencia de cotizaciones </w:t>
      </w:r>
      <w:r w:rsidR="00C32792">
        <w:rPr>
          <w:rFonts w:ascii="Arial Narrow" w:hAnsi="Arial Narrow" w:cs="Arial"/>
          <w:sz w:val="28"/>
          <w:szCs w:val="28"/>
        </w:rPr>
        <w:t>referida en la norma, sin que el referido derecho pueda verse anulado por el cambio normativo.</w:t>
      </w:r>
    </w:p>
    <w:p w:rsidR="00C32792" w:rsidRDefault="00C32792" w:rsidP="00B775B0">
      <w:pPr>
        <w:spacing w:line="360" w:lineRule="auto"/>
        <w:ind w:firstLine="708"/>
        <w:jc w:val="both"/>
        <w:rPr>
          <w:rFonts w:ascii="Arial Narrow" w:hAnsi="Arial Narrow" w:cs="Arial"/>
          <w:sz w:val="28"/>
          <w:szCs w:val="28"/>
        </w:rPr>
      </w:pPr>
    </w:p>
    <w:p w:rsidR="00F054B1" w:rsidRDefault="0022476B" w:rsidP="00C32792">
      <w:pPr>
        <w:pStyle w:val="Textoindependiente31"/>
        <w:ind w:firstLine="851"/>
        <w:rPr>
          <w:rFonts w:ascii="Arial Narrow" w:hAnsi="Arial Narrow" w:cs="Tahoma"/>
          <w:sz w:val="28"/>
          <w:szCs w:val="28"/>
        </w:rPr>
      </w:pPr>
      <w:r>
        <w:rPr>
          <w:rFonts w:ascii="Arial Narrow" w:hAnsi="Arial Narrow" w:cs="Tahoma"/>
          <w:sz w:val="28"/>
          <w:szCs w:val="28"/>
        </w:rPr>
        <w:lastRenderedPageBreak/>
        <w:t>El reconocimiento deberá hacerse desde el 14 de noviembre de 1995, de conformidad con lo ordenado en el canon 10 del Acuerdo 049 de 1990 y el inciso final del artículo 40 de la Ley 100 de 1993. Y si bien en casos en los que se ha venido dando aplicación al principio de la condición más beneficiosa</w:t>
      </w:r>
      <w:r w:rsidR="0068789C">
        <w:rPr>
          <w:rFonts w:ascii="Arial Narrow" w:hAnsi="Arial Narrow" w:cs="Tahoma"/>
          <w:sz w:val="28"/>
          <w:szCs w:val="28"/>
        </w:rPr>
        <w:t xml:space="preserve"> esta Sala ha indicado que el retroactivo no es imponible, por cuanto </w:t>
      </w:r>
      <w:r w:rsidR="002608E1">
        <w:rPr>
          <w:rFonts w:ascii="Arial Narrow" w:hAnsi="Arial Narrow" w:cs="Tahoma"/>
          <w:sz w:val="28"/>
          <w:szCs w:val="28"/>
        </w:rPr>
        <w:t xml:space="preserve">la negativa que dio la entidad, correspondía a una </w:t>
      </w:r>
      <w:r w:rsidR="002C68BC">
        <w:rPr>
          <w:rFonts w:ascii="Arial Narrow" w:hAnsi="Arial Narrow" w:cs="Tahoma"/>
          <w:sz w:val="28"/>
          <w:szCs w:val="28"/>
        </w:rPr>
        <w:t>interpretación plausible de la norma. Más sin embargo, en este caso y para el momento en que se resolvió la solicitud pensional –abril de 2013-, ya existía una circular de la entidad, en la que se aceptaba de manera expresa la aplicación del principio de la condición más beneficiosa en la transición normativa del Acuerdo 049 de 1990</w:t>
      </w:r>
      <w:r w:rsidR="00F054B1">
        <w:rPr>
          <w:rFonts w:ascii="Arial Narrow" w:hAnsi="Arial Narrow" w:cs="Tahoma"/>
          <w:sz w:val="28"/>
          <w:szCs w:val="28"/>
        </w:rPr>
        <w:t xml:space="preserve"> a la Ley 100 de 1993 en su redacción original. Tal Circular es la No. 01 del 01 de octubre de 2012, indicándose en el punto 5.3 de la misma, lo siguiente:</w:t>
      </w:r>
    </w:p>
    <w:p w:rsidR="00F054B1" w:rsidRDefault="00F054B1" w:rsidP="00C32792">
      <w:pPr>
        <w:pStyle w:val="Textoindependiente31"/>
        <w:ind w:firstLine="851"/>
        <w:rPr>
          <w:rFonts w:ascii="Arial Narrow" w:hAnsi="Arial Narrow" w:cs="Tahoma"/>
          <w:sz w:val="28"/>
          <w:szCs w:val="28"/>
        </w:rPr>
      </w:pPr>
    </w:p>
    <w:p w:rsidR="00F054B1" w:rsidRPr="00F054B1" w:rsidRDefault="00F054B1" w:rsidP="00F054B1">
      <w:pPr>
        <w:pStyle w:val="Textoindependiente31"/>
        <w:ind w:firstLine="851"/>
        <w:rPr>
          <w:rFonts w:ascii="Arial Narrow" w:hAnsi="Arial Narrow" w:cs="Tahoma"/>
          <w:i/>
          <w:sz w:val="28"/>
          <w:szCs w:val="28"/>
          <w:lang w:val="es-ES"/>
        </w:rPr>
      </w:pPr>
      <w:r w:rsidRPr="00F054B1">
        <w:rPr>
          <w:rFonts w:ascii="Arial Narrow" w:hAnsi="Arial Narrow" w:cs="Tahoma"/>
          <w:i/>
          <w:sz w:val="28"/>
          <w:szCs w:val="28"/>
          <w:lang w:val="es-ES"/>
        </w:rPr>
        <w:t xml:space="preserve">5.3. APLICACIÓN DE LA CONDICIÓN </w:t>
      </w:r>
      <w:proofErr w:type="gramStart"/>
      <w:r w:rsidRPr="00F054B1">
        <w:rPr>
          <w:rFonts w:ascii="Arial Narrow" w:hAnsi="Arial Narrow" w:cs="Tahoma"/>
          <w:i/>
          <w:sz w:val="28"/>
          <w:szCs w:val="28"/>
          <w:lang w:val="es-ES"/>
        </w:rPr>
        <w:t>MAS</w:t>
      </w:r>
      <w:proofErr w:type="gramEnd"/>
      <w:r w:rsidRPr="00F054B1">
        <w:rPr>
          <w:rFonts w:ascii="Arial Narrow" w:hAnsi="Arial Narrow" w:cs="Tahoma"/>
          <w:i/>
          <w:sz w:val="28"/>
          <w:szCs w:val="28"/>
          <w:lang w:val="es-ES"/>
        </w:rPr>
        <w:t xml:space="preserve"> BENEFICIOSA.</w:t>
      </w:r>
    </w:p>
    <w:p w:rsidR="00F054B1" w:rsidRPr="00F054B1" w:rsidRDefault="00F054B1" w:rsidP="00F054B1">
      <w:pPr>
        <w:pStyle w:val="Textoindependiente31"/>
        <w:ind w:firstLine="851"/>
        <w:rPr>
          <w:rFonts w:ascii="Arial Narrow" w:hAnsi="Arial Narrow" w:cs="Tahoma"/>
          <w:i/>
          <w:sz w:val="28"/>
          <w:szCs w:val="28"/>
          <w:lang w:val="es-ES"/>
        </w:rPr>
      </w:pPr>
    </w:p>
    <w:p w:rsidR="00F054B1" w:rsidRPr="00F054B1" w:rsidRDefault="00F054B1" w:rsidP="00F054B1">
      <w:pPr>
        <w:pStyle w:val="Textoindependiente31"/>
        <w:ind w:firstLine="851"/>
        <w:rPr>
          <w:rFonts w:ascii="Arial Narrow" w:hAnsi="Arial Narrow" w:cs="Tahoma"/>
          <w:i/>
          <w:sz w:val="28"/>
          <w:szCs w:val="28"/>
          <w:lang w:val="es-ES"/>
        </w:rPr>
      </w:pPr>
      <w:r>
        <w:rPr>
          <w:rFonts w:ascii="Arial Narrow" w:hAnsi="Arial Narrow" w:cs="Tahoma"/>
          <w:i/>
          <w:sz w:val="28"/>
          <w:szCs w:val="28"/>
          <w:lang w:val="es-ES"/>
        </w:rPr>
        <w:t>“</w:t>
      </w:r>
      <w:r w:rsidRPr="00F054B1">
        <w:rPr>
          <w:rFonts w:ascii="Arial Narrow" w:hAnsi="Arial Narrow" w:cs="Tahoma"/>
          <w:i/>
          <w:sz w:val="28"/>
          <w:szCs w:val="28"/>
          <w:lang w:val="es-ES"/>
        </w:rPr>
        <w:t>Para efectos del estudio de pensiones de invalidez y sobrevivientes, se dará aplicación al principio de la condición más beneficiosa en aquellos casos en donde el hecho generador de la pensión se cause entre la entrada en vigencia de la Ley 100 de 1993 (01 de abril de 1994) y la fecha de entrada en vigencia de la Ley 797 de 2003(29 de enero de 2003), y que no reúnan el requisito de semanas requeridas señaladas en estos últimos, siendo entonces pertinente estudiar la prestación bajo los parámetros del Decreto 758 de 1990</w:t>
      </w:r>
      <w:r>
        <w:rPr>
          <w:rFonts w:ascii="Arial Narrow" w:hAnsi="Arial Narrow" w:cs="Tahoma"/>
          <w:i/>
          <w:sz w:val="28"/>
          <w:szCs w:val="28"/>
          <w:lang w:val="es-ES"/>
        </w:rPr>
        <w:t>”</w:t>
      </w:r>
      <w:r w:rsidRPr="00F054B1">
        <w:rPr>
          <w:rFonts w:ascii="Arial Narrow" w:hAnsi="Arial Narrow" w:cs="Tahoma"/>
          <w:i/>
          <w:sz w:val="28"/>
          <w:szCs w:val="28"/>
          <w:lang w:val="es-ES"/>
        </w:rPr>
        <w:t>.</w:t>
      </w:r>
    </w:p>
    <w:p w:rsidR="00F054B1" w:rsidRPr="00F054B1" w:rsidRDefault="00F054B1" w:rsidP="00F054B1">
      <w:pPr>
        <w:pStyle w:val="Textoindependiente31"/>
        <w:ind w:firstLine="851"/>
        <w:rPr>
          <w:rFonts w:ascii="Arial Narrow" w:hAnsi="Arial Narrow" w:cs="Tahoma"/>
          <w:i/>
          <w:sz w:val="28"/>
          <w:szCs w:val="28"/>
          <w:lang w:val="es-ES"/>
        </w:rPr>
      </w:pPr>
    </w:p>
    <w:p w:rsidR="00F054B1" w:rsidRDefault="00F054B1" w:rsidP="00C32792">
      <w:pPr>
        <w:pStyle w:val="Textoindependiente31"/>
        <w:ind w:firstLine="851"/>
        <w:rPr>
          <w:rFonts w:ascii="Arial Narrow" w:hAnsi="Arial Narrow" w:cs="Tahoma"/>
          <w:sz w:val="28"/>
          <w:szCs w:val="28"/>
        </w:rPr>
      </w:pPr>
      <w:r>
        <w:rPr>
          <w:rFonts w:ascii="Arial Narrow" w:hAnsi="Arial Narrow" w:cs="Tahoma"/>
          <w:sz w:val="28"/>
          <w:szCs w:val="28"/>
        </w:rPr>
        <w:t>Tal documento, que se dirigió a v</w:t>
      </w:r>
      <w:r w:rsidRPr="00F054B1">
        <w:rPr>
          <w:rFonts w:ascii="Arial Narrow" w:hAnsi="Arial Narrow" w:cs="Tahoma"/>
          <w:sz w:val="28"/>
          <w:szCs w:val="28"/>
        </w:rPr>
        <w:t xml:space="preserve">icepresidentes, </w:t>
      </w:r>
      <w:r>
        <w:rPr>
          <w:rFonts w:ascii="Arial Narrow" w:hAnsi="Arial Narrow" w:cs="Tahoma"/>
          <w:sz w:val="28"/>
          <w:szCs w:val="28"/>
        </w:rPr>
        <w:t>d</w:t>
      </w:r>
      <w:r w:rsidRPr="00F054B1">
        <w:rPr>
          <w:rFonts w:ascii="Arial Narrow" w:hAnsi="Arial Narrow" w:cs="Tahoma"/>
          <w:sz w:val="28"/>
          <w:szCs w:val="28"/>
        </w:rPr>
        <w:t xml:space="preserve">irectores nacionales de oficina, </w:t>
      </w:r>
      <w:r>
        <w:rPr>
          <w:rFonts w:ascii="Arial Narrow" w:hAnsi="Arial Narrow" w:cs="Tahoma"/>
          <w:sz w:val="28"/>
          <w:szCs w:val="28"/>
        </w:rPr>
        <w:t>g</w:t>
      </w:r>
      <w:r w:rsidRPr="00F054B1">
        <w:rPr>
          <w:rFonts w:ascii="Arial Narrow" w:hAnsi="Arial Narrow" w:cs="Tahoma"/>
          <w:sz w:val="28"/>
          <w:szCs w:val="28"/>
        </w:rPr>
        <w:t>erentes nacionales de oficina</w:t>
      </w:r>
      <w:r>
        <w:rPr>
          <w:rFonts w:ascii="Arial Narrow" w:hAnsi="Arial Narrow" w:cs="Tahoma"/>
          <w:sz w:val="28"/>
          <w:szCs w:val="28"/>
        </w:rPr>
        <w:t xml:space="preserve"> y</w:t>
      </w:r>
      <w:r w:rsidRPr="00F054B1">
        <w:rPr>
          <w:rFonts w:ascii="Arial Narrow" w:hAnsi="Arial Narrow" w:cs="Tahoma"/>
          <w:sz w:val="28"/>
          <w:szCs w:val="28"/>
        </w:rPr>
        <w:t xml:space="preserve"> </w:t>
      </w:r>
      <w:r>
        <w:rPr>
          <w:rFonts w:ascii="Arial Narrow" w:hAnsi="Arial Narrow" w:cs="Tahoma"/>
          <w:sz w:val="28"/>
          <w:szCs w:val="28"/>
        </w:rPr>
        <w:t>g</w:t>
      </w:r>
      <w:r w:rsidRPr="00F054B1">
        <w:rPr>
          <w:rFonts w:ascii="Arial Narrow" w:hAnsi="Arial Narrow" w:cs="Tahoma"/>
          <w:sz w:val="28"/>
          <w:szCs w:val="28"/>
        </w:rPr>
        <w:t>erentes regionales</w:t>
      </w:r>
      <w:r>
        <w:rPr>
          <w:rFonts w:ascii="Arial Narrow" w:hAnsi="Arial Narrow" w:cs="Tahoma"/>
          <w:sz w:val="28"/>
          <w:szCs w:val="28"/>
        </w:rPr>
        <w:t xml:space="preserve"> de la entidad, indicaba los criterios jurídicos que se debían seguir para el estudio de las prestaciones, razón por la cual la negativa que se dio al demandante con la Resolución No. GNR057690 del 11 de abril de 2013 –</w:t>
      </w:r>
      <w:proofErr w:type="spellStart"/>
      <w:r>
        <w:rPr>
          <w:rFonts w:ascii="Arial Narrow" w:hAnsi="Arial Narrow" w:cs="Tahoma"/>
          <w:sz w:val="28"/>
          <w:szCs w:val="28"/>
        </w:rPr>
        <w:t>fls</w:t>
      </w:r>
      <w:proofErr w:type="spellEnd"/>
      <w:r>
        <w:rPr>
          <w:rFonts w:ascii="Arial Narrow" w:hAnsi="Arial Narrow" w:cs="Tahoma"/>
          <w:sz w:val="28"/>
          <w:szCs w:val="28"/>
        </w:rPr>
        <w:t xml:space="preserve">. 12 y </w:t>
      </w:r>
      <w:proofErr w:type="spellStart"/>
      <w:r>
        <w:rPr>
          <w:rFonts w:ascii="Arial Narrow" w:hAnsi="Arial Narrow" w:cs="Tahoma"/>
          <w:sz w:val="28"/>
          <w:szCs w:val="28"/>
        </w:rPr>
        <w:t>ss</w:t>
      </w:r>
      <w:proofErr w:type="spellEnd"/>
      <w:r>
        <w:rPr>
          <w:rFonts w:ascii="Arial Narrow" w:hAnsi="Arial Narrow" w:cs="Tahoma"/>
          <w:sz w:val="28"/>
          <w:szCs w:val="28"/>
        </w:rPr>
        <w:t xml:space="preserve">-, no es plausible y por tanto, la consecuencia de ello es que deba concederse el retroactivo causado, teniendo eso sí en cuenta la excepción de prescripción propuesta por la parte demandada al contestar la demanda. Teniendo en cuenta que el actor incoó </w:t>
      </w:r>
      <w:r w:rsidR="001953E9">
        <w:rPr>
          <w:rFonts w:ascii="Arial Narrow" w:hAnsi="Arial Narrow" w:cs="Tahoma"/>
          <w:sz w:val="28"/>
          <w:szCs w:val="28"/>
        </w:rPr>
        <w:t xml:space="preserve">la demanda </w:t>
      </w:r>
      <w:r>
        <w:rPr>
          <w:rFonts w:ascii="Arial Narrow" w:hAnsi="Arial Narrow" w:cs="Tahoma"/>
          <w:sz w:val="28"/>
          <w:szCs w:val="28"/>
        </w:rPr>
        <w:t xml:space="preserve">el 20 de enero de 2015, pues </w:t>
      </w:r>
      <w:r>
        <w:rPr>
          <w:rFonts w:ascii="Arial Narrow" w:hAnsi="Arial Narrow" w:cs="Tahoma"/>
          <w:sz w:val="28"/>
          <w:szCs w:val="28"/>
        </w:rPr>
        <w:lastRenderedPageBreak/>
        <w:t xml:space="preserve">habrá de decirse que la prescripción cobijó las mesadas causadas con antelación al </w:t>
      </w:r>
      <w:r w:rsidR="001953E9">
        <w:rPr>
          <w:rFonts w:ascii="Arial Narrow" w:hAnsi="Arial Narrow" w:cs="Tahoma"/>
          <w:sz w:val="28"/>
          <w:szCs w:val="28"/>
        </w:rPr>
        <w:t>20</w:t>
      </w:r>
      <w:r>
        <w:rPr>
          <w:rFonts w:ascii="Arial Narrow" w:hAnsi="Arial Narrow" w:cs="Tahoma"/>
          <w:sz w:val="28"/>
          <w:szCs w:val="28"/>
        </w:rPr>
        <w:t xml:space="preserve"> de </w:t>
      </w:r>
      <w:r w:rsidR="001953E9">
        <w:rPr>
          <w:rFonts w:ascii="Arial Narrow" w:hAnsi="Arial Narrow" w:cs="Tahoma"/>
          <w:sz w:val="28"/>
          <w:szCs w:val="28"/>
        </w:rPr>
        <w:t>enero</w:t>
      </w:r>
      <w:r>
        <w:rPr>
          <w:rFonts w:ascii="Arial Narrow" w:hAnsi="Arial Narrow" w:cs="Tahoma"/>
          <w:sz w:val="28"/>
          <w:szCs w:val="28"/>
        </w:rPr>
        <w:t xml:space="preserve"> de 20</w:t>
      </w:r>
      <w:r w:rsidR="001953E9">
        <w:rPr>
          <w:rFonts w:ascii="Arial Narrow" w:hAnsi="Arial Narrow" w:cs="Tahoma"/>
          <w:sz w:val="28"/>
          <w:szCs w:val="28"/>
        </w:rPr>
        <w:t>12</w:t>
      </w:r>
      <w:r>
        <w:rPr>
          <w:rFonts w:ascii="Arial Narrow" w:hAnsi="Arial Narrow" w:cs="Tahoma"/>
          <w:sz w:val="28"/>
          <w:szCs w:val="28"/>
        </w:rPr>
        <w:t>.</w:t>
      </w:r>
    </w:p>
    <w:p w:rsidR="00F054B1" w:rsidRDefault="00F054B1" w:rsidP="00C32792">
      <w:pPr>
        <w:pStyle w:val="Textoindependiente31"/>
        <w:ind w:firstLine="851"/>
        <w:rPr>
          <w:rFonts w:ascii="Arial Narrow" w:hAnsi="Arial Narrow" w:cs="Tahoma"/>
          <w:sz w:val="28"/>
          <w:szCs w:val="28"/>
        </w:rPr>
      </w:pPr>
    </w:p>
    <w:p w:rsidR="00F054B1" w:rsidRDefault="00F054B1" w:rsidP="00C32792">
      <w:pPr>
        <w:pStyle w:val="Textoindependiente31"/>
        <w:ind w:firstLine="851"/>
        <w:rPr>
          <w:rFonts w:ascii="Arial Narrow" w:hAnsi="Arial Narrow" w:cs="Tahoma"/>
          <w:sz w:val="28"/>
          <w:szCs w:val="28"/>
        </w:rPr>
      </w:pPr>
      <w:r>
        <w:rPr>
          <w:rFonts w:ascii="Arial Narrow" w:hAnsi="Arial Narrow" w:cs="Tahoma"/>
          <w:sz w:val="28"/>
          <w:szCs w:val="28"/>
        </w:rPr>
        <w:t>Así las cosas y teniendo en cuenta que una vez efectuados los cálculos respectivos la mesada pensional corresponde a un salario mínimo, el retroactivo se concreta en el cuadro siguiente:</w:t>
      </w:r>
    </w:p>
    <w:p w:rsidR="00F054B1" w:rsidRDefault="00F054B1" w:rsidP="00C32792">
      <w:pPr>
        <w:pStyle w:val="Textoindependiente31"/>
        <w:ind w:firstLine="851"/>
        <w:rPr>
          <w:rFonts w:ascii="Arial Narrow" w:hAnsi="Arial Narrow" w:cs="Tahoma"/>
          <w:sz w:val="28"/>
          <w:szCs w:val="28"/>
        </w:rPr>
      </w:pPr>
    </w:p>
    <w:p w:rsidR="00F054B1" w:rsidRDefault="001953E9" w:rsidP="001953E9">
      <w:pPr>
        <w:pStyle w:val="Textoindependiente31"/>
        <w:ind w:firstLine="851"/>
        <w:jc w:val="center"/>
        <w:rPr>
          <w:rFonts w:ascii="Arial Narrow" w:hAnsi="Arial Narrow" w:cs="Tahoma"/>
          <w:sz w:val="28"/>
          <w:szCs w:val="28"/>
        </w:rPr>
      </w:pPr>
      <w:r w:rsidRPr="001953E9">
        <w:rPr>
          <w:noProof/>
          <w:lang w:val="fr-FR" w:eastAsia="fr-FR"/>
        </w:rPr>
        <w:drawing>
          <wp:inline distT="0" distB="0" distL="0" distR="0">
            <wp:extent cx="3295650" cy="14763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476375"/>
                    </a:xfrm>
                    <a:prstGeom prst="rect">
                      <a:avLst/>
                    </a:prstGeom>
                    <a:noFill/>
                    <a:ln>
                      <a:noFill/>
                    </a:ln>
                  </pic:spPr>
                </pic:pic>
              </a:graphicData>
            </a:graphic>
          </wp:inline>
        </w:drawing>
      </w:r>
    </w:p>
    <w:p w:rsidR="00365CB3" w:rsidRDefault="00F054B1" w:rsidP="00C32792">
      <w:pPr>
        <w:pStyle w:val="Textoindependiente31"/>
        <w:ind w:firstLine="851"/>
        <w:rPr>
          <w:rFonts w:ascii="Arial Narrow" w:hAnsi="Arial Narrow" w:cs="Tahoma"/>
          <w:sz w:val="28"/>
          <w:szCs w:val="28"/>
        </w:rPr>
      </w:pPr>
      <w:r>
        <w:rPr>
          <w:rFonts w:ascii="Arial Narrow" w:hAnsi="Arial Narrow" w:cs="Tahoma"/>
          <w:sz w:val="28"/>
          <w:szCs w:val="28"/>
        </w:rPr>
        <w:t xml:space="preserve"> </w:t>
      </w:r>
      <w:r w:rsidR="002C68BC">
        <w:rPr>
          <w:rFonts w:ascii="Arial Narrow" w:hAnsi="Arial Narrow" w:cs="Tahoma"/>
          <w:sz w:val="28"/>
          <w:szCs w:val="28"/>
        </w:rPr>
        <w:t xml:space="preserve"> </w:t>
      </w:r>
      <w:r w:rsidR="0068789C">
        <w:rPr>
          <w:rFonts w:ascii="Arial Narrow" w:hAnsi="Arial Narrow" w:cs="Tahoma"/>
          <w:sz w:val="28"/>
          <w:szCs w:val="28"/>
        </w:rPr>
        <w:t xml:space="preserve"> </w:t>
      </w:r>
      <w:r w:rsidR="0022476B">
        <w:rPr>
          <w:rFonts w:ascii="Arial Narrow" w:hAnsi="Arial Narrow" w:cs="Tahoma"/>
          <w:sz w:val="28"/>
          <w:szCs w:val="28"/>
        </w:rPr>
        <w:t xml:space="preserve"> </w:t>
      </w:r>
    </w:p>
    <w:p w:rsidR="00365CB3" w:rsidRDefault="00365CB3" w:rsidP="00C32792">
      <w:pPr>
        <w:pStyle w:val="Textoindependiente31"/>
        <w:ind w:firstLine="851"/>
        <w:rPr>
          <w:rFonts w:ascii="Arial Narrow" w:hAnsi="Arial Narrow" w:cs="Tahoma"/>
          <w:sz w:val="28"/>
          <w:szCs w:val="28"/>
        </w:rPr>
      </w:pPr>
      <w:r>
        <w:rPr>
          <w:rFonts w:ascii="Arial Narrow" w:hAnsi="Arial Narrow" w:cs="Tahoma"/>
          <w:sz w:val="28"/>
          <w:szCs w:val="28"/>
        </w:rPr>
        <w:t>Deberá pagar la entidad demandada al actor la suma de $</w:t>
      </w:r>
      <w:r w:rsidR="001953E9">
        <w:rPr>
          <w:rFonts w:ascii="Arial Narrow" w:hAnsi="Arial Narrow" w:cs="Tahoma"/>
          <w:sz w:val="28"/>
          <w:szCs w:val="28"/>
        </w:rPr>
        <w:t>41.783.970</w:t>
      </w:r>
      <w:r>
        <w:rPr>
          <w:rFonts w:ascii="Arial Narrow" w:hAnsi="Arial Narrow" w:cs="Tahoma"/>
          <w:sz w:val="28"/>
          <w:szCs w:val="28"/>
        </w:rPr>
        <w:t xml:space="preserve"> por concepto de retroactivo pensional no prescrito, para lo cual se concederá a la entidad demandada el término de un mes, una vez ejecutoriada esta providencia. Igualmente deberá iniciar, en ese mismo lapso el reconocimiento y pago de la mesada pensional en cuantía de un salario mínimo, mientras se mantenga el estado de invalidez del actor.</w:t>
      </w:r>
      <w:r w:rsidR="00A549A9">
        <w:rPr>
          <w:rFonts w:ascii="Arial Narrow" w:hAnsi="Arial Narrow" w:cs="Tahoma"/>
          <w:sz w:val="28"/>
          <w:szCs w:val="28"/>
        </w:rPr>
        <w:t xml:space="preserve"> De la suma reconocida por concepto de retroactivo, se autoriza a la sociedad demandada a descontar el valor actualizado de la indemnización sustitutiva reconocida al demandante mediante la Resolución No. 002859 de 1997. </w:t>
      </w:r>
    </w:p>
    <w:p w:rsidR="00365CB3" w:rsidRDefault="00365CB3" w:rsidP="00C32792">
      <w:pPr>
        <w:pStyle w:val="Textoindependiente31"/>
        <w:ind w:firstLine="851"/>
        <w:rPr>
          <w:rFonts w:ascii="Arial Narrow" w:hAnsi="Arial Narrow" w:cs="Tahoma"/>
          <w:sz w:val="28"/>
          <w:szCs w:val="28"/>
        </w:rPr>
      </w:pPr>
    </w:p>
    <w:p w:rsidR="00C32792" w:rsidRDefault="00365CB3" w:rsidP="00C32792">
      <w:pPr>
        <w:pStyle w:val="Textoindependiente31"/>
        <w:ind w:firstLine="851"/>
        <w:rPr>
          <w:rFonts w:ascii="Arial Narrow" w:hAnsi="Arial Narrow" w:cs="Tahoma"/>
          <w:sz w:val="28"/>
          <w:szCs w:val="28"/>
        </w:rPr>
      </w:pPr>
      <w:r>
        <w:rPr>
          <w:rFonts w:ascii="Arial Narrow" w:hAnsi="Arial Narrow" w:cs="Tahoma"/>
          <w:sz w:val="28"/>
          <w:szCs w:val="28"/>
        </w:rPr>
        <w:t>Frente al tema de los intereses moratorios de que trata el canon 141 de la Ley 100 de 1993, debe decirse que se impondrán una vez superado el plazo concedido a la entidad en esta providencia, para el reconocimiento tanto del retroactivo como la inclusión en nómina de pensionados</w:t>
      </w:r>
      <w:r w:rsidR="00392793">
        <w:rPr>
          <w:rFonts w:ascii="Arial Narrow" w:hAnsi="Arial Narrow" w:cs="Tahoma"/>
          <w:sz w:val="28"/>
          <w:szCs w:val="28"/>
        </w:rPr>
        <w:t xml:space="preserve">; ello en razón a que </w:t>
      </w:r>
      <w:r w:rsidR="00C32792">
        <w:rPr>
          <w:rFonts w:ascii="Arial Narrow" w:hAnsi="Arial Narrow" w:cs="Tahoma"/>
          <w:sz w:val="28"/>
          <w:szCs w:val="28"/>
        </w:rPr>
        <w:t>“en materia de definición de derechos pensionales ha cumplido una función trascendental al interpretar la normativa a la luz de los principios y objetivos que informan la Seguridad Social, y que en muchos casos no corresponde con el texto literal del precepto que las administradoras en su momento, al definir las prestaciones reclamadas, debieron aplicar por ser las que en principio regulaban la controversia” (</w:t>
      </w:r>
      <w:proofErr w:type="spellStart"/>
      <w:r w:rsidR="00C32792">
        <w:rPr>
          <w:rFonts w:ascii="Arial Narrow" w:hAnsi="Arial Narrow" w:cs="Tahoma"/>
          <w:sz w:val="28"/>
          <w:szCs w:val="28"/>
        </w:rPr>
        <w:t>Sent</w:t>
      </w:r>
      <w:proofErr w:type="spellEnd"/>
      <w:r w:rsidR="00C32792">
        <w:rPr>
          <w:rFonts w:ascii="Arial Narrow" w:hAnsi="Arial Narrow" w:cs="Tahoma"/>
          <w:sz w:val="28"/>
          <w:szCs w:val="28"/>
        </w:rPr>
        <w:t>. 02 de octubre de 2013. Rad. 44.454 Cas. Laboral).</w:t>
      </w:r>
    </w:p>
    <w:p w:rsidR="00C47A17" w:rsidRDefault="00C47A17" w:rsidP="00B775B0">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Así las cosas, se deberá revocar la decisión de primer grado y en su lugar conceder la pensión de invalidez al señor Cano Vallejo</w:t>
      </w:r>
      <w:r w:rsidR="00ED0454">
        <w:rPr>
          <w:rFonts w:ascii="Arial Narrow" w:hAnsi="Arial Narrow" w:cs="Arial"/>
          <w:sz w:val="28"/>
          <w:szCs w:val="28"/>
        </w:rPr>
        <w:t xml:space="preserve"> </w:t>
      </w:r>
      <w:r w:rsidR="00392793">
        <w:rPr>
          <w:rFonts w:ascii="Arial Narrow" w:hAnsi="Arial Narrow" w:cs="Arial"/>
          <w:sz w:val="28"/>
          <w:szCs w:val="28"/>
        </w:rPr>
        <w:t>con el correspondiente retroactivo</w:t>
      </w:r>
      <w:r>
        <w:rPr>
          <w:rFonts w:ascii="Arial Narrow" w:hAnsi="Arial Narrow" w:cs="Arial"/>
          <w:sz w:val="28"/>
          <w:szCs w:val="28"/>
        </w:rPr>
        <w:t>. En cuanto a los réditos moratorios, los mismos se impondrán si pasado un mes de ejecutoriada esta decisión, no se ha cumplido la misma.</w:t>
      </w:r>
    </w:p>
    <w:p w:rsidR="00FB2522" w:rsidRDefault="00FB2522" w:rsidP="00B775B0">
      <w:pPr>
        <w:spacing w:line="360" w:lineRule="auto"/>
        <w:ind w:firstLine="708"/>
        <w:jc w:val="both"/>
        <w:rPr>
          <w:rFonts w:ascii="Arial Narrow" w:hAnsi="Arial Narrow" w:cs="Arial"/>
          <w:sz w:val="28"/>
          <w:szCs w:val="28"/>
        </w:rPr>
      </w:pPr>
    </w:p>
    <w:p w:rsidR="00FB2522" w:rsidRDefault="00392793" w:rsidP="00B775B0">
      <w:pPr>
        <w:spacing w:line="360" w:lineRule="auto"/>
        <w:ind w:firstLine="708"/>
        <w:jc w:val="both"/>
        <w:rPr>
          <w:rFonts w:ascii="Arial Narrow" w:hAnsi="Arial Narrow" w:cs="Arial"/>
          <w:sz w:val="28"/>
          <w:szCs w:val="28"/>
        </w:rPr>
      </w:pPr>
      <w:r>
        <w:rPr>
          <w:rFonts w:ascii="Arial Narrow" w:hAnsi="Arial Narrow" w:cs="Arial"/>
          <w:sz w:val="28"/>
          <w:szCs w:val="28"/>
        </w:rPr>
        <w:t xml:space="preserve">Frente </w:t>
      </w:r>
      <w:r w:rsidR="00FB2522">
        <w:rPr>
          <w:rFonts w:ascii="Arial Narrow" w:hAnsi="Arial Narrow" w:cs="Arial"/>
          <w:sz w:val="28"/>
          <w:szCs w:val="28"/>
        </w:rPr>
        <w:t xml:space="preserve">a las </w:t>
      </w:r>
      <w:r w:rsidR="00A549A9">
        <w:rPr>
          <w:rFonts w:ascii="Arial Narrow" w:hAnsi="Arial Narrow" w:cs="Arial"/>
          <w:sz w:val="28"/>
          <w:szCs w:val="28"/>
        </w:rPr>
        <w:t xml:space="preserve">restantes </w:t>
      </w:r>
      <w:r w:rsidR="00FB2522">
        <w:rPr>
          <w:rFonts w:ascii="Arial Narrow" w:hAnsi="Arial Narrow" w:cs="Arial"/>
          <w:sz w:val="28"/>
          <w:szCs w:val="28"/>
        </w:rPr>
        <w:t>excepciones propuestas por la parte demandada, ha de decirse de conformidad con lo dicho en las consideraciones, que las mismas no tienen vocación de prosperidad.</w:t>
      </w:r>
    </w:p>
    <w:p w:rsidR="00FB2522" w:rsidRDefault="00FB2522" w:rsidP="00B775B0">
      <w:pPr>
        <w:spacing w:line="360" w:lineRule="auto"/>
        <w:ind w:firstLine="708"/>
        <w:jc w:val="both"/>
        <w:rPr>
          <w:rFonts w:ascii="Arial Narrow" w:hAnsi="Arial Narrow" w:cs="Arial"/>
          <w:sz w:val="28"/>
          <w:szCs w:val="28"/>
        </w:rPr>
      </w:pPr>
    </w:p>
    <w:p w:rsidR="00FB2522" w:rsidRPr="00FB2522" w:rsidRDefault="00FB2522" w:rsidP="00B775B0">
      <w:pPr>
        <w:spacing w:line="360" w:lineRule="auto"/>
        <w:ind w:firstLine="708"/>
        <w:jc w:val="both"/>
        <w:rPr>
          <w:rFonts w:ascii="Arial Narrow" w:hAnsi="Arial Narrow" w:cs="Arial"/>
          <w:sz w:val="28"/>
          <w:szCs w:val="28"/>
        </w:rPr>
      </w:pPr>
      <w:r>
        <w:rPr>
          <w:rFonts w:ascii="Arial Narrow" w:hAnsi="Arial Narrow" w:cs="Arial"/>
          <w:sz w:val="28"/>
          <w:szCs w:val="28"/>
        </w:rPr>
        <w:t xml:space="preserve">Las costas en ambas instancias estarán a cargo de Colpensiones y a favor de la parte demandante en un </w:t>
      </w:r>
      <w:r w:rsidR="00392793">
        <w:rPr>
          <w:rFonts w:ascii="Arial Narrow" w:hAnsi="Arial Narrow" w:cs="Arial"/>
          <w:sz w:val="28"/>
          <w:szCs w:val="28"/>
        </w:rPr>
        <w:t>8</w:t>
      </w:r>
      <w:r>
        <w:rPr>
          <w:rFonts w:ascii="Arial Narrow" w:hAnsi="Arial Narrow" w:cs="Arial"/>
          <w:sz w:val="28"/>
          <w:szCs w:val="28"/>
        </w:rPr>
        <w:t>0% de las</w:t>
      </w:r>
      <w:r w:rsidR="00FD750B">
        <w:rPr>
          <w:rFonts w:ascii="Arial Narrow" w:hAnsi="Arial Narrow" w:cs="Arial"/>
          <w:sz w:val="28"/>
          <w:szCs w:val="28"/>
        </w:rPr>
        <w:t xml:space="preserve"> causadas</w:t>
      </w:r>
      <w:r>
        <w:rPr>
          <w:rFonts w:ascii="Arial Narrow" w:hAnsi="Arial Narrow" w:cs="Arial"/>
          <w:sz w:val="28"/>
          <w:szCs w:val="28"/>
        </w:rPr>
        <w:t>.</w:t>
      </w:r>
    </w:p>
    <w:p w:rsidR="00016118" w:rsidRDefault="00C47A17" w:rsidP="00B775B0">
      <w:pPr>
        <w:spacing w:line="360" w:lineRule="auto"/>
        <w:ind w:firstLine="708"/>
        <w:jc w:val="both"/>
        <w:rPr>
          <w:rFonts w:ascii="Arial Narrow" w:hAnsi="Arial Narrow" w:cs="Arial"/>
          <w:sz w:val="28"/>
          <w:szCs w:val="28"/>
        </w:rPr>
      </w:pPr>
      <w:r>
        <w:rPr>
          <w:rFonts w:ascii="Arial Narrow" w:hAnsi="Arial Narrow" w:cs="Arial"/>
          <w:sz w:val="28"/>
          <w:szCs w:val="28"/>
        </w:rPr>
        <w:t xml:space="preserve">  </w:t>
      </w:r>
      <w:r w:rsidR="00A84153">
        <w:rPr>
          <w:rFonts w:ascii="Arial Narrow" w:hAnsi="Arial Narrow" w:cs="Arial"/>
          <w:sz w:val="28"/>
          <w:szCs w:val="28"/>
        </w:rPr>
        <w:t xml:space="preserve"> </w:t>
      </w:r>
      <w:r w:rsidR="00A55987">
        <w:rPr>
          <w:rFonts w:ascii="Arial Narrow" w:hAnsi="Arial Narrow" w:cs="Arial"/>
          <w:sz w:val="28"/>
          <w:szCs w:val="28"/>
        </w:rPr>
        <w:t xml:space="preserve"> </w:t>
      </w:r>
      <w:r w:rsidR="009E7724">
        <w:rPr>
          <w:rFonts w:ascii="Arial Narrow" w:hAnsi="Arial Narrow" w:cs="Arial"/>
          <w:sz w:val="28"/>
          <w:szCs w:val="28"/>
        </w:rPr>
        <w:t xml:space="preserve"> </w:t>
      </w:r>
    </w:p>
    <w:p w:rsidR="004A6AB6" w:rsidRPr="008424AB" w:rsidRDefault="004A6AB6" w:rsidP="004A6AB6">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4A6AB6" w:rsidRPr="008424AB" w:rsidRDefault="004A6AB6" w:rsidP="004A6AB6">
      <w:pPr>
        <w:pStyle w:val="Prrafodelista2"/>
        <w:spacing w:after="0" w:line="240" w:lineRule="auto"/>
        <w:ind w:left="0" w:firstLine="900"/>
        <w:jc w:val="both"/>
        <w:rPr>
          <w:rFonts w:ascii="Arial Narrow" w:hAnsi="Arial Narrow"/>
          <w:sz w:val="28"/>
          <w:szCs w:val="28"/>
        </w:rPr>
      </w:pPr>
    </w:p>
    <w:p w:rsidR="004A6AB6" w:rsidRDefault="004A6AB6" w:rsidP="004A6AB6">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3D0B0D" w:rsidRPr="008424AB" w:rsidRDefault="003D0B0D" w:rsidP="004A6AB6">
      <w:pPr>
        <w:spacing w:line="360" w:lineRule="auto"/>
        <w:jc w:val="center"/>
        <w:rPr>
          <w:rFonts w:ascii="Arial Narrow" w:hAnsi="Arial Narrow" w:cs="Arial"/>
          <w:b/>
          <w:i/>
          <w:sz w:val="28"/>
          <w:szCs w:val="28"/>
        </w:rPr>
      </w:pPr>
    </w:p>
    <w:p w:rsidR="00A549A9" w:rsidRPr="00A549A9" w:rsidRDefault="00FD750B" w:rsidP="003D2B6A">
      <w:pPr>
        <w:pStyle w:val="Paragraphedeliste"/>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t xml:space="preserve">Revocar </w:t>
      </w:r>
      <w:r w:rsidR="002C3879">
        <w:rPr>
          <w:rFonts w:ascii="Arial Narrow" w:hAnsi="Arial Narrow" w:cs="Arial"/>
          <w:color w:val="000000"/>
          <w:sz w:val="28"/>
          <w:szCs w:val="28"/>
          <w:shd w:val="clear" w:color="auto" w:fill="FFFFFF"/>
        </w:rPr>
        <w:t xml:space="preserve">la </w:t>
      </w:r>
      <w:r w:rsidR="002C3879" w:rsidRPr="003C2A49">
        <w:rPr>
          <w:rFonts w:ascii="Arial Narrow" w:hAnsi="Arial Narrow" w:cs="Arial"/>
          <w:sz w:val="28"/>
          <w:szCs w:val="28"/>
        </w:rPr>
        <w:t xml:space="preserve">sentencia proferida el </w:t>
      </w:r>
      <w:r>
        <w:rPr>
          <w:rFonts w:ascii="Arial Narrow" w:hAnsi="Arial Narrow" w:cs="Arial"/>
          <w:sz w:val="28"/>
          <w:szCs w:val="28"/>
        </w:rPr>
        <w:t>08 de febrero de 2016, proferida por el Juzgado Cuarto Laboral del Circuito de Pereira y en su lugar se declara que el señor Alberto de Jesús Cano Vallejo tiene derecho a que la Administradora Colombiana de Pensiones le reconozca y pague su pensión de invalidez</w:t>
      </w:r>
      <w:r w:rsidR="00392793">
        <w:rPr>
          <w:rFonts w:ascii="Arial Narrow" w:hAnsi="Arial Narrow" w:cs="Arial"/>
          <w:sz w:val="28"/>
          <w:szCs w:val="28"/>
        </w:rPr>
        <w:t xml:space="preserve"> con el correspondiente retroactivo, a partir del 14 de noviembre de 1995</w:t>
      </w:r>
      <w:r w:rsidR="00A549A9">
        <w:rPr>
          <w:rFonts w:ascii="Arial Narrow" w:hAnsi="Arial Narrow" w:cs="Arial"/>
          <w:sz w:val="28"/>
          <w:szCs w:val="28"/>
        </w:rPr>
        <w:t>, con fundamento en el Acuerdo 049 de 1990.</w:t>
      </w:r>
    </w:p>
    <w:p w:rsidR="00A549A9" w:rsidRPr="00A549A9" w:rsidRDefault="00A549A9" w:rsidP="00A549A9">
      <w:pPr>
        <w:pStyle w:val="Paragraphedeliste"/>
        <w:tabs>
          <w:tab w:val="left" w:pos="1134"/>
        </w:tabs>
        <w:spacing w:line="360" w:lineRule="auto"/>
        <w:ind w:left="709"/>
        <w:jc w:val="both"/>
        <w:rPr>
          <w:rFonts w:ascii="Arial Narrow" w:hAnsi="Arial Narrow" w:cs="Arial"/>
          <w:color w:val="000000"/>
          <w:sz w:val="28"/>
          <w:szCs w:val="28"/>
          <w:shd w:val="clear" w:color="auto" w:fill="FFFFFF"/>
        </w:rPr>
      </w:pPr>
    </w:p>
    <w:p w:rsidR="002C3879" w:rsidRDefault="00A549A9" w:rsidP="003D2B6A">
      <w:pPr>
        <w:pStyle w:val="Paragraphedeliste"/>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t xml:space="preserve">Declarar probada parcialmente </w:t>
      </w:r>
      <w:r>
        <w:rPr>
          <w:rFonts w:ascii="Arial Narrow" w:hAnsi="Arial Narrow" w:cs="Arial"/>
          <w:color w:val="000000"/>
          <w:sz w:val="28"/>
          <w:szCs w:val="28"/>
          <w:shd w:val="clear" w:color="auto" w:fill="FFFFFF"/>
        </w:rPr>
        <w:t xml:space="preserve">la excepción de prescripción propuesta por Colpensiones, frente a las mesadas causadas con antelación al </w:t>
      </w:r>
      <w:r w:rsidR="001953E9">
        <w:rPr>
          <w:rFonts w:ascii="Arial Narrow" w:hAnsi="Arial Narrow" w:cs="Arial"/>
          <w:color w:val="000000"/>
          <w:sz w:val="28"/>
          <w:szCs w:val="28"/>
          <w:shd w:val="clear" w:color="auto" w:fill="FFFFFF"/>
        </w:rPr>
        <w:t>20</w:t>
      </w:r>
      <w:r>
        <w:rPr>
          <w:rFonts w:ascii="Arial Narrow" w:hAnsi="Arial Narrow" w:cs="Arial"/>
          <w:color w:val="000000"/>
          <w:sz w:val="28"/>
          <w:szCs w:val="28"/>
          <w:shd w:val="clear" w:color="auto" w:fill="FFFFFF"/>
        </w:rPr>
        <w:t xml:space="preserve"> de </w:t>
      </w:r>
      <w:r w:rsidR="001953E9">
        <w:rPr>
          <w:rFonts w:ascii="Arial Narrow" w:hAnsi="Arial Narrow" w:cs="Arial"/>
          <w:color w:val="000000"/>
          <w:sz w:val="28"/>
          <w:szCs w:val="28"/>
          <w:shd w:val="clear" w:color="auto" w:fill="FFFFFF"/>
        </w:rPr>
        <w:t>enero</w:t>
      </w:r>
      <w:r>
        <w:rPr>
          <w:rFonts w:ascii="Arial Narrow" w:hAnsi="Arial Narrow" w:cs="Arial"/>
          <w:color w:val="000000"/>
          <w:sz w:val="28"/>
          <w:szCs w:val="28"/>
          <w:shd w:val="clear" w:color="auto" w:fill="FFFFFF"/>
        </w:rPr>
        <w:t xml:space="preserve"> de 20</w:t>
      </w:r>
      <w:r w:rsidR="001953E9">
        <w:rPr>
          <w:rFonts w:ascii="Arial Narrow" w:hAnsi="Arial Narrow" w:cs="Arial"/>
          <w:color w:val="000000"/>
          <w:sz w:val="28"/>
          <w:szCs w:val="28"/>
          <w:shd w:val="clear" w:color="auto" w:fill="FFFFFF"/>
        </w:rPr>
        <w:t>12</w:t>
      </w:r>
      <w:r>
        <w:rPr>
          <w:rFonts w:ascii="Arial Narrow" w:hAnsi="Arial Narrow" w:cs="Arial"/>
          <w:color w:val="000000"/>
          <w:sz w:val="28"/>
          <w:szCs w:val="28"/>
          <w:shd w:val="clear" w:color="auto" w:fill="FFFFFF"/>
        </w:rPr>
        <w:t>. Las restantes excepciones se declaran no probadas</w:t>
      </w:r>
      <w:r w:rsidR="00FD750B">
        <w:rPr>
          <w:rFonts w:ascii="Arial Narrow" w:hAnsi="Arial Narrow" w:cs="Arial"/>
          <w:sz w:val="28"/>
          <w:szCs w:val="28"/>
        </w:rPr>
        <w:t xml:space="preserve"> a partir de la ejecutoria de esta sentencia, en cuantía </w:t>
      </w:r>
      <w:r w:rsidR="00AF5728">
        <w:rPr>
          <w:rFonts w:ascii="Arial Narrow" w:hAnsi="Arial Narrow" w:cs="Arial"/>
          <w:sz w:val="28"/>
          <w:szCs w:val="28"/>
        </w:rPr>
        <w:t xml:space="preserve">igual al salario mínimo </w:t>
      </w:r>
      <w:r w:rsidR="00FD750B">
        <w:rPr>
          <w:rFonts w:ascii="Arial Narrow" w:hAnsi="Arial Narrow" w:cs="Arial"/>
          <w:sz w:val="28"/>
          <w:szCs w:val="28"/>
        </w:rPr>
        <w:t>y con fundamento en el Acuerdo 049 de 1990</w:t>
      </w:r>
      <w:r w:rsidR="002C3879">
        <w:rPr>
          <w:rFonts w:ascii="Arial Narrow" w:hAnsi="Arial Narrow" w:cs="Arial"/>
          <w:color w:val="000000"/>
          <w:sz w:val="28"/>
          <w:szCs w:val="28"/>
          <w:shd w:val="clear" w:color="auto" w:fill="FFFFFF"/>
        </w:rPr>
        <w:t>.</w:t>
      </w:r>
    </w:p>
    <w:p w:rsidR="00AF5728" w:rsidRDefault="00AF5728" w:rsidP="00AF5728">
      <w:pPr>
        <w:pStyle w:val="Paragraphedeliste"/>
        <w:tabs>
          <w:tab w:val="left" w:pos="1134"/>
        </w:tabs>
        <w:spacing w:line="360" w:lineRule="auto"/>
        <w:ind w:left="709"/>
        <w:jc w:val="both"/>
        <w:rPr>
          <w:rFonts w:ascii="Arial Narrow" w:hAnsi="Arial Narrow" w:cs="Arial"/>
          <w:color w:val="000000"/>
          <w:sz w:val="28"/>
          <w:szCs w:val="28"/>
          <w:shd w:val="clear" w:color="auto" w:fill="FFFFFF"/>
        </w:rPr>
      </w:pPr>
    </w:p>
    <w:p w:rsidR="00A549A9" w:rsidRDefault="00FD750B" w:rsidP="003D2B6A">
      <w:pPr>
        <w:pStyle w:val="Paragraphedeliste"/>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lastRenderedPageBreak/>
        <w:t xml:space="preserve">Condenar </w:t>
      </w:r>
      <w:r>
        <w:rPr>
          <w:rFonts w:ascii="Arial Narrow" w:hAnsi="Arial Narrow" w:cs="Arial"/>
          <w:color w:val="000000"/>
          <w:sz w:val="28"/>
          <w:szCs w:val="28"/>
          <w:shd w:val="clear" w:color="auto" w:fill="FFFFFF"/>
        </w:rPr>
        <w:t>a la Administradora Colombiana de Pensiones a reconocer y pagar al señor Alberto de Jesús Cano Vallejo</w:t>
      </w:r>
      <w:r w:rsidR="00A549A9">
        <w:rPr>
          <w:rFonts w:ascii="Arial Narrow" w:hAnsi="Arial Narrow" w:cs="Arial"/>
          <w:color w:val="000000"/>
          <w:sz w:val="28"/>
          <w:szCs w:val="28"/>
          <w:shd w:val="clear" w:color="auto" w:fill="FFFFFF"/>
        </w:rPr>
        <w:t xml:space="preserve"> la suma de </w:t>
      </w:r>
      <w:r w:rsidR="00A549A9">
        <w:rPr>
          <w:rFonts w:ascii="Arial Narrow" w:hAnsi="Arial Narrow" w:cs="Tahoma"/>
          <w:sz w:val="28"/>
          <w:szCs w:val="28"/>
        </w:rPr>
        <w:t>$</w:t>
      </w:r>
      <w:r w:rsidR="001953E9">
        <w:rPr>
          <w:rFonts w:ascii="Arial Narrow" w:hAnsi="Arial Narrow" w:cs="Tahoma"/>
          <w:sz w:val="28"/>
          <w:szCs w:val="28"/>
        </w:rPr>
        <w:t xml:space="preserve">41.783.970 </w:t>
      </w:r>
      <w:r w:rsidR="00A549A9">
        <w:rPr>
          <w:rFonts w:ascii="Arial Narrow" w:hAnsi="Arial Narrow" w:cs="Tahoma"/>
          <w:sz w:val="28"/>
          <w:szCs w:val="28"/>
        </w:rPr>
        <w:t>por concepto de retroactivo pensional</w:t>
      </w:r>
      <w:r>
        <w:rPr>
          <w:rFonts w:ascii="Arial Narrow" w:hAnsi="Arial Narrow" w:cs="Arial"/>
          <w:color w:val="000000"/>
          <w:sz w:val="28"/>
          <w:szCs w:val="28"/>
          <w:shd w:val="clear" w:color="auto" w:fill="FFFFFF"/>
        </w:rPr>
        <w:t xml:space="preserve"> </w:t>
      </w:r>
      <w:r w:rsidR="00A549A9">
        <w:rPr>
          <w:rFonts w:ascii="Arial Narrow" w:hAnsi="Arial Narrow" w:cs="Arial"/>
          <w:color w:val="000000"/>
          <w:sz w:val="28"/>
          <w:szCs w:val="28"/>
          <w:shd w:val="clear" w:color="auto" w:fill="FFFFFF"/>
        </w:rPr>
        <w:t xml:space="preserve">causado entre el </w:t>
      </w:r>
      <w:r w:rsidR="001953E9">
        <w:rPr>
          <w:rFonts w:ascii="Arial Narrow" w:hAnsi="Arial Narrow" w:cs="Arial"/>
          <w:color w:val="000000"/>
          <w:sz w:val="28"/>
          <w:szCs w:val="28"/>
          <w:shd w:val="clear" w:color="auto" w:fill="FFFFFF"/>
        </w:rPr>
        <w:t>20</w:t>
      </w:r>
      <w:r w:rsidR="00A549A9">
        <w:rPr>
          <w:rFonts w:ascii="Arial Narrow" w:hAnsi="Arial Narrow" w:cs="Arial"/>
          <w:color w:val="000000"/>
          <w:sz w:val="28"/>
          <w:szCs w:val="28"/>
          <w:shd w:val="clear" w:color="auto" w:fill="FFFFFF"/>
        </w:rPr>
        <w:t xml:space="preserve"> de </w:t>
      </w:r>
      <w:r w:rsidR="001953E9">
        <w:rPr>
          <w:rFonts w:ascii="Arial Narrow" w:hAnsi="Arial Narrow" w:cs="Arial"/>
          <w:color w:val="000000"/>
          <w:sz w:val="28"/>
          <w:szCs w:val="28"/>
          <w:shd w:val="clear" w:color="auto" w:fill="FFFFFF"/>
        </w:rPr>
        <w:t>enero</w:t>
      </w:r>
      <w:r w:rsidR="00A549A9">
        <w:rPr>
          <w:rFonts w:ascii="Arial Narrow" w:hAnsi="Arial Narrow" w:cs="Arial"/>
          <w:color w:val="000000"/>
          <w:sz w:val="28"/>
          <w:szCs w:val="28"/>
          <w:shd w:val="clear" w:color="auto" w:fill="FFFFFF"/>
        </w:rPr>
        <w:t xml:space="preserve"> de 20</w:t>
      </w:r>
      <w:r w:rsidR="001953E9">
        <w:rPr>
          <w:rFonts w:ascii="Arial Narrow" w:hAnsi="Arial Narrow" w:cs="Arial"/>
          <w:color w:val="000000"/>
          <w:sz w:val="28"/>
          <w:szCs w:val="28"/>
          <w:shd w:val="clear" w:color="auto" w:fill="FFFFFF"/>
        </w:rPr>
        <w:t>12</w:t>
      </w:r>
      <w:r w:rsidR="00A549A9">
        <w:rPr>
          <w:rFonts w:ascii="Arial Narrow" w:hAnsi="Arial Narrow" w:cs="Arial"/>
          <w:color w:val="000000"/>
          <w:sz w:val="28"/>
          <w:szCs w:val="28"/>
          <w:shd w:val="clear" w:color="auto" w:fill="FFFFFF"/>
        </w:rPr>
        <w:t xml:space="preserve"> y el 31 de diciembre de 2016 </w:t>
      </w:r>
      <w:r w:rsidR="00A549A9">
        <w:rPr>
          <w:rFonts w:ascii="Arial Narrow" w:hAnsi="Arial Narrow" w:cs="Tahoma"/>
          <w:sz w:val="28"/>
          <w:szCs w:val="28"/>
        </w:rPr>
        <w:t>para lo cual se concederá a la entidad demandada el término de un mes, una vez ejecutoriada esta providencia. Igualmente deberá iniciar, en ese mismo lapso el reconocimiento y pago de la mesada pensional en cuantía de un salario mínimo, mientras se mantenga el estado de invalidez del actor</w:t>
      </w:r>
      <w:r w:rsidR="00A549A9">
        <w:rPr>
          <w:rFonts w:ascii="Arial Narrow" w:hAnsi="Arial Narrow" w:cs="Arial"/>
          <w:color w:val="000000"/>
          <w:sz w:val="28"/>
          <w:szCs w:val="28"/>
          <w:shd w:val="clear" w:color="auto" w:fill="FFFFFF"/>
        </w:rPr>
        <w:t xml:space="preserve">. </w:t>
      </w:r>
      <w:r w:rsidR="00A549A9">
        <w:rPr>
          <w:rFonts w:ascii="Arial Narrow" w:hAnsi="Arial Narrow" w:cs="Tahoma"/>
          <w:sz w:val="28"/>
          <w:szCs w:val="28"/>
        </w:rPr>
        <w:t xml:space="preserve">De la suma reconocida por concepto de retroactivo, se autoriza a la sociedad demandada a descontar el </w:t>
      </w:r>
      <w:r w:rsidR="00A549A9" w:rsidRPr="00A549A9">
        <w:rPr>
          <w:rFonts w:ascii="Arial Narrow" w:hAnsi="Arial Narrow" w:cs="Tahoma"/>
          <w:b/>
          <w:sz w:val="28"/>
          <w:szCs w:val="28"/>
        </w:rPr>
        <w:t>valor actualizado de la indemnización sustitutiva</w:t>
      </w:r>
      <w:r w:rsidR="00A549A9">
        <w:rPr>
          <w:rFonts w:ascii="Arial Narrow" w:hAnsi="Arial Narrow" w:cs="Tahoma"/>
          <w:sz w:val="28"/>
          <w:szCs w:val="28"/>
        </w:rPr>
        <w:t xml:space="preserve"> reconocida al demandante mediante la Resolución No. 002859 de 1997.</w:t>
      </w:r>
    </w:p>
    <w:p w:rsidR="00A549A9" w:rsidRPr="00A549A9" w:rsidRDefault="00A549A9" w:rsidP="00A549A9">
      <w:pPr>
        <w:pStyle w:val="Paragraphedeliste"/>
        <w:rPr>
          <w:rFonts w:ascii="Arial Narrow" w:hAnsi="Arial Narrow" w:cs="Arial"/>
          <w:color w:val="000000"/>
          <w:sz w:val="28"/>
          <w:szCs w:val="28"/>
          <w:shd w:val="clear" w:color="auto" w:fill="FFFFFF"/>
        </w:rPr>
      </w:pPr>
    </w:p>
    <w:p w:rsidR="00FD750B" w:rsidRDefault="00A549A9" w:rsidP="003D2B6A">
      <w:pPr>
        <w:pStyle w:val="Paragraphedeliste"/>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t xml:space="preserve">Condenar </w:t>
      </w:r>
      <w:r>
        <w:rPr>
          <w:rFonts w:ascii="Arial Narrow" w:hAnsi="Arial Narrow" w:cs="Arial"/>
          <w:color w:val="000000"/>
          <w:sz w:val="28"/>
          <w:szCs w:val="28"/>
          <w:shd w:val="clear" w:color="auto" w:fill="FFFFFF"/>
        </w:rPr>
        <w:t xml:space="preserve">a la Administradora Colombiana de Pensiones a reconocer y pagar al señor Alberto de Jesús Cano Vallejo los </w:t>
      </w:r>
      <w:r w:rsidR="00FD750B">
        <w:rPr>
          <w:rFonts w:ascii="Arial Narrow" w:hAnsi="Arial Narrow" w:cs="Arial"/>
          <w:color w:val="000000"/>
          <w:sz w:val="28"/>
          <w:szCs w:val="28"/>
          <w:shd w:val="clear" w:color="auto" w:fill="FFFFFF"/>
        </w:rPr>
        <w:t xml:space="preserve">intereses moratorios de que trata el canon 141 de la Ley 100 de 1993, si al mes de haber adquirido ejecutoria esta decisión no se ha </w:t>
      </w:r>
      <w:r>
        <w:rPr>
          <w:rFonts w:ascii="Arial Narrow" w:hAnsi="Arial Narrow" w:cs="Arial"/>
          <w:color w:val="000000"/>
          <w:sz w:val="28"/>
          <w:szCs w:val="28"/>
          <w:shd w:val="clear" w:color="auto" w:fill="FFFFFF"/>
        </w:rPr>
        <w:t>cumplido lo dispuesto en el ordinal anterior</w:t>
      </w:r>
      <w:r w:rsidR="00FD750B">
        <w:rPr>
          <w:rFonts w:ascii="Arial Narrow" w:hAnsi="Arial Narrow" w:cs="Arial"/>
          <w:color w:val="000000"/>
          <w:sz w:val="28"/>
          <w:szCs w:val="28"/>
          <w:shd w:val="clear" w:color="auto" w:fill="FFFFFF"/>
        </w:rPr>
        <w:t>.</w:t>
      </w:r>
    </w:p>
    <w:p w:rsidR="00AF5728" w:rsidRDefault="00AF5728" w:rsidP="00AF5728">
      <w:pPr>
        <w:pStyle w:val="Paragraphedeliste"/>
        <w:tabs>
          <w:tab w:val="left" w:pos="1134"/>
        </w:tabs>
        <w:spacing w:line="360" w:lineRule="auto"/>
        <w:ind w:left="709"/>
        <w:jc w:val="both"/>
        <w:rPr>
          <w:rFonts w:ascii="Arial Narrow" w:hAnsi="Arial Narrow" w:cs="Arial"/>
          <w:color w:val="000000"/>
          <w:sz w:val="28"/>
          <w:szCs w:val="28"/>
          <w:shd w:val="clear" w:color="auto" w:fill="FFFFFF"/>
        </w:rPr>
      </w:pPr>
    </w:p>
    <w:p w:rsidR="00FD750B" w:rsidRDefault="00FD750B" w:rsidP="003D2B6A">
      <w:pPr>
        <w:pStyle w:val="Paragraphedeliste"/>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t xml:space="preserve">Condenar </w:t>
      </w:r>
      <w:r w:rsidRPr="00FD750B">
        <w:rPr>
          <w:rFonts w:ascii="Arial Narrow" w:hAnsi="Arial Narrow" w:cs="Arial"/>
          <w:color w:val="000000"/>
          <w:sz w:val="28"/>
          <w:szCs w:val="28"/>
          <w:shd w:val="clear" w:color="auto" w:fill="FFFFFF"/>
        </w:rPr>
        <w:t>a la Administradora Colombiana de Pensiones a pagar al señor Alberto de Jesús Cano Vallejo</w:t>
      </w:r>
      <w:r w:rsidR="002A173F">
        <w:rPr>
          <w:rFonts w:ascii="Arial Narrow" w:hAnsi="Arial Narrow" w:cs="Arial"/>
          <w:color w:val="000000"/>
          <w:sz w:val="28"/>
          <w:szCs w:val="28"/>
          <w:shd w:val="clear" w:color="auto" w:fill="FFFFFF"/>
        </w:rPr>
        <w:t xml:space="preserve"> la</w:t>
      </w:r>
      <w:r w:rsidR="00AF5728">
        <w:rPr>
          <w:rFonts w:ascii="Arial Narrow" w:hAnsi="Arial Narrow" w:cs="Arial"/>
          <w:color w:val="000000"/>
          <w:sz w:val="28"/>
          <w:szCs w:val="28"/>
          <w:shd w:val="clear" w:color="auto" w:fill="FFFFFF"/>
        </w:rPr>
        <w:t xml:space="preserve">s costas del proceso en ambas instancias, en un </w:t>
      </w:r>
      <w:r w:rsidR="00A549A9">
        <w:rPr>
          <w:rFonts w:ascii="Arial Narrow" w:hAnsi="Arial Narrow" w:cs="Arial"/>
          <w:color w:val="000000"/>
          <w:sz w:val="28"/>
          <w:szCs w:val="28"/>
          <w:shd w:val="clear" w:color="auto" w:fill="FFFFFF"/>
        </w:rPr>
        <w:t>8</w:t>
      </w:r>
      <w:r w:rsidR="00AF5728">
        <w:rPr>
          <w:rFonts w:ascii="Arial Narrow" w:hAnsi="Arial Narrow" w:cs="Arial"/>
          <w:color w:val="000000"/>
          <w:sz w:val="28"/>
          <w:szCs w:val="28"/>
          <w:shd w:val="clear" w:color="auto" w:fill="FFFFFF"/>
        </w:rPr>
        <w:t>0% de las causadas.</w:t>
      </w:r>
      <w:r w:rsidR="002A173F">
        <w:rPr>
          <w:rFonts w:ascii="Arial Narrow" w:hAnsi="Arial Narrow" w:cs="Arial"/>
          <w:color w:val="000000"/>
          <w:sz w:val="28"/>
          <w:szCs w:val="28"/>
          <w:shd w:val="clear" w:color="auto" w:fill="FFFFFF"/>
        </w:rPr>
        <w:t xml:space="preserve"> </w:t>
      </w:r>
      <w:r>
        <w:rPr>
          <w:rFonts w:ascii="Arial Narrow" w:hAnsi="Arial Narrow" w:cs="Arial"/>
          <w:i/>
          <w:color w:val="000000"/>
          <w:sz w:val="28"/>
          <w:szCs w:val="28"/>
          <w:shd w:val="clear" w:color="auto" w:fill="FFFFFF"/>
        </w:rPr>
        <w:t xml:space="preserve"> </w:t>
      </w:r>
    </w:p>
    <w:p w:rsidR="003D2B6A" w:rsidRDefault="003D2B6A" w:rsidP="003D2B6A">
      <w:pPr>
        <w:pStyle w:val="Sansinterligne"/>
        <w:rPr>
          <w:lang w:val="es-ES"/>
        </w:rPr>
      </w:pPr>
    </w:p>
    <w:p w:rsidR="004A6AB6" w:rsidRPr="001B076A" w:rsidRDefault="004A6AB6" w:rsidP="004A6AB6">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4A6AB6"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4A6AB6" w:rsidRPr="001B076A" w:rsidRDefault="004A6AB6" w:rsidP="004A6AB6">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4A6AB6" w:rsidRDefault="004A6AB6" w:rsidP="004A6AB6">
      <w:pPr>
        <w:jc w:val="both"/>
        <w:rPr>
          <w:rFonts w:ascii="Arial Narrow" w:hAnsi="Arial Narrow" w:cs="Microsoft Sans Serif"/>
          <w:b/>
          <w:bCs/>
          <w:iCs/>
          <w:sz w:val="28"/>
          <w:szCs w:val="28"/>
          <w:lang w:val="es-ES"/>
        </w:rPr>
      </w:pPr>
    </w:p>
    <w:p w:rsidR="004A6AB6"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AF5728">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4A6AB6" w:rsidRDefault="004A6AB6" w:rsidP="004A6AB6">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003D0B0D">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ab/>
        <w:t xml:space="preserve">    </w:t>
      </w:r>
      <w:proofErr w:type="spellStart"/>
      <w:r>
        <w:rPr>
          <w:rFonts w:ascii="Arial Narrow" w:hAnsi="Arial Narrow" w:cs="Microsoft Sans Serif"/>
          <w:bCs/>
          <w:iCs/>
          <w:sz w:val="28"/>
          <w:szCs w:val="28"/>
          <w:lang w:val="es-ES"/>
        </w:rPr>
        <w:t>Magistrad</w:t>
      </w:r>
      <w:r w:rsidR="00AF5728">
        <w:rPr>
          <w:rFonts w:ascii="Arial Narrow" w:hAnsi="Arial Narrow" w:cs="Microsoft Sans Serif"/>
          <w:bCs/>
          <w:iCs/>
          <w:sz w:val="28"/>
          <w:szCs w:val="28"/>
          <w:lang w:val="es-ES"/>
        </w:rPr>
        <w:t>a</w:t>
      </w:r>
      <w:proofErr w:type="spellEnd"/>
    </w:p>
    <w:p w:rsidR="00A549A9" w:rsidRDefault="004A6AB6" w:rsidP="00AF5728">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4912F3">
        <w:rPr>
          <w:rFonts w:ascii="Arial Narrow" w:hAnsi="Arial Narrow" w:cs="Microsoft Sans Serif"/>
          <w:bCs/>
          <w:iCs/>
          <w:sz w:val="20"/>
          <w:lang w:val="es-ES"/>
        </w:rPr>
        <w:t xml:space="preserve">   </w:t>
      </w:r>
      <w:r w:rsidRPr="008424AB">
        <w:rPr>
          <w:rFonts w:ascii="Arial Narrow" w:hAnsi="Arial Narrow" w:cs="Microsoft Sans Serif"/>
          <w:bCs/>
          <w:iCs/>
          <w:sz w:val="28"/>
          <w:szCs w:val="28"/>
          <w:lang w:val="es-ES"/>
        </w:rPr>
        <w:t xml:space="preserve">      </w:t>
      </w: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463068" w:rsidRDefault="00A549A9" w:rsidP="00A549A9">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lastRenderedPageBreak/>
        <w:t>ANEXO I</w:t>
      </w:r>
    </w:p>
    <w:p w:rsidR="00A549A9" w:rsidRDefault="00A549A9" w:rsidP="00A549A9">
      <w:pPr>
        <w:ind w:firstLine="900"/>
        <w:jc w:val="center"/>
        <w:rPr>
          <w:rFonts w:ascii="Arial Narrow" w:hAnsi="Arial Narrow" w:cs="Microsoft Sans Serif"/>
          <w:b/>
          <w:bCs/>
          <w:iCs/>
          <w:sz w:val="28"/>
          <w:szCs w:val="28"/>
          <w:lang w:val="es-ES"/>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r w:rsidRPr="00A549A9">
        <w:rPr>
          <w:noProof/>
          <w:lang w:val="fr-FR" w:eastAsia="fr-FR"/>
        </w:rPr>
        <w:drawing>
          <wp:inline distT="0" distB="0" distL="0" distR="0">
            <wp:extent cx="5613400" cy="4189513"/>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4189513"/>
                    </a:xfrm>
                    <a:prstGeom prst="rect">
                      <a:avLst/>
                    </a:prstGeom>
                    <a:noFill/>
                    <a:ln>
                      <a:noFill/>
                    </a:ln>
                  </pic:spPr>
                </pic:pic>
              </a:graphicData>
            </a:graphic>
          </wp:inline>
        </w:drawing>
      </w: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1953E9" w:rsidRDefault="001953E9" w:rsidP="00A549A9">
      <w:pPr>
        <w:ind w:firstLine="900"/>
        <w:jc w:val="center"/>
        <w:rPr>
          <w:rFonts w:ascii="Arial Narrow" w:hAnsi="Arial Narrow"/>
          <w:b/>
          <w:sz w:val="28"/>
          <w:szCs w:val="28"/>
        </w:rPr>
      </w:pPr>
    </w:p>
    <w:p w:rsidR="001953E9" w:rsidRDefault="001953E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r>
        <w:rPr>
          <w:rFonts w:ascii="Arial Narrow" w:hAnsi="Arial Narrow"/>
          <w:b/>
          <w:sz w:val="28"/>
          <w:szCs w:val="28"/>
        </w:rPr>
        <w:t>ANEXO II</w:t>
      </w: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r w:rsidRPr="00A549A9">
        <w:rPr>
          <w:noProof/>
          <w:lang w:val="fr-FR" w:eastAsia="fr-FR"/>
        </w:rPr>
        <w:lastRenderedPageBreak/>
        <w:drawing>
          <wp:inline distT="0" distB="0" distL="0" distR="0">
            <wp:extent cx="4362450" cy="4124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4124325"/>
                    </a:xfrm>
                    <a:prstGeom prst="rect">
                      <a:avLst/>
                    </a:prstGeom>
                    <a:noFill/>
                    <a:ln>
                      <a:noFill/>
                    </a:ln>
                  </pic:spPr>
                </pic:pic>
              </a:graphicData>
            </a:graphic>
          </wp:inline>
        </w:drawing>
      </w:r>
    </w:p>
    <w:p w:rsidR="00A549A9" w:rsidRDefault="00A549A9" w:rsidP="00A549A9">
      <w:pPr>
        <w:ind w:firstLine="900"/>
        <w:jc w:val="center"/>
        <w:rPr>
          <w:rFonts w:ascii="Arial Narrow" w:hAnsi="Arial Narrow"/>
          <w:b/>
          <w:sz w:val="28"/>
          <w:szCs w:val="28"/>
        </w:rPr>
      </w:pPr>
    </w:p>
    <w:p w:rsidR="00A549A9" w:rsidRDefault="00A549A9" w:rsidP="00A549A9">
      <w:pPr>
        <w:ind w:firstLine="900"/>
        <w:jc w:val="center"/>
        <w:rPr>
          <w:rFonts w:ascii="Arial Narrow" w:hAnsi="Arial Narrow"/>
          <w:b/>
          <w:sz w:val="28"/>
          <w:szCs w:val="28"/>
        </w:rPr>
      </w:pPr>
      <w:r>
        <w:rPr>
          <w:rFonts w:ascii="Arial Narrow" w:hAnsi="Arial Narrow"/>
          <w:b/>
          <w:sz w:val="28"/>
          <w:szCs w:val="28"/>
        </w:rPr>
        <w:t>ANEXO III</w:t>
      </w:r>
    </w:p>
    <w:p w:rsidR="00A549A9" w:rsidRDefault="00A549A9" w:rsidP="00A549A9">
      <w:pPr>
        <w:ind w:firstLine="900"/>
        <w:jc w:val="center"/>
        <w:rPr>
          <w:rFonts w:ascii="Arial Narrow" w:hAnsi="Arial Narrow"/>
          <w:b/>
          <w:sz w:val="28"/>
          <w:szCs w:val="28"/>
        </w:rPr>
      </w:pPr>
    </w:p>
    <w:p w:rsidR="00A549A9" w:rsidRDefault="001953E9" w:rsidP="00A549A9">
      <w:pPr>
        <w:ind w:firstLine="900"/>
        <w:jc w:val="center"/>
        <w:rPr>
          <w:rFonts w:ascii="Arial Narrow" w:hAnsi="Arial Narrow"/>
          <w:b/>
          <w:sz w:val="28"/>
          <w:szCs w:val="28"/>
        </w:rPr>
      </w:pPr>
      <w:r w:rsidRPr="001953E9">
        <w:rPr>
          <w:noProof/>
          <w:lang w:val="fr-FR" w:eastAsia="fr-FR"/>
        </w:rPr>
        <w:drawing>
          <wp:inline distT="0" distB="0" distL="0" distR="0" wp14:anchorId="7E6BD0A2" wp14:editId="092FE465">
            <wp:extent cx="3295650" cy="14763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476375"/>
                    </a:xfrm>
                    <a:prstGeom prst="rect">
                      <a:avLst/>
                    </a:prstGeom>
                    <a:noFill/>
                    <a:ln>
                      <a:noFill/>
                    </a:ln>
                  </pic:spPr>
                </pic:pic>
              </a:graphicData>
            </a:graphic>
          </wp:inline>
        </w:drawing>
      </w:r>
    </w:p>
    <w:p w:rsidR="00F3756B" w:rsidRDefault="00F3756B" w:rsidP="00A549A9">
      <w:pPr>
        <w:ind w:firstLine="900"/>
        <w:jc w:val="center"/>
        <w:rPr>
          <w:rFonts w:ascii="Arial Narrow" w:hAnsi="Arial Narrow"/>
          <w:b/>
          <w:sz w:val="28"/>
          <w:szCs w:val="28"/>
        </w:rPr>
      </w:pPr>
    </w:p>
    <w:p w:rsidR="00F3756B" w:rsidRDefault="00F3756B" w:rsidP="00A549A9">
      <w:pPr>
        <w:ind w:firstLine="900"/>
        <w:jc w:val="center"/>
        <w:rPr>
          <w:rFonts w:ascii="Arial Narrow" w:hAnsi="Arial Narrow"/>
          <w:b/>
          <w:sz w:val="28"/>
          <w:szCs w:val="28"/>
        </w:rPr>
      </w:pPr>
    </w:p>
    <w:p w:rsidR="00F3756B" w:rsidRDefault="00F3756B" w:rsidP="00A549A9">
      <w:pPr>
        <w:ind w:firstLine="900"/>
        <w:jc w:val="center"/>
        <w:rPr>
          <w:rFonts w:ascii="Arial Narrow" w:hAnsi="Arial Narrow"/>
          <w:b/>
          <w:sz w:val="28"/>
          <w:szCs w:val="28"/>
        </w:rPr>
      </w:pPr>
    </w:p>
    <w:p w:rsidR="00F3756B" w:rsidRDefault="00F3756B" w:rsidP="00A549A9">
      <w:pPr>
        <w:ind w:firstLine="900"/>
        <w:jc w:val="center"/>
        <w:rPr>
          <w:rFonts w:ascii="Arial Narrow" w:hAnsi="Arial Narrow"/>
          <w:b/>
          <w:sz w:val="28"/>
          <w:szCs w:val="28"/>
        </w:rPr>
      </w:pPr>
      <w:r>
        <w:rPr>
          <w:rFonts w:ascii="Arial Narrow" w:hAnsi="Arial Narrow"/>
          <w:b/>
          <w:sz w:val="28"/>
          <w:szCs w:val="28"/>
        </w:rPr>
        <w:t>FRANCISCO JAVIER TAMAYO TABARES</w:t>
      </w:r>
    </w:p>
    <w:p w:rsidR="00F3756B" w:rsidRPr="00F3756B" w:rsidRDefault="00F3756B" w:rsidP="00A549A9">
      <w:pPr>
        <w:ind w:firstLine="900"/>
        <w:jc w:val="center"/>
        <w:rPr>
          <w:rFonts w:ascii="Arial Narrow" w:hAnsi="Arial Narrow"/>
          <w:sz w:val="28"/>
          <w:szCs w:val="28"/>
        </w:rPr>
      </w:pPr>
      <w:r w:rsidRPr="00F3756B">
        <w:rPr>
          <w:rFonts w:ascii="Arial Narrow" w:hAnsi="Arial Narrow"/>
          <w:sz w:val="28"/>
          <w:szCs w:val="28"/>
        </w:rPr>
        <w:t>Magistrado Ponente</w:t>
      </w:r>
    </w:p>
    <w:sectPr w:rsidR="00F3756B" w:rsidRPr="00F3756B" w:rsidSect="007420E2">
      <w:headerReference w:type="default" r:id="rId11"/>
      <w:footerReference w:type="even" r:id="rId12"/>
      <w:footerReference w:type="default" r:id="rId13"/>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E1" w:rsidRDefault="00E41BE1" w:rsidP="004A6AB6">
      <w:r>
        <w:separator/>
      </w:r>
    </w:p>
  </w:endnote>
  <w:endnote w:type="continuationSeparator" w:id="0">
    <w:p w:rsidR="00E41BE1" w:rsidRDefault="00E41BE1" w:rsidP="004A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5F43B9"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E41BE1"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5F43B9"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0B0D">
      <w:rPr>
        <w:rStyle w:val="Numrodepage"/>
        <w:noProof/>
      </w:rPr>
      <w:t>1</w:t>
    </w:r>
    <w:r>
      <w:rPr>
        <w:rStyle w:val="Numrodepage"/>
      </w:rPr>
      <w:fldChar w:fldCharType="end"/>
    </w:r>
  </w:p>
  <w:p w:rsidR="009B4A56" w:rsidRDefault="00E41BE1"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E1" w:rsidRDefault="00E41BE1" w:rsidP="004A6AB6">
      <w:r>
        <w:separator/>
      </w:r>
    </w:p>
  </w:footnote>
  <w:footnote w:type="continuationSeparator" w:id="0">
    <w:p w:rsidR="00E41BE1" w:rsidRDefault="00E41BE1" w:rsidP="004A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Pr="00FD38A6" w:rsidRDefault="005F43B9" w:rsidP="00A15930">
    <w:pPr>
      <w:jc w:val="both"/>
      <w:rPr>
        <w:rFonts w:ascii="Arial Narrow" w:hAnsi="Arial Narrow" w:cs="Arial"/>
        <w:bCs/>
        <w:sz w:val="16"/>
        <w:szCs w:val="16"/>
      </w:rPr>
    </w:pPr>
    <w:r w:rsidRPr="00FD38A6">
      <w:rPr>
        <w:rFonts w:ascii="Arial Narrow" w:hAnsi="Arial Narrow" w:cs="Arial"/>
        <w:bCs/>
        <w:sz w:val="16"/>
        <w:szCs w:val="16"/>
      </w:rPr>
      <w:t>Radicación No: 66001-31-05-00</w:t>
    </w:r>
    <w:r w:rsidR="00AD5A55">
      <w:rPr>
        <w:rFonts w:ascii="Arial Narrow" w:hAnsi="Arial Narrow" w:cs="Arial"/>
        <w:bCs/>
        <w:sz w:val="16"/>
        <w:szCs w:val="16"/>
      </w:rPr>
      <w:t>4</w:t>
    </w:r>
    <w:r w:rsidRPr="00FD38A6">
      <w:rPr>
        <w:rFonts w:ascii="Arial Narrow" w:hAnsi="Arial Narrow" w:cs="Arial"/>
        <w:bCs/>
        <w:sz w:val="16"/>
        <w:szCs w:val="16"/>
      </w:rPr>
      <w:t>-201</w:t>
    </w:r>
    <w:r w:rsidR="00AD5A55">
      <w:rPr>
        <w:rFonts w:ascii="Arial Narrow" w:hAnsi="Arial Narrow" w:cs="Arial"/>
        <w:bCs/>
        <w:sz w:val="16"/>
        <w:szCs w:val="16"/>
      </w:rPr>
      <w:t>5</w:t>
    </w:r>
    <w:r w:rsidRPr="00FD38A6">
      <w:rPr>
        <w:rFonts w:ascii="Arial Narrow" w:hAnsi="Arial Narrow" w:cs="Arial"/>
        <w:bCs/>
        <w:sz w:val="16"/>
        <w:szCs w:val="16"/>
      </w:rPr>
      <w:t>-00</w:t>
    </w:r>
    <w:r w:rsidR="00AD5A55">
      <w:rPr>
        <w:rFonts w:ascii="Arial Narrow" w:hAnsi="Arial Narrow" w:cs="Arial"/>
        <w:bCs/>
        <w:sz w:val="16"/>
        <w:szCs w:val="16"/>
      </w:rPr>
      <w:t>021</w:t>
    </w:r>
    <w:r w:rsidRPr="00FD38A6">
      <w:rPr>
        <w:rFonts w:ascii="Arial Narrow" w:hAnsi="Arial Narrow" w:cs="Arial"/>
        <w:bCs/>
        <w:sz w:val="16"/>
        <w:szCs w:val="16"/>
      </w:rPr>
      <w:t>-01</w:t>
    </w:r>
  </w:p>
  <w:p w:rsidR="009B4A56" w:rsidRPr="00FD38A6" w:rsidRDefault="00AD5A55" w:rsidP="00FD38A6">
    <w:pPr>
      <w:jc w:val="both"/>
    </w:pPr>
    <w:r>
      <w:rPr>
        <w:rFonts w:ascii="Arial Narrow" w:hAnsi="Arial Narrow" w:cs="Arial"/>
        <w:bCs/>
        <w:sz w:val="16"/>
        <w:szCs w:val="16"/>
      </w:rPr>
      <w:t>Alberto de Jesús Cano Vallejo</w:t>
    </w:r>
    <w:r w:rsidR="004A6AB6">
      <w:rPr>
        <w:rFonts w:ascii="Arial Narrow" w:hAnsi="Arial Narrow" w:cs="Arial"/>
        <w:bCs/>
        <w:sz w:val="16"/>
        <w:szCs w:val="16"/>
      </w:rPr>
      <w:t xml:space="preserve"> </w:t>
    </w:r>
    <w:r w:rsidR="005F43B9"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B6"/>
    <w:rsid w:val="00016118"/>
    <w:rsid w:val="00055BCD"/>
    <w:rsid w:val="00076DCC"/>
    <w:rsid w:val="000B1E1D"/>
    <w:rsid w:val="000C265C"/>
    <w:rsid w:val="000D2B02"/>
    <w:rsid w:val="000D5139"/>
    <w:rsid w:val="000E7121"/>
    <w:rsid w:val="000E7F42"/>
    <w:rsid w:val="00157DB8"/>
    <w:rsid w:val="00172834"/>
    <w:rsid w:val="00175A1E"/>
    <w:rsid w:val="0018257B"/>
    <w:rsid w:val="0018341A"/>
    <w:rsid w:val="00193F75"/>
    <w:rsid w:val="001953E9"/>
    <w:rsid w:val="001B50C4"/>
    <w:rsid w:val="001B5769"/>
    <w:rsid w:val="001B7799"/>
    <w:rsid w:val="001C7A0A"/>
    <w:rsid w:val="0022476B"/>
    <w:rsid w:val="00235E5A"/>
    <w:rsid w:val="00242152"/>
    <w:rsid w:val="00244AA1"/>
    <w:rsid w:val="002608E1"/>
    <w:rsid w:val="00272A25"/>
    <w:rsid w:val="00275D19"/>
    <w:rsid w:val="002A0568"/>
    <w:rsid w:val="002A173F"/>
    <w:rsid w:val="002A495C"/>
    <w:rsid w:val="002B37E7"/>
    <w:rsid w:val="002B4A4C"/>
    <w:rsid w:val="002C3879"/>
    <w:rsid w:val="002C68BC"/>
    <w:rsid w:val="002D55B4"/>
    <w:rsid w:val="002E37C9"/>
    <w:rsid w:val="002F2BA1"/>
    <w:rsid w:val="002F4742"/>
    <w:rsid w:val="003055D8"/>
    <w:rsid w:val="00315315"/>
    <w:rsid w:val="003552D2"/>
    <w:rsid w:val="0036284D"/>
    <w:rsid w:val="00365CB3"/>
    <w:rsid w:val="00392447"/>
    <w:rsid w:val="00392793"/>
    <w:rsid w:val="003C2A49"/>
    <w:rsid w:val="003D0B0D"/>
    <w:rsid w:val="003D2B6A"/>
    <w:rsid w:val="003F6A07"/>
    <w:rsid w:val="004131BD"/>
    <w:rsid w:val="004313BF"/>
    <w:rsid w:val="00436088"/>
    <w:rsid w:val="004437E8"/>
    <w:rsid w:val="004537F1"/>
    <w:rsid w:val="00461228"/>
    <w:rsid w:val="00463068"/>
    <w:rsid w:val="0048557D"/>
    <w:rsid w:val="004A6AB6"/>
    <w:rsid w:val="004B1230"/>
    <w:rsid w:val="004C2C41"/>
    <w:rsid w:val="004D01C5"/>
    <w:rsid w:val="004F41C5"/>
    <w:rsid w:val="004F589A"/>
    <w:rsid w:val="004F7163"/>
    <w:rsid w:val="00500953"/>
    <w:rsid w:val="00515BDC"/>
    <w:rsid w:val="0052753B"/>
    <w:rsid w:val="00563496"/>
    <w:rsid w:val="00564AD2"/>
    <w:rsid w:val="005A3830"/>
    <w:rsid w:val="005C6252"/>
    <w:rsid w:val="005F1F04"/>
    <w:rsid w:val="005F43B9"/>
    <w:rsid w:val="005F5E82"/>
    <w:rsid w:val="00606A1C"/>
    <w:rsid w:val="006135E9"/>
    <w:rsid w:val="006572F6"/>
    <w:rsid w:val="006612D7"/>
    <w:rsid w:val="00670C03"/>
    <w:rsid w:val="0067766D"/>
    <w:rsid w:val="0068789C"/>
    <w:rsid w:val="00696969"/>
    <w:rsid w:val="006E31CC"/>
    <w:rsid w:val="006E58BA"/>
    <w:rsid w:val="006F0016"/>
    <w:rsid w:val="006F2FF3"/>
    <w:rsid w:val="007420E2"/>
    <w:rsid w:val="00773998"/>
    <w:rsid w:val="00776C64"/>
    <w:rsid w:val="0077779E"/>
    <w:rsid w:val="00787BFF"/>
    <w:rsid w:val="007A0371"/>
    <w:rsid w:val="007B5499"/>
    <w:rsid w:val="007D43CF"/>
    <w:rsid w:val="007E1FFD"/>
    <w:rsid w:val="007F58B0"/>
    <w:rsid w:val="007F5E23"/>
    <w:rsid w:val="00800680"/>
    <w:rsid w:val="008278F7"/>
    <w:rsid w:val="0083005A"/>
    <w:rsid w:val="00832CD7"/>
    <w:rsid w:val="008C260B"/>
    <w:rsid w:val="008E59BB"/>
    <w:rsid w:val="008F003B"/>
    <w:rsid w:val="00907A5F"/>
    <w:rsid w:val="0091382D"/>
    <w:rsid w:val="00930AB0"/>
    <w:rsid w:val="00941DCE"/>
    <w:rsid w:val="0098104D"/>
    <w:rsid w:val="009C4C05"/>
    <w:rsid w:val="009E7724"/>
    <w:rsid w:val="00A23CFA"/>
    <w:rsid w:val="00A266B5"/>
    <w:rsid w:val="00A35692"/>
    <w:rsid w:val="00A35FCC"/>
    <w:rsid w:val="00A549A9"/>
    <w:rsid w:val="00A55987"/>
    <w:rsid w:val="00A84153"/>
    <w:rsid w:val="00A928D2"/>
    <w:rsid w:val="00AB417D"/>
    <w:rsid w:val="00AC157E"/>
    <w:rsid w:val="00AD5A55"/>
    <w:rsid w:val="00AF5728"/>
    <w:rsid w:val="00B26526"/>
    <w:rsid w:val="00B50296"/>
    <w:rsid w:val="00B51915"/>
    <w:rsid w:val="00B56E76"/>
    <w:rsid w:val="00B65778"/>
    <w:rsid w:val="00B75943"/>
    <w:rsid w:val="00B775B0"/>
    <w:rsid w:val="00BA0C20"/>
    <w:rsid w:val="00BA64F9"/>
    <w:rsid w:val="00BB4BED"/>
    <w:rsid w:val="00BF4B9F"/>
    <w:rsid w:val="00C067BB"/>
    <w:rsid w:val="00C15792"/>
    <w:rsid w:val="00C32792"/>
    <w:rsid w:val="00C47A17"/>
    <w:rsid w:val="00C52F59"/>
    <w:rsid w:val="00C80978"/>
    <w:rsid w:val="00CA4C9F"/>
    <w:rsid w:val="00CB46FB"/>
    <w:rsid w:val="00CC1E96"/>
    <w:rsid w:val="00CF2EDC"/>
    <w:rsid w:val="00CF576A"/>
    <w:rsid w:val="00D150B8"/>
    <w:rsid w:val="00D434BB"/>
    <w:rsid w:val="00D86D29"/>
    <w:rsid w:val="00DB20B4"/>
    <w:rsid w:val="00DD3B00"/>
    <w:rsid w:val="00DE7B5A"/>
    <w:rsid w:val="00DF0C6D"/>
    <w:rsid w:val="00DF30A5"/>
    <w:rsid w:val="00E27B09"/>
    <w:rsid w:val="00E27B52"/>
    <w:rsid w:val="00E333F5"/>
    <w:rsid w:val="00E41BE1"/>
    <w:rsid w:val="00E45512"/>
    <w:rsid w:val="00E605F2"/>
    <w:rsid w:val="00E87785"/>
    <w:rsid w:val="00EC38B1"/>
    <w:rsid w:val="00ED0454"/>
    <w:rsid w:val="00ED55F8"/>
    <w:rsid w:val="00ED5D26"/>
    <w:rsid w:val="00EE5F0C"/>
    <w:rsid w:val="00F054B1"/>
    <w:rsid w:val="00F139D8"/>
    <w:rsid w:val="00F3756B"/>
    <w:rsid w:val="00F45A48"/>
    <w:rsid w:val="00F65645"/>
    <w:rsid w:val="00F7593E"/>
    <w:rsid w:val="00F769BA"/>
    <w:rsid w:val="00F87D3F"/>
    <w:rsid w:val="00F9264E"/>
    <w:rsid w:val="00FA0AED"/>
    <w:rsid w:val="00FB2522"/>
    <w:rsid w:val="00FD3C0F"/>
    <w:rsid w:val="00FD75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B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4A6AB6"/>
    <w:rPr>
      <w:rFonts w:ascii="Arial" w:hAnsi="Arial" w:cs="Arial"/>
      <w:sz w:val="24"/>
      <w:lang w:val="es-ES_tradnl" w:eastAsia="es-ES"/>
    </w:rPr>
  </w:style>
  <w:style w:type="paragraph" w:styleId="Corpsdetexte">
    <w:name w:val="Body Text"/>
    <w:basedOn w:val="Normal"/>
    <w:link w:val="CorpsdetexteCar"/>
    <w:rsid w:val="004A6AB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4A6AB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4A6AB6"/>
    <w:pPr>
      <w:tabs>
        <w:tab w:val="center" w:pos="4252"/>
        <w:tab w:val="right" w:pos="8504"/>
      </w:tabs>
    </w:pPr>
  </w:style>
  <w:style w:type="character" w:customStyle="1" w:styleId="PieddepageCar">
    <w:name w:val="Pied de page Car"/>
    <w:basedOn w:val="Policepardfaut"/>
    <w:link w:val="Pieddepage"/>
    <w:rsid w:val="004A6AB6"/>
    <w:rPr>
      <w:rFonts w:ascii="Times New Roman" w:eastAsia="Times New Roman" w:hAnsi="Times New Roman" w:cs="Times New Roman"/>
      <w:sz w:val="24"/>
      <w:szCs w:val="20"/>
      <w:lang w:val="es-ES_tradnl" w:eastAsia="es-ES"/>
    </w:rPr>
  </w:style>
  <w:style w:type="character" w:styleId="Numrodepage">
    <w:name w:val="page number"/>
    <w:basedOn w:val="Policepardfaut"/>
    <w:rsid w:val="004A6AB6"/>
  </w:style>
  <w:style w:type="paragraph" w:customStyle="1" w:styleId="Textoindependiente31">
    <w:name w:val="Texto independiente 31"/>
    <w:basedOn w:val="Normal"/>
    <w:rsid w:val="004A6AB6"/>
    <w:pPr>
      <w:spacing w:line="360" w:lineRule="auto"/>
      <w:jc w:val="both"/>
    </w:pPr>
    <w:rPr>
      <w:rFonts w:ascii="Arial" w:hAnsi="Arial"/>
    </w:rPr>
  </w:style>
  <w:style w:type="paragraph" w:customStyle="1" w:styleId="Prrafodelista2">
    <w:name w:val="Párrafo de lista2"/>
    <w:basedOn w:val="Normal"/>
    <w:rsid w:val="004A6AB6"/>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4A6AB6"/>
    <w:pPr>
      <w:ind w:left="708"/>
    </w:pPr>
  </w:style>
  <w:style w:type="paragraph" w:styleId="Sansinterligne">
    <w:name w:val="No Spacing"/>
    <w:uiPriority w:val="1"/>
    <w:qFormat/>
    <w:rsid w:val="004A6AB6"/>
    <w:pPr>
      <w:spacing w:after="0" w:line="240" w:lineRule="auto"/>
    </w:pPr>
    <w:rPr>
      <w:lang w:val="es-ES_tradnl"/>
    </w:rPr>
  </w:style>
  <w:style w:type="paragraph" w:styleId="En-tte">
    <w:name w:val="header"/>
    <w:basedOn w:val="Normal"/>
    <w:link w:val="En-tteCar"/>
    <w:uiPriority w:val="99"/>
    <w:unhideWhenUsed/>
    <w:rsid w:val="004A6AB6"/>
    <w:pPr>
      <w:tabs>
        <w:tab w:val="center" w:pos="4419"/>
        <w:tab w:val="right" w:pos="8838"/>
      </w:tabs>
    </w:pPr>
  </w:style>
  <w:style w:type="character" w:customStyle="1" w:styleId="En-tteCar">
    <w:name w:val="En-tête Car"/>
    <w:basedOn w:val="Policepardfaut"/>
    <w:link w:val="En-tte"/>
    <w:uiPriority w:val="99"/>
    <w:rsid w:val="004A6AB6"/>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769BA"/>
    <w:pPr>
      <w:spacing w:line="360" w:lineRule="auto"/>
      <w:jc w:val="both"/>
    </w:pPr>
    <w:rPr>
      <w:rFonts w:ascii="Arial" w:hAnsi="Arial"/>
    </w:rPr>
  </w:style>
  <w:style w:type="paragraph" w:styleId="Textedebulles">
    <w:name w:val="Balloon Text"/>
    <w:basedOn w:val="Normal"/>
    <w:link w:val="TextedebullesCar"/>
    <w:uiPriority w:val="99"/>
    <w:semiHidden/>
    <w:unhideWhenUsed/>
    <w:rsid w:val="008278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78F7"/>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B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4A6AB6"/>
    <w:rPr>
      <w:rFonts w:ascii="Arial" w:hAnsi="Arial" w:cs="Arial"/>
      <w:sz w:val="24"/>
      <w:lang w:val="es-ES_tradnl" w:eastAsia="es-ES"/>
    </w:rPr>
  </w:style>
  <w:style w:type="paragraph" w:styleId="Corpsdetexte">
    <w:name w:val="Body Text"/>
    <w:basedOn w:val="Normal"/>
    <w:link w:val="CorpsdetexteCar"/>
    <w:rsid w:val="004A6AB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4A6AB6"/>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4A6AB6"/>
    <w:pPr>
      <w:tabs>
        <w:tab w:val="center" w:pos="4252"/>
        <w:tab w:val="right" w:pos="8504"/>
      </w:tabs>
    </w:pPr>
  </w:style>
  <w:style w:type="character" w:customStyle="1" w:styleId="PieddepageCar">
    <w:name w:val="Pied de page Car"/>
    <w:basedOn w:val="Policepardfaut"/>
    <w:link w:val="Pieddepage"/>
    <w:rsid w:val="004A6AB6"/>
    <w:rPr>
      <w:rFonts w:ascii="Times New Roman" w:eastAsia="Times New Roman" w:hAnsi="Times New Roman" w:cs="Times New Roman"/>
      <w:sz w:val="24"/>
      <w:szCs w:val="20"/>
      <w:lang w:val="es-ES_tradnl" w:eastAsia="es-ES"/>
    </w:rPr>
  </w:style>
  <w:style w:type="character" w:styleId="Numrodepage">
    <w:name w:val="page number"/>
    <w:basedOn w:val="Policepardfaut"/>
    <w:rsid w:val="004A6AB6"/>
  </w:style>
  <w:style w:type="paragraph" w:customStyle="1" w:styleId="Textoindependiente31">
    <w:name w:val="Texto independiente 31"/>
    <w:basedOn w:val="Normal"/>
    <w:rsid w:val="004A6AB6"/>
    <w:pPr>
      <w:spacing w:line="360" w:lineRule="auto"/>
      <w:jc w:val="both"/>
    </w:pPr>
    <w:rPr>
      <w:rFonts w:ascii="Arial" w:hAnsi="Arial"/>
    </w:rPr>
  </w:style>
  <w:style w:type="paragraph" w:customStyle="1" w:styleId="Prrafodelista2">
    <w:name w:val="Párrafo de lista2"/>
    <w:basedOn w:val="Normal"/>
    <w:rsid w:val="004A6AB6"/>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4A6AB6"/>
    <w:pPr>
      <w:ind w:left="708"/>
    </w:pPr>
  </w:style>
  <w:style w:type="paragraph" w:styleId="Sansinterligne">
    <w:name w:val="No Spacing"/>
    <w:uiPriority w:val="1"/>
    <w:qFormat/>
    <w:rsid w:val="004A6AB6"/>
    <w:pPr>
      <w:spacing w:after="0" w:line="240" w:lineRule="auto"/>
    </w:pPr>
    <w:rPr>
      <w:lang w:val="es-ES_tradnl"/>
    </w:rPr>
  </w:style>
  <w:style w:type="paragraph" w:styleId="En-tte">
    <w:name w:val="header"/>
    <w:basedOn w:val="Normal"/>
    <w:link w:val="En-tteCar"/>
    <w:uiPriority w:val="99"/>
    <w:unhideWhenUsed/>
    <w:rsid w:val="004A6AB6"/>
    <w:pPr>
      <w:tabs>
        <w:tab w:val="center" w:pos="4419"/>
        <w:tab w:val="right" w:pos="8838"/>
      </w:tabs>
    </w:pPr>
  </w:style>
  <w:style w:type="character" w:customStyle="1" w:styleId="En-tteCar">
    <w:name w:val="En-tête Car"/>
    <w:basedOn w:val="Policepardfaut"/>
    <w:link w:val="En-tte"/>
    <w:uiPriority w:val="99"/>
    <w:rsid w:val="004A6AB6"/>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769BA"/>
    <w:pPr>
      <w:spacing w:line="360" w:lineRule="auto"/>
      <w:jc w:val="both"/>
    </w:pPr>
    <w:rPr>
      <w:rFonts w:ascii="Arial" w:hAnsi="Arial"/>
    </w:rPr>
  </w:style>
  <w:style w:type="paragraph" w:styleId="Textedebulles">
    <w:name w:val="Balloon Text"/>
    <w:basedOn w:val="Normal"/>
    <w:link w:val="TextedebullesCar"/>
    <w:uiPriority w:val="99"/>
    <w:semiHidden/>
    <w:unhideWhenUsed/>
    <w:rsid w:val="008278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78F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8628">
      <w:bodyDiv w:val="1"/>
      <w:marLeft w:val="0"/>
      <w:marRight w:val="0"/>
      <w:marTop w:val="0"/>
      <w:marBottom w:val="0"/>
      <w:divBdr>
        <w:top w:val="none" w:sz="0" w:space="0" w:color="auto"/>
        <w:left w:val="none" w:sz="0" w:space="0" w:color="auto"/>
        <w:bottom w:val="none" w:sz="0" w:space="0" w:color="auto"/>
        <w:right w:val="none" w:sz="0" w:space="0" w:color="auto"/>
      </w:divBdr>
    </w:div>
    <w:div w:id="941768604">
      <w:bodyDiv w:val="1"/>
      <w:marLeft w:val="0"/>
      <w:marRight w:val="0"/>
      <w:marTop w:val="0"/>
      <w:marBottom w:val="0"/>
      <w:divBdr>
        <w:top w:val="none" w:sz="0" w:space="0" w:color="auto"/>
        <w:left w:val="none" w:sz="0" w:space="0" w:color="auto"/>
        <w:bottom w:val="none" w:sz="0" w:space="0" w:color="auto"/>
        <w:right w:val="none" w:sz="0" w:space="0" w:color="auto"/>
      </w:divBdr>
    </w:div>
    <w:div w:id="1701276447">
      <w:bodyDiv w:val="1"/>
      <w:marLeft w:val="0"/>
      <w:marRight w:val="0"/>
      <w:marTop w:val="0"/>
      <w:marBottom w:val="0"/>
      <w:divBdr>
        <w:top w:val="none" w:sz="0" w:space="0" w:color="auto"/>
        <w:left w:val="none" w:sz="0" w:space="0" w:color="auto"/>
        <w:bottom w:val="none" w:sz="0" w:space="0" w:color="auto"/>
        <w:right w:val="none" w:sz="0" w:space="0" w:color="auto"/>
      </w:divBdr>
    </w:div>
    <w:div w:id="2097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12</Pages>
  <Words>3204</Words>
  <Characters>17624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25</cp:revision>
  <cp:lastPrinted>2017-01-25T21:08:00Z</cp:lastPrinted>
  <dcterms:created xsi:type="dcterms:W3CDTF">2017-01-11T14:08:00Z</dcterms:created>
  <dcterms:modified xsi:type="dcterms:W3CDTF">2017-05-04T19:57:00Z</dcterms:modified>
</cp:coreProperties>
</file>