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66" w:rsidRPr="0094372D" w:rsidRDefault="00297866" w:rsidP="0029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color w:val="222222"/>
          <w:sz w:val="16"/>
          <w:szCs w:val="16"/>
          <w:lang w:val="es-CO" w:eastAsia="fr-FR"/>
        </w:rPr>
      </w:pPr>
      <w:r w:rsidRPr="0094372D">
        <w:rPr>
          <w:rFonts w:ascii="Calibri" w:hAnsi="Calibri" w:cs="Calibr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verificado en el audio que reposa en la Secretaría de esta Sala.</w:t>
      </w:r>
      <w:r w:rsidRPr="0094372D">
        <w:rPr>
          <w:rFonts w:ascii="Calibri" w:hAnsi="Calibri" w:cs="Calibri"/>
          <w:color w:val="222222"/>
          <w:sz w:val="16"/>
          <w:szCs w:val="16"/>
          <w:lang w:val="es-CO" w:eastAsia="fr-FR"/>
        </w:rPr>
        <w:t> </w:t>
      </w:r>
    </w:p>
    <w:p w:rsidR="00297866" w:rsidRPr="00297866" w:rsidRDefault="00297866" w:rsidP="00297866">
      <w:pPr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</w:p>
    <w:p w:rsidR="00816396" w:rsidRPr="00297866" w:rsidRDefault="00816396" w:rsidP="00816396">
      <w:pPr>
        <w:spacing w:line="360" w:lineRule="auto"/>
        <w:jc w:val="both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  <w:r w:rsidRPr="00297866"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ORALIDAD</w:t>
      </w:r>
    </w:p>
    <w:p w:rsidR="00816396" w:rsidRPr="00291902" w:rsidRDefault="00816396" w:rsidP="00816396">
      <w:pPr>
        <w:jc w:val="both"/>
        <w:rPr>
          <w:rFonts w:ascii="Arial Narrow" w:hAnsi="Arial Narrow" w:cs="Arial"/>
          <w:sz w:val="18"/>
          <w:szCs w:val="18"/>
        </w:rPr>
      </w:pPr>
      <w:r w:rsidRPr="00291902">
        <w:rPr>
          <w:rFonts w:ascii="Arial Narrow" w:hAnsi="Arial Narrow" w:cs="Arial"/>
          <w:b/>
          <w:sz w:val="18"/>
          <w:szCs w:val="18"/>
        </w:rPr>
        <w:t>Providencia</w:t>
      </w:r>
      <w:r w:rsidRPr="00291902">
        <w:rPr>
          <w:rFonts w:ascii="Arial Narrow" w:hAnsi="Arial Narrow" w:cs="Arial"/>
          <w:sz w:val="18"/>
          <w:szCs w:val="18"/>
        </w:rPr>
        <w:t>:</w:t>
      </w:r>
      <w:r w:rsidRPr="00291902">
        <w:rPr>
          <w:rFonts w:ascii="Arial Narrow" w:hAnsi="Arial Narrow" w:cs="Arial"/>
          <w:b/>
          <w:sz w:val="18"/>
          <w:szCs w:val="18"/>
        </w:rPr>
        <w:t xml:space="preserve"> </w:t>
      </w:r>
      <w:r w:rsidRPr="00291902">
        <w:rPr>
          <w:rFonts w:ascii="Arial Narrow" w:hAnsi="Arial Narrow" w:cs="Arial"/>
          <w:sz w:val="18"/>
          <w:szCs w:val="18"/>
        </w:rPr>
        <w:tab/>
      </w:r>
      <w:r w:rsidRPr="00291902">
        <w:rPr>
          <w:rFonts w:ascii="Arial Narrow" w:hAnsi="Arial Narrow" w:cs="Arial"/>
          <w:sz w:val="18"/>
          <w:szCs w:val="18"/>
        </w:rPr>
        <w:tab/>
        <w:t xml:space="preserve">Sentencia de Segunda Instancia, jueves </w:t>
      </w:r>
      <w:r>
        <w:rPr>
          <w:rFonts w:ascii="Arial Narrow" w:hAnsi="Arial Narrow" w:cs="Arial"/>
          <w:sz w:val="18"/>
          <w:szCs w:val="18"/>
        </w:rPr>
        <w:t>26 de enero de 201</w:t>
      </w:r>
      <w:r w:rsidR="00297866">
        <w:rPr>
          <w:rFonts w:ascii="Arial Narrow" w:hAnsi="Arial Narrow" w:cs="Arial"/>
          <w:sz w:val="18"/>
          <w:szCs w:val="18"/>
        </w:rPr>
        <w:t>7</w:t>
      </w:r>
    </w:p>
    <w:p w:rsidR="00816396" w:rsidRPr="00291902" w:rsidRDefault="00816396" w:rsidP="00816396">
      <w:pPr>
        <w:jc w:val="both"/>
        <w:rPr>
          <w:rFonts w:ascii="Arial Narrow" w:hAnsi="Arial Narrow" w:cs="Arial"/>
          <w:bCs/>
          <w:iCs/>
          <w:sz w:val="18"/>
          <w:szCs w:val="18"/>
        </w:rPr>
      </w:pPr>
      <w:r w:rsidRPr="00291902">
        <w:rPr>
          <w:rFonts w:ascii="Arial Narrow" w:hAnsi="Arial Narrow" w:cs="Arial"/>
          <w:b/>
          <w:bCs/>
          <w:sz w:val="18"/>
          <w:szCs w:val="18"/>
        </w:rPr>
        <w:t>Radicación No</w:t>
      </w:r>
      <w:r w:rsidRPr="00291902">
        <w:rPr>
          <w:rFonts w:ascii="Arial Narrow" w:hAnsi="Arial Narrow" w:cs="Arial"/>
          <w:bCs/>
          <w:sz w:val="18"/>
          <w:szCs w:val="18"/>
        </w:rPr>
        <w:t>:</w:t>
      </w:r>
      <w:r w:rsidRPr="00291902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291902">
        <w:rPr>
          <w:rFonts w:ascii="Arial Narrow" w:hAnsi="Arial Narrow" w:cs="Arial"/>
          <w:b/>
          <w:bCs/>
          <w:sz w:val="18"/>
          <w:szCs w:val="18"/>
        </w:rPr>
        <w:tab/>
        <w:t xml:space="preserve">      </w:t>
      </w:r>
      <w:r w:rsidRPr="00291902">
        <w:rPr>
          <w:rFonts w:ascii="Arial Narrow" w:hAnsi="Arial Narrow" w:cs="Arial"/>
          <w:b/>
          <w:bCs/>
          <w:sz w:val="18"/>
          <w:szCs w:val="18"/>
        </w:rPr>
        <w:tab/>
      </w:r>
      <w:r w:rsidRPr="00291902">
        <w:rPr>
          <w:rFonts w:ascii="Arial Narrow" w:hAnsi="Arial Narrow" w:cs="Arial"/>
          <w:bCs/>
          <w:sz w:val="18"/>
          <w:szCs w:val="18"/>
        </w:rPr>
        <w:t>66001-31-05-00</w:t>
      </w:r>
      <w:r>
        <w:rPr>
          <w:rFonts w:ascii="Arial Narrow" w:hAnsi="Arial Narrow" w:cs="Arial"/>
          <w:bCs/>
          <w:sz w:val="18"/>
          <w:szCs w:val="18"/>
        </w:rPr>
        <w:t>1-2014-00682-01</w:t>
      </w:r>
    </w:p>
    <w:p w:rsidR="00816396" w:rsidRPr="00291902" w:rsidRDefault="00816396" w:rsidP="00816396">
      <w:pPr>
        <w:jc w:val="both"/>
        <w:rPr>
          <w:rFonts w:ascii="Arial Narrow" w:hAnsi="Arial Narrow" w:cs="Arial"/>
          <w:iCs/>
          <w:sz w:val="18"/>
          <w:szCs w:val="18"/>
        </w:rPr>
      </w:pPr>
      <w:r w:rsidRPr="00291902">
        <w:rPr>
          <w:rFonts w:ascii="Arial Narrow" w:hAnsi="Arial Narrow" w:cs="Arial"/>
          <w:b/>
          <w:bCs/>
          <w:iCs/>
          <w:sz w:val="18"/>
          <w:szCs w:val="18"/>
        </w:rPr>
        <w:t>Proceso</w:t>
      </w:r>
      <w:r w:rsidRPr="00291902">
        <w:rPr>
          <w:rFonts w:ascii="Arial Narrow" w:hAnsi="Arial Narrow" w:cs="Arial"/>
          <w:bCs/>
          <w:iCs/>
          <w:sz w:val="18"/>
          <w:szCs w:val="18"/>
        </w:rPr>
        <w:t>:</w:t>
      </w:r>
      <w:r w:rsidRPr="00291902">
        <w:rPr>
          <w:rFonts w:ascii="Arial Narrow" w:hAnsi="Arial Narrow" w:cs="Arial"/>
          <w:iCs/>
          <w:sz w:val="18"/>
          <w:szCs w:val="18"/>
        </w:rPr>
        <w:t xml:space="preserve"> </w:t>
      </w:r>
      <w:r w:rsidRPr="00291902">
        <w:rPr>
          <w:rFonts w:ascii="Arial Narrow" w:hAnsi="Arial Narrow" w:cs="Arial"/>
          <w:b/>
          <w:iCs/>
          <w:sz w:val="18"/>
          <w:szCs w:val="18"/>
        </w:rPr>
        <w:tab/>
      </w:r>
      <w:r w:rsidRPr="00291902">
        <w:rPr>
          <w:rFonts w:ascii="Arial Narrow" w:hAnsi="Arial Narrow" w:cs="Arial"/>
          <w:b/>
          <w:iCs/>
          <w:sz w:val="18"/>
          <w:szCs w:val="18"/>
        </w:rPr>
        <w:tab/>
      </w:r>
      <w:r w:rsidRPr="00291902">
        <w:rPr>
          <w:rFonts w:ascii="Arial Narrow" w:hAnsi="Arial Narrow" w:cs="Arial"/>
          <w:b/>
          <w:iCs/>
          <w:sz w:val="18"/>
          <w:szCs w:val="18"/>
        </w:rPr>
        <w:tab/>
      </w:r>
      <w:r w:rsidR="00297866">
        <w:rPr>
          <w:rFonts w:ascii="Arial Narrow" w:hAnsi="Arial Narrow" w:cs="Arial"/>
          <w:iCs/>
          <w:sz w:val="18"/>
          <w:szCs w:val="18"/>
        </w:rPr>
        <w:t>Ordinario Laboral – Confirma sentencia que accedió a las pretensiones</w:t>
      </w:r>
    </w:p>
    <w:p w:rsidR="00816396" w:rsidRPr="00291902" w:rsidRDefault="00816396" w:rsidP="00816396">
      <w:pPr>
        <w:ind w:firstLine="6"/>
        <w:jc w:val="both"/>
        <w:rPr>
          <w:rFonts w:ascii="Arial Narrow" w:hAnsi="Arial Narrow" w:cs="Arial"/>
          <w:bCs/>
          <w:sz w:val="18"/>
          <w:szCs w:val="18"/>
        </w:rPr>
      </w:pPr>
      <w:r w:rsidRPr="00291902">
        <w:rPr>
          <w:rFonts w:ascii="Arial Narrow" w:hAnsi="Arial Narrow" w:cs="Arial"/>
          <w:b/>
          <w:iCs/>
          <w:sz w:val="18"/>
          <w:szCs w:val="18"/>
        </w:rPr>
        <w:t>Demandante</w:t>
      </w:r>
      <w:r w:rsidRPr="00291902">
        <w:rPr>
          <w:rFonts w:ascii="Arial Narrow" w:hAnsi="Arial Narrow" w:cs="Arial"/>
          <w:iCs/>
          <w:sz w:val="18"/>
          <w:szCs w:val="18"/>
        </w:rPr>
        <w:t xml:space="preserve">:     </w:t>
      </w:r>
      <w:r w:rsidRPr="00291902">
        <w:rPr>
          <w:rFonts w:ascii="Arial Narrow" w:hAnsi="Arial Narrow" w:cs="Arial"/>
          <w:iCs/>
          <w:sz w:val="18"/>
          <w:szCs w:val="18"/>
        </w:rPr>
        <w:tab/>
      </w:r>
      <w:r w:rsidRPr="00291902"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 xml:space="preserve">Fernando Londoño Bermúdez  </w:t>
      </w:r>
    </w:p>
    <w:p w:rsidR="00816396" w:rsidRPr="00291902" w:rsidRDefault="00816396" w:rsidP="00816396">
      <w:pPr>
        <w:ind w:firstLine="6"/>
        <w:jc w:val="both"/>
        <w:rPr>
          <w:rFonts w:ascii="Arial Narrow" w:hAnsi="Arial Narrow" w:cs="Arial"/>
          <w:bCs/>
          <w:sz w:val="18"/>
          <w:szCs w:val="18"/>
        </w:rPr>
      </w:pPr>
      <w:r w:rsidRPr="00291902">
        <w:rPr>
          <w:rFonts w:ascii="Arial Narrow" w:hAnsi="Arial Narrow" w:cs="Arial"/>
          <w:b/>
          <w:bCs/>
          <w:sz w:val="18"/>
          <w:szCs w:val="18"/>
        </w:rPr>
        <w:t>Demandado:</w:t>
      </w:r>
      <w:r w:rsidRPr="00291902">
        <w:rPr>
          <w:rFonts w:ascii="Arial Narrow" w:hAnsi="Arial Narrow" w:cs="Arial"/>
          <w:bCs/>
          <w:sz w:val="18"/>
          <w:szCs w:val="18"/>
        </w:rPr>
        <w:t xml:space="preserve">            </w:t>
      </w:r>
      <w:r w:rsidRPr="00291902">
        <w:rPr>
          <w:rFonts w:ascii="Arial Narrow" w:hAnsi="Arial Narrow" w:cs="Arial"/>
          <w:bCs/>
          <w:sz w:val="18"/>
          <w:szCs w:val="18"/>
        </w:rPr>
        <w:tab/>
      </w:r>
      <w:r w:rsidRPr="00291902">
        <w:rPr>
          <w:rFonts w:ascii="Arial Narrow" w:hAnsi="Arial Narrow" w:cs="Arial"/>
          <w:bCs/>
          <w:sz w:val="18"/>
          <w:szCs w:val="18"/>
        </w:rPr>
        <w:tab/>
      </w:r>
      <w:proofErr w:type="spellStart"/>
      <w:r w:rsidRPr="00291902">
        <w:rPr>
          <w:rFonts w:ascii="Arial Narrow" w:hAnsi="Arial Narrow" w:cs="Arial"/>
          <w:bCs/>
          <w:sz w:val="18"/>
          <w:szCs w:val="18"/>
        </w:rPr>
        <w:t>Colpensiones</w:t>
      </w:r>
      <w:proofErr w:type="spellEnd"/>
    </w:p>
    <w:p w:rsidR="00816396" w:rsidRPr="00291902" w:rsidRDefault="00816396" w:rsidP="00816396">
      <w:pPr>
        <w:jc w:val="both"/>
        <w:rPr>
          <w:rFonts w:ascii="Arial Narrow" w:hAnsi="Arial Narrow" w:cs="Arial"/>
          <w:sz w:val="18"/>
          <w:szCs w:val="18"/>
        </w:rPr>
      </w:pPr>
      <w:r w:rsidRPr="00291902">
        <w:rPr>
          <w:rFonts w:ascii="Arial Narrow" w:hAnsi="Arial Narrow" w:cs="Arial"/>
          <w:b/>
          <w:sz w:val="18"/>
          <w:szCs w:val="18"/>
        </w:rPr>
        <w:t>Juzgado de origen</w:t>
      </w:r>
      <w:r w:rsidRPr="00291902">
        <w:rPr>
          <w:rFonts w:ascii="Arial Narrow" w:hAnsi="Arial Narrow" w:cs="Arial"/>
          <w:sz w:val="18"/>
          <w:szCs w:val="18"/>
        </w:rPr>
        <w:t xml:space="preserve">:     </w:t>
      </w:r>
      <w:r w:rsidRPr="00291902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Primero </w:t>
      </w:r>
      <w:r w:rsidRPr="00291902">
        <w:rPr>
          <w:rFonts w:ascii="Arial Narrow" w:hAnsi="Arial Narrow" w:cs="Arial"/>
          <w:sz w:val="18"/>
          <w:szCs w:val="18"/>
        </w:rPr>
        <w:t>Laboral del Circuito de Pereira.</w:t>
      </w:r>
    </w:p>
    <w:p w:rsidR="00816396" w:rsidRPr="005451CC" w:rsidRDefault="00816396" w:rsidP="00816396">
      <w:pPr>
        <w:jc w:val="both"/>
        <w:rPr>
          <w:rFonts w:ascii="Arial Narrow" w:hAnsi="Arial Narrow" w:cs="Arial"/>
          <w:b/>
          <w:iCs/>
          <w:sz w:val="18"/>
          <w:szCs w:val="18"/>
        </w:rPr>
      </w:pPr>
      <w:r w:rsidRPr="00291902">
        <w:rPr>
          <w:rFonts w:ascii="Arial Narrow" w:hAnsi="Arial Narrow" w:cs="Arial"/>
          <w:b/>
          <w:iCs/>
          <w:sz w:val="18"/>
          <w:szCs w:val="18"/>
        </w:rPr>
        <w:t xml:space="preserve">Magistrado Ponente:     </w:t>
      </w:r>
      <w:r w:rsidRPr="00291902">
        <w:rPr>
          <w:rFonts w:ascii="Arial Narrow" w:hAnsi="Arial Narrow" w:cs="Arial"/>
          <w:b/>
          <w:iCs/>
          <w:sz w:val="18"/>
          <w:szCs w:val="18"/>
        </w:rPr>
        <w:tab/>
      </w:r>
      <w:r w:rsidRPr="00291902">
        <w:rPr>
          <w:rFonts w:ascii="Arial Narrow" w:hAnsi="Arial Narrow" w:cs="Arial"/>
          <w:iCs/>
          <w:sz w:val="18"/>
          <w:szCs w:val="18"/>
        </w:rPr>
        <w:t xml:space="preserve">Francisco </w:t>
      </w:r>
      <w:r w:rsidRPr="005451CC">
        <w:rPr>
          <w:rFonts w:ascii="Arial Narrow" w:hAnsi="Arial Narrow" w:cs="Arial"/>
          <w:iCs/>
          <w:sz w:val="18"/>
          <w:szCs w:val="18"/>
        </w:rPr>
        <w:t>Javier Tamayo Tabares.</w:t>
      </w:r>
    </w:p>
    <w:p w:rsidR="00297866" w:rsidRDefault="00297866" w:rsidP="001975C9">
      <w:pPr>
        <w:ind w:left="2124" w:hanging="2124"/>
        <w:jc w:val="both"/>
        <w:rPr>
          <w:rFonts w:ascii="Arial Narrow" w:hAnsi="Arial Narrow"/>
          <w:b/>
          <w:bCs/>
          <w:sz w:val="18"/>
          <w:szCs w:val="18"/>
        </w:rPr>
      </w:pPr>
    </w:p>
    <w:p w:rsidR="001975C9" w:rsidRPr="001975C9" w:rsidRDefault="00816396" w:rsidP="00297866">
      <w:pPr>
        <w:ind w:firstLine="3"/>
        <w:jc w:val="both"/>
        <w:rPr>
          <w:rFonts w:ascii="Arial Narrow" w:hAnsi="Arial Narrow" w:cs="Arial"/>
          <w:sz w:val="18"/>
          <w:szCs w:val="18"/>
        </w:rPr>
      </w:pPr>
      <w:r w:rsidRPr="005451CC">
        <w:rPr>
          <w:rFonts w:ascii="Arial Narrow" w:hAnsi="Arial Narrow"/>
          <w:b/>
          <w:bCs/>
          <w:sz w:val="18"/>
          <w:szCs w:val="18"/>
        </w:rPr>
        <w:t xml:space="preserve">Tema a tratar: </w:t>
      </w:r>
      <w:r w:rsidRPr="005451CC">
        <w:rPr>
          <w:rFonts w:ascii="Arial Narrow" w:hAnsi="Arial Narrow"/>
          <w:b/>
          <w:bCs/>
          <w:sz w:val="18"/>
          <w:szCs w:val="18"/>
        </w:rPr>
        <w:tab/>
      </w:r>
      <w:r w:rsidR="00297866">
        <w:rPr>
          <w:rFonts w:ascii="Arial Narrow" w:hAnsi="Arial Narrow"/>
          <w:b/>
          <w:bCs/>
          <w:sz w:val="18"/>
          <w:szCs w:val="18"/>
        </w:rPr>
        <w:tab/>
        <w:t>COMPATIBILIDAD PENSIONAL.</w:t>
      </w:r>
      <w:r w:rsidR="00FE47BD" w:rsidRPr="001975C9">
        <w:rPr>
          <w:rFonts w:ascii="Arial Narrow" w:hAnsi="Arial Narrow"/>
          <w:bCs/>
          <w:sz w:val="18"/>
          <w:szCs w:val="18"/>
        </w:rPr>
        <w:t xml:space="preserve"> P</w:t>
      </w:r>
      <w:r w:rsidR="00FE47BD" w:rsidRPr="001975C9">
        <w:rPr>
          <w:rFonts w:ascii="Arial Narrow" w:hAnsi="Arial Narrow" w:cs="Arial"/>
          <w:bCs/>
          <w:sz w:val="18"/>
          <w:szCs w:val="18"/>
        </w:rPr>
        <w:t>ara</w:t>
      </w:r>
      <w:r w:rsidR="00FE47BD" w:rsidRPr="00FE47BD">
        <w:rPr>
          <w:rFonts w:ascii="Arial Narrow" w:hAnsi="Arial Narrow" w:cs="Arial"/>
          <w:bCs/>
          <w:sz w:val="18"/>
          <w:szCs w:val="18"/>
        </w:rPr>
        <w:t xml:space="preserve"> aquellos docentes nacionales, nacionalizados y territoriales, vinculados al servicio educativo oficial con anterioridad al 27 de junio de 2003, fecha de entrada en vigencia la Ley 812 de 2003, mantiene</w:t>
      </w:r>
      <w:r w:rsidR="001975C9">
        <w:rPr>
          <w:rFonts w:ascii="Arial Narrow" w:hAnsi="Arial Narrow"/>
          <w:bCs/>
          <w:sz w:val="18"/>
          <w:szCs w:val="18"/>
        </w:rPr>
        <w:t>n</w:t>
      </w:r>
      <w:r w:rsidR="00FE47BD" w:rsidRPr="00FE47BD">
        <w:rPr>
          <w:rFonts w:ascii="Arial Narrow" w:hAnsi="Arial Narrow" w:cs="Arial"/>
          <w:bCs/>
          <w:sz w:val="18"/>
          <w:szCs w:val="18"/>
        </w:rPr>
        <w:t xml:space="preserve"> el régimen exceptuado de la Ley 100 de 1993, conservándose para los mismos el sistema pensional previsto en la Ley 91 de 1989. En tales condiciones, nada obsta que se pertenezca a este contingente de docentes, esto es, con vinculación anterior al 27 de junio de 2003, y que al mismo tiempo, se efectúen aportes al ISS, en calidad de docente particular con anterioridad o posterioridad a la entrada en vigencia la Ley 100 de 1993.</w:t>
      </w:r>
      <w:r w:rsidR="001975C9">
        <w:rPr>
          <w:rFonts w:ascii="Arial Narrow" w:hAnsi="Arial Narrow"/>
          <w:bCs/>
          <w:sz w:val="18"/>
          <w:szCs w:val="18"/>
        </w:rPr>
        <w:t xml:space="preserve"> </w:t>
      </w:r>
      <w:r w:rsidR="001975C9" w:rsidRPr="001975C9">
        <w:rPr>
          <w:rFonts w:ascii="Arial Narrow" w:hAnsi="Arial Narrow" w:cs="Arial"/>
          <w:sz w:val="18"/>
          <w:szCs w:val="18"/>
        </w:rPr>
        <w:t>Dada esa posibilidad de prestación coetánea de servicios como docente para el Estado, con vinculación anterior al 27 de junio de 2003, y para particulares, se abre la senda para que simultáneamente se hagan aportes al ISS, y se logre con base en los mismos, la financiación para la obtención de una pensión de vejez o en su defecto la indemnización sustitutiva o devolución de saldos, con independencia de la pensión de jubilación que ya disfrute o esté en vías de obtener, en el sector público, como docente, gracias a que cada una cuenta con recursos propios para su financiación.</w:t>
      </w:r>
    </w:p>
    <w:p w:rsidR="00816396" w:rsidRDefault="00816396" w:rsidP="00FE47BD">
      <w:pPr>
        <w:pStyle w:val="Corpsdetexte"/>
        <w:ind w:left="2124" w:hanging="2124"/>
        <w:rPr>
          <w:rFonts w:ascii="Arial Narrow" w:hAnsi="Arial Narrow"/>
          <w:bCs/>
          <w:sz w:val="18"/>
          <w:szCs w:val="18"/>
        </w:rPr>
      </w:pPr>
    </w:p>
    <w:p w:rsidR="00FE47BD" w:rsidRPr="00FE47BD" w:rsidRDefault="00FE47BD" w:rsidP="00FE47BD">
      <w:pPr>
        <w:pStyle w:val="Corpsdetexte"/>
        <w:ind w:left="2124" w:hanging="2124"/>
        <w:rPr>
          <w:sz w:val="18"/>
          <w:szCs w:val="18"/>
          <w:highlight w:val="yellow"/>
        </w:rPr>
      </w:pPr>
    </w:p>
    <w:p w:rsidR="00816396" w:rsidRPr="00B02E05" w:rsidRDefault="00816396" w:rsidP="00816396">
      <w:pPr>
        <w:spacing w:line="360" w:lineRule="auto"/>
        <w:ind w:left="2127" w:hanging="1276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i/>
          <w:sz w:val="18"/>
          <w:szCs w:val="18"/>
        </w:rPr>
        <w:t xml:space="preserve"> </w:t>
      </w:r>
      <w:r w:rsidRPr="00B02E05">
        <w:rPr>
          <w:rFonts w:ascii="Arial Narrow" w:hAnsi="Arial Narrow" w:cs="Arial"/>
          <w:b/>
          <w:sz w:val="28"/>
          <w:szCs w:val="28"/>
          <w:u w:val="single"/>
        </w:rPr>
        <w:t>AUDIENCIA PÚBLICA</w:t>
      </w:r>
      <w:r w:rsidRPr="00B02E05">
        <w:rPr>
          <w:rFonts w:ascii="Arial Narrow" w:hAnsi="Arial Narrow" w:cs="Arial"/>
          <w:b/>
          <w:sz w:val="28"/>
          <w:szCs w:val="28"/>
        </w:rPr>
        <w:t>:</w:t>
      </w:r>
    </w:p>
    <w:p w:rsidR="00816396" w:rsidRPr="00951140" w:rsidRDefault="00816396" w:rsidP="00816396">
      <w:pPr>
        <w:pStyle w:val="Sansinterligne"/>
      </w:pPr>
    </w:p>
    <w:p w:rsidR="00816396" w:rsidRPr="00B02E05" w:rsidRDefault="00816396" w:rsidP="00816396">
      <w:pPr>
        <w:spacing w:line="360" w:lineRule="auto"/>
        <w:ind w:firstLine="851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B02E05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En Pereira, a 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los veintiséis </w:t>
      </w:r>
      <w:r w:rsidRPr="00B02E05">
        <w:rPr>
          <w:rFonts w:ascii="Arial Narrow" w:eastAsia="Calibri" w:hAnsi="Arial Narrow" w:cs="Arial"/>
          <w:sz w:val="28"/>
          <w:szCs w:val="28"/>
          <w:lang w:val="es-CO" w:eastAsia="en-US"/>
        </w:rPr>
        <w:t>(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>26</w:t>
      </w:r>
      <w:r w:rsidRPr="00B02E05">
        <w:rPr>
          <w:rFonts w:ascii="Arial Narrow" w:eastAsia="Calibri" w:hAnsi="Arial Narrow" w:cs="Arial"/>
          <w:sz w:val="28"/>
          <w:szCs w:val="28"/>
          <w:lang w:val="es-CO" w:eastAsia="en-US"/>
        </w:rPr>
        <w:t>) días del mes de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enero de dos mil diecisiete (</w:t>
      </w:r>
      <w:r w:rsidRPr="00B02E05">
        <w:rPr>
          <w:rFonts w:ascii="Arial Narrow" w:eastAsia="Calibri" w:hAnsi="Arial Narrow" w:cs="Arial"/>
          <w:sz w:val="28"/>
          <w:szCs w:val="28"/>
          <w:lang w:val="es-CO" w:eastAsia="en-US"/>
        </w:rPr>
        <w:t>201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>7</w:t>
      </w:r>
      <w:r w:rsidRPr="00B02E05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), siendo las 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>diez y treinta minutos de la mañana (10:30 a.m.)</w:t>
      </w:r>
      <w:r w:rsidRPr="00B02E05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, </w:t>
      </w:r>
      <w:r w:rsidRPr="00B02E05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>reunidos en la Sala de Audiencia la</w:t>
      </w:r>
      <w:r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>s</w:t>
      </w:r>
      <w:r w:rsidRPr="00B02E05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 xml:space="preserve"> magistrada</w:t>
      </w:r>
      <w:r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 xml:space="preserve">s y el suscrito magistrado </w:t>
      </w:r>
      <w:r w:rsidRPr="00B02E05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 xml:space="preserve">de la Sala Laboral del Tribunal Superior de Pereira, el ponente declara formalmente abierto el acto, que tiene por objeto resolver el </w:t>
      </w:r>
      <w:r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 xml:space="preserve">grado jurisdiccional de consulta </w:t>
      </w:r>
      <w:r w:rsidRPr="00B02E05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 xml:space="preserve">frente a </w:t>
      </w:r>
      <w:r w:rsidRPr="00B02E05">
        <w:rPr>
          <w:rFonts w:ascii="Arial Narrow" w:hAnsi="Arial Narrow" w:cs="Arial"/>
          <w:sz w:val="28"/>
          <w:szCs w:val="28"/>
        </w:rPr>
        <w:t xml:space="preserve">la sentencia proferida el </w:t>
      </w:r>
      <w:r w:rsidR="001B019D">
        <w:rPr>
          <w:rFonts w:ascii="Arial Narrow" w:hAnsi="Arial Narrow" w:cs="Arial"/>
          <w:sz w:val="28"/>
          <w:szCs w:val="28"/>
        </w:rPr>
        <w:t xml:space="preserve">11 de </w:t>
      </w:r>
      <w:r w:rsidR="003C00FF">
        <w:rPr>
          <w:rFonts w:ascii="Arial Narrow" w:hAnsi="Arial Narrow" w:cs="Arial"/>
          <w:sz w:val="28"/>
          <w:szCs w:val="28"/>
        </w:rPr>
        <w:t xml:space="preserve">febrero de 2016 </w:t>
      </w:r>
      <w:r>
        <w:rPr>
          <w:rFonts w:ascii="Arial Narrow" w:hAnsi="Arial Narrow" w:cs="Arial"/>
          <w:sz w:val="28"/>
          <w:szCs w:val="28"/>
        </w:rPr>
        <w:t>p</w:t>
      </w:r>
      <w:r w:rsidRPr="00B02E05">
        <w:rPr>
          <w:rFonts w:ascii="Arial Narrow" w:hAnsi="Arial Narrow" w:cs="Arial"/>
          <w:sz w:val="28"/>
          <w:szCs w:val="28"/>
        </w:rPr>
        <w:t xml:space="preserve">or el Juzgado </w:t>
      </w:r>
      <w:r>
        <w:rPr>
          <w:rFonts w:ascii="Arial Narrow" w:hAnsi="Arial Narrow" w:cs="Arial"/>
          <w:sz w:val="28"/>
          <w:szCs w:val="28"/>
        </w:rPr>
        <w:t xml:space="preserve">Primero </w:t>
      </w:r>
      <w:r w:rsidRPr="00B02E05">
        <w:rPr>
          <w:rFonts w:ascii="Arial Narrow" w:hAnsi="Arial Narrow" w:cs="Arial"/>
          <w:sz w:val="28"/>
          <w:szCs w:val="28"/>
        </w:rPr>
        <w:t xml:space="preserve">Laboral del Circuito de Pereira, dentro del proceso ordinario laboral promovido por </w:t>
      </w:r>
      <w:r w:rsidR="003C00FF">
        <w:rPr>
          <w:rFonts w:ascii="Arial Narrow" w:hAnsi="Arial Narrow" w:cs="Arial"/>
          <w:b/>
          <w:i/>
          <w:iCs/>
          <w:sz w:val="28"/>
          <w:szCs w:val="28"/>
        </w:rPr>
        <w:t xml:space="preserve">Fernando Londoño Bermúdez </w:t>
      </w:r>
      <w:r w:rsidRPr="00B02E05">
        <w:rPr>
          <w:rFonts w:ascii="Arial Narrow" w:hAnsi="Arial Narrow" w:cs="Arial"/>
          <w:sz w:val="28"/>
          <w:szCs w:val="28"/>
        </w:rPr>
        <w:t>contra la</w:t>
      </w:r>
      <w:r w:rsidRPr="00B02E05">
        <w:rPr>
          <w:rFonts w:ascii="Arial Narrow" w:hAnsi="Arial Narrow" w:cs="Arial"/>
          <w:b/>
          <w:sz w:val="28"/>
          <w:szCs w:val="28"/>
        </w:rPr>
        <w:t xml:space="preserve"> </w:t>
      </w:r>
      <w:r w:rsidRPr="00B02E05">
        <w:rPr>
          <w:rFonts w:ascii="Arial Narrow" w:hAnsi="Arial Narrow" w:cs="Arial"/>
          <w:b/>
          <w:i/>
          <w:sz w:val="28"/>
          <w:szCs w:val="28"/>
        </w:rPr>
        <w:t>Adminis</w:t>
      </w:r>
      <w:r>
        <w:rPr>
          <w:rFonts w:ascii="Arial Narrow" w:hAnsi="Arial Narrow" w:cs="Arial"/>
          <w:b/>
          <w:i/>
          <w:sz w:val="28"/>
          <w:szCs w:val="28"/>
        </w:rPr>
        <w:t>tradora Colombiana de Pensiones</w:t>
      </w:r>
      <w:r w:rsidRPr="00B02E05">
        <w:rPr>
          <w:rFonts w:ascii="Arial Narrow" w:hAnsi="Arial Narrow" w:cs="Arial"/>
          <w:b/>
          <w:i/>
          <w:sz w:val="28"/>
          <w:szCs w:val="28"/>
        </w:rPr>
        <w:t xml:space="preserve"> </w:t>
      </w:r>
      <w:proofErr w:type="spellStart"/>
      <w:r w:rsidRPr="00B02E05">
        <w:rPr>
          <w:rFonts w:ascii="Arial Narrow" w:hAnsi="Arial Narrow" w:cs="Arial"/>
          <w:b/>
          <w:i/>
          <w:sz w:val="28"/>
          <w:szCs w:val="28"/>
        </w:rPr>
        <w:t>Colpensiones</w:t>
      </w:r>
      <w:proofErr w:type="spellEnd"/>
      <w:r w:rsidRPr="00B02E05">
        <w:rPr>
          <w:rFonts w:ascii="Arial Narrow" w:hAnsi="Arial Narrow" w:cs="Arial"/>
          <w:b/>
          <w:sz w:val="28"/>
          <w:szCs w:val="28"/>
        </w:rPr>
        <w:t>.</w:t>
      </w:r>
    </w:p>
    <w:p w:rsidR="00816396" w:rsidRDefault="00816396" w:rsidP="001975C9">
      <w:pPr>
        <w:pStyle w:val="Sansinterligne"/>
        <w:spacing w:line="276" w:lineRule="auto"/>
      </w:pPr>
    </w:p>
    <w:p w:rsidR="00816396" w:rsidRPr="00B02E05" w:rsidRDefault="00816396" w:rsidP="00816396">
      <w:pPr>
        <w:shd w:val="clear" w:color="auto" w:fill="FFFFFF"/>
        <w:spacing w:line="360" w:lineRule="atLeast"/>
        <w:ind w:firstLine="708"/>
        <w:jc w:val="both"/>
        <w:rPr>
          <w:rFonts w:ascii="Arial Narrow" w:hAnsi="Arial Narrow" w:cs="Tahoma"/>
          <w:b/>
          <w:bCs/>
          <w:color w:val="000000"/>
          <w:sz w:val="28"/>
          <w:szCs w:val="28"/>
          <w:lang w:eastAsia="es-CO"/>
        </w:rPr>
      </w:pPr>
      <w:r w:rsidRPr="00B02E05">
        <w:rPr>
          <w:rFonts w:ascii="Arial Narrow" w:hAnsi="Arial Narrow" w:cs="Tahoma"/>
          <w:b/>
          <w:bCs/>
          <w:color w:val="000000"/>
          <w:sz w:val="28"/>
          <w:szCs w:val="28"/>
          <w:lang w:eastAsia="es-CO"/>
        </w:rPr>
        <w:t>IDENTIFICACIÓN DE LOS PRESENTES:</w:t>
      </w:r>
    </w:p>
    <w:p w:rsidR="00816396" w:rsidRPr="00B02E05" w:rsidRDefault="00816396" w:rsidP="00816396">
      <w:pPr>
        <w:shd w:val="clear" w:color="auto" w:fill="FFFFFF"/>
        <w:spacing w:line="360" w:lineRule="atLeast"/>
        <w:jc w:val="both"/>
        <w:rPr>
          <w:rFonts w:ascii="Arial Narrow" w:hAnsi="Arial Narrow" w:cs="Tahoma"/>
          <w:b/>
          <w:bCs/>
          <w:color w:val="000000"/>
          <w:sz w:val="28"/>
          <w:szCs w:val="28"/>
          <w:lang w:eastAsia="es-CO"/>
        </w:rPr>
      </w:pPr>
    </w:p>
    <w:p w:rsidR="00816396" w:rsidRPr="00145342" w:rsidRDefault="00816396" w:rsidP="00816396">
      <w:pPr>
        <w:pStyle w:val="Paragraphedeliste"/>
        <w:numPr>
          <w:ilvl w:val="0"/>
          <w:numId w:val="1"/>
        </w:numPr>
        <w:spacing w:line="360" w:lineRule="auto"/>
        <w:rPr>
          <w:rFonts w:ascii="Arial Narrow" w:hAnsi="Arial Narrow" w:cs="Tahoma"/>
          <w:b/>
          <w:sz w:val="28"/>
          <w:szCs w:val="28"/>
        </w:rPr>
      </w:pPr>
      <w:r w:rsidRPr="00145342">
        <w:rPr>
          <w:rFonts w:ascii="Arial Narrow" w:hAnsi="Arial Narrow" w:cs="Tahoma"/>
          <w:b/>
          <w:i/>
          <w:sz w:val="28"/>
          <w:szCs w:val="28"/>
        </w:rPr>
        <w:t>INTRODUCCIÓN</w:t>
      </w:r>
    </w:p>
    <w:p w:rsidR="00816396" w:rsidRPr="000A6EA4" w:rsidRDefault="00816396" w:rsidP="00816396">
      <w:pPr>
        <w:pStyle w:val="Sansinterligne"/>
      </w:pPr>
    </w:p>
    <w:p w:rsidR="00816396" w:rsidRDefault="00816396" w:rsidP="00816396">
      <w:pPr>
        <w:spacing w:line="360" w:lineRule="auto"/>
        <w:ind w:firstLine="900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Persigue el demandante que se declare que tiene derecho a</w:t>
      </w:r>
      <w:r w:rsidR="003C00FF">
        <w:rPr>
          <w:rFonts w:ascii="Arial Narrow" w:hAnsi="Arial Narrow" w:cs="Tahoma"/>
          <w:sz w:val="28"/>
          <w:szCs w:val="28"/>
        </w:rPr>
        <w:t xml:space="preserve">l reconocimiento </w:t>
      </w:r>
      <w:r w:rsidR="00407A7F">
        <w:rPr>
          <w:rFonts w:ascii="Arial Narrow" w:hAnsi="Arial Narrow" w:cs="Tahoma"/>
          <w:sz w:val="28"/>
          <w:szCs w:val="28"/>
        </w:rPr>
        <w:t xml:space="preserve">de </w:t>
      </w:r>
      <w:r>
        <w:rPr>
          <w:rFonts w:ascii="Arial Narrow" w:hAnsi="Arial Narrow" w:cs="Tahoma"/>
          <w:sz w:val="28"/>
          <w:szCs w:val="28"/>
        </w:rPr>
        <w:t>la indemnización sustitutiva</w:t>
      </w:r>
      <w:r w:rsidR="00E11278">
        <w:rPr>
          <w:rFonts w:ascii="Arial Narrow" w:hAnsi="Arial Narrow" w:cs="Tahoma"/>
          <w:sz w:val="28"/>
          <w:szCs w:val="28"/>
        </w:rPr>
        <w:t xml:space="preserve"> de la pensión de vejez</w:t>
      </w:r>
      <w:r>
        <w:rPr>
          <w:rFonts w:ascii="Arial Narrow" w:hAnsi="Arial Narrow" w:cs="Tahoma"/>
          <w:sz w:val="28"/>
          <w:szCs w:val="28"/>
        </w:rPr>
        <w:t xml:space="preserve"> con base en </w:t>
      </w:r>
      <w:r w:rsidR="003C00FF">
        <w:rPr>
          <w:rFonts w:ascii="Arial Narrow" w:hAnsi="Arial Narrow" w:cs="Tahoma"/>
          <w:sz w:val="28"/>
          <w:szCs w:val="28"/>
        </w:rPr>
        <w:t>545.09</w:t>
      </w:r>
      <w:r>
        <w:rPr>
          <w:rFonts w:ascii="Arial Narrow" w:hAnsi="Arial Narrow" w:cs="Tahoma"/>
          <w:sz w:val="28"/>
          <w:szCs w:val="28"/>
        </w:rPr>
        <w:t xml:space="preserve"> semanas cotizadas, </w:t>
      </w:r>
      <w:r w:rsidR="003C00FF">
        <w:rPr>
          <w:rFonts w:ascii="Arial Narrow" w:hAnsi="Arial Narrow" w:cs="Tahoma"/>
          <w:sz w:val="28"/>
          <w:szCs w:val="28"/>
        </w:rPr>
        <w:t xml:space="preserve">y </w:t>
      </w:r>
      <w:r w:rsidR="00407A7F">
        <w:rPr>
          <w:rFonts w:ascii="Arial Narrow" w:hAnsi="Arial Narrow" w:cs="Tahoma"/>
          <w:sz w:val="28"/>
          <w:szCs w:val="28"/>
        </w:rPr>
        <w:t xml:space="preserve">como consecuencia de ello, se condene a la entidad demandada a cancelarla en cuantía de $ 15`695.900, junto con los intereses de mora o en subsidio la indexación de la condena,  </w:t>
      </w:r>
      <w:r>
        <w:rPr>
          <w:rFonts w:ascii="Arial Narrow" w:hAnsi="Arial Narrow" w:cs="Tahoma"/>
          <w:sz w:val="28"/>
          <w:szCs w:val="28"/>
        </w:rPr>
        <w:t>más las costas del proceso.</w:t>
      </w:r>
    </w:p>
    <w:p w:rsidR="00816396" w:rsidRPr="00AE4573" w:rsidRDefault="00816396" w:rsidP="00AE4573">
      <w:pPr>
        <w:pStyle w:val="Sansinterligne"/>
      </w:pPr>
    </w:p>
    <w:p w:rsidR="00407A7F" w:rsidRDefault="00816396" w:rsidP="00816396">
      <w:pPr>
        <w:spacing w:line="360" w:lineRule="auto"/>
        <w:ind w:firstLine="900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Como fundamento a sus peticiones expone</w:t>
      </w:r>
      <w:r w:rsidR="00407A7F">
        <w:rPr>
          <w:rFonts w:ascii="Arial Narrow" w:hAnsi="Arial Narrow" w:cs="Tahoma"/>
          <w:sz w:val="28"/>
          <w:szCs w:val="28"/>
        </w:rPr>
        <w:t xml:space="preserve"> que nació el 9 de octubre de 1952; que se desempeñó como docente y </w:t>
      </w:r>
      <w:r w:rsidR="0060780B">
        <w:rPr>
          <w:rFonts w:ascii="Arial Narrow" w:hAnsi="Arial Narrow" w:cs="Tahoma"/>
          <w:sz w:val="28"/>
          <w:szCs w:val="28"/>
        </w:rPr>
        <w:t xml:space="preserve">es pensionado de </w:t>
      </w:r>
      <w:proofErr w:type="spellStart"/>
      <w:r w:rsidR="0060780B">
        <w:rPr>
          <w:rFonts w:ascii="Arial Narrow" w:hAnsi="Arial Narrow" w:cs="Tahoma"/>
          <w:sz w:val="28"/>
          <w:szCs w:val="28"/>
        </w:rPr>
        <w:t>Cajanal</w:t>
      </w:r>
      <w:proofErr w:type="spellEnd"/>
      <w:r w:rsidR="0060780B">
        <w:rPr>
          <w:rFonts w:ascii="Arial Narrow" w:hAnsi="Arial Narrow" w:cs="Tahoma"/>
          <w:sz w:val="28"/>
          <w:szCs w:val="28"/>
        </w:rPr>
        <w:t xml:space="preserve"> por los tiempos laborados y cotizados en el sector público; que también se desempeñó com</w:t>
      </w:r>
      <w:r w:rsidR="00C62C22">
        <w:rPr>
          <w:rFonts w:ascii="Arial Narrow" w:hAnsi="Arial Narrow" w:cs="Tahoma"/>
          <w:sz w:val="28"/>
          <w:szCs w:val="28"/>
        </w:rPr>
        <w:t xml:space="preserve">o docente </w:t>
      </w:r>
      <w:r w:rsidR="00C62C22">
        <w:rPr>
          <w:rFonts w:ascii="Arial Narrow" w:hAnsi="Arial Narrow" w:cs="Tahoma"/>
          <w:sz w:val="28"/>
          <w:szCs w:val="28"/>
        </w:rPr>
        <w:lastRenderedPageBreak/>
        <w:t>en el sector privado, y que</w:t>
      </w:r>
      <w:r w:rsidR="00E24B19">
        <w:rPr>
          <w:rFonts w:ascii="Arial Narrow" w:hAnsi="Arial Narrow" w:cs="Tahoma"/>
          <w:sz w:val="28"/>
          <w:szCs w:val="28"/>
        </w:rPr>
        <w:t xml:space="preserve"> sufragó </w:t>
      </w:r>
      <w:r w:rsidR="00C62C22">
        <w:rPr>
          <w:rFonts w:ascii="Arial Narrow" w:hAnsi="Arial Narrow" w:cs="Tahoma"/>
          <w:sz w:val="28"/>
          <w:szCs w:val="28"/>
        </w:rPr>
        <w:t xml:space="preserve">un total de 545.09 semanas </w:t>
      </w:r>
      <w:r w:rsidR="00E24B19">
        <w:rPr>
          <w:rFonts w:ascii="Arial Narrow" w:hAnsi="Arial Narrow" w:cs="Tahoma"/>
          <w:sz w:val="28"/>
          <w:szCs w:val="28"/>
        </w:rPr>
        <w:t xml:space="preserve">de aportes </w:t>
      </w:r>
      <w:r w:rsidR="00C62C22">
        <w:rPr>
          <w:rFonts w:ascii="Arial Narrow" w:hAnsi="Arial Narrow" w:cs="Tahoma"/>
          <w:sz w:val="28"/>
          <w:szCs w:val="28"/>
        </w:rPr>
        <w:t>en</w:t>
      </w:r>
      <w:r w:rsidR="00A73E87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="00A73E87">
        <w:rPr>
          <w:rFonts w:ascii="Arial Narrow" w:hAnsi="Arial Narrow" w:cs="Tahoma"/>
          <w:sz w:val="28"/>
          <w:szCs w:val="28"/>
        </w:rPr>
        <w:t>Colpensiones</w:t>
      </w:r>
      <w:proofErr w:type="spellEnd"/>
      <w:r w:rsidR="00A73E87">
        <w:rPr>
          <w:rFonts w:ascii="Arial Narrow" w:hAnsi="Arial Narrow" w:cs="Tahoma"/>
          <w:sz w:val="28"/>
          <w:szCs w:val="28"/>
        </w:rPr>
        <w:t xml:space="preserve">. Por último, indica </w:t>
      </w:r>
      <w:r w:rsidR="00C62C22">
        <w:rPr>
          <w:rFonts w:ascii="Arial Narrow" w:hAnsi="Arial Narrow" w:cs="Tahoma"/>
          <w:sz w:val="28"/>
          <w:szCs w:val="28"/>
        </w:rPr>
        <w:t xml:space="preserve">que el 4 de abril de 2013 solicitó ante la entidad accionada el reconocimiento y pago de la indemnización sustitutiva, </w:t>
      </w:r>
      <w:r w:rsidR="00F47816">
        <w:rPr>
          <w:rFonts w:ascii="Arial Narrow" w:hAnsi="Arial Narrow" w:cs="Tahoma"/>
          <w:sz w:val="28"/>
          <w:szCs w:val="28"/>
        </w:rPr>
        <w:t xml:space="preserve">pero le </w:t>
      </w:r>
      <w:r w:rsidR="00A73E87">
        <w:rPr>
          <w:rFonts w:ascii="Arial Narrow" w:hAnsi="Arial Narrow" w:cs="Tahoma"/>
          <w:sz w:val="28"/>
          <w:szCs w:val="28"/>
        </w:rPr>
        <w:t xml:space="preserve">fue negada </w:t>
      </w:r>
      <w:r w:rsidR="00C62C22">
        <w:rPr>
          <w:rFonts w:ascii="Arial Narrow" w:hAnsi="Arial Narrow" w:cs="Tahoma"/>
          <w:sz w:val="28"/>
          <w:szCs w:val="28"/>
        </w:rPr>
        <w:t>mediante Resoluci</w:t>
      </w:r>
      <w:r w:rsidR="00A73E87">
        <w:rPr>
          <w:rFonts w:ascii="Arial Narrow" w:hAnsi="Arial Narrow" w:cs="Tahoma"/>
          <w:sz w:val="28"/>
          <w:szCs w:val="28"/>
        </w:rPr>
        <w:t>ón No. GNR 198456 del 2013, con el argumento de que los tiempos cotizados tanto en el sector público como en el privado</w:t>
      </w:r>
      <w:r w:rsidR="00F47816">
        <w:rPr>
          <w:rFonts w:ascii="Arial Narrow" w:hAnsi="Arial Narrow" w:cs="Tahoma"/>
          <w:sz w:val="28"/>
          <w:szCs w:val="28"/>
        </w:rPr>
        <w:t xml:space="preserve">, debían ser </w:t>
      </w:r>
      <w:r w:rsidR="00A73E87">
        <w:rPr>
          <w:rFonts w:ascii="Arial Narrow" w:hAnsi="Arial Narrow" w:cs="Tahoma"/>
          <w:sz w:val="28"/>
          <w:szCs w:val="28"/>
        </w:rPr>
        <w:t>utilizados para financiar la pensi</w:t>
      </w:r>
      <w:r w:rsidR="00E24B19">
        <w:rPr>
          <w:rFonts w:ascii="Arial Narrow" w:hAnsi="Arial Narrow" w:cs="Tahoma"/>
          <w:sz w:val="28"/>
          <w:szCs w:val="28"/>
        </w:rPr>
        <w:t>ón,</w:t>
      </w:r>
      <w:r w:rsidR="00F47816">
        <w:rPr>
          <w:rFonts w:ascii="Arial Narrow" w:hAnsi="Arial Narrow" w:cs="Tahoma"/>
          <w:sz w:val="28"/>
          <w:szCs w:val="28"/>
        </w:rPr>
        <w:t xml:space="preserve"> </w:t>
      </w:r>
      <w:r w:rsidR="00CD5ACD">
        <w:rPr>
          <w:rFonts w:ascii="Arial Narrow" w:hAnsi="Arial Narrow" w:cs="Tahoma"/>
          <w:sz w:val="28"/>
          <w:szCs w:val="28"/>
        </w:rPr>
        <w:t xml:space="preserve">desconociéndose con ello </w:t>
      </w:r>
      <w:r w:rsidR="00E24B19">
        <w:rPr>
          <w:rFonts w:ascii="Arial Narrow" w:hAnsi="Arial Narrow" w:cs="Tahoma"/>
          <w:sz w:val="28"/>
          <w:szCs w:val="28"/>
        </w:rPr>
        <w:t>que el Fondo Nacional de Prestaciones Sociales del Magisterio, no tuvo en cuenta para el reconocimiento de la p</w:t>
      </w:r>
      <w:r w:rsidR="00F47816">
        <w:rPr>
          <w:rFonts w:ascii="Arial Narrow" w:hAnsi="Arial Narrow" w:cs="Tahoma"/>
          <w:sz w:val="28"/>
          <w:szCs w:val="28"/>
        </w:rPr>
        <w:t>ensión vitalicia de jubilación, dichos tiempos laborados en el sector privado.</w:t>
      </w:r>
    </w:p>
    <w:p w:rsidR="00816396" w:rsidRPr="00AE4573" w:rsidRDefault="00816396" w:rsidP="00AE4573">
      <w:pPr>
        <w:pStyle w:val="Sansinterligne"/>
      </w:pPr>
    </w:p>
    <w:p w:rsidR="00816396" w:rsidRDefault="00A73E87" w:rsidP="00816396">
      <w:pPr>
        <w:spacing w:line="360" w:lineRule="auto"/>
        <w:ind w:firstLine="900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En la respuesta allegada por la entidad demandada, ésta se opuso a las pret</w:t>
      </w:r>
      <w:r w:rsidR="00A7733F">
        <w:rPr>
          <w:rFonts w:ascii="Arial Narrow" w:hAnsi="Arial Narrow" w:cs="Tahoma"/>
          <w:sz w:val="28"/>
          <w:szCs w:val="28"/>
        </w:rPr>
        <w:t xml:space="preserve">ensiones, </w:t>
      </w:r>
      <w:r w:rsidR="00857138">
        <w:rPr>
          <w:rFonts w:ascii="Arial Narrow" w:hAnsi="Arial Narrow" w:cs="Tahoma"/>
          <w:sz w:val="28"/>
          <w:szCs w:val="28"/>
        </w:rPr>
        <w:t xml:space="preserve">exponiendo idénticos argumentos a los planteados en </w:t>
      </w:r>
      <w:r w:rsidR="00CD5ACD">
        <w:rPr>
          <w:rFonts w:ascii="Arial Narrow" w:hAnsi="Arial Narrow" w:cs="Tahoma"/>
          <w:sz w:val="28"/>
          <w:szCs w:val="28"/>
        </w:rPr>
        <w:t xml:space="preserve">el acto administrativo que negó el derecho. </w:t>
      </w:r>
      <w:r w:rsidR="00245372">
        <w:rPr>
          <w:rFonts w:ascii="Arial Narrow" w:hAnsi="Arial Narrow" w:cs="Tahoma"/>
          <w:sz w:val="28"/>
          <w:szCs w:val="28"/>
        </w:rPr>
        <w:t>En su defensa, formuló como excepciones de fondo “</w:t>
      </w:r>
      <w:r w:rsidR="00816396">
        <w:rPr>
          <w:rFonts w:ascii="Arial Narrow" w:hAnsi="Arial Narrow" w:cs="Tahoma"/>
          <w:sz w:val="28"/>
          <w:szCs w:val="28"/>
        </w:rPr>
        <w:t xml:space="preserve">Inexistencia de la obligación demandada” y “Prescripción”. </w:t>
      </w:r>
    </w:p>
    <w:p w:rsidR="00816396" w:rsidRDefault="00816396" w:rsidP="00816396">
      <w:pPr>
        <w:spacing w:line="360" w:lineRule="auto"/>
        <w:jc w:val="both"/>
        <w:rPr>
          <w:rFonts w:ascii="Arial Narrow" w:hAnsi="Arial Narrow" w:cs="Tahoma"/>
          <w:sz w:val="28"/>
          <w:szCs w:val="28"/>
        </w:rPr>
      </w:pPr>
    </w:p>
    <w:p w:rsidR="00816396" w:rsidRDefault="00816396" w:rsidP="00816396">
      <w:pPr>
        <w:pStyle w:val="Paragraphedeliste"/>
        <w:numPr>
          <w:ilvl w:val="0"/>
          <w:numId w:val="1"/>
        </w:numPr>
        <w:jc w:val="both"/>
        <w:rPr>
          <w:rFonts w:ascii="Arial Narrow" w:hAnsi="Arial Narrow" w:cs="Tahoma"/>
          <w:b/>
          <w:i/>
          <w:sz w:val="28"/>
          <w:szCs w:val="28"/>
        </w:rPr>
      </w:pPr>
      <w:r>
        <w:rPr>
          <w:rFonts w:ascii="Arial Narrow" w:hAnsi="Arial Narrow" w:cs="Tahoma"/>
          <w:b/>
          <w:i/>
          <w:sz w:val="28"/>
          <w:szCs w:val="28"/>
        </w:rPr>
        <w:t>SENTENCIA DEL JUZGADO</w:t>
      </w:r>
    </w:p>
    <w:p w:rsidR="00F47816" w:rsidRPr="00F47816" w:rsidRDefault="00F47816" w:rsidP="00F47816">
      <w:pPr>
        <w:ind w:left="851"/>
        <w:jc w:val="both"/>
        <w:rPr>
          <w:rFonts w:ascii="Arial Narrow" w:hAnsi="Arial Narrow" w:cs="Tahoma"/>
          <w:b/>
          <w:i/>
          <w:sz w:val="28"/>
          <w:szCs w:val="28"/>
        </w:rPr>
      </w:pPr>
    </w:p>
    <w:p w:rsidR="00816396" w:rsidRPr="00AE4573" w:rsidRDefault="00816396" w:rsidP="00AE4573">
      <w:pPr>
        <w:pStyle w:val="Sansinterligne"/>
      </w:pPr>
    </w:p>
    <w:p w:rsidR="00816396" w:rsidRDefault="00816396" w:rsidP="00816396">
      <w:pPr>
        <w:shd w:val="clear" w:color="auto" w:fill="FFFFFF"/>
        <w:spacing w:line="360" w:lineRule="auto"/>
        <w:ind w:firstLine="851"/>
        <w:jc w:val="both"/>
        <w:rPr>
          <w:rFonts w:ascii="Arial Narrow" w:hAnsi="Arial Narrow" w:cs="Tahoma"/>
          <w:color w:val="000000"/>
          <w:sz w:val="28"/>
          <w:szCs w:val="28"/>
          <w:lang w:eastAsia="es-CO"/>
        </w:rPr>
      </w:pPr>
      <w:r w:rsidRPr="00B02E05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El Juzgado </w:t>
      </w:r>
      <w:r w:rsidR="0041456B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de conocimiento mediante fallo del 11 de febrero de 2011, accedió a las pretensiones de la demanda, al declarar que el demandante tiene derecho a que </w:t>
      </w:r>
      <w:proofErr w:type="spellStart"/>
      <w:r w:rsidR="0041456B">
        <w:rPr>
          <w:rFonts w:ascii="Arial Narrow" w:hAnsi="Arial Narrow" w:cs="Tahoma"/>
          <w:color w:val="000000"/>
          <w:sz w:val="28"/>
          <w:szCs w:val="28"/>
          <w:lang w:eastAsia="es-CO"/>
        </w:rPr>
        <w:t>Colpensiones</w:t>
      </w:r>
      <w:proofErr w:type="spellEnd"/>
      <w:r w:rsidR="0041456B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le reconozca la indemnización sustitutiva de la pensión de vejez, por los periodos cotizados entre el 18 de noviembre de 1967 y el 30 de abril de 2002, </w:t>
      </w:r>
      <w:r w:rsidR="00E921B9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los cuales </w:t>
      </w:r>
      <w:r w:rsidR="0041456B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ascienden a 487.74 semanas. En consecuencia, condenó a la entidad demandada a cancelar la mentada indemnización en el término de un (1) mes </w:t>
      </w:r>
      <w:r w:rsidR="00B666A3">
        <w:rPr>
          <w:rFonts w:ascii="Arial Narrow" w:hAnsi="Arial Narrow" w:cs="Tahoma"/>
          <w:color w:val="000000"/>
          <w:sz w:val="28"/>
          <w:szCs w:val="28"/>
          <w:lang w:eastAsia="es-CO"/>
        </w:rPr>
        <w:t>contado a partir de la presentación de la cuenta de cobro o los documentos requeridos para el efecto. Así mismo, la condenó al pago de los intereses de mora a la tasa máxima legal prevista en el artículo 1617 del C.C., a partir del vencimiento del término ant</w:t>
      </w:r>
      <w:r w:rsidR="00E921B9">
        <w:rPr>
          <w:rFonts w:ascii="Arial Narrow" w:hAnsi="Arial Narrow" w:cs="Tahoma"/>
          <w:color w:val="000000"/>
          <w:sz w:val="28"/>
          <w:szCs w:val="28"/>
          <w:lang w:eastAsia="es-CO"/>
        </w:rPr>
        <w:t>es referido y, a</w:t>
      </w:r>
      <w:r w:rsidR="00B666A3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las costas del proceso. </w:t>
      </w:r>
      <w:r>
        <w:rPr>
          <w:rFonts w:ascii="Arial Narrow" w:hAnsi="Arial Narrow" w:cs="Tahoma"/>
          <w:color w:val="000000"/>
          <w:sz w:val="28"/>
          <w:szCs w:val="28"/>
          <w:lang w:eastAsia="es-CO"/>
        </w:rPr>
        <w:t>Declaró no probadas las excepciones prop</w:t>
      </w:r>
      <w:r w:rsidR="00E921B9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uestas por la accionada. </w:t>
      </w:r>
    </w:p>
    <w:p w:rsidR="00AE4573" w:rsidRPr="00C179CC" w:rsidRDefault="00AE4573" w:rsidP="00C179CC">
      <w:pPr>
        <w:pStyle w:val="Sansinterligne"/>
      </w:pPr>
    </w:p>
    <w:p w:rsidR="00C179CC" w:rsidRPr="00DC3A5C" w:rsidRDefault="00AE4573" w:rsidP="00EE753D">
      <w:pPr>
        <w:spacing w:line="360" w:lineRule="auto"/>
        <w:ind w:firstLine="900"/>
        <w:jc w:val="both"/>
        <w:rPr>
          <w:rFonts w:ascii="Arial Narrow" w:hAnsi="Arial Narrow" w:cs="Tahoma"/>
          <w:i/>
          <w:iCs/>
          <w:sz w:val="28"/>
          <w:szCs w:val="28"/>
        </w:rPr>
      </w:pPr>
      <w:r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Para el efecto, </w:t>
      </w:r>
      <w:r w:rsidR="003624A4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sostuvo que </w:t>
      </w:r>
      <w:r w:rsidR="00C179CC">
        <w:rPr>
          <w:rFonts w:ascii="Arial Narrow" w:hAnsi="Arial Narrow" w:cs="Tahoma"/>
          <w:color w:val="000000"/>
          <w:sz w:val="28"/>
          <w:szCs w:val="28"/>
          <w:lang w:eastAsia="es-CO"/>
        </w:rPr>
        <w:t>el demandante se encuentra en el contingente de personas pertenecientes al régimen e</w:t>
      </w:r>
      <w:r w:rsidR="00C179CC" w:rsidRPr="006D24F1">
        <w:rPr>
          <w:rFonts w:ascii="Arial Narrow" w:hAnsi="Arial Narrow" w:cs="Tahoma"/>
          <w:sz w:val="28"/>
          <w:szCs w:val="28"/>
        </w:rPr>
        <w:t>xceptuado,</w:t>
      </w:r>
      <w:r w:rsidR="00C179CC">
        <w:rPr>
          <w:rFonts w:ascii="Arial Narrow" w:hAnsi="Arial Narrow" w:cs="Tahoma"/>
          <w:sz w:val="28"/>
          <w:szCs w:val="28"/>
        </w:rPr>
        <w:t xml:space="preserve"> de conformidad con el artículo 279 de la Constitución Pol</w:t>
      </w:r>
      <w:r w:rsidR="00857138">
        <w:rPr>
          <w:rFonts w:ascii="Arial Narrow" w:hAnsi="Arial Narrow" w:cs="Tahoma"/>
          <w:sz w:val="28"/>
          <w:szCs w:val="28"/>
        </w:rPr>
        <w:t>ítica</w:t>
      </w:r>
      <w:r w:rsidR="00C179CC">
        <w:rPr>
          <w:rFonts w:ascii="Arial Narrow" w:hAnsi="Arial Narrow" w:cs="Tahoma"/>
          <w:sz w:val="28"/>
          <w:szCs w:val="28"/>
        </w:rPr>
        <w:t xml:space="preserve"> y la Ley 812 de 2003, por lo que </w:t>
      </w:r>
      <w:r w:rsidR="00C179CC" w:rsidRPr="009B41D1">
        <w:rPr>
          <w:rFonts w:ascii="Arial Narrow" w:hAnsi="Arial Narrow" w:cs="Arial"/>
          <w:sz w:val="28"/>
          <w:szCs w:val="28"/>
        </w:rPr>
        <w:t>la pensión de jubilación que</w:t>
      </w:r>
      <w:r w:rsidR="00857138">
        <w:rPr>
          <w:rFonts w:ascii="Arial Narrow" w:hAnsi="Arial Narrow" w:cs="Arial"/>
          <w:sz w:val="28"/>
          <w:szCs w:val="28"/>
        </w:rPr>
        <w:t xml:space="preserve"> en la actualidad </w:t>
      </w:r>
      <w:r w:rsidR="00C179CC">
        <w:rPr>
          <w:rFonts w:ascii="Arial Narrow" w:hAnsi="Arial Narrow" w:cs="Arial"/>
          <w:sz w:val="28"/>
          <w:szCs w:val="28"/>
        </w:rPr>
        <w:t xml:space="preserve">recibe es compatible con las prestaciones derivadas del </w:t>
      </w:r>
      <w:r w:rsidR="00EE753D" w:rsidRPr="006D24F1">
        <w:rPr>
          <w:rFonts w:ascii="Arial Narrow" w:hAnsi="Arial Narrow" w:cs="Tahoma"/>
          <w:sz w:val="28"/>
          <w:szCs w:val="28"/>
        </w:rPr>
        <w:t>modelo general del Si</w:t>
      </w:r>
      <w:r w:rsidR="00857138">
        <w:rPr>
          <w:rFonts w:ascii="Arial Narrow" w:hAnsi="Arial Narrow" w:cs="Tahoma"/>
          <w:sz w:val="28"/>
          <w:szCs w:val="28"/>
        </w:rPr>
        <w:t>stema Integral de la Ley 100/93, como es, la indemnización sustitutiva de la pensión de vejez que prevé su artículo 37.</w:t>
      </w:r>
    </w:p>
    <w:p w:rsidR="00816396" w:rsidRPr="00AD7B28" w:rsidRDefault="00816396" w:rsidP="00816396">
      <w:pPr>
        <w:shd w:val="clear" w:color="auto" w:fill="FFFFFF"/>
        <w:spacing w:line="360" w:lineRule="auto"/>
        <w:ind w:firstLine="851"/>
        <w:jc w:val="both"/>
        <w:rPr>
          <w:rFonts w:ascii="Arial Narrow" w:hAnsi="Arial Narrow" w:cs="Tahoma"/>
          <w:b/>
          <w:i/>
          <w:color w:val="000000"/>
          <w:sz w:val="28"/>
          <w:szCs w:val="28"/>
          <w:lang w:eastAsia="es-CO"/>
        </w:rPr>
      </w:pPr>
      <w:r w:rsidRPr="00AD7B28">
        <w:rPr>
          <w:rFonts w:ascii="Arial Narrow" w:hAnsi="Arial Narrow" w:cs="Tahoma"/>
          <w:b/>
          <w:i/>
          <w:color w:val="000000"/>
          <w:sz w:val="28"/>
          <w:szCs w:val="28"/>
          <w:lang w:eastAsia="es-CO"/>
        </w:rPr>
        <w:lastRenderedPageBreak/>
        <w:t xml:space="preserve">III. </w:t>
      </w:r>
      <w:r>
        <w:rPr>
          <w:rFonts w:ascii="Arial Narrow" w:hAnsi="Arial Narrow" w:cs="Tahoma"/>
          <w:b/>
          <w:i/>
          <w:color w:val="000000"/>
          <w:sz w:val="28"/>
          <w:szCs w:val="28"/>
          <w:lang w:eastAsia="es-CO"/>
        </w:rPr>
        <w:t>CONSULTA</w:t>
      </w:r>
    </w:p>
    <w:p w:rsidR="00816396" w:rsidRPr="00E921B9" w:rsidRDefault="00816396" w:rsidP="00E921B9">
      <w:pPr>
        <w:pStyle w:val="Sansinterligne"/>
      </w:pPr>
    </w:p>
    <w:p w:rsidR="001D419E" w:rsidRDefault="00816396" w:rsidP="00816396">
      <w:pPr>
        <w:shd w:val="clear" w:color="auto" w:fill="FFFFFF"/>
        <w:spacing w:line="360" w:lineRule="auto"/>
        <w:ind w:firstLine="851"/>
        <w:jc w:val="both"/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</w:pPr>
      <w:r w:rsidRPr="00837F13"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  <w:t xml:space="preserve">Teniendo en cuenta que la decisión fue adversa a los intereses de </w:t>
      </w:r>
      <w:proofErr w:type="spellStart"/>
      <w:r w:rsidRPr="00837F13"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  <w:t>Colpensiones</w:t>
      </w:r>
      <w:proofErr w:type="spellEnd"/>
      <w:r w:rsidRPr="00837F13"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  <w:t>, se remitió la decisión para que se surta el grado jurisdiccional de consulta, tal como lo manda el artículo 69 del C.P.T y S.S.</w:t>
      </w:r>
    </w:p>
    <w:p w:rsidR="00816396" w:rsidRPr="00837F13" w:rsidRDefault="00816396" w:rsidP="00816396">
      <w:pPr>
        <w:shd w:val="clear" w:color="auto" w:fill="FFFFFF"/>
        <w:spacing w:line="360" w:lineRule="auto"/>
        <w:ind w:firstLine="851"/>
        <w:jc w:val="both"/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</w:pPr>
      <w:r w:rsidRPr="00837F13"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  <w:t xml:space="preserve"> </w:t>
      </w:r>
    </w:p>
    <w:p w:rsidR="00816396" w:rsidRPr="00B02E05" w:rsidRDefault="00816396" w:rsidP="00816396">
      <w:pPr>
        <w:shd w:val="clear" w:color="auto" w:fill="FFFFFF"/>
        <w:tabs>
          <w:tab w:val="left" w:pos="5197"/>
        </w:tabs>
        <w:spacing w:line="360" w:lineRule="auto"/>
        <w:ind w:firstLine="851"/>
        <w:jc w:val="both"/>
        <w:rPr>
          <w:rFonts w:ascii="Arial Narrow" w:hAnsi="Arial Narrow" w:cs="Tahoma"/>
          <w:color w:val="000000"/>
          <w:sz w:val="28"/>
          <w:szCs w:val="28"/>
          <w:lang w:eastAsia="es-CO"/>
        </w:rPr>
      </w:pPr>
      <w:r w:rsidRPr="00B02E05">
        <w:rPr>
          <w:rFonts w:ascii="Arial Narrow" w:hAnsi="Arial Narrow" w:cs="Tahoma"/>
          <w:b/>
          <w:i/>
          <w:sz w:val="28"/>
          <w:szCs w:val="28"/>
        </w:rPr>
        <w:t>Del problema jurídico.</w:t>
      </w:r>
    </w:p>
    <w:p w:rsidR="00816396" w:rsidRPr="00AE253C" w:rsidRDefault="00816396" w:rsidP="00816396">
      <w:pPr>
        <w:pStyle w:val="Sansinterligne"/>
      </w:pPr>
    </w:p>
    <w:p w:rsidR="00816396" w:rsidRDefault="00816396" w:rsidP="00816396">
      <w:pPr>
        <w:shd w:val="clear" w:color="auto" w:fill="FFFFFF"/>
        <w:tabs>
          <w:tab w:val="left" w:pos="5197"/>
        </w:tabs>
        <w:spacing w:line="360" w:lineRule="auto"/>
        <w:ind w:firstLine="851"/>
        <w:jc w:val="both"/>
        <w:rPr>
          <w:rFonts w:ascii="Arial Narrow" w:hAnsi="Arial Narrow" w:cs="Tahoma"/>
          <w:color w:val="000000"/>
          <w:sz w:val="28"/>
          <w:szCs w:val="28"/>
          <w:lang w:eastAsia="es-CO"/>
        </w:rPr>
      </w:pPr>
      <w:r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Plantea la Sala como </w:t>
      </w:r>
      <w:r w:rsidRPr="00B02E05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problema jurídico </w:t>
      </w:r>
      <w:r>
        <w:rPr>
          <w:rFonts w:ascii="Arial Narrow" w:hAnsi="Arial Narrow" w:cs="Tahoma"/>
          <w:color w:val="000000"/>
          <w:sz w:val="28"/>
          <w:szCs w:val="28"/>
          <w:lang w:eastAsia="es-CO"/>
        </w:rPr>
        <w:t>el siguiente</w:t>
      </w:r>
      <w:r w:rsidRPr="00B02E05">
        <w:rPr>
          <w:rFonts w:ascii="Arial Narrow" w:hAnsi="Arial Narrow" w:cs="Tahoma"/>
          <w:color w:val="000000"/>
          <w:sz w:val="28"/>
          <w:szCs w:val="28"/>
          <w:lang w:eastAsia="es-CO"/>
        </w:rPr>
        <w:t>:</w:t>
      </w:r>
    </w:p>
    <w:p w:rsidR="00B75ACD" w:rsidRPr="00B00CA1" w:rsidRDefault="00B75ACD" w:rsidP="00B00CA1">
      <w:pPr>
        <w:pStyle w:val="Sansinterligne"/>
      </w:pPr>
    </w:p>
    <w:p w:rsidR="00B75ACD" w:rsidRPr="00B00CA1" w:rsidRDefault="00B75ACD" w:rsidP="001D419E">
      <w:pPr>
        <w:shd w:val="clear" w:color="auto" w:fill="FFFFFF"/>
        <w:tabs>
          <w:tab w:val="left" w:pos="5197"/>
        </w:tabs>
        <w:ind w:firstLine="851"/>
        <w:jc w:val="both"/>
        <w:rPr>
          <w:rFonts w:ascii="Arial Narrow" w:hAnsi="Arial Narrow" w:cs="Tahoma"/>
          <w:i/>
          <w:color w:val="000000"/>
          <w:sz w:val="28"/>
          <w:szCs w:val="28"/>
          <w:lang w:eastAsia="es-CO"/>
        </w:rPr>
      </w:pPr>
      <w:r w:rsidRPr="00B00CA1">
        <w:rPr>
          <w:rFonts w:ascii="Arial Narrow" w:hAnsi="Arial Narrow" w:cs="Tahoma"/>
          <w:i/>
          <w:color w:val="000000"/>
          <w:sz w:val="28"/>
          <w:szCs w:val="28"/>
          <w:lang w:eastAsia="es-CO"/>
        </w:rPr>
        <w:t xml:space="preserve">¿Es compatible </w:t>
      </w:r>
      <w:r w:rsidR="00B00CA1" w:rsidRPr="00B00CA1">
        <w:rPr>
          <w:rFonts w:ascii="Arial Narrow" w:hAnsi="Arial Narrow" w:cs="Tahoma"/>
          <w:i/>
          <w:color w:val="000000"/>
          <w:sz w:val="28"/>
          <w:szCs w:val="28"/>
          <w:lang w:eastAsia="es-CO"/>
        </w:rPr>
        <w:t>la pensión gracia</w:t>
      </w:r>
      <w:r w:rsidR="006012FC" w:rsidRPr="00B00CA1">
        <w:rPr>
          <w:rFonts w:ascii="Arial Narrow" w:hAnsi="Arial Narrow" w:cs="Tahoma"/>
          <w:i/>
          <w:color w:val="000000"/>
          <w:sz w:val="28"/>
          <w:szCs w:val="28"/>
          <w:lang w:eastAsia="es-CO"/>
        </w:rPr>
        <w:t xml:space="preserve"> </w:t>
      </w:r>
      <w:r w:rsidRPr="00B00CA1">
        <w:rPr>
          <w:rFonts w:ascii="Arial Narrow" w:hAnsi="Arial Narrow" w:cs="Tahoma"/>
          <w:i/>
          <w:color w:val="000000"/>
          <w:sz w:val="28"/>
          <w:szCs w:val="28"/>
          <w:lang w:eastAsia="es-CO"/>
        </w:rPr>
        <w:t xml:space="preserve"> reconocida por </w:t>
      </w:r>
      <w:proofErr w:type="spellStart"/>
      <w:r w:rsidRPr="00B00CA1">
        <w:rPr>
          <w:rFonts w:ascii="Arial Narrow" w:hAnsi="Arial Narrow" w:cs="Tahoma"/>
          <w:i/>
          <w:color w:val="000000"/>
          <w:sz w:val="28"/>
          <w:szCs w:val="28"/>
          <w:lang w:eastAsia="es-CO"/>
        </w:rPr>
        <w:t>Cajanal</w:t>
      </w:r>
      <w:proofErr w:type="spellEnd"/>
      <w:r w:rsidR="00B00CA1" w:rsidRPr="00B00CA1">
        <w:rPr>
          <w:rFonts w:ascii="Arial Narrow" w:hAnsi="Arial Narrow" w:cs="Tahoma"/>
          <w:i/>
          <w:color w:val="000000"/>
          <w:sz w:val="28"/>
          <w:szCs w:val="28"/>
          <w:lang w:eastAsia="es-CO"/>
        </w:rPr>
        <w:t xml:space="preserve"> con la indemnización sustitutiva de vejez que reconoce el régimen de prima media con prestación definida</w:t>
      </w:r>
      <w:r w:rsidRPr="00B00CA1">
        <w:rPr>
          <w:rFonts w:ascii="Arial Narrow" w:hAnsi="Arial Narrow" w:cs="Tahoma"/>
          <w:i/>
          <w:color w:val="000000"/>
          <w:sz w:val="28"/>
          <w:szCs w:val="28"/>
          <w:lang w:eastAsia="es-CO"/>
        </w:rPr>
        <w:t>?</w:t>
      </w:r>
    </w:p>
    <w:p w:rsidR="00816396" w:rsidRPr="00E921B9" w:rsidRDefault="00816396" w:rsidP="001D419E">
      <w:pPr>
        <w:pStyle w:val="Sansinterligne"/>
      </w:pPr>
    </w:p>
    <w:p w:rsidR="00816396" w:rsidRDefault="00816396" w:rsidP="001D419E">
      <w:pPr>
        <w:pStyle w:val="Sansinterligne"/>
        <w:ind w:firstLine="708"/>
        <w:jc w:val="both"/>
        <w:rPr>
          <w:rFonts w:ascii="Arial Narrow" w:hAnsi="Arial Narrow"/>
          <w:i/>
          <w:sz w:val="28"/>
          <w:szCs w:val="26"/>
        </w:rPr>
      </w:pPr>
      <w:r w:rsidRPr="00090E92">
        <w:rPr>
          <w:rFonts w:ascii="Arial Narrow" w:hAnsi="Arial Narrow"/>
          <w:i/>
          <w:sz w:val="28"/>
          <w:szCs w:val="26"/>
        </w:rPr>
        <w:t>¿</w:t>
      </w:r>
      <w:r w:rsidR="00B00CA1">
        <w:rPr>
          <w:rFonts w:ascii="Arial Narrow" w:hAnsi="Arial Narrow"/>
          <w:i/>
          <w:sz w:val="28"/>
          <w:szCs w:val="26"/>
        </w:rPr>
        <w:t xml:space="preserve">Tiene derecho el demandante a dicha </w:t>
      </w:r>
      <w:r>
        <w:rPr>
          <w:rFonts w:ascii="Arial Narrow" w:hAnsi="Arial Narrow"/>
          <w:i/>
          <w:sz w:val="28"/>
          <w:szCs w:val="26"/>
        </w:rPr>
        <w:t>indemnización sustitutiva?</w:t>
      </w:r>
    </w:p>
    <w:p w:rsidR="00816396" w:rsidRDefault="00816396" w:rsidP="00545542">
      <w:pPr>
        <w:pStyle w:val="Sansinterligne"/>
      </w:pPr>
    </w:p>
    <w:p w:rsidR="001D419E" w:rsidRPr="00545542" w:rsidRDefault="001D419E" w:rsidP="00545542">
      <w:pPr>
        <w:pStyle w:val="Sansinterligne"/>
      </w:pPr>
    </w:p>
    <w:p w:rsidR="00816396" w:rsidRDefault="00816396" w:rsidP="00816396">
      <w:pPr>
        <w:tabs>
          <w:tab w:val="left" w:pos="0"/>
          <w:tab w:val="left" w:pos="8647"/>
        </w:tabs>
        <w:suppressAutoHyphens/>
        <w:spacing w:line="360" w:lineRule="auto"/>
        <w:ind w:firstLine="900"/>
        <w:jc w:val="both"/>
        <w:rPr>
          <w:rFonts w:ascii="Arial Narrow" w:hAnsi="Arial Narrow" w:cs="Tahoma"/>
          <w:sz w:val="28"/>
          <w:szCs w:val="28"/>
        </w:rPr>
      </w:pPr>
      <w:r w:rsidRPr="005E25EA">
        <w:rPr>
          <w:rFonts w:ascii="Arial Narrow" w:hAnsi="Arial Narrow" w:cs="Tahoma"/>
          <w:b/>
          <w:i/>
          <w:sz w:val="28"/>
          <w:szCs w:val="28"/>
        </w:rPr>
        <w:t>Alegatos en esta instancia</w:t>
      </w:r>
      <w:r>
        <w:rPr>
          <w:rFonts w:ascii="Arial Narrow" w:hAnsi="Arial Narrow" w:cs="Tahoma"/>
          <w:sz w:val="28"/>
          <w:szCs w:val="28"/>
        </w:rPr>
        <w:t>:</w:t>
      </w:r>
    </w:p>
    <w:p w:rsidR="00816396" w:rsidRPr="00AE253C" w:rsidRDefault="00816396" w:rsidP="00816396">
      <w:pPr>
        <w:pStyle w:val="Sansinterligne"/>
      </w:pPr>
    </w:p>
    <w:p w:rsidR="00816396" w:rsidRDefault="00816396" w:rsidP="00816396">
      <w:pPr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En este estado de la diligencia y antes de que la Colegiatura, de respuesta al problema jurídico planteado, se corre traslado por el término de 8 minutos, a cada uno de los voceros judiciales de las partes asistentes a la audiencia, para que presenten sus alegatos de conclusión. Escuchadas las anteriores intervenciones que en síntesis reflejan los puntos debatidos por los integrantes de la Sala, se procede a decidir de fondo, previa las siguientes: </w:t>
      </w:r>
    </w:p>
    <w:p w:rsidR="00816396" w:rsidRPr="003B4B03" w:rsidRDefault="00816396" w:rsidP="003B4B03">
      <w:pPr>
        <w:pStyle w:val="Sansinterligne"/>
      </w:pPr>
    </w:p>
    <w:p w:rsidR="00816396" w:rsidRPr="003B4B03" w:rsidRDefault="00816396" w:rsidP="003B4B03">
      <w:pPr>
        <w:pStyle w:val="Sansinterligne"/>
      </w:pPr>
    </w:p>
    <w:p w:rsidR="00816396" w:rsidRDefault="00F665F5" w:rsidP="006012F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CONSIDERACIONES</w:t>
      </w:r>
    </w:p>
    <w:p w:rsidR="00F665F5" w:rsidRDefault="00F665F5" w:rsidP="00F665F5">
      <w:pPr>
        <w:pStyle w:val="Sansinterligne"/>
      </w:pPr>
    </w:p>
    <w:p w:rsidR="00F665F5" w:rsidRPr="00F665F5" w:rsidRDefault="00F665F5" w:rsidP="00F665F5">
      <w:pPr>
        <w:spacing w:line="360" w:lineRule="auto"/>
        <w:ind w:firstLine="708"/>
        <w:jc w:val="both"/>
        <w:rPr>
          <w:rFonts w:ascii="Arial Narrow" w:hAnsi="Arial Narrow" w:cs="Tahoma"/>
          <w:b/>
          <w:sz w:val="28"/>
          <w:szCs w:val="28"/>
        </w:rPr>
      </w:pPr>
      <w:r w:rsidRPr="00F665F5">
        <w:rPr>
          <w:rFonts w:ascii="Arial Narrow" w:hAnsi="Arial Narrow" w:cs="Tahoma"/>
          <w:b/>
          <w:sz w:val="28"/>
          <w:szCs w:val="28"/>
        </w:rPr>
        <w:t>De la compatibilidad pensional</w:t>
      </w:r>
    </w:p>
    <w:p w:rsidR="004302AD" w:rsidRPr="00F665F5" w:rsidRDefault="00816396" w:rsidP="00F665F5">
      <w:pPr>
        <w:pStyle w:val="Sansinterligne"/>
      </w:pPr>
      <w:r w:rsidRPr="00964986">
        <w:tab/>
      </w:r>
    </w:p>
    <w:p w:rsidR="006D24F1" w:rsidRPr="00DC3A5C" w:rsidRDefault="006D24F1" w:rsidP="006D24F1">
      <w:pPr>
        <w:spacing w:before="20" w:after="20" w:line="360" w:lineRule="auto"/>
        <w:ind w:firstLine="708"/>
        <w:jc w:val="both"/>
        <w:rPr>
          <w:rFonts w:ascii="Arial Narrow" w:hAnsi="Arial Narrow" w:cs="Tahoma"/>
          <w:i/>
          <w:iCs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Para resolver </w:t>
      </w:r>
      <w:r w:rsidR="00355B40">
        <w:rPr>
          <w:rFonts w:ascii="Arial Narrow" w:hAnsi="Arial Narrow" w:cs="Tahoma"/>
          <w:sz w:val="28"/>
          <w:szCs w:val="28"/>
        </w:rPr>
        <w:t>la controversia puesta</w:t>
      </w:r>
      <w:r>
        <w:rPr>
          <w:rFonts w:ascii="Arial Narrow" w:hAnsi="Arial Narrow" w:cs="Tahoma"/>
          <w:sz w:val="28"/>
          <w:szCs w:val="28"/>
        </w:rPr>
        <w:t xml:space="preserve"> a consideración de la Sala, es menester </w:t>
      </w:r>
      <w:r w:rsidRPr="006D24F1">
        <w:rPr>
          <w:rFonts w:ascii="Arial Narrow" w:hAnsi="Arial Narrow" w:cs="Tahoma"/>
          <w:sz w:val="28"/>
          <w:szCs w:val="28"/>
        </w:rPr>
        <w:t xml:space="preserve">precisar que el régimen de los docentes, al momento de entrada en vigencia de </w:t>
      </w:r>
      <w:smartTag w:uri="urn:schemas-microsoft-com:office:smarttags" w:element="PersonName">
        <w:smartTagPr>
          <w:attr w:name="ProductID" w:val="la Ley"/>
        </w:smartTagPr>
        <w:r w:rsidRPr="006D24F1">
          <w:rPr>
            <w:rFonts w:ascii="Arial Narrow" w:hAnsi="Arial Narrow" w:cs="Tahoma"/>
            <w:sz w:val="28"/>
            <w:szCs w:val="28"/>
          </w:rPr>
          <w:t>la Ley</w:t>
        </w:r>
      </w:smartTag>
      <w:r w:rsidRPr="006D24F1">
        <w:rPr>
          <w:rFonts w:ascii="Arial Narrow" w:hAnsi="Arial Narrow" w:cs="Tahoma"/>
          <w:sz w:val="28"/>
          <w:szCs w:val="28"/>
        </w:rPr>
        <w:t xml:space="preserve"> 100 de 1993, se encontraba entre los denominados exceptuados,</w:t>
      </w:r>
      <w:r w:rsidR="00DC3A5C">
        <w:rPr>
          <w:rFonts w:ascii="Arial Narrow" w:hAnsi="Arial Narrow" w:cs="Tahoma"/>
          <w:sz w:val="28"/>
          <w:szCs w:val="28"/>
        </w:rPr>
        <w:t xml:space="preserve"> pues así lo consagró el </w:t>
      </w:r>
      <w:r w:rsidRPr="006D24F1">
        <w:rPr>
          <w:rFonts w:ascii="Arial Narrow" w:hAnsi="Arial Narrow" w:cs="Tahoma"/>
          <w:sz w:val="28"/>
          <w:szCs w:val="28"/>
        </w:rPr>
        <w:t xml:space="preserve">inciso segundo </w:t>
      </w:r>
      <w:r w:rsidR="00DC3A5C">
        <w:rPr>
          <w:rFonts w:ascii="Arial Narrow" w:hAnsi="Arial Narrow" w:cs="Tahoma"/>
          <w:sz w:val="28"/>
          <w:szCs w:val="28"/>
        </w:rPr>
        <w:t>del canon 279 de esa obra legal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="00355B40">
        <w:rPr>
          <w:rFonts w:ascii="Arial Narrow" w:hAnsi="Arial Narrow" w:cs="Tahoma"/>
          <w:sz w:val="28"/>
          <w:szCs w:val="28"/>
        </w:rPr>
        <w:t xml:space="preserve">que establece </w:t>
      </w:r>
      <w:r>
        <w:rPr>
          <w:rFonts w:ascii="Arial Narrow" w:hAnsi="Arial Narrow" w:cs="Tahoma"/>
          <w:sz w:val="28"/>
          <w:szCs w:val="28"/>
        </w:rPr>
        <w:t>“</w:t>
      </w:r>
      <w:r w:rsidRPr="00DC3A5C">
        <w:rPr>
          <w:rFonts w:ascii="Arial Narrow" w:hAnsi="Arial Narrow" w:cs="Tahoma"/>
          <w:i/>
          <w:iCs/>
          <w:sz w:val="28"/>
          <w:szCs w:val="28"/>
        </w:rPr>
        <w:t xml:space="preserve">Así mismo, se exceptúan a los afiliados del Fondo Nacional de Prestaciones Sociales del Magisterio, creado por </w:t>
      </w:r>
      <w:smartTag w:uri="urn:schemas-microsoft-com:office:smarttags" w:element="PersonName">
        <w:smartTagPr>
          <w:attr w:name="ProductID" w:val="la Ley"/>
        </w:smartTagPr>
        <w:r w:rsidRPr="00DC3A5C">
          <w:rPr>
            <w:rFonts w:ascii="Arial Narrow" w:hAnsi="Arial Narrow" w:cs="Tahoma"/>
            <w:i/>
            <w:iCs/>
            <w:sz w:val="28"/>
            <w:szCs w:val="28"/>
          </w:rPr>
          <w:t>la Ley</w:t>
        </w:r>
      </w:smartTag>
      <w:r w:rsidRPr="00DC3A5C">
        <w:rPr>
          <w:rFonts w:ascii="Arial Narrow" w:hAnsi="Arial Narrow" w:cs="Tahoma"/>
          <w:i/>
          <w:iCs/>
          <w:sz w:val="28"/>
          <w:szCs w:val="28"/>
        </w:rPr>
        <w:t xml:space="preserve"> 91 de 1989, </w:t>
      </w:r>
      <w:r w:rsidRPr="00DC3A5C">
        <w:rPr>
          <w:rFonts w:ascii="Arial Narrow" w:hAnsi="Arial Narrow" w:cs="Tahoma"/>
          <w:bCs/>
          <w:i/>
          <w:iCs/>
          <w:sz w:val="28"/>
          <w:szCs w:val="28"/>
        </w:rPr>
        <w:t>cuyas prestaciones a cargo serán compatibles con pensiones o cualquier clase de remuneración</w:t>
      </w:r>
      <w:r w:rsidRPr="00DC3A5C">
        <w:rPr>
          <w:rFonts w:ascii="Arial Narrow" w:hAnsi="Arial Narrow" w:cs="Tahoma"/>
          <w:i/>
          <w:iCs/>
          <w:sz w:val="28"/>
          <w:szCs w:val="28"/>
        </w:rPr>
        <w:t xml:space="preserve">”. </w:t>
      </w:r>
    </w:p>
    <w:p w:rsidR="006D24F1" w:rsidRPr="006D24F1" w:rsidRDefault="006D24F1" w:rsidP="006D24F1">
      <w:pPr>
        <w:pStyle w:val="Sansinterligne"/>
      </w:pPr>
    </w:p>
    <w:p w:rsidR="006D24F1" w:rsidRDefault="006D24F1" w:rsidP="006D24F1">
      <w:pPr>
        <w:spacing w:before="20" w:after="20"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 w:rsidRPr="006D24F1">
        <w:rPr>
          <w:rFonts w:ascii="Arial Narrow" w:hAnsi="Arial Narrow" w:cs="Tahoma"/>
          <w:sz w:val="28"/>
          <w:szCs w:val="28"/>
        </w:rPr>
        <w:lastRenderedPageBreak/>
        <w:t xml:space="preserve">Este preliminar análisis normativo, permite concluir que los docentes del sector público pueden acceder a las prestaciones económicas, tanto, dentro de ese especial modelo pensional –pensión de jubilación y pensión gracia-, como en el modelo general del Sistema Integral de </w:t>
      </w:r>
      <w:smartTag w:uri="urn:schemas-microsoft-com:office:smarttags" w:element="PersonName">
        <w:smartTagPr>
          <w:attr w:name="ProductID" w:val="la Ley"/>
        </w:smartTagPr>
        <w:r w:rsidRPr="006D24F1">
          <w:rPr>
            <w:rFonts w:ascii="Arial Narrow" w:hAnsi="Arial Narrow" w:cs="Tahoma"/>
            <w:sz w:val="28"/>
            <w:szCs w:val="28"/>
          </w:rPr>
          <w:t>la Ley</w:t>
        </w:r>
      </w:smartTag>
      <w:r w:rsidRPr="006D24F1">
        <w:rPr>
          <w:rFonts w:ascii="Arial Narrow" w:hAnsi="Arial Narrow" w:cs="Tahoma"/>
          <w:sz w:val="28"/>
          <w:szCs w:val="28"/>
        </w:rPr>
        <w:t xml:space="preserve"> 100 de 1993 –pensión de vejez</w:t>
      </w:r>
      <w:r>
        <w:rPr>
          <w:rFonts w:ascii="Arial Narrow" w:hAnsi="Arial Narrow" w:cs="Tahoma"/>
          <w:sz w:val="28"/>
          <w:szCs w:val="28"/>
        </w:rPr>
        <w:t xml:space="preserve"> o indemnización sustitutiva</w:t>
      </w:r>
      <w:r w:rsidR="00355B40">
        <w:rPr>
          <w:rFonts w:ascii="Arial Narrow" w:hAnsi="Arial Narrow" w:cs="Tahoma"/>
          <w:sz w:val="28"/>
          <w:szCs w:val="28"/>
        </w:rPr>
        <w:t>-, es</w:t>
      </w:r>
      <w:r w:rsidR="004B70CA">
        <w:rPr>
          <w:rFonts w:ascii="Arial Narrow" w:hAnsi="Arial Narrow" w:cs="Tahoma"/>
          <w:sz w:val="28"/>
          <w:szCs w:val="28"/>
        </w:rPr>
        <w:t xml:space="preserve">tableciéndose entonces una regla de compatibilidad. </w:t>
      </w:r>
    </w:p>
    <w:p w:rsidR="00355B40" w:rsidRDefault="00355B40" w:rsidP="00355B40">
      <w:pPr>
        <w:pStyle w:val="Sansinterligne"/>
      </w:pPr>
    </w:p>
    <w:p w:rsidR="006356C8" w:rsidRPr="00BD0280" w:rsidRDefault="006356C8" w:rsidP="00F665F5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Posteriormente, c</w:t>
      </w:r>
      <w:r w:rsidRPr="006356C8">
        <w:rPr>
          <w:rFonts w:ascii="Arial Narrow" w:hAnsi="Arial Narrow" w:cs="Arial"/>
          <w:sz w:val="28"/>
          <w:szCs w:val="28"/>
        </w:rPr>
        <w:t xml:space="preserve">on la entrada en vigencia de </w:t>
      </w:r>
      <w:smartTag w:uri="urn:schemas-microsoft-com:office:smarttags" w:element="PersonName">
        <w:smartTagPr>
          <w:attr w:name="ProductID" w:val="la Ley"/>
        </w:smartTagPr>
        <w:r w:rsidRPr="006356C8">
          <w:rPr>
            <w:rFonts w:ascii="Arial Narrow" w:hAnsi="Arial Narrow" w:cs="Arial"/>
            <w:sz w:val="28"/>
            <w:szCs w:val="28"/>
          </w:rPr>
          <w:t>la Ley</w:t>
        </w:r>
      </w:smartTag>
      <w:r w:rsidRPr="006356C8">
        <w:rPr>
          <w:rFonts w:ascii="Arial Narrow" w:hAnsi="Arial Narrow" w:cs="Arial"/>
          <w:sz w:val="28"/>
          <w:szCs w:val="28"/>
        </w:rPr>
        <w:t xml:space="preserve"> 812 de 2003</w:t>
      </w:r>
      <w:r w:rsidRPr="006356C8">
        <w:rPr>
          <w:rFonts w:ascii="Arial Narrow" w:hAnsi="Arial Narrow" w:cs="Arial"/>
          <w:i/>
          <w:sz w:val="28"/>
          <w:szCs w:val="28"/>
        </w:rPr>
        <w:t xml:space="preserve">, </w:t>
      </w:r>
      <w:r w:rsidRPr="006356C8">
        <w:rPr>
          <w:rFonts w:ascii="Arial Narrow" w:hAnsi="Arial Narrow" w:cs="Arial"/>
          <w:sz w:val="28"/>
          <w:szCs w:val="28"/>
        </w:rPr>
        <w:t xml:space="preserve">en especial su artículo 81, el régimen pensional del Magisterio dejó de ser exceptuado y pasó a ser </w:t>
      </w:r>
      <w:r w:rsidRPr="00E52E6E">
        <w:rPr>
          <w:rFonts w:ascii="Arial Narrow" w:hAnsi="Arial Narrow" w:cs="Arial"/>
          <w:sz w:val="28"/>
          <w:szCs w:val="28"/>
        </w:rPr>
        <w:t xml:space="preserve">parte del Sistema General de Pensiones implementado por </w:t>
      </w:r>
      <w:smartTag w:uri="urn:schemas-microsoft-com:office:smarttags" w:element="PersonName">
        <w:smartTagPr>
          <w:attr w:name="ProductID" w:val="la Ley"/>
        </w:smartTagPr>
        <w:r w:rsidRPr="00E52E6E">
          <w:rPr>
            <w:rFonts w:ascii="Arial Narrow" w:hAnsi="Arial Narrow" w:cs="Arial"/>
            <w:sz w:val="28"/>
            <w:szCs w:val="28"/>
          </w:rPr>
          <w:t>la Ley</w:t>
        </w:r>
      </w:smartTag>
      <w:r w:rsidRPr="00E52E6E">
        <w:rPr>
          <w:rFonts w:ascii="Arial Narrow" w:hAnsi="Arial Narrow" w:cs="Arial"/>
          <w:sz w:val="28"/>
          <w:szCs w:val="28"/>
        </w:rPr>
        <w:t xml:space="preserve"> 100 de 1993, para aquellos docentes que se vincularon al sector público con posterioridad al cambio legislativo -27 de junio de 2003-, según lo dispuso el Parágrafo Transitorio 1º, adicionado por el Art. 1º del Acto Legislativo 01 de 2005</w:t>
      </w:r>
      <w:r w:rsidR="00E52E6E" w:rsidRPr="00E52E6E">
        <w:rPr>
          <w:rFonts w:ascii="Arial Narrow" w:hAnsi="Arial Narrow" w:cs="Arial"/>
          <w:i/>
          <w:sz w:val="28"/>
          <w:szCs w:val="28"/>
        </w:rPr>
        <w:t xml:space="preserve">, </w:t>
      </w:r>
      <w:r w:rsidR="00E52E6E" w:rsidRPr="00BD0280">
        <w:rPr>
          <w:rFonts w:ascii="Arial Narrow" w:hAnsi="Arial Narrow" w:cs="Arial"/>
          <w:sz w:val="28"/>
          <w:szCs w:val="28"/>
        </w:rPr>
        <w:t>que le dio vigencia</w:t>
      </w:r>
      <w:r w:rsidR="00E52E6E" w:rsidRPr="00BD0280">
        <w:rPr>
          <w:rFonts w:ascii="Arial Narrow" w:hAnsi="Arial Narrow" w:cs="Tahoma"/>
          <w:sz w:val="28"/>
          <w:szCs w:val="28"/>
          <w:lang w:val="es-MX"/>
        </w:rPr>
        <w:t xml:space="preserve"> hasta el 31 de julio de 2010.</w:t>
      </w:r>
    </w:p>
    <w:p w:rsidR="006356C8" w:rsidRPr="00355B40" w:rsidRDefault="006356C8" w:rsidP="006356C8">
      <w:pPr>
        <w:pStyle w:val="Sansinterligne"/>
      </w:pPr>
    </w:p>
    <w:p w:rsidR="00066931" w:rsidRDefault="00355B40" w:rsidP="00424EE9">
      <w:pPr>
        <w:spacing w:line="360" w:lineRule="auto"/>
        <w:ind w:firstLine="900"/>
        <w:jc w:val="both"/>
        <w:rPr>
          <w:rFonts w:ascii="Arial Narrow" w:hAnsi="Arial Narrow" w:cs="Arial"/>
          <w:sz w:val="28"/>
          <w:szCs w:val="28"/>
        </w:rPr>
      </w:pPr>
      <w:r w:rsidRPr="00355B40">
        <w:rPr>
          <w:rFonts w:ascii="Arial Narrow" w:hAnsi="Arial Narrow" w:cs="Arial"/>
          <w:sz w:val="28"/>
          <w:szCs w:val="28"/>
        </w:rPr>
        <w:t xml:space="preserve">Ello en la medida en que </w:t>
      </w:r>
      <w:r w:rsidR="00424EE9">
        <w:rPr>
          <w:rFonts w:ascii="Arial Narrow" w:hAnsi="Arial Narrow" w:cs="Arial"/>
          <w:sz w:val="28"/>
          <w:szCs w:val="28"/>
        </w:rPr>
        <w:t xml:space="preserve">dichos </w:t>
      </w:r>
      <w:r w:rsidRPr="00355B40">
        <w:rPr>
          <w:rFonts w:ascii="Arial Narrow" w:hAnsi="Arial Narrow" w:cs="Arial"/>
          <w:sz w:val="28"/>
          <w:szCs w:val="28"/>
        </w:rPr>
        <w:t xml:space="preserve">cuerpos normativos, dejaron indemnes las disposiciones de </w:t>
      </w:r>
      <w:smartTag w:uri="urn:schemas-microsoft-com:office:smarttags" w:element="PersonName">
        <w:smartTagPr>
          <w:attr w:name="ProductID" w:val="la Ley"/>
        </w:smartTagPr>
        <w:r w:rsidRPr="00355B40">
          <w:rPr>
            <w:rFonts w:ascii="Arial Narrow" w:hAnsi="Arial Narrow" w:cs="Arial"/>
            <w:sz w:val="28"/>
            <w:szCs w:val="28"/>
          </w:rPr>
          <w:t>la Ley</w:t>
        </w:r>
      </w:smartTag>
      <w:r w:rsidRPr="00355B40">
        <w:rPr>
          <w:rFonts w:ascii="Arial Narrow" w:hAnsi="Arial Narrow" w:cs="Arial"/>
          <w:sz w:val="28"/>
          <w:szCs w:val="28"/>
        </w:rPr>
        <w:t xml:space="preserve"> 100 de 1993, sobre la materia, a los docentes nacionales, nacionalizados y territoriales, cuya vinculación data con anterioridad al  27 de junio de 2003, </w:t>
      </w:r>
      <w:r w:rsidR="00BD0280">
        <w:rPr>
          <w:rFonts w:ascii="Arial Narrow" w:hAnsi="Arial Narrow" w:cs="Arial"/>
          <w:sz w:val="28"/>
          <w:szCs w:val="28"/>
        </w:rPr>
        <w:t xml:space="preserve">de modo que, para </w:t>
      </w:r>
      <w:r w:rsidR="009B41D1">
        <w:rPr>
          <w:rFonts w:ascii="Arial Narrow" w:hAnsi="Arial Narrow" w:cs="Arial"/>
          <w:sz w:val="28"/>
          <w:szCs w:val="28"/>
        </w:rPr>
        <w:t xml:space="preserve">aquellos </w:t>
      </w:r>
      <w:r w:rsidR="00424EE9">
        <w:rPr>
          <w:rFonts w:ascii="Arial Narrow" w:hAnsi="Arial Narrow" w:cs="Arial"/>
          <w:sz w:val="28"/>
          <w:szCs w:val="28"/>
        </w:rPr>
        <w:t xml:space="preserve">se </w:t>
      </w:r>
      <w:r w:rsidR="00066931" w:rsidRPr="00066931">
        <w:rPr>
          <w:rFonts w:ascii="Arial Narrow" w:hAnsi="Arial Narrow" w:cs="Arial"/>
          <w:sz w:val="28"/>
          <w:szCs w:val="28"/>
        </w:rPr>
        <w:t xml:space="preserve">mantiene el régimen exceptuado de </w:t>
      </w:r>
      <w:smartTag w:uri="urn:schemas-microsoft-com:office:smarttags" w:element="PersonName">
        <w:smartTagPr>
          <w:attr w:name="ProductID" w:val="la Ley"/>
        </w:smartTagPr>
        <w:r w:rsidR="00066931" w:rsidRPr="00066931">
          <w:rPr>
            <w:rFonts w:ascii="Arial Narrow" w:hAnsi="Arial Narrow" w:cs="Arial"/>
            <w:sz w:val="28"/>
            <w:szCs w:val="28"/>
          </w:rPr>
          <w:t>la Ley</w:t>
        </w:r>
      </w:smartTag>
      <w:r w:rsidR="00066931" w:rsidRPr="00066931">
        <w:rPr>
          <w:rFonts w:ascii="Arial Narrow" w:hAnsi="Arial Narrow" w:cs="Arial"/>
          <w:sz w:val="28"/>
          <w:szCs w:val="28"/>
        </w:rPr>
        <w:t xml:space="preserve"> 100 de 1993, conservándose para los mismos el sistema pensional previsto en </w:t>
      </w:r>
      <w:smartTag w:uri="urn:schemas-microsoft-com:office:smarttags" w:element="PersonName">
        <w:smartTagPr>
          <w:attr w:name="ProductID" w:val="la Ley"/>
        </w:smartTagPr>
        <w:r w:rsidR="00066931" w:rsidRPr="00066931">
          <w:rPr>
            <w:rFonts w:ascii="Arial Narrow" w:hAnsi="Arial Narrow" w:cs="Arial"/>
            <w:sz w:val="28"/>
            <w:szCs w:val="28"/>
          </w:rPr>
          <w:t>la Ley</w:t>
        </w:r>
      </w:smartTag>
      <w:r w:rsidR="00066931" w:rsidRPr="00066931">
        <w:rPr>
          <w:rFonts w:ascii="Arial Narrow" w:hAnsi="Arial Narrow" w:cs="Arial"/>
          <w:sz w:val="28"/>
          <w:szCs w:val="28"/>
        </w:rPr>
        <w:t xml:space="preserve"> 91 de 1989.</w:t>
      </w:r>
    </w:p>
    <w:p w:rsidR="009B41D1" w:rsidRPr="009B41D1" w:rsidRDefault="009B41D1" w:rsidP="009B41D1">
      <w:pPr>
        <w:pStyle w:val="Sansinterligne"/>
      </w:pPr>
      <w:r>
        <w:tab/>
      </w:r>
    </w:p>
    <w:p w:rsidR="009B41D1" w:rsidRPr="009B41D1" w:rsidRDefault="009B41D1" w:rsidP="009B41D1">
      <w:pPr>
        <w:spacing w:line="360" w:lineRule="auto"/>
        <w:ind w:firstLine="90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Dada esa </w:t>
      </w:r>
      <w:r w:rsidRPr="009B41D1">
        <w:rPr>
          <w:rFonts w:ascii="Arial Narrow" w:hAnsi="Arial Narrow" w:cs="Arial"/>
          <w:sz w:val="28"/>
          <w:szCs w:val="28"/>
        </w:rPr>
        <w:t>posibilidad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9B41D1">
        <w:rPr>
          <w:rFonts w:ascii="Arial Narrow" w:hAnsi="Arial Narrow" w:cs="Arial"/>
          <w:sz w:val="28"/>
          <w:szCs w:val="28"/>
        </w:rPr>
        <w:t xml:space="preserve">de prestación coetánea de servicios como docente para el Estado, con vinculación anterior al 27 de junio de 2003, y para particulares, </w:t>
      </w:r>
      <w:r w:rsidR="00095C0D">
        <w:rPr>
          <w:rFonts w:ascii="Arial Narrow" w:hAnsi="Arial Narrow" w:cs="Arial"/>
          <w:sz w:val="28"/>
          <w:szCs w:val="28"/>
        </w:rPr>
        <w:t xml:space="preserve">se </w:t>
      </w:r>
      <w:r w:rsidRPr="009B41D1">
        <w:rPr>
          <w:rFonts w:ascii="Arial Narrow" w:hAnsi="Arial Narrow" w:cs="Arial"/>
          <w:sz w:val="28"/>
          <w:szCs w:val="28"/>
        </w:rPr>
        <w:t xml:space="preserve">abre la senda para que simultáneamente se hagan aportes al ISS, </w:t>
      </w:r>
      <w:r w:rsidR="00095C0D">
        <w:rPr>
          <w:rFonts w:ascii="Arial Narrow" w:hAnsi="Arial Narrow" w:cs="Arial"/>
          <w:sz w:val="28"/>
          <w:szCs w:val="28"/>
        </w:rPr>
        <w:t>y se logre con base en los mismos,</w:t>
      </w:r>
      <w:r w:rsidRPr="009B41D1">
        <w:rPr>
          <w:rFonts w:ascii="Arial Narrow" w:hAnsi="Arial Narrow" w:cs="Arial"/>
          <w:sz w:val="28"/>
          <w:szCs w:val="28"/>
        </w:rPr>
        <w:t xml:space="preserve"> la financiación para la obtención de una pensión de vejez o en su defecto la indemnización sustitutiva o devolución de saldos, con independencia de la pensión de jubilación que ya disfrute o esté en vías de obtener, en el sector público, como docente, gracias a que cada una cuenta con recursos propios para su financiación.</w:t>
      </w:r>
    </w:p>
    <w:p w:rsidR="00066931" w:rsidRPr="00BD0280" w:rsidRDefault="00066931" w:rsidP="009B41D1">
      <w:pPr>
        <w:pStyle w:val="Sansinterligne"/>
        <w:spacing w:line="360" w:lineRule="auto"/>
      </w:pPr>
    </w:p>
    <w:p w:rsidR="00F665F5" w:rsidRPr="00F665F5" w:rsidRDefault="00F665F5" w:rsidP="006D24F1">
      <w:pPr>
        <w:spacing w:before="20" w:after="20" w:line="360" w:lineRule="auto"/>
        <w:ind w:firstLine="708"/>
        <w:jc w:val="both"/>
        <w:rPr>
          <w:rFonts w:ascii="Arial Narrow" w:hAnsi="Arial Narrow" w:cs="Tahoma"/>
          <w:b/>
          <w:sz w:val="28"/>
          <w:szCs w:val="28"/>
        </w:rPr>
      </w:pPr>
      <w:r w:rsidRPr="00F665F5">
        <w:rPr>
          <w:rFonts w:ascii="Arial Narrow" w:hAnsi="Arial Narrow" w:cs="Tahoma"/>
          <w:b/>
          <w:sz w:val="28"/>
          <w:szCs w:val="28"/>
        </w:rPr>
        <w:t>Caso concreto</w:t>
      </w:r>
    </w:p>
    <w:p w:rsidR="004B70CA" w:rsidRPr="001D419E" w:rsidRDefault="004B70CA" w:rsidP="001D419E">
      <w:pPr>
        <w:pStyle w:val="Sansinterligne"/>
      </w:pPr>
    </w:p>
    <w:p w:rsidR="00F665F5" w:rsidRPr="00964986" w:rsidRDefault="00943AE3" w:rsidP="00F665F5">
      <w:pPr>
        <w:pStyle w:val="Corpsdetexte"/>
        <w:spacing w:line="360" w:lineRule="auto"/>
        <w:ind w:firstLine="851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CO"/>
        </w:rPr>
        <w:t>En el sub-ex</w:t>
      </w:r>
      <w:r w:rsidR="004746A2">
        <w:rPr>
          <w:rFonts w:ascii="Arial Narrow" w:hAnsi="Arial Narrow"/>
          <w:sz w:val="28"/>
          <w:szCs w:val="28"/>
          <w:lang w:val="es-CO"/>
        </w:rPr>
        <w:t>a</w:t>
      </w:r>
      <w:r>
        <w:rPr>
          <w:rFonts w:ascii="Arial Narrow" w:hAnsi="Arial Narrow"/>
          <w:sz w:val="28"/>
          <w:szCs w:val="28"/>
          <w:lang w:val="es-CO"/>
        </w:rPr>
        <w:t xml:space="preserve">mine, está </w:t>
      </w:r>
      <w:r w:rsidR="00F665F5" w:rsidRPr="00964986">
        <w:rPr>
          <w:rFonts w:ascii="Arial Narrow" w:hAnsi="Arial Narrow"/>
          <w:sz w:val="28"/>
          <w:szCs w:val="28"/>
          <w:lang w:val="es-CO"/>
        </w:rPr>
        <w:t xml:space="preserve">fuera de discusión que el demandante </w:t>
      </w:r>
      <w:r w:rsidR="00F665F5" w:rsidRPr="00964986">
        <w:rPr>
          <w:rFonts w:ascii="Arial Narrow" w:hAnsi="Arial Narrow" w:cs="Tahoma"/>
          <w:sz w:val="28"/>
          <w:szCs w:val="28"/>
        </w:rPr>
        <w:t xml:space="preserve">se encuentra actualmente disfrutando de una pensión vitalicia de jubilación, reconocida por CAJANAL, mediante resolución No. 17600 de 2003, con fundamento con las leyes 33 y 62 de 1985, que dicha prestación le fue reconocida por haber laborado por 1473 </w:t>
      </w:r>
      <w:r w:rsidR="00F665F5" w:rsidRPr="00964986">
        <w:rPr>
          <w:rFonts w:ascii="Arial Narrow" w:hAnsi="Arial Narrow" w:cs="Tahoma"/>
          <w:sz w:val="28"/>
          <w:szCs w:val="28"/>
        </w:rPr>
        <w:lastRenderedPageBreak/>
        <w:t>semanas al servicio del Departamento de</w:t>
      </w:r>
      <w:r w:rsidR="00F665F5">
        <w:rPr>
          <w:rFonts w:ascii="Arial Narrow" w:hAnsi="Arial Narrow" w:cs="Tahoma"/>
          <w:sz w:val="28"/>
          <w:szCs w:val="28"/>
        </w:rPr>
        <w:t xml:space="preserve"> Risaralda, en calidad de docente,  </w:t>
      </w:r>
      <w:r w:rsidR="00F665F5" w:rsidRPr="00964986">
        <w:rPr>
          <w:rFonts w:ascii="Arial Narrow" w:hAnsi="Arial Narrow" w:cs="Tahoma"/>
          <w:sz w:val="28"/>
          <w:szCs w:val="28"/>
        </w:rPr>
        <w:t>y por contar con más de 50 años de edad (ver fl.80).</w:t>
      </w:r>
    </w:p>
    <w:p w:rsidR="00F665F5" w:rsidRPr="003A4F84" w:rsidRDefault="00F665F5" w:rsidP="003A4F84">
      <w:pPr>
        <w:pStyle w:val="Sansinterligne"/>
      </w:pPr>
    </w:p>
    <w:p w:rsidR="00F665F5" w:rsidRPr="00964986" w:rsidRDefault="00F665F5" w:rsidP="00F665F5">
      <w:pPr>
        <w:pStyle w:val="Textoindependiente32"/>
        <w:ind w:firstLine="851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Así mismo, q</w:t>
      </w:r>
      <w:r w:rsidRPr="00964986">
        <w:rPr>
          <w:rFonts w:ascii="Arial Narrow" w:hAnsi="Arial Narrow" w:cs="Tahoma"/>
          <w:sz w:val="28"/>
          <w:szCs w:val="28"/>
        </w:rPr>
        <w:t xml:space="preserve">ue el actor realizó aportes al Instituto de Seguros Sociales en calidad de trabajador particular y como </w:t>
      </w:r>
      <w:r w:rsidR="00995E8E">
        <w:rPr>
          <w:rFonts w:ascii="Arial Narrow" w:hAnsi="Arial Narrow" w:cs="Tahoma"/>
          <w:sz w:val="28"/>
          <w:szCs w:val="28"/>
        </w:rPr>
        <w:t xml:space="preserve">docente de la </w:t>
      </w:r>
      <w:r w:rsidRPr="00964986">
        <w:rPr>
          <w:rFonts w:ascii="Arial Narrow" w:hAnsi="Arial Narrow" w:cs="Tahoma"/>
          <w:sz w:val="28"/>
          <w:szCs w:val="28"/>
        </w:rPr>
        <w:t>Corporación Universitaria Antonio Nariño, Universidad Tecnológica de Pereira y Fundación Liceo Ingles entre el 18 de noviembre de 1967 y el 30 de abril de 2002,</w:t>
      </w:r>
      <w:r>
        <w:rPr>
          <w:rFonts w:ascii="Arial Narrow" w:hAnsi="Arial Narrow" w:cs="Tahoma"/>
          <w:sz w:val="28"/>
          <w:szCs w:val="28"/>
        </w:rPr>
        <w:t xml:space="preserve"> dentro del cual sufragó un total de 487.74 semanas de aportes, t</w:t>
      </w:r>
      <w:r w:rsidRPr="00964986">
        <w:rPr>
          <w:rFonts w:ascii="Arial Narrow" w:hAnsi="Arial Narrow" w:cs="Tahoma"/>
          <w:sz w:val="28"/>
          <w:szCs w:val="28"/>
        </w:rPr>
        <w:t>al cual se desprende del reporte de semanas cotizadas en pensiones allegada por la entidad, visible a folios 37 a 43 del expediente.</w:t>
      </w:r>
    </w:p>
    <w:p w:rsidR="00F665F5" w:rsidRPr="003A4F84" w:rsidRDefault="00F665F5" w:rsidP="003A4F84">
      <w:pPr>
        <w:pStyle w:val="Sansinterligne"/>
      </w:pPr>
    </w:p>
    <w:p w:rsidR="00F665F5" w:rsidRDefault="00F665F5" w:rsidP="00F665F5">
      <w:pPr>
        <w:pStyle w:val="Corpsdetexte"/>
        <w:spacing w:line="360" w:lineRule="auto"/>
        <w:ind w:firstLine="851"/>
        <w:rPr>
          <w:rFonts w:ascii="Arial Narrow" w:hAnsi="Arial Narrow" w:cs="Tahoma"/>
          <w:sz w:val="28"/>
          <w:szCs w:val="28"/>
        </w:rPr>
      </w:pPr>
      <w:r w:rsidRPr="00943AE3">
        <w:rPr>
          <w:rFonts w:ascii="Arial Narrow" w:hAnsi="Arial Narrow" w:cs="Tahoma"/>
          <w:sz w:val="28"/>
          <w:szCs w:val="28"/>
        </w:rPr>
        <w:t>Como era lo lógico, CAJANAL al momento de reconocer la respectiva prestación pensional, no relacionó los aportes que el demandante realizó al ISS; dado que de conformidad con la Resolución 17600 de 2003, solo se tuvo en cuenta la edad y el tiempo de servicios prestados al Departamento de Risaralda.</w:t>
      </w:r>
    </w:p>
    <w:p w:rsidR="00095C0D" w:rsidRPr="003A4F84" w:rsidRDefault="00095C0D" w:rsidP="003A4F84">
      <w:pPr>
        <w:pStyle w:val="Sansinterligne"/>
      </w:pPr>
    </w:p>
    <w:p w:rsidR="00964986" w:rsidRDefault="00964986" w:rsidP="00943AE3">
      <w:pPr>
        <w:pStyle w:val="Textoindependiente32"/>
        <w:ind w:firstLine="851"/>
        <w:rPr>
          <w:rFonts w:ascii="Arial Narrow" w:hAnsi="Arial Narrow" w:cs="Tahoma"/>
          <w:sz w:val="28"/>
          <w:szCs w:val="28"/>
        </w:rPr>
      </w:pPr>
      <w:r w:rsidRPr="00964986">
        <w:rPr>
          <w:rFonts w:ascii="Arial Narrow" w:hAnsi="Arial Narrow" w:cs="Tahoma"/>
          <w:sz w:val="28"/>
          <w:szCs w:val="28"/>
        </w:rPr>
        <w:t>D</w:t>
      </w:r>
      <w:r w:rsidR="00943AE3">
        <w:rPr>
          <w:rFonts w:ascii="Arial Narrow" w:hAnsi="Arial Narrow" w:cs="Tahoma"/>
          <w:sz w:val="28"/>
          <w:szCs w:val="28"/>
        </w:rPr>
        <w:t xml:space="preserve">e ahí que </w:t>
      </w:r>
      <w:r w:rsidR="00EA4D35">
        <w:rPr>
          <w:rFonts w:ascii="Arial Narrow" w:hAnsi="Arial Narrow" w:cs="Tahoma"/>
          <w:sz w:val="28"/>
          <w:szCs w:val="28"/>
        </w:rPr>
        <w:t xml:space="preserve">sea procedente </w:t>
      </w:r>
      <w:r w:rsidR="004746A2">
        <w:rPr>
          <w:rFonts w:ascii="Arial Narrow" w:hAnsi="Arial Narrow" w:cs="Tahoma"/>
          <w:sz w:val="28"/>
          <w:szCs w:val="28"/>
        </w:rPr>
        <w:t xml:space="preserve">el reconocimiento de la indemnización sustitutiva de la pensión de vejez </w:t>
      </w:r>
      <w:r w:rsidR="001A27BB">
        <w:rPr>
          <w:rFonts w:ascii="Arial Narrow" w:hAnsi="Arial Narrow" w:cs="Tahoma"/>
          <w:sz w:val="28"/>
          <w:szCs w:val="28"/>
        </w:rPr>
        <w:t xml:space="preserve">que consagra </w:t>
      </w:r>
      <w:r w:rsidR="004746A2">
        <w:rPr>
          <w:rFonts w:ascii="Arial Narrow" w:hAnsi="Arial Narrow" w:cs="Tahoma"/>
          <w:sz w:val="28"/>
          <w:szCs w:val="28"/>
        </w:rPr>
        <w:t>el artículo 37 de la Ley 100 de 1993</w:t>
      </w:r>
      <w:r w:rsidR="0076138C">
        <w:rPr>
          <w:rStyle w:val="Appelnotedebasdep"/>
          <w:rFonts w:ascii="Arial Narrow" w:hAnsi="Arial Narrow" w:cs="Tahoma"/>
          <w:sz w:val="28"/>
          <w:szCs w:val="28"/>
        </w:rPr>
        <w:footnoteReference w:id="1"/>
      </w:r>
      <w:r w:rsidR="004746A2">
        <w:rPr>
          <w:rFonts w:ascii="Arial Narrow" w:hAnsi="Arial Narrow" w:cs="Tahoma"/>
          <w:sz w:val="28"/>
          <w:szCs w:val="28"/>
        </w:rPr>
        <w:t xml:space="preserve">, </w:t>
      </w:r>
      <w:r w:rsidRPr="00964986">
        <w:rPr>
          <w:rFonts w:ascii="Arial Narrow" w:hAnsi="Arial Narrow" w:cs="Tahoma"/>
          <w:sz w:val="28"/>
          <w:szCs w:val="28"/>
        </w:rPr>
        <w:t xml:space="preserve"> con base en los tiempos cotizados al ISS</w:t>
      </w:r>
      <w:r w:rsidR="00EA4D35">
        <w:rPr>
          <w:rFonts w:ascii="Arial Narrow" w:hAnsi="Arial Narrow" w:cs="Tahoma"/>
          <w:sz w:val="28"/>
          <w:szCs w:val="28"/>
        </w:rPr>
        <w:t xml:space="preserve"> (487.74 semanas)</w:t>
      </w:r>
      <w:r w:rsidRPr="00964986">
        <w:rPr>
          <w:rFonts w:ascii="Arial Narrow" w:hAnsi="Arial Narrow" w:cs="Tahoma"/>
          <w:sz w:val="28"/>
          <w:szCs w:val="28"/>
        </w:rPr>
        <w:t>, en calidad de trabajador particular, puesto que aquellos son diferentes a los tomados en cuenta en el sector público, sin que las prestaciones que se originan con unos y otros aportes, sean incompatibles entre s</w:t>
      </w:r>
      <w:r w:rsidR="00943AE3">
        <w:rPr>
          <w:rFonts w:ascii="Arial Narrow" w:hAnsi="Arial Narrow" w:cs="Tahoma"/>
          <w:sz w:val="28"/>
          <w:szCs w:val="28"/>
        </w:rPr>
        <w:t xml:space="preserve">í, más cuando la vinculación del accionante </w:t>
      </w:r>
      <w:r w:rsidRPr="00964986">
        <w:rPr>
          <w:rFonts w:ascii="Arial Narrow" w:hAnsi="Arial Narrow" w:cs="Tahoma"/>
          <w:sz w:val="28"/>
          <w:szCs w:val="28"/>
        </w:rPr>
        <w:t>al magisterio operó con anterioridad a la entrada en vigencia la Ley 812 de 2003, hallándose en el régimen exceptuado d</w:t>
      </w:r>
      <w:r w:rsidR="004746A2">
        <w:rPr>
          <w:rFonts w:ascii="Arial Narrow" w:hAnsi="Arial Narrow" w:cs="Tahoma"/>
          <w:sz w:val="28"/>
          <w:szCs w:val="28"/>
        </w:rPr>
        <w:t>el sistema general</w:t>
      </w:r>
      <w:r w:rsidR="007C2AC6">
        <w:rPr>
          <w:rFonts w:ascii="Arial Narrow" w:hAnsi="Arial Narrow" w:cs="Tahoma"/>
          <w:sz w:val="28"/>
          <w:szCs w:val="28"/>
        </w:rPr>
        <w:t xml:space="preserve"> de pensiones.</w:t>
      </w:r>
    </w:p>
    <w:p w:rsidR="007C2AC6" w:rsidRPr="003A4F84" w:rsidRDefault="007C2AC6" w:rsidP="003A4F84">
      <w:pPr>
        <w:pStyle w:val="Sansinterligne"/>
      </w:pPr>
    </w:p>
    <w:p w:rsidR="007C2AC6" w:rsidRPr="00A379BF" w:rsidRDefault="007C38E1" w:rsidP="007C2AC6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En cuanto a la petición de intereses, </w:t>
      </w:r>
      <w:r w:rsidR="007C2AC6" w:rsidRPr="00A379BF">
        <w:rPr>
          <w:rFonts w:ascii="Arial Narrow" w:hAnsi="Arial Narrow" w:cs="Arial"/>
          <w:sz w:val="28"/>
          <w:szCs w:val="28"/>
        </w:rPr>
        <w:t xml:space="preserve">resulta viable </w:t>
      </w:r>
      <w:r>
        <w:rPr>
          <w:rFonts w:ascii="Arial Narrow" w:hAnsi="Arial Narrow" w:cs="Arial"/>
          <w:sz w:val="28"/>
          <w:szCs w:val="28"/>
        </w:rPr>
        <w:t xml:space="preserve">el reconocimiento de </w:t>
      </w:r>
      <w:r w:rsidR="007C2AC6" w:rsidRPr="00A379BF">
        <w:rPr>
          <w:rFonts w:ascii="Arial Narrow" w:hAnsi="Arial Narrow" w:cs="Arial"/>
          <w:sz w:val="28"/>
          <w:szCs w:val="28"/>
        </w:rPr>
        <w:t xml:space="preserve">los legales </w:t>
      </w:r>
      <w:r w:rsidR="00D7326D">
        <w:rPr>
          <w:rFonts w:ascii="Arial Narrow" w:hAnsi="Arial Narrow" w:cs="Arial"/>
          <w:sz w:val="28"/>
          <w:szCs w:val="28"/>
        </w:rPr>
        <w:t>d</w:t>
      </w:r>
      <w:r w:rsidR="007C2AC6" w:rsidRPr="00A379BF">
        <w:rPr>
          <w:rFonts w:ascii="Arial Narrow" w:hAnsi="Arial Narrow" w:cs="Arial"/>
          <w:sz w:val="28"/>
          <w:szCs w:val="28"/>
        </w:rPr>
        <w:t xml:space="preserve">el artículo 1617 del </w:t>
      </w:r>
      <w:r w:rsidR="00D7326D">
        <w:rPr>
          <w:rFonts w:ascii="Arial Narrow" w:hAnsi="Arial Narrow" w:cs="Arial"/>
          <w:sz w:val="28"/>
          <w:szCs w:val="28"/>
        </w:rPr>
        <w:t>C.C.</w:t>
      </w:r>
      <w:r w:rsidR="007C2AC6" w:rsidRPr="00A379BF">
        <w:rPr>
          <w:rFonts w:ascii="Arial Narrow" w:hAnsi="Arial Narrow" w:cs="Arial"/>
          <w:sz w:val="28"/>
          <w:szCs w:val="28"/>
        </w:rPr>
        <w:t xml:space="preserve">, </w:t>
      </w:r>
      <w:r w:rsidR="00D21AD7">
        <w:rPr>
          <w:rFonts w:ascii="Arial Narrow" w:hAnsi="Arial Narrow" w:cs="Arial"/>
          <w:sz w:val="28"/>
          <w:szCs w:val="28"/>
        </w:rPr>
        <w:t xml:space="preserve">como lo concluyó el a-quo, </w:t>
      </w:r>
      <w:r w:rsidR="007C2AC6" w:rsidRPr="00A379BF">
        <w:rPr>
          <w:rFonts w:ascii="Arial Narrow" w:hAnsi="Arial Narrow" w:cs="Arial"/>
          <w:sz w:val="28"/>
          <w:szCs w:val="28"/>
        </w:rPr>
        <w:t>a efectos de castigar al deudor por la tardanza en el pago de l</w:t>
      </w:r>
      <w:r w:rsidR="007C2AC6">
        <w:rPr>
          <w:rFonts w:ascii="Arial Narrow" w:hAnsi="Arial Narrow" w:cs="Arial"/>
          <w:sz w:val="28"/>
          <w:szCs w:val="28"/>
        </w:rPr>
        <w:t>a obligación</w:t>
      </w:r>
      <w:r w:rsidR="007C2AC6" w:rsidRPr="00A379BF">
        <w:rPr>
          <w:rFonts w:ascii="Arial Narrow" w:hAnsi="Arial Narrow" w:cs="Arial"/>
          <w:sz w:val="28"/>
          <w:szCs w:val="28"/>
        </w:rPr>
        <w:t>, pues naturalmente el transcurso del tiempo deviene en la depreciación del poder adquisitivo de los signos monetarios.</w:t>
      </w:r>
    </w:p>
    <w:p w:rsidR="0076138C" w:rsidRPr="003A4F84" w:rsidRDefault="0076138C" w:rsidP="003A4F84">
      <w:pPr>
        <w:pStyle w:val="Sansinterligne"/>
      </w:pPr>
    </w:p>
    <w:p w:rsidR="0076138C" w:rsidRPr="00964986" w:rsidRDefault="00A16450" w:rsidP="00D7326D">
      <w:pPr>
        <w:pStyle w:val="Textoindependiente32"/>
        <w:ind w:firstLine="851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No </w:t>
      </w:r>
      <w:r w:rsidR="003A4F84">
        <w:rPr>
          <w:rFonts w:ascii="Arial Narrow" w:hAnsi="Arial Narrow" w:cs="Tahoma"/>
          <w:sz w:val="28"/>
          <w:szCs w:val="28"/>
        </w:rPr>
        <w:t xml:space="preserve">prospera </w:t>
      </w:r>
      <w:r w:rsidR="00D21AD7">
        <w:rPr>
          <w:rFonts w:ascii="Arial Narrow" w:hAnsi="Arial Narrow" w:cs="Tahoma"/>
          <w:sz w:val="28"/>
          <w:szCs w:val="28"/>
        </w:rPr>
        <w:t xml:space="preserve">la </w:t>
      </w:r>
      <w:r>
        <w:rPr>
          <w:rFonts w:ascii="Arial Narrow" w:hAnsi="Arial Narrow" w:cs="Tahoma"/>
          <w:sz w:val="28"/>
          <w:szCs w:val="28"/>
        </w:rPr>
        <w:t>excepción de pres</w:t>
      </w:r>
      <w:r w:rsidR="0076138C">
        <w:rPr>
          <w:rFonts w:ascii="Arial Narrow" w:hAnsi="Arial Narrow" w:cs="Tahoma"/>
          <w:sz w:val="28"/>
          <w:szCs w:val="28"/>
        </w:rPr>
        <w:t>cripción</w:t>
      </w:r>
      <w:r>
        <w:rPr>
          <w:rFonts w:ascii="Arial Narrow" w:hAnsi="Arial Narrow" w:cs="Tahoma"/>
          <w:sz w:val="28"/>
          <w:szCs w:val="28"/>
        </w:rPr>
        <w:t xml:space="preserve"> propuesta por la entidad de seguridad social, </w:t>
      </w:r>
      <w:r w:rsidR="00995E8E">
        <w:rPr>
          <w:rFonts w:ascii="Arial Narrow" w:hAnsi="Arial Narrow" w:cs="Tahoma"/>
          <w:sz w:val="28"/>
          <w:szCs w:val="28"/>
        </w:rPr>
        <w:t>dada la naturaleza de la indemnización</w:t>
      </w:r>
      <w:r w:rsidR="003A4F84">
        <w:rPr>
          <w:rFonts w:ascii="Arial Narrow" w:hAnsi="Arial Narrow" w:cs="Tahoma"/>
          <w:sz w:val="28"/>
          <w:szCs w:val="28"/>
        </w:rPr>
        <w:t xml:space="preserve"> per se imprescriptible, como son </w:t>
      </w:r>
      <w:r w:rsidR="00C27C80">
        <w:rPr>
          <w:rFonts w:ascii="Arial Narrow" w:hAnsi="Arial Narrow" w:cs="Tahoma"/>
          <w:sz w:val="28"/>
          <w:szCs w:val="28"/>
        </w:rPr>
        <w:t>todos los aportes que contribuyen a la financiación de la pensión</w:t>
      </w:r>
      <w:r w:rsidR="003A4F84">
        <w:rPr>
          <w:rFonts w:ascii="Arial Narrow" w:hAnsi="Arial Narrow" w:cs="Tahoma"/>
          <w:sz w:val="28"/>
          <w:szCs w:val="28"/>
        </w:rPr>
        <w:t>;</w:t>
      </w:r>
      <w:r w:rsidR="00C27C80">
        <w:rPr>
          <w:rFonts w:ascii="Arial Narrow" w:hAnsi="Arial Narrow" w:cs="Tahoma"/>
          <w:sz w:val="28"/>
          <w:szCs w:val="28"/>
        </w:rPr>
        <w:t xml:space="preserve"> y si se optara </w:t>
      </w:r>
      <w:r w:rsidR="00C27C80">
        <w:rPr>
          <w:rFonts w:ascii="Arial Narrow" w:hAnsi="Arial Narrow" w:cs="Tahoma"/>
          <w:sz w:val="28"/>
          <w:szCs w:val="28"/>
        </w:rPr>
        <w:lastRenderedPageBreak/>
        <w:t xml:space="preserve">por la tesis de </w:t>
      </w:r>
      <w:proofErr w:type="spellStart"/>
      <w:r w:rsidR="00C27C80">
        <w:rPr>
          <w:rFonts w:ascii="Arial Narrow" w:hAnsi="Arial Narrow" w:cs="Tahoma"/>
          <w:sz w:val="28"/>
          <w:szCs w:val="28"/>
        </w:rPr>
        <w:t>prescriptibilidad</w:t>
      </w:r>
      <w:proofErr w:type="spellEnd"/>
      <w:r w:rsidR="00C27C80">
        <w:rPr>
          <w:rFonts w:ascii="Arial Narrow" w:hAnsi="Arial Narrow" w:cs="Tahoma"/>
          <w:sz w:val="28"/>
          <w:szCs w:val="28"/>
        </w:rPr>
        <w:t xml:space="preserve">, se observa </w:t>
      </w:r>
      <w:r>
        <w:rPr>
          <w:rFonts w:ascii="Arial Narrow" w:hAnsi="Arial Narrow" w:cs="Tahoma"/>
          <w:sz w:val="28"/>
          <w:szCs w:val="28"/>
        </w:rPr>
        <w:t xml:space="preserve">que </w:t>
      </w:r>
      <w:r w:rsidR="00777A01">
        <w:rPr>
          <w:rFonts w:ascii="Arial Narrow" w:hAnsi="Arial Narrow" w:cs="Tahoma"/>
          <w:sz w:val="28"/>
          <w:szCs w:val="28"/>
        </w:rPr>
        <w:t xml:space="preserve">en los términos del artículo 151 del CPL </w:t>
      </w:r>
      <w:r>
        <w:rPr>
          <w:rFonts w:ascii="Arial Narrow" w:hAnsi="Arial Narrow" w:cs="Tahoma"/>
          <w:sz w:val="28"/>
          <w:szCs w:val="28"/>
        </w:rPr>
        <w:t>no trascurrieron más de tres años desde que la respectiva obligación se hizo exigible</w:t>
      </w:r>
      <w:r w:rsidR="00777A01">
        <w:rPr>
          <w:rFonts w:ascii="Arial Narrow" w:hAnsi="Arial Narrow" w:cs="Tahoma"/>
          <w:sz w:val="28"/>
          <w:szCs w:val="28"/>
        </w:rPr>
        <w:t xml:space="preserve"> y la interposición de la demanda</w:t>
      </w:r>
      <w:r w:rsidR="00541F61">
        <w:rPr>
          <w:rFonts w:ascii="Arial Narrow" w:hAnsi="Arial Narrow" w:cs="Tahoma"/>
          <w:sz w:val="28"/>
          <w:szCs w:val="28"/>
        </w:rPr>
        <w:t>, pues l</w:t>
      </w:r>
      <w:r w:rsidR="00777A01">
        <w:rPr>
          <w:rFonts w:ascii="Arial Narrow" w:hAnsi="Arial Narrow" w:cs="Tahoma"/>
          <w:sz w:val="28"/>
          <w:szCs w:val="28"/>
        </w:rPr>
        <w:t xml:space="preserve">a causación del derecho se dio el 9 de octubre de 2012, </w:t>
      </w:r>
      <w:r w:rsidR="00FF2BFD">
        <w:rPr>
          <w:rFonts w:ascii="Arial Narrow" w:hAnsi="Arial Narrow" w:cs="Tahoma"/>
          <w:sz w:val="28"/>
          <w:szCs w:val="28"/>
        </w:rPr>
        <w:t>momento en que el actor cumplió la edad requerida para pensionarse</w:t>
      </w:r>
      <w:r w:rsidR="00777A01">
        <w:rPr>
          <w:rFonts w:ascii="Arial Narrow" w:hAnsi="Arial Narrow" w:cs="Tahoma"/>
          <w:sz w:val="28"/>
          <w:szCs w:val="28"/>
        </w:rPr>
        <w:t xml:space="preserve">; </w:t>
      </w:r>
      <w:r w:rsidR="00FF2BFD">
        <w:rPr>
          <w:rFonts w:ascii="Arial Narrow" w:hAnsi="Arial Narrow" w:cs="Tahoma"/>
          <w:sz w:val="28"/>
          <w:szCs w:val="28"/>
        </w:rPr>
        <w:t xml:space="preserve">la solicitud de reconocimiento de la prestación </w:t>
      </w:r>
      <w:r w:rsidR="00541F61">
        <w:rPr>
          <w:rFonts w:ascii="Arial Narrow" w:hAnsi="Arial Narrow" w:cs="Tahoma"/>
          <w:sz w:val="28"/>
          <w:szCs w:val="28"/>
        </w:rPr>
        <w:t xml:space="preserve">se radicó </w:t>
      </w:r>
      <w:r w:rsidR="00FF2BFD">
        <w:rPr>
          <w:rFonts w:ascii="Arial Narrow" w:hAnsi="Arial Narrow" w:cs="Tahoma"/>
          <w:sz w:val="28"/>
          <w:szCs w:val="28"/>
        </w:rPr>
        <w:t xml:space="preserve">el </w:t>
      </w:r>
      <w:r w:rsidR="00541F61">
        <w:rPr>
          <w:rFonts w:ascii="Arial Narrow" w:hAnsi="Arial Narrow" w:cs="Tahoma"/>
          <w:sz w:val="28"/>
          <w:szCs w:val="28"/>
        </w:rPr>
        <w:t>4 de abril de 2013, según folios 11 y 12 y, l</w:t>
      </w:r>
      <w:r w:rsidR="0009417C">
        <w:rPr>
          <w:rFonts w:ascii="Arial Narrow" w:hAnsi="Arial Narrow" w:cs="Tahoma"/>
          <w:sz w:val="28"/>
          <w:szCs w:val="28"/>
        </w:rPr>
        <w:t xml:space="preserve">a demanda se instauró el 18 de diciembre de 2014, </w:t>
      </w:r>
      <w:r w:rsidR="00541F61">
        <w:rPr>
          <w:rFonts w:ascii="Arial Narrow" w:hAnsi="Arial Narrow" w:cs="Tahoma"/>
          <w:sz w:val="28"/>
          <w:szCs w:val="28"/>
        </w:rPr>
        <w:t>ver folio</w:t>
      </w:r>
      <w:r w:rsidR="0009417C">
        <w:rPr>
          <w:rFonts w:ascii="Arial Narrow" w:hAnsi="Arial Narrow" w:cs="Tahoma"/>
          <w:sz w:val="28"/>
          <w:szCs w:val="28"/>
        </w:rPr>
        <w:t xml:space="preserve"> 8. </w:t>
      </w:r>
    </w:p>
    <w:p w:rsidR="00964986" w:rsidRPr="003A4F84" w:rsidRDefault="00964986" w:rsidP="003A4F84">
      <w:pPr>
        <w:pStyle w:val="Sansinterligne"/>
      </w:pPr>
    </w:p>
    <w:p w:rsidR="00816396" w:rsidRDefault="006B7BB7" w:rsidP="00D7326D">
      <w:pPr>
        <w:pStyle w:val="Corpsdetexte"/>
        <w:spacing w:line="360" w:lineRule="auto"/>
        <w:ind w:firstLine="851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Se confirmará por ende la sentencia objeto de consulta. </w:t>
      </w:r>
    </w:p>
    <w:p w:rsidR="00D7326D" w:rsidRPr="00D7326D" w:rsidRDefault="00D7326D" w:rsidP="00D7326D">
      <w:pPr>
        <w:pStyle w:val="Sansinterligne"/>
      </w:pPr>
    </w:p>
    <w:p w:rsidR="00816396" w:rsidRPr="00C605CD" w:rsidRDefault="00816396" w:rsidP="00816396">
      <w:pPr>
        <w:pStyle w:val="Corpsdetexte"/>
        <w:spacing w:line="360" w:lineRule="auto"/>
        <w:ind w:firstLine="851"/>
        <w:rPr>
          <w:rFonts w:ascii="Arial Narrow" w:hAnsi="Arial Narrow" w:cs="Tahoma"/>
          <w:sz w:val="28"/>
          <w:szCs w:val="28"/>
        </w:rPr>
      </w:pPr>
      <w:r w:rsidRPr="00C605CD">
        <w:rPr>
          <w:rFonts w:ascii="Arial Narrow" w:hAnsi="Arial Narrow" w:cs="Tahoma"/>
          <w:sz w:val="28"/>
          <w:szCs w:val="28"/>
        </w:rPr>
        <w:t xml:space="preserve">Sin costas en esta instancia. </w:t>
      </w:r>
    </w:p>
    <w:p w:rsidR="00816396" w:rsidRPr="003A4F84" w:rsidRDefault="00816396" w:rsidP="003A4F84">
      <w:pPr>
        <w:pStyle w:val="Sansinterligne"/>
      </w:pPr>
    </w:p>
    <w:p w:rsidR="00816396" w:rsidRPr="00C605CD" w:rsidRDefault="00816396" w:rsidP="00816396">
      <w:pPr>
        <w:pStyle w:val="Prrafodelista1"/>
        <w:spacing w:after="0" w:line="360" w:lineRule="auto"/>
        <w:ind w:left="0" w:firstLine="900"/>
        <w:jc w:val="both"/>
        <w:rPr>
          <w:rFonts w:ascii="Arial Narrow" w:hAnsi="Arial Narrow"/>
          <w:sz w:val="28"/>
          <w:szCs w:val="28"/>
        </w:rPr>
      </w:pPr>
      <w:r w:rsidRPr="00C605CD">
        <w:rPr>
          <w:rFonts w:ascii="Arial Narrow" w:hAnsi="Arial Narrow"/>
          <w:sz w:val="28"/>
          <w:szCs w:val="28"/>
        </w:rPr>
        <w:t>En mérito de lo expuesto, el H. Tribunal Superior del Distrito Judicial de Pereira - Risaralda, Sala Laboral, administrando justicia en nombre de la República y por autoridad de la ley,</w:t>
      </w:r>
    </w:p>
    <w:p w:rsidR="00816396" w:rsidRPr="00172C80" w:rsidRDefault="00816396" w:rsidP="00816396">
      <w:pPr>
        <w:spacing w:line="360" w:lineRule="auto"/>
        <w:jc w:val="center"/>
        <w:rPr>
          <w:rFonts w:ascii="Arial Narrow" w:hAnsi="Arial Narrow" w:cs="Arial"/>
          <w:i/>
          <w:sz w:val="28"/>
          <w:szCs w:val="28"/>
        </w:rPr>
      </w:pPr>
      <w:r w:rsidRPr="00172C80">
        <w:rPr>
          <w:rFonts w:ascii="Arial Narrow" w:hAnsi="Arial Narrow" w:cs="Arial"/>
          <w:i/>
          <w:sz w:val="28"/>
          <w:szCs w:val="28"/>
        </w:rPr>
        <w:t>FALLA</w:t>
      </w:r>
    </w:p>
    <w:p w:rsidR="00816396" w:rsidRPr="003A4F84" w:rsidRDefault="00816396" w:rsidP="003A4F84">
      <w:pPr>
        <w:pStyle w:val="Sansinterligne"/>
      </w:pPr>
    </w:p>
    <w:p w:rsidR="00816396" w:rsidRPr="005C328A" w:rsidRDefault="00D7326D" w:rsidP="003A4F84">
      <w:pPr>
        <w:pStyle w:val="Paragraphedeliste"/>
        <w:numPr>
          <w:ilvl w:val="0"/>
          <w:numId w:val="2"/>
        </w:numPr>
        <w:spacing w:line="360" w:lineRule="auto"/>
        <w:ind w:left="0" w:firstLine="360"/>
        <w:jc w:val="both"/>
      </w:pPr>
      <w:r>
        <w:rPr>
          <w:rFonts w:ascii="Arial Narrow" w:hAnsi="Arial Narrow" w:cs="Arial"/>
          <w:i/>
          <w:sz w:val="28"/>
          <w:szCs w:val="28"/>
        </w:rPr>
        <w:t xml:space="preserve">Confirmar </w:t>
      </w:r>
      <w:r w:rsidR="00816396" w:rsidRPr="00172C80">
        <w:rPr>
          <w:rFonts w:ascii="Arial Narrow" w:hAnsi="Arial Narrow" w:cs="Arial"/>
          <w:sz w:val="28"/>
          <w:szCs w:val="28"/>
        </w:rPr>
        <w:t xml:space="preserve">la sentencia proferida el </w:t>
      </w:r>
      <w:r w:rsidR="005C328A">
        <w:rPr>
          <w:rFonts w:ascii="Arial Narrow" w:hAnsi="Arial Narrow" w:cs="Arial"/>
          <w:sz w:val="28"/>
          <w:szCs w:val="28"/>
        </w:rPr>
        <w:t>11 de febrero de 2016 p</w:t>
      </w:r>
      <w:r w:rsidR="00816396" w:rsidRPr="00172C80">
        <w:rPr>
          <w:rFonts w:ascii="Arial Narrow" w:hAnsi="Arial Narrow" w:cs="Arial"/>
          <w:sz w:val="28"/>
          <w:szCs w:val="28"/>
        </w:rPr>
        <w:t>or el Juzgado Primero Laboral del Circuito de Pereira, dentro del proceso ordi</w:t>
      </w:r>
      <w:r w:rsidR="005C328A">
        <w:rPr>
          <w:rFonts w:ascii="Arial Narrow" w:hAnsi="Arial Narrow" w:cs="Arial"/>
          <w:sz w:val="28"/>
          <w:szCs w:val="28"/>
        </w:rPr>
        <w:t xml:space="preserve">nario laboral de la referencia. </w:t>
      </w:r>
    </w:p>
    <w:p w:rsidR="005C328A" w:rsidRPr="00172C80" w:rsidRDefault="005C328A" w:rsidP="005C328A">
      <w:pPr>
        <w:pStyle w:val="Sansinterligne"/>
      </w:pPr>
    </w:p>
    <w:p w:rsidR="00816396" w:rsidRDefault="00816396" w:rsidP="003A4F84">
      <w:pPr>
        <w:pStyle w:val="Paragraphedeliste"/>
        <w:numPr>
          <w:ilvl w:val="0"/>
          <w:numId w:val="2"/>
        </w:numPr>
        <w:spacing w:line="360" w:lineRule="auto"/>
        <w:ind w:left="0" w:firstLine="360"/>
        <w:jc w:val="both"/>
        <w:rPr>
          <w:rFonts w:ascii="Arial Narrow" w:hAnsi="Arial Narrow" w:cs="Arial"/>
          <w:sz w:val="28"/>
          <w:szCs w:val="28"/>
        </w:rPr>
      </w:pPr>
      <w:r w:rsidRPr="00172C80">
        <w:rPr>
          <w:rFonts w:ascii="Arial Narrow" w:hAnsi="Arial Narrow" w:cs="Arial"/>
          <w:sz w:val="28"/>
          <w:szCs w:val="28"/>
        </w:rPr>
        <w:t>Sin costas en esta instancia por tratarse del grado jurisdiccional de consulta.</w:t>
      </w:r>
    </w:p>
    <w:p w:rsidR="00816396" w:rsidRPr="00172C80" w:rsidRDefault="00816396" w:rsidP="00816396">
      <w:pPr>
        <w:pStyle w:val="Paragraphedeliste"/>
        <w:rPr>
          <w:rFonts w:ascii="Arial Narrow" w:hAnsi="Arial Narrow" w:cs="Arial"/>
          <w:sz w:val="28"/>
          <w:szCs w:val="28"/>
        </w:rPr>
      </w:pPr>
    </w:p>
    <w:p w:rsidR="00816396" w:rsidRPr="00172C80" w:rsidRDefault="00816396" w:rsidP="00816396">
      <w:pPr>
        <w:spacing w:line="360" w:lineRule="auto"/>
        <w:ind w:firstLine="900"/>
        <w:jc w:val="both"/>
        <w:rPr>
          <w:rFonts w:ascii="Arial Narrow" w:hAnsi="Arial Narrow" w:cs="Microsoft Sans Serif"/>
          <w:bCs/>
          <w:i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/>
          <w:iCs/>
          <w:sz w:val="28"/>
          <w:szCs w:val="28"/>
          <w:lang w:val="es-ES"/>
        </w:rPr>
        <w:t>NOTIFÍQUESE, CÚMPLASE Y DEVUÉLVASE.</w:t>
      </w:r>
    </w:p>
    <w:p w:rsidR="00816396" w:rsidRPr="00172C80" w:rsidRDefault="00816396" w:rsidP="00816396">
      <w:pPr>
        <w:pStyle w:val="Sansinterligne"/>
        <w:rPr>
          <w:sz w:val="28"/>
          <w:szCs w:val="28"/>
          <w:lang w:val="es-ES"/>
        </w:rPr>
      </w:pPr>
    </w:p>
    <w:p w:rsidR="00816396" w:rsidRPr="00172C80" w:rsidRDefault="00816396" w:rsidP="00816396">
      <w:pPr>
        <w:spacing w:line="360" w:lineRule="auto"/>
        <w:ind w:firstLine="900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La anterior decisión queda notificada en estrados.</w:t>
      </w:r>
    </w:p>
    <w:p w:rsidR="00816396" w:rsidRPr="00172C80" w:rsidRDefault="00816396" w:rsidP="00816396">
      <w:pPr>
        <w:ind w:firstLine="900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816396" w:rsidRPr="00172C80" w:rsidRDefault="00816396" w:rsidP="00816396">
      <w:pPr>
        <w:pStyle w:val="Sansinterligne"/>
        <w:rPr>
          <w:lang w:val="es-ES"/>
        </w:rPr>
      </w:pPr>
    </w:p>
    <w:p w:rsidR="00816396" w:rsidRPr="00172C80" w:rsidRDefault="00816396" w:rsidP="00816396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816396" w:rsidRPr="00172C80" w:rsidRDefault="00816396" w:rsidP="00816396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816396" w:rsidRPr="00172C80" w:rsidRDefault="00816396" w:rsidP="00816396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FRANCISCO JAVIER TAMAYO TABARES</w:t>
      </w:r>
    </w:p>
    <w:p w:rsidR="00816396" w:rsidRPr="00172C80" w:rsidRDefault="00816396" w:rsidP="00816396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Magistrado Ponente</w:t>
      </w:r>
    </w:p>
    <w:p w:rsidR="00816396" w:rsidRPr="00172C80" w:rsidRDefault="00816396" w:rsidP="00816396">
      <w:pPr>
        <w:ind w:firstLine="900"/>
        <w:jc w:val="both"/>
        <w:rPr>
          <w:rFonts w:ascii="Arial Narrow" w:hAnsi="Arial Narrow" w:cs="Microsoft Sans Serif"/>
          <w:sz w:val="28"/>
          <w:szCs w:val="28"/>
          <w:lang w:val="es-ES"/>
        </w:rPr>
      </w:pPr>
    </w:p>
    <w:p w:rsidR="00816396" w:rsidRDefault="00816396" w:rsidP="00816396">
      <w:pPr>
        <w:ind w:firstLine="900"/>
        <w:jc w:val="both"/>
        <w:rPr>
          <w:rFonts w:ascii="Arial Narrow" w:hAnsi="Arial Narrow" w:cs="Microsoft Sans Serif"/>
          <w:sz w:val="28"/>
          <w:szCs w:val="28"/>
          <w:lang w:val="es-ES"/>
        </w:rPr>
      </w:pPr>
      <w:bookmarkStart w:id="0" w:name="_GoBack"/>
      <w:bookmarkEnd w:id="0"/>
    </w:p>
    <w:p w:rsidR="00816396" w:rsidRPr="00172C80" w:rsidRDefault="00816396" w:rsidP="00816396">
      <w:pPr>
        <w:ind w:firstLine="900"/>
        <w:jc w:val="both"/>
        <w:rPr>
          <w:rFonts w:ascii="Arial Narrow" w:hAnsi="Arial Narrow" w:cs="Microsoft Sans Serif"/>
          <w:sz w:val="28"/>
          <w:szCs w:val="28"/>
          <w:lang w:val="es-ES"/>
        </w:rPr>
      </w:pPr>
    </w:p>
    <w:p w:rsidR="00816396" w:rsidRPr="00172C80" w:rsidRDefault="00816396" w:rsidP="00816396">
      <w:pPr>
        <w:spacing w:line="360" w:lineRule="auto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816396" w:rsidRPr="00172C80" w:rsidRDefault="00816396" w:rsidP="00816396">
      <w:pPr>
        <w:jc w:val="both"/>
        <w:rPr>
          <w:rFonts w:ascii="Arial Narrow" w:hAnsi="Arial Narrow" w:cs="Microsoft Sans Serif"/>
          <w:sz w:val="28"/>
          <w:szCs w:val="28"/>
          <w:lang w:val="es-ES"/>
        </w:rPr>
      </w:pPr>
      <w:r>
        <w:rPr>
          <w:rFonts w:ascii="Arial Narrow" w:hAnsi="Arial Narrow" w:cs="Microsoft Sans Serif"/>
          <w:bCs/>
          <w:iCs/>
          <w:sz w:val="28"/>
          <w:szCs w:val="28"/>
          <w:lang w:val="es-ES"/>
        </w:rPr>
        <w:t xml:space="preserve">OLGA LUCIA HOYOS SEPÚLVEDA </w:t>
      </w:r>
      <w:r w:rsidRPr="00172C80">
        <w:rPr>
          <w:rFonts w:ascii="Arial Narrow" w:hAnsi="Arial Narrow" w:cs="Microsoft Sans Serif"/>
          <w:sz w:val="28"/>
          <w:szCs w:val="28"/>
          <w:lang w:val="es-ES"/>
        </w:rPr>
        <w:t xml:space="preserve"> </w:t>
      </w:r>
      <w:r w:rsidRPr="00172C80">
        <w:rPr>
          <w:rFonts w:ascii="Arial Narrow" w:hAnsi="Arial Narrow" w:cs="Microsoft Sans Serif"/>
          <w:sz w:val="28"/>
          <w:szCs w:val="28"/>
          <w:lang w:val="es-ES"/>
        </w:rPr>
        <w:tab/>
      </w:r>
      <w:r w:rsidRPr="00172C80">
        <w:rPr>
          <w:rFonts w:ascii="Arial Narrow" w:hAnsi="Arial Narrow" w:cs="Microsoft Sans Serif"/>
          <w:sz w:val="28"/>
          <w:szCs w:val="28"/>
          <w:lang w:val="es-ES"/>
        </w:rPr>
        <w:tab/>
        <w:t xml:space="preserve">  </w:t>
      </w: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 xml:space="preserve">ANA LUCÍA CAICEDO CALDERÓN                    </w:t>
      </w:r>
    </w:p>
    <w:p w:rsidR="00816396" w:rsidRPr="00172C80" w:rsidRDefault="00816396" w:rsidP="00816396">
      <w:pPr>
        <w:ind w:left="192" w:firstLine="708"/>
        <w:jc w:val="both"/>
        <w:rPr>
          <w:rFonts w:ascii="Arial Narrow" w:hAnsi="Arial Narrow" w:cs="Microsoft Sans Serif"/>
          <w:sz w:val="28"/>
          <w:szCs w:val="28"/>
          <w:lang w:val="es-ES"/>
        </w:rPr>
      </w:pPr>
      <w:r>
        <w:rPr>
          <w:rFonts w:ascii="Arial Narrow" w:hAnsi="Arial Narrow" w:cs="Microsoft Sans Serif"/>
          <w:sz w:val="28"/>
          <w:szCs w:val="28"/>
          <w:lang w:val="es-ES"/>
        </w:rPr>
        <w:t xml:space="preserve">      Magistrada</w:t>
      </w:r>
      <w:r w:rsidRPr="00172C80">
        <w:rPr>
          <w:rFonts w:ascii="Arial Narrow" w:hAnsi="Arial Narrow" w:cs="Microsoft Sans Serif"/>
          <w:sz w:val="28"/>
          <w:szCs w:val="28"/>
          <w:lang w:val="es-ES"/>
        </w:rPr>
        <w:tab/>
      </w:r>
      <w:r w:rsidRPr="00172C80">
        <w:rPr>
          <w:rFonts w:ascii="Arial Narrow" w:hAnsi="Arial Narrow" w:cs="Microsoft Sans Serif"/>
          <w:sz w:val="28"/>
          <w:szCs w:val="28"/>
          <w:lang w:val="es-ES"/>
        </w:rPr>
        <w:tab/>
      </w:r>
      <w:r w:rsidRPr="00172C80">
        <w:rPr>
          <w:rFonts w:ascii="Arial Narrow" w:hAnsi="Arial Narrow" w:cs="Microsoft Sans Serif"/>
          <w:sz w:val="28"/>
          <w:szCs w:val="28"/>
          <w:lang w:val="es-ES"/>
        </w:rPr>
        <w:tab/>
        <w:t xml:space="preserve">                                 </w:t>
      </w:r>
      <w:proofErr w:type="spellStart"/>
      <w:r w:rsidRPr="00172C80">
        <w:rPr>
          <w:rFonts w:ascii="Arial Narrow" w:hAnsi="Arial Narrow" w:cs="Microsoft Sans Serif"/>
          <w:sz w:val="28"/>
          <w:szCs w:val="28"/>
          <w:lang w:val="es-ES"/>
        </w:rPr>
        <w:t>Magistrada</w:t>
      </w:r>
      <w:proofErr w:type="spellEnd"/>
      <w:r w:rsidRPr="00172C80">
        <w:rPr>
          <w:rFonts w:ascii="Arial Narrow" w:hAnsi="Arial Narrow" w:cs="Microsoft Sans Serif"/>
          <w:sz w:val="28"/>
          <w:szCs w:val="28"/>
          <w:lang w:val="es-ES"/>
        </w:rPr>
        <w:t xml:space="preserve"> </w:t>
      </w:r>
    </w:p>
    <w:p w:rsidR="00816396" w:rsidRDefault="00816396" w:rsidP="003A4F84">
      <w:pPr>
        <w:pStyle w:val="Sansinterligne"/>
        <w:rPr>
          <w:lang w:val="es-ES"/>
        </w:rPr>
      </w:pPr>
      <w:r w:rsidRPr="00172C80">
        <w:rPr>
          <w:lang w:val="es-ES"/>
        </w:rPr>
        <w:tab/>
      </w:r>
      <w:r w:rsidRPr="00172C80">
        <w:rPr>
          <w:lang w:val="es-ES"/>
        </w:rPr>
        <w:tab/>
        <w:t xml:space="preserve">                                          </w:t>
      </w:r>
    </w:p>
    <w:p w:rsidR="003A4F84" w:rsidRPr="00172C80" w:rsidRDefault="003A4F84" w:rsidP="003A4F84">
      <w:pPr>
        <w:pStyle w:val="Sansinterligne"/>
        <w:rPr>
          <w:lang w:val="es-ES"/>
        </w:rPr>
      </w:pPr>
    </w:p>
    <w:p w:rsidR="00816396" w:rsidRPr="00172C80" w:rsidRDefault="00816396" w:rsidP="00816396">
      <w:pPr>
        <w:pStyle w:val="Sansinterligne"/>
        <w:jc w:val="center"/>
        <w:rPr>
          <w:rFonts w:ascii="Arial Narrow" w:hAnsi="Arial Narrow"/>
          <w:sz w:val="28"/>
          <w:szCs w:val="28"/>
          <w:lang w:val="es-ES"/>
        </w:rPr>
      </w:pPr>
    </w:p>
    <w:p w:rsidR="00816396" w:rsidRPr="00172C80" w:rsidRDefault="00816396" w:rsidP="00816396">
      <w:pPr>
        <w:pStyle w:val="Sansinterligne"/>
        <w:jc w:val="center"/>
        <w:rPr>
          <w:rFonts w:ascii="Arial Narrow" w:hAnsi="Arial Narrow"/>
          <w:sz w:val="28"/>
          <w:szCs w:val="28"/>
          <w:lang w:val="es-ES"/>
        </w:rPr>
      </w:pPr>
      <w:r w:rsidRPr="00172C80">
        <w:rPr>
          <w:rFonts w:ascii="Arial Narrow" w:hAnsi="Arial Narrow"/>
          <w:sz w:val="28"/>
          <w:szCs w:val="28"/>
          <w:lang w:val="es-ES"/>
        </w:rPr>
        <w:t>ALONSO GAVIRIA OCAMPO</w:t>
      </w:r>
    </w:p>
    <w:p w:rsidR="00816396" w:rsidRPr="00172C80" w:rsidRDefault="00816396" w:rsidP="00816396">
      <w:pPr>
        <w:pStyle w:val="Sansinterligne"/>
        <w:jc w:val="center"/>
        <w:rPr>
          <w:rFonts w:ascii="Arial Narrow" w:hAnsi="Arial Narrow"/>
          <w:sz w:val="28"/>
          <w:szCs w:val="28"/>
          <w:lang w:val="es-ES"/>
        </w:rPr>
      </w:pPr>
      <w:r w:rsidRPr="00172C80">
        <w:rPr>
          <w:rFonts w:ascii="Arial Narrow" w:hAnsi="Arial Narrow"/>
          <w:sz w:val="28"/>
          <w:szCs w:val="28"/>
          <w:lang w:val="es-ES"/>
        </w:rPr>
        <w:t>Secretario</w:t>
      </w:r>
    </w:p>
    <w:sectPr w:rsidR="00816396" w:rsidRPr="00172C80" w:rsidSect="00291902">
      <w:headerReference w:type="default" r:id="rId9"/>
      <w:footerReference w:type="even" r:id="rId10"/>
      <w:footerReference w:type="default" r:id="rId11"/>
      <w:pgSz w:w="12242" w:h="18722" w:code="12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27" w:rsidRDefault="003A1D27" w:rsidP="00816396">
      <w:r>
        <w:separator/>
      </w:r>
    </w:p>
  </w:endnote>
  <w:endnote w:type="continuationSeparator" w:id="0">
    <w:p w:rsidR="003A1D27" w:rsidRDefault="003A1D27" w:rsidP="0081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44" w:rsidRDefault="00C9396B" w:rsidP="002919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F2044" w:rsidRDefault="003A1D27" w:rsidP="0029190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44" w:rsidRDefault="00C9396B" w:rsidP="002919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97866">
      <w:rPr>
        <w:rStyle w:val="Numrodepage"/>
        <w:noProof/>
      </w:rPr>
      <w:t>6</w:t>
    </w:r>
    <w:r>
      <w:rPr>
        <w:rStyle w:val="Numrodepage"/>
      </w:rPr>
      <w:fldChar w:fldCharType="end"/>
    </w:r>
  </w:p>
  <w:p w:rsidR="004F2044" w:rsidRDefault="003A1D27" w:rsidP="0029190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27" w:rsidRDefault="003A1D27" w:rsidP="00816396">
      <w:r>
        <w:separator/>
      </w:r>
    </w:p>
  </w:footnote>
  <w:footnote w:type="continuationSeparator" w:id="0">
    <w:p w:rsidR="003A1D27" w:rsidRDefault="003A1D27" w:rsidP="00816396">
      <w:r>
        <w:continuationSeparator/>
      </w:r>
    </w:p>
  </w:footnote>
  <w:footnote w:id="1">
    <w:p w:rsidR="0076138C" w:rsidRPr="0076138C" w:rsidRDefault="0076138C" w:rsidP="003371CD">
      <w:pPr>
        <w:pStyle w:val="Corpsdetexte"/>
        <w:rPr>
          <w:rFonts w:ascii="Arial Narrow" w:hAnsi="Arial Narrow"/>
          <w:sz w:val="18"/>
          <w:szCs w:val="18"/>
          <w:lang w:val="es-CO"/>
        </w:rPr>
      </w:pPr>
      <w:r>
        <w:rPr>
          <w:rStyle w:val="Appelnotedebasdep"/>
        </w:rPr>
        <w:footnoteRef/>
      </w:r>
      <w:r w:rsidRPr="003371CD">
        <w:rPr>
          <w:sz w:val="18"/>
          <w:szCs w:val="18"/>
        </w:rPr>
        <w:t xml:space="preserve"> </w:t>
      </w:r>
      <w:r w:rsidR="003A4F84" w:rsidRPr="003A4F84">
        <w:rPr>
          <w:rFonts w:ascii="Arial Narrow" w:hAnsi="Arial Narrow"/>
          <w:sz w:val="16"/>
          <w:szCs w:val="16"/>
        </w:rPr>
        <w:t xml:space="preserve">Art. 37  Ley 100/93. </w:t>
      </w:r>
      <w:r w:rsidR="003371CD" w:rsidRPr="003A4F84">
        <w:rPr>
          <w:rFonts w:ascii="Arial Narrow" w:hAnsi="Arial Narrow"/>
          <w:sz w:val="16"/>
          <w:szCs w:val="16"/>
        </w:rPr>
        <w:t>La</w:t>
      </w:r>
      <w:r w:rsidRPr="003A4F84">
        <w:rPr>
          <w:rFonts w:ascii="Arial Narrow" w:hAnsi="Arial Narrow"/>
          <w:sz w:val="16"/>
          <w:szCs w:val="16"/>
          <w:lang w:val="es-CO"/>
        </w:rPr>
        <w:t xml:space="preserve"> indemnización sus</w:t>
      </w:r>
      <w:r w:rsidR="003371CD" w:rsidRPr="003A4F84">
        <w:rPr>
          <w:rFonts w:ascii="Arial Narrow" w:hAnsi="Arial Narrow"/>
          <w:sz w:val="16"/>
          <w:szCs w:val="16"/>
          <w:lang w:val="es-CO"/>
        </w:rPr>
        <w:t xml:space="preserve">titutiva de la pensión de vejez. Las personas que </w:t>
      </w:r>
      <w:r w:rsidRPr="003A4F84">
        <w:rPr>
          <w:rFonts w:ascii="Arial Narrow" w:hAnsi="Arial Narrow"/>
          <w:sz w:val="16"/>
          <w:szCs w:val="16"/>
          <w:lang w:val="es-CO"/>
        </w:rPr>
        <w:t>habiendo cumplido la edad</w:t>
      </w:r>
      <w:r w:rsidR="003371CD" w:rsidRPr="003A4F84">
        <w:rPr>
          <w:rFonts w:ascii="Arial Narrow" w:hAnsi="Arial Narrow"/>
          <w:sz w:val="16"/>
          <w:szCs w:val="16"/>
          <w:lang w:val="es-CO"/>
        </w:rPr>
        <w:t xml:space="preserve"> para obtener la pensión de vejez</w:t>
      </w:r>
      <w:r w:rsidRPr="003A4F84">
        <w:rPr>
          <w:rFonts w:ascii="Arial Narrow" w:hAnsi="Arial Narrow"/>
          <w:sz w:val="16"/>
          <w:szCs w:val="16"/>
          <w:lang w:val="es-CO"/>
        </w:rPr>
        <w:t>, no haya c</w:t>
      </w:r>
      <w:r w:rsidR="003371CD" w:rsidRPr="003A4F84">
        <w:rPr>
          <w:rFonts w:ascii="Arial Narrow" w:hAnsi="Arial Narrow"/>
          <w:sz w:val="16"/>
          <w:szCs w:val="16"/>
          <w:lang w:val="es-CO"/>
        </w:rPr>
        <w:t>otizado el mínimo de semanas exigidas, y declaren su imposibilidad de continuar cotizando, tendrán derecho a recibir, en sustitución</w:t>
      </w:r>
      <w:proofErr w:type="gramStart"/>
      <w:r w:rsidR="003371CD" w:rsidRPr="003A4F84">
        <w:rPr>
          <w:rFonts w:ascii="Arial Narrow" w:hAnsi="Arial Narrow"/>
          <w:sz w:val="16"/>
          <w:szCs w:val="16"/>
          <w:lang w:val="es-CO"/>
        </w:rPr>
        <w:t>,,</w:t>
      </w:r>
      <w:proofErr w:type="gramEnd"/>
      <w:r w:rsidR="003371CD" w:rsidRPr="003A4F84">
        <w:rPr>
          <w:rFonts w:ascii="Arial Narrow" w:hAnsi="Arial Narrow"/>
          <w:sz w:val="16"/>
          <w:szCs w:val="16"/>
          <w:lang w:val="es-CO"/>
        </w:rPr>
        <w:t xml:space="preserve"> una indemnización </w:t>
      </w:r>
      <w:r w:rsidRPr="003A4F84">
        <w:rPr>
          <w:rFonts w:ascii="Arial Narrow" w:hAnsi="Arial Narrow"/>
          <w:sz w:val="16"/>
          <w:szCs w:val="16"/>
          <w:lang w:val="es-CO"/>
        </w:rPr>
        <w:t>equivalente a un salario base de liquidación promedio semanal multiplicado por el número de semanas cotizadas</w:t>
      </w:r>
      <w:r w:rsidR="003371CD" w:rsidRPr="003A4F84">
        <w:rPr>
          <w:rFonts w:ascii="Arial Narrow" w:hAnsi="Arial Narrow"/>
          <w:sz w:val="16"/>
          <w:szCs w:val="16"/>
          <w:lang w:val="es-CO"/>
        </w:rPr>
        <w:t xml:space="preserve">; al resultado así obtenido se le aplica el </w:t>
      </w:r>
      <w:r w:rsidRPr="003A4F84">
        <w:rPr>
          <w:rFonts w:ascii="Arial Narrow" w:hAnsi="Arial Narrow"/>
          <w:sz w:val="16"/>
          <w:szCs w:val="16"/>
          <w:lang w:val="es-CO"/>
        </w:rPr>
        <w:t>promedio ponderado de los porcentajes</w:t>
      </w:r>
      <w:r w:rsidR="003371CD" w:rsidRPr="003A4F84">
        <w:rPr>
          <w:rFonts w:ascii="Arial Narrow" w:hAnsi="Arial Narrow"/>
          <w:sz w:val="16"/>
          <w:szCs w:val="16"/>
          <w:lang w:val="es-CO"/>
        </w:rPr>
        <w:t xml:space="preserve"> sobre los cuales haya cotizado el afiliado.</w:t>
      </w:r>
    </w:p>
    <w:p w:rsidR="0076138C" w:rsidRPr="0076138C" w:rsidRDefault="0076138C">
      <w:pPr>
        <w:pStyle w:val="Notedebasdepag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96" w:rsidRDefault="00C9396B" w:rsidP="00291902">
    <w:pPr>
      <w:jc w:val="both"/>
      <w:rPr>
        <w:rFonts w:ascii="Arial Narrow" w:hAnsi="Arial Narrow" w:cs="Arial"/>
        <w:bCs/>
        <w:sz w:val="16"/>
        <w:szCs w:val="16"/>
      </w:rPr>
    </w:pPr>
    <w:r w:rsidRPr="00291902">
      <w:rPr>
        <w:rFonts w:ascii="Arial Narrow" w:hAnsi="Arial Narrow" w:cs="Arial"/>
        <w:bCs/>
        <w:sz w:val="16"/>
        <w:szCs w:val="16"/>
      </w:rPr>
      <w:t>Radicación No: 66001-31-05-00</w:t>
    </w:r>
    <w:r>
      <w:rPr>
        <w:rFonts w:ascii="Arial Narrow" w:hAnsi="Arial Narrow" w:cs="Arial"/>
        <w:bCs/>
        <w:sz w:val="16"/>
        <w:szCs w:val="16"/>
      </w:rPr>
      <w:t>1-2014-00</w:t>
    </w:r>
    <w:r w:rsidR="00816396">
      <w:rPr>
        <w:rFonts w:ascii="Arial Narrow" w:hAnsi="Arial Narrow" w:cs="Arial"/>
        <w:bCs/>
        <w:sz w:val="16"/>
        <w:szCs w:val="16"/>
      </w:rPr>
      <w:t>682-01</w:t>
    </w:r>
  </w:p>
  <w:p w:rsidR="004F2044" w:rsidRPr="00291902" w:rsidRDefault="00816396" w:rsidP="00291902">
    <w:pPr>
      <w:jc w:val="both"/>
      <w:rPr>
        <w:rFonts w:ascii="Arial Narrow" w:hAnsi="Arial Narrow" w:cs="Arial"/>
        <w:bCs/>
        <w:iCs/>
        <w:sz w:val="16"/>
        <w:szCs w:val="16"/>
      </w:rPr>
    </w:pPr>
    <w:r>
      <w:rPr>
        <w:rFonts w:ascii="Arial Narrow" w:hAnsi="Arial Narrow" w:cs="Arial"/>
        <w:bCs/>
        <w:sz w:val="16"/>
        <w:szCs w:val="16"/>
      </w:rPr>
      <w:t xml:space="preserve">Fernando Londoño Bermúdez </w:t>
    </w:r>
    <w:r w:rsidR="00C9396B" w:rsidRPr="00291902">
      <w:rPr>
        <w:rFonts w:ascii="Arial Narrow" w:hAnsi="Arial Narrow" w:cs="Arial"/>
        <w:bCs/>
        <w:sz w:val="16"/>
        <w:szCs w:val="16"/>
      </w:rPr>
      <w:t xml:space="preserve">vs </w:t>
    </w:r>
    <w:proofErr w:type="spellStart"/>
    <w:r w:rsidR="00C9396B" w:rsidRPr="00291902">
      <w:rPr>
        <w:rFonts w:ascii="Arial Narrow" w:hAnsi="Arial Narrow" w:cs="Arial"/>
        <w:bCs/>
        <w:sz w:val="16"/>
        <w:szCs w:val="16"/>
      </w:rPr>
      <w:t>Colpensiones</w:t>
    </w:r>
    <w:proofErr w:type="spellEnd"/>
  </w:p>
  <w:p w:rsidR="004F2044" w:rsidRDefault="003A1D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E22"/>
    <w:multiLevelType w:val="multilevel"/>
    <w:tmpl w:val="91749314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24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7" w:hanging="1800"/>
      </w:pPr>
      <w:rPr>
        <w:rFonts w:hint="default"/>
      </w:rPr>
    </w:lvl>
  </w:abstractNum>
  <w:abstractNum w:abstractNumId="1">
    <w:nsid w:val="3E940137"/>
    <w:multiLevelType w:val="hybridMultilevel"/>
    <w:tmpl w:val="B50657D0"/>
    <w:lvl w:ilvl="0" w:tplc="5E52D82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96"/>
    <w:rsid w:val="00066931"/>
    <w:rsid w:val="0009417C"/>
    <w:rsid w:val="00095C0D"/>
    <w:rsid w:val="000D3271"/>
    <w:rsid w:val="000D6C2E"/>
    <w:rsid w:val="000E10F2"/>
    <w:rsid w:val="000E1D6B"/>
    <w:rsid w:val="001975C9"/>
    <w:rsid w:val="001A27BB"/>
    <w:rsid w:val="001B019D"/>
    <w:rsid w:val="001D419E"/>
    <w:rsid w:val="0020635E"/>
    <w:rsid w:val="00245372"/>
    <w:rsid w:val="00266244"/>
    <w:rsid w:val="002844EE"/>
    <w:rsid w:val="00294A9B"/>
    <w:rsid w:val="00297866"/>
    <w:rsid w:val="002C7403"/>
    <w:rsid w:val="002D33E5"/>
    <w:rsid w:val="002E62DE"/>
    <w:rsid w:val="003371CD"/>
    <w:rsid w:val="00355B40"/>
    <w:rsid w:val="003624A4"/>
    <w:rsid w:val="00365E99"/>
    <w:rsid w:val="0036664A"/>
    <w:rsid w:val="003A1D27"/>
    <w:rsid w:val="003A4F84"/>
    <w:rsid w:val="003B4B03"/>
    <w:rsid w:val="003C00FF"/>
    <w:rsid w:val="00407A7F"/>
    <w:rsid w:val="0041456B"/>
    <w:rsid w:val="00424EE9"/>
    <w:rsid w:val="004302AD"/>
    <w:rsid w:val="004746A2"/>
    <w:rsid w:val="00486A40"/>
    <w:rsid w:val="004A20B6"/>
    <w:rsid w:val="004B70CA"/>
    <w:rsid w:val="004E57A1"/>
    <w:rsid w:val="00541F61"/>
    <w:rsid w:val="00545542"/>
    <w:rsid w:val="005C328A"/>
    <w:rsid w:val="005D77A9"/>
    <w:rsid w:val="006012FC"/>
    <w:rsid w:val="0060780B"/>
    <w:rsid w:val="00613100"/>
    <w:rsid w:val="006356C8"/>
    <w:rsid w:val="006B7BB7"/>
    <w:rsid w:val="006D24F1"/>
    <w:rsid w:val="006F2C42"/>
    <w:rsid w:val="0076138C"/>
    <w:rsid w:val="00777A01"/>
    <w:rsid w:val="007913AB"/>
    <w:rsid w:val="007C2AC6"/>
    <w:rsid w:val="007C38E1"/>
    <w:rsid w:val="00816396"/>
    <w:rsid w:val="00857138"/>
    <w:rsid w:val="00943AE3"/>
    <w:rsid w:val="009554F1"/>
    <w:rsid w:val="00964986"/>
    <w:rsid w:val="00995E8E"/>
    <w:rsid w:val="009B41D1"/>
    <w:rsid w:val="009C5A64"/>
    <w:rsid w:val="00A16450"/>
    <w:rsid w:val="00A423D9"/>
    <w:rsid w:val="00A73E87"/>
    <w:rsid w:val="00A7733F"/>
    <w:rsid w:val="00AE4573"/>
    <w:rsid w:val="00B00CA1"/>
    <w:rsid w:val="00B53758"/>
    <w:rsid w:val="00B666A3"/>
    <w:rsid w:val="00B75ACD"/>
    <w:rsid w:val="00BD0280"/>
    <w:rsid w:val="00BE7032"/>
    <w:rsid w:val="00C179CC"/>
    <w:rsid w:val="00C27C80"/>
    <w:rsid w:val="00C35CA1"/>
    <w:rsid w:val="00C62C22"/>
    <w:rsid w:val="00C76038"/>
    <w:rsid w:val="00C9396B"/>
    <w:rsid w:val="00CD5ACD"/>
    <w:rsid w:val="00D21AD7"/>
    <w:rsid w:val="00D7326D"/>
    <w:rsid w:val="00D86D84"/>
    <w:rsid w:val="00DA5035"/>
    <w:rsid w:val="00DC3A5C"/>
    <w:rsid w:val="00E11278"/>
    <w:rsid w:val="00E24B19"/>
    <w:rsid w:val="00E52E6E"/>
    <w:rsid w:val="00E921B9"/>
    <w:rsid w:val="00EA4D35"/>
    <w:rsid w:val="00EE753D"/>
    <w:rsid w:val="00F44424"/>
    <w:rsid w:val="00F47816"/>
    <w:rsid w:val="00F665F5"/>
    <w:rsid w:val="00FE47BD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816396"/>
    <w:rPr>
      <w:rFonts w:ascii="Arial" w:hAnsi="Arial" w:cs="Arial"/>
      <w:sz w:val="24"/>
      <w:lang w:val="es-ES_tradnl" w:eastAsia="es-ES"/>
    </w:rPr>
  </w:style>
  <w:style w:type="paragraph" w:styleId="Corpsdetexte">
    <w:name w:val="Body Text"/>
    <w:basedOn w:val="Normal"/>
    <w:link w:val="CorpsdetexteCar"/>
    <w:rsid w:val="00816396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Policepardfaut"/>
    <w:uiPriority w:val="99"/>
    <w:semiHidden/>
    <w:rsid w:val="0081639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depage">
    <w:name w:val="footer"/>
    <w:basedOn w:val="Normal"/>
    <w:link w:val="PieddepageCar"/>
    <w:uiPriority w:val="99"/>
    <w:rsid w:val="0081639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39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umrodepage">
    <w:name w:val="page number"/>
    <w:basedOn w:val="Policepardfaut"/>
    <w:rsid w:val="00816396"/>
  </w:style>
  <w:style w:type="paragraph" w:styleId="En-tte">
    <w:name w:val="header"/>
    <w:basedOn w:val="Normal"/>
    <w:link w:val="En-tteCar"/>
    <w:uiPriority w:val="99"/>
    <w:rsid w:val="0081639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81639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816396"/>
    <w:pPr>
      <w:spacing w:line="360" w:lineRule="auto"/>
      <w:jc w:val="both"/>
    </w:pPr>
    <w:rPr>
      <w:rFonts w:ascii="Arial" w:hAnsi="Arial"/>
      <w:sz w:val="28"/>
    </w:rPr>
  </w:style>
  <w:style w:type="paragraph" w:customStyle="1" w:styleId="Prrafodelista1">
    <w:name w:val="Párrafo de lista1"/>
    <w:basedOn w:val="Normal"/>
    <w:rsid w:val="008163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ansinterligne">
    <w:name w:val="No Spacing"/>
    <w:uiPriority w:val="1"/>
    <w:qFormat/>
    <w:rsid w:val="00816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aragraphedeliste">
    <w:name w:val="List Paragraph"/>
    <w:basedOn w:val="Normal"/>
    <w:uiPriority w:val="34"/>
    <w:qFormat/>
    <w:rsid w:val="0081639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81639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163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Appelnotedebasdep">
    <w:name w:val="footnote reference"/>
    <w:semiHidden/>
    <w:rsid w:val="00816396"/>
    <w:rPr>
      <w:vertAlign w:val="superscript"/>
    </w:rPr>
  </w:style>
  <w:style w:type="paragraph" w:customStyle="1" w:styleId="Textoindependiente32">
    <w:name w:val="Texto independiente 32"/>
    <w:basedOn w:val="Normal"/>
    <w:rsid w:val="00F44424"/>
    <w:pPr>
      <w:spacing w:line="360" w:lineRule="auto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816396"/>
    <w:rPr>
      <w:rFonts w:ascii="Arial" w:hAnsi="Arial" w:cs="Arial"/>
      <w:sz w:val="24"/>
      <w:lang w:val="es-ES_tradnl" w:eastAsia="es-ES"/>
    </w:rPr>
  </w:style>
  <w:style w:type="paragraph" w:styleId="Corpsdetexte">
    <w:name w:val="Body Text"/>
    <w:basedOn w:val="Normal"/>
    <w:link w:val="CorpsdetexteCar"/>
    <w:rsid w:val="00816396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Policepardfaut"/>
    <w:uiPriority w:val="99"/>
    <w:semiHidden/>
    <w:rsid w:val="0081639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depage">
    <w:name w:val="footer"/>
    <w:basedOn w:val="Normal"/>
    <w:link w:val="PieddepageCar"/>
    <w:uiPriority w:val="99"/>
    <w:rsid w:val="0081639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39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umrodepage">
    <w:name w:val="page number"/>
    <w:basedOn w:val="Policepardfaut"/>
    <w:rsid w:val="00816396"/>
  </w:style>
  <w:style w:type="paragraph" w:styleId="En-tte">
    <w:name w:val="header"/>
    <w:basedOn w:val="Normal"/>
    <w:link w:val="En-tteCar"/>
    <w:uiPriority w:val="99"/>
    <w:rsid w:val="0081639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81639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816396"/>
    <w:pPr>
      <w:spacing w:line="360" w:lineRule="auto"/>
      <w:jc w:val="both"/>
    </w:pPr>
    <w:rPr>
      <w:rFonts w:ascii="Arial" w:hAnsi="Arial"/>
      <w:sz w:val="28"/>
    </w:rPr>
  </w:style>
  <w:style w:type="paragraph" w:customStyle="1" w:styleId="Prrafodelista1">
    <w:name w:val="Párrafo de lista1"/>
    <w:basedOn w:val="Normal"/>
    <w:rsid w:val="008163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ansinterligne">
    <w:name w:val="No Spacing"/>
    <w:uiPriority w:val="1"/>
    <w:qFormat/>
    <w:rsid w:val="00816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aragraphedeliste">
    <w:name w:val="List Paragraph"/>
    <w:basedOn w:val="Normal"/>
    <w:uiPriority w:val="34"/>
    <w:qFormat/>
    <w:rsid w:val="0081639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81639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163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Appelnotedebasdep">
    <w:name w:val="footnote reference"/>
    <w:semiHidden/>
    <w:rsid w:val="00816396"/>
    <w:rPr>
      <w:vertAlign w:val="superscript"/>
    </w:rPr>
  </w:style>
  <w:style w:type="paragraph" w:customStyle="1" w:styleId="Textoindependiente32">
    <w:name w:val="Texto independiente 32"/>
    <w:basedOn w:val="Normal"/>
    <w:rsid w:val="00F44424"/>
    <w:pPr>
      <w:spacing w:line="36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8943-605B-4635-9012-5AF33400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1988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Andrea Benavides Tovar</dc:creator>
  <cp:keywords/>
  <dc:description/>
  <cp:lastModifiedBy>Malucimedina</cp:lastModifiedBy>
  <cp:revision>14</cp:revision>
  <dcterms:created xsi:type="dcterms:W3CDTF">2017-01-16T14:12:00Z</dcterms:created>
  <dcterms:modified xsi:type="dcterms:W3CDTF">2017-05-04T20:17:00Z</dcterms:modified>
</cp:coreProperties>
</file>