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1E" w:rsidRPr="00346DF6" w:rsidRDefault="00D0431E" w:rsidP="00D0431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 w:val="24"/>
          <w:szCs w:val="22"/>
          <w:lang w:val="es-CO" w:eastAsia="fr-FR"/>
        </w:rPr>
      </w:pPr>
      <w:r w:rsidRPr="00346DF6">
        <w:rPr>
          <w:rFonts w:ascii="Calibri" w:eastAsiaTheme="minorHAns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D0431E" w:rsidRDefault="00D0431E" w:rsidP="00D0431E">
      <w:pPr>
        <w:pStyle w:val="En-tte"/>
        <w:ind w:right="-7"/>
        <w:jc w:val="center"/>
        <w:rPr>
          <w:rFonts w:ascii="Arial Narrow" w:hAnsi="Arial Narrow"/>
          <w:b/>
          <w:sz w:val="28"/>
          <w:szCs w:val="28"/>
        </w:rPr>
      </w:pP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9" o:title=""/>
          </v:shape>
          <o:OLEObject Type="Embed" ProgID="PBrush" ShapeID="_x0000_i1025" DrawAspect="Content" ObjectID="_1555519837" r:id="rId10"/>
        </w:object>
      </w:r>
    </w:p>
    <w:p w:rsidR="002F2145" w:rsidRPr="00AF7EA4" w:rsidRDefault="002F2145" w:rsidP="002F2145">
      <w:pPr>
        <w:pStyle w:val="En-tte"/>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tte"/>
        <w:ind w:right="-7"/>
        <w:rPr>
          <w:rFonts w:ascii="Tahoma" w:hAnsi="Tahoma" w:cs="Tahoma"/>
          <w:b/>
          <w:i/>
          <w:sz w:val="29"/>
          <w:szCs w:val="29"/>
          <w:highlight w:val="cyan"/>
        </w:rPr>
      </w:pPr>
    </w:p>
    <w:p w:rsidR="00D0431E" w:rsidRDefault="00D0431E" w:rsidP="00D0431E">
      <w:pPr>
        <w:pStyle w:val="En-tte"/>
        <w:tabs>
          <w:tab w:val="clear" w:pos="4252"/>
          <w:tab w:val="clear" w:pos="8504"/>
          <w:tab w:val="right" w:pos="0"/>
        </w:tabs>
        <w:ind w:right="-7"/>
        <w:rPr>
          <w:rFonts w:ascii="Arial Narrow" w:hAnsi="Arial Narrow" w:cs="Tahoma"/>
          <w:sz w:val="18"/>
          <w:szCs w:val="18"/>
        </w:rPr>
      </w:pPr>
      <w:r>
        <w:rPr>
          <w:rFonts w:ascii="Arial Narrow" w:hAnsi="Arial Narrow" w:cs="Tahoma"/>
          <w:sz w:val="18"/>
          <w:szCs w:val="18"/>
        </w:rPr>
        <w:t xml:space="preserve">Providencia: </w:t>
      </w:r>
      <w:r>
        <w:rPr>
          <w:rFonts w:ascii="Arial Narrow" w:hAnsi="Arial Narrow" w:cs="Tahoma"/>
          <w:sz w:val="18"/>
          <w:szCs w:val="18"/>
        </w:rPr>
        <w:tab/>
      </w:r>
      <w:r>
        <w:rPr>
          <w:rFonts w:ascii="Arial Narrow" w:hAnsi="Arial Narrow" w:cs="Tahoma"/>
          <w:sz w:val="18"/>
          <w:szCs w:val="18"/>
        </w:rPr>
        <w:tab/>
        <w:t>Sentencia – 1ª instancia – 06 febrero de 2017</w:t>
      </w:r>
    </w:p>
    <w:p w:rsidR="002F2145" w:rsidRPr="002F2145" w:rsidRDefault="002F2145" w:rsidP="002F2145">
      <w:pPr>
        <w:pStyle w:val="En-tte"/>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D2102D">
        <w:rPr>
          <w:rFonts w:ascii="Arial Narrow" w:hAnsi="Arial Narrow" w:cs="Tahoma"/>
          <w:bCs/>
          <w:sz w:val="18"/>
          <w:szCs w:val="18"/>
        </w:rPr>
        <w:t>6</w:t>
      </w:r>
      <w:r w:rsidRPr="002F2145">
        <w:rPr>
          <w:rFonts w:ascii="Arial Narrow" w:hAnsi="Arial Narrow" w:cs="Tahoma"/>
          <w:bCs/>
          <w:sz w:val="18"/>
          <w:szCs w:val="18"/>
        </w:rPr>
        <w:t>-00</w:t>
      </w:r>
      <w:r w:rsidR="00D2102D">
        <w:rPr>
          <w:rFonts w:ascii="Arial Narrow" w:hAnsi="Arial Narrow" w:cs="Tahoma"/>
          <w:bCs/>
          <w:sz w:val="18"/>
          <w:szCs w:val="18"/>
        </w:rPr>
        <w:t>238</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sidR="00D0431E">
        <w:rPr>
          <w:rFonts w:ascii="Arial Narrow" w:hAnsi="Arial Narrow" w:cs="Tahoma"/>
          <w:sz w:val="18"/>
          <w:szCs w:val="18"/>
        </w:rPr>
        <w:t xml:space="preserve">Acción de </w:t>
      </w:r>
      <w:r>
        <w:rPr>
          <w:rFonts w:ascii="Arial Narrow" w:hAnsi="Arial Narrow" w:cs="Tahoma"/>
          <w:sz w:val="18"/>
          <w:szCs w:val="18"/>
        </w:rPr>
        <w:t>Tutela</w:t>
      </w:r>
      <w:r w:rsidRPr="00AF7EA4">
        <w:rPr>
          <w:rFonts w:ascii="Arial Narrow" w:hAnsi="Arial Narrow" w:cs="Tahoma"/>
          <w:sz w:val="18"/>
          <w:szCs w:val="18"/>
        </w:rPr>
        <w:t xml:space="preserve"> </w:t>
      </w:r>
      <w:r w:rsidR="00D0431E">
        <w:rPr>
          <w:rFonts w:ascii="Arial Narrow" w:hAnsi="Arial Narrow" w:cs="Tahoma"/>
          <w:sz w:val="18"/>
          <w:szCs w:val="18"/>
        </w:rPr>
        <w:t>– Niega el amparo solicitado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D2102D">
        <w:rPr>
          <w:rFonts w:ascii="Arial Narrow" w:hAnsi="Arial Narrow" w:cs="Tahoma"/>
          <w:sz w:val="18"/>
          <w:szCs w:val="18"/>
        </w:rPr>
        <w:t>Julián Octavio Largo Ramírez</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xml:space="preserve">, </w:t>
      </w:r>
      <w:r w:rsidR="00D2102D">
        <w:rPr>
          <w:rFonts w:ascii="Arial Narrow" w:hAnsi="Arial Narrow" w:cs="Tahoma"/>
          <w:sz w:val="18"/>
          <w:szCs w:val="18"/>
        </w:rPr>
        <w:t>Policía Metropolitana de Pereira, Policía Nacional, Ministerio de Defensa</w:t>
      </w:r>
    </w:p>
    <w:p w:rsidR="002F2145" w:rsidRDefault="002F2145" w:rsidP="002F2145">
      <w:pPr>
        <w:jc w:val="both"/>
        <w:rPr>
          <w:rFonts w:ascii="Arial Narrow" w:hAnsi="Arial Narrow" w:cs="Tahoma"/>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D0431E" w:rsidRPr="00AF7EA4" w:rsidRDefault="00D0431E" w:rsidP="002F2145">
      <w:pPr>
        <w:jc w:val="both"/>
        <w:rPr>
          <w:rFonts w:ascii="Arial Narrow" w:hAnsi="Arial Narrow" w:cs="Tahoma"/>
          <w:b/>
          <w:bCs/>
          <w:sz w:val="18"/>
          <w:szCs w:val="18"/>
        </w:rPr>
      </w:pPr>
    </w:p>
    <w:p w:rsidR="002F2145" w:rsidRPr="00D0431E" w:rsidRDefault="002F2145" w:rsidP="00D0431E">
      <w:pPr>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D0431E">
        <w:rPr>
          <w:rFonts w:ascii="Arial Narrow" w:hAnsi="Arial Narrow" w:cs="Tahoma"/>
          <w:bCs/>
          <w:i/>
          <w:sz w:val="18"/>
          <w:szCs w:val="18"/>
        </w:rPr>
        <w:tab/>
      </w:r>
      <w:r w:rsidR="00D0431E">
        <w:rPr>
          <w:rFonts w:ascii="Arial Narrow" w:hAnsi="Arial Narrow" w:cs="Tahoma"/>
          <w:bCs/>
          <w:i/>
          <w:sz w:val="18"/>
          <w:szCs w:val="18"/>
        </w:rPr>
        <w:tab/>
      </w:r>
      <w:r w:rsidR="00D0431E" w:rsidRPr="00D0431E">
        <w:rPr>
          <w:rFonts w:ascii="Arial Narrow" w:hAnsi="Arial Narrow" w:cs="Tahoma"/>
          <w:b/>
          <w:bCs/>
          <w:iCs/>
          <w:sz w:val="18"/>
          <w:szCs w:val="18"/>
          <w:lang w:val="es-ES_tradnl"/>
        </w:rPr>
        <w:t xml:space="preserve">RETENCIÓN DE VEHÍCULO POR ORDEN JUDICIAL / NO EXISTE VULNERACIÓN DEL DERECHO AL DEBIDO PROCESO. </w:t>
      </w:r>
      <w:r w:rsidR="00D0431E" w:rsidRPr="00D0431E">
        <w:rPr>
          <w:rFonts w:ascii="Arial Narrow" w:hAnsi="Arial Narrow" w:cs="Tahoma"/>
          <w:bCs/>
          <w:iCs/>
          <w:sz w:val="18"/>
          <w:szCs w:val="18"/>
          <w:lang w:val="es-CO"/>
        </w:rPr>
        <w:t>“</w:t>
      </w:r>
      <w:r w:rsidR="00D0431E" w:rsidRPr="00D0431E">
        <w:rPr>
          <w:rFonts w:ascii="Arial Narrow" w:hAnsi="Arial Narrow" w:cs="Tahoma"/>
          <w:bCs/>
          <w:iCs/>
          <w:sz w:val="18"/>
          <w:szCs w:val="18"/>
        </w:rPr>
        <w:t>[E]l actor se duele de que el procedimiento policial adelantado para aprehender su vehículo fue inadecuado, por carecer de una orden judicial para ello, lo cual carece de veracidad, amén que se acreditó por la policía que efectivamente existía una orden de retención contra el mencionado automotor, motivo por el cual no se observa que la decisión obedezca a un capricho de la autoridad policial o a un actuar de hecho, sino al cumplimiento de sus mandatos. Y cualquier petición que se surta frente a la liberación del apresamiento del vehículo, no debe surtirse ante los estamentos policiales, pues en verdad ellos no son más que los ejecutores de la decisión judicial, por lo que será el Juzgado el encargado de decidir sobre ella. Se itera, pues, la actuación policial  no menoscabo los derechos de los que se duele el accionante, razón por la cual se deberá negar la acción de amparo. En cuanto a las quejas disciplinarias que formula el actor contra los gendarme que ejecutaron la actuación, se tiene que este no es el escenario adecuado para discutir las mismas, amén que es la misma institución, por parte de la Oficina de Control Interno Disciplinario, la llamada a adelantar la investigación, como efectivamente lo está haciendo. Así las cosas, se deberá negar la acción tutelar.”.</w:t>
      </w:r>
    </w:p>
    <w:p w:rsidR="002F2145" w:rsidRPr="00E20C51" w:rsidRDefault="002F2145" w:rsidP="00D0431E">
      <w:pPr>
        <w:spacing w:line="360" w:lineRule="auto"/>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D2102D">
        <w:rPr>
          <w:rFonts w:ascii="Arial Narrow" w:hAnsi="Arial Narrow" w:cs="Tahoma"/>
          <w:sz w:val="28"/>
          <w:szCs w:val="28"/>
        </w:rPr>
        <w:t>seis</w:t>
      </w:r>
      <w:r>
        <w:rPr>
          <w:rFonts w:ascii="Arial Narrow" w:hAnsi="Arial Narrow" w:cs="Tahoma"/>
          <w:sz w:val="28"/>
          <w:szCs w:val="28"/>
        </w:rPr>
        <w:t xml:space="preserve"> </w:t>
      </w:r>
      <w:r w:rsidRPr="00AF7EA4">
        <w:rPr>
          <w:rFonts w:ascii="Arial Narrow" w:hAnsi="Arial Narrow" w:cs="Tahoma"/>
          <w:sz w:val="28"/>
          <w:szCs w:val="28"/>
        </w:rPr>
        <w:t>(</w:t>
      </w:r>
      <w:r w:rsidR="00D2102D">
        <w:rPr>
          <w:rFonts w:ascii="Arial Narrow" w:hAnsi="Arial Narrow" w:cs="Tahoma"/>
          <w:sz w:val="28"/>
          <w:szCs w:val="28"/>
        </w:rPr>
        <w:t>06</w:t>
      </w:r>
      <w:r w:rsidRPr="00AF7EA4">
        <w:rPr>
          <w:rFonts w:ascii="Arial Narrow" w:hAnsi="Arial Narrow" w:cs="Tahoma"/>
          <w:sz w:val="28"/>
          <w:szCs w:val="28"/>
        </w:rPr>
        <w:t xml:space="preserve">) de </w:t>
      </w:r>
      <w:r w:rsidR="00D2102D">
        <w:rPr>
          <w:rFonts w:ascii="Arial Narrow" w:hAnsi="Arial Narrow" w:cs="Tahoma"/>
          <w:sz w:val="28"/>
          <w:szCs w:val="28"/>
        </w:rPr>
        <w:t>febrero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A36C8">
        <w:rPr>
          <w:rFonts w:ascii="Arial Narrow" w:hAnsi="Arial Narrow" w:cs="Tahoma"/>
          <w:sz w:val="28"/>
          <w:szCs w:val="28"/>
        </w:rPr>
        <w:t>iete</w:t>
      </w:r>
      <w:r w:rsidRPr="00AF7EA4">
        <w:rPr>
          <w:rFonts w:ascii="Arial Narrow" w:hAnsi="Arial Narrow" w:cs="Tahoma"/>
          <w:sz w:val="28"/>
          <w:szCs w:val="28"/>
        </w:rPr>
        <w:t xml:space="preserv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itre3"/>
        <w:jc w:val="left"/>
        <w:rPr>
          <w:rFonts w:ascii="Arial Narrow" w:hAnsi="Arial Narrow" w:cs="Tahoma"/>
          <w:sz w:val="28"/>
          <w:szCs w:val="28"/>
        </w:rPr>
      </w:pPr>
      <w:r>
        <w:rPr>
          <w:rFonts w:ascii="Arial Narrow" w:hAnsi="Arial Narrow" w:cs="Tahoma"/>
          <w:sz w:val="28"/>
          <w:szCs w:val="28"/>
        </w:rPr>
        <w:t xml:space="preserve">Acta número ___ del </w:t>
      </w:r>
      <w:r w:rsidR="00D2102D">
        <w:rPr>
          <w:rFonts w:ascii="Arial Narrow" w:hAnsi="Arial Narrow" w:cs="Tahoma"/>
          <w:sz w:val="28"/>
          <w:szCs w:val="28"/>
        </w:rPr>
        <w:t>06</w:t>
      </w:r>
      <w:r>
        <w:rPr>
          <w:rFonts w:ascii="Arial Narrow" w:hAnsi="Arial Narrow" w:cs="Tahoma"/>
          <w:sz w:val="28"/>
          <w:szCs w:val="28"/>
        </w:rPr>
        <w:t xml:space="preserve"> de </w:t>
      </w:r>
      <w:r w:rsidR="00D2102D">
        <w:rPr>
          <w:rFonts w:ascii="Arial Narrow" w:hAnsi="Arial Narrow" w:cs="Tahoma"/>
          <w:sz w:val="28"/>
          <w:szCs w:val="28"/>
        </w:rPr>
        <w:t>febrero</w:t>
      </w:r>
      <w:r>
        <w:rPr>
          <w:rFonts w:ascii="Arial Narrow" w:hAnsi="Arial Narrow" w:cs="Tahoma"/>
          <w:sz w:val="28"/>
          <w:szCs w:val="28"/>
        </w:rPr>
        <w:t xml:space="preserve"> de 201</w:t>
      </w:r>
      <w:r w:rsidR="00FA36C8">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D0431E">
      <w:pPr>
        <w:spacing w:line="360" w:lineRule="auto"/>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D2102D">
        <w:rPr>
          <w:rFonts w:ascii="Arial Narrow" w:hAnsi="Arial Narrow" w:cs="Tahoma"/>
          <w:sz w:val="28"/>
          <w:szCs w:val="28"/>
        </w:rPr>
        <w:t>el</w:t>
      </w:r>
      <w:r w:rsidRPr="00AF7EA4">
        <w:rPr>
          <w:rFonts w:ascii="Arial Narrow" w:hAnsi="Arial Narrow" w:cs="Tahoma"/>
          <w:sz w:val="28"/>
          <w:szCs w:val="28"/>
        </w:rPr>
        <w:t xml:space="preserve"> señor</w:t>
      </w:r>
      <w:r>
        <w:rPr>
          <w:rFonts w:ascii="Arial Narrow" w:hAnsi="Arial Narrow" w:cs="Tahoma"/>
          <w:sz w:val="28"/>
          <w:szCs w:val="28"/>
        </w:rPr>
        <w:t xml:space="preserve"> </w:t>
      </w:r>
      <w:r w:rsidR="00D2102D">
        <w:rPr>
          <w:rFonts w:ascii="Arial Narrow" w:hAnsi="Arial Narrow" w:cs="Tahoma"/>
          <w:b/>
          <w:i/>
          <w:sz w:val="28"/>
          <w:szCs w:val="28"/>
        </w:rPr>
        <w:t>Julián Octavio Largo Ramírez</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Defensa Nacional, </w:t>
      </w:r>
      <w:r w:rsidR="00C77637">
        <w:rPr>
          <w:rFonts w:ascii="Arial Narrow" w:hAnsi="Arial Narrow" w:cs="Tahoma"/>
          <w:b/>
          <w:i/>
          <w:sz w:val="28"/>
          <w:szCs w:val="28"/>
        </w:rPr>
        <w:t xml:space="preserve">Policía Nacional </w:t>
      </w:r>
      <w:r w:rsidR="00D90480" w:rsidRPr="00D90480">
        <w:rPr>
          <w:rFonts w:ascii="Arial Narrow" w:hAnsi="Arial Narrow" w:cs="Tahoma"/>
          <w:b/>
          <w:i/>
          <w:sz w:val="28"/>
          <w:szCs w:val="28"/>
        </w:rPr>
        <w:t xml:space="preserve">y </w:t>
      </w:r>
      <w:r w:rsidR="00D2102D">
        <w:rPr>
          <w:rFonts w:ascii="Arial Narrow" w:hAnsi="Arial Narrow" w:cs="Tahoma"/>
          <w:b/>
          <w:i/>
          <w:sz w:val="28"/>
          <w:szCs w:val="28"/>
        </w:rPr>
        <w:t>Policía Metropolitana de Pereira</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 derecho fundamental al</w:t>
      </w:r>
      <w:r w:rsidR="00D2102D">
        <w:rPr>
          <w:rFonts w:ascii="Arial Narrow" w:hAnsi="Arial Narrow" w:cs="Tahoma"/>
          <w:sz w:val="28"/>
          <w:szCs w:val="28"/>
        </w:rPr>
        <w:t xml:space="preserve"> debido proceso. </w:t>
      </w:r>
    </w:p>
    <w:p w:rsidR="002F2145" w:rsidRPr="00AF7EA4" w:rsidRDefault="002F2145" w:rsidP="00D0431E">
      <w:pPr>
        <w:spacing w:line="360" w:lineRule="auto"/>
        <w:jc w:val="both"/>
        <w:rPr>
          <w:rFonts w:ascii="Arial Narrow" w:hAnsi="Arial Narrow" w:cs="Tahoma"/>
          <w:i/>
          <w:sz w:val="28"/>
          <w:szCs w:val="28"/>
        </w:rPr>
      </w:pPr>
    </w:p>
    <w:p w:rsidR="002F2145" w:rsidRPr="00AF7EA4" w:rsidRDefault="002F2145" w:rsidP="002F2145">
      <w:pPr>
        <w:pStyle w:val="Titre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D0431E" w:rsidRDefault="002F2145" w:rsidP="00E20C51">
      <w:pPr>
        <w:pStyle w:val="Sansinterligne"/>
        <w:rPr>
          <w:sz w:val="28"/>
          <w:szCs w:val="28"/>
        </w:rPr>
      </w:pPr>
    </w:p>
    <w:p w:rsidR="002F2145"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D2102D" w:rsidRPr="00AF7EA4" w:rsidRDefault="00D2102D" w:rsidP="00D2102D">
      <w:pPr>
        <w:spacing w:line="360" w:lineRule="auto"/>
        <w:ind w:left="360"/>
        <w:jc w:val="both"/>
        <w:rPr>
          <w:rFonts w:ascii="Arial Narrow" w:hAnsi="Arial Narrow" w:cs="Tahoma"/>
          <w:b/>
          <w:bCs/>
          <w:i/>
          <w:sz w:val="28"/>
          <w:szCs w:val="28"/>
        </w:rPr>
      </w:pPr>
    </w:p>
    <w:p w:rsidR="00625473" w:rsidRDefault="00D2102D" w:rsidP="002F2145">
      <w:pPr>
        <w:pStyle w:val="Corpsdetexte2"/>
        <w:rPr>
          <w:rFonts w:ascii="Arial Narrow" w:hAnsi="Arial Narrow" w:cs="Tahoma"/>
          <w:sz w:val="28"/>
          <w:szCs w:val="28"/>
          <w:lang w:val="es-CO"/>
        </w:rPr>
      </w:pPr>
      <w:r>
        <w:rPr>
          <w:rFonts w:ascii="Arial Narrow" w:hAnsi="Arial Narrow" w:cs="Tahoma"/>
          <w:sz w:val="28"/>
          <w:szCs w:val="28"/>
          <w:lang w:val="es-CO"/>
        </w:rPr>
        <w:t xml:space="preserve">Se trata del señor Julián Octavio Largo Ramírez, identificado con c.c. </w:t>
      </w:r>
      <w:r w:rsidR="009D2A58">
        <w:rPr>
          <w:rFonts w:ascii="Arial Narrow" w:hAnsi="Arial Narrow" w:cs="Tahoma"/>
          <w:sz w:val="28"/>
          <w:szCs w:val="28"/>
          <w:lang w:val="es-CO"/>
        </w:rPr>
        <w:t>9.870.793 de Pereira</w:t>
      </w:r>
      <w:r w:rsidR="0067748E">
        <w:rPr>
          <w:rFonts w:ascii="Arial Narrow" w:hAnsi="Arial Narrow" w:cs="Tahoma"/>
          <w:sz w:val="28"/>
          <w:szCs w:val="28"/>
          <w:lang w:val="es-CO"/>
        </w:rPr>
        <w:t>, quien actúa en su propio nombre y representación</w:t>
      </w:r>
      <w:r w:rsidR="00625473">
        <w:rPr>
          <w:rFonts w:ascii="Arial Narrow" w:hAnsi="Arial Narrow" w:cs="Tahoma"/>
          <w:sz w:val="28"/>
          <w:szCs w:val="28"/>
          <w:lang w:val="es-CO"/>
        </w:rPr>
        <w:t>.</w:t>
      </w: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lastRenderedPageBreak/>
        <w:t>ACCIONADO:</w:t>
      </w:r>
    </w:p>
    <w:p w:rsidR="002F2145" w:rsidRPr="00CC4164" w:rsidRDefault="002F2145" w:rsidP="00CC4164">
      <w:pPr>
        <w:pStyle w:val="Paragraphedeliste"/>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77637" w:rsidP="00CC4164">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Policía Nacional, representado por el </w:t>
      </w:r>
      <w:r w:rsidR="00625473">
        <w:rPr>
          <w:rFonts w:ascii="Arial Narrow" w:hAnsi="Arial Narrow" w:cs="Tahoma"/>
          <w:sz w:val="28"/>
          <w:szCs w:val="28"/>
        </w:rPr>
        <w:t>General</w:t>
      </w:r>
      <w:r>
        <w:rPr>
          <w:rFonts w:ascii="Arial Narrow" w:hAnsi="Arial Narrow" w:cs="Tahoma"/>
          <w:sz w:val="28"/>
          <w:szCs w:val="28"/>
        </w:rPr>
        <w:t xml:space="preserve"> </w:t>
      </w:r>
      <w:r w:rsidR="00625473">
        <w:rPr>
          <w:rFonts w:ascii="Arial Narrow" w:hAnsi="Arial Narrow" w:cs="Tahoma"/>
          <w:sz w:val="28"/>
          <w:szCs w:val="28"/>
        </w:rPr>
        <w:t>Jorge Hernando Nieto Rojas</w:t>
      </w:r>
      <w:r>
        <w:rPr>
          <w:rFonts w:ascii="Arial Narrow" w:hAnsi="Arial Narrow" w:cs="Tahoma"/>
          <w:sz w:val="28"/>
          <w:szCs w:val="28"/>
        </w:rPr>
        <w:t>.</w:t>
      </w:r>
    </w:p>
    <w:p w:rsidR="00C77637" w:rsidRDefault="00625473" w:rsidP="00C77637">
      <w:pPr>
        <w:pStyle w:val="Paragraphedeliste"/>
        <w:numPr>
          <w:ilvl w:val="0"/>
          <w:numId w:val="4"/>
        </w:numPr>
        <w:spacing w:line="360" w:lineRule="auto"/>
        <w:jc w:val="both"/>
        <w:rPr>
          <w:rFonts w:ascii="Arial Narrow" w:hAnsi="Arial Narrow" w:cs="Tahoma"/>
          <w:sz w:val="28"/>
          <w:szCs w:val="28"/>
        </w:rPr>
      </w:pPr>
      <w:r>
        <w:rPr>
          <w:rFonts w:ascii="Arial Narrow" w:hAnsi="Arial Narrow" w:cs="Tahoma"/>
          <w:sz w:val="28"/>
          <w:szCs w:val="28"/>
          <w:lang w:val="es-CO"/>
        </w:rPr>
        <w:t xml:space="preserve">Policía Metropolitana de Pereira </w:t>
      </w:r>
      <w:r>
        <w:rPr>
          <w:rFonts w:ascii="Arial Narrow" w:hAnsi="Arial Narrow" w:cs="Tahoma"/>
          <w:sz w:val="28"/>
          <w:szCs w:val="28"/>
        </w:rPr>
        <w:t>Gustavo Hernando Moreno Miranda</w:t>
      </w:r>
      <w:r w:rsidR="00C77637">
        <w:rPr>
          <w:rFonts w:ascii="Arial Narrow" w:hAnsi="Arial Narrow" w:cs="Tahoma"/>
          <w:sz w:val="28"/>
          <w:szCs w:val="28"/>
        </w:rPr>
        <w:t>.</w:t>
      </w:r>
    </w:p>
    <w:p w:rsidR="00625473" w:rsidRDefault="00625473" w:rsidP="00625473">
      <w:pPr>
        <w:pStyle w:val="Paragraphedeliste"/>
        <w:spacing w:line="360" w:lineRule="auto"/>
        <w:jc w:val="both"/>
        <w:rPr>
          <w:rFonts w:ascii="Arial Narrow" w:hAnsi="Arial Narrow" w:cs="Tahoma"/>
          <w:sz w:val="28"/>
          <w:szCs w:val="28"/>
        </w:rPr>
      </w:pPr>
    </w:p>
    <w:p w:rsidR="002F2145" w:rsidRPr="00AF7EA4" w:rsidRDefault="002F2145" w:rsidP="00FA36C8">
      <w:pPr>
        <w:pStyle w:val="Paragraphedeliste"/>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EA7218" w:rsidRDefault="00FA36C8"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625473">
        <w:rPr>
          <w:rFonts w:ascii="Arial Narrow" w:hAnsi="Arial Narrow" w:cs="Tahoma"/>
          <w:b w:val="0"/>
          <w:szCs w:val="28"/>
        </w:rPr>
        <w:t xml:space="preserve">el accionante que vi ve en el conjunto Residencial Olímpico II de esta ciudad, que el día 29 de septiembre de 2016, se presentaron a dicho conjunto los agentes Martínez y Guerrero de la Policía Nacional, indicando que debían hacer una visita domiciliaria, posteriormente manifestaron a portería que debían llevarse un vehículo del parqueadero porque estaba solicitado por un Juzgado, que una vez el vigilante logró comunicarse con el accionante, éste procedió a indagar a los gendarmes    sobre la orden para realizar la aprehensión del automotor, a lo que estos manifestaron que el vehículo aparecía en el sistema y le mostraron la orden en un equipo de telecomunicaciones, que el accionante se negó a permitir la retención del vehículo hasta no ver en físico la orden de retención, por lo que sufrió malos trataos e insultos de los policiales e incluso fue retenido y llevado a instalaciones de la URI, donde se dispuso su </w:t>
      </w:r>
      <w:r w:rsidR="00EA7218">
        <w:rPr>
          <w:rFonts w:ascii="Arial Narrow" w:hAnsi="Arial Narrow" w:cs="Tahoma"/>
          <w:b w:val="0"/>
          <w:szCs w:val="28"/>
        </w:rPr>
        <w:t>libertad</w:t>
      </w:r>
      <w:r w:rsidR="00625473">
        <w:rPr>
          <w:rFonts w:ascii="Arial Narrow" w:hAnsi="Arial Narrow" w:cs="Tahoma"/>
          <w:b w:val="0"/>
          <w:szCs w:val="28"/>
        </w:rPr>
        <w:t xml:space="preserve"> </w:t>
      </w:r>
      <w:r w:rsidR="00EA7218">
        <w:rPr>
          <w:rFonts w:ascii="Arial Narrow" w:hAnsi="Arial Narrow" w:cs="Tahoma"/>
          <w:b w:val="0"/>
          <w:szCs w:val="28"/>
        </w:rPr>
        <w:t>inmediata</w:t>
      </w:r>
      <w:r w:rsidR="00625473">
        <w:rPr>
          <w:rFonts w:ascii="Arial Narrow" w:hAnsi="Arial Narrow" w:cs="Tahoma"/>
          <w:b w:val="0"/>
          <w:szCs w:val="28"/>
        </w:rPr>
        <w:t xml:space="preserve">, que a la fecha no se ha adelantado </w:t>
      </w:r>
      <w:r w:rsidR="00EA7218">
        <w:rPr>
          <w:rFonts w:ascii="Arial Narrow" w:hAnsi="Arial Narrow" w:cs="Tahoma"/>
          <w:b w:val="0"/>
          <w:szCs w:val="28"/>
        </w:rPr>
        <w:t>diligencia judicial alguna  sobre el vehículo, por lo que se encuentra en un parqueadero , que el 24 de octubre pasado presentó derecho de petición, obteniendo respuesta ambigua sobre el vehículo.</w:t>
      </w:r>
    </w:p>
    <w:p w:rsidR="00EA7218" w:rsidRDefault="00EA7218" w:rsidP="002F2145">
      <w:pPr>
        <w:pStyle w:val="Textoindependiente21"/>
        <w:ind w:firstLine="851"/>
        <w:rPr>
          <w:rFonts w:ascii="Arial Narrow" w:hAnsi="Arial Narrow" w:cs="Tahoma"/>
          <w:b w:val="0"/>
          <w:szCs w:val="28"/>
        </w:rPr>
      </w:pPr>
    </w:p>
    <w:p w:rsidR="00EA7218" w:rsidRDefault="00EA7218" w:rsidP="002F2145">
      <w:pPr>
        <w:pStyle w:val="Textoindependiente21"/>
        <w:ind w:firstLine="851"/>
        <w:rPr>
          <w:rFonts w:ascii="Arial Narrow" w:hAnsi="Arial Narrow" w:cs="Tahoma"/>
          <w:b w:val="0"/>
          <w:szCs w:val="28"/>
        </w:rPr>
      </w:pPr>
      <w:r>
        <w:rPr>
          <w:rFonts w:ascii="Arial Narrow" w:hAnsi="Arial Narrow" w:cs="Tahoma"/>
          <w:b w:val="0"/>
          <w:szCs w:val="28"/>
        </w:rPr>
        <w:t>Por tal motivo, estima que se le debe tutelar su derecho al debido proceso y, en consecuencia se le debe reintegrar el vehículo de placas BPJ-373y pide que se compulse copias para la correspondiente investigación disciplinaria.</w:t>
      </w:r>
    </w:p>
    <w:p w:rsidR="00EA7218" w:rsidRDefault="00EA7218" w:rsidP="002F2145">
      <w:pPr>
        <w:pStyle w:val="Textoindependiente21"/>
        <w:ind w:firstLine="851"/>
        <w:rPr>
          <w:rFonts w:ascii="Arial Narrow" w:hAnsi="Arial Narrow" w:cs="Tahoma"/>
          <w:b w:val="0"/>
          <w:szCs w:val="28"/>
        </w:rPr>
      </w:pPr>
    </w:p>
    <w:p w:rsidR="00EA7218" w:rsidRDefault="007D38BB" w:rsidP="002F2145">
      <w:pPr>
        <w:pStyle w:val="Textoindependiente21"/>
        <w:ind w:firstLine="851"/>
        <w:rPr>
          <w:rFonts w:ascii="Arial Narrow" w:hAnsi="Arial Narrow" w:cs="Tahoma"/>
          <w:b w:val="0"/>
          <w:szCs w:val="28"/>
        </w:rPr>
      </w:pPr>
      <w:r>
        <w:rPr>
          <w:rFonts w:ascii="Arial Narrow" w:hAnsi="Arial Narrow" w:cs="Tahoma"/>
          <w:b w:val="0"/>
          <w:szCs w:val="28"/>
        </w:rPr>
        <w:t xml:space="preserve">Luego de surtido el trámite en la ciudad de Bogotá, donde se decidió la remisión de la presente acción a esta Sala de Decisión Laboral, se dispuso la notificación de los accionados, obteniéndose respuesta de la Policía Metropolitana de Pereira, en la que indica que el procedimiento que se adelantó sobre el vehículo </w:t>
      </w:r>
      <w:r>
        <w:rPr>
          <w:rFonts w:ascii="Arial Narrow" w:hAnsi="Arial Narrow" w:cs="Tahoma"/>
          <w:b w:val="0"/>
          <w:szCs w:val="28"/>
        </w:rPr>
        <w:lastRenderedPageBreak/>
        <w:t>obedece a una orden judicial emitida por el Juzgado Tercero Civil Municipal de Descongestión de Suba, Bogotá D.C., por lo que cualquier petición encaminada a la devolución del mismo se debe adelantar ante ese Despacho, como se le comunicó al accionante en respuesta a su derecho de petición y, frente a las quejas allí contenidas respecto a la actuación de los agentes se dio traslado a la oficina de control interno disciplinario, que es la dependencia encargada de investigar tales irregularidades</w:t>
      </w:r>
    </w:p>
    <w:p w:rsidR="00EA7218" w:rsidRDefault="00EA7218" w:rsidP="002F2145">
      <w:pPr>
        <w:pStyle w:val="Textoindependiente21"/>
        <w:ind w:firstLine="851"/>
        <w:rPr>
          <w:rFonts w:ascii="Arial Narrow" w:hAnsi="Arial Narrow" w:cs="Tahoma"/>
          <w:b w:val="0"/>
          <w:szCs w:val="28"/>
          <w:lang w:val="es-CO"/>
        </w:rPr>
      </w:pPr>
    </w:p>
    <w:p w:rsidR="00CF4979" w:rsidRDefault="00CF4979" w:rsidP="002F2145">
      <w:pPr>
        <w:pStyle w:val="Textoindependiente21"/>
        <w:ind w:firstLine="851"/>
        <w:rPr>
          <w:rFonts w:ascii="Arial Narrow" w:hAnsi="Arial Narrow" w:cs="Tahoma"/>
          <w:b w:val="0"/>
          <w:szCs w:val="28"/>
          <w:lang w:val="es-CO"/>
        </w:rPr>
      </w:pPr>
      <w:r>
        <w:rPr>
          <w:rFonts w:ascii="Arial Narrow" w:hAnsi="Arial Narrow" w:cs="Tahoma"/>
          <w:b w:val="0"/>
          <w:szCs w:val="28"/>
          <w:lang w:val="es-CO"/>
        </w:rPr>
        <w:t>La Oficina de Control Interno Disciplinario allegó al expediente copia del auto de apertura de indagación preliminar adelantada a petición del accionante.</w:t>
      </w:r>
    </w:p>
    <w:p w:rsidR="00CF4979" w:rsidRDefault="00CF4979" w:rsidP="002F2145">
      <w:pPr>
        <w:pStyle w:val="Textoindependiente21"/>
        <w:ind w:firstLine="851"/>
        <w:rPr>
          <w:rFonts w:ascii="Arial Narrow" w:hAnsi="Arial Narrow" w:cs="Tahoma"/>
          <w:b w:val="0"/>
          <w:szCs w:val="28"/>
          <w:lang w:val="es-CO"/>
        </w:rPr>
      </w:pPr>
      <w:r>
        <w:rPr>
          <w:rFonts w:ascii="Arial Narrow" w:hAnsi="Arial Narrow" w:cs="Tahoma"/>
          <w:b w:val="0"/>
          <w:szCs w:val="28"/>
          <w:lang w:val="es-CO"/>
        </w:rPr>
        <w:t>Los restantes accionados no dieron respuesta.</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83410">
        <w:rPr>
          <w:rFonts w:ascii="Arial Narrow" w:hAnsi="Arial Narrow" w:cs="Tahoma"/>
          <w:bCs/>
          <w:i/>
          <w:color w:val="000000"/>
          <w:spacing w:val="-2"/>
          <w:sz w:val="28"/>
          <w:szCs w:val="28"/>
        </w:rPr>
        <w:t xml:space="preserve">Se ha violado </w:t>
      </w:r>
      <w:r w:rsidR="001B007B">
        <w:rPr>
          <w:rFonts w:ascii="Arial Narrow" w:hAnsi="Arial Narrow" w:cs="Tahoma"/>
          <w:bCs/>
          <w:i/>
          <w:color w:val="000000"/>
          <w:spacing w:val="-2"/>
          <w:sz w:val="28"/>
          <w:szCs w:val="28"/>
        </w:rPr>
        <w:t xml:space="preserve">el </w:t>
      </w:r>
      <w:r w:rsidR="00083410">
        <w:rPr>
          <w:rFonts w:ascii="Arial Narrow" w:hAnsi="Arial Narrow" w:cs="Tahoma"/>
          <w:bCs/>
          <w:i/>
          <w:color w:val="000000"/>
          <w:spacing w:val="-2"/>
          <w:sz w:val="28"/>
          <w:szCs w:val="28"/>
        </w:rPr>
        <w:t xml:space="preserve">derecho fundamental </w:t>
      </w:r>
      <w:r w:rsidR="001B007B">
        <w:rPr>
          <w:rFonts w:ascii="Arial Narrow" w:hAnsi="Arial Narrow" w:cs="Tahoma"/>
          <w:bCs/>
          <w:i/>
          <w:color w:val="000000"/>
          <w:spacing w:val="-2"/>
          <w:sz w:val="28"/>
          <w:szCs w:val="28"/>
        </w:rPr>
        <w:t>a</w:t>
      </w:r>
      <w:r w:rsidR="00CF4979">
        <w:rPr>
          <w:rFonts w:ascii="Arial Narrow" w:hAnsi="Arial Narrow" w:cs="Tahoma"/>
          <w:bCs/>
          <w:i/>
          <w:color w:val="000000"/>
          <w:spacing w:val="-2"/>
          <w:sz w:val="28"/>
          <w:szCs w:val="28"/>
        </w:rPr>
        <w:t>l debido proceso</w:t>
      </w:r>
      <w:r w:rsidR="001B007B">
        <w:rPr>
          <w:rFonts w:ascii="Arial Narrow" w:hAnsi="Arial Narrow" w:cs="Tahoma"/>
          <w:bCs/>
          <w:i/>
          <w:color w:val="000000"/>
          <w:spacing w:val="-2"/>
          <w:sz w:val="28"/>
          <w:szCs w:val="28"/>
        </w:rPr>
        <w:t xml:space="preserve"> del </w:t>
      </w:r>
      <w:r w:rsidR="00083410">
        <w:rPr>
          <w:rFonts w:ascii="Arial Narrow" w:hAnsi="Arial Narrow" w:cs="Tahoma"/>
          <w:bCs/>
          <w:i/>
          <w:color w:val="000000"/>
          <w:spacing w:val="-2"/>
          <w:sz w:val="28"/>
          <w:szCs w:val="28"/>
        </w:rPr>
        <w:t>accionante</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656649" w:rsidRDefault="00CC1B7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El derecho al debido proceso, contenido en el </w:t>
      </w:r>
      <w:r w:rsidR="00656649">
        <w:rPr>
          <w:rFonts w:ascii="Arial Narrow" w:hAnsi="Arial Narrow" w:cs="Arial"/>
          <w:iCs/>
          <w:sz w:val="28"/>
          <w:szCs w:val="28"/>
        </w:rPr>
        <w:t>artículo 29 de la Carta Política, garantiza que cualquier parte que se encuentre en una actuación judicial o administrativo, le sean respetados y debidamente cumplidos unas garantías mínimas. Este debido proceso, también aplica en los trámites y procedimiento policivos, tal como lo ha dicho la Corte Constitucional, en una denodada línea jurisprudencial, siendo pertinente citar uno de tales pronunciamientos:</w:t>
      </w:r>
    </w:p>
    <w:p w:rsidR="00656649" w:rsidRDefault="00656649" w:rsidP="002F2145">
      <w:pPr>
        <w:spacing w:line="360" w:lineRule="auto"/>
        <w:ind w:firstLine="993"/>
        <w:jc w:val="both"/>
        <w:rPr>
          <w:rFonts w:ascii="Arial Narrow" w:hAnsi="Arial Narrow" w:cs="Arial"/>
          <w:iCs/>
          <w:sz w:val="28"/>
          <w:szCs w:val="28"/>
        </w:rPr>
      </w:pPr>
    </w:p>
    <w:p w:rsidR="00656649" w:rsidRPr="00656649" w:rsidRDefault="00656649"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656649">
        <w:rPr>
          <w:rFonts w:ascii="Arial Narrow" w:hAnsi="Arial Narrow" w:cs="Arial"/>
          <w:i/>
          <w:iCs/>
          <w:sz w:val="28"/>
          <w:szCs w:val="28"/>
        </w:rPr>
        <w:t xml:space="preserve">Mediante sentencia T-179 de 1996 este Tribunal indicó que “las actuaciones adelantadas por las autoridades de policía pueden ser objeto de la acción de tutela cuando con ellas se amenacen o vulneren derechos constitucionales fundamentales. Y de manera particular se pruebe el inminente perjuicio que de manera irremediable recaiga sobre un derecho de esta categoría”. Y afirmó que “con arreglo al artículo 29 de la Constitución, en los trámites de policía deben observarse estrictamente las reglas del debido proceso, por lo cual, si son quebrantadas, procede </w:t>
      </w:r>
      <w:r w:rsidRPr="00656649">
        <w:rPr>
          <w:rFonts w:ascii="Arial Narrow" w:hAnsi="Arial Narrow" w:cs="Arial"/>
          <w:i/>
          <w:iCs/>
          <w:sz w:val="28"/>
          <w:szCs w:val="28"/>
        </w:rPr>
        <w:lastRenderedPageBreak/>
        <w:t>la acción de tutela para hacer efectivos los derechos fundamentales afectados.” siempre que el daño o afectación del derecho fundamental se encuentre demostrado</w:t>
      </w:r>
      <w:r>
        <w:rPr>
          <w:rFonts w:ascii="Arial Narrow" w:hAnsi="Arial Narrow" w:cs="Arial"/>
          <w:i/>
          <w:iCs/>
          <w:sz w:val="28"/>
          <w:szCs w:val="28"/>
        </w:rPr>
        <w:t>”</w:t>
      </w:r>
      <w:r>
        <w:rPr>
          <w:rStyle w:val="Appelnotedebasdep"/>
          <w:rFonts w:ascii="Arial Narrow" w:hAnsi="Arial Narrow" w:cs="Arial"/>
          <w:i/>
          <w:iCs/>
          <w:sz w:val="28"/>
          <w:szCs w:val="28"/>
        </w:rPr>
        <w:footnoteReference w:id="1"/>
      </w:r>
      <w:r w:rsidRPr="00656649">
        <w:rPr>
          <w:rFonts w:ascii="Arial Narrow" w:hAnsi="Arial Narrow" w:cs="Arial"/>
          <w:i/>
          <w:iCs/>
          <w:sz w:val="28"/>
          <w:szCs w:val="28"/>
        </w:rPr>
        <w:t>.</w:t>
      </w:r>
    </w:p>
    <w:p w:rsidR="00656649" w:rsidRDefault="00656649" w:rsidP="002F2145">
      <w:pPr>
        <w:spacing w:line="360" w:lineRule="auto"/>
        <w:ind w:firstLine="993"/>
        <w:jc w:val="both"/>
        <w:rPr>
          <w:rFonts w:ascii="Arial Narrow" w:hAnsi="Arial Narrow" w:cs="Arial"/>
          <w:iCs/>
          <w:sz w:val="28"/>
          <w:szCs w:val="28"/>
        </w:rPr>
      </w:pPr>
    </w:p>
    <w:p w:rsidR="00656649" w:rsidRDefault="0065664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Como se observa, la afectación o daño del derecho al debido proceso, debe estar debidamente demostrado en la acción tutelar</w:t>
      </w:r>
      <w:r w:rsidR="008C28C5">
        <w:rPr>
          <w:rFonts w:ascii="Arial Narrow" w:hAnsi="Arial Narrow" w:cs="Arial"/>
          <w:iCs/>
          <w:sz w:val="28"/>
          <w:szCs w:val="28"/>
        </w:rPr>
        <w:t xml:space="preserve"> y debe acreditarse que su quebrantamiento no es corregible por un medio ordinario, atendiendo el carácter subsidiario y residual de la acción de amparo.</w:t>
      </w:r>
    </w:p>
    <w:p w:rsidR="00D0431E" w:rsidRDefault="00D0431E" w:rsidP="002F2145">
      <w:pPr>
        <w:spacing w:line="360" w:lineRule="auto"/>
        <w:ind w:firstLine="993"/>
        <w:jc w:val="both"/>
        <w:rPr>
          <w:rFonts w:ascii="Arial Narrow" w:hAnsi="Arial Narrow" w:cs="Arial"/>
          <w:iCs/>
          <w:sz w:val="28"/>
          <w:szCs w:val="28"/>
        </w:rPr>
      </w:pPr>
    </w:p>
    <w:p w:rsidR="008C28C5" w:rsidRDefault="008C28C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Es que resulta necesario reiterar, que la acción de tutela no es un mecanismo creado para desplazar o eludir los medios ordinarios de defensa, </w:t>
      </w:r>
      <w:r w:rsidR="00516A3D">
        <w:rPr>
          <w:rFonts w:ascii="Arial Narrow" w:hAnsi="Arial Narrow" w:cs="Arial"/>
          <w:iCs/>
          <w:sz w:val="28"/>
          <w:szCs w:val="28"/>
        </w:rPr>
        <w:t>por lo que es necesario que al invocarse el amparo, se evidencie que los medios puestos a disposición ya se evacuaron o no resultan ser adecuados para la defensa pronta del derecho en discusión.</w:t>
      </w:r>
    </w:p>
    <w:p w:rsidR="00516A3D" w:rsidRDefault="00516A3D" w:rsidP="002F2145">
      <w:pPr>
        <w:spacing w:line="360" w:lineRule="auto"/>
        <w:ind w:firstLine="993"/>
        <w:jc w:val="both"/>
        <w:rPr>
          <w:rFonts w:ascii="Arial Narrow" w:hAnsi="Arial Narrow" w:cs="Arial"/>
          <w:iCs/>
          <w:sz w:val="28"/>
          <w:szCs w:val="28"/>
        </w:rPr>
      </w:pPr>
    </w:p>
    <w:p w:rsidR="00EE51C5" w:rsidRDefault="00516A3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de marras, se tiene que el actor se duele de que el procedimiento policial adelantado para aprehender su </w:t>
      </w:r>
      <w:r w:rsidR="00EE51C5">
        <w:rPr>
          <w:rFonts w:ascii="Arial Narrow" w:hAnsi="Arial Narrow" w:cs="Arial"/>
          <w:iCs/>
          <w:sz w:val="28"/>
          <w:szCs w:val="28"/>
        </w:rPr>
        <w:t>vehículo</w:t>
      </w:r>
      <w:r>
        <w:rPr>
          <w:rFonts w:ascii="Arial Narrow" w:hAnsi="Arial Narrow" w:cs="Arial"/>
          <w:iCs/>
          <w:sz w:val="28"/>
          <w:szCs w:val="28"/>
        </w:rPr>
        <w:t xml:space="preserve"> fue inadecuado, por carecer de una orden judicial para ello, lo cual carece de veracidad, amén que </w:t>
      </w:r>
      <w:r w:rsidR="00EE51C5">
        <w:rPr>
          <w:rFonts w:ascii="Arial Narrow" w:hAnsi="Arial Narrow" w:cs="Arial"/>
          <w:iCs/>
          <w:sz w:val="28"/>
          <w:szCs w:val="28"/>
        </w:rPr>
        <w:t>se acreditó</w:t>
      </w:r>
      <w:r w:rsidR="0059400E">
        <w:rPr>
          <w:rFonts w:ascii="Arial Narrow" w:hAnsi="Arial Narrow" w:cs="Arial"/>
          <w:iCs/>
          <w:sz w:val="28"/>
          <w:szCs w:val="28"/>
        </w:rPr>
        <w:t xml:space="preserve"> por la </w:t>
      </w:r>
      <w:r w:rsidR="00EE51C5">
        <w:rPr>
          <w:rFonts w:ascii="Arial Narrow" w:hAnsi="Arial Narrow" w:cs="Arial"/>
          <w:iCs/>
          <w:sz w:val="28"/>
          <w:szCs w:val="28"/>
        </w:rPr>
        <w:t>policía que efectivamente existía una orden de retención contra el mencionado automotor, motivo por el cual no se observa que la decisión obedezca a un capricho de la autoridad policial o a un actuar de hecho, sino al cumplimiento de sus mandatos. Y cualquier petición que se surta frente a la liberación del apresamiento del vehículo, no debe surtirse ante los estamentos policiales, pues en verdad ellos no son más que los ejecutores de la decisión judicial, por lo que será el Juzgado el encargado de decidir sobre ella. Se itera, pues, la actuación policial  no menoscabo los derechos de los que se duele el accionante, razón por la cual se deberá negar la acción de amparo.</w:t>
      </w:r>
    </w:p>
    <w:p w:rsidR="00EE51C5" w:rsidRDefault="00EE51C5" w:rsidP="002F2145">
      <w:pPr>
        <w:spacing w:line="360" w:lineRule="auto"/>
        <w:ind w:firstLine="993"/>
        <w:jc w:val="both"/>
        <w:rPr>
          <w:rFonts w:ascii="Arial Narrow" w:hAnsi="Arial Narrow" w:cs="Arial"/>
          <w:iCs/>
          <w:sz w:val="28"/>
          <w:szCs w:val="28"/>
        </w:rPr>
      </w:pPr>
    </w:p>
    <w:p w:rsidR="00CD4A03" w:rsidRDefault="0077558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cuanto a las quejas disciplinarias que formula el actor contra los gendarme que ejecutaron la actuación, se tiene que este no es el escenario adecuado </w:t>
      </w:r>
      <w:r>
        <w:rPr>
          <w:rFonts w:ascii="Arial Narrow" w:hAnsi="Arial Narrow" w:cs="Arial"/>
          <w:iCs/>
          <w:sz w:val="28"/>
          <w:szCs w:val="28"/>
        </w:rPr>
        <w:lastRenderedPageBreak/>
        <w:t>para discutir las mismas, amén que es la misma institución, por parte de la Oficina de Control Interno Disciplinario, la llamada a adelantar la investigación, como efectivamente lo está haciendo.</w:t>
      </w:r>
    </w:p>
    <w:p w:rsidR="0077558A" w:rsidRDefault="0077558A" w:rsidP="002F2145">
      <w:pPr>
        <w:spacing w:line="360" w:lineRule="auto"/>
        <w:ind w:firstLine="993"/>
        <w:jc w:val="both"/>
        <w:rPr>
          <w:rFonts w:ascii="Arial Narrow" w:hAnsi="Arial Narrow" w:cs="Arial"/>
          <w:iCs/>
          <w:sz w:val="28"/>
          <w:szCs w:val="28"/>
        </w:rPr>
      </w:pPr>
    </w:p>
    <w:p w:rsidR="0077558A" w:rsidRDefault="0077558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se deberá negar la acción tutelar. </w:t>
      </w:r>
    </w:p>
    <w:p w:rsidR="0077558A" w:rsidRDefault="0077558A" w:rsidP="002F2145">
      <w:pPr>
        <w:spacing w:line="360" w:lineRule="auto"/>
        <w:ind w:firstLine="993"/>
        <w:jc w:val="both"/>
        <w:rPr>
          <w:rFonts w:ascii="Arial Narrow" w:hAnsi="Arial Narrow" w:cs="Arial"/>
          <w:iCs/>
          <w:sz w:val="28"/>
          <w:szCs w:val="28"/>
        </w:rPr>
      </w:pPr>
    </w:p>
    <w:p w:rsidR="002F2145"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D0431E" w:rsidRPr="00AF7EA4" w:rsidRDefault="00D0431E" w:rsidP="00DB6078">
      <w:pPr>
        <w:pStyle w:val="Prrafodelista1"/>
        <w:spacing w:line="360" w:lineRule="auto"/>
        <w:ind w:left="0" w:firstLine="709"/>
        <w:jc w:val="both"/>
        <w:rPr>
          <w:rFonts w:ascii="Arial Narrow" w:hAnsi="Arial Narrow"/>
          <w:sz w:val="28"/>
          <w:szCs w:val="28"/>
        </w:rPr>
      </w:pPr>
      <w:bookmarkStart w:id="0" w:name="_GoBack"/>
      <w:bookmarkEnd w:id="0"/>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ebrut"/>
        <w:ind w:firstLine="1440"/>
        <w:jc w:val="both"/>
        <w:rPr>
          <w:rFonts w:ascii="Arial Narrow" w:hAnsi="Arial Narrow" w:cs="Arial"/>
          <w:b/>
          <w:color w:val="000000"/>
          <w:spacing w:val="-2"/>
          <w:sz w:val="28"/>
          <w:szCs w:val="28"/>
        </w:rPr>
      </w:pPr>
    </w:p>
    <w:p w:rsidR="00FE6EEF" w:rsidRDefault="002F2145" w:rsidP="002F2145">
      <w:pPr>
        <w:pStyle w:val="Textebrut"/>
        <w:spacing w:line="360" w:lineRule="auto"/>
        <w:ind w:firstLine="900"/>
        <w:jc w:val="both"/>
        <w:rPr>
          <w:rFonts w:ascii="Arial Narrow" w:eastAsia="SimSun" w:hAnsi="Arial Narrow" w:cs="Arial"/>
          <w:sz w:val="28"/>
          <w:szCs w:val="28"/>
        </w:rPr>
      </w:pPr>
      <w:r w:rsidRPr="00AF7EA4">
        <w:rPr>
          <w:rFonts w:ascii="Arial Narrow" w:hAnsi="Arial Narrow" w:cs="Arial"/>
          <w:b/>
          <w:color w:val="000000"/>
          <w:spacing w:val="-2"/>
          <w:sz w:val="28"/>
          <w:szCs w:val="28"/>
        </w:rPr>
        <w:t xml:space="preserve">1º. </w:t>
      </w:r>
      <w:r w:rsidR="0077558A">
        <w:rPr>
          <w:rFonts w:ascii="Arial Narrow" w:eastAsia="SimSun" w:hAnsi="Arial Narrow" w:cs="Arial"/>
          <w:b/>
          <w:i/>
          <w:sz w:val="28"/>
          <w:szCs w:val="28"/>
        </w:rPr>
        <w:t>Negar</w:t>
      </w:r>
      <w:r w:rsidR="0070108F">
        <w:rPr>
          <w:rFonts w:ascii="Arial Narrow" w:eastAsia="SimSun" w:hAnsi="Arial Narrow" w:cs="Arial"/>
          <w:b/>
          <w:i/>
          <w:sz w:val="28"/>
          <w:szCs w:val="28"/>
        </w:rPr>
        <w:t xml:space="preserve"> </w:t>
      </w:r>
      <w:r w:rsidR="0070108F">
        <w:rPr>
          <w:rFonts w:ascii="Arial Narrow" w:eastAsia="SimSun" w:hAnsi="Arial Narrow" w:cs="Arial"/>
          <w:sz w:val="28"/>
          <w:szCs w:val="28"/>
        </w:rPr>
        <w:t xml:space="preserve">la acción de tutela propuesta por </w:t>
      </w:r>
      <w:r w:rsidR="0077558A">
        <w:rPr>
          <w:rFonts w:ascii="Arial Narrow" w:eastAsia="SimSun" w:hAnsi="Arial Narrow" w:cs="Arial"/>
          <w:sz w:val="28"/>
          <w:szCs w:val="28"/>
        </w:rPr>
        <w:t>Julián Octavio Largo Ramírez,</w:t>
      </w:r>
      <w:r w:rsidR="00FE6EEF">
        <w:rPr>
          <w:rFonts w:ascii="Arial Narrow" w:eastAsia="SimSun" w:hAnsi="Arial Narrow" w:cs="Arial"/>
          <w:sz w:val="28"/>
          <w:szCs w:val="28"/>
        </w:rPr>
        <w:t xml:space="preserve"> conforme a lo dicho.</w:t>
      </w:r>
    </w:p>
    <w:p w:rsidR="00FE6EEF" w:rsidRDefault="00FE6EEF" w:rsidP="000B0005">
      <w:pPr>
        <w:spacing w:line="360" w:lineRule="auto"/>
        <w:ind w:firstLine="993"/>
        <w:jc w:val="both"/>
        <w:rPr>
          <w:rFonts w:ascii="Arial Narrow" w:eastAsia="SimSun" w:hAnsi="Arial Narrow" w:cs="Arial"/>
          <w:b/>
          <w:i/>
          <w:sz w:val="28"/>
          <w:szCs w:val="28"/>
          <w:lang w:val="es-ES_tradnl"/>
        </w:rPr>
      </w:pPr>
    </w:p>
    <w:p w:rsidR="000B0005" w:rsidRDefault="00FE6EEF" w:rsidP="000B0005">
      <w:pPr>
        <w:spacing w:line="360" w:lineRule="auto"/>
        <w:ind w:firstLine="993"/>
        <w:jc w:val="both"/>
        <w:rPr>
          <w:rFonts w:ascii="Arial Narrow" w:hAnsi="Arial Narrow"/>
          <w:sz w:val="28"/>
          <w:szCs w:val="28"/>
        </w:rPr>
      </w:pPr>
      <w:r>
        <w:rPr>
          <w:rFonts w:ascii="Arial Narrow" w:eastAsia="SimSun" w:hAnsi="Arial Narrow" w:cs="Arial"/>
          <w:b/>
          <w:i/>
          <w:sz w:val="28"/>
          <w:szCs w:val="28"/>
          <w:lang w:val="es-ES_tradnl"/>
        </w:rPr>
        <w:t>2</w:t>
      </w:r>
      <w:r w:rsidR="002F2145" w:rsidRPr="00AF7EA4">
        <w:rPr>
          <w:rFonts w:ascii="Arial Narrow" w:eastAsia="SimSun" w:hAnsi="Arial Narrow" w:cs="Arial"/>
          <w:b/>
          <w:i/>
          <w:sz w:val="28"/>
          <w:szCs w:val="28"/>
          <w:lang w:val="es-ES_tradnl"/>
        </w:rPr>
        <w:t xml:space="preserve">º. </w:t>
      </w:r>
      <w:r w:rsidR="00145CD8" w:rsidRPr="00AF7EA4">
        <w:rPr>
          <w:rFonts w:ascii="Arial Narrow" w:eastAsia="SimSun" w:hAnsi="Arial Narrow" w:cs="Arial"/>
          <w:b/>
          <w:i/>
          <w:sz w:val="28"/>
          <w:szCs w:val="28"/>
          <w:lang w:val="es-ES_tradnl"/>
        </w:rPr>
        <w:t>Notificar</w:t>
      </w:r>
      <w:r w:rsidR="00145CD8" w:rsidRPr="00AF7EA4">
        <w:rPr>
          <w:rFonts w:ascii="Arial Narrow" w:eastAsia="SimSun" w:hAnsi="Arial Narrow" w:cs="Arial"/>
          <w:i/>
          <w:sz w:val="28"/>
          <w:szCs w:val="28"/>
          <w:lang w:val="es-ES_tradnl"/>
        </w:rPr>
        <w:t xml:space="preserve"> </w:t>
      </w:r>
      <w:r w:rsidR="00145CD8"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BD3863" w:rsidRPr="00BD3863" w:rsidRDefault="00BD3863" w:rsidP="002F2145">
      <w:pPr>
        <w:ind w:firstLine="900"/>
        <w:jc w:val="both"/>
        <w:rPr>
          <w:rFonts w:ascii="Arial Narrow" w:hAnsi="Arial Narrow" w:cs="Arial"/>
          <w:b/>
          <w:sz w:val="28"/>
          <w:szCs w:val="28"/>
        </w:rPr>
      </w:pPr>
    </w:p>
    <w:p w:rsidR="002F2145" w:rsidRPr="00AF7EA4" w:rsidRDefault="00FE6EEF"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3</w:t>
      </w:r>
      <w:r w:rsidR="002F2145" w:rsidRPr="00AF7EA4">
        <w:rPr>
          <w:rFonts w:ascii="Arial Narrow" w:hAnsi="Arial Narrow" w:cs="Arial"/>
          <w:b/>
          <w:sz w:val="28"/>
          <w:szCs w:val="28"/>
        </w:rPr>
        <w:t xml:space="preserve">º. </w:t>
      </w:r>
      <w:r w:rsidR="00145CD8" w:rsidRPr="00AF7EA4">
        <w:rPr>
          <w:rFonts w:ascii="Arial Narrow" w:eastAsia="SimSun" w:hAnsi="Arial Narrow" w:cs="Arial"/>
          <w:b/>
          <w:i/>
          <w:sz w:val="28"/>
          <w:szCs w:val="28"/>
          <w:lang w:val="es-ES_tradnl"/>
        </w:rPr>
        <w:t>Disponer,</w:t>
      </w:r>
      <w:r w:rsidR="00145CD8" w:rsidRPr="00AF7EA4">
        <w:rPr>
          <w:rFonts w:ascii="Arial Narrow" w:eastAsia="SimSun" w:hAnsi="Arial Narrow" w:cs="Arial"/>
          <w:i/>
          <w:sz w:val="28"/>
          <w:szCs w:val="28"/>
          <w:lang w:val="es-ES_tradnl"/>
        </w:rPr>
        <w:t xml:space="preserve"> </w:t>
      </w:r>
      <w:r w:rsidR="00145CD8"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145CD8" w:rsidRPr="00AF7EA4">
          <w:rPr>
            <w:rFonts w:ascii="Arial Narrow" w:eastAsia="SimSun" w:hAnsi="Arial Narrow" w:cs="Arial"/>
            <w:sz w:val="28"/>
            <w:szCs w:val="28"/>
            <w:lang w:val="es-ES_tradnl"/>
          </w:rPr>
          <w:t>la Honorable Corte</w:t>
        </w:r>
      </w:smartTag>
      <w:r w:rsidR="00145CD8"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pStyle w:val="Textebrut"/>
        <w:ind w:firstLine="900"/>
        <w:jc w:val="both"/>
        <w:rPr>
          <w:rFonts w:ascii="Arial Narrow" w:eastAsia="SimSun" w:hAnsi="Arial Narrow" w:cs="Arial"/>
          <w:b/>
          <w:i/>
          <w:sz w:val="28"/>
          <w:szCs w:val="28"/>
          <w:lang w:val="es-ES_tradnl"/>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B1015D">
      <w:pPr>
        <w:spacing w:line="360" w:lineRule="auto"/>
        <w:ind w:firstLine="900"/>
        <w:jc w:val="both"/>
        <w:rPr>
          <w:rFonts w:ascii="Arial Narrow" w:hAnsi="Arial Narrow" w:cs="Tahoma"/>
          <w:b/>
          <w:bCs/>
          <w:i/>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0A3959" w:rsidRDefault="000A3959" w:rsidP="000A3959">
      <w:pPr>
        <w:jc w:val="both"/>
        <w:rPr>
          <w:rFonts w:ascii="Arial Narrow" w:hAnsi="Arial Narrow" w:cs="Tahoma"/>
          <w:b/>
          <w:sz w:val="28"/>
          <w:szCs w:val="28"/>
        </w:rPr>
      </w:pPr>
      <w:r w:rsidRPr="000A3959">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r>
        <w:rPr>
          <w:rFonts w:ascii="Arial Narrow" w:hAnsi="Arial Narrow" w:cs="Tahoma"/>
          <w:b/>
          <w:sz w:val="28"/>
          <w:szCs w:val="28"/>
        </w:rPr>
        <w:tab/>
      </w:r>
    </w:p>
    <w:p w:rsidR="002F2145" w:rsidRPr="00B9093C" w:rsidRDefault="00145CD8"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SEPÙLVEDA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145CD8">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proofErr w:type="spellStart"/>
      <w:r w:rsidR="00BD3863">
        <w:rPr>
          <w:rFonts w:ascii="Arial Narrow" w:hAnsi="Arial Narrow" w:cs="Tahoma"/>
          <w:sz w:val="28"/>
          <w:szCs w:val="28"/>
        </w:rPr>
        <w:t>Magistrada</w:t>
      </w:r>
      <w:proofErr w:type="spellEnd"/>
    </w:p>
    <w:p w:rsidR="002F2145" w:rsidRDefault="002F2145" w:rsidP="002F2145">
      <w:pPr>
        <w:jc w:val="center"/>
        <w:rPr>
          <w:rFonts w:ascii="Arial Narrow" w:hAnsi="Arial Narrow" w:cs="Tahoma"/>
          <w:bCs/>
          <w:iCs/>
          <w:sz w:val="28"/>
          <w:szCs w:val="28"/>
        </w:rPr>
      </w:pPr>
    </w:p>
    <w:p w:rsidR="00D0431E" w:rsidRDefault="00D0431E" w:rsidP="002F2145">
      <w:pPr>
        <w:jc w:val="center"/>
        <w:rPr>
          <w:rFonts w:ascii="Arial Narrow" w:hAnsi="Arial Narrow" w:cs="Tahoma"/>
          <w:bCs/>
          <w:iCs/>
          <w:sz w:val="28"/>
          <w:szCs w:val="28"/>
        </w:rPr>
      </w:pPr>
    </w:p>
    <w:p w:rsidR="00D0431E" w:rsidRDefault="00D0431E" w:rsidP="002F2145">
      <w:pPr>
        <w:jc w:val="center"/>
        <w:rPr>
          <w:rFonts w:ascii="Arial Narrow" w:hAnsi="Arial Narrow" w:cs="Tahoma"/>
          <w:bCs/>
          <w:iCs/>
          <w:sz w:val="28"/>
          <w:szCs w:val="28"/>
        </w:rPr>
      </w:pPr>
    </w:p>
    <w:p w:rsidR="002F2145" w:rsidRPr="00B9093C" w:rsidRDefault="00145CD8"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1"/>
      <w:headerReference w:type="default" r:id="rId12"/>
      <w:footerReference w:type="even" r:id="rId13"/>
      <w:footerReference w:type="default" r:id="rId14"/>
      <w:headerReference w:type="first" r:id="rId15"/>
      <w:footerReference w:type="first" r:id="rId16"/>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2E" w:rsidRDefault="00D5002E" w:rsidP="002F2145">
      <w:r>
        <w:separator/>
      </w:r>
    </w:p>
  </w:endnote>
  <w:endnote w:type="continuationSeparator" w:id="0">
    <w:p w:rsidR="00D5002E" w:rsidRDefault="00D5002E"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rsidP="0053469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66C1D" w:rsidRDefault="00D5002E" w:rsidP="0053469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D5002E" w:rsidP="0053469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16" w:rsidRDefault="00197403">
    <w:pPr>
      <w:pStyle w:val="Pieddepage"/>
      <w:jc w:val="right"/>
    </w:pPr>
    <w:r>
      <w:fldChar w:fldCharType="begin"/>
    </w:r>
    <w:r>
      <w:instrText>PAGE   \* MERGEFORMAT</w:instrText>
    </w:r>
    <w:r>
      <w:fldChar w:fldCharType="separate"/>
    </w:r>
    <w:r w:rsidR="00D0431E">
      <w:rPr>
        <w:noProof/>
      </w:rPr>
      <w:t>1</w:t>
    </w:r>
    <w:r>
      <w:fldChar w:fldCharType="end"/>
    </w:r>
  </w:p>
  <w:p w:rsidR="00CD2D16" w:rsidRDefault="00D500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2E" w:rsidRDefault="00D5002E" w:rsidP="002F2145">
      <w:r>
        <w:separator/>
      </w:r>
    </w:p>
  </w:footnote>
  <w:footnote w:type="continuationSeparator" w:id="0">
    <w:p w:rsidR="00D5002E" w:rsidRDefault="00D5002E" w:rsidP="002F2145">
      <w:r>
        <w:continuationSeparator/>
      </w:r>
    </w:p>
  </w:footnote>
  <w:footnote w:id="1">
    <w:p w:rsidR="00656649" w:rsidRDefault="00656649">
      <w:pPr>
        <w:pStyle w:val="Notedebasdepage"/>
        <w:rPr>
          <w:lang w:val="es-CO"/>
        </w:rPr>
      </w:pPr>
      <w:r>
        <w:rPr>
          <w:rStyle w:val="Appelnotedebasdep"/>
        </w:rPr>
        <w:footnoteRef/>
      </w:r>
      <w:r>
        <w:t xml:space="preserve"> </w:t>
      </w:r>
      <w:r>
        <w:rPr>
          <w:lang w:val="es-CO"/>
        </w:rPr>
        <w:t>Sentencia T-474 de 2014.</w:t>
      </w:r>
    </w:p>
    <w:p w:rsidR="00656649" w:rsidRPr="00656649" w:rsidRDefault="0065664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C1D" w:rsidRDefault="0019740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66C1D" w:rsidRDefault="00D5002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8A" w:rsidRPr="002F2145" w:rsidRDefault="0077558A" w:rsidP="0077558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238</w:t>
    </w:r>
    <w:r w:rsidRPr="002F2145">
      <w:rPr>
        <w:rFonts w:ascii="Arial Narrow" w:hAnsi="Arial Narrow" w:cs="Arial"/>
        <w:bCs/>
        <w:iCs/>
        <w:lang w:eastAsia="es-MX"/>
      </w:rPr>
      <w:t>-00</w:t>
    </w:r>
    <w:r w:rsidRPr="002F2145">
      <w:rPr>
        <w:rFonts w:ascii="Arial Narrow" w:hAnsi="Arial Narrow" w:cs="Arial"/>
        <w:bCs/>
        <w:iCs/>
        <w:lang w:eastAsia="es-MX"/>
      </w:rPr>
      <w:tab/>
    </w:r>
  </w:p>
  <w:p w:rsidR="0077558A" w:rsidRPr="002F2145" w:rsidRDefault="0077558A" w:rsidP="0077558A">
    <w:pPr>
      <w:rPr>
        <w:rFonts w:ascii="Arial Narrow" w:hAnsi="Arial Narrow"/>
      </w:rPr>
    </w:pPr>
    <w:r>
      <w:rPr>
        <w:rFonts w:ascii="Arial Narrow" w:hAnsi="Arial Narrow"/>
      </w:rPr>
      <w:t>Julián Octavio Largo Ramírez vs. Policía Metropolitana de Pereira y otros</w:t>
    </w:r>
  </w:p>
  <w:p w:rsidR="005A239E" w:rsidRPr="0077558A" w:rsidRDefault="005A239E" w:rsidP="0077558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D2102D">
      <w:rPr>
        <w:rFonts w:ascii="Arial Narrow" w:hAnsi="Arial Narrow" w:cs="Arial"/>
        <w:bCs/>
        <w:iCs/>
        <w:lang w:eastAsia="es-MX"/>
      </w:rPr>
      <w:t>6</w:t>
    </w:r>
    <w:r w:rsidRPr="002F2145">
      <w:rPr>
        <w:rFonts w:ascii="Arial Narrow" w:hAnsi="Arial Narrow" w:cs="Arial"/>
        <w:bCs/>
        <w:iCs/>
        <w:lang w:eastAsia="es-MX"/>
      </w:rPr>
      <w:t>-00</w:t>
    </w:r>
    <w:r w:rsidR="00D2102D">
      <w:rPr>
        <w:rFonts w:ascii="Arial Narrow" w:hAnsi="Arial Narrow" w:cs="Arial"/>
        <w:bCs/>
        <w:iCs/>
        <w:lang w:eastAsia="es-MX"/>
      </w:rPr>
      <w:t>238</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D2102D" w:rsidP="008F2146">
    <w:pPr>
      <w:rPr>
        <w:rFonts w:ascii="Arial Narrow" w:hAnsi="Arial Narrow"/>
      </w:rPr>
    </w:pPr>
    <w:r>
      <w:rPr>
        <w:rFonts w:ascii="Arial Narrow" w:hAnsi="Arial Narrow"/>
      </w:rPr>
      <w:t>Julián Octavio Largo Ramírez</w:t>
    </w:r>
    <w:r w:rsidR="00D90480">
      <w:rPr>
        <w:rFonts w:ascii="Arial Narrow" w:hAnsi="Arial Narrow"/>
      </w:rPr>
      <w:t xml:space="preserve"> vs. </w:t>
    </w:r>
    <w:r>
      <w:rPr>
        <w:rFonts w:ascii="Arial Narrow" w:hAnsi="Arial Narrow"/>
      </w:rPr>
      <w:t>Policía Metropolitana de Pereira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45"/>
    <w:rsid w:val="00023F97"/>
    <w:rsid w:val="00045A69"/>
    <w:rsid w:val="0004677C"/>
    <w:rsid w:val="00076475"/>
    <w:rsid w:val="00080EA6"/>
    <w:rsid w:val="00083410"/>
    <w:rsid w:val="000A361C"/>
    <w:rsid w:val="000A3959"/>
    <w:rsid w:val="000B0005"/>
    <w:rsid w:val="000E3A3E"/>
    <w:rsid w:val="000E3B56"/>
    <w:rsid w:val="000E5245"/>
    <w:rsid w:val="00104370"/>
    <w:rsid w:val="00125594"/>
    <w:rsid w:val="00140F9F"/>
    <w:rsid w:val="00145CD8"/>
    <w:rsid w:val="001549EF"/>
    <w:rsid w:val="00157112"/>
    <w:rsid w:val="00197403"/>
    <w:rsid w:val="001B007B"/>
    <w:rsid w:val="001B5C33"/>
    <w:rsid w:val="001C5609"/>
    <w:rsid w:val="001F6FDB"/>
    <w:rsid w:val="00202E92"/>
    <w:rsid w:val="002333D5"/>
    <w:rsid w:val="00236ABB"/>
    <w:rsid w:val="00242C4F"/>
    <w:rsid w:val="002478A7"/>
    <w:rsid w:val="002619AD"/>
    <w:rsid w:val="00280F2D"/>
    <w:rsid w:val="00294CBB"/>
    <w:rsid w:val="002C21E8"/>
    <w:rsid w:val="002E5258"/>
    <w:rsid w:val="002E61DE"/>
    <w:rsid w:val="002F0BEE"/>
    <w:rsid w:val="002F2145"/>
    <w:rsid w:val="0035181C"/>
    <w:rsid w:val="00353C14"/>
    <w:rsid w:val="00355572"/>
    <w:rsid w:val="00355E96"/>
    <w:rsid w:val="00367810"/>
    <w:rsid w:val="00386D87"/>
    <w:rsid w:val="003C20DC"/>
    <w:rsid w:val="003C7B60"/>
    <w:rsid w:val="003C7D1E"/>
    <w:rsid w:val="003D7C99"/>
    <w:rsid w:val="003E5CC0"/>
    <w:rsid w:val="003F1CD5"/>
    <w:rsid w:val="00412260"/>
    <w:rsid w:val="00427B5F"/>
    <w:rsid w:val="004754E6"/>
    <w:rsid w:val="004D373B"/>
    <w:rsid w:val="004F0AE2"/>
    <w:rsid w:val="00512983"/>
    <w:rsid w:val="005134F8"/>
    <w:rsid w:val="00516A3D"/>
    <w:rsid w:val="005412FC"/>
    <w:rsid w:val="005524CA"/>
    <w:rsid w:val="0057197A"/>
    <w:rsid w:val="005725BC"/>
    <w:rsid w:val="0058532A"/>
    <w:rsid w:val="00587F1C"/>
    <w:rsid w:val="0059400E"/>
    <w:rsid w:val="005A1814"/>
    <w:rsid w:val="005A239E"/>
    <w:rsid w:val="005B3C5B"/>
    <w:rsid w:val="005C1704"/>
    <w:rsid w:val="005C7E20"/>
    <w:rsid w:val="005E3F8D"/>
    <w:rsid w:val="005E66BC"/>
    <w:rsid w:val="005E7E92"/>
    <w:rsid w:val="005F077C"/>
    <w:rsid w:val="00624956"/>
    <w:rsid w:val="00625473"/>
    <w:rsid w:val="00656649"/>
    <w:rsid w:val="0067748E"/>
    <w:rsid w:val="006B302F"/>
    <w:rsid w:val="006E7895"/>
    <w:rsid w:val="006F16BD"/>
    <w:rsid w:val="0070108F"/>
    <w:rsid w:val="00721D1E"/>
    <w:rsid w:val="00730342"/>
    <w:rsid w:val="007507AF"/>
    <w:rsid w:val="00751D6D"/>
    <w:rsid w:val="00764677"/>
    <w:rsid w:val="0077558A"/>
    <w:rsid w:val="007A7B3D"/>
    <w:rsid w:val="007B6605"/>
    <w:rsid w:val="007B78A9"/>
    <w:rsid w:val="007C0A79"/>
    <w:rsid w:val="007C2EC0"/>
    <w:rsid w:val="007D38BB"/>
    <w:rsid w:val="007D65E4"/>
    <w:rsid w:val="007E401F"/>
    <w:rsid w:val="007F097C"/>
    <w:rsid w:val="00807F11"/>
    <w:rsid w:val="00873073"/>
    <w:rsid w:val="008A7D74"/>
    <w:rsid w:val="008C054C"/>
    <w:rsid w:val="008C28C5"/>
    <w:rsid w:val="008C73F2"/>
    <w:rsid w:val="008D0272"/>
    <w:rsid w:val="008E5EF7"/>
    <w:rsid w:val="009214FE"/>
    <w:rsid w:val="00963482"/>
    <w:rsid w:val="00974EF6"/>
    <w:rsid w:val="009B35F9"/>
    <w:rsid w:val="009B3FE8"/>
    <w:rsid w:val="009D2A58"/>
    <w:rsid w:val="00A105E2"/>
    <w:rsid w:val="00A25DA1"/>
    <w:rsid w:val="00A769E3"/>
    <w:rsid w:val="00AA796E"/>
    <w:rsid w:val="00AA7B37"/>
    <w:rsid w:val="00AF0395"/>
    <w:rsid w:val="00AF1622"/>
    <w:rsid w:val="00AF3F2F"/>
    <w:rsid w:val="00AF4038"/>
    <w:rsid w:val="00B04CF9"/>
    <w:rsid w:val="00B1015D"/>
    <w:rsid w:val="00B22D93"/>
    <w:rsid w:val="00B61E0A"/>
    <w:rsid w:val="00B81A1A"/>
    <w:rsid w:val="00B82F9B"/>
    <w:rsid w:val="00BA3F3D"/>
    <w:rsid w:val="00BA4229"/>
    <w:rsid w:val="00BB61B9"/>
    <w:rsid w:val="00BC3BAA"/>
    <w:rsid w:val="00BD3863"/>
    <w:rsid w:val="00C075FF"/>
    <w:rsid w:val="00C20D8A"/>
    <w:rsid w:val="00C219E2"/>
    <w:rsid w:val="00C236EC"/>
    <w:rsid w:val="00C27958"/>
    <w:rsid w:val="00C500C8"/>
    <w:rsid w:val="00C5039D"/>
    <w:rsid w:val="00C65529"/>
    <w:rsid w:val="00C73AD4"/>
    <w:rsid w:val="00C771A1"/>
    <w:rsid w:val="00C77637"/>
    <w:rsid w:val="00CA6BDD"/>
    <w:rsid w:val="00CC1B73"/>
    <w:rsid w:val="00CC4164"/>
    <w:rsid w:val="00CC42E6"/>
    <w:rsid w:val="00CD4302"/>
    <w:rsid w:val="00CD4A03"/>
    <w:rsid w:val="00CD625B"/>
    <w:rsid w:val="00CF4979"/>
    <w:rsid w:val="00CF52F4"/>
    <w:rsid w:val="00CF5E21"/>
    <w:rsid w:val="00D02C07"/>
    <w:rsid w:val="00D0431E"/>
    <w:rsid w:val="00D06FCC"/>
    <w:rsid w:val="00D0721A"/>
    <w:rsid w:val="00D10A5E"/>
    <w:rsid w:val="00D2102D"/>
    <w:rsid w:val="00D5002E"/>
    <w:rsid w:val="00D557E5"/>
    <w:rsid w:val="00D66406"/>
    <w:rsid w:val="00D70361"/>
    <w:rsid w:val="00D81C29"/>
    <w:rsid w:val="00D90480"/>
    <w:rsid w:val="00D96529"/>
    <w:rsid w:val="00DB6078"/>
    <w:rsid w:val="00DE73B4"/>
    <w:rsid w:val="00DF6C61"/>
    <w:rsid w:val="00E04692"/>
    <w:rsid w:val="00E20C51"/>
    <w:rsid w:val="00E55CF6"/>
    <w:rsid w:val="00E753AC"/>
    <w:rsid w:val="00E77366"/>
    <w:rsid w:val="00E84590"/>
    <w:rsid w:val="00E8646B"/>
    <w:rsid w:val="00E948DF"/>
    <w:rsid w:val="00EA7218"/>
    <w:rsid w:val="00EB0A84"/>
    <w:rsid w:val="00EB4CF3"/>
    <w:rsid w:val="00ED01D6"/>
    <w:rsid w:val="00EE51C5"/>
    <w:rsid w:val="00EF261B"/>
    <w:rsid w:val="00F30CB2"/>
    <w:rsid w:val="00F32B04"/>
    <w:rsid w:val="00F54646"/>
    <w:rsid w:val="00F57658"/>
    <w:rsid w:val="00F90DC3"/>
    <w:rsid w:val="00FA36C8"/>
    <w:rsid w:val="00FD7FDE"/>
    <w:rsid w:val="00FE6EEF"/>
    <w:rsid w:val="00FF1A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itre3">
    <w:name w:val="heading 3"/>
    <w:basedOn w:val="Normal"/>
    <w:next w:val="Normal"/>
    <w:link w:val="Titre3Car"/>
    <w:qFormat/>
    <w:rsid w:val="002F2145"/>
    <w:pPr>
      <w:keepNext/>
      <w:spacing w:line="360" w:lineRule="auto"/>
      <w:jc w:val="center"/>
      <w:outlineLvl w:val="2"/>
    </w:pPr>
    <w:rPr>
      <w:rFonts w:ascii="Arial" w:hAnsi="Arial"/>
      <w:sz w:val="24"/>
    </w:rPr>
  </w:style>
  <w:style w:type="paragraph" w:styleId="Titre4">
    <w:name w:val="heading 4"/>
    <w:basedOn w:val="Normal"/>
    <w:next w:val="Normal"/>
    <w:link w:val="Titre4Car"/>
    <w:qFormat/>
    <w:rsid w:val="002F2145"/>
    <w:pPr>
      <w:keepNext/>
      <w:spacing w:line="360" w:lineRule="auto"/>
      <w:jc w:val="center"/>
      <w:outlineLvl w:val="3"/>
    </w:pPr>
    <w:rPr>
      <w:rFonts w:ascii="Verdana" w:hAnsi="Verdana"/>
      <w:b/>
      <w:bCs/>
      <w:sz w:val="24"/>
    </w:rPr>
  </w:style>
  <w:style w:type="paragraph" w:styleId="Titre6">
    <w:name w:val="heading 6"/>
    <w:basedOn w:val="Normal"/>
    <w:next w:val="Normal"/>
    <w:link w:val="Titre6Car"/>
    <w:qFormat/>
    <w:rsid w:val="002F2145"/>
    <w:pPr>
      <w:keepNext/>
      <w:spacing w:line="360" w:lineRule="auto"/>
      <w:jc w:val="center"/>
      <w:outlineLvl w:val="5"/>
    </w:pPr>
    <w:rPr>
      <w:rFonts w:ascii="Verdana" w:hAnsi="Verdana"/>
      <w:b/>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2F2145"/>
    <w:rPr>
      <w:rFonts w:ascii="Arial" w:eastAsia="Times New Roman" w:hAnsi="Arial" w:cs="Times New Roman"/>
      <w:sz w:val="24"/>
      <w:szCs w:val="20"/>
      <w:lang w:eastAsia="es-ES"/>
    </w:rPr>
  </w:style>
  <w:style w:type="character" w:customStyle="1" w:styleId="Titre4Car">
    <w:name w:val="Titre 4 Car"/>
    <w:basedOn w:val="Policepardfaut"/>
    <w:link w:val="Titre4"/>
    <w:rsid w:val="002F2145"/>
    <w:rPr>
      <w:rFonts w:ascii="Verdana" w:eastAsia="Times New Roman" w:hAnsi="Verdana" w:cs="Times New Roman"/>
      <w:b/>
      <w:bCs/>
      <w:sz w:val="24"/>
      <w:szCs w:val="20"/>
      <w:lang w:eastAsia="es-ES"/>
    </w:rPr>
  </w:style>
  <w:style w:type="character" w:customStyle="1" w:styleId="Titre6Car">
    <w:name w:val="Titre 6 Car"/>
    <w:basedOn w:val="Policepardfaut"/>
    <w:link w:val="Titre6"/>
    <w:rsid w:val="002F2145"/>
    <w:rPr>
      <w:rFonts w:ascii="Verdana" w:eastAsia="Times New Roman" w:hAnsi="Verdana" w:cs="Times New Roman"/>
      <w:b/>
      <w:color w:val="000000"/>
      <w:sz w:val="24"/>
      <w:szCs w:val="20"/>
      <w:lang w:eastAsia="es-ES"/>
    </w:rPr>
  </w:style>
  <w:style w:type="paragraph" w:styleId="En-tte">
    <w:name w:val="header"/>
    <w:basedOn w:val="Normal"/>
    <w:link w:val="En-tteCar"/>
    <w:uiPriority w:val="99"/>
    <w:rsid w:val="002F2145"/>
    <w:pPr>
      <w:tabs>
        <w:tab w:val="center" w:pos="4252"/>
        <w:tab w:val="right" w:pos="8504"/>
      </w:tabs>
    </w:pPr>
  </w:style>
  <w:style w:type="character" w:customStyle="1" w:styleId="En-tteCar">
    <w:name w:val="En-tête Car"/>
    <w:basedOn w:val="Policepardfaut"/>
    <w:link w:val="En-tte"/>
    <w:uiPriority w:val="99"/>
    <w:rsid w:val="002F2145"/>
    <w:rPr>
      <w:rFonts w:ascii="Times New Roman" w:eastAsia="Times New Roman" w:hAnsi="Times New Roman" w:cs="Times New Roman"/>
      <w:sz w:val="20"/>
      <w:szCs w:val="20"/>
      <w:lang w:eastAsia="es-ES"/>
    </w:rPr>
  </w:style>
  <w:style w:type="character" w:styleId="Numrodepage">
    <w:name w:val="page number"/>
    <w:basedOn w:val="Policepardfaut"/>
    <w:rsid w:val="002F2145"/>
  </w:style>
  <w:style w:type="paragraph" w:styleId="Pieddepage">
    <w:name w:val="footer"/>
    <w:basedOn w:val="Normal"/>
    <w:link w:val="PieddepageCar"/>
    <w:uiPriority w:val="99"/>
    <w:rsid w:val="002F2145"/>
    <w:pPr>
      <w:tabs>
        <w:tab w:val="center" w:pos="4252"/>
        <w:tab w:val="right" w:pos="8504"/>
      </w:tabs>
    </w:pPr>
  </w:style>
  <w:style w:type="character" w:customStyle="1" w:styleId="PieddepageCar">
    <w:name w:val="Pied de page Car"/>
    <w:basedOn w:val="Policepardfaut"/>
    <w:link w:val="Pieddepage"/>
    <w:uiPriority w:val="99"/>
    <w:rsid w:val="002F2145"/>
    <w:rPr>
      <w:rFonts w:ascii="Times New Roman" w:eastAsia="Times New Roman" w:hAnsi="Times New Roman" w:cs="Times New Roman"/>
      <w:sz w:val="20"/>
      <w:szCs w:val="20"/>
      <w:lang w:eastAsia="es-ES"/>
    </w:rPr>
  </w:style>
  <w:style w:type="paragraph" w:styleId="Corpsdetexte2">
    <w:name w:val="Body Text 2"/>
    <w:basedOn w:val="Normal"/>
    <w:link w:val="Corpsdetexte2Car"/>
    <w:rsid w:val="002F2145"/>
    <w:pPr>
      <w:spacing w:line="360" w:lineRule="auto"/>
      <w:jc w:val="both"/>
    </w:pPr>
    <w:rPr>
      <w:rFonts w:ascii="Verdana" w:hAnsi="Verdana"/>
      <w:sz w:val="24"/>
    </w:rPr>
  </w:style>
  <w:style w:type="character" w:customStyle="1" w:styleId="Corpsdetexte2Car">
    <w:name w:val="Corps de texte 2 Car"/>
    <w:basedOn w:val="Policepardfaut"/>
    <w:link w:val="Corpsdetexte2"/>
    <w:rsid w:val="002F2145"/>
    <w:rPr>
      <w:rFonts w:ascii="Verdana" w:eastAsia="Times New Roman" w:hAnsi="Verdana" w:cs="Times New Roman"/>
      <w:sz w:val="24"/>
      <w:szCs w:val="20"/>
      <w:lang w:eastAsia="es-ES"/>
    </w:rPr>
  </w:style>
  <w:style w:type="paragraph" w:styleId="Notedebasdepage">
    <w:name w:val="footnote text"/>
    <w:aliases w:val="Footnote Text Char Char Char Char Char,Footnote Text Char Char Char Char,Footnote reference,FA Fu,Footnote Text Char Char Char Car,Footnote Text Char Char Char,Footnote Text Char,Ref. de nota al pie1,texto de nota al pie"/>
    <w:basedOn w:val="Normal"/>
    <w:link w:val="NotedebasdepageCar"/>
    <w:uiPriority w:val="99"/>
    <w:rsid w:val="002F2145"/>
  </w:style>
  <w:style w:type="character" w:customStyle="1" w:styleId="TextonotapieCar">
    <w:name w:val="Texto nota pie Car"/>
    <w:basedOn w:val="Policepardfaut"/>
    <w:uiPriority w:val="99"/>
    <w:semiHidden/>
    <w:rsid w:val="002F214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ebrut">
    <w:name w:val="Plain Text"/>
    <w:basedOn w:val="Normal"/>
    <w:link w:val="TextebrutCar"/>
    <w:rsid w:val="002F2145"/>
    <w:pPr>
      <w:autoSpaceDE w:val="0"/>
      <w:autoSpaceDN w:val="0"/>
    </w:pPr>
    <w:rPr>
      <w:rFonts w:ascii="Courier New" w:hAnsi="Courier New"/>
    </w:rPr>
  </w:style>
  <w:style w:type="character" w:customStyle="1" w:styleId="TextebrutCar">
    <w:name w:val="Texte brut Car"/>
    <w:basedOn w:val="Policepardfaut"/>
    <w:link w:val="Textebrut"/>
    <w:rsid w:val="002F2145"/>
    <w:rPr>
      <w:rFonts w:ascii="Courier New" w:eastAsia="Times New Roman" w:hAnsi="Courier New" w:cs="Times New Roman"/>
      <w:sz w:val="20"/>
      <w:szCs w:val="20"/>
      <w:lang w:eastAsia="es-ES"/>
    </w:rPr>
  </w:style>
  <w:style w:type="character" w:customStyle="1" w:styleId="NotedebasdepageCar">
    <w:name w:val="Note de bas de page Car"/>
    <w:aliases w:val="Footnote Text Char Char Char Char Char Car,Footnote Text Char Char Char Char Car,Footnote reference Car,FA Fu Car,Footnote Text Char Char Char Car Car,Footnote Text Char Char Char Car1,Footnote Text Char Car"/>
    <w:link w:val="Notedebasdepag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aragraphedeliste">
    <w:name w:val="List Paragraph"/>
    <w:basedOn w:val="Normal"/>
    <w:uiPriority w:val="34"/>
    <w:qFormat/>
    <w:rsid w:val="002F2145"/>
    <w:pPr>
      <w:ind w:left="720"/>
      <w:contextualSpacing/>
    </w:pPr>
  </w:style>
  <w:style w:type="character" w:customStyle="1" w:styleId="apple-converted-space">
    <w:name w:val="apple-converted-space"/>
    <w:basedOn w:val="Policepardfaut"/>
    <w:rsid w:val="002F2145"/>
  </w:style>
  <w:style w:type="paragraph" w:styleId="Sansinterligne">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Lienhypertexte">
    <w:name w:val="Hyperlink"/>
    <w:basedOn w:val="Policepardfaut"/>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edebulles">
    <w:name w:val="Balloon Text"/>
    <w:basedOn w:val="Normal"/>
    <w:link w:val="TextedebullesCar"/>
    <w:uiPriority w:val="99"/>
    <w:semiHidden/>
    <w:unhideWhenUsed/>
    <w:rsid w:val="00AA796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1FC6-0182-450E-90E3-7B4EFAD74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1502</Words>
  <Characters>8261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Malucimedina</cp:lastModifiedBy>
  <cp:revision>12</cp:revision>
  <cp:lastPrinted>2017-02-06T13:46:00Z</cp:lastPrinted>
  <dcterms:created xsi:type="dcterms:W3CDTF">2017-02-03T18:19:00Z</dcterms:created>
  <dcterms:modified xsi:type="dcterms:W3CDTF">2017-05-05T18:04:00Z</dcterms:modified>
</cp:coreProperties>
</file>