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34" w:rsidRPr="0094372D" w:rsidRDefault="00592B34" w:rsidP="00592B3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92B34" w:rsidRPr="00592B34" w:rsidRDefault="00592B34" w:rsidP="00592B34">
      <w:pPr>
        <w:jc w:val="both"/>
        <w:rPr>
          <w:rFonts w:ascii="Arial Narrow" w:hAnsi="Arial Narrow" w:cs="Arial"/>
          <w:b/>
          <w:bCs/>
          <w:i/>
          <w:iCs/>
          <w:sz w:val="20"/>
          <w:u w:val="single"/>
        </w:rPr>
      </w:pPr>
    </w:p>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322087">
        <w:rPr>
          <w:rFonts w:ascii="Arial Narrow" w:hAnsi="Arial Narrow" w:cs="Arial"/>
          <w:i/>
          <w:sz w:val="18"/>
          <w:szCs w:val="18"/>
        </w:rPr>
        <w:t>09</w:t>
      </w:r>
      <w:r w:rsidRPr="00DA5D26">
        <w:rPr>
          <w:rFonts w:ascii="Arial Narrow" w:hAnsi="Arial Narrow" w:cs="Arial"/>
          <w:i/>
          <w:sz w:val="18"/>
          <w:szCs w:val="18"/>
        </w:rPr>
        <w:t xml:space="preserve"> de </w:t>
      </w:r>
      <w:r w:rsidR="005E7884">
        <w:rPr>
          <w:rFonts w:ascii="Arial Narrow" w:hAnsi="Arial Narrow" w:cs="Arial"/>
          <w:i/>
          <w:sz w:val="18"/>
          <w:szCs w:val="18"/>
        </w:rPr>
        <w:t>febrero</w:t>
      </w:r>
      <w:r w:rsidRPr="00DA5D26">
        <w:rPr>
          <w:rFonts w:ascii="Arial Narrow" w:hAnsi="Arial Narrow" w:cs="Arial"/>
          <w:i/>
          <w:sz w:val="18"/>
          <w:szCs w:val="18"/>
        </w:rPr>
        <w:t xml:space="preserve"> de 201</w:t>
      </w:r>
      <w:r w:rsidR="005E7884">
        <w:rPr>
          <w:rFonts w:ascii="Arial Narrow" w:hAnsi="Arial Narrow" w:cs="Arial"/>
          <w:i/>
          <w:sz w:val="18"/>
          <w:szCs w:val="18"/>
        </w:rPr>
        <w:t>7</w:t>
      </w:r>
      <w:r w:rsidRPr="00DA5D26">
        <w:rPr>
          <w:rFonts w:ascii="Arial Narrow" w:hAnsi="Arial Narrow" w:cs="Arial"/>
          <w:i/>
          <w:sz w:val="18"/>
          <w:szCs w:val="18"/>
        </w:rPr>
        <w:t>.</w:t>
      </w:r>
    </w:p>
    <w:p w:rsidR="00592B34" w:rsidRPr="00DA5D26" w:rsidRDefault="00592B34" w:rsidP="00592B34">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 – Modifica sentencia que accedió a las pretensiones</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5E7884">
        <w:rPr>
          <w:rFonts w:ascii="Arial Narrow" w:hAnsi="Arial Narrow" w:cs="Arial"/>
          <w:bCs/>
          <w:i/>
          <w:sz w:val="18"/>
          <w:szCs w:val="18"/>
        </w:rPr>
        <w:t>1</w:t>
      </w:r>
      <w:r>
        <w:rPr>
          <w:rFonts w:ascii="Arial Narrow" w:hAnsi="Arial Narrow" w:cs="Arial"/>
          <w:bCs/>
          <w:i/>
          <w:sz w:val="18"/>
          <w:szCs w:val="18"/>
        </w:rPr>
        <w:t>-201</w:t>
      </w:r>
      <w:r w:rsidR="005E7884">
        <w:rPr>
          <w:rFonts w:ascii="Arial Narrow" w:hAnsi="Arial Narrow" w:cs="Arial"/>
          <w:bCs/>
          <w:i/>
          <w:sz w:val="18"/>
          <w:szCs w:val="18"/>
        </w:rPr>
        <w:t>3</w:t>
      </w:r>
      <w:r>
        <w:rPr>
          <w:rFonts w:ascii="Arial Narrow" w:hAnsi="Arial Narrow" w:cs="Arial"/>
          <w:bCs/>
          <w:i/>
          <w:sz w:val="18"/>
          <w:szCs w:val="18"/>
        </w:rPr>
        <w:t>-00</w:t>
      </w:r>
      <w:r w:rsidR="005E7884">
        <w:rPr>
          <w:rFonts w:ascii="Arial Narrow" w:hAnsi="Arial Narrow" w:cs="Arial"/>
          <w:bCs/>
          <w:i/>
          <w:sz w:val="18"/>
          <w:szCs w:val="18"/>
        </w:rPr>
        <w:t>328</w:t>
      </w:r>
      <w:r>
        <w:rPr>
          <w:rFonts w:ascii="Arial Narrow" w:hAnsi="Arial Narrow" w:cs="Arial"/>
          <w:bCs/>
          <w:i/>
          <w:sz w:val="18"/>
          <w:szCs w:val="18"/>
        </w:rPr>
        <w:t>-01</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5E7884">
        <w:rPr>
          <w:rFonts w:ascii="Arial Narrow" w:hAnsi="Arial Narrow" w:cs="Arial"/>
          <w:i/>
          <w:iCs/>
          <w:sz w:val="18"/>
          <w:szCs w:val="18"/>
        </w:rPr>
        <w:t>María Rocío Zuluaga Palacio</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5E7884">
        <w:rPr>
          <w:rFonts w:ascii="Arial Narrow" w:hAnsi="Arial Narrow" w:cs="Arial"/>
          <w:i/>
          <w:sz w:val="18"/>
          <w:szCs w:val="18"/>
        </w:rPr>
        <w:t>Primero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592B34" w:rsidRDefault="00592B34" w:rsidP="00E77A72">
      <w:pPr>
        <w:spacing w:before="20" w:after="20"/>
        <w:ind w:left="2124" w:hanging="2124"/>
        <w:jc w:val="both"/>
        <w:rPr>
          <w:rFonts w:ascii="Arial Narrow" w:hAnsi="Arial Narrow" w:cs="Arial"/>
          <w:b/>
          <w:bCs/>
          <w:i/>
          <w:sz w:val="18"/>
          <w:szCs w:val="18"/>
        </w:rPr>
      </w:pPr>
    </w:p>
    <w:p w:rsidR="003B2225" w:rsidRPr="00E77A72" w:rsidRDefault="00DA5D26" w:rsidP="00592B34">
      <w:pPr>
        <w:spacing w:before="20" w:after="20"/>
        <w:ind w:firstLine="3"/>
        <w:jc w:val="both"/>
        <w:rPr>
          <w:rFonts w:ascii="Arial Narrow" w:hAnsi="Arial Narrow" w:cs="Arial"/>
          <w:bCs/>
          <w:i/>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592B34">
        <w:rPr>
          <w:rFonts w:ascii="Arial Narrow" w:hAnsi="Arial Narrow" w:cs="Arial"/>
          <w:b/>
          <w:bCs/>
          <w:i/>
          <w:sz w:val="18"/>
          <w:szCs w:val="18"/>
        </w:rPr>
        <w:tab/>
      </w:r>
      <w:proofErr w:type="spellStart"/>
      <w:r w:rsidR="00592B34">
        <w:rPr>
          <w:rFonts w:ascii="Arial Narrow" w:hAnsi="Arial Narrow" w:cs="Arial"/>
          <w:b/>
          <w:bCs/>
          <w:i/>
          <w:sz w:val="18"/>
          <w:szCs w:val="18"/>
        </w:rPr>
        <w:t>IBL</w:t>
      </w:r>
      <w:proofErr w:type="spellEnd"/>
      <w:r w:rsidR="00592B34">
        <w:rPr>
          <w:rFonts w:ascii="Arial Narrow" w:hAnsi="Arial Narrow" w:cs="Arial"/>
          <w:b/>
          <w:bCs/>
          <w:i/>
          <w:sz w:val="18"/>
          <w:szCs w:val="18"/>
        </w:rPr>
        <w:t xml:space="preserve"> PARA PENSIONES CONCEDIDAS EN APLICACIÓN DEL RÉGIMEN DE TRANSICIÓN.</w:t>
      </w:r>
      <w:r w:rsidR="00E77A72">
        <w:rPr>
          <w:rFonts w:ascii="Arial Narrow" w:hAnsi="Arial Narrow" w:cs="Arial"/>
          <w:b/>
          <w:bCs/>
          <w:i/>
          <w:sz w:val="18"/>
          <w:szCs w:val="18"/>
        </w:rPr>
        <w:t xml:space="preserve"> </w:t>
      </w:r>
      <w:r w:rsidR="00E77A72" w:rsidRPr="00E77A72">
        <w:rPr>
          <w:rFonts w:ascii="Arial Narrow" w:hAnsi="Arial Narrow" w:cs="Arial"/>
          <w:bCs/>
          <w:i/>
          <w:sz w:val="18"/>
          <w:szCs w:val="18"/>
        </w:rPr>
        <w:t xml:space="preserve">En el caso de los beneficiarios del régimen de transición, como lo es la demandante, puesto que para el 01 de abril de 1994 contaba con más de 40 años de edad –como lo demuestra la copia de su cédula de ciudadanía </w:t>
      </w:r>
      <w:proofErr w:type="spellStart"/>
      <w:r w:rsidR="00E77A72" w:rsidRPr="00E77A72">
        <w:rPr>
          <w:rFonts w:ascii="Arial Narrow" w:hAnsi="Arial Narrow" w:cs="Arial"/>
          <w:bCs/>
          <w:i/>
          <w:sz w:val="18"/>
          <w:szCs w:val="18"/>
        </w:rPr>
        <w:t>fl</w:t>
      </w:r>
      <w:proofErr w:type="spellEnd"/>
      <w:r w:rsidR="00E77A72" w:rsidRPr="00E77A72">
        <w:rPr>
          <w:rFonts w:ascii="Arial Narrow" w:hAnsi="Arial Narrow" w:cs="Arial"/>
          <w:bCs/>
          <w:i/>
          <w:sz w:val="18"/>
          <w:szCs w:val="18"/>
        </w:rPr>
        <w:t>. 19-y más de 15 años de cotizaciones al sistema pensional –como se acredita con la historia laboral visible a folio 50-, existen dos normas aplicables: (i) el 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causación del derecho. También autoriza esta regla a que se tenga en cuenta el IBL de todos los ciclos cotizados en la vida laboral, siempre que el afiliado tuviere más de 1250 semanas cotizadas. Ahora, para determinar cuál de los regímenes legales es el aplicable a cada afiliado, debe partirse por determinar, una vez entrada en vigencia la Ley 100 de 1993, cuánto tiempo le hacía falta a la persona para alcanzar la pensión de vejez. En caso de que le hicieran falta menos de diez años, se aplicará lo ordenado en el inciso 3º del artículo 36 de la Ley 100 de 1993 y si le hacían falta más de 10 años, se deberá acudir a las pautas trazadas en el artículo 21 ibídem.</w:t>
      </w:r>
    </w:p>
    <w:p w:rsidR="00E77A72" w:rsidRPr="00793C55" w:rsidRDefault="00E77A72" w:rsidP="00793C55">
      <w:pPr>
        <w:spacing w:before="20" w:after="20"/>
        <w:ind w:left="2124" w:hanging="2124"/>
        <w:jc w:val="both"/>
        <w:rPr>
          <w:rFonts w:ascii="Arial Narrow" w:hAnsi="Arial Narrow" w:cs="Tahoma"/>
          <w:sz w:val="18"/>
          <w:szCs w:val="18"/>
        </w:rPr>
      </w:pP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ansinterligne"/>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322087">
        <w:rPr>
          <w:rFonts w:ascii="Arial Narrow" w:eastAsia="Calibri" w:hAnsi="Arial Narrow" w:cs="Arial"/>
          <w:sz w:val="28"/>
          <w:szCs w:val="28"/>
          <w:lang w:val="es-CO" w:eastAsia="en-US"/>
        </w:rPr>
        <w:t>nueve</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322087">
        <w:rPr>
          <w:rFonts w:ascii="Arial Narrow" w:eastAsia="Calibri" w:hAnsi="Arial Narrow" w:cs="Arial"/>
          <w:sz w:val="28"/>
          <w:szCs w:val="28"/>
          <w:lang w:val="es-CO" w:eastAsia="en-US"/>
        </w:rPr>
        <w:t>9</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AA3326">
        <w:rPr>
          <w:rFonts w:ascii="Arial Narrow" w:eastAsia="Calibri" w:hAnsi="Arial Narrow" w:cs="Arial"/>
          <w:sz w:val="28"/>
          <w:szCs w:val="28"/>
          <w:lang w:val="es-CO" w:eastAsia="en-US"/>
        </w:rPr>
        <w:t>febrero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w:t>
      </w:r>
      <w:r w:rsidR="00AA3326">
        <w:rPr>
          <w:rFonts w:ascii="Arial Narrow" w:eastAsia="Calibri" w:hAnsi="Arial Narrow" w:cs="Arial"/>
          <w:sz w:val="28"/>
          <w:szCs w:val="28"/>
          <w:lang w:val="es-CO" w:eastAsia="en-US"/>
        </w:rPr>
        <w:t>iete</w:t>
      </w:r>
      <w:r w:rsidRPr="00B02E05">
        <w:rPr>
          <w:rFonts w:ascii="Arial Narrow" w:eastAsia="Calibri" w:hAnsi="Arial Narrow" w:cs="Arial"/>
          <w:sz w:val="28"/>
          <w:szCs w:val="28"/>
          <w:lang w:val="es-CO" w:eastAsia="en-US"/>
        </w:rPr>
        <w:t xml:space="preserve"> (201</w:t>
      </w:r>
      <w:r w:rsidR="00AA3326">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AA3326">
        <w:rPr>
          <w:rFonts w:ascii="Arial Narrow" w:eastAsia="Calibri" w:hAnsi="Arial Narrow" w:cs="Arial"/>
          <w:sz w:val="28"/>
          <w:szCs w:val="28"/>
          <w:lang w:val="es-CO" w:eastAsia="en-US"/>
        </w:rPr>
        <w:t>siete y treinta</w:t>
      </w:r>
      <w:r>
        <w:rPr>
          <w:rFonts w:ascii="Arial Narrow" w:eastAsia="Calibri" w:hAnsi="Arial Narrow" w:cs="Arial"/>
          <w:sz w:val="28"/>
          <w:szCs w:val="28"/>
          <w:lang w:val="es-CO" w:eastAsia="en-US"/>
        </w:rPr>
        <w:t xml:space="preserve"> de la mañana (</w:t>
      </w:r>
      <w:r w:rsidR="00AA3326">
        <w:rPr>
          <w:rFonts w:ascii="Arial Narrow" w:eastAsia="Calibri" w:hAnsi="Arial Narrow" w:cs="Arial"/>
          <w:sz w:val="28"/>
          <w:szCs w:val="28"/>
          <w:lang w:val="es-CO" w:eastAsia="en-US"/>
        </w:rPr>
        <w:t>7</w:t>
      </w:r>
      <w:r>
        <w:rPr>
          <w:rFonts w:ascii="Arial Narrow" w:eastAsia="Calibri" w:hAnsi="Arial Narrow" w:cs="Arial"/>
          <w:sz w:val="28"/>
          <w:szCs w:val="28"/>
          <w:lang w:val="es-CO" w:eastAsia="en-US"/>
        </w:rPr>
        <w:t>:</w:t>
      </w:r>
      <w:r w:rsidR="00AA3326">
        <w:rPr>
          <w:rFonts w:ascii="Arial Narrow" w:eastAsia="Calibri" w:hAnsi="Arial Narrow" w:cs="Arial"/>
          <w:sz w:val="28"/>
          <w:szCs w:val="28"/>
          <w:lang w:val="es-CO" w:eastAsia="en-US"/>
        </w:rPr>
        <w:t>3</w:t>
      </w:r>
      <w:r w:rsidR="00322087">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w:t>
      </w:r>
      <w:r w:rsidR="00AA3326">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w:t>
      </w:r>
      <w:r w:rsidR="00AA3326">
        <w:rPr>
          <w:rFonts w:ascii="Arial Narrow" w:hAnsi="Arial Narrow" w:cs="Tahoma"/>
          <w:bCs/>
          <w:color w:val="000000"/>
          <w:sz w:val="28"/>
          <w:szCs w:val="28"/>
          <w:lang w:eastAsia="es-CO"/>
        </w:rPr>
        <w:t>o</w:t>
      </w:r>
      <w:r w:rsidRPr="00B02E05">
        <w:rPr>
          <w:rFonts w:ascii="Arial Narrow" w:hAnsi="Arial Narrow" w:cs="Tahoma"/>
          <w:bCs/>
          <w:color w:val="000000"/>
          <w:sz w:val="28"/>
          <w:szCs w:val="28"/>
          <w:lang w:eastAsia="es-CO"/>
        </w:rPr>
        <w:t xml:space="preserve"> y l</w:t>
      </w:r>
      <w:r w:rsidR="00AA3326">
        <w:rPr>
          <w:rFonts w:ascii="Arial Narrow" w:hAnsi="Arial Narrow" w:cs="Tahoma"/>
          <w:bCs/>
          <w:color w:val="000000"/>
          <w:sz w:val="28"/>
          <w:szCs w:val="28"/>
          <w:lang w:eastAsia="es-CO"/>
        </w:rPr>
        <w:t>a</w:t>
      </w:r>
      <w:r w:rsidRPr="00B02E05">
        <w:rPr>
          <w:rFonts w:ascii="Arial Narrow" w:hAnsi="Arial Narrow" w:cs="Tahoma"/>
          <w:bCs/>
          <w:color w:val="000000"/>
          <w:sz w:val="28"/>
          <w:szCs w:val="28"/>
          <w:lang w:eastAsia="es-CO"/>
        </w:rPr>
        <w:t>s magistrad</w:t>
      </w:r>
      <w:r w:rsidR="00AA3326">
        <w:rPr>
          <w:rFonts w:ascii="Arial Narrow" w:hAnsi="Arial Narrow" w:cs="Tahoma"/>
          <w:bCs/>
          <w:color w:val="000000"/>
          <w:sz w:val="28"/>
          <w:szCs w:val="28"/>
          <w:lang w:eastAsia="es-CO"/>
        </w:rPr>
        <w:t>a</w:t>
      </w:r>
      <w:r w:rsidRPr="00B02E05">
        <w:rPr>
          <w:rFonts w:ascii="Arial Narrow" w:hAnsi="Arial Narrow" w:cs="Tahoma"/>
          <w:bCs/>
          <w:color w:val="000000"/>
          <w:sz w:val="28"/>
          <w:szCs w:val="28"/>
          <w:lang w:eastAsia="es-CO"/>
        </w:rPr>
        <w:t xml:space="preserve">s de la Sala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w:t>
      </w:r>
      <w:r w:rsidR="00322087">
        <w:rPr>
          <w:rFonts w:ascii="Arial Narrow" w:hAnsi="Arial Narrow" w:cs="Tahoma"/>
          <w:bCs/>
          <w:color w:val="000000"/>
          <w:sz w:val="28"/>
          <w:szCs w:val="28"/>
          <w:lang w:eastAsia="es-CO"/>
        </w:rPr>
        <w:t xml:space="preserve">No. 03 </w:t>
      </w:r>
      <w:r w:rsidRPr="00B02E05">
        <w:rPr>
          <w:rFonts w:ascii="Arial Narrow" w:hAnsi="Arial Narrow" w:cs="Tahoma"/>
          <w:bCs/>
          <w:color w:val="000000"/>
          <w:sz w:val="28"/>
          <w:szCs w:val="28"/>
          <w:lang w:eastAsia="es-CO"/>
        </w:rPr>
        <w:t xml:space="preserve">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00AA3326">
        <w:rPr>
          <w:rFonts w:ascii="Arial Narrow" w:hAnsi="Arial Narrow" w:cs="Tahoma"/>
          <w:bCs/>
          <w:color w:val="000000"/>
          <w:sz w:val="28"/>
          <w:szCs w:val="28"/>
          <w:lang w:eastAsia="es-CO"/>
        </w:rPr>
        <w:t xml:space="preserve">ordenado en auto del 10 de febrero de 2016,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AA3326">
        <w:rPr>
          <w:rFonts w:ascii="Arial Narrow" w:hAnsi="Arial Narrow" w:cs="Arial"/>
          <w:sz w:val="28"/>
          <w:szCs w:val="28"/>
        </w:rPr>
        <w:t>30</w:t>
      </w:r>
      <w:r>
        <w:rPr>
          <w:rFonts w:ascii="Arial Narrow" w:hAnsi="Arial Narrow" w:cs="Arial"/>
          <w:sz w:val="28"/>
          <w:szCs w:val="28"/>
        </w:rPr>
        <w:t xml:space="preserve"> de </w:t>
      </w:r>
      <w:r w:rsidR="00AA3326">
        <w:rPr>
          <w:rFonts w:ascii="Arial Narrow" w:hAnsi="Arial Narrow" w:cs="Arial"/>
          <w:sz w:val="28"/>
          <w:szCs w:val="28"/>
        </w:rPr>
        <w:t>abril</w:t>
      </w:r>
      <w:r>
        <w:rPr>
          <w:rFonts w:ascii="Arial Narrow" w:hAnsi="Arial Narrow" w:cs="Arial"/>
          <w:sz w:val="28"/>
          <w:szCs w:val="28"/>
        </w:rPr>
        <w:t xml:space="preserve"> de 201</w:t>
      </w:r>
      <w:r w:rsidR="00AA3326">
        <w:rPr>
          <w:rFonts w:ascii="Arial Narrow" w:hAnsi="Arial Narrow" w:cs="Arial"/>
          <w:sz w:val="28"/>
          <w:szCs w:val="28"/>
        </w:rPr>
        <w:t>4</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AA3326">
        <w:rPr>
          <w:rFonts w:ascii="Arial Narrow" w:hAnsi="Arial Narrow" w:cs="Arial"/>
          <w:sz w:val="28"/>
          <w:szCs w:val="28"/>
        </w:rPr>
        <w:t>Primero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AA3326">
        <w:rPr>
          <w:rFonts w:ascii="Arial Narrow" w:hAnsi="Arial Narrow" w:cs="Arial"/>
          <w:b/>
          <w:i/>
          <w:iCs/>
          <w:sz w:val="28"/>
          <w:szCs w:val="28"/>
        </w:rPr>
        <w:t xml:space="preserve">María Rocío </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ansinterligne"/>
      </w:pPr>
    </w:p>
    <w:p w:rsidR="002B73FA" w:rsidRPr="00B02E05" w:rsidRDefault="002B73FA" w:rsidP="000A6EA4">
      <w:pPr>
        <w:pStyle w:val="Sansinterligne"/>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aragraphedeliste"/>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ansinterligne"/>
      </w:pPr>
    </w:p>
    <w:p w:rsidR="002B73FA" w:rsidRPr="000A6EA4" w:rsidRDefault="002B73FA" w:rsidP="000A6EA4">
      <w:pPr>
        <w:pStyle w:val="Sansinterligne"/>
      </w:pPr>
    </w:p>
    <w:p w:rsidR="00DF2772" w:rsidRDefault="00AA3326" w:rsidP="00DA5D26">
      <w:pPr>
        <w:spacing w:line="360" w:lineRule="auto"/>
        <w:ind w:firstLine="900"/>
        <w:jc w:val="both"/>
        <w:rPr>
          <w:rFonts w:ascii="Arial Narrow" w:hAnsi="Arial Narrow" w:cs="Tahoma"/>
          <w:sz w:val="28"/>
          <w:szCs w:val="28"/>
        </w:rPr>
      </w:pPr>
      <w:r>
        <w:rPr>
          <w:rFonts w:ascii="Arial Narrow" w:hAnsi="Arial Narrow" w:cs="Tahoma"/>
          <w:sz w:val="28"/>
          <w:szCs w:val="28"/>
        </w:rPr>
        <w:t>Pide la demandante que se declare que es beneficiaria del régimen de transición contenido en el canon 36 de la Ley 100 de 1993</w:t>
      </w:r>
      <w:r w:rsidR="00DF2772">
        <w:rPr>
          <w:rFonts w:ascii="Arial Narrow" w:hAnsi="Arial Narrow" w:cs="Tahoma"/>
          <w:sz w:val="28"/>
          <w:szCs w:val="28"/>
        </w:rPr>
        <w:t xml:space="preserve"> y que, de conformidad a lo indicado en el Acuerdo 049 de 1990 tiene derecho a una tasa de reemplazo del 90% a </w:t>
      </w:r>
      <w:r w:rsidR="00DF2772">
        <w:rPr>
          <w:rFonts w:ascii="Arial Narrow" w:hAnsi="Arial Narrow" w:cs="Tahoma"/>
          <w:sz w:val="28"/>
          <w:szCs w:val="28"/>
        </w:rPr>
        <w:lastRenderedPageBreak/>
        <w:t xml:space="preserve">partir del 03 de marzo de 2010y que el IBL debe establecerse de conformidad con el canon 36 o 21 de la Ley 100 de 1993. Como consecuencia de lo anterior, pide que se condenen a la sociedad demandada a </w:t>
      </w:r>
      <w:proofErr w:type="spellStart"/>
      <w:r w:rsidR="00DF2772">
        <w:rPr>
          <w:rFonts w:ascii="Arial Narrow" w:hAnsi="Arial Narrow" w:cs="Tahoma"/>
          <w:sz w:val="28"/>
          <w:szCs w:val="28"/>
        </w:rPr>
        <w:t>reliquidar</w:t>
      </w:r>
      <w:proofErr w:type="spellEnd"/>
      <w:r w:rsidR="00DF2772">
        <w:rPr>
          <w:rFonts w:ascii="Arial Narrow" w:hAnsi="Arial Narrow" w:cs="Tahoma"/>
          <w:sz w:val="28"/>
          <w:szCs w:val="28"/>
        </w:rPr>
        <w:t xml:space="preserve"> y pagar a la demandante la pensión de vejez desde el 03 de marzo de 2010 con los respectivos réditos moratorios y las costas del proceso.</w:t>
      </w:r>
    </w:p>
    <w:p w:rsidR="00DF2772" w:rsidRDefault="00DF2772" w:rsidP="00DA5D26">
      <w:pPr>
        <w:spacing w:line="360" w:lineRule="auto"/>
        <w:ind w:firstLine="900"/>
        <w:jc w:val="both"/>
        <w:rPr>
          <w:rFonts w:ascii="Arial Narrow" w:hAnsi="Arial Narrow" w:cs="Tahoma"/>
          <w:sz w:val="28"/>
          <w:szCs w:val="28"/>
        </w:rPr>
      </w:pPr>
    </w:p>
    <w:p w:rsidR="00507C62" w:rsidRDefault="00DF2772"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señala que nació el 22 de enero de 1954, que al 1º de abril de 1994 contaba con más de 35 años de edad y más de 1000 semanas cotizadas, que la actora fue pensionada mediante acto administrativo del 18 de julio de 2012, que el reconocimiento se hizo con base en el canon 33 de la ley 100 de 1993 modificado por la Ley 797 de 2003, que se le inició a pagar la prestación desde el 01 de agosto de 2012, en cuantía de $1.528.234, con un IBL de $1.939.630 y una tasa de reemplazo del 78,79%, que el 08 de enero de 2013 se presentó escrito solicitando la aplicación de una normatividad diferente y que se reconociera de una fecha anterior, que al fecha no se ha dado respuesta, que la prestación se debe reconocer desde el </w:t>
      </w:r>
      <w:r w:rsidR="00507C62">
        <w:rPr>
          <w:rFonts w:ascii="Arial Narrow" w:hAnsi="Arial Narrow" w:cs="Tahoma"/>
          <w:sz w:val="28"/>
          <w:szCs w:val="28"/>
        </w:rPr>
        <w:t>03 de marzo de 2010 y con una tasa de reemplazo del 90%.</w:t>
      </w:r>
    </w:p>
    <w:p w:rsidR="00507C62" w:rsidRDefault="00507C62" w:rsidP="00DA5D26">
      <w:pPr>
        <w:spacing w:line="360" w:lineRule="auto"/>
        <w:ind w:firstLine="900"/>
        <w:jc w:val="both"/>
        <w:rPr>
          <w:rFonts w:ascii="Arial Narrow" w:hAnsi="Arial Narrow" w:cs="Tahoma"/>
          <w:sz w:val="28"/>
          <w:szCs w:val="28"/>
        </w:rPr>
      </w:pPr>
    </w:p>
    <w:p w:rsidR="00507C62" w:rsidRDefault="00507C62"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parte demandada, la que allegó respuesta por medio de portavoz judicial, el que se pronunció respecto a los hechos, indicando que no le constaban, se opuso a los pedidos de la demanda y excepcionó de fondo “Estricto cumplimiento a los mandatos legales”, “Inexistencia de la obligación demandada” y “Prescripción”.</w:t>
      </w:r>
    </w:p>
    <w:p w:rsidR="00507C62" w:rsidRDefault="00507C62" w:rsidP="00DA5D26">
      <w:pPr>
        <w:spacing w:line="360" w:lineRule="auto"/>
        <w:ind w:firstLine="900"/>
        <w:jc w:val="both"/>
        <w:rPr>
          <w:rFonts w:ascii="Arial Narrow" w:hAnsi="Arial Narrow" w:cs="Tahoma"/>
          <w:sz w:val="28"/>
          <w:szCs w:val="28"/>
        </w:rPr>
      </w:pPr>
    </w:p>
    <w:p w:rsidR="00DA5D26" w:rsidRDefault="00DA5D26" w:rsidP="00DA5D26">
      <w:pPr>
        <w:pStyle w:val="Paragraphedeliste"/>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ansinterligne"/>
        <w:spacing w:line="360" w:lineRule="auto"/>
      </w:pPr>
    </w:p>
    <w:p w:rsidR="00507C62"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w:t>
      </w:r>
      <w:r w:rsidR="00507C62">
        <w:rPr>
          <w:rFonts w:ascii="Arial Narrow" w:hAnsi="Arial Narrow" w:cs="Tahoma"/>
          <w:color w:val="000000"/>
          <w:sz w:val="28"/>
          <w:szCs w:val="28"/>
          <w:lang w:eastAsia="es-CO"/>
        </w:rPr>
        <w:t xml:space="preserve">ordenó la reliquidación de la pensión, conforme a las normas transicionales, obteniendo un IBL –por los últimos 10 años- de $1.891.946, valor que al aplicarle una tasa de reemplazo del 90% arrojaba como valor de la mesada pensional para el 01 de septiembre de 2011 –data desde la cual concedió la pensión- la suma de $1.702.751. Dispuso, en consecuencia, el pago del retroactivo causado entre el 01 de septiembre de 2011 y el 31 de julio de 2012, suma sobre la cual se debían cancelar réditos moratorios y a partir del 01 de agosto de 2012, condenó a Colpensiones a pagar la diferencia entre la mesada pagada y la reconocida. </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ansinterligne"/>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Teniendo en cuenta el mandato contenido en el artículo 69 del Estatuto Instrumental  Laboral y de la Seguridad Social, se dispuso la remisión de las diligencias a esta Sala para que se surtiera el grado jurisdiccional de consulta</w:t>
      </w:r>
      <w:r w:rsidR="00507C62">
        <w:rPr>
          <w:rFonts w:ascii="Arial Narrow" w:hAnsi="Arial Narrow" w:cs="Arial"/>
          <w:iCs/>
          <w:sz w:val="28"/>
          <w:szCs w:val="28"/>
          <w:lang w:val="es-MX" w:eastAsia="es-MX"/>
        </w:rPr>
        <w:t>, mediante auto del 10 de febrero de 2016</w:t>
      </w:r>
      <w:r>
        <w:rPr>
          <w:rFonts w:ascii="Arial Narrow" w:hAnsi="Arial Narrow" w:cs="Arial"/>
          <w:iCs/>
          <w:sz w:val="28"/>
          <w:szCs w:val="28"/>
          <w:lang w:val="es-MX" w:eastAsia="es-MX"/>
        </w:rPr>
        <w:t xml:space="preserve">. </w:t>
      </w:r>
    </w:p>
    <w:p w:rsidR="00DA5D26" w:rsidRPr="00507C62" w:rsidRDefault="00DA5D26" w:rsidP="000A6EA4">
      <w:pPr>
        <w:pStyle w:val="Sansinterligne"/>
        <w:rPr>
          <w:lang w:val="es-MX"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ansinterligne"/>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ansinterligne"/>
        <w:ind w:firstLine="708"/>
        <w:jc w:val="both"/>
        <w:rPr>
          <w:rFonts w:ascii="Arial Narrow" w:hAnsi="Arial Narrow"/>
          <w:i/>
          <w:sz w:val="28"/>
          <w:szCs w:val="26"/>
        </w:rPr>
      </w:pPr>
      <w:r w:rsidRPr="00090E92">
        <w:rPr>
          <w:rFonts w:ascii="Arial Narrow" w:hAnsi="Arial Narrow"/>
          <w:i/>
          <w:sz w:val="28"/>
          <w:szCs w:val="26"/>
        </w:rPr>
        <w:t>¿</w:t>
      </w:r>
      <w:r w:rsidR="002D2A84">
        <w:rPr>
          <w:rFonts w:ascii="Arial Narrow" w:hAnsi="Arial Narrow"/>
          <w:i/>
          <w:sz w:val="28"/>
          <w:szCs w:val="26"/>
        </w:rPr>
        <w:t xml:space="preserve">Estuvo </w:t>
      </w:r>
      <w:r w:rsidR="00507C62">
        <w:rPr>
          <w:rFonts w:ascii="Arial Narrow" w:hAnsi="Arial Narrow"/>
          <w:i/>
          <w:sz w:val="28"/>
          <w:szCs w:val="26"/>
          <w:lang w:val="es-CO"/>
        </w:rPr>
        <w:t xml:space="preserve">adecuadamente </w:t>
      </w:r>
      <w:r w:rsidR="002D2A84">
        <w:rPr>
          <w:rFonts w:ascii="Arial Narrow" w:hAnsi="Arial Narrow"/>
          <w:i/>
          <w:sz w:val="28"/>
          <w:szCs w:val="26"/>
        </w:rPr>
        <w:t>liquidada la pensión de</w:t>
      </w:r>
      <w:r w:rsidR="00507C62">
        <w:rPr>
          <w:rFonts w:ascii="Arial Narrow" w:hAnsi="Arial Narrow"/>
          <w:i/>
          <w:sz w:val="28"/>
          <w:szCs w:val="26"/>
        </w:rPr>
        <w:t xml:space="preserve"> </w:t>
      </w:r>
      <w:r w:rsidR="002D2A84">
        <w:rPr>
          <w:rFonts w:ascii="Arial Narrow" w:hAnsi="Arial Narrow"/>
          <w:i/>
          <w:sz w:val="28"/>
          <w:szCs w:val="26"/>
        </w:rPr>
        <w:t>l</w:t>
      </w:r>
      <w:r w:rsidR="00507C62">
        <w:rPr>
          <w:rFonts w:ascii="Arial Narrow" w:hAnsi="Arial Narrow"/>
          <w:i/>
          <w:sz w:val="28"/>
          <w:szCs w:val="26"/>
        </w:rPr>
        <w:t>a</w:t>
      </w:r>
      <w:r w:rsidR="002D2A84">
        <w:rPr>
          <w:rFonts w:ascii="Arial Narrow" w:hAnsi="Arial Narrow"/>
          <w:i/>
          <w:sz w:val="28"/>
          <w:szCs w:val="26"/>
        </w:rPr>
        <w:t xml:space="preserve"> demandante</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ansinterligne"/>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ansinterligne"/>
      </w:pPr>
      <w:r w:rsidRPr="00145342">
        <w:tab/>
      </w:r>
      <w:r w:rsidRPr="00145342">
        <w:tab/>
      </w:r>
    </w:p>
    <w:p w:rsidR="00DA5D26" w:rsidRPr="00145342" w:rsidRDefault="00DA5D26" w:rsidP="00DA5D26">
      <w:pPr>
        <w:pStyle w:val="Corpsdetex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ansinterligne"/>
      </w:pPr>
    </w:p>
    <w:p w:rsidR="00DA5D26" w:rsidRPr="00B47DEE" w:rsidRDefault="00DA5D26" w:rsidP="00B47DEE">
      <w:pPr>
        <w:pStyle w:val="Sansinterligne"/>
      </w:pPr>
    </w:p>
    <w:p w:rsidR="006326CD" w:rsidRDefault="00FB39B9"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w:t>
      </w:r>
      <w:r w:rsidR="00A24DD5">
        <w:rPr>
          <w:rFonts w:ascii="Arial Narrow" w:hAnsi="Arial Narrow"/>
          <w:sz w:val="28"/>
          <w:szCs w:val="28"/>
          <w:lang w:val="es-CO"/>
        </w:rPr>
        <w:t>determinar qué norma regula la forma como se debe liquidar el IBL del demandante. En el caso de los beneficiarios del régimen de transición</w:t>
      </w:r>
      <w:r w:rsidR="00507C62">
        <w:rPr>
          <w:rFonts w:ascii="Arial Narrow" w:hAnsi="Arial Narrow"/>
          <w:sz w:val="28"/>
          <w:szCs w:val="28"/>
          <w:lang w:val="es-CO"/>
        </w:rPr>
        <w:t>, como lo es la demandante, puesto que para el 01 de abril de 1994</w:t>
      </w:r>
      <w:r w:rsidR="00A24DD5">
        <w:rPr>
          <w:rFonts w:ascii="Arial Narrow" w:hAnsi="Arial Narrow"/>
          <w:sz w:val="28"/>
          <w:szCs w:val="28"/>
          <w:lang w:val="es-CO"/>
        </w:rPr>
        <w:t xml:space="preserve"> </w:t>
      </w:r>
      <w:r w:rsidR="00507C62">
        <w:rPr>
          <w:rFonts w:ascii="Arial Narrow" w:hAnsi="Arial Narrow"/>
          <w:sz w:val="28"/>
          <w:szCs w:val="28"/>
          <w:lang w:val="es-CO"/>
        </w:rPr>
        <w:t xml:space="preserve">contaba con más de 40 años de edad –como lo demuestra la copia de su cédula de ciudadanía </w:t>
      </w:r>
      <w:proofErr w:type="spellStart"/>
      <w:r w:rsidR="00507C62">
        <w:rPr>
          <w:rFonts w:ascii="Arial Narrow" w:hAnsi="Arial Narrow"/>
          <w:sz w:val="28"/>
          <w:szCs w:val="28"/>
          <w:lang w:val="es-CO"/>
        </w:rPr>
        <w:t>fl</w:t>
      </w:r>
      <w:proofErr w:type="spellEnd"/>
      <w:r w:rsidR="00507C62">
        <w:rPr>
          <w:rFonts w:ascii="Arial Narrow" w:hAnsi="Arial Narrow"/>
          <w:sz w:val="28"/>
          <w:szCs w:val="28"/>
          <w:lang w:val="es-CO"/>
        </w:rPr>
        <w:t xml:space="preserve">. 19-y más de 15 años de cotizaciones al sistema pensional –como se acredita con la historia laboral visible a folio 50-, </w:t>
      </w:r>
      <w:r w:rsidR="00A24DD5">
        <w:rPr>
          <w:rFonts w:ascii="Arial Narrow" w:hAnsi="Arial Narrow"/>
          <w:sz w:val="28"/>
          <w:szCs w:val="28"/>
          <w:lang w:val="es-CO"/>
        </w:rPr>
        <w:t xml:space="preserve">existen dos normas aplicables: (i) el </w:t>
      </w:r>
      <w:r w:rsidR="00A24DD5">
        <w:rPr>
          <w:rFonts w:ascii="Arial Narrow" w:hAnsi="Arial Narrow"/>
          <w:sz w:val="28"/>
          <w:szCs w:val="28"/>
          <w:lang w:val="es-CO"/>
        </w:rPr>
        <w:lastRenderedPageBreak/>
        <w:t>inciso tercero del artículo 36 de la Ley 100 de 1993 y (ii) artículo 21 de la Ley 100 de 1993. La primera de las normas, establece dos formas de liquidar el IBL. La primera tomando el tiempo que le hiciere falta para alcanzar la pensión de vejez y la segunda, tomando en consideración toda la vida laboral del afiliado, aplicándose la más beneficiosa.</w:t>
      </w:r>
      <w:r w:rsidR="00FB1390">
        <w:rPr>
          <w:rFonts w:ascii="Arial Narrow" w:hAnsi="Arial Narrow"/>
          <w:sz w:val="28"/>
          <w:szCs w:val="28"/>
          <w:lang w:val="es-CO"/>
        </w:rPr>
        <w:t xml:space="preserve"> En </w:t>
      </w:r>
      <w:r w:rsidR="00DE1E3E">
        <w:rPr>
          <w:rFonts w:ascii="Arial Narrow" w:hAnsi="Arial Narrow"/>
          <w:sz w:val="28"/>
          <w:szCs w:val="28"/>
          <w:lang w:val="es-CO"/>
        </w:rPr>
        <w:t>torno a la segunda de</w:t>
      </w:r>
      <w:r w:rsidR="00E349AA">
        <w:rPr>
          <w:rFonts w:ascii="Arial Narrow" w:hAnsi="Arial Narrow"/>
          <w:sz w:val="28"/>
          <w:szCs w:val="28"/>
          <w:lang w:val="es-CO"/>
        </w:rPr>
        <w:t xml:space="preserve"> las normas, es aplicable a la generalidad de los afiliados, en virtud de la cual se tomará con miras a establecer el ingreso base de liquidación de la pensión, los salarios sobre los cuales se</w:t>
      </w:r>
      <w:r w:rsidR="00E2349E">
        <w:rPr>
          <w:rFonts w:ascii="Arial Narrow" w:hAnsi="Arial Narrow"/>
          <w:sz w:val="28"/>
          <w:szCs w:val="28"/>
          <w:lang w:val="es-CO"/>
        </w:rPr>
        <w:t xml:space="preserve"> cotizó en los 10 años anteriores a la causación del derecho. También autoriza esta regla a que se tenga en cuenta el IBL de todos los ciclos cotizados en la vida laboral, siempre que el afiliado tuviere más de 1250 semanas</w:t>
      </w:r>
      <w:r w:rsidR="004A636D">
        <w:rPr>
          <w:rFonts w:ascii="Arial Narrow" w:hAnsi="Arial Narrow"/>
          <w:sz w:val="28"/>
          <w:szCs w:val="28"/>
          <w:lang w:val="es-CO"/>
        </w:rPr>
        <w:t xml:space="preserve"> cotizadas</w:t>
      </w:r>
      <w:r w:rsidR="004911DA">
        <w:rPr>
          <w:rFonts w:ascii="Arial Narrow" w:hAnsi="Arial Narrow"/>
          <w:sz w:val="28"/>
          <w:szCs w:val="28"/>
          <w:lang w:val="es-CO"/>
        </w:rPr>
        <w:t xml:space="preserve">. </w:t>
      </w:r>
    </w:p>
    <w:p w:rsidR="006326CD" w:rsidRDefault="006326CD" w:rsidP="00DA5D26">
      <w:pPr>
        <w:pStyle w:val="Corpsdetexte"/>
        <w:spacing w:line="360" w:lineRule="auto"/>
        <w:ind w:firstLine="851"/>
        <w:rPr>
          <w:rFonts w:ascii="Arial Narrow" w:hAnsi="Arial Narrow"/>
          <w:sz w:val="28"/>
          <w:szCs w:val="28"/>
          <w:lang w:val="es-CO"/>
        </w:rPr>
      </w:pPr>
    </w:p>
    <w:p w:rsidR="00446054" w:rsidRDefault="006326CD"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Ahora, para determinar cuál de los regímenes legales es el aplicable a cada afiliado, debe partirse por determinar, una vez entrada en vigencia la Ley 100 de 1993</w:t>
      </w:r>
      <w:r w:rsidR="00321BC6">
        <w:rPr>
          <w:rFonts w:ascii="Arial Narrow" w:hAnsi="Arial Narrow"/>
          <w:sz w:val="28"/>
          <w:szCs w:val="28"/>
          <w:lang w:val="es-CO"/>
        </w:rPr>
        <w:t xml:space="preserve">, cuánto tiempo le hacía falta a la persona para alcanzar la pensión de vejez. En caso de que le hicieran falta menos de diez años, </w:t>
      </w:r>
      <w:r w:rsidR="00446054">
        <w:rPr>
          <w:rFonts w:ascii="Arial Narrow" w:hAnsi="Arial Narrow"/>
          <w:sz w:val="28"/>
          <w:szCs w:val="28"/>
          <w:lang w:val="es-CO"/>
        </w:rPr>
        <w:t xml:space="preserve">se aplicará lo ordenado en el inciso 3º del artículo 36 de la Ley 100 de 1993 y si le hacían falta más de 10 años, se deberá acudir a las pautas trazadas en el artículo 21 </w:t>
      </w:r>
      <w:proofErr w:type="spellStart"/>
      <w:r w:rsidR="00446054">
        <w:rPr>
          <w:rFonts w:ascii="Arial Narrow" w:hAnsi="Arial Narrow"/>
          <w:sz w:val="28"/>
          <w:szCs w:val="28"/>
          <w:lang w:val="es-CO"/>
        </w:rPr>
        <w:t>ibidem</w:t>
      </w:r>
      <w:proofErr w:type="spellEnd"/>
      <w:r w:rsidR="00446054">
        <w:rPr>
          <w:rFonts w:ascii="Arial Narrow" w:hAnsi="Arial Narrow"/>
          <w:sz w:val="28"/>
          <w:szCs w:val="28"/>
          <w:lang w:val="es-CO"/>
        </w:rPr>
        <w:t>.</w:t>
      </w:r>
    </w:p>
    <w:p w:rsidR="00446054" w:rsidRDefault="00446054" w:rsidP="00DA5D26">
      <w:pPr>
        <w:pStyle w:val="Corpsdetexte"/>
        <w:spacing w:line="360" w:lineRule="auto"/>
        <w:ind w:firstLine="851"/>
        <w:rPr>
          <w:rFonts w:ascii="Arial Narrow" w:hAnsi="Arial Narrow"/>
          <w:sz w:val="28"/>
          <w:szCs w:val="28"/>
          <w:lang w:val="es-CO"/>
        </w:rPr>
      </w:pPr>
    </w:p>
    <w:p w:rsidR="00793C55" w:rsidRDefault="00793C55"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concreto, atendiendo que </w:t>
      </w:r>
      <w:r w:rsidR="00507C62">
        <w:rPr>
          <w:rFonts w:ascii="Arial Narrow" w:hAnsi="Arial Narrow"/>
          <w:sz w:val="28"/>
          <w:szCs w:val="28"/>
          <w:lang w:val="es-CO"/>
        </w:rPr>
        <w:t>la</w:t>
      </w:r>
      <w:r>
        <w:rPr>
          <w:rFonts w:ascii="Arial Narrow" w:hAnsi="Arial Narrow"/>
          <w:sz w:val="28"/>
          <w:szCs w:val="28"/>
          <w:lang w:val="es-CO"/>
        </w:rPr>
        <w:t xml:space="preserve"> señor</w:t>
      </w:r>
      <w:r w:rsidR="00507C62">
        <w:rPr>
          <w:rFonts w:ascii="Arial Narrow" w:hAnsi="Arial Narrow"/>
          <w:sz w:val="28"/>
          <w:szCs w:val="28"/>
          <w:lang w:val="es-CO"/>
        </w:rPr>
        <w:t>a</w:t>
      </w:r>
      <w:r>
        <w:rPr>
          <w:rFonts w:ascii="Arial Narrow" w:hAnsi="Arial Narrow"/>
          <w:sz w:val="28"/>
          <w:szCs w:val="28"/>
          <w:lang w:val="es-CO"/>
        </w:rPr>
        <w:t xml:space="preserve"> </w:t>
      </w:r>
      <w:r w:rsidR="00507C62">
        <w:rPr>
          <w:rFonts w:ascii="Arial Narrow" w:hAnsi="Arial Narrow"/>
          <w:sz w:val="28"/>
          <w:szCs w:val="28"/>
          <w:lang w:val="es-CO"/>
        </w:rPr>
        <w:t xml:space="preserve">Zuluaga Palacio </w:t>
      </w:r>
      <w:r>
        <w:rPr>
          <w:rFonts w:ascii="Arial Narrow" w:hAnsi="Arial Narrow"/>
          <w:sz w:val="28"/>
          <w:szCs w:val="28"/>
          <w:lang w:val="es-CO"/>
        </w:rPr>
        <w:t>nació el 2</w:t>
      </w:r>
      <w:r w:rsidR="00507C62">
        <w:rPr>
          <w:rFonts w:ascii="Arial Narrow" w:hAnsi="Arial Narrow"/>
          <w:sz w:val="28"/>
          <w:szCs w:val="28"/>
          <w:lang w:val="es-CO"/>
        </w:rPr>
        <w:t>2</w:t>
      </w:r>
      <w:r>
        <w:rPr>
          <w:rFonts w:ascii="Arial Narrow" w:hAnsi="Arial Narrow"/>
          <w:sz w:val="28"/>
          <w:szCs w:val="28"/>
          <w:lang w:val="es-CO"/>
        </w:rPr>
        <w:t xml:space="preserve"> de </w:t>
      </w:r>
      <w:r w:rsidR="00507C62">
        <w:rPr>
          <w:rFonts w:ascii="Arial Narrow" w:hAnsi="Arial Narrow"/>
          <w:sz w:val="28"/>
          <w:szCs w:val="28"/>
          <w:lang w:val="es-CO"/>
        </w:rPr>
        <w:t>enero</w:t>
      </w:r>
      <w:r>
        <w:rPr>
          <w:rFonts w:ascii="Arial Narrow" w:hAnsi="Arial Narrow"/>
          <w:sz w:val="28"/>
          <w:szCs w:val="28"/>
          <w:lang w:val="es-CO"/>
        </w:rPr>
        <w:t xml:space="preserve"> de 19</w:t>
      </w:r>
      <w:r w:rsidR="00507C62">
        <w:rPr>
          <w:rFonts w:ascii="Arial Narrow" w:hAnsi="Arial Narrow"/>
          <w:sz w:val="28"/>
          <w:szCs w:val="28"/>
          <w:lang w:val="es-CO"/>
        </w:rPr>
        <w:t>54</w:t>
      </w:r>
      <w:r>
        <w:rPr>
          <w:rFonts w:ascii="Arial Narrow" w:hAnsi="Arial Narrow"/>
          <w:sz w:val="28"/>
          <w:szCs w:val="28"/>
          <w:lang w:val="es-CO"/>
        </w:rPr>
        <w:t>, se tiene que alcanzó la edad para pensionarse en el año 2009, esto es, 15 años después de entrada en vigencia la Ley 100 de 1993, por lo que se le debe aplicar el artículo 21 de esta obra legal.</w:t>
      </w:r>
    </w:p>
    <w:p w:rsidR="000C2804" w:rsidRDefault="000C2804" w:rsidP="00DA5D26">
      <w:pPr>
        <w:pStyle w:val="Corpsdetexte"/>
        <w:spacing w:line="360" w:lineRule="auto"/>
        <w:ind w:firstLine="851"/>
        <w:rPr>
          <w:rFonts w:ascii="Arial Narrow" w:hAnsi="Arial Narrow"/>
          <w:sz w:val="28"/>
          <w:szCs w:val="28"/>
          <w:lang w:val="es-CO"/>
        </w:rPr>
      </w:pPr>
    </w:p>
    <w:p w:rsidR="00C920EA" w:rsidRDefault="00793C55"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Teniendo en cuenta </w:t>
      </w:r>
      <w:r w:rsidR="003463BF">
        <w:rPr>
          <w:rFonts w:ascii="Arial Narrow" w:hAnsi="Arial Narrow"/>
          <w:sz w:val="28"/>
          <w:szCs w:val="28"/>
          <w:lang w:val="es-CO"/>
        </w:rPr>
        <w:t>lo anterior</w:t>
      </w:r>
      <w:r>
        <w:rPr>
          <w:rFonts w:ascii="Arial Narrow" w:hAnsi="Arial Narrow"/>
          <w:sz w:val="28"/>
          <w:szCs w:val="28"/>
          <w:lang w:val="es-CO"/>
        </w:rPr>
        <w:t>, se procederá a efectuar los cálculos respectivos, atendiendo lo informado en la historia laboral válida para prestaciones económicas –</w:t>
      </w:r>
      <w:proofErr w:type="spellStart"/>
      <w:r>
        <w:rPr>
          <w:rFonts w:ascii="Arial Narrow" w:hAnsi="Arial Narrow"/>
          <w:sz w:val="28"/>
          <w:szCs w:val="28"/>
          <w:lang w:val="es-CO"/>
        </w:rPr>
        <w:t>fls</w:t>
      </w:r>
      <w:proofErr w:type="spellEnd"/>
      <w:r>
        <w:rPr>
          <w:rFonts w:ascii="Arial Narrow" w:hAnsi="Arial Narrow"/>
          <w:sz w:val="28"/>
          <w:szCs w:val="28"/>
          <w:lang w:val="es-CO"/>
        </w:rPr>
        <w:t xml:space="preserve">. </w:t>
      </w:r>
      <w:r w:rsidR="00507C62">
        <w:rPr>
          <w:rFonts w:ascii="Arial Narrow" w:hAnsi="Arial Narrow"/>
          <w:sz w:val="28"/>
          <w:szCs w:val="28"/>
          <w:lang w:val="es-CO"/>
        </w:rPr>
        <w:t>50</w:t>
      </w:r>
      <w:r>
        <w:rPr>
          <w:rFonts w:ascii="Arial Narrow" w:hAnsi="Arial Narrow"/>
          <w:sz w:val="28"/>
          <w:szCs w:val="28"/>
          <w:lang w:val="es-CO"/>
        </w:rPr>
        <w:t xml:space="preserve"> y </w:t>
      </w:r>
      <w:proofErr w:type="spellStart"/>
      <w:r>
        <w:rPr>
          <w:rFonts w:ascii="Arial Narrow" w:hAnsi="Arial Narrow"/>
          <w:sz w:val="28"/>
          <w:szCs w:val="28"/>
          <w:lang w:val="es-CO"/>
        </w:rPr>
        <w:t>ss</w:t>
      </w:r>
      <w:proofErr w:type="spellEnd"/>
      <w:r>
        <w:rPr>
          <w:rFonts w:ascii="Arial Narrow" w:hAnsi="Arial Narrow"/>
          <w:sz w:val="28"/>
          <w:szCs w:val="28"/>
          <w:lang w:val="es-CO"/>
        </w:rPr>
        <w:t xml:space="preserve">-, obteniéndose un </w:t>
      </w:r>
      <w:proofErr w:type="spellStart"/>
      <w:r>
        <w:rPr>
          <w:rFonts w:ascii="Arial Narrow" w:hAnsi="Arial Narrow"/>
          <w:sz w:val="28"/>
          <w:szCs w:val="28"/>
          <w:lang w:val="es-CO"/>
        </w:rPr>
        <w:t>IBL</w:t>
      </w:r>
      <w:proofErr w:type="spellEnd"/>
      <w:r>
        <w:rPr>
          <w:rFonts w:ascii="Arial Narrow" w:hAnsi="Arial Narrow"/>
          <w:sz w:val="28"/>
          <w:szCs w:val="28"/>
          <w:lang w:val="es-CO"/>
        </w:rPr>
        <w:t xml:space="preserve"> para toda la vida de </w:t>
      </w:r>
      <w:r w:rsidRPr="00793C55">
        <w:rPr>
          <w:rFonts w:ascii="Arial Narrow" w:hAnsi="Arial Narrow"/>
          <w:sz w:val="28"/>
          <w:szCs w:val="28"/>
          <w:lang w:val="es-CO"/>
        </w:rPr>
        <w:t>$</w:t>
      </w:r>
      <w:r w:rsidR="00212388">
        <w:rPr>
          <w:rFonts w:ascii="Arial Narrow" w:hAnsi="Arial Narrow"/>
          <w:sz w:val="28"/>
          <w:szCs w:val="28"/>
          <w:lang w:val="es-CO"/>
        </w:rPr>
        <w:t>1.092.136</w:t>
      </w:r>
      <w:r>
        <w:rPr>
          <w:rFonts w:ascii="Arial Narrow" w:hAnsi="Arial Narrow"/>
          <w:sz w:val="28"/>
          <w:szCs w:val="28"/>
          <w:lang w:val="es-CO"/>
        </w:rPr>
        <w:t xml:space="preserve">, suma que al aplicarle la tasa de reemplazo del 90%, arroja como pensión </w:t>
      </w:r>
      <w:r w:rsidRPr="00793C55">
        <w:rPr>
          <w:rFonts w:ascii="Arial Narrow" w:hAnsi="Arial Narrow"/>
          <w:sz w:val="28"/>
          <w:szCs w:val="28"/>
          <w:lang w:val="es-CO"/>
        </w:rPr>
        <w:t>$</w:t>
      </w:r>
      <w:r w:rsidR="00212388">
        <w:rPr>
          <w:rFonts w:ascii="Arial Narrow" w:hAnsi="Arial Narrow"/>
          <w:sz w:val="28"/>
          <w:szCs w:val="28"/>
          <w:lang w:val="es-CO"/>
        </w:rPr>
        <w:t>982.923. Mientras tanto, estableciendo el IBL de los últimos 10 años efectivamente cotizados al sistema, se obtiene un IBL de $1.891.946, suma que al aplicársele la tasa de reemplazo ya mencionada arroja como valor de la mesada para el 01 de septiembre de 2011 $1.702.751, suma mayor a la concedida inicialmente por el ISS al reconocer la prestación pensional, siendo por tanto procedente la reliquidación, como ya lo dij</w:t>
      </w:r>
      <w:r w:rsidR="00C920EA">
        <w:rPr>
          <w:rFonts w:ascii="Arial Narrow" w:hAnsi="Arial Narrow"/>
          <w:sz w:val="28"/>
          <w:szCs w:val="28"/>
          <w:lang w:val="es-CO"/>
        </w:rPr>
        <w:t>o la Jueza de primera instancia.</w:t>
      </w:r>
    </w:p>
    <w:p w:rsidR="003A0850" w:rsidRDefault="00C920EA"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lastRenderedPageBreak/>
        <w:t xml:space="preserve">En cuanto a la fecha desde la cual debe </w:t>
      </w:r>
      <w:r w:rsidR="003463BF">
        <w:rPr>
          <w:rFonts w:ascii="Arial Narrow" w:hAnsi="Arial Narrow"/>
          <w:sz w:val="28"/>
          <w:szCs w:val="28"/>
          <w:lang w:val="es-CO"/>
        </w:rPr>
        <w:t>disfrutarse</w:t>
      </w:r>
      <w:r>
        <w:rPr>
          <w:rFonts w:ascii="Arial Narrow" w:hAnsi="Arial Narrow"/>
          <w:sz w:val="28"/>
          <w:szCs w:val="28"/>
          <w:lang w:val="es-CO"/>
        </w:rPr>
        <w:t xml:space="preserve"> la pensión, tal como lo dedujo la a quo y en aplicación al artículo 13 del Acuerdo 049 de 1990, es indispensable que la pensión empiece a pagarse una vez la persona se ha desafiliado del sistema y para su liquidación, se deberá tomar en consideración hasta la última de las semanas cotizadas. En este caso, es evidente que el último ciclo cotizado</w:t>
      </w:r>
      <w:r w:rsidR="003A0850">
        <w:rPr>
          <w:rFonts w:ascii="Arial Narrow" w:hAnsi="Arial Narrow"/>
          <w:sz w:val="28"/>
          <w:szCs w:val="28"/>
          <w:lang w:val="es-CO"/>
        </w:rPr>
        <w:t xml:space="preserve"> lo fue el de agosto de 2011, calenda para la cual la demandante ya se encontraba en espera del reconocimiento de su pensión. Por lo tanto, es evidente que ya había efectuado una manifestación inequívoca de la voluntad de</w:t>
      </w:r>
      <w:r>
        <w:rPr>
          <w:rFonts w:ascii="Arial Narrow" w:hAnsi="Arial Narrow"/>
          <w:sz w:val="28"/>
          <w:szCs w:val="28"/>
          <w:lang w:val="es-CO"/>
        </w:rPr>
        <w:t xml:space="preserve"> </w:t>
      </w:r>
      <w:r w:rsidR="003A0850">
        <w:rPr>
          <w:rFonts w:ascii="Arial Narrow" w:hAnsi="Arial Narrow"/>
          <w:sz w:val="28"/>
          <w:szCs w:val="28"/>
          <w:lang w:val="es-CO"/>
        </w:rPr>
        <w:t>retirarse del sistema de manera definitiva y pasara a ser pensionada, por lo que se encuentra que la decisión de conceder la prestación desde la calenda señalada en la sentencia es acertada.</w:t>
      </w:r>
    </w:p>
    <w:p w:rsidR="003A0850" w:rsidRDefault="003A0850" w:rsidP="00DA5D26">
      <w:pPr>
        <w:pStyle w:val="Corpsdetexte"/>
        <w:spacing w:line="360" w:lineRule="auto"/>
        <w:ind w:firstLine="851"/>
        <w:rPr>
          <w:rFonts w:ascii="Arial Narrow" w:hAnsi="Arial Narrow"/>
          <w:sz w:val="28"/>
          <w:szCs w:val="28"/>
          <w:lang w:val="es-CO"/>
        </w:rPr>
      </w:pPr>
    </w:p>
    <w:p w:rsidR="00C920EA" w:rsidRDefault="003A0850"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Finalmente, en cuanto a los intereses moratorios de que trata el canon 141 de la Ley 100 de 1993, ha de decirse que los mismos son procedentes cuando se presenta ausencia del pago de las mesadas pensionales, no cuando se reliquida el valor de las mesada que viene pagando la entidad. En este caso, tales réditos solamente proceden frente a las mesadas insolutas generadas entre el 01 de septiembre de 2011 y hasta el 31 de julio de 2012</w:t>
      </w:r>
      <w:r w:rsidR="002C79FB">
        <w:rPr>
          <w:rFonts w:ascii="Arial Narrow" w:hAnsi="Arial Narrow"/>
          <w:sz w:val="28"/>
          <w:szCs w:val="28"/>
          <w:lang w:val="es-CO"/>
        </w:rPr>
        <w:t xml:space="preserve">, siendo indispensable modificar la sentencia en este aspecto, pues se observa que de manera equivocada se fijaron los intereses desde el 03 de septiembre de 2010 y hasta el 24 de septiembre de 2012, hitos temporales que, conforme al análisis precedente, resultan incorrectos. </w:t>
      </w:r>
    </w:p>
    <w:p w:rsidR="002C79FB" w:rsidRDefault="002C79FB" w:rsidP="00DA5D26">
      <w:pPr>
        <w:pStyle w:val="Corpsdetexte"/>
        <w:spacing w:line="360" w:lineRule="auto"/>
        <w:ind w:firstLine="851"/>
        <w:rPr>
          <w:rFonts w:ascii="Arial Narrow" w:hAnsi="Arial Narrow"/>
          <w:sz w:val="28"/>
          <w:szCs w:val="28"/>
          <w:lang w:val="es-CO"/>
        </w:rPr>
      </w:pPr>
    </w:p>
    <w:p w:rsidR="00C25781" w:rsidRDefault="002C79FB"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Teniendo en cuenta que la entidad mediante Resolución GNR 407577 del 23 de noviembre de 2014, dio cumplimiento al fallo y canceló las sumas ordenadas por concepto de retroactivo, </w:t>
      </w:r>
      <w:r w:rsidR="00C25781">
        <w:rPr>
          <w:rFonts w:ascii="Arial Narrow" w:hAnsi="Arial Narrow"/>
          <w:sz w:val="28"/>
          <w:szCs w:val="28"/>
          <w:lang w:val="es-CO"/>
        </w:rPr>
        <w:t xml:space="preserve">es del caso </w:t>
      </w:r>
      <w:r>
        <w:rPr>
          <w:rFonts w:ascii="Arial Narrow" w:hAnsi="Arial Narrow"/>
          <w:sz w:val="28"/>
          <w:szCs w:val="28"/>
          <w:lang w:val="es-CO"/>
        </w:rPr>
        <w:t xml:space="preserve">proceder a tasar los frutos por tardanza, teniendo en cuenta el interés certificado por la </w:t>
      </w:r>
      <w:proofErr w:type="spellStart"/>
      <w:r>
        <w:rPr>
          <w:rFonts w:ascii="Arial Narrow" w:hAnsi="Arial Narrow"/>
          <w:sz w:val="28"/>
          <w:szCs w:val="28"/>
          <w:lang w:val="es-CO"/>
        </w:rPr>
        <w:t>Superfinanciera</w:t>
      </w:r>
      <w:proofErr w:type="spellEnd"/>
      <w:r>
        <w:rPr>
          <w:rFonts w:ascii="Arial Narrow" w:hAnsi="Arial Narrow"/>
          <w:sz w:val="28"/>
          <w:szCs w:val="28"/>
          <w:lang w:val="es-CO"/>
        </w:rPr>
        <w:t xml:space="preserve"> para la época, el cual corresponde al 28,76%</w:t>
      </w:r>
      <w:r w:rsidR="00C25781">
        <w:rPr>
          <w:rFonts w:ascii="Arial Narrow" w:hAnsi="Arial Narrow"/>
          <w:sz w:val="28"/>
          <w:szCs w:val="28"/>
          <w:lang w:val="es-CO"/>
        </w:rPr>
        <w:t>. El valor de los réditos que le correspondía pagar a Colpensiones, es el siguiente:</w:t>
      </w:r>
    </w:p>
    <w:p w:rsidR="00C25781" w:rsidRDefault="00C25781" w:rsidP="00DA5D26">
      <w:pPr>
        <w:pStyle w:val="Corpsdetexte"/>
        <w:spacing w:line="360" w:lineRule="auto"/>
        <w:ind w:firstLine="851"/>
        <w:rPr>
          <w:rFonts w:ascii="Arial Narrow" w:hAnsi="Arial Narrow"/>
          <w:sz w:val="28"/>
          <w:szCs w:val="28"/>
          <w:lang w:val="es-CO"/>
        </w:rPr>
      </w:pPr>
    </w:p>
    <w:p w:rsidR="00C25781" w:rsidRDefault="00C25781" w:rsidP="00C25781">
      <w:pPr>
        <w:pStyle w:val="Corpsdetexte"/>
        <w:spacing w:line="360" w:lineRule="auto"/>
        <w:ind w:firstLine="851"/>
        <w:jc w:val="center"/>
        <w:rPr>
          <w:rFonts w:ascii="Arial Narrow" w:hAnsi="Arial Narrow"/>
          <w:sz w:val="28"/>
          <w:szCs w:val="28"/>
          <w:lang w:val="es-CO"/>
        </w:rPr>
      </w:pPr>
      <w:r w:rsidRPr="00C25781">
        <w:rPr>
          <w:noProof/>
          <w:lang w:val="fr-FR" w:eastAsia="fr-FR"/>
        </w:rPr>
        <w:drawing>
          <wp:inline distT="0" distB="0" distL="0" distR="0">
            <wp:extent cx="5613400" cy="34299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42995"/>
                    </a:xfrm>
                    <a:prstGeom prst="rect">
                      <a:avLst/>
                    </a:prstGeom>
                    <a:noFill/>
                    <a:ln>
                      <a:noFill/>
                    </a:ln>
                  </pic:spPr>
                </pic:pic>
              </a:graphicData>
            </a:graphic>
          </wp:inline>
        </w:drawing>
      </w:r>
    </w:p>
    <w:p w:rsidR="00C25781" w:rsidRDefault="00C25781" w:rsidP="00DA5D26">
      <w:pPr>
        <w:pStyle w:val="Corpsdetexte"/>
        <w:spacing w:line="360" w:lineRule="auto"/>
        <w:ind w:firstLine="851"/>
        <w:rPr>
          <w:rFonts w:ascii="Arial Narrow" w:hAnsi="Arial Narrow"/>
          <w:sz w:val="28"/>
          <w:szCs w:val="28"/>
          <w:lang w:val="es-CO"/>
        </w:rPr>
      </w:pPr>
    </w:p>
    <w:p w:rsidR="00C25781" w:rsidRDefault="00C25781"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Como la entidad canceló la suma de $14.181.932 por concepto de réditos moratorios, está adeudando al demandante la suma de $5.499.149.</w:t>
      </w:r>
    </w:p>
    <w:p w:rsidR="00E77A72" w:rsidRDefault="00C25781"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lastRenderedPageBreak/>
        <w:t>En síntesis de lo discu</w:t>
      </w:r>
      <w:r w:rsidR="00E77A72">
        <w:rPr>
          <w:rFonts w:ascii="Arial Narrow" w:hAnsi="Arial Narrow"/>
          <w:sz w:val="28"/>
          <w:szCs w:val="28"/>
          <w:lang w:val="es-CO"/>
        </w:rPr>
        <w:t>rrido, deberá modificarse la decisión de primer grado, en lo tocante a los intereses moratorios, debiendo confirmarse en todo lo demás.</w:t>
      </w:r>
    </w:p>
    <w:p w:rsidR="00E77A72" w:rsidRDefault="00E77A72" w:rsidP="00DA5D26">
      <w:pPr>
        <w:pStyle w:val="Corpsdetexte"/>
        <w:spacing w:line="360" w:lineRule="auto"/>
        <w:ind w:firstLine="851"/>
        <w:rPr>
          <w:rFonts w:ascii="Arial Narrow" w:hAnsi="Arial Narrow"/>
          <w:sz w:val="28"/>
          <w:szCs w:val="28"/>
          <w:lang w:val="es-CO"/>
        </w:rPr>
      </w:pPr>
    </w:p>
    <w:p w:rsidR="00C25781" w:rsidRDefault="00E77A72"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 por conocerse en consulta.</w:t>
      </w:r>
      <w:r w:rsidR="00C25781">
        <w:rPr>
          <w:rFonts w:ascii="Arial Narrow" w:hAnsi="Arial Narrow"/>
          <w:sz w:val="28"/>
          <w:szCs w:val="28"/>
          <w:lang w:val="es-CO"/>
        </w:rPr>
        <w:t xml:space="preserve">  </w:t>
      </w:r>
    </w:p>
    <w:p w:rsidR="00DA5D26" w:rsidRPr="00C605CD" w:rsidRDefault="00DA5D26" w:rsidP="00C605CD">
      <w:pPr>
        <w:pStyle w:val="Sansinterligne"/>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ansinterligne"/>
      </w:pPr>
    </w:p>
    <w:p w:rsidR="00793C55" w:rsidRDefault="00E77A72"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sexto </w:t>
      </w:r>
      <w:r>
        <w:rPr>
          <w:rFonts w:ascii="Arial Narrow" w:hAnsi="Arial Narrow" w:cs="Arial"/>
          <w:sz w:val="28"/>
          <w:szCs w:val="28"/>
        </w:rPr>
        <w:t xml:space="preserve">de la </w:t>
      </w:r>
      <w:r w:rsidR="00DA58C1" w:rsidRPr="00C37893">
        <w:rPr>
          <w:rFonts w:ascii="Arial Narrow" w:hAnsi="Arial Narrow" w:cs="Arial"/>
          <w:sz w:val="28"/>
          <w:szCs w:val="28"/>
        </w:rPr>
        <w:t xml:space="preserve">sentencia proferida el </w:t>
      </w:r>
      <w:r>
        <w:rPr>
          <w:rFonts w:ascii="Arial Narrow" w:hAnsi="Arial Narrow" w:cs="Arial"/>
          <w:sz w:val="28"/>
          <w:szCs w:val="28"/>
        </w:rPr>
        <w:t>30</w:t>
      </w:r>
      <w:r w:rsidR="00DA58C1" w:rsidRPr="00C37893">
        <w:rPr>
          <w:rFonts w:ascii="Arial Narrow" w:hAnsi="Arial Narrow" w:cs="Arial"/>
          <w:sz w:val="28"/>
          <w:szCs w:val="28"/>
        </w:rPr>
        <w:t xml:space="preserve"> de </w:t>
      </w:r>
      <w:r>
        <w:rPr>
          <w:rFonts w:ascii="Arial Narrow" w:hAnsi="Arial Narrow" w:cs="Arial"/>
          <w:sz w:val="28"/>
          <w:szCs w:val="28"/>
        </w:rPr>
        <w:t>abril</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Pr>
          <w:rFonts w:ascii="Arial Narrow" w:hAnsi="Arial Narrow" w:cs="Arial"/>
          <w:sz w:val="28"/>
          <w:szCs w:val="28"/>
        </w:rPr>
        <w:t>4</w:t>
      </w:r>
      <w:r w:rsidR="00DA58C1" w:rsidRPr="00C37893">
        <w:rPr>
          <w:rFonts w:ascii="Arial Narrow" w:hAnsi="Arial Narrow" w:cs="Arial"/>
          <w:sz w:val="28"/>
          <w:szCs w:val="28"/>
        </w:rPr>
        <w:t xml:space="preserve"> por el Juzgado </w:t>
      </w:r>
      <w:r>
        <w:rPr>
          <w:rFonts w:ascii="Arial Narrow" w:hAnsi="Arial Narrow" w:cs="Arial"/>
          <w:sz w:val="28"/>
          <w:szCs w:val="28"/>
        </w:rPr>
        <w:t xml:space="preserve">Primero </w:t>
      </w:r>
      <w:r w:rsidR="00DA58C1" w:rsidRPr="00C37893">
        <w:rPr>
          <w:rFonts w:ascii="Arial Narrow" w:hAnsi="Arial Narrow" w:cs="Arial"/>
          <w:sz w:val="28"/>
          <w:szCs w:val="28"/>
        </w:rPr>
        <w:t xml:space="preserve">Laboral del Circuito de Pereira, dentro del proceso ordinario laboral </w:t>
      </w:r>
      <w:r w:rsidR="00793C55">
        <w:rPr>
          <w:rFonts w:ascii="Arial Narrow" w:hAnsi="Arial Narrow" w:cs="Arial"/>
          <w:sz w:val="28"/>
          <w:szCs w:val="28"/>
        </w:rPr>
        <w:t>de la referencia</w:t>
      </w:r>
      <w:r>
        <w:rPr>
          <w:rFonts w:ascii="Arial Narrow" w:hAnsi="Arial Narrow" w:cs="Arial"/>
          <w:sz w:val="28"/>
          <w:szCs w:val="28"/>
        </w:rPr>
        <w:t>, en el sentido de que los intereses moratorios deberán pagarse únicamente sobre el valor del retroactivo causado entre el 01 de septiembre de 2011 y el 31 de julio de 2012, adeudándose por parte de Colpensiones, la suma de $5.499.149, conforme a lo dicho.</w:t>
      </w:r>
    </w:p>
    <w:p w:rsidR="00592B34" w:rsidRDefault="00592B34" w:rsidP="00592B34">
      <w:pPr>
        <w:pStyle w:val="Paragraphedeliste"/>
        <w:jc w:val="both"/>
        <w:rPr>
          <w:rFonts w:ascii="Arial Narrow" w:hAnsi="Arial Narrow" w:cs="Arial"/>
          <w:sz w:val="28"/>
          <w:szCs w:val="28"/>
        </w:rPr>
      </w:pPr>
    </w:p>
    <w:p w:rsidR="00E77A72" w:rsidRDefault="00E77A72" w:rsidP="00C94E96">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Se confirma </w:t>
      </w:r>
      <w:r w:rsidRPr="00E77A72">
        <w:rPr>
          <w:rFonts w:ascii="Arial Narrow" w:hAnsi="Arial Narrow" w:cs="Arial"/>
          <w:sz w:val="28"/>
          <w:szCs w:val="28"/>
        </w:rPr>
        <w:t>la sentencia en todo lo demás</w:t>
      </w:r>
      <w:r>
        <w:rPr>
          <w:rFonts w:ascii="Arial Narrow" w:hAnsi="Arial Narrow" w:cs="Arial"/>
          <w:sz w:val="28"/>
          <w:szCs w:val="28"/>
        </w:rPr>
        <w:t>.</w:t>
      </w:r>
    </w:p>
    <w:p w:rsidR="00592B34" w:rsidRPr="00592B34" w:rsidRDefault="00592B34" w:rsidP="00592B34">
      <w:pPr>
        <w:pStyle w:val="Paragraphedeliste"/>
        <w:rPr>
          <w:rFonts w:ascii="Arial Narrow" w:hAnsi="Arial Narrow" w:cs="Arial"/>
          <w:sz w:val="16"/>
          <w:szCs w:val="16"/>
        </w:rPr>
      </w:pPr>
    </w:p>
    <w:p w:rsidR="00C37893" w:rsidRPr="00793C55" w:rsidRDefault="00C37893" w:rsidP="00793C55">
      <w:pPr>
        <w:pStyle w:val="Paragraphedeliste"/>
        <w:numPr>
          <w:ilvl w:val="0"/>
          <w:numId w:val="3"/>
        </w:numPr>
        <w:spacing w:line="360" w:lineRule="auto"/>
        <w:ind w:left="360" w:firstLine="360"/>
        <w:jc w:val="both"/>
        <w:rPr>
          <w:rFonts w:ascii="Arial Narrow" w:hAnsi="Arial Narrow" w:cs="Arial"/>
          <w:sz w:val="28"/>
          <w:szCs w:val="28"/>
        </w:rPr>
      </w:pPr>
      <w:r w:rsidRPr="00793C55">
        <w:rPr>
          <w:rFonts w:ascii="Arial Narrow" w:hAnsi="Arial Narrow" w:cs="Arial"/>
          <w:sz w:val="28"/>
          <w:szCs w:val="28"/>
        </w:rPr>
        <w:t>Sin costas.</w:t>
      </w:r>
    </w:p>
    <w:p w:rsidR="00DA5D26" w:rsidRPr="00C605CD" w:rsidRDefault="00DA5D26" w:rsidP="00DA5D26">
      <w:pPr>
        <w:pStyle w:val="Sansinterligne"/>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ansinterligne"/>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ansinterligne"/>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ansinterligne"/>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E77A72"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E77A72">
        <w:rPr>
          <w:rFonts w:ascii="Arial Narrow" w:hAnsi="Arial Narrow" w:cs="Microsoft Sans Serif"/>
          <w:sz w:val="28"/>
          <w:szCs w:val="28"/>
          <w:lang w:val="es-ES"/>
        </w:rPr>
        <w:t>a</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w:t>
      </w:r>
      <w:r w:rsidR="00C37893">
        <w:rPr>
          <w:rFonts w:ascii="Arial Narrow" w:hAnsi="Arial Narrow" w:cs="Microsoft Sans Serif"/>
          <w:sz w:val="28"/>
          <w:szCs w:val="28"/>
          <w:lang w:val="es-ES"/>
        </w:rPr>
        <w:t>a</w:t>
      </w:r>
      <w:proofErr w:type="spellEnd"/>
      <w:r>
        <w:rPr>
          <w:rFonts w:ascii="Arial Narrow" w:hAnsi="Arial Narrow" w:cs="Microsoft Sans Serif"/>
          <w:sz w:val="28"/>
          <w:szCs w:val="28"/>
          <w:lang w:val="es-ES"/>
        </w:rPr>
        <w:t xml:space="preserve"> </w:t>
      </w:r>
    </w:p>
    <w:p w:rsidR="00DA5D26" w:rsidRPr="00C605CD" w:rsidRDefault="00DA5D26" w:rsidP="00AF19D4">
      <w:pPr>
        <w:pStyle w:val="Paragraphedeliste"/>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p>
    <w:p w:rsidR="00E77A72" w:rsidRDefault="00E77A72" w:rsidP="000C2804">
      <w:pPr>
        <w:spacing w:line="360" w:lineRule="auto"/>
        <w:ind w:firstLine="900"/>
        <w:jc w:val="center"/>
        <w:rPr>
          <w:rFonts w:ascii="Arial Narrow" w:hAnsi="Arial Narrow" w:cs="Microsoft Sans Serif"/>
          <w:bCs/>
          <w:iCs/>
          <w:sz w:val="28"/>
          <w:szCs w:val="28"/>
          <w:lang w:val="es-ES"/>
        </w:rPr>
      </w:pPr>
      <w:bookmarkStart w:id="0" w:name="_GoBack"/>
      <w:bookmarkEnd w:id="0"/>
    </w:p>
    <w:p w:rsidR="00211C21" w:rsidRDefault="00592B34" w:rsidP="000C2804">
      <w:pPr>
        <w:spacing w:line="360" w:lineRule="auto"/>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w:t>
      </w:r>
      <w:r w:rsidR="000C2804">
        <w:rPr>
          <w:rFonts w:ascii="Arial Narrow" w:hAnsi="Arial Narrow" w:cs="Microsoft Sans Serif"/>
          <w:bCs/>
          <w:iCs/>
          <w:sz w:val="28"/>
          <w:szCs w:val="28"/>
          <w:lang w:val="es-ES"/>
        </w:rPr>
        <w:t>nexo. IBL.</w:t>
      </w:r>
    </w:p>
    <w:p w:rsidR="000C2804" w:rsidRDefault="000C2804" w:rsidP="000C2804">
      <w:pPr>
        <w:spacing w:line="360" w:lineRule="auto"/>
        <w:ind w:firstLine="900"/>
        <w:jc w:val="center"/>
        <w:rPr>
          <w:rFonts w:ascii="Arial Narrow" w:hAnsi="Arial Narrow" w:cs="Microsoft Sans Serif"/>
          <w:bCs/>
          <w:iCs/>
          <w:sz w:val="28"/>
          <w:szCs w:val="28"/>
          <w:lang w:val="es-ES"/>
        </w:rPr>
      </w:pPr>
    </w:p>
    <w:p w:rsidR="000C2804" w:rsidRDefault="000C2804" w:rsidP="000C2804">
      <w:pPr>
        <w:spacing w:line="360" w:lineRule="auto"/>
        <w:ind w:firstLine="900"/>
        <w:jc w:val="center"/>
      </w:pPr>
      <w:r w:rsidRPr="000C2804">
        <w:rPr>
          <w:noProof/>
          <w:lang w:val="fr-FR" w:eastAsia="fr-FR"/>
        </w:rPr>
        <w:drawing>
          <wp:inline distT="0" distB="0" distL="0" distR="0">
            <wp:extent cx="5613400" cy="706999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7069998"/>
                    </a:xfrm>
                    <a:prstGeom prst="rect">
                      <a:avLst/>
                    </a:prstGeom>
                    <a:noFill/>
                    <a:ln>
                      <a:noFill/>
                    </a:ln>
                  </pic:spPr>
                </pic:pic>
              </a:graphicData>
            </a:graphic>
          </wp:inline>
        </w:drawing>
      </w:r>
    </w:p>
    <w:p w:rsidR="000C2804" w:rsidRDefault="000C2804" w:rsidP="000C2804">
      <w:pPr>
        <w:spacing w:line="360" w:lineRule="auto"/>
        <w:ind w:firstLine="900"/>
        <w:jc w:val="center"/>
      </w:pPr>
    </w:p>
    <w:p w:rsidR="000C2804" w:rsidRDefault="000C2804" w:rsidP="000C2804">
      <w:pPr>
        <w:spacing w:line="360" w:lineRule="auto"/>
        <w:ind w:firstLine="900"/>
        <w:jc w:val="center"/>
      </w:pPr>
      <w:r w:rsidRPr="000C2804">
        <w:rPr>
          <w:noProof/>
          <w:lang w:val="fr-FR" w:eastAsia="fr-FR"/>
        </w:rPr>
        <w:lastRenderedPageBreak/>
        <w:drawing>
          <wp:inline distT="0" distB="0" distL="0" distR="0">
            <wp:extent cx="5613323" cy="100457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0726" cy="10076844"/>
                    </a:xfrm>
                    <a:prstGeom prst="rect">
                      <a:avLst/>
                    </a:prstGeom>
                    <a:noFill/>
                    <a:ln>
                      <a:noFill/>
                    </a:ln>
                  </pic:spPr>
                </pic:pic>
              </a:graphicData>
            </a:graphic>
          </wp:inline>
        </w:drawing>
      </w:r>
    </w:p>
    <w:sectPr w:rsidR="000C2804" w:rsidSect="00211C21">
      <w:headerReference w:type="default" r:id="rId12"/>
      <w:footerReference w:type="even" r:id="rId13"/>
      <w:footerReference w:type="default" r:id="rId14"/>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31" w:rsidRDefault="004C1631" w:rsidP="00DA5D26">
      <w:r>
        <w:separator/>
      </w:r>
    </w:p>
  </w:endnote>
  <w:endnote w:type="continuationSeparator" w:id="0">
    <w:p w:rsidR="004C1631" w:rsidRDefault="004C1631"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1C21" w:rsidRDefault="00211C21" w:rsidP="00211C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Default="00211C21"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2B34">
      <w:rPr>
        <w:rStyle w:val="Numrodepage"/>
        <w:noProof/>
      </w:rPr>
      <w:t>6</w:t>
    </w:r>
    <w:r>
      <w:rPr>
        <w:rStyle w:val="Numrodepage"/>
      </w:rPr>
      <w:fldChar w:fldCharType="end"/>
    </w:r>
  </w:p>
  <w:p w:rsidR="00211C21" w:rsidRDefault="00211C21" w:rsidP="00211C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31" w:rsidRDefault="004C1631" w:rsidP="00DA5D26">
      <w:r>
        <w:separator/>
      </w:r>
    </w:p>
  </w:footnote>
  <w:footnote w:type="continuationSeparator" w:id="0">
    <w:p w:rsidR="004C1631" w:rsidRDefault="004C1631"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E7884">
      <w:rPr>
        <w:rFonts w:ascii="Arial" w:hAnsi="Arial" w:cs="Arial"/>
        <w:bCs/>
        <w:i/>
        <w:sz w:val="16"/>
        <w:szCs w:val="16"/>
      </w:rPr>
      <w:t>1</w:t>
    </w:r>
    <w:r>
      <w:rPr>
        <w:rFonts w:ascii="Arial" w:hAnsi="Arial" w:cs="Arial"/>
        <w:bCs/>
        <w:i/>
        <w:sz w:val="16"/>
        <w:szCs w:val="16"/>
      </w:rPr>
      <w:t>-201</w:t>
    </w:r>
    <w:r w:rsidR="005E7884">
      <w:rPr>
        <w:rFonts w:ascii="Arial" w:hAnsi="Arial" w:cs="Arial"/>
        <w:bCs/>
        <w:i/>
        <w:sz w:val="16"/>
        <w:szCs w:val="16"/>
      </w:rPr>
      <w:t>3</w:t>
    </w:r>
    <w:r>
      <w:rPr>
        <w:rFonts w:ascii="Arial" w:hAnsi="Arial" w:cs="Arial"/>
        <w:bCs/>
        <w:i/>
        <w:sz w:val="16"/>
        <w:szCs w:val="16"/>
      </w:rPr>
      <w:t>-00</w:t>
    </w:r>
    <w:r w:rsidR="005E7884">
      <w:rPr>
        <w:rFonts w:ascii="Arial" w:hAnsi="Arial" w:cs="Arial"/>
        <w:bCs/>
        <w:i/>
        <w:sz w:val="16"/>
        <w:szCs w:val="16"/>
      </w:rPr>
      <w:t>328</w:t>
    </w:r>
    <w:r>
      <w:rPr>
        <w:rFonts w:ascii="Arial" w:hAnsi="Arial" w:cs="Arial"/>
        <w:bCs/>
        <w:i/>
        <w:sz w:val="16"/>
        <w:szCs w:val="16"/>
      </w:rPr>
      <w:t>-01</w:t>
    </w:r>
  </w:p>
  <w:p w:rsidR="00211C21" w:rsidRPr="00BD0CC8" w:rsidRDefault="005E7884" w:rsidP="00211C21">
    <w:pPr>
      <w:jc w:val="both"/>
      <w:rPr>
        <w:rFonts w:ascii="Arial" w:hAnsi="Arial" w:cs="Arial"/>
        <w:bCs/>
        <w:i/>
        <w:iCs/>
        <w:sz w:val="16"/>
        <w:szCs w:val="16"/>
      </w:rPr>
    </w:pPr>
    <w:proofErr w:type="spellStart"/>
    <w:r>
      <w:rPr>
        <w:rFonts w:ascii="Arial" w:hAnsi="Arial" w:cs="Arial"/>
        <w:bCs/>
        <w:i/>
        <w:sz w:val="16"/>
        <w:szCs w:val="16"/>
      </w:rPr>
      <w:t>Maria</w:t>
    </w:r>
    <w:proofErr w:type="spellEnd"/>
    <w:r>
      <w:rPr>
        <w:rFonts w:ascii="Arial" w:hAnsi="Arial" w:cs="Arial"/>
        <w:bCs/>
        <w:i/>
        <w:sz w:val="16"/>
        <w:szCs w:val="16"/>
      </w:rPr>
      <w:t xml:space="preserve"> </w:t>
    </w:r>
    <w:proofErr w:type="spellStart"/>
    <w:r>
      <w:rPr>
        <w:rFonts w:ascii="Arial" w:hAnsi="Arial" w:cs="Arial"/>
        <w:bCs/>
        <w:i/>
        <w:sz w:val="16"/>
        <w:szCs w:val="16"/>
      </w:rPr>
      <w:t>Rocio</w:t>
    </w:r>
    <w:proofErr w:type="spellEnd"/>
    <w:r>
      <w:rPr>
        <w:rFonts w:ascii="Arial" w:hAnsi="Arial" w:cs="Arial"/>
        <w:bCs/>
        <w:i/>
        <w:sz w:val="16"/>
        <w:szCs w:val="16"/>
      </w:rPr>
      <w:t xml:space="preserve"> Zuluaga Palacio</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26"/>
    <w:rsid w:val="0002763F"/>
    <w:rsid w:val="000578FB"/>
    <w:rsid w:val="00080BC4"/>
    <w:rsid w:val="00090E92"/>
    <w:rsid w:val="000958E2"/>
    <w:rsid w:val="000A6EA4"/>
    <w:rsid w:val="000B0649"/>
    <w:rsid w:val="000B371E"/>
    <w:rsid w:val="000C2804"/>
    <w:rsid w:val="000C6A88"/>
    <w:rsid w:val="000E7F42"/>
    <w:rsid w:val="00120D19"/>
    <w:rsid w:val="00154202"/>
    <w:rsid w:val="00165B76"/>
    <w:rsid w:val="00172834"/>
    <w:rsid w:val="00193B4E"/>
    <w:rsid w:val="001D7DCB"/>
    <w:rsid w:val="00211C21"/>
    <w:rsid w:val="00212388"/>
    <w:rsid w:val="002328BA"/>
    <w:rsid w:val="00242152"/>
    <w:rsid w:val="002B73FA"/>
    <w:rsid w:val="002C79FB"/>
    <w:rsid w:val="002D2A84"/>
    <w:rsid w:val="00321BC6"/>
    <w:rsid w:val="00322087"/>
    <w:rsid w:val="003463BF"/>
    <w:rsid w:val="003664AE"/>
    <w:rsid w:val="003A0850"/>
    <w:rsid w:val="003B2225"/>
    <w:rsid w:val="004405BF"/>
    <w:rsid w:val="004438F8"/>
    <w:rsid w:val="00446054"/>
    <w:rsid w:val="00450852"/>
    <w:rsid w:val="00480570"/>
    <w:rsid w:val="004911DA"/>
    <w:rsid w:val="004A636D"/>
    <w:rsid w:val="004B3062"/>
    <w:rsid w:val="004C1631"/>
    <w:rsid w:val="004D01C5"/>
    <w:rsid w:val="004F4594"/>
    <w:rsid w:val="0050279C"/>
    <w:rsid w:val="00507C62"/>
    <w:rsid w:val="00515BDC"/>
    <w:rsid w:val="00532E74"/>
    <w:rsid w:val="00563496"/>
    <w:rsid w:val="00564D79"/>
    <w:rsid w:val="00592B34"/>
    <w:rsid w:val="005E7884"/>
    <w:rsid w:val="005F1D1F"/>
    <w:rsid w:val="005F5E82"/>
    <w:rsid w:val="006135E9"/>
    <w:rsid w:val="00627105"/>
    <w:rsid w:val="006326CD"/>
    <w:rsid w:val="00666823"/>
    <w:rsid w:val="006945A9"/>
    <w:rsid w:val="006B40B8"/>
    <w:rsid w:val="006C2890"/>
    <w:rsid w:val="006F2FF3"/>
    <w:rsid w:val="00710A57"/>
    <w:rsid w:val="00714593"/>
    <w:rsid w:val="007245D1"/>
    <w:rsid w:val="0072480F"/>
    <w:rsid w:val="00742083"/>
    <w:rsid w:val="00765A83"/>
    <w:rsid w:val="00787588"/>
    <w:rsid w:val="00793C55"/>
    <w:rsid w:val="00794D39"/>
    <w:rsid w:val="007B5499"/>
    <w:rsid w:val="007C1034"/>
    <w:rsid w:val="007E47B6"/>
    <w:rsid w:val="007E71F7"/>
    <w:rsid w:val="00833383"/>
    <w:rsid w:val="00840E22"/>
    <w:rsid w:val="00843FB6"/>
    <w:rsid w:val="0089084F"/>
    <w:rsid w:val="008A24F7"/>
    <w:rsid w:val="008F003B"/>
    <w:rsid w:val="00901C23"/>
    <w:rsid w:val="00907A5F"/>
    <w:rsid w:val="0095467B"/>
    <w:rsid w:val="0096710B"/>
    <w:rsid w:val="009E0886"/>
    <w:rsid w:val="00A23CFA"/>
    <w:rsid w:val="00A24DD5"/>
    <w:rsid w:val="00A2711D"/>
    <w:rsid w:val="00A368C2"/>
    <w:rsid w:val="00A928D2"/>
    <w:rsid w:val="00AA292C"/>
    <w:rsid w:val="00AA3326"/>
    <w:rsid w:val="00AB17ED"/>
    <w:rsid w:val="00AB267F"/>
    <w:rsid w:val="00AB37E6"/>
    <w:rsid w:val="00AB73EB"/>
    <w:rsid w:val="00AC72AC"/>
    <w:rsid w:val="00AD0855"/>
    <w:rsid w:val="00AD7B28"/>
    <w:rsid w:val="00AF19D4"/>
    <w:rsid w:val="00B478ED"/>
    <w:rsid w:val="00B47DEE"/>
    <w:rsid w:val="00B55B27"/>
    <w:rsid w:val="00B56E76"/>
    <w:rsid w:val="00B855A0"/>
    <w:rsid w:val="00BA0C20"/>
    <w:rsid w:val="00BB547D"/>
    <w:rsid w:val="00BC22B0"/>
    <w:rsid w:val="00BD0A8D"/>
    <w:rsid w:val="00C21964"/>
    <w:rsid w:val="00C25781"/>
    <w:rsid w:val="00C37893"/>
    <w:rsid w:val="00C605CD"/>
    <w:rsid w:val="00C84802"/>
    <w:rsid w:val="00C920EA"/>
    <w:rsid w:val="00CA0A00"/>
    <w:rsid w:val="00CE0D41"/>
    <w:rsid w:val="00CF576A"/>
    <w:rsid w:val="00D133D9"/>
    <w:rsid w:val="00D45CAC"/>
    <w:rsid w:val="00D66EC5"/>
    <w:rsid w:val="00DA5765"/>
    <w:rsid w:val="00DA58C1"/>
    <w:rsid w:val="00DA5D26"/>
    <w:rsid w:val="00DE1E3E"/>
    <w:rsid w:val="00DF2772"/>
    <w:rsid w:val="00DF30A5"/>
    <w:rsid w:val="00E066DB"/>
    <w:rsid w:val="00E2349E"/>
    <w:rsid w:val="00E27B52"/>
    <w:rsid w:val="00E337B7"/>
    <w:rsid w:val="00E349AA"/>
    <w:rsid w:val="00E430CD"/>
    <w:rsid w:val="00E55BB9"/>
    <w:rsid w:val="00E73814"/>
    <w:rsid w:val="00E77A72"/>
    <w:rsid w:val="00E94359"/>
    <w:rsid w:val="00EE2CE3"/>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DA5D26"/>
    <w:pPr>
      <w:tabs>
        <w:tab w:val="center" w:pos="4252"/>
        <w:tab w:val="right" w:pos="8504"/>
      </w:tabs>
    </w:pPr>
  </w:style>
  <w:style w:type="character" w:customStyle="1" w:styleId="PieddepageCar">
    <w:name w:val="Pied de page Car"/>
    <w:basedOn w:val="Policepardfaut"/>
    <w:link w:val="Pieddepage"/>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rsid w:val="00DA5D26"/>
    <w:pPr>
      <w:tabs>
        <w:tab w:val="center" w:pos="4252"/>
        <w:tab w:val="right" w:pos="8504"/>
      </w:tabs>
    </w:pPr>
  </w:style>
  <w:style w:type="character" w:customStyle="1" w:styleId="En-tteCar">
    <w:name w:val="En-tête Car"/>
    <w:basedOn w:val="Policepardfaut"/>
    <w:link w:val="En-tte"/>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642B-1C94-4123-BAAF-6D76D5A1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1968</Words>
  <Characters>10828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cp:revision>
  <cp:lastPrinted>2017-02-01T18:04:00Z</cp:lastPrinted>
  <dcterms:created xsi:type="dcterms:W3CDTF">2017-01-24T19:29:00Z</dcterms:created>
  <dcterms:modified xsi:type="dcterms:W3CDTF">2017-05-05T20:33:00Z</dcterms:modified>
</cp:coreProperties>
</file>