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BC" w:rsidRDefault="001D29BC" w:rsidP="001D29BC">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1D29BC" w:rsidRPr="00346DF6" w:rsidRDefault="001D29BC" w:rsidP="001D29B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6319885"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1D29BC" w:rsidRDefault="001D29BC" w:rsidP="001D29BC">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Sentencia – 1ª instancia – 31 de marzo de 2017</w:t>
      </w:r>
    </w:p>
    <w:p w:rsidR="001D29BC" w:rsidRPr="00AF7EA4" w:rsidRDefault="001D29BC" w:rsidP="001D29BC">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Pr>
          <w:rFonts w:ascii="Arial Narrow" w:hAnsi="Arial Narrow" w:cs="Tahoma"/>
          <w:sz w:val="18"/>
          <w:szCs w:val="18"/>
        </w:rPr>
        <w:t>– Concede  el amparo solicitado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BE7C90">
        <w:rPr>
          <w:rFonts w:ascii="Arial Narrow" w:hAnsi="Arial Narrow" w:cs="Tahoma"/>
          <w:bCs/>
          <w:sz w:val="18"/>
          <w:szCs w:val="18"/>
        </w:rPr>
        <w:t>7</w:t>
      </w:r>
      <w:r w:rsidRPr="002F2145">
        <w:rPr>
          <w:rFonts w:ascii="Arial Narrow" w:hAnsi="Arial Narrow" w:cs="Tahoma"/>
          <w:bCs/>
          <w:sz w:val="18"/>
          <w:szCs w:val="18"/>
        </w:rPr>
        <w:t>-00</w:t>
      </w:r>
      <w:r w:rsidR="00BE7C90">
        <w:rPr>
          <w:rFonts w:ascii="Arial Narrow" w:hAnsi="Arial Narrow" w:cs="Tahoma"/>
          <w:bCs/>
          <w:sz w:val="18"/>
          <w:szCs w:val="18"/>
        </w:rPr>
        <w:t>044</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BE7C90">
        <w:rPr>
          <w:rFonts w:ascii="Arial Narrow" w:hAnsi="Arial Narrow" w:cs="Tahoma"/>
          <w:sz w:val="18"/>
          <w:szCs w:val="18"/>
        </w:rPr>
        <w:t xml:space="preserve">Lucila Giraldo Ramírez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 xml:space="preserve">Ministerio de </w:t>
      </w:r>
      <w:r w:rsidR="00BE7C90">
        <w:rPr>
          <w:rFonts w:ascii="Arial Narrow" w:hAnsi="Arial Narrow" w:cs="Tahoma"/>
          <w:sz w:val="18"/>
          <w:szCs w:val="18"/>
        </w:rPr>
        <w:t xml:space="preserve">Salud y Protección Social </w:t>
      </w:r>
    </w:p>
    <w:p w:rsidR="001D29BC" w:rsidRPr="00AF7EA4" w:rsidRDefault="001D29BC" w:rsidP="002F2145">
      <w:pPr>
        <w:jc w:val="both"/>
        <w:rPr>
          <w:rFonts w:ascii="Arial Narrow" w:hAnsi="Arial Narrow" w:cs="Tahoma"/>
          <w:b/>
          <w:bCs/>
          <w:sz w:val="18"/>
          <w:szCs w:val="18"/>
        </w:rPr>
      </w:pPr>
    </w:p>
    <w:p w:rsidR="002F2145" w:rsidRPr="006F7F7F" w:rsidRDefault="002F2145" w:rsidP="006F7F7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1D29BC">
        <w:rPr>
          <w:rFonts w:ascii="Arial Narrow" w:hAnsi="Arial Narrow" w:cs="Tahoma"/>
          <w:b/>
          <w:bCs/>
          <w:i/>
          <w:sz w:val="18"/>
          <w:szCs w:val="18"/>
        </w:rPr>
        <w:t>ACCIÓN DE TUTELA. HECHO SUPERADO.</w:t>
      </w:r>
      <w:r w:rsidR="006F7F7F">
        <w:rPr>
          <w:rFonts w:ascii="Arial Narrow" w:hAnsi="Arial Narrow" w:cs="Tahoma"/>
          <w:b/>
          <w:bCs/>
          <w:i/>
          <w:sz w:val="18"/>
          <w:szCs w:val="18"/>
        </w:rPr>
        <w:t xml:space="preserve"> </w:t>
      </w:r>
      <w:r w:rsidR="006F7F7F" w:rsidRPr="006F7F7F">
        <w:rPr>
          <w:rFonts w:ascii="Arial Narrow" w:hAnsi="Arial Narrow" w:cs="Tahoma"/>
          <w:bCs/>
          <w:i/>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006F7F7F" w:rsidRPr="006F7F7F">
        <w:rPr>
          <w:rFonts w:ascii="Arial Narrow" w:hAnsi="Arial Narrow" w:cs="Tahoma"/>
          <w:bCs/>
          <w:i/>
          <w:sz w:val="18"/>
          <w:szCs w:val="18"/>
        </w:rPr>
        <w:t>cesa</w:t>
      </w:r>
      <w:proofErr w:type="gramEnd"/>
      <w:r w:rsidR="006F7F7F" w:rsidRPr="006F7F7F">
        <w:rPr>
          <w:rFonts w:ascii="Arial Narrow" w:hAnsi="Arial Narrow" w:cs="Tahoma"/>
          <w:bCs/>
          <w:i/>
          <w:sz w:val="18"/>
          <w:szCs w:val="18"/>
        </w:rPr>
        <w:t>, la acción de tutela pierde su objeto de protección, debiendo declararse improcedente.</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BE7C90">
        <w:rPr>
          <w:rFonts w:ascii="Arial Narrow" w:hAnsi="Arial Narrow" w:cs="Tahoma"/>
          <w:sz w:val="28"/>
          <w:szCs w:val="28"/>
        </w:rPr>
        <w:t>treinta y uno</w:t>
      </w:r>
      <w:r>
        <w:rPr>
          <w:rFonts w:ascii="Arial Narrow" w:hAnsi="Arial Narrow" w:cs="Tahoma"/>
          <w:sz w:val="28"/>
          <w:szCs w:val="28"/>
        </w:rPr>
        <w:t xml:space="preserve"> </w:t>
      </w:r>
      <w:r w:rsidRPr="00AF7EA4">
        <w:rPr>
          <w:rFonts w:ascii="Arial Narrow" w:hAnsi="Arial Narrow" w:cs="Tahoma"/>
          <w:sz w:val="28"/>
          <w:szCs w:val="28"/>
        </w:rPr>
        <w:t>(</w:t>
      </w:r>
      <w:r w:rsidR="00BE7C90">
        <w:rPr>
          <w:rFonts w:ascii="Arial Narrow" w:hAnsi="Arial Narrow" w:cs="Tahoma"/>
          <w:sz w:val="28"/>
          <w:szCs w:val="28"/>
        </w:rPr>
        <w:t>31</w:t>
      </w:r>
      <w:r w:rsidRPr="00AF7EA4">
        <w:rPr>
          <w:rFonts w:ascii="Arial Narrow" w:hAnsi="Arial Narrow" w:cs="Tahoma"/>
          <w:sz w:val="28"/>
          <w:szCs w:val="28"/>
        </w:rPr>
        <w:t xml:space="preserve">) de </w:t>
      </w:r>
      <w:r w:rsidR="00BE7C90">
        <w:rPr>
          <w:rFonts w:ascii="Arial Narrow" w:hAnsi="Arial Narrow" w:cs="Tahoma"/>
          <w:sz w:val="28"/>
          <w:szCs w:val="28"/>
        </w:rPr>
        <w:t>marzo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BE7C90">
        <w:rPr>
          <w:rFonts w:ascii="Arial Narrow" w:hAnsi="Arial Narrow" w:cs="Tahoma"/>
          <w:sz w:val="28"/>
          <w:szCs w:val="28"/>
        </w:rPr>
        <w:t>iete</w:t>
      </w:r>
      <w:r w:rsidRPr="00AF7EA4">
        <w:rPr>
          <w:rFonts w:ascii="Arial Narrow" w:hAnsi="Arial Narrow" w:cs="Tahoma"/>
          <w:sz w:val="28"/>
          <w:szCs w:val="28"/>
        </w:rPr>
        <w:t xml:space="preserve"> (201</w:t>
      </w:r>
      <w:r w:rsidR="00BE7C90">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BE7C90">
        <w:rPr>
          <w:rFonts w:ascii="Arial Narrow" w:hAnsi="Arial Narrow" w:cs="Tahoma"/>
          <w:sz w:val="28"/>
          <w:szCs w:val="28"/>
        </w:rPr>
        <w:t>3</w:t>
      </w:r>
      <w:r w:rsidR="009770FD">
        <w:rPr>
          <w:rFonts w:ascii="Arial Narrow" w:hAnsi="Arial Narrow" w:cs="Tahoma"/>
          <w:sz w:val="28"/>
          <w:szCs w:val="28"/>
        </w:rPr>
        <w:t>1</w:t>
      </w:r>
      <w:r>
        <w:rPr>
          <w:rFonts w:ascii="Arial Narrow" w:hAnsi="Arial Narrow" w:cs="Tahoma"/>
          <w:sz w:val="28"/>
          <w:szCs w:val="28"/>
        </w:rPr>
        <w:t xml:space="preserve"> de </w:t>
      </w:r>
      <w:r w:rsidR="00BE7C90">
        <w:rPr>
          <w:rFonts w:ascii="Arial Narrow" w:hAnsi="Arial Narrow" w:cs="Tahoma"/>
          <w:sz w:val="28"/>
          <w:szCs w:val="28"/>
        </w:rPr>
        <w:t>marzo</w:t>
      </w:r>
      <w:r>
        <w:rPr>
          <w:rFonts w:ascii="Arial Narrow" w:hAnsi="Arial Narrow" w:cs="Tahoma"/>
          <w:sz w:val="28"/>
          <w:szCs w:val="28"/>
        </w:rPr>
        <w:t xml:space="preserve"> de 201</w:t>
      </w:r>
      <w:r w:rsidR="00BE7C90">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BE7C90">
        <w:rPr>
          <w:rFonts w:ascii="Arial Narrow" w:hAnsi="Arial Narrow" w:cs="Tahoma"/>
          <w:sz w:val="28"/>
          <w:szCs w:val="28"/>
        </w:rPr>
        <w:t>la</w:t>
      </w:r>
      <w:r w:rsidRPr="00AF7EA4">
        <w:rPr>
          <w:rFonts w:ascii="Arial Narrow" w:hAnsi="Arial Narrow" w:cs="Tahoma"/>
          <w:sz w:val="28"/>
          <w:szCs w:val="28"/>
        </w:rPr>
        <w:t xml:space="preserve"> señor</w:t>
      </w:r>
      <w:r w:rsidR="00BE7C90">
        <w:rPr>
          <w:rFonts w:ascii="Arial Narrow" w:hAnsi="Arial Narrow" w:cs="Tahoma"/>
          <w:sz w:val="28"/>
          <w:szCs w:val="28"/>
        </w:rPr>
        <w:t>a</w:t>
      </w:r>
      <w:r>
        <w:rPr>
          <w:rFonts w:ascii="Arial Narrow" w:hAnsi="Arial Narrow" w:cs="Tahoma"/>
          <w:sz w:val="28"/>
          <w:szCs w:val="28"/>
        </w:rPr>
        <w:t xml:space="preserve"> </w:t>
      </w:r>
      <w:r w:rsidR="00BE7C90">
        <w:rPr>
          <w:rFonts w:ascii="Arial Narrow" w:hAnsi="Arial Narrow" w:cs="Tahoma"/>
          <w:b/>
          <w:i/>
          <w:sz w:val="28"/>
          <w:szCs w:val="28"/>
        </w:rPr>
        <w:t>Lucila Giraldo Ramírez</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9770FD">
        <w:rPr>
          <w:rFonts w:ascii="Arial Narrow" w:hAnsi="Arial Narrow" w:cs="Tahoma"/>
          <w:sz w:val="28"/>
          <w:szCs w:val="28"/>
        </w:rPr>
        <w:t xml:space="preserve">el </w:t>
      </w:r>
      <w:r w:rsidR="00D90480" w:rsidRPr="00D90480">
        <w:rPr>
          <w:rFonts w:ascii="Arial Narrow" w:hAnsi="Arial Narrow" w:cs="Tahoma"/>
          <w:b/>
          <w:i/>
          <w:sz w:val="28"/>
          <w:szCs w:val="28"/>
        </w:rPr>
        <w:t xml:space="preserve">Ministerio de </w:t>
      </w:r>
      <w:r w:rsidR="00BE7C90">
        <w:rPr>
          <w:rFonts w:ascii="Arial Narrow" w:hAnsi="Arial Narrow" w:cs="Tahoma"/>
          <w:b/>
          <w:i/>
          <w:sz w:val="28"/>
          <w:szCs w:val="28"/>
        </w:rPr>
        <w:t xml:space="preserve">Salud y </w:t>
      </w:r>
      <w:r w:rsidR="00BB3E72">
        <w:rPr>
          <w:rFonts w:ascii="Arial Narrow" w:hAnsi="Arial Narrow" w:cs="Tahoma"/>
          <w:b/>
          <w:i/>
          <w:sz w:val="28"/>
          <w:szCs w:val="28"/>
        </w:rPr>
        <w:t>Protección</w:t>
      </w:r>
      <w:r w:rsidR="00BE7C90">
        <w:rPr>
          <w:rFonts w:ascii="Arial Narrow" w:hAnsi="Arial Narrow" w:cs="Tahoma"/>
          <w:b/>
          <w:i/>
          <w:sz w:val="28"/>
          <w:szCs w:val="28"/>
        </w:rPr>
        <w:t xml:space="preserve"> Social</w:t>
      </w:r>
      <w:r w:rsidR="00BB3E72">
        <w:rPr>
          <w:rFonts w:ascii="Arial Narrow" w:hAnsi="Arial Narrow" w:cs="Tahoma"/>
          <w:b/>
          <w:i/>
          <w:sz w:val="28"/>
          <w:szCs w:val="28"/>
        </w:rPr>
        <w:t>, Fiduagraria S.A. en su condición de vocera del Patrimonio Autónomo de Remanentes del ISS PARISS</w:t>
      </w:r>
      <w:r w:rsidR="003664A9">
        <w:rPr>
          <w:rFonts w:ascii="Arial Narrow" w:hAnsi="Arial Narrow" w:cs="Tahoma"/>
          <w:b/>
          <w:i/>
          <w:sz w:val="28"/>
          <w:szCs w:val="28"/>
        </w:rPr>
        <w:t xml:space="preserve"> </w:t>
      </w:r>
      <w:r w:rsidR="003664A9" w:rsidRPr="003664A9">
        <w:rPr>
          <w:rFonts w:ascii="Arial Narrow" w:hAnsi="Arial Narrow" w:cs="Tahoma"/>
          <w:sz w:val="28"/>
          <w:szCs w:val="28"/>
        </w:rPr>
        <w:t>y al cual se vinculó</w:t>
      </w:r>
      <w:r w:rsidR="003664A9">
        <w:rPr>
          <w:rFonts w:ascii="Arial Narrow" w:hAnsi="Arial Narrow" w:cs="Tahoma"/>
          <w:i/>
          <w:sz w:val="28"/>
          <w:szCs w:val="28"/>
        </w:rPr>
        <w:t xml:space="preserve"> al </w:t>
      </w:r>
      <w:r w:rsidR="003664A9">
        <w:rPr>
          <w:rFonts w:ascii="Arial Narrow" w:hAnsi="Arial Narrow" w:cs="Tahoma"/>
          <w:b/>
          <w:i/>
          <w:sz w:val="28"/>
          <w:szCs w:val="28"/>
        </w:rPr>
        <w:t>Juzgado Primero Laboral del Circuito de Pereira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w:t>
      </w:r>
      <w:r w:rsidR="003664A9">
        <w:rPr>
          <w:rFonts w:ascii="Arial Narrow" w:hAnsi="Arial Narrow" w:cs="Tahoma"/>
          <w:sz w:val="28"/>
          <w:szCs w:val="28"/>
        </w:rPr>
        <w:t>s</w:t>
      </w:r>
      <w:r w:rsidRPr="00AF7EA4">
        <w:rPr>
          <w:rFonts w:ascii="Arial Narrow" w:hAnsi="Arial Narrow" w:cs="Tahoma"/>
          <w:sz w:val="28"/>
          <w:szCs w:val="28"/>
        </w:rPr>
        <w:t xml:space="preserve"> derecho</w:t>
      </w:r>
      <w:r w:rsidR="003664A9">
        <w:rPr>
          <w:rFonts w:ascii="Arial Narrow" w:hAnsi="Arial Narrow" w:cs="Tahoma"/>
          <w:sz w:val="28"/>
          <w:szCs w:val="28"/>
        </w:rPr>
        <w:t>s</w:t>
      </w:r>
      <w:r w:rsidRPr="00AF7EA4">
        <w:rPr>
          <w:rFonts w:ascii="Arial Narrow" w:hAnsi="Arial Narrow" w:cs="Tahoma"/>
          <w:sz w:val="28"/>
          <w:szCs w:val="28"/>
        </w:rPr>
        <w:t xml:space="preserve"> fundamental</w:t>
      </w:r>
      <w:r w:rsidR="003664A9">
        <w:rPr>
          <w:rFonts w:ascii="Arial Narrow" w:hAnsi="Arial Narrow" w:cs="Tahoma"/>
          <w:sz w:val="28"/>
          <w:szCs w:val="28"/>
        </w:rPr>
        <w:t>es</w:t>
      </w:r>
      <w:r w:rsidRPr="00AF7EA4">
        <w:rPr>
          <w:rFonts w:ascii="Arial Narrow" w:hAnsi="Arial Narrow" w:cs="Tahoma"/>
          <w:sz w:val="28"/>
          <w:szCs w:val="28"/>
        </w:rPr>
        <w:t xml:space="preserve"> </w:t>
      </w:r>
      <w:r w:rsidR="00417BAC">
        <w:rPr>
          <w:rFonts w:ascii="Arial Narrow" w:hAnsi="Arial Narrow" w:cs="Tahoma"/>
          <w:sz w:val="28"/>
          <w:szCs w:val="28"/>
        </w:rPr>
        <w:t>de petición</w:t>
      </w:r>
      <w:r w:rsidR="003664A9">
        <w:rPr>
          <w:rFonts w:ascii="Arial Narrow" w:hAnsi="Arial Narrow" w:cs="Tahoma"/>
          <w:sz w:val="28"/>
          <w:szCs w:val="28"/>
        </w:rPr>
        <w:t xml:space="preserve"> y al debido proceso</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Corpsdetexte2"/>
        <w:rPr>
          <w:rFonts w:ascii="Arial Narrow" w:hAnsi="Arial Narrow" w:cs="Tahoma"/>
          <w:sz w:val="28"/>
          <w:szCs w:val="28"/>
        </w:rPr>
      </w:pPr>
      <w:r>
        <w:rPr>
          <w:rFonts w:ascii="Arial Narrow" w:hAnsi="Arial Narrow" w:cs="Tahoma"/>
          <w:sz w:val="28"/>
          <w:szCs w:val="28"/>
        </w:rPr>
        <w:t>Se trata de</w:t>
      </w:r>
      <w:r w:rsidR="003664A9">
        <w:rPr>
          <w:rFonts w:ascii="Arial Narrow" w:hAnsi="Arial Narrow" w:cs="Tahoma"/>
          <w:sz w:val="28"/>
          <w:szCs w:val="28"/>
        </w:rPr>
        <w:t xml:space="preserve"> </w:t>
      </w:r>
      <w:r>
        <w:rPr>
          <w:rFonts w:ascii="Arial Narrow" w:hAnsi="Arial Narrow" w:cs="Tahoma"/>
          <w:sz w:val="28"/>
          <w:szCs w:val="28"/>
        </w:rPr>
        <w:t>l</w:t>
      </w:r>
      <w:r w:rsidR="003664A9">
        <w:rPr>
          <w:rFonts w:ascii="Arial Narrow" w:hAnsi="Arial Narrow" w:cs="Tahoma"/>
          <w:sz w:val="28"/>
          <w:szCs w:val="28"/>
        </w:rPr>
        <w:t>a</w:t>
      </w:r>
      <w:r>
        <w:rPr>
          <w:rFonts w:ascii="Arial Narrow" w:hAnsi="Arial Narrow" w:cs="Tahoma"/>
          <w:sz w:val="28"/>
          <w:szCs w:val="28"/>
        </w:rPr>
        <w:t xml:space="preserve"> señor</w:t>
      </w:r>
      <w:r w:rsidR="003664A9">
        <w:rPr>
          <w:rFonts w:ascii="Arial Narrow" w:hAnsi="Arial Narrow" w:cs="Tahoma"/>
          <w:sz w:val="28"/>
          <w:szCs w:val="28"/>
        </w:rPr>
        <w:t>a</w:t>
      </w:r>
      <w:r>
        <w:rPr>
          <w:rFonts w:ascii="Arial Narrow" w:hAnsi="Arial Narrow" w:cs="Tahoma"/>
          <w:sz w:val="28"/>
          <w:szCs w:val="28"/>
        </w:rPr>
        <w:t xml:space="preserve"> </w:t>
      </w:r>
      <w:r w:rsidR="003664A9">
        <w:rPr>
          <w:rFonts w:ascii="Arial Narrow" w:hAnsi="Arial Narrow" w:cs="Tahoma"/>
          <w:sz w:val="28"/>
          <w:szCs w:val="28"/>
        </w:rPr>
        <w:t>Lucila Giraldo Ramírez</w:t>
      </w:r>
      <w:r>
        <w:rPr>
          <w:rFonts w:ascii="Arial Narrow" w:hAnsi="Arial Narrow" w:cs="Tahoma"/>
          <w:sz w:val="28"/>
          <w:szCs w:val="28"/>
        </w:rPr>
        <w:t>, identificad</w:t>
      </w:r>
      <w:r w:rsidR="003664A9">
        <w:rPr>
          <w:rFonts w:ascii="Arial Narrow" w:hAnsi="Arial Narrow" w:cs="Tahoma"/>
          <w:sz w:val="28"/>
          <w:szCs w:val="28"/>
        </w:rPr>
        <w:t>a</w:t>
      </w:r>
      <w:r>
        <w:rPr>
          <w:rFonts w:ascii="Arial Narrow" w:hAnsi="Arial Narrow" w:cs="Tahoma"/>
          <w:sz w:val="28"/>
          <w:szCs w:val="28"/>
        </w:rPr>
        <w:t xml:space="preserve"> con c.c. No. </w:t>
      </w:r>
      <w:r w:rsidR="003664A9">
        <w:rPr>
          <w:rFonts w:ascii="Arial Narrow" w:hAnsi="Arial Narrow" w:cs="Tahoma"/>
          <w:sz w:val="28"/>
          <w:szCs w:val="28"/>
        </w:rPr>
        <w:t>42.002.718</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3664A9">
        <w:rPr>
          <w:rFonts w:ascii="Arial Narrow" w:hAnsi="Arial Narrow" w:cs="Tahoma"/>
          <w:sz w:val="28"/>
          <w:szCs w:val="28"/>
        </w:rPr>
        <w:t>por medio de portavoz judicial</w:t>
      </w:r>
      <w:r w:rsidR="005A239E">
        <w:rPr>
          <w:rFonts w:ascii="Arial Narrow" w:hAnsi="Arial Narrow" w:cs="Tahoma"/>
          <w:sz w:val="28"/>
          <w:szCs w:val="28"/>
        </w:rPr>
        <w:t>.</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Default="002F2145" w:rsidP="00CC4164">
      <w:pPr>
        <w:pStyle w:val="Paragraphedeliste"/>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 xml:space="preserve">Ministerio de </w:t>
      </w:r>
      <w:r w:rsidR="00526B00">
        <w:rPr>
          <w:rFonts w:ascii="Arial Narrow" w:hAnsi="Arial Narrow" w:cs="Tahoma"/>
          <w:sz w:val="28"/>
          <w:szCs w:val="28"/>
        </w:rPr>
        <w:t>salud y Protección Social</w:t>
      </w:r>
      <w:r w:rsidR="00CC4164" w:rsidRPr="00CC4164">
        <w:rPr>
          <w:rFonts w:ascii="Arial Narrow" w:hAnsi="Arial Narrow" w:cs="Tahoma"/>
          <w:sz w:val="28"/>
          <w:szCs w:val="28"/>
        </w:rPr>
        <w:t xml:space="preserve">, representado por el titular de la cartera, Dr. </w:t>
      </w:r>
      <w:r w:rsidR="00526B00">
        <w:rPr>
          <w:rFonts w:ascii="Arial Narrow" w:hAnsi="Arial Narrow" w:cs="Tahoma"/>
          <w:sz w:val="28"/>
          <w:szCs w:val="28"/>
        </w:rPr>
        <w:t>Alejandro Gaviria Uribe</w:t>
      </w:r>
      <w:r w:rsidRPr="00CC4164">
        <w:rPr>
          <w:rFonts w:ascii="Arial Narrow" w:hAnsi="Arial Narrow" w:cs="Tahoma"/>
          <w:sz w:val="28"/>
          <w:szCs w:val="28"/>
        </w:rPr>
        <w:t>.</w:t>
      </w:r>
    </w:p>
    <w:p w:rsidR="00526B00" w:rsidRDefault="00526B00"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Fiduagraria S.A. en su condición de vocera del Patrimonio Autónomo de Remanentes del ISS PARISS, representado por Gabriel Antonio Mantilla Díaz.</w:t>
      </w:r>
    </w:p>
    <w:p w:rsidR="00526B00" w:rsidRPr="00CC4164" w:rsidRDefault="00526B00"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Juzgado Primero Laboral del Circuito de Pereira, representado por su titular Ruth Clemencia Zuluaga Aristizabal.</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C85333" w:rsidRDefault="00FE1C16"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526B00">
        <w:rPr>
          <w:rFonts w:ascii="Arial Narrow" w:hAnsi="Arial Narrow" w:cs="Tahoma"/>
          <w:b w:val="0"/>
          <w:szCs w:val="28"/>
        </w:rPr>
        <w:t>la accionante que actualmente adelanta un proceso ordinario laboral contra el ISS ya liquidado, con el fin de obtener el reconocimiento y pago de sus prestaciones</w:t>
      </w:r>
      <w:r w:rsidR="004D1DB7">
        <w:rPr>
          <w:rFonts w:ascii="Arial Narrow" w:hAnsi="Arial Narrow" w:cs="Tahoma"/>
          <w:b w:val="0"/>
          <w:szCs w:val="28"/>
        </w:rPr>
        <w:t xml:space="preserve"> laborales, que entre las pruebas solicitadas y decretadas por el Juzgado </w:t>
      </w:r>
      <w:r w:rsidR="00C85333">
        <w:rPr>
          <w:rFonts w:ascii="Arial Narrow" w:hAnsi="Arial Narrow" w:cs="Tahoma"/>
          <w:b w:val="0"/>
          <w:szCs w:val="28"/>
        </w:rPr>
        <w:t>P</w:t>
      </w:r>
      <w:r w:rsidR="004D1DB7">
        <w:rPr>
          <w:rFonts w:ascii="Arial Narrow" w:hAnsi="Arial Narrow" w:cs="Tahoma"/>
          <w:b w:val="0"/>
          <w:szCs w:val="28"/>
        </w:rPr>
        <w:t>rimero Laboral del Circuito de esta capital</w:t>
      </w:r>
      <w:r w:rsidR="00C85333">
        <w:rPr>
          <w:rFonts w:ascii="Arial Narrow" w:hAnsi="Arial Narrow" w:cs="Tahoma"/>
          <w:b w:val="0"/>
          <w:szCs w:val="28"/>
        </w:rPr>
        <w:t xml:space="preserve"> estaba la de certificar entre los años 2009 y 2014 el sueldo y demás prestaciones sociales devengadas por personal de planta que cumpliera funciones como profesional psicóloga, que se le ha requerido por el Juzgado en varias ocasiones sin obtener respuesta, razón por la cual no ha podido decidirse el asunto de fondo.</w:t>
      </w:r>
    </w:p>
    <w:p w:rsidR="00C85333" w:rsidRDefault="00C85333"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730085" w:rsidRDefault="00F32B04" w:rsidP="00F32B04">
      <w:pPr>
        <w:pStyle w:val="Textoindependiente21"/>
        <w:spacing w:line="240" w:lineRule="auto"/>
        <w:ind w:firstLine="851"/>
        <w:rPr>
          <w:rFonts w:ascii="Arial Narrow" w:hAnsi="Arial Narrow" w:cs="Tahoma"/>
          <w:b w:val="0"/>
          <w:i/>
          <w:sz w:val="16"/>
          <w:szCs w:val="16"/>
        </w:rPr>
      </w:pPr>
    </w:p>
    <w:p w:rsidR="00A4366E" w:rsidRDefault="005A1D49" w:rsidP="00C771A1">
      <w:pPr>
        <w:pStyle w:val="Textoindependiente21"/>
        <w:ind w:firstLine="851"/>
        <w:rPr>
          <w:rFonts w:ascii="Arial Narrow" w:hAnsi="Arial Narrow" w:cs="Tahoma"/>
          <w:b w:val="0"/>
          <w:szCs w:val="28"/>
        </w:rPr>
      </w:pPr>
      <w:r>
        <w:rPr>
          <w:rFonts w:ascii="Arial Narrow" w:hAnsi="Arial Narrow" w:cs="Tahoma"/>
          <w:b w:val="0"/>
          <w:szCs w:val="28"/>
        </w:rPr>
        <w:t>La cartera mencionada, por medio del coordinador</w:t>
      </w:r>
      <w:r w:rsidR="00C06B82">
        <w:rPr>
          <w:rFonts w:ascii="Arial Narrow" w:hAnsi="Arial Narrow" w:cs="Tahoma"/>
          <w:b w:val="0"/>
          <w:szCs w:val="28"/>
        </w:rPr>
        <w:t xml:space="preserve"> del Grupo de </w:t>
      </w:r>
      <w:r w:rsidR="00541624">
        <w:rPr>
          <w:rFonts w:ascii="Arial Narrow" w:hAnsi="Arial Narrow" w:cs="Tahoma"/>
          <w:b w:val="0"/>
          <w:szCs w:val="28"/>
        </w:rPr>
        <w:t>Administración de Entidades Liquidadas</w:t>
      </w:r>
      <w:r w:rsidR="00A4366E">
        <w:rPr>
          <w:rFonts w:ascii="Arial Narrow" w:hAnsi="Arial Narrow" w:cs="Tahoma"/>
          <w:b w:val="0"/>
          <w:szCs w:val="28"/>
        </w:rPr>
        <w:t xml:space="preserve">, en la que pide que se declare hecho superado, pues mediante comunicación del 23 de marzo de 2017 allegó la certificación deprecada al Juzgado Primero Laboral de esta ciudad. </w:t>
      </w:r>
    </w:p>
    <w:p w:rsidR="00A4366E" w:rsidRPr="00730085" w:rsidRDefault="00A4366E" w:rsidP="00C771A1">
      <w:pPr>
        <w:pStyle w:val="Textoindependiente21"/>
        <w:ind w:firstLine="851"/>
        <w:rPr>
          <w:rFonts w:ascii="Arial Narrow" w:hAnsi="Arial Narrow" w:cs="Tahoma"/>
          <w:b w:val="0"/>
          <w:sz w:val="16"/>
          <w:szCs w:val="16"/>
        </w:rPr>
      </w:pPr>
    </w:p>
    <w:p w:rsidR="009D6694" w:rsidRDefault="00A4366E" w:rsidP="00C771A1">
      <w:pPr>
        <w:pStyle w:val="Textoindependiente21"/>
        <w:ind w:firstLine="851"/>
        <w:rPr>
          <w:rFonts w:ascii="Arial Narrow" w:hAnsi="Arial Narrow" w:cs="Tahoma"/>
          <w:b w:val="0"/>
          <w:szCs w:val="28"/>
        </w:rPr>
      </w:pPr>
      <w:r>
        <w:rPr>
          <w:rFonts w:ascii="Arial Narrow" w:hAnsi="Arial Narrow" w:cs="Tahoma"/>
          <w:b w:val="0"/>
          <w:szCs w:val="28"/>
        </w:rPr>
        <w:t>Fiduagraria, por medio de profesional del derecho, hace igual petición a la cartera Ministerial, con apoyo en los mismos hechos</w:t>
      </w:r>
      <w:r w:rsidR="009D6694">
        <w:rPr>
          <w:rFonts w:ascii="Arial Narrow" w:hAnsi="Arial Narrow" w:cs="Tahoma"/>
          <w:b w:val="0"/>
          <w:szCs w:val="28"/>
        </w:rPr>
        <w:t>.</w:t>
      </w:r>
    </w:p>
    <w:p w:rsidR="009D6694" w:rsidRPr="00730085" w:rsidRDefault="009D6694" w:rsidP="00C771A1">
      <w:pPr>
        <w:pStyle w:val="Textoindependiente21"/>
        <w:ind w:firstLine="851"/>
        <w:rPr>
          <w:rFonts w:ascii="Arial Narrow" w:hAnsi="Arial Narrow" w:cs="Tahoma"/>
          <w:b w:val="0"/>
          <w:sz w:val="16"/>
          <w:szCs w:val="16"/>
        </w:rPr>
      </w:pPr>
    </w:p>
    <w:p w:rsidR="00AE5DFC" w:rsidRDefault="009D6694" w:rsidP="00C771A1">
      <w:pPr>
        <w:pStyle w:val="Textoindependiente21"/>
        <w:ind w:firstLine="851"/>
        <w:rPr>
          <w:rFonts w:ascii="Arial Narrow" w:hAnsi="Arial Narrow" w:cs="Tahoma"/>
          <w:b w:val="0"/>
          <w:szCs w:val="28"/>
        </w:rPr>
      </w:pPr>
      <w:r>
        <w:rPr>
          <w:rFonts w:ascii="Arial Narrow" w:hAnsi="Arial Narrow" w:cs="Tahoma"/>
          <w:b w:val="0"/>
          <w:szCs w:val="28"/>
        </w:rPr>
        <w:t>La Jueza Primera Laboral allegó respuesta en la que hace un relato detallado del trámite adelantado en el proceso ordinario laboral</w:t>
      </w:r>
      <w:r w:rsidR="00AE5DFC">
        <w:rPr>
          <w:rFonts w:ascii="Arial Narrow" w:hAnsi="Arial Narrow" w:cs="Tahoma"/>
          <w:b w:val="0"/>
          <w:szCs w:val="28"/>
        </w:rPr>
        <w:t xml:space="preserve"> </w:t>
      </w:r>
      <w:r>
        <w:rPr>
          <w:rFonts w:ascii="Arial Narrow" w:hAnsi="Arial Narrow" w:cs="Tahoma"/>
          <w:b w:val="0"/>
          <w:szCs w:val="28"/>
        </w:rPr>
        <w:t xml:space="preserve">y de los </w:t>
      </w:r>
      <w:r w:rsidR="00AE5DFC">
        <w:rPr>
          <w:rFonts w:ascii="Arial Narrow" w:hAnsi="Arial Narrow" w:cs="Tahoma"/>
          <w:b w:val="0"/>
          <w:szCs w:val="28"/>
        </w:rPr>
        <w:t>múltiples</w:t>
      </w:r>
      <w:r>
        <w:rPr>
          <w:rFonts w:ascii="Arial Narrow" w:hAnsi="Arial Narrow" w:cs="Tahoma"/>
          <w:b w:val="0"/>
          <w:szCs w:val="28"/>
        </w:rPr>
        <w:t xml:space="preserve"> requerimientos que se han hecho en pos de obtener</w:t>
      </w:r>
      <w:r w:rsidR="00AE5DFC">
        <w:rPr>
          <w:rFonts w:ascii="Arial Narrow" w:hAnsi="Arial Narrow" w:cs="Tahoma"/>
          <w:b w:val="0"/>
          <w:szCs w:val="28"/>
        </w:rPr>
        <w:t xml:space="preserve"> la aducida prueba.</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B06F27">
        <w:rPr>
          <w:rFonts w:ascii="Arial Narrow" w:hAnsi="Arial Narrow" w:cs="Tahoma"/>
          <w:bCs/>
          <w:i/>
          <w:color w:val="000000"/>
          <w:spacing w:val="-2"/>
          <w:sz w:val="28"/>
          <w:szCs w:val="28"/>
        </w:rPr>
        <w:t>Se superó la violación del derecho de petición del accionante</w:t>
      </w:r>
      <w:r w:rsidRPr="00AF7EA4">
        <w:rPr>
          <w:rFonts w:ascii="Arial Narrow" w:hAnsi="Arial Narrow" w:cs="Tahoma"/>
          <w:bCs/>
          <w:i/>
          <w:color w:val="000000"/>
          <w:spacing w:val="-2"/>
          <w:sz w:val="28"/>
          <w:szCs w:val="28"/>
        </w:rPr>
        <w:t>?</w:t>
      </w: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lastRenderedPageBreak/>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B275F" w:rsidRDefault="00957CA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w:t>
      </w:r>
      <w:r w:rsidR="00CB275F">
        <w:rPr>
          <w:rFonts w:ascii="Arial Narrow" w:hAnsi="Arial Narrow" w:cs="Arial"/>
          <w:iCs/>
          <w:sz w:val="28"/>
          <w:szCs w:val="28"/>
        </w:rPr>
        <w:t>, contenida en el artículo 86 de la Carta Política,</w:t>
      </w:r>
      <w:r>
        <w:rPr>
          <w:rFonts w:ascii="Arial Narrow" w:hAnsi="Arial Narrow" w:cs="Arial"/>
          <w:iCs/>
          <w:sz w:val="28"/>
          <w:szCs w:val="28"/>
        </w:rPr>
        <w:t xml:space="preserve"> tiene como objeto la protección</w:t>
      </w:r>
      <w:r w:rsidR="00CB275F">
        <w:rPr>
          <w:rFonts w:ascii="Arial Narrow" w:hAnsi="Arial Narrow" w:cs="Arial"/>
          <w:iCs/>
          <w:sz w:val="28"/>
          <w:szCs w:val="28"/>
        </w:rPr>
        <w:t xml:space="preserve"> pronta y eficaz </w:t>
      </w:r>
      <w:r>
        <w:rPr>
          <w:rFonts w:ascii="Arial Narrow" w:hAnsi="Arial Narrow" w:cs="Arial"/>
          <w:iCs/>
          <w:sz w:val="28"/>
          <w:szCs w:val="28"/>
        </w:rPr>
        <w:t>de los derechos fundamentales, cuando quiera que estos se vean afectados o conculcados</w:t>
      </w:r>
      <w:r w:rsidR="00CB275F">
        <w:rPr>
          <w:rFonts w:ascii="Arial Narrow" w:hAnsi="Arial Narrow" w:cs="Arial"/>
          <w:iCs/>
          <w:sz w:val="28"/>
          <w:szCs w:val="28"/>
        </w:rPr>
        <w:t xml:space="preserve">, dotando al Juez de las herramientas necesarias para tomar todas las medidas pertinentes para salvaguardarlos.  </w:t>
      </w:r>
    </w:p>
    <w:p w:rsidR="00CB275F" w:rsidRDefault="00CB275F" w:rsidP="002F2145">
      <w:pPr>
        <w:spacing w:line="360" w:lineRule="auto"/>
        <w:ind w:firstLine="993"/>
        <w:jc w:val="both"/>
        <w:rPr>
          <w:rFonts w:ascii="Arial Narrow" w:hAnsi="Arial Narrow" w:cs="Arial"/>
          <w:iCs/>
          <w:sz w:val="28"/>
          <w:szCs w:val="28"/>
        </w:rPr>
      </w:pPr>
    </w:p>
    <w:p w:rsidR="00CB275F" w:rsidRDefault="00CB275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CB275F" w:rsidRDefault="00CB275F" w:rsidP="002F2145">
      <w:pPr>
        <w:spacing w:line="360" w:lineRule="auto"/>
        <w:ind w:firstLine="993"/>
        <w:jc w:val="both"/>
        <w:rPr>
          <w:rFonts w:ascii="Arial Narrow" w:hAnsi="Arial Narrow" w:cs="Arial"/>
          <w:iCs/>
          <w:sz w:val="28"/>
          <w:szCs w:val="28"/>
        </w:rPr>
      </w:pP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w:t>
      </w:r>
      <w:r w:rsidRPr="00CB275F">
        <w:rPr>
          <w:rFonts w:ascii="Arial Narrow" w:hAnsi="Arial Narrow" w:cs="Arial"/>
          <w:i/>
          <w:iCs/>
          <w:sz w:val="28"/>
          <w:szCs w:val="28"/>
        </w:rPr>
        <w:lastRenderedPageBreak/>
        <w:t>del caso concreto resultaría a todas luces inocua, y por consiguiente contraria al objetivo constitucionalmente previsto para esta acción.”</w:t>
      </w:r>
      <w:r>
        <w:rPr>
          <w:rStyle w:val="Appelnotedebasdep"/>
          <w:rFonts w:ascii="Arial Narrow" w:hAnsi="Arial Narrow" w:cs="Arial"/>
          <w:i/>
          <w:iCs/>
          <w:sz w:val="28"/>
          <w:szCs w:val="28"/>
        </w:rPr>
        <w:footnoteReference w:id="1"/>
      </w:r>
      <w:r w:rsidRPr="00CB275F">
        <w:rPr>
          <w:rFonts w:ascii="Arial Narrow" w:hAnsi="Arial Narrow" w:cs="Arial"/>
          <w:i/>
          <w:iCs/>
          <w:sz w:val="28"/>
          <w:szCs w:val="28"/>
        </w:rPr>
        <w:t xml:space="preserve">   </w:t>
      </w:r>
    </w:p>
    <w:p w:rsidR="00CB275F" w:rsidRDefault="00CB275F" w:rsidP="002F2145">
      <w:pPr>
        <w:spacing w:line="360" w:lineRule="auto"/>
        <w:ind w:firstLine="993"/>
        <w:jc w:val="both"/>
        <w:rPr>
          <w:rFonts w:ascii="Arial Narrow" w:hAnsi="Arial Narrow" w:cs="Arial"/>
          <w:iCs/>
          <w:sz w:val="28"/>
          <w:szCs w:val="28"/>
        </w:rPr>
      </w:pPr>
    </w:p>
    <w:p w:rsidR="003A3B71" w:rsidRDefault="00CB275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se tiene que la </w:t>
      </w:r>
      <w:r w:rsidR="00B06F27">
        <w:rPr>
          <w:rFonts w:ascii="Arial Narrow" w:hAnsi="Arial Narrow" w:cs="Arial"/>
          <w:iCs/>
          <w:sz w:val="28"/>
          <w:szCs w:val="28"/>
        </w:rPr>
        <w:t>cartera ministerial demandada</w:t>
      </w:r>
      <w:r w:rsidR="00024C17">
        <w:rPr>
          <w:rFonts w:ascii="Arial Narrow" w:hAnsi="Arial Narrow" w:cs="Arial"/>
          <w:iCs/>
          <w:sz w:val="28"/>
          <w:szCs w:val="28"/>
        </w:rPr>
        <w:t xml:space="preserve"> al dar respuesta a la acción de tutela</w:t>
      </w:r>
      <w:r w:rsidR="006E751F">
        <w:rPr>
          <w:rFonts w:ascii="Arial Narrow" w:hAnsi="Arial Narrow" w:cs="Arial"/>
          <w:iCs/>
          <w:sz w:val="28"/>
          <w:szCs w:val="28"/>
        </w:rPr>
        <w:t xml:space="preserve">, anexo copia del documento mediante el cual </w:t>
      </w:r>
      <w:r w:rsidR="00082A90">
        <w:rPr>
          <w:rFonts w:ascii="Arial Narrow" w:hAnsi="Arial Narrow" w:cs="Arial"/>
          <w:iCs/>
          <w:sz w:val="28"/>
          <w:szCs w:val="28"/>
        </w:rPr>
        <w:t>certifican los salarios y prestaciones sociales devengados por un profesional Asistencial de Apoyo I entre los 2009 y 2014, resolviendo con ello la petición que se ha efectuado reiteradamente al interior del proceso ordinario laboral que se tramita en el Juzgado Primero Laboral del Circuito de esta capital, lo que en apariencia sería suficiente para declarar que se ha superado el motivo de la violación. No obstante, conforme a la constancia dejada por el Abogado Asesor del Despacho 03 de esta Sala, se observa que tal documento aún no se ha entregado en el proceso Ordinario Laboral que tramita la señora Giraldo Ramírez y que está radicado al número 2014-00684</w:t>
      </w:r>
      <w:r w:rsidR="003A3B71">
        <w:rPr>
          <w:rFonts w:ascii="Arial Narrow" w:hAnsi="Arial Narrow" w:cs="Arial"/>
          <w:iCs/>
          <w:sz w:val="28"/>
          <w:szCs w:val="28"/>
        </w:rPr>
        <w:t>, razón por la cual persiste el incumplimiento de las sociedades convocadas a aquel juicio, lo que termina repercutiendo el debido proceso de la accionante, pues la ausencia de ese medio de convicción impide la adopción de una decisión de fondo</w:t>
      </w:r>
      <w:r w:rsidR="000965F5">
        <w:rPr>
          <w:rFonts w:ascii="Arial Narrow" w:hAnsi="Arial Narrow" w:cs="Arial"/>
          <w:iCs/>
          <w:sz w:val="28"/>
          <w:szCs w:val="28"/>
        </w:rPr>
        <w:t xml:space="preserve"> en su juicio ordinario laboral, afectándose con ello el debido proceso que implica, entre otros aspectos, la adopción de una decisión de fondo de manera expedita</w:t>
      </w:r>
      <w:r w:rsidR="003A3B71">
        <w:rPr>
          <w:rFonts w:ascii="Arial Narrow" w:hAnsi="Arial Narrow" w:cs="Arial"/>
          <w:iCs/>
          <w:sz w:val="28"/>
          <w:szCs w:val="28"/>
        </w:rPr>
        <w:t xml:space="preserve">. </w:t>
      </w:r>
    </w:p>
    <w:p w:rsidR="003A3B71" w:rsidRDefault="003A3B71" w:rsidP="002F2145">
      <w:pPr>
        <w:spacing w:line="360" w:lineRule="auto"/>
        <w:ind w:firstLine="993"/>
        <w:jc w:val="both"/>
        <w:rPr>
          <w:rFonts w:ascii="Arial Narrow" w:hAnsi="Arial Narrow" w:cs="Arial"/>
          <w:iCs/>
          <w:sz w:val="28"/>
          <w:szCs w:val="28"/>
        </w:rPr>
      </w:pPr>
    </w:p>
    <w:p w:rsidR="00D20916" w:rsidRDefault="003A3B7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encuentra esta Sala que deberá concederse el amparo de tutela por persistir el incumplimiento al llamado judicial, lo que afecta sin duda el debido proceso de la demandante</w:t>
      </w:r>
      <w:r w:rsidR="00C914FB">
        <w:rPr>
          <w:rFonts w:ascii="Arial Narrow" w:hAnsi="Arial Narrow" w:cs="Arial"/>
          <w:iCs/>
          <w:sz w:val="28"/>
          <w:szCs w:val="28"/>
        </w:rPr>
        <w:t xml:space="preserve">, razón por la cual se ordenará al ministerio de Salud y a la </w:t>
      </w:r>
      <w:r w:rsidR="00D20916">
        <w:rPr>
          <w:rFonts w:ascii="Arial Narrow" w:hAnsi="Arial Narrow" w:cs="Arial"/>
          <w:iCs/>
          <w:sz w:val="28"/>
          <w:szCs w:val="28"/>
        </w:rPr>
        <w:t>Fiduagraria</w:t>
      </w:r>
      <w:r w:rsidR="00C914FB">
        <w:rPr>
          <w:rFonts w:ascii="Arial Narrow" w:hAnsi="Arial Narrow" w:cs="Arial"/>
          <w:iCs/>
          <w:sz w:val="28"/>
          <w:szCs w:val="28"/>
        </w:rPr>
        <w:t xml:space="preserve"> S.A. en su calidad de vocera del PARISS, procedan a remitir de manera inmediata la información requerida por el Juzgado Primero Laboral del Circuito de Pereira, a fin de que este pueda decidir de fondo el asunto. Es de aclararse que, en caso de que se incumpla la orden dada, además de las sanciones contenidas en el canon 52 del Decreto 2591 de 1991 por desacato de esta decisión judicial, la Jueza cuenta con los poderes de ordenación conferidos por el legislador, en el canon 48 del CPLSS y en los artículos 42 y ss. </w:t>
      </w:r>
      <w:proofErr w:type="gramStart"/>
      <w:r w:rsidR="00C914FB">
        <w:rPr>
          <w:rFonts w:ascii="Arial Narrow" w:hAnsi="Arial Narrow" w:cs="Arial"/>
          <w:iCs/>
          <w:sz w:val="28"/>
          <w:szCs w:val="28"/>
        </w:rPr>
        <w:t>del</w:t>
      </w:r>
      <w:proofErr w:type="gramEnd"/>
      <w:r w:rsidR="00C914FB">
        <w:rPr>
          <w:rFonts w:ascii="Arial Narrow" w:hAnsi="Arial Narrow" w:cs="Arial"/>
          <w:iCs/>
          <w:sz w:val="28"/>
          <w:szCs w:val="28"/>
        </w:rPr>
        <w:t xml:space="preserve"> CGP</w:t>
      </w:r>
      <w:r w:rsidR="00D20916">
        <w:rPr>
          <w:rFonts w:ascii="Arial Narrow" w:hAnsi="Arial Narrow" w:cs="Arial"/>
          <w:iCs/>
          <w:sz w:val="28"/>
          <w:szCs w:val="28"/>
        </w:rPr>
        <w:t>, a los cuales deberá acudir para garantizar la agilidad y rapidez en el trámite procesal.</w:t>
      </w:r>
    </w:p>
    <w:p w:rsidR="00D20916" w:rsidRDefault="00D20916" w:rsidP="002F2145">
      <w:pPr>
        <w:spacing w:line="360" w:lineRule="auto"/>
        <w:ind w:firstLine="993"/>
        <w:jc w:val="both"/>
        <w:rPr>
          <w:rFonts w:ascii="Arial Narrow" w:hAnsi="Arial Narrow" w:cs="Arial"/>
          <w:iCs/>
          <w:sz w:val="28"/>
          <w:szCs w:val="28"/>
        </w:rPr>
      </w:pPr>
    </w:p>
    <w:p w:rsidR="008D0272" w:rsidRDefault="008D0272" w:rsidP="008D0272">
      <w:pPr>
        <w:pStyle w:val="Sansinterligne"/>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0965F5" w:rsidRDefault="002F2145" w:rsidP="002F2145">
      <w:pPr>
        <w:pStyle w:val="Textebrut"/>
        <w:spacing w:line="360" w:lineRule="auto"/>
        <w:ind w:firstLine="900"/>
        <w:jc w:val="both"/>
        <w:rPr>
          <w:rFonts w:ascii="Arial Narrow" w:hAnsi="Arial Narrow" w:cs="Arial"/>
          <w:color w:val="000000"/>
          <w:spacing w:val="-2"/>
          <w:sz w:val="28"/>
          <w:szCs w:val="28"/>
        </w:rPr>
      </w:pPr>
      <w:r w:rsidRPr="00AF7EA4">
        <w:rPr>
          <w:rFonts w:ascii="Arial Narrow" w:hAnsi="Arial Narrow" w:cs="Arial"/>
          <w:b/>
          <w:color w:val="000000"/>
          <w:spacing w:val="-2"/>
          <w:sz w:val="28"/>
          <w:szCs w:val="28"/>
        </w:rPr>
        <w:t xml:space="preserve">1º. </w:t>
      </w:r>
      <w:r w:rsidR="00D20916">
        <w:rPr>
          <w:rFonts w:ascii="Arial Narrow" w:hAnsi="Arial Narrow" w:cs="Arial"/>
          <w:b/>
          <w:color w:val="000000"/>
          <w:spacing w:val="-2"/>
          <w:sz w:val="28"/>
          <w:szCs w:val="28"/>
        </w:rPr>
        <w:t xml:space="preserve">Tutelar </w:t>
      </w:r>
      <w:r w:rsidR="00D20916">
        <w:rPr>
          <w:rFonts w:ascii="Arial Narrow" w:hAnsi="Arial Narrow" w:cs="Arial"/>
          <w:color w:val="000000"/>
          <w:spacing w:val="-2"/>
          <w:sz w:val="28"/>
          <w:szCs w:val="28"/>
        </w:rPr>
        <w:t>el derecho fundamental al debido proceso de la señora Lucila Giraldo Ramírez</w:t>
      </w:r>
      <w:r w:rsidR="000965F5">
        <w:rPr>
          <w:rFonts w:ascii="Arial Narrow" w:hAnsi="Arial Narrow" w:cs="Arial"/>
          <w:color w:val="000000"/>
          <w:spacing w:val="-2"/>
          <w:sz w:val="28"/>
          <w:szCs w:val="28"/>
        </w:rPr>
        <w:t>, el cual viene siendo vulnerado por el Ministerio de Salud y Protección Social y por la Fiduagraria S.A. en su condición de vocero del PARISS.</w:t>
      </w:r>
    </w:p>
    <w:p w:rsidR="000965F5" w:rsidRDefault="000965F5" w:rsidP="002F2145">
      <w:pPr>
        <w:pStyle w:val="Textebrut"/>
        <w:spacing w:line="360" w:lineRule="auto"/>
        <w:ind w:firstLine="900"/>
        <w:jc w:val="both"/>
        <w:rPr>
          <w:rFonts w:ascii="Arial Narrow" w:hAnsi="Arial Narrow" w:cs="Arial"/>
          <w:color w:val="000000"/>
          <w:spacing w:val="-2"/>
          <w:sz w:val="28"/>
          <w:szCs w:val="28"/>
        </w:rPr>
      </w:pPr>
    </w:p>
    <w:p w:rsidR="00933EAA" w:rsidRDefault="000965F5" w:rsidP="002F2145">
      <w:pPr>
        <w:pStyle w:val="Textebrut"/>
        <w:spacing w:line="360" w:lineRule="auto"/>
        <w:ind w:firstLine="900"/>
        <w:jc w:val="both"/>
        <w:rPr>
          <w:rFonts w:ascii="Arial Narrow" w:hAnsi="Arial Narrow" w:cs="Arial"/>
          <w:iCs/>
          <w:sz w:val="28"/>
          <w:szCs w:val="28"/>
        </w:rPr>
      </w:pPr>
      <w:r>
        <w:rPr>
          <w:rFonts w:ascii="Arial Narrow" w:hAnsi="Arial Narrow" w:cs="Arial"/>
          <w:color w:val="000000"/>
          <w:spacing w:val="-2"/>
          <w:sz w:val="28"/>
          <w:szCs w:val="28"/>
        </w:rPr>
        <w:t>Como consecuencia de lo anterior, se ordena al aludido Ministerio por intermedio de Carlos Arturo Gómez Agudelo Coordinador</w:t>
      </w:r>
      <w:r w:rsidR="009E77AE">
        <w:rPr>
          <w:rFonts w:ascii="Arial Narrow" w:hAnsi="Arial Narrow" w:cs="Arial"/>
          <w:color w:val="000000"/>
          <w:spacing w:val="-2"/>
          <w:sz w:val="28"/>
          <w:szCs w:val="28"/>
        </w:rPr>
        <w:t xml:space="preserve"> Grupo de Administración de Entidades Liquidadas y </w:t>
      </w:r>
      <w:r w:rsidR="008A6353">
        <w:rPr>
          <w:rFonts w:ascii="Arial Narrow" w:hAnsi="Arial Narrow" w:cs="Arial"/>
          <w:color w:val="000000"/>
          <w:spacing w:val="-2"/>
          <w:sz w:val="28"/>
          <w:szCs w:val="28"/>
        </w:rPr>
        <w:t xml:space="preserve">a Gabriel Antonio Mantilla </w:t>
      </w:r>
      <w:r w:rsidR="008B4395">
        <w:rPr>
          <w:rFonts w:ascii="Arial Narrow" w:hAnsi="Arial Narrow" w:cs="Arial"/>
          <w:color w:val="000000"/>
          <w:spacing w:val="-2"/>
          <w:sz w:val="28"/>
          <w:szCs w:val="28"/>
        </w:rPr>
        <w:t>Díaz</w:t>
      </w:r>
      <w:r w:rsidR="008A6353">
        <w:rPr>
          <w:rFonts w:ascii="Arial Narrow" w:hAnsi="Arial Narrow" w:cs="Arial"/>
          <w:color w:val="000000"/>
          <w:spacing w:val="-2"/>
          <w:sz w:val="28"/>
          <w:szCs w:val="28"/>
        </w:rPr>
        <w:t>, en su calidad de representante</w:t>
      </w:r>
      <w:r w:rsidR="008B4395">
        <w:rPr>
          <w:rFonts w:ascii="Arial Narrow" w:hAnsi="Arial Narrow" w:cs="Arial"/>
          <w:color w:val="000000"/>
          <w:spacing w:val="-2"/>
          <w:sz w:val="28"/>
          <w:szCs w:val="28"/>
        </w:rPr>
        <w:t xml:space="preserve"> legal de Fiduagraria S.A. vocera del Patrimonio Autónomo de Remanentes del ISS PARISS, que de manera inmediata alleguen al Juzgado Primero Laboral del Circuito de Pereira</w:t>
      </w:r>
      <w:r w:rsidR="002A4D49">
        <w:rPr>
          <w:rFonts w:ascii="Arial Narrow" w:hAnsi="Arial Narrow" w:cs="Arial"/>
          <w:color w:val="000000"/>
          <w:spacing w:val="-2"/>
          <w:sz w:val="28"/>
          <w:szCs w:val="28"/>
        </w:rPr>
        <w:t xml:space="preserve"> la certificación donde conste </w:t>
      </w:r>
      <w:r w:rsidR="002A4D49">
        <w:rPr>
          <w:rFonts w:ascii="Arial Narrow" w:hAnsi="Arial Narrow" w:cs="Arial"/>
          <w:iCs/>
          <w:sz w:val="28"/>
          <w:szCs w:val="28"/>
        </w:rPr>
        <w:t>los salarios y prestaciones sociales devengados por un profesional Asistencial de Apoyo I entre los 2009 y 2014</w:t>
      </w:r>
      <w:r w:rsidR="00933EAA">
        <w:rPr>
          <w:rFonts w:ascii="Arial Narrow" w:hAnsi="Arial Narrow" w:cs="Arial"/>
          <w:iCs/>
          <w:sz w:val="28"/>
          <w:szCs w:val="28"/>
        </w:rPr>
        <w:t xml:space="preserve"> en el ISS.</w:t>
      </w:r>
    </w:p>
    <w:p w:rsidR="00BD3863" w:rsidRPr="00BD3863" w:rsidRDefault="00BD3863" w:rsidP="002F2145">
      <w:pPr>
        <w:ind w:firstLine="900"/>
        <w:jc w:val="both"/>
        <w:rPr>
          <w:rFonts w:ascii="Arial Narrow" w:hAnsi="Arial Narrow" w:cs="Arial"/>
          <w:b/>
          <w:sz w:val="28"/>
          <w:szCs w:val="28"/>
        </w:rPr>
      </w:pPr>
    </w:p>
    <w:p w:rsidR="00933EAA" w:rsidRPr="00933EAA" w:rsidRDefault="006F7F7F" w:rsidP="00933EAA">
      <w:pPr>
        <w:spacing w:line="360" w:lineRule="auto"/>
        <w:ind w:firstLine="993"/>
        <w:jc w:val="both"/>
        <w:rPr>
          <w:rFonts w:ascii="Arial Narrow" w:hAnsi="Arial Narrow" w:cs="Arial"/>
          <w:sz w:val="28"/>
          <w:szCs w:val="28"/>
        </w:rPr>
      </w:pPr>
      <w:r>
        <w:rPr>
          <w:rFonts w:ascii="Arial Narrow" w:hAnsi="Arial Narrow" w:cs="Arial"/>
          <w:b/>
          <w:sz w:val="28"/>
          <w:szCs w:val="28"/>
        </w:rPr>
        <w:t>2</w:t>
      </w:r>
      <w:r w:rsidR="002F2145" w:rsidRPr="00AF7EA4">
        <w:rPr>
          <w:rFonts w:ascii="Arial Narrow" w:hAnsi="Arial Narrow" w:cs="Arial"/>
          <w:b/>
          <w:sz w:val="28"/>
          <w:szCs w:val="28"/>
        </w:rPr>
        <w:t xml:space="preserve">º. </w:t>
      </w:r>
      <w:r w:rsidR="00933EAA">
        <w:rPr>
          <w:rFonts w:ascii="Arial Narrow" w:hAnsi="Arial Narrow" w:cs="Arial"/>
          <w:b/>
          <w:sz w:val="28"/>
          <w:szCs w:val="28"/>
        </w:rPr>
        <w:t xml:space="preserve"> Advertir </w:t>
      </w:r>
      <w:r w:rsidR="00933EAA">
        <w:rPr>
          <w:rFonts w:ascii="Arial Narrow" w:hAnsi="Arial Narrow" w:cs="Arial"/>
          <w:sz w:val="28"/>
          <w:szCs w:val="28"/>
        </w:rPr>
        <w:t xml:space="preserve">a la titular del Juzgado Primero Laboral del Circuito de Pereira, Risaralda que en caso de persistir el incumplimiento por parte de las entidades demandadas en el trámite del proceso ordinario que adelanta la accionante, haga uso de </w:t>
      </w:r>
      <w:r w:rsidR="00933EAA">
        <w:rPr>
          <w:rFonts w:ascii="Arial Narrow" w:hAnsi="Arial Narrow" w:cs="Arial"/>
          <w:iCs/>
          <w:sz w:val="28"/>
          <w:szCs w:val="28"/>
        </w:rPr>
        <w:t xml:space="preserve">los poderes de ordenación conferidos por el legislador, en el canon 48 del CPLSS y en los artículos 42 y ss. </w:t>
      </w:r>
      <w:proofErr w:type="gramStart"/>
      <w:r w:rsidR="00933EAA">
        <w:rPr>
          <w:rFonts w:ascii="Arial Narrow" w:hAnsi="Arial Narrow" w:cs="Arial"/>
          <w:iCs/>
          <w:sz w:val="28"/>
          <w:szCs w:val="28"/>
        </w:rPr>
        <w:t>del</w:t>
      </w:r>
      <w:proofErr w:type="gramEnd"/>
      <w:r w:rsidR="00933EAA">
        <w:rPr>
          <w:rFonts w:ascii="Arial Narrow" w:hAnsi="Arial Narrow" w:cs="Arial"/>
          <w:iCs/>
          <w:sz w:val="28"/>
          <w:szCs w:val="28"/>
        </w:rPr>
        <w:t xml:space="preserve"> CGP, a los cuales deberá acudir para garantizar la agilidad y rapidez en el trámite procesal.</w:t>
      </w:r>
    </w:p>
    <w:p w:rsidR="00933EAA" w:rsidRDefault="00933EAA" w:rsidP="002F2145">
      <w:pPr>
        <w:spacing w:line="360" w:lineRule="auto"/>
        <w:ind w:firstLine="900"/>
        <w:jc w:val="both"/>
        <w:rPr>
          <w:rFonts w:ascii="Arial Narrow" w:hAnsi="Arial Narrow" w:cs="Arial"/>
          <w:b/>
          <w:sz w:val="28"/>
          <w:szCs w:val="28"/>
        </w:rPr>
      </w:pPr>
    </w:p>
    <w:p w:rsidR="002F2145" w:rsidRPr="00AF7EA4" w:rsidRDefault="00933EAA" w:rsidP="002F2145">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 xml:space="preserve">3º.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ebrut"/>
        <w:ind w:firstLine="900"/>
        <w:jc w:val="both"/>
        <w:rPr>
          <w:rFonts w:ascii="Arial Narrow" w:eastAsia="SimSun" w:hAnsi="Arial Narrow" w:cs="Arial"/>
          <w:b/>
          <w:i/>
          <w:sz w:val="28"/>
          <w:szCs w:val="28"/>
          <w:lang w:val="es-ES_tradnl"/>
        </w:rPr>
      </w:pPr>
    </w:p>
    <w:p w:rsidR="002F2145" w:rsidRPr="00AF7EA4" w:rsidRDefault="00933EAA" w:rsidP="002F2145">
      <w:pPr>
        <w:pStyle w:val="Textebrut"/>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4</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Default="002F2145" w:rsidP="002F2145">
      <w:pPr>
        <w:tabs>
          <w:tab w:val="left" w:pos="-720"/>
        </w:tabs>
        <w:suppressAutoHyphens/>
        <w:ind w:right="-7"/>
        <w:jc w:val="both"/>
        <w:rPr>
          <w:rFonts w:ascii="Arial Narrow" w:hAnsi="Arial Narrow" w:cs="Tahoma"/>
          <w:color w:val="000000"/>
          <w:spacing w:val="-2"/>
          <w:sz w:val="28"/>
          <w:szCs w:val="28"/>
        </w:rPr>
      </w:pPr>
    </w:p>
    <w:p w:rsidR="006F7F7F" w:rsidRDefault="006F7F7F" w:rsidP="002F2145">
      <w:pPr>
        <w:tabs>
          <w:tab w:val="left" w:pos="-720"/>
        </w:tabs>
        <w:suppressAutoHyphens/>
        <w:ind w:right="-7"/>
        <w:jc w:val="both"/>
        <w:rPr>
          <w:rFonts w:ascii="Arial Narrow" w:hAnsi="Arial Narrow" w:cs="Tahoma"/>
          <w:color w:val="000000"/>
          <w:spacing w:val="-2"/>
          <w:sz w:val="28"/>
          <w:szCs w:val="28"/>
        </w:rPr>
      </w:pPr>
    </w:p>
    <w:p w:rsidR="006F7F7F" w:rsidRPr="00AF7EA4" w:rsidRDefault="006F7F7F"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spacing w:line="360" w:lineRule="auto"/>
        <w:jc w:val="center"/>
        <w:rPr>
          <w:rFonts w:ascii="Arial Narrow" w:hAnsi="Arial Narrow" w:cs="Tahoma"/>
          <w:b/>
          <w:bCs/>
          <w:i/>
          <w:iCs/>
          <w:sz w:val="28"/>
          <w:szCs w:val="28"/>
        </w:rPr>
      </w:pP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933EAA"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SEPULVEDA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933EAA">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933EA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26" w:rsidRDefault="00E94126" w:rsidP="002F2145">
      <w:r>
        <w:separator/>
      </w:r>
    </w:p>
  </w:endnote>
  <w:endnote w:type="continuationSeparator" w:id="0">
    <w:p w:rsidR="00E94126" w:rsidRDefault="00E94126"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E94126"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E94126"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730085">
      <w:rPr>
        <w:noProof/>
      </w:rPr>
      <w:t>1</w:t>
    </w:r>
    <w:r>
      <w:fldChar w:fldCharType="end"/>
    </w:r>
  </w:p>
  <w:p w:rsidR="00CD2D16" w:rsidRDefault="00E941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26" w:rsidRDefault="00E94126" w:rsidP="002F2145">
      <w:r>
        <w:separator/>
      </w:r>
    </w:p>
  </w:footnote>
  <w:footnote w:type="continuationSeparator" w:id="0">
    <w:p w:rsidR="00E94126" w:rsidRDefault="00E94126" w:rsidP="002F2145">
      <w:r>
        <w:continuationSeparator/>
      </w:r>
    </w:p>
  </w:footnote>
  <w:footnote w:id="1">
    <w:p w:rsidR="00CB275F" w:rsidRDefault="00CB275F">
      <w:pPr>
        <w:pStyle w:val="Notedebasdepage"/>
      </w:pPr>
      <w:r>
        <w:rPr>
          <w:rStyle w:val="Appelnotedebasdep"/>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E9412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90" w:rsidRPr="002F2145" w:rsidRDefault="00BE7C90" w:rsidP="00BE7C9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044</w:t>
    </w:r>
    <w:r w:rsidRPr="002F2145">
      <w:rPr>
        <w:rFonts w:ascii="Arial Narrow" w:hAnsi="Arial Narrow" w:cs="Arial"/>
        <w:bCs/>
        <w:iCs/>
        <w:lang w:eastAsia="es-MX"/>
      </w:rPr>
      <w:t>-00</w:t>
    </w:r>
    <w:r w:rsidRPr="002F2145">
      <w:rPr>
        <w:rFonts w:ascii="Arial Narrow" w:hAnsi="Arial Narrow" w:cs="Arial"/>
        <w:bCs/>
        <w:iCs/>
        <w:lang w:eastAsia="es-MX"/>
      </w:rPr>
      <w:tab/>
    </w:r>
  </w:p>
  <w:p w:rsidR="00BE7C90" w:rsidRPr="002F2145" w:rsidRDefault="00BE7C90" w:rsidP="00BE7C90">
    <w:pPr>
      <w:rPr>
        <w:rFonts w:ascii="Arial Narrow" w:hAnsi="Arial Narrow"/>
      </w:rPr>
    </w:pPr>
    <w:r>
      <w:rPr>
        <w:rFonts w:ascii="Arial Narrow" w:hAnsi="Arial Narrow"/>
      </w:rPr>
      <w:t>Lucila Giraldo Ramírez vs. Ministerio de Salud y otros</w:t>
    </w:r>
  </w:p>
  <w:p w:rsidR="005A239E" w:rsidRPr="00BE7C90" w:rsidRDefault="005A239E" w:rsidP="00BE7C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BE7C90">
      <w:rPr>
        <w:rFonts w:ascii="Arial Narrow" w:hAnsi="Arial Narrow" w:cs="Arial"/>
        <w:bCs/>
        <w:iCs/>
        <w:lang w:eastAsia="es-MX"/>
      </w:rPr>
      <w:t>7</w:t>
    </w:r>
    <w:r w:rsidRPr="002F2145">
      <w:rPr>
        <w:rFonts w:ascii="Arial Narrow" w:hAnsi="Arial Narrow" w:cs="Arial"/>
        <w:bCs/>
        <w:iCs/>
        <w:lang w:eastAsia="es-MX"/>
      </w:rPr>
      <w:t>-00</w:t>
    </w:r>
    <w:r w:rsidR="00BE7C90">
      <w:rPr>
        <w:rFonts w:ascii="Arial Narrow" w:hAnsi="Arial Narrow" w:cs="Arial"/>
        <w:bCs/>
        <w:iCs/>
        <w:lang w:eastAsia="es-MX"/>
      </w:rPr>
      <w:t>044</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BE7C90" w:rsidP="008F2146">
    <w:pPr>
      <w:rPr>
        <w:rFonts w:ascii="Arial Narrow" w:hAnsi="Arial Narrow"/>
      </w:rPr>
    </w:pPr>
    <w:r>
      <w:rPr>
        <w:rFonts w:ascii="Arial Narrow" w:hAnsi="Arial Narrow"/>
      </w:rPr>
      <w:t>Lucila Giraldo Ramírez</w:t>
    </w:r>
    <w:r w:rsidR="00D90480">
      <w:rPr>
        <w:rFonts w:ascii="Arial Narrow" w:hAnsi="Arial Narrow"/>
      </w:rPr>
      <w:t xml:space="preserve"> vs. </w:t>
    </w:r>
    <w:r>
      <w:rPr>
        <w:rFonts w:ascii="Arial Narrow" w:hAnsi="Arial Narrow"/>
      </w:rPr>
      <w:t>Ministerio de Salud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053EA"/>
    <w:rsid w:val="00024C17"/>
    <w:rsid w:val="0004677C"/>
    <w:rsid w:val="00076475"/>
    <w:rsid w:val="00082A90"/>
    <w:rsid w:val="000965F5"/>
    <w:rsid w:val="000A361C"/>
    <w:rsid w:val="000E5245"/>
    <w:rsid w:val="00104370"/>
    <w:rsid w:val="00125594"/>
    <w:rsid w:val="00140F9F"/>
    <w:rsid w:val="001549EF"/>
    <w:rsid w:val="00157112"/>
    <w:rsid w:val="00197403"/>
    <w:rsid w:val="001B5C33"/>
    <w:rsid w:val="001C5609"/>
    <w:rsid w:val="001D29BC"/>
    <w:rsid w:val="001F6FDB"/>
    <w:rsid w:val="00235548"/>
    <w:rsid w:val="00242C4F"/>
    <w:rsid w:val="002478A7"/>
    <w:rsid w:val="00280F2D"/>
    <w:rsid w:val="00294CBB"/>
    <w:rsid w:val="002A4D49"/>
    <w:rsid w:val="002C21E8"/>
    <w:rsid w:val="002F2145"/>
    <w:rsid w:val="00313B59"/>
    <w:rsid w:val="00347294"/>
    <w:rsid w:val="003664A9"/>
    <w:rsid w:val="00367810"/>
    <w:rsid w:val="003A3B71"/>
    <w:rsid w:val="003C20DC"/>
    <w:rsid w:val="00406F9F"/>
    <w:rsid w:val="00410B0D"/>
    <w:rsid w:val="00417BAC"/>
    <w:rsid w:val="004754E6"/>
    <w:rsid w:val="004D1DB7"/>
    <w:rsid w:val="005134F8"/>
    <w:rsid w:val="00526B00"/>
    <w:rsid w:val="005412FC"/>
    <w:rsid w:val="00541624"/>
    <w:rsid w:val="00551E6C"/>
    <w:rsid w:val="005524CA"/>
    <w:rsid w:val="0057197A"/>
    <w:rsid w:val="005A1814"/>
    <w:rsid w:val="005A1D49"/>
    <w:rsid w:val="005A239E"/>
    <w:rsid w:val="005C7E20"/>
    <w:rsid w:val="005F077C"/>
    <w:rsid w:val="00624956"/>
    <w:rsid w:val="006B302F"/>
    <w:rsid w:val="006B710E"/>
    <w:rsid w:val="006E751F"/>
    <w:rsid w:val="006F16BD"/>
    <w:rsid w:val="006F7F7F"/>
    <w:rsid w:val="00704096"/>
    <w:rsid w:val="00730085"/>
    <w:rsid w:val="00730342"/>
    <w:rsid w:val="00764677"/>
    <w:rsid w:val="007A49F2"/>
    <w:rsid w:val="007B6605"/>
    <w:rsid w:val="007B78A9"/>
    <w:rsid w:val="007C2EC0"/>
    <w:rsid w:val="007D75C6"/>
    <w:rsid w:val="007F1ABB"/>
    <w:rsid w:val="0080712A"/>
    <w:rsid w:val="00873073"/>
    <w:rsid w:val="008A1578"/>
    <w:rsid w:val="008A15E9"/>
    <w:rsid w:val="008A6353"/>
    <w:rsid w:val="008B4395"/>
    <w:rsid w:val="008C054C"/>
    <w:rsid w:val="008D0272"/>
    <w:rsid w:val="009214FE"/>
    <w:rsid w:val="00933EAA"/>
    <w:rsid w:val="00957CA1"/>
    <w:rsid w:val="00974EF6"/>
    <w:rsid w:val="009770FD"/>
    <w:rsid w:val="009B35F9"/>
    <w:rsid w:val="009B3FE8"/>
    <w:rsid w:val="009D6694"/>
    <w:rsid w:val="009E77AE"/>
    <w:rsid w:val="00A25DA1"/>
    <w:rsid w:val="00A4366E"/>
    <w:rsid w:val="00A769E3"/>
    <w:rsid w:val="00AA796E"/>
    <w:rsid w:val="00AA7B37"/>
    <w:rsid w:val="00AE5DFC"/>
    <w:rsid w:val="00AF0395"/>
    <w:rsid w:val="00AF1622"/>
    <w:rsid w:val="00AF3F2F"/>
    <w:rsid w:val="00B06F27"/>
    <w:rsid w:val="00B22D93"/>
    <w:rsid w:val="00B61E0A"/>
    <w:rsid w:val="00B81A1A"/>
    <w:rsid w:val="00B82F9B"/>
    <w:rsid w:val="00BA3F3D"/>
    <w:rsid w:val="00BB3E72"/>
    <w:rsid w:val="00BC3BAA"/>
    <w:rsid w:val="00BD3863"/>
    <w:rsid w:val="00BE7C90"/>
    <w:rsid w:val="00C06B82"/>
    <w:rsid w:val="00C075FF"/>
    <w:rsid w:val="00C27958"/>
    <w:rsid w:val="00C500C8"/>
    <w:rsid w:val="00C5039D"/>
    <w:rsid w:val="00C65529"/>
    <w:rsid w:val="00C771A1"/>
    <w:rsid w:val="00C85333"/>
    <w:rsid w:val="00C914FB"/>
    <w:rsid w:val="00CA6BDD"/>
    <w:rsid w:val="00CB275F"/>
    <w:rsid w:val="00CC4164"/>
    <w:rsid w:val="00CD4302"/>
    <w:rsid w:val="00CD4A03"/>
    <w:rsid w:val="00CF52F4"/>
    <w:rsid w:val="00CF5E21"/>
    <w:rsid w:val="00D02C07"/>
    <w:rsid w:val="00D06FCC"/>
    <w:rsid w:val="00D20916"/>
    <w:rsid w:val="00D557E5"/>
    <w:rsid w:val="00D66406"/>
    <w:rsid w:val="00D90480"/>
    <w:rsid w:val="00DB6078"/>
    <w:rsid w:val="00E04692"/>
    <w:rsid w:val="00E20C51"/>
    <w:rsid w:val="00E753AC"/>
    <w:rsid w:val="00E84590"/>
    <w:rsid w:val="00E8646B"/>
    <w:rsid w:val="00E94126"/>
    <w:rsid w:val="00E948DF"/>
    <w:rsid w:val="00EB4CF3"/>
    <w:rsid w:val="00EB5E62"/>
    <w:rsid w:val="00EF1D3B"/>
    <w:rsid w:val="00F01DB4"/>
    <w:rsid w:val="00F30CB2"/>
    <w:rsid w:val="00F32B04"/>
    <w:rsid w:val="00F54646"/>
    <w:rsid w:val="00F57658"/>
    <w:rsid w:val="00F90DC3"/>
    <w:rsid w:val="00FA52EE"/>
    <w:rsid w:val="00FD7FDE"/>
    <w:rsid w:val="00FE1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AAF4-FBE2-496B-B18A-95BFAA5C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1536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20</cp:revision>
  <cp:lastPrinted>2017-03-30T18:43:00Z</cp:lastPrinted>
  <dcterms:created xsi:type="dcterms:W3CDTF">2017-03-30T12:05:00Z</dcterms:created>
  <dcterms:modified xsi:type="dcterms:W3CDTF">2017-05-15T00:18:00Z</dcterms:modified>
</cp:coreProperties>
</file>