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9F" w:rsidRDefault="00843F9F" w:rsidP="00843F9F">
      <w:pPr>
        <w:pBdr>
          <w:top w:val="single" w:sz="4" w:space="1" w:color="auto"/>
          <w:left w:val="single" w:sz="4" w:space="4" w:color="auto"/>
          <w:bottom w:val="single" w:sz="4" w:space="1" w:color="auto"/>
          <w:right w:val="single" w:sz="4" w:space="4" w:color="auto"/>
        </w:pBdr>
        <w:shd w:val="clear" w:color="auto" w:fill="FFFFFF"/>
        <w:rPr>
          <w:rFonts w:ascii="Calibri" w:eastAsia="Calibri" w:hAnsi="Calibri" w:cs="Calibri"/>
          <w:color w:val="222222"/>
          <w:sz w:val="18"/>
          <w:szCs w:val="18"/>
          <w:lang w:val="es-CO" w:eastAsia="fr-FR"/>
        </w:rPr>
      </w:pPr>
      <w:bookmarkStart w:id="0" w:name="_GoBack"/>
      <w:bookmarkEnd w:id="0"/>
      <w:r w:rsidRPr="00346DF6">
        <w:rPr>
          <w:rFonts w:ascii="Calibri" w:eastAsiaTheme="minorHAnsi" w:hAnsi="Calibri" w:cs="Calibri"/>
          <w:color w:val="FF0000"/>
          <w:sz w:val="16"/>
          <w:szCs w:val="16"/>
          <w:lang w:val="es-CO" w:eastAsia="fr-FR"/>
        </w:rPr>
        <w:t xml:space="preserve">El siguiente es el documento presentado por el Magistrado Ponente que sirvió de base para proferir la providencia dentro del presente </w:t>
      </w:r>
    </w:p>
    <w:p w:rsidR="00843F9F" w:rsidRPr="00346DF6" w:rsidRDefault="00843F9F" w:rsidP="00843F9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 w:val="24"/>
          <w:szCs w:val="22"/>
          <w:lang w:val="es-CO" w:eastAsia="fr-FR"/>
        </w:rPr>
      </w:pPr>
      <w:proofErr w:type="gramStart"/>
      <w:r w:rsidRPr="00346DF6">
        <w:rPr>
          <w:rFonts w:ascii="Calibri" w:eastAsiaTheme="minorHAnsi" w:hAnsi="Calibri" w:cs="Calibri"/>
          <w:color w:val="FF0000"/>
          <w:sz w:val="16"/>
          <w:szCs w:val="16"/>
          <w:lang w:val="es-CO" w:eastAsia="fr-FR"/>
        </w:rPr>
        <w:t>proceso</w:t>
      </w:r>
      <w:proofErr w:type="gramEnd"/>
      <w:r w:rsidRPr="00346DF6">
        <w:rPr>
          <w:rFonts w:ascii="Calibri" w:eastAsiaTheme="minorHAnsi" w:hAnsi="Calibri" w:cs="Calibri"/>
          <w:color w:val="FF0000"/>
          <w:sz w:val="16"/>
          <w:szCs w:val="16"/>
          <w:lang w:val="es-CO" w:eastAsia="fr-FR"/>
        </w:rPr>
        <w:t>.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843F9F" w:rsidRDefault="00843F9F" w:rsidP="00EF2DB9">
      <w:pPr>
        <w:tabs>
          <w:tab w:val="center" w:pos="4419"/>
          <w:tab w:val="right" w:pos="8838"/>
        </w:tabs>
        <w:spacing w:line="360" w:lineRule="auto"/>
        <w:ind w:right="-7"/>
        <w:jc w:val="center"/>
        <w:rPr>
          <w:rFonts w:ascii="Arial Narrow" w:hAnsi="Arial Narrow"/>
          <w:b/>
          <w:i/>
          <w:sz w:val="28"/>
          <w:szCs w:val="28"/>
          <w:lang w:val="es-CO"/>
        </w:rPr>
      </w:pP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rPr>
      </w:pPr>
      <w:r w:rsidRPr="00706D8C">
        <w:rPr>
          <w:rFonts w:ascii="Arial Narrow" w:hAnsi="Arial Narrow"/>
          <w:b/>
          <w:i/>
          <w:sz w:val="28"/>
          <w:szCs w:val="28"/>
        </w:rPr>
        <w:t>TRIBUNAL SUPERIOR DEL DISTRITO</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rPr>
      </w:pPr>
      <w:r w:rsidRPr="00706D8C">
        <w:rPr>
          <w:rFonts w:ascii="Arial Narrow" w:hAnsi="Arial Narrow"/>
          <w:b/>
          <w:i/>
          <w:noProof/>
          <w:spacing w:val="-3"/>
          <w:sz w:val="28"/>
          <w:szCs w:val="28"/>
          <w:lang w:val="fr-FR" w:eastAsia="fr-FR"/>
        </w:rPr>
        <w:drawing>
          <wp:inline distT="0" distB="0" distL="0" distR="0">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rPr>
      </w:pPr>
      <w:r w:rsidRPr="00706D8C">
        <w:rPr>
          <w:rFonts w:ascii="Arial Narrow" w:hAnsi="Arial Narrow"/>
          <w:b/>
          <w:i/>
          <w:sz w:val="28"/>
          <w:szCs w:val="28"/>
        </w:rPr>
        <w:t>PEREIRA RISARALDA</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rPr>
      </w:pPr>
      <w:r w:rsidRPr="00706D8C">
        <w:rPr>
          <w:rFonts w:ascii="Arial Narrow" w:hAnsi="Arial Narrow" w:cs="Tahoma"/>
          <w:b/>
          <w:i/>
          <w:sz w:val="28"/>
          <w:szCs w:val="28"/>
          <w:lang w:val="es-CO"/>
        </w:rPr>
        <w:t>MAGISTRADO PONENTE: FRANCISCO JAVIER TAMAYO TABARES</w:t>
      </w:r>
    </w:p>
    <w:p w:rsidR="00EF2DB9" w:rsidRPr="00706D8C" w:rsidRDefault="00EF2DB9" w:rsidP="00EF2DB9">
      <w:pPr>
        <w:tabs>
          <w:tab w:val="center" w:pos="4419"/>
          <w:tab w:val="right" w:pos="8838"/>
        </w:tabs>
        <w:ind w:right="-7"/>
        <w:rPr>
          <w:rFonts w:ascii="Arial Narrow" w:hAnsi="Arial Narrow" w:cs="Tahoma"/>
          <w:i/>
          <w:sz w:val="28"/>
          <w:szCs w:val="28"/>
        </w:rPr>
      </w:pPr>
    </w:p>
    <w:p w:rsidR="00843F9F" w:rsidRPr="00706D8C" w:rsidRDefault="00843F9F" w:rsidP="00843F9F">
      <w:pPr>
        <w:jc w:val="both"/>
        <w:rPr>
          <w:rFonts w:ascii="Arial Narrow" w:hAnsi="Arial Narrow" w:cs="Tahoma"/>
          <w:bCs/>
          <w:i/>
          <w:sz w:val="18"/>
          <w:szCs w:val="18"/>
          <w:lang w:val="es-CO"/>
        </w:rPr>
      </w:pPr>
      <w:r w:rsidRPr="00D37B15">
        <w:rPr>
          <w:rFonts w:ascii="Arial Narrow" w:hAnsi="Arial Narrow" w:cs="Tahoma"/>
          <w:i/>
          <w:sz w:val="18"/>
          <w:szCs w:val="18"/>
          <w:lang w:val="es-CO"/>
        </w:rPr>
        <w:t>Providencia</w:t>
      </w:r>
      <w:r>
        <w:rPr>
          <w:rFonts w:ascii="Arial Narrow" w:hAnsi="Arial Narrow" w:cs="Tahoma"/>
          <w:i/>
          <w:sz w:val="18"/>
          <w:szCs w:val="18"/>
          <w:lang w:val="es-CO"/>
        </w:rPr>
        <w:tab/>
      </w:r>
      <w:r>
        <w:rPr>
          <w:rFonts w:ascii="Arial Narrow" w:hAnsi="Arial Narrow" w:cs="Tahoma"/>
          <w:i/>
          <w:sz w:val="18"/>
          <w:szCs w:val="18"/>
          <w:lang w:val="es-CO"/>
        </w:rPr>
        <w:tab/>
        <w:t>:</w:t>
      </w:r>
      <w:r>
        <w:rPr>
          <w:rFonts w:ascii="Arial Narrow" w:hAnsi="Arial Narrow" w:cs="Tahoma"/>
          <w:i/>
          <w:sz w:val="18"/>
          <w:szCs w:val="18"/>
          <w:lang w:val="es-CO"/>
        </w:rPr>
        <w:tab/>
      </w:r>
      <w:r w:rsidRPr="00D37B15">
        <w:rPr>
          <w:rFonts w:ascii="Arial Narrow" w:hAnsi="Arial Narrow" w:cs="Tahoma"/>
          <w:bCs/>
          <w:i/>
          <w:sz w:val="18"/>
          <w:szCs w:val="18"/>
          <w:lang w:val="es-CO"/>
        </w:rPr>
        <w:t>S</w:t>
      </w:r>
      <w:r>
        <w:rPr>
          <w:rFonts w:ascii="Arial Narrow" w:hAnsi="Arial Narrow" w:cs="Tahoma"/>
          <w:bCs/>
          <w:i/>
          <w:sz w:val="18"/>
          <w:szCs w:val="18"/>
          <w:lang w:val="es-CO"/>
        </w:rPr>
        <w:t>entencia – 2ª instancia – 28 de marzo de 2017</w:t>
      </w:r>
    </w:p>
    <w:p w:rsidR="00843F9F" w:rsidRPr="00D37B15" w:rsidRDefault="00843F9F" w:rsidP="00843F9F">
      <w:pPr>
        <w:jc w:val="both"/>
        <w:rPr>
          <w:rFonts w:ascii="Arial Narrow" w:hAnsi="Arial Narrow" w:cs="Tahoma"/>
          <w:i/>
          <w:sz w:val="18"/>
          <w:szCs w:val="18"/>
          <w:lang w:val="es-CO"/>
        </w:rPr>
      </w:pPr>
      <w:r>
        <w:rPr>
          <w:rFonts w:ascii="Arial Narrow" w:hAnsi="Arial Narrow" w:cs="Tahoma"/>
          <w:i/>
          <w:sz w:val="18"/>
          <w:szCs w:val="18"/>
          <w:lang w:val="es-CO"/>
        </w:rPr>
        <w:t>Proceso</w:t>
      </w:r>
      <w:r>
        <w:rPr>
          <w:rFonts w:ascii="Arial Narrow" w:hAnsi="Arial Narrow" w:cs="Tahoma"/>
          <w:i/>
          <w:sz w:val="18"/>
          <w:szCs w:val="18"/>
          <w:lang w:val="es-CO"/>
        </w:rPr>
        <w:tab/>
      </w:r>
      <w:r>
        <w:rPr>
          <w:rFonts w:ascii="Arial Narrow" w:hAnsi="Arial Narrow" w:cs="Tahoma"/>
          <w:i/>
          <w:sz w:val="18"/>
          <w:szCs w:val="18"/>
          <w:lang w:val="es-CO"/>
        </w:rPr>
        <w:tab/>
      </w:r>
      <w:r>
        <w:rPr>
          <w:rFonts w:ascii="Arial Narrow" w:hAnsi="Arial Narrow" w:cs="Tahoma"/>
          <w:i/>
          <w:sz w:val="18"/>
          <w:szCs w:val="18"/>
          <w:lang w:val="es-CO"/>
        </w:rPr>
        <w:tab/>
        <w:t>:</w:t>
      </w:r>
      <w:r>
        <w:rPr>
          <w:rFonts w:ascii="Arial Narrow" w:hAnsi="Arial Narrow" w:cs="Tahoma"/>
          <w:i/>
          <w:sz w:val="18"/>
          <w:szCs w:val="18"/>
          <w:lang w:val="es-CO"/>
        </w:rPr>
        <w:tab/>
      </w:r>
      <w:r w:rsidRPr="00D37B15">
        <w:rPr>
          <w:rFonts w:ascii="Arial Narrow" w:hAnsi="Arial Narrow" w:cs="Tahoma"/>
          <w:i/>
          <w:sz w:val="18"/>
          <w:szCs w:val="18"/>
          <w:lang w:val="es-CO"/>
        </w:rPr>
        <w:t xml:space="preserve">Acción de Tutela </w:t>
      </w:r>
      <w:r>
        <w:rPr>
          <w:rFonts w:ascii="Arial Narrow" w:hAnsi="Arial Narrow" w:cs="Tahoma"/>
          <w:i/>
          <w:sz w:val="18"/>
          <w:szCs w:val="18"/>
          <w:lang w:val="es-CO"/>
        </w:rPr>
        <w:t>– Revoca decisión del a quo y declara improcedente la acción</w:t>
      </w:r>
    </w:p>
    <w:p w:rsidR="00EF2DB9" w:rsidRPr="00D37B15" w:rsidRDefault="00EF2DB9" w:rsidP="00843F9F">
      <w:pPr>
        <w:tabs>
          <w:tab w:val="center" w:pos="2127"/>
          <w:tab w:val="left" w:pos="2835"/>
          <w:tab w:val="right" w:pos="8838"/>
        </w:tabs>
        <w:ind w:right="-7"/>
        <w:rPr>
          <w:rFonts w:ascii="Arial Narrow" w:hAnsi="Arial Narrow"/>
          <w:bCs/>
          <w:i/>
          <w:sz w:val="18"/>
          <w:szCs w:val="18"/>
        </w:rPr>
      </w:pPr>
      <w:r w:rsidRPr="00D37B15">
        <w:rPr>
          <w:rFonts w:ascii="Arial Narrow" w:hAnsi="Arial Narrow" w:cs="Tahoma"/>
          <w:i/>
          <w:sz w:val="18"/>
          <w:szCs w:val="18"/>
        </w:rPr>
        <w:t xml:space="preserve">Radicación </w:t>
      </w:r>
      <w:proofErr w:type="spellStart"/>
      <w:r w:rsidRPr="00D37B15">
        <w:rPr>
          <w:rFonts w:ascii="Arial Narrow" w:hAnsi="Arial Narrow" w:cs="Tahoma"/>
          <w:i/>
          <w:sz w:val="18"/>
          <w:szCs w:val="18"/>
        </w:rPr>
        <w:t>Nro</w:t>
      </w:r>
      <w:proofErr w:type="spellEnd"/>
      <w:r w:rsidR="00843F9F">
        <w:rPr>
          <w:rFonts w:ascii="Arial Narrow" w:hAnsi="Arial Narrow" w:cs="Tahoma"/>
          <w:i/>
          <w:sz w:val="18"/>
          <w:szCs w:val="18"/>
        </w:rPr>
        <w:tab/>
        <w:t>:</w:t>
      </w:r>
      <w:r w:rsidRPr="00D37B15">
        <w:rPr>
          <w:rFonts w:ascii="Arial Narrow" w:hAnsi="Arial Narrow" w:cs="Tahoma"/>
          <w:b/>
          <w:i/>
          <w:sz w:val="18"/>
          <w:szCs w:val="18"/>
        </w:rPr>
        <w:t xml:space="preserve"> </w:t>
      </w:r>
      <w:r w:rsidR="00843F9F">
        <w:rPr>
          <w:rFonts w:ascii="Arial Narrow" w:hAnsi="Arial Narrow" w:cs="Tahoma"/>
          <w:b/>
          <w:i/>
          <w:sz w:val="18"/>
          <w:szCs w:val="18"/>
        </w:rPr>
        <w:tab/>
      </w:r>
      <w:r w:rsidRPr="00D37B15">
        <w:rPr>
          <w:rFonts w:ascii="Arial Narrow" w:hAnsi="Arial Narrow"/>
          <w:bCs/>
          <w:i/>
          <w:sz w:val="18"/>
          <w:szCs w:val="18"/>
        </w:rPr>
        <w:t>66</w:t>
      </w:r>
      <w:r w:rsidR="00282106">
        <w:rPr>
          <w:rFonts w:ascii="Arial Narrow" w:hAnsi="Arial Narrow"/>
          <w:bCs/>
          <w:i/>
          <w:sz w:val="18"/>
          <w:szCs w:val="18"/>
        </w:rPr>
        <w:t>001</w:t>
      </w:r>
      <w:r w:rsidRPr="00D37B15">
        <w:rPr>
          <w:rFonts w:ascii="Arial Narrow" w:hAnsi="Arial Narrow"/>
          <w:bCs/>
          <w:i/>
          <w:sz w:val="18"/>
          <w:szCs w:val="18"/>
        </w:rPr>
        <w:t>-31-</w:t>
      </w:r>
      <w:r>
        <w:rPr>
          <w:rFonts w:ascii="Arial Narrow" w:hAnsi="Arial Narrow"/>
          <w:bCs/>
          <w:i/>
          <w:sz w:val="18"/>
          <w:szCs w:val="18"/>
        </w:rPr>
        <w:t>05-00</w:t>
      </w:r>
      <w:r w:rsidR="00AF5CC9">
        <w:rPr>
          <w:rFonts w:ascii="Arial Narrow" w:hAnsi="Arial Narrow"/>
          <w:bCs/>
          <w:i/>
          <w:sz w:val="18"/>
          <w:szCs w:val="18"/>
        </w:rPr>
        <w:t>2</w:t>
      </w:r>
      <w:r w:rsidRPr="00D37B15">
        <w:rPr>
          <w:rFonts w:ascii="Arial Narrow" w:hAnsi="Arial Narrow"/>
          <w:bCs/>
          <w:i/>
          <w:sz w:val="18"/>
          <w:szCs w:val="18"/>
        </w:rPr>
        <w:t>-201</w:t>
      </w:r>
      <w:r w:rsidR="00B66A07">
        <w:rPr>
          <w:rFonts w:ascii="Arial Narrow" w:hAnsi="Arial Narrow"/>
          <w:bCs/>
          <w:i/>
          <w:sz w:val="18"/>
          <w:szCs w:val="18"/>
        </w:rPr>
        <w:t>7</w:t>
      </w:r>
      <w:r w:rsidRPr="00D37B15">
        <w:rPr>
          <w:rFonts w:ascii="Arial Narrow" w:hAnsi="Arial Narrow"/>
          <w:bCs/>
          <w:i/>
          <w:sz w:val="18"/>
          <w:szCs w:val="18"/>
        </w:rPr>
        <w:t>-00</w:t>
      </w:r>
      <w:r w:rsidR="00B66A07">
        <w:rPr>
          <w:rFonts w:ascii="Arial Narrow" w:hAnsi="Arial Narrow"/>
          <w:bCs/>
          <w:i/>
          <w:sz w:val="18"/>
          <w:szCs w:val="18"/>
        </w:rPr>
        <w:t>0</w:t>
      </w:r>
      <w:r w:rsidR="00AF5CC9">
        <w:rPr>
          <w:rFonts w:ascii="Arial Narrow" w:hAnsi="Arial Narrow"/>
          <w:bCs/>
          <w:i/>
          <w:sz w:val="18"/>
          <w:szCs w:val="18"/>
        </w:rPr>
        <w:t>35</w:t>
      </w:r>
      <w:r w:rsidRPr="00D37B15">
        <w:rPr>
          <w:rFonts w:ascii="Arial Narrow" w:hAnsi="Arial Narrow"/>
          <w:bCs/>
          <w:i/>
          <w:sz w:val="18"/>
          <w:szCs w:val="18"/>
        </w:rPr>
        <w:t>-01</w:t>
      </w:r>
    </w:p>
    <w:p w:rsidR="00843F9F" w:rsidRDefault="00EF2DB9" w:rsidP="00EF2DB9">
      <w:pPr>
        <w:jc w:val="both"/>
        <w:rPr>
          <w:rFonts w:ascii="Arial Narrow" w:hAnsi="Arial Narrow" w:cs="Tahoma"/>
          <w:i/>
          <w:sz w:val="18"/>
          <w:szCs w:val="18"/>
          <w:lang w:val="es-CO"/>
        </w:rPr>
      </w:pPr>
      <w:r>
        <w:rPr>
          <w:rFonts w:ascii="Arial Narrow" w:hAnsi="Arial Narrow" w:cs="Tahoma"/>
          <w:i/>
          <w:sz w:val="18"/>
          <w:szCs w:val="18"/>
          <w:lang w:val="es-CO"/>
        </w:rPr>
        <w:t>Accionante</w:t>
      </w:r>
      <w:r w:rsidR="00843F9F">
        <w:rPr>
          <w:rFonts w:ascii="Arial Narrow" w:hAnsi="Arial Narrow" w:cs="Tahoma"/>
          <w:i/>
          <w:sz w:val="18"/>
          <w:szCs w:val="18"/>
          <w:lang w:val="es-CO"/>
        </w:rPr>
        <w:tab/>
      </w:r>
      <w:r w:rsidR="00843F9F">
        <w:rPr>
          <w:rFonts w:ascii="Arial Narrow" w:hAnsi="Arial Narrow" w:cs="Tahoma"/>
          <w:i/>
          <w:sz w:val="18"/>
          <w:szCs w:val="18"/>
          <w:lang w:val="es-CO"/>
        </w:rPr>
        <w:tab/>
        <w:t>:</w:t>
      </w:r>
      <w:r w:rsidR="00843F9F">
        <w:rPr>
          <w:rFonts w:ascii="Arial Narrow" w:hAnsi="Arial Narrow" w:cs="Tahoma"/>
          <w:i/>
          <w:sz w:val="18"/>
          <w:szCs w:val="18"/>
          <w:lang w:val="es-CO"/>
        </w:rPr>
        <w:tab/>
      </w:r>
      <w:r w:rsidR="00AF5CC9">
        <w:rPr>
          <w:rFonts w:ascii="Arial Narrow" w:hAnsi="Arial Narrow" w:cs="Tahoma"/>
          <w:i/>
          <w:sz w:val="18"/>
          <w:szCs w:val="18"/>
          <w:lang w:val="es-CO"/>
        </w:rPr>
        <w:t>Edison Montoya González y otros</w:t>
      </w:r>
    </w:p>
    <w:p w:rsidR="00843F9F" w:rsidRDefault="00EF2DB9" w:rsidP="00EF2DB9">
      <w:pPr>
        <w:jc w:val="both"/>
        <w:rPr>
          <w:rFonts w:ascii="Arial Narrow" w:hAnsi="Arial Narrow" w:cs="Tahoma"/>
          <w:i/>
          <w:sz w:val="18"/>
          <w:szCs w:val="18"/>
          <w:lang w:val="es-CO"/>
        </w:rPr>
      </w:pPr>
      <w:r w:rsidRPr="00D37B15">
        <w:rPr>
          <w:rFonts w:ascii="Arial Narrow" w:hAnsi="Arial Narrow" w:cs="Tahoma"/>
          <w:i/>
          <w:sz w:val="18"/>
          <w:szCs w:val="18"/>
          <w:lang w:val="es-CO"/>
        </w:rPr>
        <w:t>Accionado</w:t>
      </w:r>
      <w:r w:rsidRPr="00D37B15">
        <w:rPr>
          <w:rFonts w:ascii="Arial Narrow" w:hAnsi="Arial Narrow" w:cs="Tahoma"/>
          <w:i/>
          <w:sz w:val="18"/>
          <w:szCs w:val="18"/>
          <w:lang w:val="es-CO"/>
        </w:rPr>
        <w:tab/>
      </w:r>
      <w:r w:rsidR="00843F9F">
        <w:rPr>
          <w:rFonts w:ascii="Arial Narrow" w:hAnsi="Arial Narrow" w:cs="Tahoma"/>
          <w:i/>
          <w:sz w:val="18"/>
          <w:szCs w:val="18"/>
          <w:lang w:val="es-CO"/>
        </w:rPr>
        <w:tab/>
      </w:r>
      <w:r w:rsidR="00843F9F">
        <w:rPr>
          <w:rFonts w:ascii="Arial Narrow" w:hAnsi="Arial Narrow" w:cs="Tahoma"/>
          <w:i/>
          <w:sz w:val="18"/>
          <w:szCs w:val="18"/>
          <w:lang w:val="es-CO"/>
        </w:rPr>
        <w:tab/>
        <w:t>:</w:t>
      </w:r>
      <w:r w:rsidR="00843F9F">
        <w:rPr>
          <w:rFonts w:ascii="Arial Narrow" w:hAnsi="Arial Narrow" w:cs="Tahoma"/>
          <w:i/>
          <w:sz w:val="18"/>
          <w:szCs w:val="18"/>
          <w:lang w:val="es-CO"/>
        </w:rPr>
        <w:tab/>
      </w:r>
      <w:proofErr w:type="spellStart"/>
      <w:r w:rsidR="00AF5CC9">
        <w:rPr>
          <w:rFonts w:ascii="Arial Narrow" w:hAnsi="Arial Narrow" w:cs="Arial"/>
          <w:i/>
          <w:sz w:val="18"/>
          <w:szCs w:val="18"/>
        </w:rPr>
        <w:t>Carder</w:t>
      </w:r>
      <w:proofErr w:type="spellEnd"/>
      <w:r w:rsidR="00AF5CC9">
        <w:rPr>
          <w:rFonts w:ascii="Arial Narrow" w:hAnsi="Arial Narrow" w:cs="Arial"/>
          <w:i/>
          <w:sz w:val="18"/>
          <w:szCs w:val="18"/>
        </w:rPr>
        <w:t xml:space="preserve"> y otros</w:t>
      </w:r>
    </w:p>
    <w:p w:rsidR="00EF2DB9" w:rsidRPr="00D37B15" w:rsidRDefault="00EF2DB9" w:rsidP="00EF2DB9">
      <w:pPr>
        <w:jc w:val="both"/>
        <w:rPr>
          <w:rFonts w:ascii="Arial Narrow" w:hAnsi="Arial Narrow" w:cs="Tahoma"/>
          <w:i/>
          <w:sz w:val="18"/>
          <w:szCs w:val="18"/>
          <w:lang w:val="es-CO"/>
        </w:rPr>
      </w:pPr>
      <w:r w:rsidRPr="00D37B15">
        <w:rPr>
          <w:rFonts w:ascii="Arial Narrow" w:hAnsi="Arial Narrow" w:cs="Tahoma"/>
          <w:i/>
          <w:sz w:val="18"/>
          <w:szCs w:val="18"/>
          <w:lang w:val="es-CO"/>
        </w:rPr>
        <w:t>Juzgado de Origen</w:t>
      </w:r>
      <w:r w:rsidR="00843F9F">
        <w:rPr>
          <w:rFonts w:ascii="Arial Narrow" w:hAnsi="Arial Narrow" w:cs="Tahoma"/>
          <w:i/>
          <w:sz w:val="18"/>
          <w:szCs w:val="18"/>
          <w:lang w:val="es-CO"/>
        </w:rPr>
        <w:tab/>
      </w:r>
      <w:r w:rsidR="00843F9F">
        <w:rPr>
          <w:rFonts w:ascii="Arial Narrow" w:hAnsi="Arial Narrow" w:cs="Tahoma"/>
          <w:i/>
          <w:sz w:val="18"/>
          <w:szCs w:val="18"/>
          <w:lang w:val="es-CO"/>
        </w:rPr>
        <w:tab/>
        <w:t>:</w:t>
      </w:r>
      <w:r w:rsidR="00843F9F">
        <w:rPr>
          <w:rFonts w:ascii="Arial Narrow" w:hAnsi="Arial Narrow" w:cs="Tahoma"/>
          <w:i/>
          <w:sz w:val="18"/>
          <w:szCs w:val="18"/>
          <w:lang w:val="es-CO"/>
        </w:rPr>
        <w:tab/>
      </w:r>
      <w:r w:rsidR="00AF5CC9">
        <w:rPr>
          <w:rFonts w:ascii="Arial Narrow" w:hAnsi="Arial Narrow" w:cs="Tahoma"/>
          <w:i/>
          <w:sz w:val="18"/>
          <w:szCs w:val="18"/>
          <w:lang w:val="es-CO"/>
        </w:rPr>
        <w:t>Segundo</w:t>
      </w:r>
      <w:r w:rsidR="00282106">
        <w:rPr>
          <w:rFonts w:ascii="Arial Narrow" w:hAnsi="Arial Narrow" w:cs="Tahoma"/>
          <w:i/>
          <w:sz w:val="18"/>
          <w:szCs w:val="18"/>
          <w:lang w:val="es-CO"/>
        </w:rPr>
        <w:t xml:space="preserve"> </w:t>
      </w:r>
      <w:r>
        <w:rPr>
          <w:rFonts w:ascii="Arial Narrow" w:hAnsi="Arial Narrow" w:cs="Tahoma"/>
          <w:i/>
          <w:sz w:val="18"/>
          <w:szCs w:val="18"/>
          <w:lang w:val="es-CO"/>
        </w:rPr>
        <w:t xml:space="preserve">Laboral del Circuito de </w:t>
      </w:r>
      <w:r w:rsidR="00282106">
        <w:rPr>
          <w:rFonts w:ascii="Arial Narrow" w:hAnsi="Arial Narrow" w:cs="Tahoma"/>
          <w:i/>
          <w:sz w:val="18"/>
          <w:szCs w:val="18"/>
          <w:lang w:val="es-CO"/>
        </w:rPr>
        <w:t>Pereira</w:t>
      </w:r>
    </w:p>
    <w:p w:rsidR="00843F9F" w:rsidRDefault="00843F9F" w:rsidP="00116F9E">
      <w:pPr>
        <w:ind w:left="2835" w:hanging="2835"/>
        <w:jc w:val="both"/>
        <w:rPr>
          <w:rFonts w:ascii="Arial Narrow" w:hAnsi="Arial Narrow" w:cs="Tahoma"/>
          <w:b/>
          <w:bCs/>
          <w:i/>
          <w:sz w:val="18"/>
          <w:szCs w:val="18"/>
          <w:lang w:val="es-CO"/>
        </w:rPr>
      </w:pPr>
    </w:p>
    <w:p w:rsidR="00EF2DB9" w:rsidRPr="009A278F" w:rsidRDefault="00EF2DB9" w:rsidP="00116F9E">
      <w:pPr>
        <w:ind w:left="2835" w:hanging="2835"/>
        <w:jc w:val="both"/>
        <w:rPr>
          <w:rFonts w:ascii="Arial Narrow" w:hAnsi="Arial Narrow" w:cs="Tahoma"/>
          <w:b/>
          <w:bCs/>
          <w:i/>
          <w:sz w:val="18"/>
          <w:szCs w:val="18"/>
          <w:lang w:val="es-CO"/>
        </w:rPr>
      </w:pPr>
      <w:r w:rsidRPr="00706D8C">
        <w:rPr>
          <w:rFonts w:ascii="Arial Narrow" w:hAnsi="Arial Narrow" w:cs="Tahoma"/>
          <w:b/>
          <w:bCs/>
          <w:i/>
          <w:sz w:val="18"/>
          <w:szCs w:val="18"/>
          <w:lang w:val="es-CO"/>
        </w:rPr>
        <w:t>Tema</w:t>
      </w:r>
      <w:r w:rsidR="00843F9F">
        <w:rPr>
          <w:rFonts w:ascii="Arial Narrow" w:hAnsi="Arial Narrow" w:cs="Tahoma"/>
          <w:b/>
          <w:bCs/>
          <w:i/>
          <w:sz w:val="18"/>
          <w:szCs w:val="18"/>
          <w:lang w:val="es-CO"/>
        </w:rPr>
        <w:tab/>
        <w:t>ACCIÓN DE TUTELA. INDEMNIZACIÓN.</w:t>
      </w:r>
      <w:r w:rsidR="00843F9F" w:rsidRPr="00116F9E">
        <w:rPr>
          <w:rFonts w:ascii="Arial Narrow" w:hAnsi="Arial Narrow" w:cs="Tahoma"/>
          <w:bCs/>
          <w:i/>
          <w:sz w:val="18"/>
          <w:szCs w:val="18"/>
          <w:lang w:val="es-CO"/>
        </w:rPr>
        <w:t xml:space="preserve"> </w:t>
      </w:r>
      <w:r w:rsidR="00116F9E" w:rsidRPr="00116F9E">
        <w:rPr>
          <w:rFonts w:ascii="Arial Narrow" w:hAnsi="Arial Narrow" w:cs="Tahoma"/>
          <w:bCs/>
          <w:i/>
          <w:sz w:val="18"/>
          <w:szCs w:val="18"/>
          <w:lang w:val="es-CO"/>
        </w:rPr>
        <w:t>Por regla general, la acción de tutela no procede para lograr la reparación o indemnización de los perjuicios padecidos por el titular del derecho en virtud de la falta de actuación o el exceso de esta, pues para ello se cuenta con las acciones ordinarias establecidas por el legislador, bien ante la jurisdicción ordinaria en sus varias especialidades, ora en la contencioso administrativa, las cuales son el escenario adecuado, con las etapas propicias para determinar el derecho a la indemnización y el monto de la misma. Excepcionalmente, es viable que en sede de tutela se ordene el pago de indemnizaciones, tal como lo establece el canon 25 del Decreto 2591 de 1991, pero bajo el estricto y celoso cumplimiento de varias condiciones que la jurisprudencia constitucional ha decantado y que, por su pertinencia, deberá traerse a colación:</w:t>
      </w:r>
      <w:r w:rsidR="009A278F">
        <w:rPr>
          <w:rFonts w:ascii="Arial Narrow" w:hAnsi="Arial Narrow" w:cs="Tahoma"/>
          <w:bCs/>
          <w:i/>
          <w:sz w:val="18"/>
          <w:szCs w:val="18"/>
          <w:lang w:val="es-CO"/>
        </w:rPr>
        <w:t xml:space="preserve"> </w:t>
      </w:r>
      <w:r w:rsidR="00116F9E" w:rsidRPr="00116F9E">
        <w:rPr>
          <w:rFonts w:ascii="Arial Narrow" w:hAnsi="Arial Narrow" w:cs="Tahoma"/>
          <w:bCs/>
          <w:i/>
          <w:sz w:val="18"/>
          <w:szCs w:val="18"/>
          <w:lang w:val="es-CO"/>
        </w:rPr>
        <w:t>“Esta Corporación a partir de lo dispuesto en el artículo 25 del Decreto 2591 de 1991, ha considerado que la acción de tutela procede para lograr el reconocimiento de una indemnización de perjuicios, siempre y cuando se reúnan las siguientes condiciones, a saber: (i) Que se conceda la tutela; (ii) Que no se disponga de otro medio de defensa judicial para obtener el resarcimiento del perjuicio; (iii) Que la violación del derecho haya sido manifiesta, y sea consecuencia de una acción clara e indiscutiblemente arbitraria; (iv) Que la indemnización sea necesaria para garantizar el goce efectivo del derecho; (v) Que se le haya garantizado el debido proceso a quien resulte condenado y, en concreto, que haya tenido la posibilidad de controvertir las pruebas. Lo anterior muestra, que es excepcional la orden de indemnización por vía de tutela, puesto que se hace necesario que se reúnan los presupuestos señalados, lo cual debe ser valorado rigurosamente por el juez constitucional” (Sentencia T-916/05).</w:t>
      </w:r>
      <w:r w:rsidR="00116F9E">
        <w:rPr>
          <w:rFonts w:ascii="Arial Narrow" w:hAnsi="Arial Narrow" w:cs="Tahoma"/>
          <w:b/>
          <w:bCs/>
          <w:i/>
          <w:sz w:val="18"/>
          <w:szCs w:val="18"/>
          <w:lang w:val="es-CO"/>
        </w:rPr>
        <w:t xml:space="preserve">Derecho a la vivienda digna. Condiciones para que proceda la acción de tutela. </w:t>
      </w:r>
      <w:r w:rsidR="009A278F" w:rsidRPr="009A278F">
        <w:rPr>
          <w:rFonts w:ascii="Arial Narrow" w:hAnsi="Arial Narrow" w:cs="Tahoma"/>
          <w:bCs/>
          <w:i/>
          <w:sz w:val="18"/>
          <w:szCs w:val="18"/>
          <w:lang w:val="es-CO"/>
        </w:rPr>
        <w:t>De lo hasta acá discurrido, bien puede concluirse que el derecho a la vivienda digna es un derecho fundamental que implica que su ejercicio se dé en unas condiciones adecuadas que garanticen, entre otros aspectos, la habitabilidad de la casa en condiciones de dignidad, y que en caso de que se observe la urgente necesidad en la adopción de medidas que conjuren un peligro inminente, como por ejemplo una amenaza estructural cierta e inminente, el Juez de tutela está en obligación de tomarlas, pero como regla general, la protección de la vivienda digna está amparada por los medios ordinarios de defensa judicial.</w:t>
      </w:r>
    </w:p>
    <w:p w:rsidR="00AA70FE" w:rsidRPr="00843F9F" w:rsidRDefault="00AA70FE" w:rsidP="00C36E77">
      <w:pPr>
        <w:ind w:left="2835" w:hanging="2835"/>
        <w:jc w:val="both"/>
        <w:rPr>
          <w:rFonts w:ascii="Arial Narrow" w:hAnsi="Arial Narrow" w:cs="Tahoma"/>
          <w:b/>
          <w:bCs/>
          <w:i/>
          <w:sz w:val="28"/>
          <w:szCs w:val="28"/>
        </w:rPr>
      </w:pPr>
    </w:p>
    <w:p w:rsidR="00EF2DB9" w:rsidRPr="004C7DB7" w:rsidRDefault="00EF2DB9" w:rsidP="00EF2DB9">
      <w:pPr>
        <w:spacing w:line="360" w:lineRule="auto"/>
        <w:jc w:val="both"/>
        <w:rPr>
          <w:rFonts w:ascii="Arial Narrow" w:hAnsi="Arial Narrow" w:cs="Tahoma"/>
          <w:sz w:val="28"/>
          <w:szCs w:val="28"/>
          <w:lang w:val="es-CO"/>
        </w:rPr>
      </w:pPr>
      <w:r w:rsidRPr="004C7DB7">
        <w:rPr>
          <w:rFonts w:ascii="Arial Narrow" w:hAnsi="Arial Narrow" w:cs="Tahoma"/>
          <w:sz w:val="28"/>
          <w:szCs w:val="28"/>
          <w:lang w:val="es-CO"/>
        </w:rPr>
        <w:t>Pereira,</w:t>
      </w:r>
      <w:r w:rsidR="00282106">
        <w:rPr>
          <w:rFonts w:ascii="Arial Narrow" w:hAnsi="Arial Narrow" w:cs="Tahoma"/>
          <w:sz w:val="28"/>
          <w:szCs w:val="28"/>
          <w:lang w:val="es-CO"/>
        </w:rPr>
        <w:t xml:space="preserve"> </w:t>
      </w:r>
      <w:r w:rsidR="00AF5CC9">
        <w:rPr>
          <w:rFonts w:ascii="Arial Narrow" w:hAnsi="Arial Narrow" w:cs="Tahoma"/>
          <w:sz w:val="28"/>
          <w:szCs w:val="28"/>
          <w:lang w:val="es-CO"/>
        </w:rPr>
        <w:t>veintiocho</w:t>
      </w:r>
      <w:r w:rsidR="00282106">
        <w:rPr>
          <w:rFonts w:ascii="Arial Narrow" w:hAnsi="Arial Narrow" w:cs="Tahoma"/>
          <w:sz w:val="28"/>
          <w:szCs w:val="28"/>
          <w:lang w:val="es-CO"/>
        </w:rPr>
        <w:t xml:space="preserve"> </w:t>
      </w:r>
      <w:r w:rsidR="00E77E97">
        <w:rPr>
          <w:rFonts w:ascii="Arial Narrow" w:hAnsi="Arial Narrow" w:cs="Tahoma"/>
          <w:sz w:val="28"/>
          <w:szCs w:val="28"/>
          <w:lang w:val="es-CO"/>
        </w:rPr>
        <w:t xml:space="preserve">de </w:t>
      </w:r>
      <w:r w:rsidR="00B66A07">
        <w:rPr>
          <w:rFonts w:ascii="Arial Narrow" w:hAnsi="Arial Narrow" w:cs="Tahoma"/>
          <w:sz w:val="28"/>
          <w:szCs w:val="28"/>
          <w:lang w:val="es-CO"/>
        </w:rPr>
        <w:t xml:space="preserve">marzo </w:t>
      </w:r>
      <w:r>
        <w:rPr>
          <w:rFonts w:ascii="Arial Narrow" w:hAnsi="Arial Narrow" w:cs="Tahoma"/>
          <w:sz w:val="28"/>
          <w:szCs w:val="28"/>
          <w:lang w:val="es-CO"/>
        </w:rPr>
        <w:t xml:space="preserve">de dos mil </w:t>
      </w:r>
      <w:r w:rsidR="003D63EA">
        <w:rPr>
          <w:rFonts w:ascii="Arial Narrow" w:hAnsi="Arial Narrow" w:cs="Tahoma"/>
          <w:sz w:val="28"/>
          <w:szCs w:val="28"/>
          <w:lang w:val="es-CO"/>
        </w:rPr>
        <w:t>diecis</w:t>
      </w:r>
      <w:r w:rsidR="00B66A07">
        <w:rPr>
          <w:rFonts w:ascii="Arial Narrow" w:hAnsi="Arial Narrow" w:cs="Tahoma"/>
          <w:sz w:val="28"/>
          <w:szCs w:val="28"/>
          <w:lang w:val="es-CO"/>
        </w:rPr>
        <w:t>iete</w:t>
      </w:r>
      <w:r w:rsidRPr="004C7DB7">
        <w:rPr>
          <w:rFonts w:ascii="Arial Narrow" w:hAnsi="Arial Narrow" w:cs="Tahoma"/>
          <w:sz w:val="28"/>
          <w:szCs w:val="28"/>
          <w:lang w:val="es-CO"/>
        </w:rPr>
        <w:t>.</w:t>
      </w:r>
    </w:p>
    <w:p w:rsidR="00EF2DB9" w:rsidRPr="004C7DB7" w:rsidRDefault="00EF2DB9" w:rsidP="00EF2DB9">
      <w:pPr>
        <w:spacing w:line="360" w:lineRule="auto"/>
        <w:rPr>
          <w:rFonts w:ascii="Arial Narrow" w:hAnsi="Arial Narrow" w:cs="Tahoma"/>
          <w:sz w:val="28"/>
          <w:szCs w:val="28"/>
          <w:lang w:val="es-CO"/>
        </w:rPr>
      </w:pPr>
      <w:r w:rsidRPr="004C7DB7">
        <w:rPr>
          <w:rFonts w:ascii="Arial Narrow" w:hAnsi="Arial Narrow" w:cs="Tahoma"/>
          <w:sz w:val="28"/>
          <w:szCs w:val="28"/>
          <w:lang w:val="es-CO"/>
        </w:rPr>
        <w:t xml:space="preserve">Acta número </w:t>
      </w:r>
      <w:r w:rsidR="003D63EA">
        <w:rPr>
          <w:rFonts w:ascii="Arial Narrow" w:hAnsi="Arial Narrow" w:cs="Tahoma"/>
          <w:sz w:val="28"/>
          <w:szCs w:val="28"/>
          <w:lang w:val="es-CO"/>
        </w:rPr>
        <w:t>____</w:t>
      </w:r>
      <w:r w:rsidRPr="004C7DB7">
        <w:rPr>
          <w:rFonts w:ascii="Arial Narrow" w:hAnsi="Arial Narrow" w:cs="Tahoma"/>
          <w:sz w:val="28"/>
          <w:szCs w:val="28"/>
          <w:lang w:val="es-CO"/>
        </w:rPr>
        <w:t xml:space="preserve"> </w:t>
      </w:r>
      <w:r w:rsidR="00AF5CC9">
        <w:rPr>
          <w:rFonts w:ascii="Arial Narrow" w:hAnsi="Arial Narrow" w:cs="Tahoma"/>
          <w:sz w:val="28"/>
          <w:szCs w:val="28"/>
          <w:lang w:val="es-CO"/>
        </w:rPr>
        <w:t>28</w:t>
      </w:r>
      <w:r>
        <w:rPr>
          <w:rFonts w:ascii="Arial Narrow" w:hAnsi="Arial Narrow" w:cs="Tahoma"/>
          <w:sz w:val="28"/>
          <w:szCs w:val="28"/>
          <w:lang w:val="es-CO"/>
        </w:rPr>
        <w:t xml:space="preserve"> de </w:t>
      </w:r>
      <w:r w:rsidR="00B66A07">
        <w:rPr>
          <w:rFonts w:ascii="Arial Narrow" w:hAnsi="Arial Narrow" w:cs="Tahoma"/>
          <w:sz w:val="28"/>
          <w:szCs w:val="28"/>
          <w:lang w:val="es-CO"/>
        </w:rPr>
        <w:t>marzo</w:t>
      </w:r>
      <w:r>
        <w:rPr>
          <w:rFonts w:ascii="Arial Narrow" w:hAnsi="Arial Narrow" w:cs="Tahoma"/>
          <w:sz w:val="28"/>
          <w:szCs w:val="28"/>
          <w:lang w:val="es-CO"/>
        </w:rPr>
        <w:t xml:space="preserve"> de 201</w:t>
      </w:r>
      <w:r w:rsidR="00B66A07">
        <w:rPr>
          <w:rFonts w:ascii="Arial Narrow" w:hAnsi="Arial Narrow" w:cs="Tahoma"/>
          <w:sz w:val="28"/>
          <w:szCs w:val="28"/>
          <w:lang w:val="es-CO"/>
        </w:rPr>
        <w:t>7</w:t>
      </w:r>
      <w:r w:rsidRPr="004C7DB7">
        <w:rPr>
          <w:rFonts w:ascii="Arial Narrow" w:hAnsi="Arial Narrow" w:cs="Tahoma"/>
          <w:sz w:val="28"/>
          <w:szCs w:val="28"/>
          <w:lang w:val="es-CO"/>
        </w:rPr>
        <w:t>.</w:t>
      </w:r>
    </w:p>
    <w:p w:rsidR="00EF2DB9" w:rsidRPr="004C7DB7" w:rsidRDefault="00EF2DB9" w:rsidP="00EF2DB9">
      <w:pPr>
        <w:jc w:val="center"/>
        <w:rPr>
          <w:rFonts w:ascii="Arial Narrow" w:hAnsi="Arial Narrow" w:cs="Tahoma"/>
          <w:sz w:val="28"/>
          <w:szCs w:val="28"/>
          <w:lang w:val="es-CO"/>
        </w:rPr>
      </w:pPr>
    </w:p>
    <w:p w:rsidR="00AF5CC9" w:rsidRDefault="00EF2DB9" w:rsidP="00EF2DB9">
      <w:pPr>
        <w:spacing w:line="360" w:lineRule="auto"/>
        <w:jc w:val="both"/>
        <w:rPr>
          <w:rFonts w:ascii="Arial Narrow" w:hAnsi="Arial Narrow" w:cs="Tahoma"/>
          <w:b/>
          <w:i/>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Procede la Sala de Decisión Laboral de este Tribunal a resolver la impugnación del fallo, contra la sentencia dictada por el Juzgado</w:t>
      </w:r>
      <w:r>
        <w:rPr>
          <w:rFonts w:ascii="Arial Narrow" w:hAnsi="Arial Narrow" w:cs="Tahoma"/>
          <w:sz w:val="28"/>
          <w:szCs w:val="28"/>
        </w:rPr>
        <w:t xml:space="preserve"> </w:t>
      </w:r>
      <w:r w:rsidR="00AF5CC9">
        <w:rPr>
          <w:rFonts w:ascii="Arial Narrow" w:hAnsi="Arial Narrow" w:cs="Tahoma"/>
          <w:sz w:val="28"/>
          <w:szCs w:val="28"/>
        </w:rPr>
        <w:t>Segundo</w:t>
      </w:r>
      <w:r w:rsidR="00CD3B17">
        <w:rPr>
          <w:rFonts w:ascii="Arial Narrow" w:hAnsi="Arial Narrow" w:cs="Tahoma"/>
          <w:sz w:val="28"/>
          <w:szCs w:val="28"/>
        </w:rPr>
        <w:t xml:space="preserve"> </w:t>
      </w:r>
      <w:r>
        <w:rPr>
          <w:rFonts w:ascii="Arial Narrow" w:hAnsi="Arial Narrow" w:cs="Tahoma"/>
          <w:sz w:val="28"/>
          <w:szCs w:val="28"/>
        </w:rPr>
        <w:t xml:space="preserve">Laboral del Circuito de </w:t>
      </w:r>
      <w:r w:rsidR="00CD3B17">
        <w:rPr>
          <w:rFonts w:ascii="Arial Narrow" w:hAnsi="Arial Narrow" w:cs="Tahoma"/>
          <w:sz w:val="28"/>
          <w:szCs w:val="28"/>
        </w:rPr>
        <w:t>Pereira</w:t>
      </w:r>
      <w:r>
        <w:rPr>
          <w:rFonts w:ascii="Arial Narrow" w:hAnsi="Arial Narrow" w:cs="Tahoma"/>
          <w:sz w:val="28"/>
          <w:szCs w:val="28"/>
        </w:rPr>
        <w:t xml:space="preserve">, </w:t>
      </w:r>
      <w:r w:rsidRPr="004C7DB7">
        <w:rPr>
          <w:rFonts w:ascii="Arial Narrow" w:hAnsi="Arial Narrow" w:cs="Tahoma"/>
          <w:sz w:val="28"/>
          <w:szCs w:val="28"/>
        </w:rPr>
        <w:t>el</w:t>
      </w:r>
      <w:r>
        <w:rPr>
          <w:rFonts w:ascii="Arial Narrow" w:hAnsi="Arial Narrow" w:cs="Tahoma"/>
          <w:sz w:val="28"/>
          <w:szCs w:val="28"/>
        </w:rPr>
        <w:t xml:space="preserve"> </w:t>
      </w:r>
      <w:r w:rsidR="00AF5CC9">
        <w:rPr>
          <w:rFonts w:ascii="Arial Narrow" w:hAnsi="Arial Narrow" w:cs="Tahoma"/>
          <w:sz w:val="28"/>
          <w:szCs w:val="28"/>
        </w:rPr>
        <w:t>08</w:t>
      </w:r>
      <w:r>
        <w:rPr>
          <w:rFonts w:ascii="Arial Narrow" w:hAnsi="Arial Narrow" w:cs="Tahoma"/>
          <w:sz w:val="28"/>
          <w:szCs w:val="28"/>
        </w:rPr>
        <w:t xml:space="preserve"> de </w:t>
      </w:r>
      <w:r w:rsidR="00AF5CC9">
        <w:rPr>
          <w:rFonts w:ascii="Arial Narrow" w:hAnsi="Arial Narrow" w:cs="Tahoma"/>
          <w:sz w:val="28"/>
          <w:szCs w:val="28"/>
        </w:rPr>
        <w:t>febrero</w:t>
      </w:r>
      <w:r>
        <w:rPr>
          <w:rFonts w:ascii="Arial Narrow" w:hAnsi="Arial Narrow" w:cs="Tahoma"/>
          <w:sz w:val="28"/>
          <w:szCs w:val="28"/>
        </w:rPr>
        <w:t xml:space="preserve"> del año</w:t>
      </w:r>
      <w:r w:rsidR="00455B13">
        <w:rPr>
          <w:rFonts w:ascii="Arial Narrow" w:hAnsi="Arial Narrow" w:cs="Tahoma"/>
          <w:sz w:val="28"/>
          <w:szCs w:val="28"/>
        </w:rPr>
        <w:t xml:space="preserve"> </w:t>
      </w:r>
      <w:r w:rsidR="008F4702">
        <w:rPr>
          <w:rFonts w:ascii="Arial Narrow" w:hAnsi="Arial Narrow" w:cs="Tahoma"/>
          <w:sz w:val="28"/>
          <w:szCs w:val="28"/>
        </w:rPr>
        <w:t>que corre</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AF5CC9">
        <w:rPr>
          <w:rFonts w:ascii="Arial Narrow" w:hAnsi="Arial Narrow" w:cs="Tahoma"/>
          <w:b/>
          <w:i/>
          <w:sz w:val="28"/>
          <w:szCs w:val="28"/>
        </w:rPr>
        <w:t xml:space="preserve">Edison Montoya </w:t>
      </w:r>
      <w:proofErr w:type="spellStart"/>
      <w:r w:rsidR="00AF5CC9">
        <w:rPr>
          <w:rFonts w:ascii="Arial Narrow" w:hAnsi="Arial Narrow" w:cs="Tahoma"/>
          <w:b/>
          <w:i/>
          <w:sz w:val="28"/>
          <w:szCs w:val="28"/>
        </w:rPr>
        <w:t>Gonzàlez</w:t>
      </w:r>
      <w:proofErr w:type="spellEnd"/>
      <w:r w:rsidR="00AF5CC9">
        <w:rPr>
          <w:rFonts w:ascii="Arial Narrow" w:hAnsi="Arial Narrow" w:cs="Tahoma"/>
          <w:b/>
          <w:i/>
          <w:sz w:val="28"/>
          <w:szCs w:val="28"/>
        </w:rPr>
        <w:t xml:space="preserve"> y </w:t>
      </w:r>
      <w:proofErr w:type="spellStart"/>
      <w:r w:rsidR="00AF5CC9">
        <w:rPr>
          <w:rFonts w:ascii="Arial Narrow" w:hAnsi="Arial Narrow" w:cs="Tahoma"/>
          <w:b/>
          <w:i/>
          <w:sz w:val="28"/>
          <w:szCs w:val="28"/>
        </w:rPr>
        <w:t>Yanet</w:t>
      </w:r>
      <w:proofErr w:type="spellEnd"/>
      <w:r w:rsidR="00AF5CC9">
        <w:rPr>
          <w:rFonts w:ascii="Arial Narrow" w:hAnsi="Arial Narrow" w:cs="Tahoma"/>
          <w:b/>
          <w:i/>
          <w:sz w:val="28"/>
          <w:szCs w:val="28"/>
        </w:rPr>
        <w:t xml:space="preserve"> López Ríos en su propio nombre y en </w:t>
      </w:r>
      <w:r w:rsidR="00AF5CC9">
        <w:rPr>
          <w:rFonts w:ascii="Arial Narrow" w:hAnsi="Arial Narrow" w:cs="Tahoma"/>
          <w:b/>
          <w:i/>
          <w:sz w:val="28"/>
          <w:szCs w:val="28"/>
        </w:rPr>
        <w:lastRenderedPageBreak/>
        <w:t xml:space="preserve">representación del menor Juan Pablo Montoya López </w:t>
      </w:r>
      <w:r w:rsidRPr="004C7DB7">
        <w:rPr>
          <w:rFonts w:ascii="Arial Narrow" w:hAnsi="Arial Narrow" w:cs="Tahoma"/>
          <w:sz w:val="28"/>
          <w:szCs w:val="28"/>
        </w:rPr>
        <w:t>en contra de</w:t>
      </w:r>
      <w:r>
        <w:rPr>
          <w:rFonts w:ascii="Arial Narrow" w:hAnsi="Arial Narrow" w:cs="Tahoma"/>
          <w:sz w:val="28"/>
          <w:szCs w:val="28"/>
        </w:rPr>
        <w:t xml:space="preserve"> la </w:t>
      </w:r>
      <w:r w:rsidR="00AF5CC9">
        <w:rPr>
          <w:rFonts w:ascii="Arial Narrow" w:hAnsi="Arial Narrow" w:cs="Tahoma"/>
          <w:b/>
          <w:i/>
          <w:sz w:val="28"/>
          <w:szCs w:val="28"/>
        </w:rPr>
        <w:t xml:space="preserve">Corporación </w:t>
      </w:r>
      <w:proofErr w:type="spellStart"/>
      <w:r w:rsidR="00AF5CC9">
        <w:rPr>
          <w:rFonts w:ascii="Arial Narrow" w:hAnsi="Arial Narrow" w:cs="Tahoma"/>
          <w:b/>
          <w:i/>
          <w:sz w:val="28"/>
          <w:szCs w:val="28"/>
        </w:rPr>
        <w:t>Autonoma</w:t>
      </w:r>
      <w:proofErr w:type="spellEnd"/>
      <w:r w:rsidR="00AF5CC9">
        <w:rPr>
          <w:rFonts w:ascii="Arial Narrow" w:hAnsi="Arial Narrow" w:cs="Tahoma"/>
          <w:b/>
          <w:i/>
          <w:sz w:val="28"/>
          <w:szCs w:val="28"/>
        </w:rPr>
        <w:t xml:space="preserve"> Regional del Risaralda –</w:t>
      </w:r>
      <w:proofErr w:type="spellStart"/>
      <w:r w:rsidR="00AF5CC9">
        <w:rPr>
          <w:rFonts w:ascii="Arial Narrow" w:hAnsi="Arial Narrow" w:cs="Tahoma"/>
          <w:b/>
          <w:i/>
          <w:sz w:val="28"/>
          <w:szCs w:val="28"/>
        </w:rPr>
        <w:t>Carder</w:t>
      </w:r>
      <w:proofErr w:type="spellEnd"/>
      <w:r w:rsidR="00AF5CC9">
        <w:rPr>
          <w:rFonts w:ascii="Arial Narrow" w:hAnsi="Arial Narrow" w:cs="Tahoma"/>
          <w:b/>
          <w:i/>
          <w:sz w:val="28"/>
          <w:szCs w:val="28"/>
        </w:rPr>
        <w:t>-, Municipio de Pereira, Q-bica Constructora S.A.S., Constructora Portal de Llano Grande S.A.S. y Constructora San Ángel S.A.S.</w:t>
      </w:r>
      <w:r w:rsidR="00AF5CC9">
        <w:rPr>
          <w:rFonts w:ascii="Arial Narrow" w:hAnsi="Arial Narrow" w:cs="Tahoma"/>
          <w:i/>
          <w:sz w:val="28"/>
          <w:szCs w:val="28"/>
        </w:rPr>
        <w:t xml:space="preserve"> </w:t>
      </w:r>
      <w:r w:rsidR="00AF5CC9" w:rsidRPr="00AF5CC9">
        <w:rPr>
          <w:rFonts w:ascii="Arial Narrow" w:hAnsi="Arial Narrow" w:cs="Tahoma"/>
          <w:sz w:val="28"/>
          <w:szCs w:val="28"/>
        </w:rPr>
        <w:t>y a la que se vincul</w:t>
      </w:r>
      <w:r w:rsidR="00AF5CC9">
        <w:rPr>
          <w:rFonts w:ascii="Arial Narrow" w:hAnsi="Arial Narrow" w:cs="Tahoma"/>
          <w:sz w:val="28"/>
          <w:szCs w:val="28"/>
        </w:rPr>
        <w:t>ó</w:t>
      </w:r>
      <w:r w:rsidR="00AF5CC9" w:rsidRPr="00AF5CC9">
        <w:rPr>
          <w:rFonts w:ascii="Arial Narrow" w:hAnsi="Arial Narrow" w:cs="Tahoma"/>
          <w:sz w:val="28"/>
          <w:szCs w:val="28"/>
        </w:rPr>
        <w:t xml:space="preserve"> a</w:t>
      </w:r>
      <w:r w:rsidR="00AF5CC9">
        <w:rPr>
          <w:rFonts w:ascii="Arial Narrow" w:hAnsi="Arial Narrow" w:cs="Tahoma"/>
          <w:sz w:val="28"/>
          <w:szCs w:val="28"/>
        </w:rPr>
        <w:t xml:space="preserve"> la </w:t>
      </w:r>
      <w:proofErr w:type="spellStart"/>
      <w:r w:rsidR="00AF5CC9">
        <w:rPr>
          <w:rFonts w:ascii="Arial Narrow" w:hAnsi="Arial Narrow" w:cs="Tahoma"/>
          <w:b/>
          <w:i/>
          <w:sz w:val="28"/>
          <w:szCs w:val="28"/>
        </w:rPr>
        <w:t>Direcciòn</w:t>
      </w:r>
      <w:proofErr w:type="spellEnd"/>
      <w:r w:rsidR="00AF5CC9">
        <w:rPr>
          <w:rFonts w:ascii="Arial Narrow" w:hAnsi="Arial Narrow" w:cs="Tahoma"/>
          <w:b/>
          <w:i/>
          <w:sz w:val="28"/>
          <w:szCs w:val="28"/>
        </w:rPr>
        <w:t xml:space="preserve"> Operativa para la Prevención y Atención de Desastres –Dopad-, la Secretaría de Planeación Municipal y la Dirección Operativa de Control Físico de Pereira</w:t>
      </w:r>
      <w:r w:rsidR="00AF5CC9">
        <w:rPr>
          <w:rFonts w:ascii="Arial Narrow" w:hAnsi="Arial Narrow" w:cs="Tahoma"/>
          <w:i/>
          <w:sz w:val="28"/>
          <w:szCs w:val="28"/>
        </w:rPr>
        <w:t xml:space="preserve">, </w:t>
      </w:r>
      <w:r w:rsidR="00AF5CC9" w:rsidRPr="00AF5CC9">
        <w:rPr>
          <w:rFonts w:ascii="Arial Narrow" w:hAnsi="Arial Narrow" w:cs="Tahoma"/>
          <w:sz w:val="28"/>
          <w:szCs w:val="28"/>
        </w:rPr>
        <w:t>por la presenta vulneraci</w:t>
      </w:r>
      <w:r w:rsidR="00AF5CC9">
        <w:rPr>
          <w:rFonts w:ascii="Arial Narrow" w:hAnsi="Arial Narrow" w:cs="Tahoma"/>
          <w:sz w:val="28"/>
          <w:szCs w:val="28"/>
        </w:rPr>
        <w:t>ó</w:t>
      </w:r>
      <w:r w:rsidR="00AF5CC9" w:rsidRPr="00AF5CC9">
        <w:rPr>
          <w:rFonts w:ascii="Arial Narrow" w:hAnsi="Arial Narrow" w:cs="Tahoma"/>
          <w:sz w:val="28"/>
          <w:szCs w:val="28"/>
        </w:rPr>
        <w:t>n</w:t>
      </w:r>
      <w:r w:rsidR="001A2D29">
        <w:rPr>
          <w:rFonts w:ascii="Arial Narrow" w:hAnsi="Arial Narrow" w:cs="Tahoma"/>
          <w:sz w:val="28"/>
          <w:szCs w:val="28"/>
        </w:rPr>
        <w:t xml:space="preserve"> de sus derechos a la vida, la dignidad, la vivienda digna, la integridad personal y familiar, protección a la niñez, propiedad privada, medio ambiente sano, saneamiento ambiental, seguridad personal, familiar y patrimonial y tranquilidad personal y familiar</w:t>
      </w:r>
      <w:r w:rsidR="00AF5CC9">
        <w:rPr>
          <w:rFonts w:ascii="Arial Narrow" w:hAnsi="Arial Narrow" w:cs="Tahoma"/>
          <w:b/>
          <w:i/>
          <w:sz w:val="28"/>
          <w:szCs w:val="28"/>
        </w:rPr>
        <w:t>.</w:t>
      </w:r>
    </w:p>
    <w:p w:rsidR="00EF2DB9" w:rsidRPr="004C7DB7" w:rsidRDefault="00EF2DB9" w:rsidP="00EF2DB9">
      <w:pPr>
        <w:jc w:val="both"/>
        <w:rPr>
          <w:rFonts w:ascii="Arial Narrow" w:hAnsi="Arial Narrow" w:cs="Tahoma"/>
          <w:b/>
          <w:sz w:val="28"/>
          <w:szCs w:val="28"/>
        </w:rPr>
      </w:pPr>
    </w:p>
    <w:p w:rsidR="00EF2DB9"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EF2DB9" w:rsidRPr="00601FBD" w:rsidRDefault="00EF2DB9" w:rsidP="00EF2DB9">
      <w:pPr>
        <w:spacing w:line="360" w:lineRule="auto"/>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EF2DB9" w:rsidRPr="004C7DB7" w:rsidRDefault="00EF2DB9" w:rsidP="00EF2DB9">
      <w:pPr>
        <w:jc w:val="center"/>
        <w:rPr>
          <w:rFonts w:ascii="Arial Narrow" w:hAnsi="Arial Narrow" w:cs="Tahoma"/>
          <w:sz w:val="28"/>
          <w:szCs w:val="28"/>
          <w:lang w:val="es-CO"/>
        </w:rPr>
      </w:pPr>
    </w:p>
    <w:p w:rsidR="00EF2DB9" w:rsidRPr="00B4281C" w:rsidRDefault="00EF2DB9" w:rsidP="00B4281C">
      <w:pPr>
        <w:spacing w:line="360" w:lineRule="auto"/>
        <w:ind w:firstLine="851"/>
        <w:jc w:val="both"/>
        <w:rPr>
          <w:rFonts w:ascii="Arial Narrow" w:hAnsi="Arial Narrow" w:cs="Tahoma"/>
          <w:b/>
          <w:bCs/>
          <w:i/>
          <w:iCs/>
          <w:sz w:val="28"/>
          <w:szCs w:val="28"/>
        </w:rPr>
      </w:pPr>
      <w:r w:rsidRPr="00B4281C">
        <w:rPr>
          <w:rFonts w:ascii="Arial Narrow" w:hAnsi="Arial Narrow" w:cs="Tahoma"/>
          <w:b/>
          <w:bCs/>
          <w:i/>
          <w:iCs/>
          <w:sz w:val="28"/>
          <w:szCs w:val="28"/>
        </w:rPr>
        <w:t>Hechos jurídicamente relevantes.</w:t>
      </w:r>
    </w:p>
    <w:p w:rsidR="00EF2DB9" w:rsidRPr="0056435D" w:rsidRDefault="00EF2DB9" w:rsidP="0074785B">
      <w:pPr>
        <w:pStyle w:val="Sansinterligne"/>
      </w:pPr>
    </w:p>
    <w:p w:rsidR="00720E26" w:rsidRDefault="001A2D29"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Se relata en la demanda de tutela que los accionantes compraron la vivienda No. 049 en la Urbanización Portal de Llano Grande a las constructoras accionadas el 23 de abril de 2013, que el valor de dicha compraventa fue de $65.988.000, que a la aludida vivienda se le hizo mejoras por $8.000.000, que en la referida vivienda conviven todos los accionantes, que el aludido conjunto residencial está ubicado en el Barrio Parque Industrial de la ciudad de Pereira, que cerca de la malla que cierra el conjunto pasa la quebrada Erazo, que en diciembre de 2013 la quebrada empezó a cambiar su curso y a avanzar a varias casas del aludido conjunto, entre ellas a la casa 49, que se radicó derecho de petición ante el DOPAD</w:t>
      </w:r>
      <w:r w:rsidR="00E549DD">
        <w:rPr>
          <w:rFonts w:ascii="Arial Narrow" w:hAnsi="Arial Narrow" w:cs="Tahoma"/>
          <w:spacing w:val="-3"/>
          <w:sz w:val="28"/>
          <w:szCs w:val="28"/>
        </w:rPr>
        <w:t xml:space="preserve"> por tal situación, que la entidad dio respuesta  indicando que se hizo una visita técnica y se observó que hubo movimientos de tierra que han afectado el cauce y han socavado la estabilidad estructural de las viviendas. </w:t>
      </w:r>
    </w:p>
    <w:p w:rsidR="00720E26" w:rsidRDefault="00720E26" w:rsidP="00195F57">
      <w:pPr>
        <w:spacing w:line="360" w:lineRule="auto"/>
        <w:ind w:firstLine="851"/>
        <w:jc w:val="both"/>
        <w:rPr>
          <w:rFonts w:ascii="Arial Narrow" w:hAnsi="Arial Narrow" w:cs="Tahoma"/>
          <w:spacing w:val="-3"/>
          <w:sz w:val="28"/>
          <w:szCs w:val="28"/>
        </w:rPr>
      </w:pPr>
    </w:p>
    <w:p w:rsidR="00720E26" w:rsidRDefault="00E549DD"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Refiere que para la construcción del referido conjunto cerrado, la </w:t>
      </w:r>
      <w:proofErr w:type="spellStart"/>
      <w:r>
        <w:rPr>
          <w:rFonts w:ascii="Arial Narrow" w:hAnsi="Arial Narrow" w:cs="Tahoma"/>
          <w:spacing w:val="-3"/>
          <w:sz w:val="28"/>
          <w:szCs w:val="28"/>
        </w:rPr>
        <w:t>Carder</w:t>
      </w:r>
      <w:proofErr w:type="spellEnd"/>
      <w:r>
        <w:rPr>
          <w:rFonts w:ascii="Arial Narrow" w:hAnsi="Arial Narrow" w:cs="Tahoma"/>
          <w:spacing w:val="-3"/>
          <w:sz w:val="28"/>
          <w:szCs w:val="28"/>
        </w:rPr>
        <w:t xml:space="preserve"> expidió una Resolución </w:t>
      </w:r>
      <w:r w:rsidR="00BA2C24">
        <w:rPr>
          <w:rFonts w:ascii="Arial Narrow" w:hAnsi="Arial Narrow" w:cs="Tahoma"/>
          <w:spacing w:val="-3"/>
          <w:sz w:val="28"/>
          <w:szCs w:val="28"/>
        </w:rPr>
        <w:t xml:space="preserve">demarcándolos suelos de protección o zona forestal protectora, que inicialmente se fijó en 20 metros, el cual fue posteriormente modificado a 15 metros, que el cumplimiento de dicha distancia y de la necesaria siembra de bosque protector no fue </w:t>
      </w:r>
      <w:r w:rsidR="00BA2C24">
        <w:rPr>
          <w:rFonts w:ascii="Arial Narrow" w:hAnsi="Arial Narrow" w:cs="Tahoma"/>
          <w:spacing w:val="-3"/>
          <w:sz w:val="28"/>
          <w:szCs w:val="28"/>
        </w:rPr>
        <w:lastRenderedPageBreak/>
        <w:t xml:space="preserve">verificado por la </w:t>
      </w:r>
      <w:proofErr w:type="spellStart"/>
      <w:r w:rsidR="00BA2C24">
        <w:rPr>
          <w:rFonts w:ascii="Arial Narrow" w:hAnsi="Arial Narrow" w:cs="Tahoma"/>
          <w:spacing w:val="-3"/>
          <w:sz w:val="28"/>
          <w:szCs w:val="28"/>
        </w:rPr>
        <w:t>Carder</w:t>
      </w:r>
      <w:proofErr w:type="spellEnd"/>
      <w:r w:rsidR="00BA2C24">
        <w:rPr>
          <w:rFonts w:ascii="Arial Narrow" w:hAnsi="Arial Narrow" w:cs="Tahoma"/>
          <w:spacing w:val="-3"/>
          <w:sz w:val="28"/>
          <w:szCs w:val="28"/>
        </w:rPr>
        <w:t>, que el 17 de enero de</w:t>
      </w:r>
      <w:r>
        <w:rPr>
          <w:rFonts w:ascii="Arial Narrow" w:hAnsi="Arial Narrow" w:cs="Tahoma"/>
          <w:spacing w:val="-3"/>
          <w:sz w:val="28"/>
          <w:szCs w:val="28"/>
        </w:rPr>
        <w:t xml:space="preserve"> </w:t>
      </w:r>
      <w:r w:rsidR="00EA1A55">
        <w:rPr>
          <w:rFonts w:ascii="Arial Narrow" w:hAnsi="Arial Narrow" w:cs="Tahoma"/>
          <w:spacing w:val="-3"/>
          <w:sz w:val="28"/>
          <w:szCs w:val="28"/>
        </w:rPr>
        <w:t xml:space="preserve">2014 la administradora de la unidad residencial elevó petición a la </w:t>
      </w:r>
      <w:proofErr w:type="spellStart"/>
      <w:r w:rsidR="00EA1A55">
        <w:rPr>
          <w:rFonts w:ascii="Arial Narrow" w:hAnsi="Arial Narrow" w:cs="Tahoma"/>
          <w:spacing w:val="-3"/>
          <w:sz w:val="28"/>
          <w:szCs w:val="28"/>
        </w:rPr>
        <w:t>Carder</w:t>
      </w:r>
      <w:proofErr w:type="spellEnd"/>
      <w:r w:rsidR="00EA1A55">
        <w:rPr>
          <w:rFonts w:ascii="Arial Narrow" w:hAnsi="Arial Narrow" w:cs="Tahoma"/>
          <w:spacing w:val="-3"/>
          <w:sz w:val="28"/>
          <w:szCs w:val="28"/>
        </w:rPr>
        <w:t xml:space="preserve"> pidiendo una visita técnica para determinar el peligro debido a la quebrada el Erazo, que la entidad dio respuesta el 14 de febrero de 2014 en la que indicó que luego de la visita solicitada, se logró comprobar que la obstrucción del cauce de la quebrada por los desprendimientos, pueden terminar inundando el terreno circundante y las vivienda, además que el terreno ha ido perdiendo estabilidad, que dichos conceptos se enviaron al DOPAD, a la Secretaria de Co</w:t>
      </w:r>
      <w:r w:rsidR="006B1BAD">
        <w:rPr>
          <w:rFonts w:ascii="Arial Narrow" w:hAnsi="Arial Narrow" w:cs="Tahoma"/>
          <w:spacing w:val="-3"/>
          <w:sz w:val="28"/>
          <w:szCs w:val="28"/>
        </w:rPr>
        <w:t>n</w:t>
      </w:r>
      <w:r w:rsidR="00EA1A55">
        <w:rPr>
          <w:rFonts w:ascii="Arial Narrow" w:hAnsi="Arial Narrow" w:cs="Tahoma"/>
          <w:spacing w:val="-3"/>
          <w:sz w:val="28"/>
          <w:szCs w:val="28"/>
        </w:rPr>
        <w:t xml:space="preserve">trol </w:t>
      </w:r>
      <w:r w:rsidR="006B1BAD">
        <w:rPr>
          <w:rFonts w:ascii="Arial Narrow" w:hAnsi="Arial Narrow" w:cs="Tahoma"/>
          <w:spacing w:val="-3"/>
          <w:sz w:val="28"/>
          <w:szCs w:val="28"/>
        </w:rPr>
        <w:t xml:space="preserve">Físico y a la Dirección Operativa de Control Físico de Pereira, sin que desplegaran acción alguna al respecto. </w:t>
      </w:r>
    </w:p>
    <w:p w:rsidR="00720E26" w:rsidRDefault="00720E26" w:rsidP="00195F57">
      <w:pPr>
        <w:spacing w:line="360" w:lineRule="auto"/>
        <w:ind w:firstLine="851"/>
        <w:jc w:val="both"/>
        <w:rPr>
          <w:rFonts w:ascii="Arial Narrow" w:hAnsi="Arial Narrow" w:cs="Tahoma"/>
          <w:spacing w:val="-3"/>
          <w:sz w:val="28"/>
          <w:szCs w:val="28"/>
        </w:rPr>
      </w:pPr>
    </w:p>
    <w:p w:rsidR="004F6803" w:rsidRDefault="006B1BAD"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Los accionantes solicitaron a Q-bica Constructora mediante derecho de petición del 17 de julio de 2014</w:t>
      </w:r>
      <w:r w:rsidR="00EA1A55">
        <w:rPr>
          <w:rFonts w:ascii="Arial Narrow" w:hAnsi="Arial Narrow" w:cs="Tahoma"/>
          <w:spacing w:val="-3"/>
          <w:sz w:val="28"/>
          <w:szCs w:val="28"/>
        </w:rPr>
        <w:t xml:space="preserve"> </w:t>
      </w:r>
      <w:r>
        <w:rPr>
          <w:rFonts w:ascii="Arial Narrow" w:hAnsi="Arial Narrow" w:cs="Tahoma"/>
          <w:spacing w:val="-3"/>
          <w:sz w:val="28"/>
          <w:szCs w:val="28"/>
        </w:rPr>
        <w:t>que se les entregara copia de los documentos que sustentaron la construcción de la urbanización, recibiendo apenas respuesta parcial</w:t>
      </w:r>
      <w:r w:rsidR="00720E26">
        <w:rPr>
          <w:rFonts w:ascii="Arial Narrow" w:hAnsi="Arial Narrow" w:cs="Tahoma"/>
          <w:spacing w:val="-3"/>
          <w:sz w:val="28"/>
          <w:szCs w:val="28"/>
        </w:rPr>
        <w:t xml:space="preserve">, con copias de la licencia de construcción y la autorización de la </w:t>
      </w:r>
      <w:proofErr w:type="spellStart"/>
      <w:r w:rsidR="00720E26">
        <w:rPr>
          <w:rFonts w:ascii="Arial Narrow" w:hAnsi="Arial Narrow" w:cs="Tahoma"/>
          <w:spacing w:val="-3"/>
          <w:sz w:val="28"/>
          <w:szCs w:val="28"/>
        </w:rPr>
        <w:t>Carder</w:t>
      </w:r>
      <w:proofErr w:type="spellEnd"/>
      <w:r w:rsidR="00720E26">
        <w:rPr>
          <w:rFonts w:ascii="Arial Narrow" w:hAnsi="Arial Narrow" w:cs="Tahoma"/>
          <w:spacing w:val="-3"/>
          <w:sz w:val="28"/>
          <w:szCs w:val="28"/>
        </w:rPr>
        <w:t xml:space="preserve">, que la constructora al ejecutar el proyecto no </w:t>
      </w:r>
      <w:r w:rsidR="004F6803">
        <w:rPr>
          <w:rFonts w:ascii="Arial Narrow" w:hAnsi="Arial Narrow" w:cs="Tahoma"/>
          <w:spacing w:val="-3"/>
          <w:sz w:val="28"/>
          <w:szCs w:val="28"/>
        </w:rPr>
        <w:t xml:space="preserve">respetó la distancia establecida por la </w:t>
      </w:r>
      <w:proofErr w:type="spellStart"/>
      <w:r w:rsidR="004F6803">
        <w:rPr>
          <w:rFonts w:ascii="Arial Narrow" w:hAnsi="Arial Narrow" w:cs="Tahoma"/>
          <w:spacing w:val="-3"/>
          <w:sz w:val="28"/>
          <w:szCs w:val="28"/>
        </w:rPr>
        <w:t>Carder</w:t>
      </w:r>
      <w:proofErr w:type="spellEnd"/>
      <w:r w:rsidR="004F6803">
        <w:rPr>
          <w:rFonts w:ascii="Arial Narrow" w:hAnsi="Arial Narrow" w:cs="Tahoma"/>
          <w:spacing w:val="-3"/>
          <w:sz w:val="28"/>
          <w:szCs w:val="28"/>
        </w:rPr>
        <w:t>, pues se logró establecer con un topógrafo que apenas hay 9.04 metros, que dicho profesional además establece que se seguirá presentando socavación por dinámica de la aludida quebrada, que otro profesional en Ingeniería Civil, conceptuó que es claro el efecto erosivo de la quebrada mencionada y que la casa de los accionantes es uno de los puntos más críticos y es evidente el riesgo en que se encuentran las personas, que desde el estudio preliminar de suelos y recomendación de cimentación, para la construcción de la Urbanización, se logró establecer que el terreno era de condiciones muy difíciles, porque se trata de una antigua terraza de inundación de la quebrada el Erazo.</w:t>
      </w:r>
    </w:p>
    <w:p w:rsidR="004F6803" w:rsidRDefault="004F6803" w:rsidP="00195F57">
      <w:pPr>
        <w:spacing w:line="360" w:lineRule="auto"/>
        <w:ind w:firstLine="851"/>
        <w:jc w:val="both"/>
        <w:rPr>
          <w:rFonts w:ascii="Arial Narrow" w:hAnsi="Arial Narrow" w:cs="Tahoma"/>
          <w:spacing w:val="-3"/>
          <w:sz w:val="28"/>
          <w:szCs w:val="28"/>
        </w:rPr>
      </w:pPr>
    </w:p>
    <w:p w:rsidR="00D20D6D" w:rsidRDefault="004F6803"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Destaca la portavoz judicial de los accionantes que es inminente el riesgo a la vida y al patrimonio que se presenta por el incumplimiento por parte de las constructoras y por las omisiones que se dio en</w:t>
      </w:r>
      <w:r w:rsidR="00D20D6D">
        <w:rPr>
          <w:rFonts w:ascii="Arial Narrow" w:hAnsi="Arial Narrow" w:cs="Tahoma"/>
          <w:spacing w:val="-3"/>
          <w:sz w:val="28"/>
          <w:szCs w:val="28"/>
        </w:rPr>
        <w:t xml:space="preserve"> </w:t>
      </w:r>
      <w:r>
        <w:rPr>
          <w:rFonts w:ascii="Arial Narrow" w:hAnsi="Arial Narrow" w:cs="Tahoma"/>
          <w:spacing w:val="-3"/>
          <w:sz w:val="28"/>
          <w:szCs w:val="28"/>
        </w:rPr>
        <w:t>la supervisi</w:t>
      </w:r>
      <w:r w:rsidR="00D20D6D">
        <w:rPr>
          <w:rFonts w:ascii="Arial Narrow" w:hAnsi="Arial Narrow" w:cs="Tahoma"/>
          <w:spacing w:val="-3"/>
          <w:sz w:val="28"/>
          <w:szCs w:val="28"/>
        </w:rPr>
        <w:t>ó</w:t>
      </w:r>
      <w:r>
        <w:rPr>
          <w:rFonts w:ascii="Arial Narrow" w:hAnsi="Arial Narrow" w:cs="Tahoma"/>
          <w:spacing w:val="-3"/>
          <w:sz w:val="28"/>
          <w:szCs w:val="28"/>
        </w:rPr>
        <w:t>n y vigilancia por parte de las entidades públicas convocadas</w:t>
      </w:r>
      <w:r w:rsidR="00D20D6D">
        <w:rPr>
          <w:rFonts w:ascii="Arial Narrow" w:hAnsi="Arial Narrow" w:cs="Tahoma"/>
          <w:spacing w:val="-3"/>
          <w:sz w:val="28"/>
          <w:szCs w:val="28"/>
        </w:rPr>
        <w:t xml:space="preserve"> a esta acción tutelar</w:t>
      </w:r>
      <w:r>
        <w:rPr>
          <w:rFonts w:ascii="Arial Narrow" w:hAnsi="Arial Narrow" w:cs="Tahoma"/>
          <w:spacing w:val="-3"/>
          <w:sz w:val="28"/>
          <w:szCs w:val="28"/>
        </w:rPr>
        <w:t>,</w:t>
      </w:r>
      <w:r w:rsidR="00D20D6D">
        <w:rPr>
          <w:rFonts w:ascii="Arial Narrow" w:hAnsi="Arial Narrow" w:cs="Tahoma"/>
          <w:spacing w:val="-3"/>
          <w:sz w:val="28"/>
          <w:szCs w:val="28"/>
        </w:rPr>
        <w:t xml:space="preserve"> que hasta el día de hoy se han perdido por socavación varios metros de tierra quedando solamente 4,1 </w:t>
      </w:r>
      <w:proofErr w:type="spellStart"/>
      <w:r w:rsidR="00D20D6D">
        <w:rPr>
          <w:rFonts w:ascii="Arial Narrow" w:hAnsi="Arial Narrow" w:cs="Tahoma"/>
          <w:spacing w:val="-3"/>
          <w:sz w:val="28"/>
          <w:szCs w:val="28"/>
        </w:rPr>
        <w:t>mts</w:t>
      </w:r>
      <w:proofErr w:type="spellEnd"/>
      <w:r w:rsidR="00D20D6D">
        <w:rPr>
          <w:rFonts w:ascii="Arial Narrow" w:hAnsi="Arial Narrow" w:cs="Tahoma"/>
          <w:spacing w:val="-3"/>
          <w:sz w:val="28"/>
          <w:szCs w:val="28"/>
        </w:rPr>
        <w:t>, siendo latente la ocurrencia de una posible catástrofe, que por tales circunstancias las casas han perdido un 20% de avalúo comercial.</w:t>
      </w:r>
    </w:p>
    <w:p w:rsidR="00D20D6D" w:rsidRDefault="00D20D6D" w:rsidP="00195F57">
      <w:pPr>
        <w:spacing w:line="360" w:lineRule="auto"/>
        <w:ind w:firstLine="851"/>
        <w:jc w:val="both"/>
        <w:rPr>
          <w:rFonts w:ascii="Arial Narrow" w:hAnsi="Arial Narrow" w:cs="Tahoma"/>
          <w:spacing w:val="-3"/>
          <w:sz w:val="28"/>
          <w:szCs w:val="28"/>
        </w:rPr>
      </w:pPr>
    </w:p>
    <w:p w:rsidR="00D20D6D" w:rsidRDefault="00D20D6D"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lastRenderedPageBreak/>
        <w:t>Indica finalmente que en la actualidad se surte ante la Jurisdicción Contencioso Administrativa proceso de Reparación Directa, asunto que apenas está en la etapa de contestación de la demanda, por lo que acción de tutela es procedente</w:t>
      </w:r>
      <w:r w:rsidR="001A7838">
        <w:rPr>
          <w:rFonts w:ascii="Arial Narrow" w:hAnsi="Arial Narrow" w:cs="Tahoma"/>
          <w:spacing w:val="-3"/>
          <w:sz w:val="28"/>
          <w:szCs w:val="28"/>
        </w:rPr>
        <w:t xml:space="preserve"> para amparar los derechos fundamentales enunciados</w:t>
      </w:r>
      <w:r>
        <w:rPr>
          <w:rFonts w:ascii="Arial Narrow" w:hAnsi="Arial Narrow" w:cs="Tahoma"/>
          <w:spacing w:val="-3"/>
          <w:sz w:val="28"/>
          <w:szCs w:val="28"/>
        </w:rPr>
        <w:t>.</w:t>
      </w:r>
    </w:p>
    <w:p w:rsidR="00843F9F" w:rsidRDefault="00843F9F" w:rsidP="00195F57">
      <w:pPr>
        <w:spacing w:line="360" w:lineRule="auto"/>
        <w:ind w:firstLine="851"/>
        <w:jc w:val="both"/>
        <w:rPr>
          <w:rFonts w:ascii="Arial Narrow" w:hAnsi="Arial Narrow" w:cs="Tahoma"/>
          <w:spacing w:val="-3"/>
          <w:sz w:val="28"/>
          <w:szCs w:val="28"/>
        </w:rPr>
      </w:pPr>
    </w:p>
    <w:p w:rsidR="001A7838" w:rsidRDefault="001A7838"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Admitida la acción, se dio traslado a los entes accionados y vinculados, los cuales allegaron contestación así:</w:t>
      </w:r>
    </w:p>
    <w:p w:rsidR="001A7838" w:rsidRDefault="001A7838" w:rsidP="00195F57">
      <w:pPr>
        <w:spacing w:line="360" w:lineRule="auto"/>
        <w:ind w:firstLine="851"/>
        <w:jc w:val="both"/>
        <w:rPr>
          <w:rFonts w:ascii="Arial Narrow" w:hAnsi="Arial Narrow" w:cs="Tahoma"/>
          <w:spacing w:val="-3"/>
          <w:sz w:val="28"/>
          <w:szCs w:val="28"/>
        </w:rPr>
      </w:pPr>
    </w:p>
    <w:p w:rsidR="00BA1B8E" w:rsidRDefault="001A7838"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La </w:t>
      </w:r>
      <w:proofErr w:type="spellStart"/>
      <w:r>
        <w:rPr>
          <w:rFonts w:ascii="Arial Narrow" w:hAnsi="Arial Narrow" w:cs="Tahoma"/>
          <w:spacing w:val="-3"/>
          <w:sz w:val="28"/>
          <w:szCs w:val="28"/>
        </w:rPr>
        <w:t>Carder</w:t>
      </w:r>
      <w:proofErr w:type="spellEnd"/>
      <w:r>
        <w:rPr>
          <w:rFonts w:ascii="Arial Narrow" w:hAnsi="Arial Narrow" w:cs="Tahoma"/>
          <w:spacing w:val="-3"/>
          <w:sz w:val="28"/>
          <w:szCs w:val="28"/>
        </w:rPr>
        <w:t xml:space="preserve"> destaca que revisado el expediente adelantado</w:t>
      </w:r>
      <w:r w:rsidR="00A33C98">
        <w:rPr>
          <w:rFonts w:ascii="Arial Narrow" w:hAnsi="Arial Narrow" w:cs="Tahoma"/>
          <w:spacing w:val="-3"/>
          <w:sz w:val="28"/>
          <w:szCs w:val="28"/>
        </w:rPr>
        <w:t xml:space="preserve"> en virtud de la solicitud de la constructora para adelantar la construcción de la urbanización, se observa que se realizaron labores de seguimiento y control encontrándose que el proyecto se ejecutó con los retiros establecidos. Que el 30 de octubre de 2013 se realizó visita de seguimiento y control a la construcción del aludido proyecto, encontrándose el incumplimiento e imponiéndose las respectivas sanciones</w:t>
      </w:r>
      <w:r w:rsidR="00BA1B8E">
        <w:rPr>
          <w:rFonts w:ascii="Arial Narrow" w:hAnsi="Arial Narrow" w:cs="Tahoma"/>
          <w:spacing w:val="-3"/>
          <w:sz w:val="28"/>
          <w:szCs w:val="28"/>
        </w:rPr>
        <w:t xml:space="preserve"> y que posteriormente tales sanciones fueron superadas, al observarse el cumplimiento de las recomendaciones. Destaca que al tratarse de situaciones de riesgos naturales, no competen a la </w:t>
      </w:r>
      <w:proofErr w:type="spellStart"/>
      <w:r w:rsidR="00BA1B8E">
        <w:rPr>
          <w:rFonts w:ascii="Arial Narrow" w:hAnsi="Arial Narrow" w:cs="Tahoma"/>
          <w:spacing w:val="-3"/>
          <w:sz w:val="28"/>
          <w:szCs w:val="28"/>
        </w:rPr>
        <w:t>Carder</w:t>
      </w:r>
      <w:proofErr w:type="spellEnd"/>
      <w:r w:rsidR="00BA1B8E">
        <w:rPr>
          <w:rFonts w:ascii="Arial Narrow" w:hAnsi="Arial Narrow" w:cs="Tahoma"/>
          <w:spacing w:val="-3"/>
          <w:sz w:val="28"/>
          <w:szCs w:val="28"/>
        </w:rPr>
        <w:t xml:space="preserve"> su adecuación.</w:t>
      </w:r>
    </w:p>
    <w:p w:rsidR="00BA1B8E" w:rsidRDefault="00BA1B8E" w:rsidP="00195F57">
      <w:pPr>
        <w:spacing w:line="360" w:lineRule="auto"/>
        <w:ind w:firstLine="851"/>
        <w:jc w:val="both"/>
        <w:rPr>
          <w:rFonts w:ascii="Arial Narrow" w:hAnsi="Arial Narrow" w:cs="Tahoma"/>
          <w:spacing w:val="-3"/>
          <w:sz w:val="28"/>
          <w:szCs w:val="28"/>
        </w:rPr>
      </w:pPr>
    </w:p>
    <w:p w:rsidR="00AC0B75" w:rsidRDefault="00BA1B8E"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Destaca que en visita realizada el 27 de enero de 2017, se </w:t>
      </w:r>
      <w:r w:rsidR="00AC0B75">
        <w:rPr>
          <w:rFonts w:ascii="Arial Narrow" w:hAnsi="Arial Narrow" w:cs="Tahoma"/>
          <w:spacing w:val="-3"/>
          <w:sz w:val="28"/>
          <w:szCs w:val="28"/>
        </w:rPr>
        <w:t>verificó</w:t>
      </w:r>
      <w:r>
        <w:rPr>
          <w:rFonts w:ascii="Arial Narrow" w:hAnsi="Arial Narrow" w:cs="Tahoma"/>
          <w:spacing w:val="-3"/>
          <w:sz w:val="28"/>
          <w:szCs w:val="28"/>
        </w:rPr>
        <w:t xml:space="preserve"> el </w:t>
      </w:r>
      <w:r w:rsidR="00AC0B75">
        <w:rPr>
          <w:rFonts w:ascii="Arial Narrow" w:hAnsi="Arial Narrow" w:cs="Tahoma"/>
          <w:spacing w:val="-3"/>
          <w:sz w:val="28"/>
          <w:szCs w:val="28"/>
        </w:rPr>
        <w:t>desvío</w:t>
      </w:r>
      <w:r>
        <w:rPr>
          <w:rFonts w:ascii="Arial Narrow" w:hAnsi="Arial Narrow" w:cs="Tahoma"/>
          <w:spacing w:val="-3"/>
          <w:sz w:val="28"/>
          <w:szCs w:val="28"/>
        </w:rPr>
        <w:t xml:space="preserve"> del cauce de la quebrada el Erazo, que de seguir as</w:t>
      </w:r>
      <w:r w:rsidR="00AC0B75">
        <w:rPr>
          <w:rFonts w:ascii="Arial Narrow" w:hAnsi="Arial Narrow" w:cs="Tahoma"/>
          <w:spacing w:val="-3"/>
          <w:sz w:val="28"/>
          <w:szCs w:val="28"/>
        </w:rPr>
        <w:t>í</w:t>
      </w:r>
      <w:r>
        <w:rPr>
          <w:rFonts w:ascii="Arial Narrow" w:hAnsi="Arial Narrow" w:cs="Tahoma"/>
          <w:spacing w:val="-3"/>
          <w:sz w:val="28"/>
          <w:szCs w:val="28"/>
        </w:rPr>
        <w:t xml:space="preserve"> terminará afectando la vivienda 49 de la Urbanización</w:t>
      </w:r>
      <w:r w:rsidR="00AC0B75">
        <w:rPr>
          <w:rFonts w:ascii="Arial Narrow" w:hAnsi="Arial Narrow" w:cs="Tahoma"/>
          <w:spacing w:val="-3"/>
          <w:sz w:val="28"/>
          <w:szCs w:val="28"/>
        </w:rPr>
        <w:t xml:space="preserve">, que se hace necesario adelantar labores de bioingeniería para reencauzar la quebrada, labores que indica no le incumben a esa entidad pero sí al Municipio de Pereira, conforme a la Ley 715 de 2001. Por tales motivos pide que se niegue la acción de amparo frente a la </w:t>
      </w:r>
      <w:proofErr w:type="spellStart"/>
      <w:r w:rsidR="00AC0B75">
        <w:rPr>
          <w:rFonts w:ascii="Arial Narrow" w:hAnsi="Arial Narrow" w:cs="Tahoma"/>
          <w:spacing w:val="-3"/>
          <w:sz w:val="28"/>
          <w:szCs w:val="28"/>
        </w:rPr>
        <w:t>Carder</w:t>
      </w:r>
      <w:proofErr w:type="spellEnd"/>
      <w:r w:rsidR="00AC0B75">
        <w:rPr>
          <w:rFonts w:ascii="Arial Narrow" w:hAnsi="Arial Narrow" w:cs="Tahoma"/>
          <w:spacing w:val="-3"/>
          <w:sz w:val="28"/>
          <w:szCs w:val="28"/>
        </w:rPr>
        <w:t>.</w:t>
      </w:r>
    </w:p>
    <w:p w:rsidR="00AC0B75" w:rsidRDefault="00AC0B75" w:rsidP="00195F57">
      <w:pPr>
        <w:spacing w:line="360" w:lineRule="auto"/>
        <w:ind w:firstLine="851"/>
        <w:jc w:val="both"/>
        <w:rPr>
          <w:rFonts w:ascii="Arial Narrow" w:hAnsi="Arial Narrow" w:cs="Tahoma"/>
          <w:spacing w:val="-3"/>
          <w:sz w:val="28"/>
          <w:szCs w:val="28"/>
        </w:rPr>
      </w:pPr>
    </w:p>
    <w:p w:rsidR="00617727" w:rsidRDefault="00AC0B75"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La Dirección de Gestión de Riesgo del Municipio de Pereira, alega que las fallas que presenta la vivienda de los accionantes, constituyen vicios ocultos que podrían dar lugar a una acción redhibitoria ante la constructora, con la correspondiente indemnización de perjuicios</w:t>
      </w:r>
      <w:r w:rsidR="00617727">
        <w:rPr>
          <w:rFonts w:ascii="Arial Narrow" w:hAnsi="Arial Narrow" w:cs="Tahoma"/>
          <w:spacing w:val="-3"/>
          <w:sz w:val="28"/>
          <w:szCs w:val="28"/>
        </w:rPr>
        <w:t>. Además de lo anterior, destaca que no se ha cumplido con el requisito de la inmediatez de la acción de tutela. Pide con base en tales argumentos, que se desestime la acción tutelar.</w:t>
      </w:r>
    </w:p>
    <w:p w:rsidR="00617727" w:rsidRDefault="00617727" w:rsidP="00195F57">
      <w:pPr>
        <w:spacing w:line="360" w:lineRule="auto"/>
        <w:ind w:firstLine="851"/>
        <w:jc w:val="both"/>
        <w:rPr>
          <w:rFonts w:ascii="Arial Narrow" w:hAnsi="Arial Narrow" w:cs="Tahoma"/>
          <w:spacing w:val="-3"/>
          <w:sz w:val="28"/>
          <w:szCs w:val="28"/>
        </w:rPr>
      </w:pPr>
    </w:p>
    <w:p w:rsidR="00617727" w:rsidRDefault="00617727"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lastRenderedPageBreak/>
        <w:t>El Municipio de Pereira, por intermedio de apoderada judicial, advera que son los constructores los llamados a resarcir los daños ocasionados a los accionantes. Indica que la Dirección Operativa de Control Físico ejerce funciones de Control y Vigilancia sobre las obras que se adelantan en el Municipio de Pereira, y las mismas se cumplieron. Por tal razón pide que se desligue al ente territorial de esta acción.</w:t>
      </w:r>
    </w:p>
    <w:p w:rsidR="00617727" w:rsidRDefault="00617727" w:rsidP="00195F57">
      <w:pPr>
        <w:spacing w:line="360" w:lineRule="auto"/>
        <w:ind w:firstLine="851"/>
        <w:jc w:val="both"/>
        <w:rPr>
          <w:rFonts w:ascii="Arial Narrow" w:hAnsi="Arial Narrow" w:cs="Tahoma"/>
          <w:spacing w:val="-3"/>
          <w:sz w:val="28"/>
          <w:szCs w:val="28"/>
        </w:rPr>
      </w:pPr>
    </w:p>
    <w:p w:rsidR="00AD5D6F" w:rsidRDefault="00617727"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Las compañías Q-Bica Constructora S.A.S. y Portal de Llano Grande S.A.S., allegaron respuesta por apoderado común, indicando que la tutela no es procedente, pues existe un proceso que actualmente cursa en la jurisdicción de lo contencioso administrativo, en el cual se valen de las mismas pruebas que las </w:t>
      </w:r>
      <w:r w:rsidR="00634549">
        <w:rPr>
          <w:rFonts w:ascii="Arial Narrow" w:hAnsi="Arial Narrow" w:cs="Tahoma"/>
          <w:spacing w:val="-3"/>
          <w:sz w:val="28"/>
          <w:szCs w:val="28"/>
        </w:rPr>
        <w:t>acá</w:t>
      </w:r>
      <w:r>
        <w:rPr>
          <w:rFonts w:ascii="Arial Narrow" w:hAnsi="Arial Narrow" w:cs="Tahoma"/>
          <w:spacing w:val="-3"/>
          <w:sz w:val="28"/>
          <w:szCs w:val="28"/>
        </w:rPr>
        <w:t xml:space="preserve"> relacionadas</w:t>
      </w:r>
      <w:r w:rsidR="00634549">
        <w:rPr>
          <w:rFonts w:ascii="Arial Narrow" w:hAnsi="Arial Narrow" w:cs="Tahoma"/>
          <w:spacing w:val="-3"/>
          <w:sz w:val="28"/>
          <w:szCs w:val="28"/>
        </w:rPr>
        <w:t>. Destaca que si la vivienda de los accionantes está en peligro, no es por el incumplimiento de las pautas de construcción por parte de esas compañías, sino por hechos propios de la naturaleza. Refiere que el pedido elevado en la demanda es netamente econ</w:t>
      </w:r>
      <w:r w:rsidR="00AD5D6F">
        <w:rPr>
          <w:rFonts w:ascii="Arial Narrow" w:hAnsi="Arial Narrow" w:cs="Tahoma"/>
          <w:spacing w:val="-3"/>
          <w:sz w:val="28"/>
          <w:szCs w:val="28"/>
        </w:rPr>
        <w:t>ó</w:t>
      </w:r>
      <w:r w:rsidR="00634549">
        <w:rPr>
          <w:rFonts w:ascii="Arial Narrow" w:hAnsi="Arial Narrow" w:cs="Tahoma"/>
          <w:spacing w:val="-3"/>
          <w:sz w:val="28"/>
          <w:szCs w:val="28"/>
        </w:rPr>
        <w:t>mico</w:t>
      </w:r>
      <w:proofErr w:type="gramStart"/>
      <w:r w:rsidR="00634549">
        <w:rPr>
          <w:rFonts w:ascii="Arial Narrow" w:hAnsi="Arial Narrow" w:cs="Tahoma"/>
          <w:spacing w:val="-3"/>
          <w:sz w:val="28"/>
          <w:szCs w:val="28"/>
        </w:rPr>
        <w:t>,.</w:t>
      </w:r>
      <w:proofErr w:type="gramEnd"/>
      <w:r w:rsidR="00634549">
        <w:rPr>
          <w:rFonts w:ascii="Arial Narrow" w:hAnsi="Arial Narrow" w:cs="Tahoma"/>
          <w:spacing w:val="-3"/>
          <w:sz w:val="28"/>
          <w:szCs w:val="28"/>
        </w:rPr>
        <w:t xml:space="preserve"> El cual debe ventilarse por una acci</w:t>
      </w:r>
      <w:r w:rsidR="00AD5D6F">
        <w:rPr>
          <w:rFonts w:ascii="Arial Narrow" w:hAnsi="Arial Narrow" w:cs="Tahoma"/>
          <w:spacing w:val="-3"/>
          <w:sz w:val="28"/>
          <w:szCs w:val="28"/>
        </w:rPr>
        <w:t>ó</w:t>
      </w:r>
      <w:r w:rsidR="00634549">
        <w:rPr>
          <w:rFonts w:ascii="Arial Narrow" w:hAnsi="Arial Narrow" w:cs="Tahoma"/>
          <w:spacing w:val="-3"/>
          <w:sz w:val="28"/>
          <w:szCs w:val="28"/>
        </w:rPr>
        <w:t>n diferente a la de tutela.</w:t>
      </w:r>
    </w:p>
    <w:p w:rsidR="00AD5D6F" w:rsidRDefault="00AD5D6F" w:rsidP="00195F57">
      <w:pPr>
        <w:spacing w:line="360" w:lineRule="auto"/>
        <w:ind w:firstLine="851"/>
        <w:jc w:val="both"/>
        <w:rPr>
          <w:rFonts w:ascii="Arial Narrow" w:hAnsi="Arial Narrow" w:cs="Tahoma"/>
          <w:spacing w:val="-3"/>
          <w:sz w:val="28"/>
          <w:szCs w:val="28"/>
        </w:rPr>
      </w:pPr>
    </w:p>
    <w:p w:rsidR="001A7838" w:rsidRDefault="00AD5D6F"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La sociedad Construcciones San Ángel S.A.S. por medio de procurador judicial, allegó respuesta, en la que pidió se desvinculara a la esa sociedad por no tener ningún tipo de responsabilidad.</w:t>
      </w:r>
      <w:r w:rsidR="00634549">
        <w:rPr>
          <w:rFonts w:ascii="Arial Narrow" w:hAnsi="Arial Narrow" w:cs="Tahoma"/>
          <w:spacing w:val="-3"/>
          <w:sz w:val="28"/>
          <w:szCs w:val="28"/>
        </w:rPr>
        <w:t xml:space="preserve"> </w:t>
      </w:r>
      <w:r w:rsidR="00617727">
        <w:rPr>
          <w:rFonts w:ascii="Arial Narrow" w:hAnsi="Arial Narrow" w:cs="Tahoma"/>
          <w:spacing w:val="-3"/>
          <w:sz w:val="28"/>
          <w:szCs w:val="28"/>
        </w:rPr>
        <w:t xml:space="preserve"> </w:t>
      </w:r>
      <w:r w:rsidR="00AC0B75">
        <w:rPr>
          <w:rFonts w:ascii="Arial Narrow" w:hAnsi="Arial Narrow" w:cs="Tahoma"/>
          <w:spacing w:val="-3"/>
          <w:sz w:val="28"/>
          <w:szCs w:val="28"/>
        </w:rPr>
        <w:t xml:space="preserve"> </w:t>
      </w:r>
      <w:r w:rsidR="00BA1B8E">
        <w:rPr>
          <w:rFonts w:ascii="Arial Narrow" w:hAnsi="Arial Narrow" w:cs="Tahoma"/>
          <w:spacing w:val="-3"/>
          <w:sz w:val="28"/>
          <w:szCs w:val="28"/>
        </w:rPr>
        <w:t xml:space="preserve"> </w:t>
      </w:r>
      <w:r w:rsidR="00A33C98">
        <w:rPr>
          <w:rFonts w:ascii="Arial Narrow" w:hAnsi="Arial Narrow" w:cs="Tahoma"/>
          <w:spacing w:val="-3"/>
          <w:sz w:val="28"/>
          <w:szCs w:val="28"/>
        </w:rPr>
        <w:t xml:space="preserve">  </w:t>
      </w:r>
      <w:r w:rsidR="001A7838">
        <w:rPr>
          <w:rFonts w:ascii="Arial Narrow" w:hAnsi="Arial Narrow" w:cs="Tahoma"/>
          <w:spacing w:val="-3"/>
          <w:sz w:val="28"/>
          <w:szCs w:val="28"/>
        </w:rPr>
        <w:t xml:space="preserve"> </w:t>
      </w:r>
    </w:p>
    <w:p w:rsidR="008B7E53" w:rsidRDefault="008B7E53" w:rsidP="00195F57">
      <w:pPr>
        <w:spacing w:line="360" w:lineRule="auto"/>
        <w:ind w:firstLine="851"/>
        <w:jc w:val="both"/>
        <w:rPr>
          <w:rFonts w:ascii="Arial Narrow" w:hAnsi="Arial Narrow" w:cs="Tahoma"/>
          <w:spacing w:val="-3"/>
          <w:sz w:val="28"/>
          <w:szCs w:val="28"/>
        </w:rPr>
      </w:pPr>
    </w:p>
    <w:p w:rsidR="00EF2DB9" w:rsidRDefault="00EF2DB9" w:rsidP="00EF2DB9">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Sentencia de primera instancia.</w:t>
      </w:r>
    </w:p>
    <w:p w:rsidR="00E179F5" w:rsidRPr="0056435D" w:rsidRDefault="00E179F5" w:rsidP="00EF2DB9">
      <w:pPr>
        <w:spacing w:line="360" w:lineRule="auto"/>
        <w:ind w:firstLine="851"/>
        <w:jc w:val="both"/>
        <w:rPr>
          <w:rFonts w:ascii="Arial Narrow" w:hAnsi="Arial Narrow" w:cs="Tahoma"/>
          <w:b/>
          <w:i/>
          <w:sz w:val="28"/>
          <w:szCs w:val="28"/>
        </w:rPr>
      </w:pPr>
    </w:p>
    <w:p w:rsidR="00E179F5" w:rsidRDefault="0038072E" w:rsidP="00EF2DB9">
      <w:pPr>
        <w:spacing w:line="360" w:lineRule="auto"/>
        <w:ind w:firstLine="851"/>
        <w:jc w:val="both"/>
        <w:rPr>
          <w:rFonts w:ascii="Arial Narrow" w:hAnsi="Arial Narrow" w:cs="Tahoma"/>
          <w:sz w:val="28"/>
          <w:szCs w:val="28"/>
        </w:rPr>
      </w:pPr>
      <w:r>
        <w:rPr>
          <w:rFonts w:ascii="Arial Narrow" w:hAnsi="Arial Narrow" w:cs="Tahoma"/>
          <w:sz w:val="28"/>
          <w:szCs w:val="28"/>
        </w:rPr>
        <w:t>Luego de analizar el derecho a la vivienda digna y determinar su fundamentalidad, estimó que es evidente que en el presente asunto el mismo se encuentra</w:t>
      </w:r>
      <w:r w:rsidR="00E179F5">
        <w:rPr>
          <w:rFonts w:ascii="Arial Narrow" w:hAnsi="Arial Narrow" w:cs="Tahoma"/>
          <w:sz w:val="28"/>
          <w:szCs w:val="28"/>
        </w:rPr>
        <w:t xml:space="preserve"> en serio riesgo y que le corresponde al ente municipal accionado resguardarlo, de conformidad con lo dispuesto en la Ley 388 de 1997 y la Ley 715 de 2001, pues estas normas asignan la competencia en cuanto al riesgo de desastres a tales organismos. </w:t>
      </w:r>
    </w:p>
    <w:p w:rsidR="00E179F5" w:rsidRDefault="00E179F5" w:rsidP="00EF2DB9">
      <w:pPr>
        <w:spacing w:line="360" w:lineRule="auto"/>
        <w:ind w:firstLine="851"/>
        <w:jc w:val="both"/>
        <w:rPr>
          <w:rFonts w:ascii="Arial Narrow" w:hAnsi="Arial Narrow" w:cs="Tahoma"/>
          <w:sz w:val="28"/>
          <w:szCs w:val="28"/>
        </w:rPr>
      </w:pPr>
    </w:p>
    <w:p w:rsidR="00E179F5" w:rsidRDefault="00E179F5" w:rsidP="00EF2DB9">
      <w:pPr>
        <w:spacing w:line="360" w:lineRule="auto"/>
        <w:ind w:firstLine="851"/>
        <w:jc w:val="both"/>
        <w:rPr>
          <w:rFonts w:ascii="Arial Narrow" w:hAnsi="Arial Narrow" w:cs="Tahoma"/>
          <w:sz w:val="28"/>
          <w:szCs w:val="28"/>
        </w:rPr>
      </w:pPr>
      <w:r>
        <w:rPr>
          <w:rFonts w:ascii="Arial Narrow" w:hAnsi="Arial Narrow" w:cs="Tahoma"/>
          <w:sz w:val="28"/>
          <w:szCs w:val="28"/>
        </w:rPr>
        <w:t>Encuentra que si bien tal daño data desde el año 2013, en realidad es una amenaza actual e inminente del derecho fundamental de los accionantes y, a pesar de los varios llamados que se han hecho, en realidad no se han atendido por parte del organismo territorial</w:t>
      </w:r>
      <w:r w:rsidR="00DD06E5">
        <w:rPr>
          <w:rFonts w:ascii="Arial Narrow" w:hAnsi="Arial Narrow" w:cs="Tahoma"/>
          <w:sz w:val="28"/>
          <w:szCs w:val="28"/>
        </w:rPr>
        <w:t xml:space="preserve">, manteniendo la situación de riesgo. Por tal motivo ordenó al </w:t>
      </w:r>
      <w:r w:rsidR="00DD06E5">
        <w:rPr>
          <w:rFonts w:ascii="Arial Narrow" w:hAnsi="Arial Narrow" w:cs="Tahoma"/>
          <w:sz w:val="28"/>
          <w:szCs w:val="28"/>
        </w:rPr>
        <w:lastRenderedPageBreak/>
        <w:t xml:space="preserve">Municipio de Pereira realizar las labores de las acciones geo mecánicas y de </w:t>
      </w:r>
      <w:proofErr w:type="spellStart"/>
      <w:r w:rsidR="00DD06E5">
        <w:rPr>
          <w:rFonts w:ascii="Arial Narrow" w:hAnsi="Arial Narrow" w:cs="Tahoma"/>
          <w:sz w:val="28"/>
          <w:szCs w:val="28"/>
        </w:rPr>
        <w:t>Bioingenieria</w:t>
      </w:r>
      <w:proofErr w:type="spellEnd"/>
      <w:r w:rsidR="00DD06E5">
        <w:rPr>
          <w:rFonts w:ascii="Arial Narrow" w:hAnsi="Arial Narrow" w:cs="Tahoma"/>
          <w:sz w:val="28"/>
          <w:szCs w:val="28"/>
        </w:rPr>
        <w:t xml:space="preserve"> para lograr que la quebrada El Erazo vuelva a su cauce natural, atendiendo las recomendaciones de la </w:t>
      </w:r>
      <w:proofErr w:type="spellStart"/>
      <w:r w:rsidR="00DD06E5">
        <w:rPr>
          <w:rFonts w:ascii="Arial Narrow" w:hAnsi="Arial Narrow" w:cs="Tahoma"/>
          <w:sz w:val="28"/>
          <w:szCs w:val="28"/>
        </w:rPr>
        <w:t>Carder</w:t>
      </w:r>
      <w:proofErr w:type="spellEnd"/>
      <w:r w:rsidR="00DD06E5">
        <w:rPr>
          <w:rFonts w:ascii="Arial Narrow" w:hAnsi="Arial Narrow" w:cs="Tahoma"/>
          <w:sz w:val="28"/>
          <w:szCs w:val="28"/>
        </w:rPr>
        <w:t xml:space="preserve">. </w:t>
      </w:r>
      <w:r>
        <w:rPr>
          <w:rFonts w:ascii="Arial Narrow" w:hAnsi="Arial Narrow" w:cs="Tahoma"/>
          <w:sz w:val="28"/>
          <w:szCs w:val="28"/>
        </w:rPr>
        <w:t xml:space="preserve"> </w:t>
      </w:r>
    </w:p>
    <w:p w:rsidR="00EF2DB9" w:rsidRDefault="00EF2DB9" w:rsidP="00CF150C">
      <w:pPr>
        <w:spacing w:line="360" w:lineRule="auto"/>
        <w:jc w:val="both"/>
        <w:rPr>
          <w:rFonts w:ascii="Arial Narrow" w:hAnsi="Arial Narrow" w:cs="Tahoma"/>
          <w:sz w:val="28"/>
          <w:szCs w:val="28"/>
        </w:rPr>
      </w:pPr>
    </w:p>
    <w:p w:rsidR="00EF2DB9" w:rsidRDefault="00EF2DB9" w:rsidP="00EF2DB9">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 xml:space="preserve">Impugnación. </w:t>
      </w:r>
    </w:p>
    <w:p w:rsidR="0074785B" w:rsidRDefault="0074785B" w:rsidP="0074785B">
      <w:pPr>
        <w:pStyle w:val="Sansinterligne"/>
      </w:pPr>
    </w:p>
    <w:p w:rsidR="00DD06E5" w:rsidRDefault="00DD06E5" w:rsidP="00EF2DB9">
      <w:pPr>
        <w:spacing w:line="360" w:lineRule="auto"/>
        <w:ind w:firstLine="851"/>
        <w:jc w:val="both"/>
        <w:rPr>
          <w:rFonts w:ascii="Arial Narrow" w:hAnsi="Arial Narrow" w:cs="Tahoma"/>
          <w:sz w:val="28"/>
          <w:szCs w:val="28"/>
        </w:rPr>
      </w:pPr>
      <w:r>
        <w:rPr>
          <w:rFonts w:ascii="Arial Narrow" w:hAnsi="Arial Narrow" w:cs="Tahoma"/>
          <w:sz w:val="28"/>
          <w:szCs w:val="28"/>
        </w:rPr>
        <w:t xml:space="preserve">La decisión fue impugnada tanto por los accionantes, como por el Municipio de Pereira y la Dirección Operativa de Gestión del Riesgo. </w:t>
      </w:r>
    </w:p>
    <w:p w:rsidR="00DD06E5" w:rsidRDefault="00DD06E5" w:rsidP="00EF2DB9">
      <w:pPr>
        <w:spacing w:line="360" w:lineRule="auto"/>
        <w:ind w:firstLine="851"/>
        <w:jc w:val="both"/>
        <w:rPr>
          <w:rFonts w:ascii="Arial Narrow" w:hAnsi="Arial Narrow" w:cs="Tahoma"/>
          <w:sz w:val="28"/>
          <w:szCs w:val="28"/>
        </w:rPr>
      </w:pPr>
    </w:p>
    <w:p w:rsidR="00D76628" w:rsidRDefault="00DD06E5" w:rsidP="00EF2DB9">
      <w:pPr>
        <w:spacing w:line="360" w:lineRule="auto"/>
        <w:ind w:firstLine="851"/>
        <w:jc w:val="both"/>
        <w:rPr>
          <w:rFonts w:ascii="Arial Narrow" w:hAnsi="Arial Narrow" w:cs="Tahoma"/>
          <w:sz w:val="28"/>
          <w:szCs w:val="28"/>
        </w:rPr>
      </w:pPr>
      <w:r>
        <w:rPr>
          <w:rFonts w:ascii="Arial Narrow" w:hAnsi="Arial Narrow" w:cs="Tahoma"/>
          <w:sz w:val="28"/>
          <w:szCs w:val="28"/>
        </w:rPr>
        <w:t>Los accionantes estuvieron inconformes con</w:t>
      </w:r>
      <w:r w:rsidR="009617A1">
        <w:rPr>
          <w:rFonts w:ascii="Arial Narrow" w:hAnsi="Arial Narrow" w:cs="Tahoma"/>
          <w:sz w:val="28"/>
          <w:szCs w:val="28"/>
        </w:rPr>
        <w:t xml:space="preserve"> </w:t>
      </w:r>
      <w:r>
        <w:rPr>
          <w:rFonts w:ascii="Arial Narrow" w:hAnsi="Arial Narrow" w:cs="Tahoma"/>
          <w:sz w:val="28"/>
          <w:szCs w:val="28"/>
        </w:rPr>
        <w:t>la decisión</w:t>
      </w:r>
      <w:r w:rsidR="009617A1">
        <w:rPr>
          <w:rFonts w:ascii="Arial Narrow" w:hAnsi="Arial Narrow" w:cs="Tahoma"/>
          <w:sz w:val="28"/>
          <w:szCs w:val="28"/>
        </w:rPr>
        <w:t>, pues estiman que es injusto culpar a la naturaleza de lo que está aconteciendo con su vivienda, cuando fueron los constructores y las entidades encargadas de ejercer vigilancia, las que fallaron en cumplir con los mandatos legales sobre construcción. Destaca que si bien el reclamo de la devolución del dinero</w:t>
      </w:r>
      <w:r w:rsidR="004342C3">
        <w:rPr>
          <w:rFonts w:ascii="Arial Narrow" w:hAnsi="Arial Narrow" w:cs="Tahoma"/>
          <w:sz w:val="28"/>
          <w:szCs w:val="28"/>
        </w:rPr>
        <w:t xml:space="preserve"> se está tramitando mediante proceso de reparación directa, lo cierto es que han pasado dos años desde la instauración del proceso y apenas está en las contestaciones y, cuando se logre una decisión de primera instancia, muy seguramente a casa ya no esté en pie. Estima que conociendo la parte operativa de la administración, los términos concedidos en la sentencia -1 mes para elaborar una pericia sobre las condiciones del terreno</w:t>
      </w:r>
      <w:r w:rsidR="00D76628">
        <w:rPr>
          <w:rFonts w:ascii="Arial Narrow" w:hAnsi="Arial Narrow" w:cs="Tahoma"/>
          <w:sz w:val="28"/>
          <w:szCs w:val="28"/>
        </w:rPr>
        <w:t xml:space="preserve"> y 2 meses para dar inicio a las obras- no serán cumplidos, por lo que es posible que se materialice una amenaza latente. Por tal motivo pide que se conceda la tutela y se ordene la devolución del dinero pagado y, en subsidio, se les traslade a una urbanización de similares características.</w:t>
      </w:r>
    </w:p>
    <w:p w:rsidR="00D76628" w:rsidRDefault="00D76628" w:rsidP="00EF2DB9">
      <w:pPr>
        <w:spacing w:line="360" w:lineRule="auto"/>
        <w:ind w:firstLine="851"/>
        <w:jc w:val="both"/>
        <w:rPr>
          <w:rFonts w:ascii="Arial Narrow" w:hAnsi="Arial Narrow" w:cs="Tahoma"/>
          <w:sz w:val="28"/>
          <w:szCs w:val="28"/>
        </w:rPr>
      </w:pPr>
    </w:p>
    <w:p w:rsidR="00B7172A" w:rsidRDefault="00D563DD" w:rsidP="00EF2DB9">
      <w:pPr>
        <w:spacing w:line="360" w:lineRule="auto"/>
        <w:ind w:firstLine="851"/>
        <w:jc w:val="both"/>
        <w:rPr>
          <w:rFonts w:ascii="Arial Narrow" w:hAnsi="Arial Narrow" w:cs="Tahoma"/>
          <w:sz w:val="28"/>
          <w:szCs w:val="28"/>
        </w:rPr>
      </w:pPr>
      <w:r>
        <w:rPr>
          <w:rFonts w:ascii="Arial Narrow" w:hAnsi="Arial Narrow" w:cs="Tahoma"/>
          <w:sz w:val="28"/>
          <w:szCs w:val="28"/>
        </w:rPr>
        <w:t>El Municipio de Pereira destaca que es al constructor vendedor a quien le compete salir a responder por evicción o por vicios redhibitorios, tal como lo manda el artículo 1915 del Código Civil y 934 del Código de Comercio. Como el Municipio no fue el vendedor del inmueble no puede ser el responsable de la adecuación de los terrenos y menos de responder por los vicios ocultos. Por tal razón, estima que debe desligarse al Municipio de esta acci</w:t>
      </w:r>
      <w:r w:rsidR="00B7172A">
        <w:rPr>
          <w:rFonts w:ascii="Arial Narrow" w:hAnsi="Arial Narrow" w:cs="Tahoma"/>
          <w:sz w:val="28"/>
          <w:szCs w:val="28"/>
        </w:rPr>
        <w:t>ó</w:t>
      </w:r>
      <w:r>
        <w:rPr>
          <w:rFonts w:ascii="Arial Narrow" w:hAnsi="Arial Narrow" w:cs="Tahoma"/>
          <w:sz w:val="28"/>
          <w:szCs w:val="28"/>
        </w:rPr>
        <w:t>n</w:t>
      </w:r>
      <w:r w:rsidR="00B7172A">
        <w:rPr>
          <w:rFonts w:ascii="Arial Narrow" w:hAnsi="Arial Narrow" w:cs="Tahoma"/>
          <w:sz w:val="28"/>
          <w:szCs w:val="28"/>
        </w:rPr>
        <w:t>.</w:t>
      </w:r>
    </w:p>
    <w:p w:rsidR="00B7172A" w:rsidRDefault="00B7172A" w:rsidP="00EF2DB9">
      <w:pPr>
        <w:spacing w:line="360" w:lineRule="auto"/>
        <w:ind w:firstLine="851"/>
        <w:jc w:val="both"/>
        <w:rPr>
          <w:rFonts w:ascii="Arial Narrow" w:hAnsi="Arial Narrow" w:cs="Tahoma"/>
          <w:sz w:val="28"/>
          <w:szCs w:val="28"/>
        </w:rPr>
      </w:pPr>
    </w:p>
    <w:p w:rsidR="00AF4C0F" w:rsidRDefault="00B7172A" w:rsidP="001920D5">
      <w:pPr>
        <w:spacing w:line="360" w:lineRule="auto"/>
        <w:ind w:firstLine="851"/>
        <w:jc w:val="both"/>
        <w:rPr>
          <w:rFonts w:ascii="Arial Narrow" w:hAnsi="Arial Narrow" w:cs="Tahoma"/>
          <w:sz w:val="28"/>
          <w:szCs w:val="28"/>
        </w:rPr>
      </w:pPr>
      <w:r>
        <w:rPr>
          <w:rFonts w:ascii="Arial Narrow" w:hAnsi="Arial Narrow" w:cs="Tahoma"/>
          <w:sz w:val="28"/>
          <w:szCs w:val="28"/>
        </w:rPr>
        <w:lastRenderedPageBreak/>
        <w:t>Por su parte la Dirección de Gestión del Riesgo, antes DOPAD, también impugnó la decisión asegurando que tales cargas a la administración municipal generan un detrimento patrimonial</w:t>
      </w:r>
      <w:r w:rsidR="00AD4B15">
        <w:rPr>
          <w:rFonts w:ascii="Arial Narrow" w:hAnsi="Arial Narrow" w:cs="Tahoma"/>
          <w:sz w:val="28"/>
          <w:szCs w:val="28"/>
        </w:rPr>
        <w:t>, máxime cuando son los constructores los encargados de responder por los vicios redhibitorios que presenta la construcción</w:t>
      </w:r>
    </w:p>
    <w:p w:rsidR="006E3478" w:rsidRPr="006E3478" w:rsidRDefault="006E3478" w:rsidP="006E3478">
      <w:pPr>
        <w:spacing w:line="360" w:lineRule="auto"/>
        <w:ind w:left="851"/>
        <w:jc w:val="both"/>
        <w:rPr>
          <w:rFonts w:ascii="Arial Narrow" w:hAnsi="Arial Narrow" w:cs="Tahoma"/>
          <w:sz w:val="28"/>
          <w:szCs w:val="28"/>
        </w:rPr>
      </w:pPr>
    </w:p>
    <w:p w:rsidR="00EF2DB9" w:rsidRPr="00601FBD" w:rsidRDefault="00EF2DB9" w:rsidP="00EF2DB9">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EF2DB9" w:rsidRPr="003318FF" w:rsidRDefault="00EF2DB9" w:rsidP="00EF2DB9">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EF2DB9" w:rsidRPr="003318FF" w:rsidRDefault="00EF2DB9" w:rsidP="00EF2DB9">
      <w:pPr>
        <w:ind w:firstLine="851"/>
        <w:jc w:val="both"/>
        <w:rPr>
          <w:rFonts w:ascii="Arial Narrow" w:hAnsi="Arial Narrow" w:cs="Tahoma"/>
          <w:b/>
          <w:bCs/>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accionada, en virtud de los factores funcional y territorial.</w:t>
      </w:r>
    </w:p>
    <w:p w:rsidR="00EF2DB9" w:rsidRPr="003318FF" w:rsidRDefault="00EF2DB9" w:rsidP="00EF2DB9">
      <w:pPr>
        <w:ind w:firstLine="851"/>
        <w:jc w:val="both"/>
        <w:rPr>
          <w:rFonts w:ascii="Arial Narrow" w:hAnsi="Arial Narrow" w:cs="Tahoma"/>
          <w:sz w:val="28"/>
          <w:szCs w:val="28"/>
        </w:rPr>
      </w:pPr>
    </w:p>
    <w:p w:rsidR="00EF2DB9" w:rsidRDefault="00EF2DB9" w:rsidP="00EF2DB9">
      <w:pPr>
        <w:spacing w:line="360" w:lineRule="auto"/>
        <w:ind w:firstLine="851"/>
        <w:jc w:val="both"/>
        <w:rPr>
          <w:rFonts w:ascii="Arial Narrow" w:hAnsi="Arial Narrow" w:cs="Arial"/>
          <w:b/>
          <w:i/>
          <w:color w:val="000000"/>
          <w:spacing w:val="-2"/>
          <w:sz w:val="28"/>
          <w:szCs w:val="28"/>
        </w:rPr>
      </w:pPr>
      <w:r w:rsidRPr="003318FF">
        <w:rPr>
          <w:rFonts w:ascii="Arial Narrow" w:hAnsi="Arial Narrow" w:cs="Arial"/>
          <w:b/>
          <w:i/>
          <w:color w:val="000000"/>
          <w:spacing w:val="-2"/>
          <w:sz w:val="28"/>
          <w:szCs w:val="28"/>
        </w:rPr>
        <w:t>2. Problema</w:t>
      </w:r>
      <w:r w:rsidR="00A67204">
        <w:rPr>
          <w:rFonts w:ascii="Arial Narrow" w:hAnsi="Arial Narrow" w:cs="Arial"/>
          <w:b/>
          <w:i/>
          <w:color w:val="000000"/>
          <w:spacing w:val="-2"/>
          <w:sz w:val="28"/>
          <w:szCs w:val="28"/>
        </w:rPr>
        <w:t>s</w:t>
      </w:r>
      <w:r w:rsidRPr="003318FF">
        <w:rPr>
          <w:rFonts w:ascii="Arial Narrow" w:hAnsi="Arial Narrow" w:cs="Arial"/>
          <w:b/>
          <w:i/>
          <w:color w:val="000000"/>
          <w:spacing w:val="-2"/>
          <w:sz w:val="28"/>
          <w:szCs w:val="28"/>
        </w:rPr>
        <w:t xml:space="preserve"> Jurídico</w:t>
      </w:r>
      <w:r w:rsidR="00A67204">
        <w:rPr>
          <w:rFonts w:ascii="Arial Narrow" w:hAnsi="Arial Narrow" w:cs="Arial"/>
          <w:b/>
          <w:i/>
          <w:color w:val="000000"/>
          <w:spacing w:val="-2"/>
          <w:sz w:val="28"/>
          <w:szCs w:val="28"/>
        </w:rPr>
        <w:t>s</w:t>
      </w:r>
    </w:p>
    <w:p w:rsidR="00A67204" w:rsidRDefault="00A67204" w:rsidP="00EF2DB9">
      <w:pPr>
        <w:spacing w:line="360" w:lineRule="auto"/>
        <w:ind w:firstLine="851"/>
        <w:jc w:val="both"/>
        <w:rPr>
          <w:rFonts w:ascii="Arial Narrow" w:hAnsi="Arial Narrow" w:cs="Arial"/>
          <w:b/>
          <w:i/>
          <w:color w:val="000000"/>
          <w:spacing w:val="-2"/>
          <w:sz w:val="28"/>
          <w:szCs w:val="28"/>
        </w:rPr>
      </w:pPr>
    </w:p>
    <w:p w:rsidR="006E3478" w:rsidRDefault="00A67204" w:rsidP="00EF2DB9">
      <w:pPr>
        <w:spacing w:line="360" w:lineRule="auto"/>
        <w:ind w:firstLine="851"/>
        <w:jc w:val="both"/>
        <w:rPr>
          <w:rFonts w:ascii="Arial Narrow" w:hAnsi="Arial Narrow" w:cs="Arial"/>
          <w:i/>
          <w:color w:val="000000"/>
          <w:spacing w:val="-2"/>
          <w:sz w:val="28"/>
          <w:szCs w:val="28"/>
        </w:rPr>
      </w:pPr>
      <w:r>
        <w:rPr>
          <w:rFonts w:ascii="Arial Narrow" w:hAnsi="Arial Narrow" w:cs="Arial"/>
          <w:i/>
          <w:color w:val="000000"/>
          <w:spacing w:val="-2"/>
          <w:sz w:val="28"/>
          <w:szCs w:val="28"/>
        </w:rPr>
        <w:t>¿</w:t>
      </w:r>
      <w:r w:rsidR="00E7619E">
        <w:rPr>
          <w:rFonts w:ascii="Arial Narrow" w:hAnsi="Arial Narrow" w:cs="Arial"/>
          <w:i/>
          <w:color w:val="000000"/>
          <w:spacing w:val="-2"/>
          <w:sz w:val="28"/>
          <w:szCs w:val="28"/>
        </w:rPr>
        <w:t>Es posible que por vía de tutela, en aras de salvaguardar el de</w:t>
      </w:r>
      <w:r w:rsidR="002178AD">
        <w:rPr>
          <w:rFonts w:ascii="Arial Narrow" w:hAnsi="Arial Narrow" w:cs="Arial"/>
          <w:i/>
          <w:color w:val="000000"/>
          <w:spacing w:val="-2"/>
          <w:sz w:val="28"/>
          <w:szCs w:val="28"/>
        </w:rPr>
        <w:t>re</w:t>
      </w:r>
      <w:r w:rsidR="00E7619E">
        <w:rPr>
          <w:rFonts w:ascii="Arial Narrow" w:hAnsi="Arial Narrow" w:cs="Arial"/>
          <w:i/>
          <w:color w:val="000000"/>
          <w:spacing w:val="-2"/>
          <w:sz w:val="28"/>
          <w:szCs w:val="28"/>
        </w:rPr>
        <w:t>cho fundamental a la</w:t>
      </w:r>
      <w:r w:rsidR="002178AD">
        <w:rPr>
          <w:rFonts w:ascii="Arial Narrow" w:hAnsi="Arial Narrow" w:cs="Arial"/>
          <w:i/>
          <w:color w:val="000000"/>
          <w:spacing w:val="-2"/>
          <w:sz w:val="28"/>
          <w:szCs w:val="28"/>
        </w:rPr>
        <w:t xml:space="preserve"> vivienda digna, se ordene el reembolso o reintegro del valor pagado</w:t>
      </w:r>
      <w:r w:rsidR="006E3478">
        <w:rPr>
          <w:rFonts w:ascii="Arial Narrow" w:hAnsi="Arial Narrow" w:cs="Arial"/>
          <w:i/>
          <w:color w:val="000000"/>
          <w:spacing w:val="-2"/>
          <w:sz w:val="28"/>
          <w:szCs w:val="28"/>
        </w:rPr>
        <w:t>?</w:t>
      </w:r>
    </w:p>
    <w:p w:rsidR="006E3478" w:rsidRDefault="006E3478" w:rsidP="00EF2DB9">
      <w:pPr>
        <w:spacing w:line="360" w:lineRule="auto"/>
        <w:ind w:firstLine="851"/>
        <w:jc w:val="both"/>
        <w:rPr>
          <w:rFonts w:ascii="Arial Narrow" w:hAnsi="Arial Narrow" w:cs="Arial"/>
          <w:i/>
          <w:color w:val="000000"/>
          <w:spacing w:val="-2"/>
          <w:sz w:val="28"/>
          <w:szCs w:val="28"/>
        </w:rPr>
      </w:pPr>
    </w:p>
    <w:p w:rsidR="006E3478" w:rsidRDefault="006E3478" w:rsidP="00EF2DB9">
      <w:pPr>
        <w:spacing w:line="360" w:lineRule="auto"/>
        <w:ind w:firstLine="851"/>
        <w:jc w:val="both"/>
        <w:rPr>
          <w:rFonts w:ascii="Arial Narrow" w:hAnsi="Arial Narrow" w:cs="Arial"/>
          <w:i/>
          <w:color w:val="000000"/>
          <w:spacing w:val="-2"/>
          <w:sz w:val="28"/>
          <w:szCs w:val="28"/>
        </w:rPr>
      </w:pPr>
      <w:r>
        <w:rPr>
          <w:rFonts w:ascii="Arial Narrow" w:hAnsi="Arial Narrow" w:cs="Arial"/>
          <w:i/>
          <w:color w:val="000000"/>
          <w:spacing w:val="-2"/>
          <w:sz w:val="28"/>
          <w:szCs w:val="28"/>
        </w:rPr>
        <w:t>¿</w:t>
      </w:r>
      <w:r w:rsidR="002178AD">
        <w:rPr>
          <w:rFonts w:ascii="Arial Narrow" w:hAnsi="Arial Narrow" w:cs="Arial"/>
          <w:i/>
          <w:color w:val="000000"/>
          <w:spacing w:val="-2"/>
          <w:sz w:val="28"/>
          <w:szCs w:val="28"/>
        </w:rPr>
        <w:t>Está a cargo del Municipio de Pereira y la Dirección de Gestión del Riesgo atender la situaci</w:t>
      </w:r>
      <w:r w:rsidR="00BE1069">
        <w:rPr>
          <w:rFonts w:ascii="Arial Narrow" w:hAnsi="Arial Narrow" w:cs="Arial"/>
          <w:i/>
          <w:color w:val="000000"/>
          <w:spacing w:val="-2"/>
          <w:sz w:val="28"/>
          <w:szCs w:val="28"/>
        </w:rPr>
        <w:t>ón que se presenta en la vivienda de los accionantes o tal afectación incumbe a las constructoras de la Urbanización Portal de Llano Grande</w:t>
      </w:r>
      <w:r>
        <w:rPr>
          <w:rFonts w:ascii="Arial Narrow" w:hAnsi="Arial Narrow" w:cs="Arial"/>
          <w:i/>
          <w:color w:val="000000"/>
          <w:spacing w:val="-2"/>
          <w:sz w:val="28"/>
          <w:szCs w:val="28"/>
        </w:rPr>
        <w:t>?</w:t>
      </w:r>
    </w:p>
    <w:p w:rsidR="00EF2DB9" w:rsidRPr="003318FF" w:rsidRDefault="00EF2DB9" w:rsidP="00EF2DB9">
      <w:pPr>
        <w:ind w:firstLine="851"/>
        <w:jc w:val="both"/>
        <w:rPr>
          <w:rFonts w:ascii="Arial Narrow" w:hAnsi="Arial Narrow" w:cs="Tahoma"/>
          <w:sz w:val="28"/>
          <w:szCs w:val="28"/>
        </w:rPr>
      </w:pPr>
    </w:p>
    <w:p w:rsidR="00EF2DB9" w:rsidRPr="003318FF" w:rsidRDefault="00EF2DB9" w:rsidP="00EF2DB9">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b/>
          <w:i/>
          <w:sz w:val="28"/>
          <w:szCs w:val="28"/>
        </w:rPr>
        <w:t>3. Desarrollo de la problemática planteada:</w:t>
      </w:r>
    </w:p>
    <w:p w:rsidR="00EF2DB9" w:rsidRDefault="00EF2DB9" w:rsidP="00EF2DB9">
      <w:pPr>
        <w:ind w:firstLine="851"/>
        <w:jc w:val="both"/>
        <w:rPr>
          <w:rFonts w:ascii="Arial Narrow" w:hAnsi="Arial Narrow" w:cs="Arial"/>
          <w:i/>
          <w:color w:val="000000"/>
          <w:spacing w:val="-2"/>
          <w:sz w:val="28"/>
          <w:szCs w:val="28"/>
        </w:rPr>
      </w:pPr>
    </w:p>
    <w:p w:rsidR="009B212E" w:rsidRDefault="00EF2DB9" w:rsidP="00EF2DB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b/>
          <w:i/>
          <w:color w:val="000000"/>
          <w:spacing w:val="-2"/>
          <w:sz w:val="28"/>
          <w:szCs w:val="28"/>
        </w:rPr>
        <w:tab/>
      </w:r>
      <w:r w:rsidR="002F06E0" w:rsidRPr="002F06E0">
        <w:rPr>
          <w:rFonts w:ascii="Arial Narrow" w:hAnsi="Arial Narrow" w:cs="Tahoma"/>
          <w:color w:val="000000"/>
          <w:spacing w:val="-2"/>
          <w:sz w:val="28"/>
          <w:szCs w:val="28"/>
        </w:rPr>
        <w:t>Para resolver el primero de los problemas jurídicos</w:t>
      </w:r>
      <w:r w:rsidR="002F06E0">
        <w:rPr>
          <w:rFonts w:ascii="Arial Narrow" w:hAnsi="Arial Narrow" w:cs="Tahoma"/>
          <w:color w:val="000000"/>
          <w:spacing w:val="-2"/>
          <w:sz w:val="28"/>
          <w:szCs w:val="28"/>
        </w:rPr>
        <w:t>, debe decirse que la acción de tutela se gestó en la Carta Política de 1991 como un mecanismo preferente y sumario</w:t>
      </w:r>
      <w:r w:rsidR="009B212E">
        <w:rPr>
          <w:rFonts w:ascii="Arial Narrow" w:hAnsi="Arial Narrow" w:cs="Tahoma"/>
          <w:color w:val="000000"/>
          <w:spacing w:val="-2"/>
          <w:sz w:val="28"/>
          <w:szCs w:val="28"/>
        </w:rPr>
        <w:t>, con el fin de pedirle a cualquier Juez la protección inmediata de los derechos fundamentales, cuando quiera que estos se vean amenazados o vulnerados por la acción o la omisión de una autoridad pública o por los particulares, en los precisos casos señalados por el Legislador excepcional –arts. 42 y ss. Decreto 2591/1991-.</w:t>
      </w:r>
    </w:p>
    <w:p w:rsidR="009B212E" w:rsidRDefault="009B212E" w:rsidP="00EF2DB9">
      <w:pPr>
        <w:tabs>
          <w:tab w:val="left" w:pos="-720"/>
        </w:tabs>
        <w:suppressAutoHyphens/>
        <w:spacing w:line="360" w:lineRule="auto"/>
        <w:ind w:right="-7"/>
        <w:jc w:val="both"/>
        <w:rPr>
          <w:rFonts w:ascii="Arial Narrow" w:hAnsi="Arial Narrow" w:cs="Tahoma"/>
          <w:color w:val="000000"/>
          <w:spacing w:val="-2"/>
          <w:sz w:val="28"/>
          <w:szCs w:val="28"/>
        </w:rPr>
      </w:pPr>
    </w:p>
    <w:p w:rsidR="00FD603C" w:rsidRDefault="009B212E" w:rsidP="00FD603C">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Por regla general, la acción de tutela no procede para lograr la reparación o indemnización de los perjuicios padecidos por el titular del derecho en virtud de la falta de actuación o el exceso de esta, pues para ello se cuenta con las acciones ordinarias establecidas por el legislador, bien ante la jurisdicción ordinaria en sus varias </w:t>
      </w:r>
      <w:r>
        <w:rPr>
          <w:rFonts w:ascii="Arial Narrow" w:hAnsi="Arial Narrow" w:cs="Tahoma"/>
          <w:color w:val="000000"/>
          <w:spacing w:val="-2"/>
          <w:sz w:val="28"/>
          <w:szCs w:val="28"/>
        </w:rPr>
        <w:lastRenderedPageBreak/>
        <w:t xml:space="preserve">especialidades, </w:t>
      </w:r>
      <w:r w:rsidR="005C11CE">
        <w:rPr>
          <w:rFonts w:ascii="Arial Narrow" w:hAnsi="Arial Narrow" w:cs="Tahoma"/>
          <w:color w:val="000000"/>
          <w:spacing w:val="-2"/>
          <w:sz w:val="28"/>
          <w:szCs w:val="28"/>
        </w:rPr>
        <w:t>ora</w:t>
      </w:r>
      <w:r>
        <w:rPr>
          <w:rFonts w:ascii="Arial Narrow" w:hAnsi="Arial Narrow" w:cs="Tahoma"/>
          <w:color w:val="000000"/>
          <w:spacing w:val="-2"/>
          <w:sz w:val="28"/>
          <w:szCs w:val="28"/>
        </w:rPr>
        <w:t xml:space="preserve"> en la contencioso administrativa</w:t>
      </w:r>
      <w:r w:rsidR="005C11CE">
        <w:rPr>
          <w:rFonts w:ascii="Arial Narrow" w:hAnsi="Arial Narrow" w:cs="Tahoma"/>
          <w:color w:val="000000"/>
          <w:spacing w:val="-2"/>
          <w:sz w:val="28"/>
          <w:szCs w:val="28"/>
        </w:rPr>
        <w:t>, las cuales son el escenario adecuado, con las etapas propicias para determinar el derecho</w:t>
      </w:r>
      <w:r w:rsidR="002F06E0">
        <w:rPr>
          <w:rFonts w:ascii="Arial Narrow" w:hAnsi="Arial Narrow" w:cs="Tahoma"/>
          <w:color w:val="000000"/>
          <w:spacing w:val="-2"/>
          <w:sz w:val="28"/>
          <w:szCs w:val="28"/>
        </w:rPr>
        <w:t xml:space="preserve"> </w:t>
      </w:r>
      <w:r w:rsidR="005C11CE">
        <w:rPr>
          <w:rFonts w:ascii="Arial Narrow" w:hAnsi="Arial Narrow" w:cs="Tahoma"/>
          <w:color w:val="000000"/>
          <w:spacing w:val="-2"/>
          <w:sz w:val="28"/>
          <w:szCs w:val="28"/>
        </w:rPr>
        <w:t xml:space="preserve">a la indemnización y el monto de la misma. Excepcionalmente, es viable que en sede de tutela se ordene el pago de indemnizaciones, tal como lo establece el canon 25 del Decreto 2591 de 1991, pero bajo el estricto y celoso cumplimiento de varias condiciones que </w:t>
      </w:r>
      <w:r w:rsidR="00FD603C">
        <w:rPr>
          <w:rFonts w:ascii="Arial Narrow" w:hAnsi="Arial Narrow" w:cs="Tahoma"/>
          <w:color w:val="000000"/>
          <w:spacing w:val="-2"/>
          <w:sz w:val="28"/>
          <w:szCs w:val="28"/>
        </w:rPr>
        <w:t>la jurisprudencia constitucional ha decantado y que, por su pertinencia, deberá traerse a colación:</w:t>
      </w:r>
    </w:p>
    <w:p w:rsidR="00FD603C" w:rsidRDefault="00FD603C" w:rsidP="00FD603C">
      <w:pPr>
        <w:tabs>
          <w:tab w:val="left" w:pos="-720"/>
        </w:tabs>
        <w:suppressAutoHyphens/>
        <w:spacing w:line="360" w:lineRule="auto"/>
        <w:ind w:right="-7" w:firstLine="709"/>
        <w:jc w:val="both"/>
        <w:rPr>
          <w:rFonts w:ascii="Arial Narrow" w:hAnsi="Arial Narrow" w:cs="Tahoma"/>
          <w:color w:val="000000"/>
          <w:spacing w:val="-2"/>
          <w:sz w:val="28"/>
          <w:szCs w:val="28"/>
        </w:rPr>
      </w:pPr>
    </w:p>
    <w:p w:rsidR="00FD603C" w:rsidRPr="00FD603C" w:rsidRDefault="00FD603C" w:rsidP="00FD603C">
      <w:pPr>
        <w:tabs>
          <w:tab w:val="left" w:pos="-720"/>
        </w:tabs>
        <w:suppressAutoHyphens/>
        <w:spacing w:line="360" w:lineRule="auto"/>
        <w:ind w:right="-7" w:firstLine="709"/>
        <w:jc w:val="both"/>
        <w:rPr>
          <w:rFonts w:ascii="Arial Narrow" w:hAnsi="Arial Narrow" w:cs="Tahoma"/>
          <w:i/>
          <w:color w:val="000000"/>
          <w:spacing w:val="-2"/>
          <w:sz w:val="28"/>
          <w:szCs w:val="28"/>
        </w:rPr>
      </w:pPr>
      <w:r>
        <w:rPr>
          <w:rFonts w:ascii="Arial Narrow" w:hAnsi="Arial Narrow" w:cs="Tahoma"/>
          <w:i/>
          <w:color w:val="000000"/>
          <w:spacing w:val="-2"/>
          <w:sz w:val="28"/>
          <w:szCs w:val="28"/>
        </w:rPr>
        <w:t>“</w:t>
      </w:r>
      <w:r w:rsidRPr="00FD603C">
        <w:rPr>
          <w:rFonts w:ascii="Arial Narrow" w:hAnsi="Arial Narrow" w:cs="Tahoma"/>
          <w:i/>
          <w:color w:val="000000"/>
          <w:spacing w:val="-2"/>
          <w:sz w:val="28"/>
          <w:szCs w:val="28"/>
        </w:rPr>
        <w:t>Esta Corporación a partir de lo dispuesto en el artículo 25 del Decreto 2591 de 1991, ha considerado que la acción de tutela procede para lograr el reconocimiento de una indemnización de perjuicios, siempre y cuando se reúnan las siguientes condiciones, a saber: </w:t>
      </w:r>
      <w:r w:rsidRPr="00FD603C">
        <w:rPr>
          <w:rFonts w:ascii="Arial Narrow" w:hAnsi="Arial Narrow" w:cs="Tahoma"/>
          <w:b/>
          <w:bCs/>
          <w:i/>
          <w:color w:val="000000"/>
          <w:spacing w:val="-2"/>
          <w:sz w:val="28"/>
          <w:szCs w:val="28"/>
        </w:rPr>
        <w:t>(i)</w:t>
      </w:r>
      <w:r w:rsidRPr="00FD603C">
        <w:rPr>
          <w:rFonts w:ascii="Arial Narrow" w:hAnsi="Arial Narrow" w:cs="Tahoma"/>
          <w:i/>
          <w:color w:val="000000"/>
          <w:spacing w:val="-2"/>
          <w:sz w:val="28"/>
          <w:szCs w:val="28"/>
        </w:rPr>
        <w:t> Que se conceda la tutela; </w:t>
      </w:r>
      <w:r w:rsidRPr="00FD603C">
        <w:rPr>
          <w:rFonts w:ascii="Arial Narrow" w:hAnsi="Arial Narrow" w:cs="Tahoma"/>
          <w:b/>
          <w:bCs/>
          <w:i/>
          <w:color w:val="000000"/>
          <w:spacing w:val="-2"/>
          <w:sz w:val="28"/>
          <w:szCs w:val="28"/>
        </w:rPr>
        <w:t>(ii)</w:t>
      </w:r>
      <w:r w:rsidRPr="00FD603C">
        <w:rPr>
          <w:rFonts w:ascii="Arial Narrow" w:hAnsi="Arial Narrow" w:cs="Tahoma"/>
          <w:i/>
          <w:color w:val="000000"/>
          <w:spacing w:val="-2"/>
          <w:sz w:val="28"/>
          <w:szCs w:val="28"/>
        </w:rPr>
        <w:t> Que no se disponga de otro medio de defensa judicial para obtener el resarcimiento del perjuicio; </w:t>
      </w:r>
      <w:r w:rsidRPr="00FD603C">
        <w:rPr>
          <w:rFonts w:ascii="Arial Narrow" w:hAnsi="Arial Narrow" w:cs="Tahoma"/>
          <w:b/>
          <w:bCs/>
          <w:i/>
          <w:color w:val="000000"/>
          <w:spacing w:val="-2"/>
          <w:sz w:val="28"/>
          <w:szCs w:val="28"/>
        </w:rPr>
        <w:t>(iii)</w:t>
      </w:r>
      <w:r w:rsidRPr="00FD603C">
        <w:rPr>
          <w:rFonts w:ascii="Arial Narrow" w:hAnsi="Arial Narrow" w:cs="Tahoma"/>
          <w:i/>
          <w:color w:val="000000"/>
          <w:spacing w:val="-2"/>
          <w:sz w:val="28"/>
          <w:szCs w:val="28"/>
        </w:rPr>
        <w:t> Que la violación del derecho haya sido manifiesta, y sea consecuencia de una acción clara e indiscutiblemente arbitraria; </w:t>
      </w:r>
      <w:r w:rsidRPr="00FD603C">
        <w:rPr>
          <w:rFonts w:ascii="Arial Narrow" w:hAnsi="Arial Narrow" w:cs="Tahoma"/>
          <w:b/>
          <w:bCs/>
          <w:i/>
          <w:color w:val="000000"/>
          <w:spacing w:val="-2"/>
          <w:sz w:val="28"/>
          <w:szCs w:val="28"/>
        </w:rPr>
        <w:t>(iv)</w:t>
      </w:r>
      <w:r w:rsidRPr="00FD603C">
        <w:rPr>
          <w:rFonts w:ascii="Arial Narrow" w:hAnsi="Arial Narrow" w:cs="Tahoma"/>
          <w:i/>
          <w:color w:val="000000"/>
          <w:spacing w:val="-2"/>
          <w:sz w:val="28"/>
          <w:szCs w:val="28"/>
        </w:rPr>
        <w:t> Que la indemnización sea necesaria para garantizar el goce efectivo del derecho; </w:t>
      </w:r>
      <w:r w:rsidRPr="00FD603C">
        <w:rPr>
          <w:rFonts w:ascii="Arial Narrow" w:hAnsi="Arial Narrow" w:cs="Tahoma"/>
          <w:b/>
          <w:bCs/>
          <w:i/>
          <w:color w:val="000000"/>
          <w:spacing w:val="-2"/>
          <w:sz w:val="28"/>
          <w:szCs w:val="28"/>
        </w:rPr>
        <w:t>(v) </w:t>
      </w:r>
      <w:r w:rsidRPr="00FD603C">
        <w:rPr>
          <w:rFonts w:ascii="Arial Narrow" w:hAnsi="Arial Narrow" w:cs="Tahoma"/>
          <w:i/>
          <w:color w:val="000000"/>
          <w:spacing w:val="-2"/>
          <w:sz w:val="28"/>
          <w:szCs w:val="28"/>
        </w:rPr>
        <w:t>Que se le haya garantizado el debido proceso a quien resulte condenado y, en concreto, que haya tenido la posibilidad de controvertir las pruebas. Lo anterior muestra, que es excepcional la orden de indemnización por vía de tutela, puesto que se hace necesario que se reúnan los presupuestos señalados, lo cual debe ser valorado rigurosamente por el juez constitucional</w:t>
      </w:r>
      <w:r>
        <w:rPr>
          <w:rFonts w:ascii="Arial Narrow" w:hAnsi="Arial Narrow" w:cs="Tahoma"/>
          <w:i/>
          <w:color w:val="000000"/>
          <w:spacing w:val="-2"/>
          <w:sz w:val="28"/>
          <w:szCs w:val="28"/>
        </w:rPr>
        <w:t>” (Sentencia T-916/05)</w:t>
      </w:r>
      <w:r w:rsidRPr="00FD603C">
        <w:rPr>
          <w:rFonts w:ascii="Arial Narrow" w:hAnsi="Arial Narrow" w:cs="Tahoma"/>
          <w:i/>
          <w:color w:val="000000"/>
          <w:spacing w:val="-2"/>
          <w:sz w:val="28"/>
          <w:szCs w:val="28"/>
        </w:rPr>
        <w:t>.</w:t>
      </w:r>
    </w:p>
    <w:p w:rsidR="00FD603C" w:rsidRDefault="00FD603C" w:rsidP="00FD603C">
      <w:pPr>
        <w:tabs>
          <w:tab w:val="left" w:pos="-720"/>
        </w:tabs>
        <w:suppressAutoHyphens/>
        <w:spacing w:line="360" w:lineRule="auto"/>
        <w:ind w:right="-7" w:firstLine="709"/>
        <w:jc w:val="both"/>
        <w:rPr>
          <w:rFonts w:ascii="Arial Narrow" w:hAnsi="Arial Narrow" w:cs="Tahoma"/>
          <w:color w:val="000000"/>
          <w:spacing w:val="-2"/>
          <w:sz w:val="28"/>
          <w:szCs w:val="28"/>
        </w:rPr>
      </w:pPr>
    </w:p>
    <w:p w:rsidR="00B618AB" w:rsidRDefault="00FD603C" w:rsidP="00FD603C">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Y esa rigurosidad que se exige por la Corte Constitucional, es necesaria atendiendo que la acción de tutela no fue creada con el fin de que las personas dispongan de un medio expedito para saltarse los procedimientos ordinarios establecidos por el legislador, sino que se estatuyó con el fin de complementar </w:t>
      </w:r>
      <w:r w:rsidR="00D11AE0">
        <w:rPr>
          <w:rFonts w:ascii="Arial Narrow" w:hAnsi="Arial Narrow" w:cs="Tahoma"/>
          <w:color w:val="000000"/>
          <w:spacing w:val="-2"/>
          <w:sz w:val="28"/>
          <w:szCs w:val="28"/>
        </w:rPr>
        <w:t xml:space="preserve">esos medios de defensa y dotar de eficacia jurídica y coercitividad judicial los derechos fundamentales. La acción de amparo está –pues- caracterizada por la subsidiariedad, lo que implica que solo ante la ausencia o ineficacia del medio judicial existente, procederá la misma, particularidad que se acentúa en el </w:t>
      </w:r>
      <w:r w:rsidR="00B618AB">
        <w:rPr>
          <w:rFonts w:ascii="Arial Narrow" w:hAnsi="Arial Narrow" w:cs="Tahoma"/>
          <w:color w:val="000000"/>
          <w:spacing w:val="-2"/>
          <w:sz w:val="28"/>
          <w:szCs w:val="28"/>
        </w:rPr>
        <w:t>caso de que se la pretensión en sede de tutela sea indemnizatoria, pues existen en el ordenamiento múltiples acciones tendientes al resarcimiento de los perjuicios.</w:t>
      </w:r>
    </w:p>
    <w:p w:rsidR="00B618AB" w:rsidRDefault="00B618AB" w:rsidP="00FD603C">
      <w:pPr>
        <w:tabs>
          <w:tab w:val="left" w:pos="-720"/>
        </w:tabs>
        <w:suppressAutoHyphens/>
        <w:spacing w:line="360" w:lineRule="auto"/>
        <w:ind w:right="-7" w:firstLine="709"/>
        <w:jc w:val="both"/>
        <w:rPr>
          <w:rFonts w:ascii="Arial Narrow" w:hAnsi="Arial Narrow" w:cs="Tahoma"/>
          <w:color w:val="000000"/>
          <w:spacing w:val="-2"/>
          <w:sz w:val="28"/>
          <w:szCs w:val="28"/>
        </w:rPr>
      </w:pPr>
    </w:p>
    <w:p w:rsidR="00341200" w:rsidRDefault="00B618AB" w:rsidP="00FD603C">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lastRenderedPageBreak/>
        <w:t xml:space="preserve">Pues bien, en el caso puntual, se tiene que el caso expuesto por los accionantes no supera el tamizaje de las </w:t>
      </w:r>
      <w:proofErr w:type="spellStart"/>
      <w:r>
        <w:rPr>
          <w:rFonts w:ascii="Arial Narrow" w:hAnsi="Arial Narrow" w:cs="Tahoma"/>
          <w:color w:val="000000"/>
          <w:spacing w:val="-2"/>
          <w:sz w:val="28"/>
          <w:szCs w:val="28"/>
        </w:rPr>
        <w:t>subreglas</w:t>
      </w:r>
      <w:proofErr w:type="spellEnd"/>
      <w:r>
        <w:rPr>
          <w:rFonts w:ascii="Arial Narrow" w:hAnsi="Arial Narrow" w:cs="Tahoma"/>
          <w:color w:val="000000"/>
          <w:spacing w:val="-2"/>
          <w:sz w:val="28"/>
          <w:szCs w:val="28"/>
        </w:rPr>
        <w:t xml:space="preserve"> establecidas por la Corte Constitucional, pues en verdad los actores cuentan con otros medios de defensa judicial que les garantizan de manera idónea la posible reparación de sus perjuicios</w:t>
      </w:r>
      <w:r w:rsidR="007300C7">
        <w:rPr>
          <w:rFonts w:ascii="Arial Narrow" w:hAnsi="Arial Narrow" w:cs="Tahoma"/>
          <w:color w:val="000000"/>
          <w:spacing w:val="-2"/>
          <w:sz w:val="28"/>
          <w:szCs w:val="28"/>
        </w:rPr>
        <w:t xml:space="preserve">, además con la acreditación probatoria necesaria que en esos medios de control se garantiza y que en la tutela, por la premura misma del término para su resolución, no permite vislumbrarse adecuadamente en este caso, pues en verdad resulta confuso para esta Colegiatura determinar si el asunto es consecuencia de un incumplimiento en la pautas de construcción por parte de las sociedades que edificaron el proyecto o si las entidades públicas encargadas de la vigilancia y supervisión omitieron el debido </w:t>
      </w:r>
      <w:r w:rsidR="00221650">
        <w:rPr>
          <w:rFonts w:ascii="Arial Narrow" w:hAnsi="Arial Narrow" w:cs="Tahoma"/>
          <w:color w:val="000000"/>
          <w:spacing w:val="-2"/>
          <w:sz w:val="28"/>
          <w:szCs w:val="28"/>
        </w:rPr>
        <w:t>control sobre las actuaciones de estas y dieron lugar a que se gestará el riegos que actualmente se presenta sobre la vivienda de los demandantes en tutela o bien que la situación es simplemente un acto propio de la naturaleza que no requiere indemnización alguna.</w:t>
      </w:r>
      <w:r w:rsidR="00341200">
        <w:rPr>
          <w:rFonts w:ascii="Arial Narrow" w:hAnsi="Arial Narrow" w:cs="Tahoma"/>
          <w:color w:val="000000"/>
          <w:spacing w:val="-2"/>
          <w:sz w:val="28"/>
          <w:szCs w:val="28"/>
        </w:rPr>
        <w:t xml:space="preserve"> Todas estas incertidumbres que, se itera, no se encuentran despejadas en la presente acción constitucional, hace inviable cualquier pedido de naturaleza indemnizatoria en esta sede.</w:t>
      </w:r>
    </w:p>
    <w:p w:rsidR="008B7E53" w:rsidRDefault="008B7E53" w:rsidP="00FD603C">
      <w:pPr>
        <w:tabs>
          <w:tab w:val="left" w:pos="-720"/>
        </w:tabs>
        <w:suppressAutoHyphens/>
        <w:spacing w:line="360" w:lineRule="auto"/>
        <w:ind w:right="-7" w:firstLine="709"/>
        <w:jc w:val="both"/>
        <w:rPr>
          <w:rFonts w:ascii="Arial Narrow" w:hAnsi="Arial Narrow" w:cs="Tahoma"/>
          <w:color w:val="000000"/>
          <w:spacing w:val="-2"/>
          <w:sz w:val="28"/>
          <w:szCs w:val="28"/>
        </w:rPr>
      </w:pPr>
    </w:p>
    <w:p w:rsidR="00FC5C7C" w:rsidRDefault="00341200" w:rsidP="00FD603C">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En cuanto al pedido subsidiario que se impetra en el escrito de impugnación                  –mas no en la demanda de tutela- </w:t>
      </w:r>
      <w:r w:rsidR="00EE6511">
        <w:rPr>
          <w:rFonts w:ascii="Arial Narrow" w:hAnsi="Arial Narrow" w:cs="Tahoma"/>
          <w:color w:val="000000"/>
          <w:spacing w:val="-2"/>
          <w:sz w:val="28"/>
          <w:szCs w:val="28"/>
        </w:rPr>
        <w:t>de una posible reubicación</w:t>
      </w:r>
      <w:r w:rsidR="00DC0F3F">
        <w:rPr>
          <w:rFonts w:ascii="Arial Narrow" w:hAnsi="Arial Narrow" w:cs="Tahoma"/>
          <w:color w:val="000000"/>
          <w:spacing w:val="-2"/>
          <w:sz w:val="28"/>
          <w:szCs w:val="28"/>
        </w:rPr>
        <w:t xml:space="preserve">, </w:t>
      </w:r>
      <w:r>
        <w:rPr>
          <w:rFonts w:ascii="Arial Narrow" w:hAnsi="Arial Narrow" w:cs="Tahoma"/>
          <w:color w:val="000000"/>
          <w:spacing w:val="-2"/>
          <w:sz w:val="28"/>
          <w:szCs w:val="28"/>
        </w:rPr>
        <w:t>dígase que su estudio en esta instancia generaría un desequilibrio en el debido proceso que debe regir –incluso- en sede de tutela, pues sería un hecho nuevo que no podría rebatirse por ninguno de los entes accionados. En todo caso, atendiendo la naturaleza del objeto del litigio constitucional</w:t>
      </w:r>
      <w:r w:rsidR="00703C27">
        <w:rPr>
          <w:rFonts w:ascii="Arial Narrow" w:hAnsi="Arial Narrow" w:cs="Tahoma"/>
          <w:color w:val="000000"/>
          <w:spacing w:val="-2"/>
          <w:sz w:val="28"/>
          <w:szCs w:val="28"/>
        </w:rPr>
        <w:t xml:space="preserve"> </w:t>
      </w:r>
      <w:r w:rsidR="00EE6511">
        <w:rPr>
          <w:rFonts w:ascii="Arial Narrow" w:hAnsi="Arial Narrow" w:cs="Tahoma"/>
          <w:color w:val="000000"/>
          <w:spacing w:val="-2"/>
          <w:sz w:val="28"/>
          <w:szCs w:val="28"/>
        </w:rPr>
        <w:t>–derechos fundamentales- esta Corporación al despejar el segundo de los interrogantes entrara a verificar, de considerarse necesario</w:t>
      </w:r>
      <w:r w:rsidR="00FC5C7C">
        <w:rPr>
          <w:rFonts w:ascii="Arial Narrow" w:hAnsi="Arial Narrow" w:cs="Tahoma"/>
          <w:color w:val="000000"/>
          <w:spacing w:val="-2"/>
          <w:sz w:val="28"/>
          <w:szCs w:val="28"/>
        </w:rPr>
        <w:t>, tal medida.</w:t>
      </w:r>
    </w:p>
    <w:p w:rsidR="00FC5C7C" w:rsidRDefault="00FC5C7C" w:rsidP="00FD603C">
      <w:pPr>
        <w:tabs>
          <w:tab w:val="left" w:pos="-720"/>
        </w:tabs>
        <w:suppressAutoHyphens/>
        <w:spacing w:line="360" w:lineRule="auto"/>
        <w:ind w:right="-7" w:firstLine="709"/>
        <w:jc w:val="both"/>
        <w:rPr>
          <w:rFonts w:ascii="Arial Narrow" w:hAnsi="Arial Narrow" w:cs="Tahoma"/>
          <w:color w:val="000000"/>
          <w:spacing w:val="-2"/>
          <w:sz w:val="28"/>
          <w:szCs w:val="28"/>
        </w:rPr>
      </w:pPr>
    </w:p>
    <w:p w:rsidR="00E8584D" w:rsidRDefault="00C216C7" w:rsidP="00FD603C">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Pasando a resolver el segundo de los interrogantes propuestos al inicio del </w:t>
      </w:r>
      <w:r w:rsidR="00E8584D">
        <w:rPr>
          <w:rFonts w:ascii="Arial Narrow" w:hAnsi="Arial Narrow" w:cs="Tahoma"/>
          <w:color w:val="000000"/>
          <w:spacing w:val="-2"/>
          <w:sz w:val="28"/>
          <w:szCs w:val="28"/>
        </w:rPr>
        <w:t>acápite</w:t>
      </w:r>
      <w:r w:rsidR="00EE6511">
        <w:rPr>
          <w:rFonts w:ascii="Arial Narrow" w:hAnsi="Arial Narrow" w:cs="Tahoma"/>
          <w:color w:val="000000"/>
          <w:spacing w:val="-2"/>
          <w:sz w:val="28"/>
          <w:szCs w:val="28"/>
        </w:rPr>
        <w:t xml:space="preserve"> </w:t>
      </w:r>
      <w:r>
        <w:rPr>
          <w:rFonts w:ascii="Arial Narrow" w:hAnsi="Arial Narrow" w:cs="Tahoma"/>
          <w:color w:val="000000"/>
          <w:spacing w:val="-2"/>
          <w:sz w:val="28"/>
          <w:szCs w:val="28"/>
        </w:rPr>
        <w:t>de consi</w:t>
      </w:r>
      <w:r w:rsidR="00E8584D">
        <w:rPr>
          <w:rFonts w:ascii="Arial Narrow" w:hAnsi="Arial Narrow" w:cs="Tahoma"/>
          <w:color w:val="000000"/>
          <w:spacing w:val="-2"/>
          <w:sz w:val="28"/>
          <w:szCs w:val="28"/>
        </w:rPr>
        <w:t xml:space="preserve">deraciones, debe decirse que como punto de partida, debe estudiarse el carácter fundamental del derecho a la vivienda digna. El artículo 51 superior, señala que </w:t>
      </w:r>
      <w:r w:rsidR="00E8584D">
        <w:rPr>
          <w:rFonts w:ascii="Arial Narrow" w:hAnsi="Arial Narrow" w:cs="Tahoma"/>
          <w:i/>
          <w:color w:val="000000"/>
          <w:spacing w:val="-2"/>
          <w:sz w:val="28"/>
          <w:szCs w:val="28"/>
        </w:rPr>
        <w:t>“todos los colombianos tienen derecho a vivienda digna”</w:t>
      </w:r>
      <w:r w:rsidR="00E8584D">
        <w:rPr>
          <w:rFonts w:ascii="Arial Narrow" w:hAnsi="Arial Narrow" w:cs="Tahoma"/>
          <w:color w:val="000000"/>
          <w:spacing w:val="-2"/>
          <w:sz w:val="28"/>
          <w:szCs w:val="28"/>
        </w:rPr>
        <w:t xml:space="preserve">. Pues bien, esta garantía ha sido considerada como una fundamental autónoma, que implica obligaciones especiales a cargo del Estado, como la de promover el acceso a la vivienda, garantizar que la misma tenga unas condiciones de seguridad mínimas, que la misma cuente con </w:t>
      </w:r>
      <w:r w:rsidR="00E8584D">
        <w:rPr>
          <w:rFonts w:ascii="Arial Narrow" w:hAnsi="Arial Narrow" w:cs="Tahoma"/>
          <w:color w:val="000000"/>
          <w:spacing w:val="-2"/>
          <w:sz w:val="28"/>
          <w:szCs w:val="28"/>
        </w:rPr>
        <w:lastRenderedPageBreak/>
        <w:t>los servicios públicos domiciliarios esenciales, que tenga acceso y, en fin, otra serie de obligaciones que garanticen el ejercicio de la manera más adecuada posible.</w:t>
      </w:r>
    </w:p>
    <w:p w:rsidR="00E8584D" w:rsidRDefault="00E8584D" w:rsidP="00FD603C">
      <w:pPr>
        <w:tabs>
          <w:tab w:val="left" w:pos="-720"/>
        </w:tabs>
        <w:suppressAutoHyphens/>
        <w:spacing w:line="360" w:lineRule="auto"/>
        <w:ind w:right="-7" w:firstLine="709"/>
        <w:jc w:val="both"/>
        <w:rPr>
          <w:rFonts w:ascii="Arial Narrow" w:hAnsi="Arial Narrow" w:cs="Tahoma"/>
          <w:color w:val="000000"/>
          <w:spacing w:val="-2"/>
          <w:sz w:val="28"/>
          <w:szCs w:val="28"/>
        </w:rPr>
      </w:pPr>
    </w:p>
    <w:p w:rsidR="0031577B" w:rsidRDefault="00E8584D" w:rsidP="00FD603C">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La vivienda digna</w:t>
      </w:r>
      <w:r w:rsidR="00EA4FD8">
        <w:rPr>
          <w:rFonts w:ascii="Arial Narrow" w:hAnsi="Arial Narrow" w:cs="Tahoma"/>
          <w:color w:val="000000"/>
          <w:spacing w:val="-2"/>
          <w:sz w:val="28"/>
          <w:szCs w:val="28"/>
        </w:rPr>
        <w:t>, implica puntualmente y atendiendo a las recomendaciones efectuadas por el Comité de Derechos Económicos, Sociales y Culturales de las Naciones Unidas</w:t>
      </w:r>
      <w:r w:rsidR="0031577B">
        <w:rPr>
          <w:rFonts w:ascii="Arial Narrow" w:hAnsi="Arial Narrow" w:cs="Tahoma"/>
          <w:color w:val="000000"/>
          <w:spacing w:val="-2"/>
          <w:sz w:val="28"/>
          <w:szCs w:val="28"/>
        </w:rPr>
        <w:t xml:space="preserve"> en la Observación General No. 04, siete aspectos esenciales que deben cumplirse, a saber: </w:t>
      </w:r>
      <w:r w:rsidR="0031577B" w:rsidRPr="0031577B">
        <w:rPr>
          <w:rFonts w:ascii="Arial Narrow" w:hAnsi="Arial Narrow" w:cs="Tahoma"/>
          <w:color w:val="000000"/>
          <w:spacing w:val="-2"/>
          <w:sz w:val="28"/>
          <w:szCs w:val="28"/>
        </w:rPr>
        <w:t>(i) seguridad jurídica en la tenencia; (ii) disponibilidad de servicios, materiales, facilidades e infraestructuras; (iii) gastos soportables (accesibilidad económica); (iv) </w:t>
      </w:r>
      <w:r w:rsidR="0031577B" w:rsidRPr="0031577B">
        <w:rPr>
          <w:rFonts w:ascii="Arial Narrow" w:hAnsi="Arial Narrow" w:cs="Tahoma"/>
          <w:bCs/>
          <w:color w:val="000000"/>
          <w:spacing w:val="-2"/>
          <w:sz w:val="28"/>
          <w:szCs w:val="28"/>
        </w:rPr>
        <w:t>habitabilidad</w:t>
      </w:r>
      <w:r w:rsidR="0031577B" w:rsidRPr="0031577B">
        <w:rPr>
          <w:rFonts w:ascii="Arial Narrow" w:hAnsi="Arial Narrow" w:cs="Tahoma"/>
          <w:color w:val="000000"/>
          <w:spacing w:val="-2"/>
          <w:sz w:val="28"/>
          <w:szCs w:val="28"/>
        </w:rPr>
        <w:t>; (v) asequibilidad (accesibilidad física); (vi) lugar adecuado; y (vii) adecuación cultural</w:t>
      </w:r>
      <w:r w:rsidR="0031577B">
        <w:rPr>
          <w:rFonts w:ascii="Arial Narrow" w:hAnsi="Arial Narrow" w:cs="Tahoma"/>
          <w:color w:val="000000"/>
          <w:spacing w:val="-2"/>
          <w:sz w:val="28"/>
          <w:szCs w:val="28"/>
        </w:rPr>
        <w:t>.</w:t>
      </w:r>
    </w:p>
    <w:p w:rsidR="0031577B" w:rsidRDefault="0031577B" w:rsidP="00FD603C">
      <w:pPr>
        <w:tabs>
          <w:tab w:val="left" w:pos="-720"/>
        </w:tabs>
        <w:suppressAutoHyphens/>
        <w:spacing w:line="360" w:lineRule="auto"/>
        <w:ind w:right="-7" w:firstLine="709"/>
        <w:jc w:val="both"/>
        <w:rPr>
          <w:rFonts w:ascii="Arial Narrow" w:hAnsi="Arial Narrow" w:cs="Tahoma"/>
          <w:color w:val="000000"/>
          <w:spacing w:val="-2"/>
          <w:sz w:val="28"/>
          <w:szCs w:val="28"/>
        </w:rPr>
      </w:pPr>
    </w:p>
    <w:p w:rsidR="0031577B" w:rsidRDefault="0031577B" w:rsidP="00FD603C">
      <w:pPr>
        <w:tabs>
          <w:tab w:val="left" w:pos="-720"/>
        </w:tabs>
        <w:suppressAutoHyphens/>
        <w:spacing w:line="360" w:lineRule="auto"/>
        <w:ind w:right="-7" w:firstLine="709"/>
        <w:jc w:val="both"/>
        <w:rPr>
          <w:rFonts w:ascii="Arial Narrow" w:hAnsi="Arial Narrow" w:cs="Tahoma"/>
          <w:iCs/>
          <w:color w:val="000000"/>
          <w:spacing w:val="-2"/>
          <w:sz w:val="28"/>
          <w:szCs w:val="28"/>
        </w:rPr>
      </w:pPr>
      <w:r>
        <w:rPr>
          <w:rFonts w:ascii="Arial Narrow" w:hAnsi="Arial Narrow" w:cs="Tahoma"/>
          <w:color w:val="000000"/>
          <w:spacing w:val="-2"/>
          <w:sz w:val="28"/>
          <w:szCs w:val="28"/>
        </w:rPr>
        <w:t xml:space="preserve">Tal Observación, se </w:t>
      </w:r>
      <w:r w:rsidR="00883EC3">
        <w:rPr>
          <w:rFonts w:ascii="Arial Narrow" w:hAnsi="Arial Narrow" w:cs="Tahoma"/>
          <w:color w:val="000000"/>
          <w:spacing w:val="-2"/>
          <w:sz w:val="28"/>
          <w:szCs w:val="28"/>
        </w:rPr>
        <w:t xml:space="preserve">encarga además de definir cada uno de tales ítems, destacándose la descripción de habitabilidad de la vivienda, que al tenor literal consiste en: </w:t>
      </w:r>
      <w:r w:rsidR="006C1BD2">
        <w:rPr>
          <w:rFonts w:ascii="Arial Narrow" w:hAnsi="Arial Narrow" w:cs="Tahoma"/>
          <w:color w:val="000000"/>
          <w:spacing w:val="-2"/>
          <w:sz w:val="28"/>
          <w:szCs w:val="28"/>
        </w:rPr>
        <w:t>“</w:t>
      </w:r>
      <w:r w:rsidR="006C1BD2" w:rsidRPr="006C1BD2">
        <w:rPr>
          <w:rFonts w:ascii="Arial Narrow" w:hAnsi="Arial Narrow" w:cs="Tahoma"/>
          <w:i/>
          <w:iCs/>
          <w:color w:val="000000"/>
          <w:spacing w:val="-2"/>
          <w:sz w:val="28"/>
          <w:szCs w:val="28"/>
        </w:rPr>
        <w:t>sentido de poder ofrecer espacio adecuado a sus ocupantes y de protegerlos del frío, la humedad, el calor, la lluvia, el viento u otras amenazas para la salud, de riesgos estructurales y de vectores de enfermedad. Debe garantizar también la seguridad física de los ocupantes</w:t>
      </w:r>
      <w:r w:rsidR="006C1BD2">
        <w:rPr>
          <w:rFonts w:ascii="Arial Narrow" w:hAnsi="Arial Narrow" w:cs="Tahoma"/>
          <w:i/>
          <w:iCs/>
          <w:color w:val="000000"/>
          <w:spacing w:val="-2"/>
          <w:sz w:val="28"/>
          <w:szCs w:val="28"/>
        </w:rPr>
        <w:t>”</w:t>
      </w:r>
      <w:r w:rsidR="006C1BD2" w:rsidRPr="006C1BD2">
        <w:rPr>
          <w:rFonts w:ascii="Arial Narrow" w:hAnsi="Arial Narrow" w:cs="Tahoma"/>
          <w:i/>
          <w:iCs/>
          <w:color w:val="000000"/>
          <w:spacing w:val="-2"/>
          <w:sz w:val="28"/>
          <w:szCs w:val="28"/>
        </w:rPr>
        <w:t>.</w:t>
      </w:r>
      <w:r w:rsidR="006C1BD2">
        <w:rPr>
          <w:rFonts w:ascii="Arial Narrow" w:hAnsi="Arial Narrow" w:cs="Tahoma"/>
          <w:i/>
          <w:iCs/>
          <w:color w:val="000000"/>
          <w:spacing w:val="-2"/>
          <w:sz w:val="28"/>
          <w:szCs w:val="28"/>
        </w:rPr>
        <w:t xml:space="preserve"> </w:t>
      </w:r>
      <w:r w:rsidR="006C1BD2">
        <w:rPr>
          <w:rFonts w:ascii="Arial Narrow" w:hAnsi="Arial Narrow" w:cs="Tahoma"/>
          <w:iCs/>
          <w:color w:val="000000"/>
          <w:spacing w:val="-2"/>
          <w:sz w:val="28"/>
          <w:szCs w:val="28"/>
        </w:rPr>
        <w:t>La Corte Constitucional como guardiana de la Carta Política y el órgano encargado de desarrollar los mandatos constitucionales, se ha encargado de ahondar en el concepto de habitabilidad, como elemento esencial del derecho a la vivienda digna, determinando lo siguiente:</w:t>
      </w:r>
    </w:p>
    <w:p w:rsidR="006C1BD2" w:rsidRDefault="006C1BD2" w:rsidP="00FD603C">
      <w:pPr>
        <w:tabs>
          <w:tab w:val="left" w:pos="-720"/>
        </w:tabs>
        <w:suppressAutoHyphens/>
        <w:spacing w:line="360" w:lineRule="auto"/>
        <w:ind w:right="-7" w:firstLine="709"/>
        <w:jc w:val="both"/>
        <w:rPr>
          <w:rFonts w:ascii="Arial Narrow" w:hAnsi="Arial Narrow" w:cs="Tahoma"/>
          <w:iCs/>
          <w:color w:val="000000"/>
          <w:spacing w:val="-2"/>
          <w:sz w:val="28"/>
          <w:szCs w:val="28"/>
        </w:rPr>
      </w:pPr>
    </w:p>
    <w:p w:rsidR="006C1BD2" w:rsidRPr="005B353C" w:rsidRDefault="005B353C" w:rsidP="006C1BD2">
      <w:pPr>
        <w:tabs>
          <w:tab w:val="left" w:pos="-720"/>
        </w:tabs>
        <w:suppressAutoHyphens/>
        <w:spacing w:line="360" w:lineRule="auto"/>
        <w:ind w:right="-7" w:firstLine="709"/>
        <w:jc w:val="both"/>
        <w:rPr>
          <w:rFonts w:ascii="Arial Narrow" w:hAnsi="Arial Narrow" w:cs="Tahoma"/>
          <w:i/>
          <w:color w:val="000000"/>
          <w:spacing w:val="-2"/>
          <w:sz w:val="28"/>
          <w:szCs w:val="28"/>
          <w:lang w:val="es-CO"/>
        </w:rPr>
      </w:pPr>
      <w:r w:rsidRPr="005B353C">
        <w:rPr>
          <w:rFonts w:ascii="Arial Narrow" w:hAnsi="Arial Narrow" w:cs="Tahoma"/>
          <w:i/>
          <w:color w:val="000000"/>
          <w:spacing w:val="-2"/>
          <w:sz w:val="28"/>
          <w:szCs w:val="28"/>
          <w:lang w:val="es-CO"/>
        </w:rPr>
        <w:t>“</w:t>
      </w:r>
      <w:r w:rsidR="006C1BD2" w:rsidRPr="005B353C">
        <w:rPr>
          <w:rFonts w:ascii="Arial Narrow" w:hAnsi="Arial Narrow" w:cs="Tahoma"/>
          <w:i/>
          <w:color w:val="000000"/>
          <w:spacing w:val="-2"/>
          <w:sz w:val="28"/>
          <w:szCs w:val="28"/>
          <w:lang w:val="es-CO"/>
        </w:rPr>
        <w:t>Frente al componente de la habitabilidad, esta Corporación (</w:t>
      </w:r>
      <w:r w:rsidR="006C1BD2" w:rsidRPr="005B353C">
        <w:rPr>
          <w:rFonts w:ascii="Arial Narrow" w:hAnsi="Arial Narrow" w:cs="Tahoma"/>
          <w:i/>
          <w:color w:val="000000"/>
          <w:spacing w:val="-2"/>
          <w:sz w:val="28"/>
          <w:szCs w:val="28"/>
        </w:rPr>
        <w:t>Sentencia T-473 de 2008 y T-199 de 2010, entre otras)</w:t>
      </w:r>
      <w:r w:rsidR="006C1BD2" w:rsidRPr="005B353C">
        <w:rPr>
          <w:rFonts w:ascii="Arial Narrow" w:hAnsi="Arial Narrow" w:cs="Tahoma"/>
          <w:i/>
          <w:color w:val="000000"/>
          <w:spacing w:val="-2"/>
          <w:sz w:val="28"/>
          <w:szCs w:val="28"/>
          <w:lang w:val="es-CO"/>
        </w:rPr>
        <w:t> ha identificado, a su vez, dos elementos que la configuran, a saber: (i) la prevención de riesgos estructurales y (ii) la garantía de la seguridad física de los ocupantes.</w:t>
      </w:r>
    </w:p>
    <w:p w:rsidR="006C1BD2" w:rsidRPr="005B353C" w:rsidRDefault="006C1BD2" w:rsidP="006C1BD2">
      <w:pPr>
        <w:tabs>
          <w:tab w:val="left" w:pos="-720"/>
        </w:tabs>
        <w:suppressAutoHyphens/>
        <w:spacing w:line="360" w:lineRule="auto"/>
        <w:ind w:right="-7" w:firstLine="709"/>
        <w:jc w:val="both"/>
        <w:rPr>
          <w:rFonts w:ascii="Arial Narrow" w:hAnsi="Arial Narrow" w:cs="Tahoma"/>
          <w:i/>
          <w:color w:val="000000"/>
          <w:spacing w:val="-2"/>
          <w:sz w:val="28"/>
          <w:szCs w:val="28"/>
          <w:lang w:val="es-CO"/>
        </w:rPr>
      </w:pPr>
      <w:r w:rsidRPr="005B353C">
        <w:rPr>
          <w:rFonts w:ascii="Arial Narrow" w:hAnsi="Arial Narrow" w:cs="Tahoma"/>
          <w:i/>
          <w:color w:val="000000"/>
          <w:spacing w:val="-2"/>
          <w:sz w:val="28"/>
          <w:szCs w:val="28"/>
          <w:lang w:val="es-CO"/>
        </w:rPr>
        <w:t> </w:t>
      </w:r>
    </w:p>
    <w:p w:rsidR="006C1BD2" w:rsidRPr="005B353C" w:rsidRDefault="006C1BD2" w:rsidP="006C1BD2">
      <w:pPr>
        <w:tabs>
          <w:tab w:val="left" w:pos="-720"/>
        </w:tabs>
        <w:suppressAutoHyphens/>
        <w:spacing w:line="360" w:lineRule="auto"/>
        <w:ind w:right="-7" w:firstLine="709"/>
        <w:jc w:val="both"/>
        <w:rPr>
          <w:rFonts w:ascii="Arial Narrow" w:hAnsi="Arial Narrow" w:cs="Tahoma"/>
          <w:i/>
          <w:color w:val="000000"/>
          <w:spacing w:val="-2"/>
          <w:sz w:val="28"/>
          <w:szCs w:val="28"/>
          <w:lang w:val="es-CO"/>
        </w:rPr>
      </w:pPr>
      <w:r w:rsidRPr="005B353C">
        <w:rPr>
          <w:rFonts w:ascii="Arial Narrow" w:hAnsi="Arial Narrow" w:cs="Tahoma"/>
          <w:i/>
          <w:color w:val="000000"/>
          <w:spacing w:val="-2"/>
          <w:sz w:val="28"/>
          <w:szCs w:val="28"/>
          <w:lang w:val="es-CO"/>
        </w:rPr>
        <w:t>Así, la Corte Constitucional ha tutelado el derecho a la vivienda digna cuando el bien amenaza ruina por culpa de la administración pública o un particular, sea por acción o por omisión, protegiéndose especialmente a aquellos grupos familiares que habitan una casa en peligro de caerse, cuando dentro de sus miembros se encuentran sujetos de especial protección constitucional, como niños, adultos mayores o personas en condición de discapacidad.</w:t>
      </w:r>
    </w:p>
    <w:p w:rsidR="006C1BD2" w:rsidRPr="005B353C" w:rsidRDefault="006C1BD2" w:rsidP="006C1BD2">
      <w:pPr>
        <w:tabs>
          <w:tab w:val="left" w:pos="-720"/>
        </w:tabs>
        <w:suppressAutoHyphens/>
        <w:spacing w:line="360" w:lineRule="auto"/>
        <w:ind w:right="-7" w:firstLine="709"/>
        <w:jc w:val="both"/>
        <w:rPr>
          <w:rFonts w:ascii="Arial Narrow" w:hAnsi="Arial Narrow" w:cs="Tahoma"/>
          <w:i/>
          <w:color w:val="000000"/>
          <w:spacing w:val="-2"/>
          <w:sz w:val="28"/>
          <w:szCs w:val="28"/>
          <w:lang w:val="es-CO"/>
        </w:rPr>
      </w:pPr>
      <w:r w:rsidRPr="005B353C">
        <w:rPr>
          <w:rFonts w:ascii="Arial Narrow" w:hAnsi="Arial Narrow" w:cs="Tahoma"/>
          <w:i/>
          <w:iCs/>
          <w:color w:val="000000"/>
          <w:spacing w:val="-2"/>
          <w:sz w:val="28"/>
          <w:szCs w:val="28"/>
          <w:lang w:val="es-CO"/>
        </w:rPr>
        <w:lastRenderedPageBreak/>
        <w:t> </w:t>
      </w:r>
      <w:r w:rsidRPr="005B353C">
        <w:rPr>
          <w:rFonts w:ascii="Arial Narrow" w:hAnsi="Arial Narrow" w:cs="Tahoma"/>
          <w:i/>
          <w:color w:val="000000"/>
          <w:spacing w:val="-2"/>
          <w:sz w:val="28"/>
          <w:szCs w:val="28"/>
          <w:lang w:val="es-CO"/>
        </w:rPr>
        <w:t>         En todo caso, para el amparo del derecho a la vivienda digna deben estudiarse las causas materiales y jurídicas presentes en cada caso concreto. Así, la Sentencia T-125 de febrero 14 de 2008 señaló que es indispensable en cada caso analizar los siguientes aspectos:</w:t>
      </w:r>
    </w:p>
    <w:p w:rsidR="006C1BD2" w:rsidRPr="005B353C" w:rsidRDefault="006C1BD2" w:rsidP="006C1BD2">
      <w:pPr>
        <w:tabs>
          <w:tab w:val="left" w:pos="-720"/>
        </w:tabs>
        <w:suppressAutoHyphens/>
        <w:spacing w:line="360" w:lineRule="auto"/>
        <w:ind w:right="-7" w:firstLine="709"/>
        <w:jc w:val="both"/>
        <w:rPr>
          <w:rFonts w:ascii="Arial Narrow" w:hAnsi="Arial Narrow" w:cs="Tahoma"/>
          <w:i/>
          <w:color w:val="000000"/>
          <w:spacing w:val="-2"/>
          <w:sz w:val="28"/>
          <w:szCs w:val="28"/>
          <w:lang w:val="es-CO"/>
        </w:rPr>
      </w:pPr>
      <w:r w:rsidRPr="005B353C">
        <w:rPr>
          <w:rFonts w:ascii="Arial Narrow" w:hAnsi="Arial Narrow" w:cs="Tahoma"/>
          <w:i/>
          <w:color w:val="000000"/>
          <w:spacing w:val="-2"/>
          <w:sz w:val="28"/>
          <w:szCs w:val="28"/>
          <w:lang w:val="es-CO"/>
        </w:rPr>
        <w:t> </w:t>
      </w:r>
    </w:p>
    <w:p w:rsidR="006C1BD2" w:rsidRPr="005B353C" w:rsidRDefault="006C1BD2" w:rsidP="006C1BD2">
      <w:pPr>
        <w:tabs>
          <w:tab w:val="left" w:pos="-720"/>
        </w:tabs>
        <w:suppressAutoHyphens/>
        <w:spacing w:line="360" w:lineRule="auto"/>
        <w:ind w:right="-7" w:firstLine="709"/>
        <w:jc w:val="both"/>
        <w:rPr>
          <w:rFonts w:ascii="Arial Narrow" w:hAnsi="Arial Narrow" w:cs="Tahoma"/>
          <w:i/>
          <w:color w:val="000000"/>
          <w:spacing w:val="-2"/>
          <w:sz w:val="28"/>
          <w:szCs w:val="28"/>
          <w:lang w:val="es-CO"/>
        </w:rPr>
      </w:pPr>
      <w:r w:rsidRPr="005B353C">
        <w:rPr>
          <w:rFonts w:ascii="Arial Narrow" w:hAnsi="Arial Narrow" w:cs="Tahoma"/>
          <w:i/>
          <w:iCs/>
          <w:color w:val="000000"/>
          <w:spacing w:val="-2"/>
          <w:sz w:val="28"/>
          <w:szCs w:val="28"/>
          <w:lang w:val="es-CO"/>
        </w:rPr>
        <w:t>“(i) la inminencia del peligro; (ii) la existencia de sujetos de especial protección que se encuentren en riesgo; (iii) la afectación del mínimo vital; (iv) el desmedro de la dignidad humana, expresado en situaciones degradantes que afecten el derecho a la vida y la salud, y (v) la existencia de otro medio de defensa judicial de igual efectividad para lo pretendido. Con ello se concluirá si la protección tutelar procede.</w:t>
      </w:r>
    </w:p>
    <w:p w:rsidR="006C1BD2" w:rsidRPr="005B353C" w:rsidRDefault="006C1BD2" w:rsidP="006C1BD2">
      <w:pPr>
        <w:tabs>
          <w:tab w:val="left" w:pos="-720"/>
        </w:tabs>
        <w:suppressAutoHyphens/>
        <w:spacing w:line="360" w:lineRule="auto"/>
        <w:ind w:right="-7" w:firstLine="709"/>
        <w:jc w:val="both"/>
        <w:rPr>
          <w:rFonts w:ascii="Arial Narrow" w:hAnsi="Arial Narrow" w:cs="Tahoma"/>
          <w:i/>
          <w:color w:val="000000"/>
          <w:spacing w:val="-2"/>
          <w:sz w:val="28"/>
          <w:szCs w:val="28"/>
          <w:lang w:val="es-CO"/>
        </w:rPr>
      </w:pPr>
      <w:r w:rsidRPr="005B353C">
        <w:rPr>
          <w:rFonts w:ascii="Arial Narrow" w:hAnsi="Arial Narrow" w:cs="Tahoma"/>
          <w:i/>
          <w:color w:val="000000"/>
          <w:spacing w:val="-2"/>
          <w:sz w:val="28"/>
          <w:szCs w:val="28"/>
          <w:lang w:val="es-CO"/>
        </w:rPr>
        <w:t> </w:t>
      </w:r>
    </w:p>
    <w:p w:rsidR="006C1BD2" w:rsidRPr="005B353C" w:rsidRDefault="006C1BD2" w:rsidP="006C1BD2">
      <w:pPr>
        <w:tabs>
          <w:tab w:val="left" w:pos="-720"/>
        </w:tabs>
        <w:suppressAutoHyphens/>
        <w:spacing w:line="360" w:lineRule="auto"/>
        <w:ind w:right="-7" w:firstLine="709"/>
        <w:jc w:val="both"/>
        <w:rPr>
          <w:rFonts w:ascii="Arial Narrow" w:hAnsi="Arial Narrow" w:cs="Tahoma"/>
          <w:i/>
          <w:color w:val="000000"/>
          <w:spacing w:val="-2"/>
          <w:sz w:val="28"/>
          <w:szCs w:val="28"/>
          <w:lang w:val="es-CO"/>
        </w:rPr>
      </w:pPr>
      <w:r w:rsidRPr="005B353C">
        <w:rPr>
          <w:rFonts w:ascii="Arial Narrow" w:hAnsi="Arial Narrow" w:cs="Tahoma"/>
          <w:i/>
          <w:iCs/>
          <w:color w:val="000000"/>
          <w:spacing w:val="-2"/>
          <w:sz w:val="28"/>
          <w:szCs w:val="28"/>
          <w:u w:val="single"/>
          <w:lang w:val="es-CO"/>
        </w:rPr>
        <w:t>Con respecto a la inminencia del peligro a que se encuentre expuesta la persona, debe ser de tal magnitud y actualidad que ponga en riesgo la vida, la salud, la integridad física o la dignidad del interesado y su núcleo familiar, y que no exista otra forma de conjurar dicha situación</w:t>
      </w:r>
      <w:r w:rsidRPr="005B353C">
        <w:rPr>
          <w:rFonts w:ascii="Arial Narrow" w:hAnsi="Arial Narrow" w:cs="Tahoma"/>
          <w:i/>
          <w:iCs/>
          <w:color w:val="000000"/>
          <w:spacing w:val="-2"/>
          <w:sz w:val="28"/>
          <w:szCs w:val="28"/>
          <w:lang w:val="es-CO"/>
        </w:rPr>
        <w:t xml:space="preserve">.”(Subrayado </w:t>
      </w:r>
      <w:r w:rsidR="005B353C">
        <w:rPr>
          <w:rFonts w:ascii="Arial Narrow" w:hAnsi="Arial Narrow" w:cs="Tahoma"/>
          <w:i/>
          <w:iCs/>
          <w:color w:val="000000"/>
          <w:spacing w:val="-2"/>
          <w:sz w:val="28"/>
          <w:szCs w:val="28"/>
          <w:lang w:val="es-CO"/>
        </w:rPr>
        <w:t>propia de la Corte</w:t>
      </w:r>
      <w:r w:rsidRPr="005B353C">
        <w:rPr>
          <w:rFonts w:ascii="Arial Narrow" w:hAnsi="Arial Narrow" w:cs="Tahoma"/>
          <w:i/>
          <w:iCs/>
          <w:color w:val="000000"/>
          <w:spacing w:val="-2"/>
          <w:sz w:val="28"/>
          <w:szCs w:val="28"/>
          <w:lang w:val="es-CO"/>
        </w:rPr>
        <w:t>)</w:t>
      </w:r>
    </w:p>
    <w:p w:rsidR="006C1BD2" w:rsidRPr="005B353C" w:rsidRDefault="006C1BD2" w:rsidP="006C1BD2">
      <w:pPr>
        <w:tabs>
          <w:tab w:val="left" w:pos="-720"/>
        </w:tabs>
        <w:suppressAutoHyphens/>
        <w:spacing w:line="360" w:lineRule="auto"/>
        <w:ind w:right="-7" w:firstLine="709"/>
        <w:jc w:val="both"/>
        <w:rPr>
          <w:rFonts w:ascii="Arial Narrow" w:hAnsi="Arial Narrow" w:cs="Tahoma"/>
          <w:i/>
          <w:color w:val="000000"/>
          <w:spacing w:val="-2"/>
          <w:sz w:val="28"/>
          <w:szCs w:val="28"/>
          <w:lang w:val="es-CO"/>
        </w:rPr>
      </w:pPr>
      <w:r w:rsidRPr="005B353C">
        <w:rPr>
          <w:rFonts w:ascii="Arial Narrow" w:hAnsi="Arial Narrow" w:cs="Tahoma"/>
          <w:i/>
          <w:color w:val="000000"/>
          <w:spacing w:val="-2"/>
          <w:sz w:val="28"/>
          <w:szCs w:val="28"/>
          <w:lang w:val="es-CO"/>
        </w:rPr>
        <w:t> </w:t>
      </w:r>
    </w:p>
    <w:p w:rsidR="006C1BD2" w:rsidRPr="005B353C" w:rsidRDefault="006C1BD2" w:rsidP="006C1BD2">
      <w:pPr>
        <w:tabs>
          <w:tab w:val="left" w:pos="-720"/>
        </w:tabs>
        <w:suppressAutoHyphens/>
        <w:spacing w:line="360" w:lineRule="auto"/>
        <w:ind w:right="-7" w:firstLine="709"/>
        <w:jc w:val="both"/>
        <w:rPr>
          <w:rFonts w:ascii="Arial Narrow" w:hAnsi="Arial Narrow" w:cs="Tahoma"/>
          <w:i/>
          <w:color w:val="000000"/>
          <w:spacing w:val="-2"/>
          <w:sz w:val="28"/>
          <w:szCs w:val="28"/>
          <w:lang w:val="es-CO"/>
        </w:rPr>
      </w:pPr>
      <w:r w:rsidRPr="005B353C">
        <w:rPr>
          <w:rFonts w:ascii="Arial Narrow" w:hAnsi="Arial Narrow" w:cs="Tahoma"/>
          <w:i/>
          <w:color w:val="000000"/>
          <w:spacing w:val="-2"/>
          <w:sz w:val="28"/>
          <w:szCs w:val="28"/>
          <w:lang w:val="es-CO"/>
        </w:rPr>
        <w:t>En este orden, debe tenerse en cuenta las citadas causas materiales y jurídicas de cada caso para que la protección mediante la acción de tutela del componente de habitabilidad del derecho a la vivienda digna sea procedente, es decir, debe estudiarse la existencia de un peligro de tal magnitud que requiera adoptar medidas urgentes por parte del juez constitucional, desplazando en estos casos los medios judiciales ordinarios, o la falta de idoneidad de los medios ordinarios</w:t>
      </w:r>
      <w:r w:rsidR="005B353C">
        <w:rPr>
          <w:rFonts w:ascii="Arial Narrow" w:hAnsi="Arial Narrow" w:cs="Tahoma"/>
          <w:i/>
          <w:color w:val="000000"/>
          <w:spacing w:val="-2"/>
          <w:sz w:val="28"/>
          <w:szCs w:val="28"/>
          <w:lang w:val="es-CO"/>
        </w:rPr>
        <w:t>”</w:t>
      </w:r>
      <w:r w:rsidRPr="005B353C">
        <w:rPr>
          <w:rFonts w:ascii="Arial Narrow" w:hAnsi="Arial Narrow" w:cs="Tahoma"/>
          <w:i/>
          <w:color w:val="000000"/>
          <w:spacing w:val="-2"/>
          <w:sz w:val="28"/>
          <w:szCs w:val="28"/>
          <w:lang w:val="es-CO"/>
        </w:rPr>
        <w:t xml:space="preserve">. </w:t>
      </w:r>
      <w:r w:rsidR="005B353C">
        <w:rPr>
          <w:rFonts w:ascii="Arial Narrow" w:hAnsi="Arial Narrow" w:cs="Tahoma"/>
          <w:i/>
          <w:color w:val="000000"/>
          <w:spacing w:val="-2"/>
          <w:sz w:val="28"/>
          <w:szCs w:val="28"/>
          <w:lang w:val="es-CO"/>
        </w:rPr>
        <w:t>(</w:t>
      </w:r>
      <w:proofErr w:type="gramStart"/>
      <w:r w:rsidR="005B353C">
        <w:rPr>
          <w:rFonts w:ascii="Arial Narrow" w:hAnsi="Arial Narrow" w:cs="Tahoma"/>
          <w:i/>
          <w:color w:val="000000"/>
          <w:spacing w:val="-2"/>
          <w:sz w:val="28"/>
          <w:szCs w:val="28"/>
          <w:lang w:val="es-CO"/>
        </w:rPr>
        <w:t>sentencia</w:t>
      </w:r>
      <w:proofErr w:type="gramEnd"/>
      <w:r w:rsidR="005B353C">
        <w:rPr>
          <w:rFonts w:ascii="Arial Narrow" w:hAnsi="Arial Narrow" w:cs="Tahoma"/>
          <w:i/>
          <w:color w:val="000000"/>
          <w:spacing w:val="-2"/>
          <w:sz w:val="28"/>
          <w:szCs w:val="28"/>
          <w:lang w:val="es-CO"/>
        </w:rPr>
        <w:t xml:space="preserve"> T-498 de 2013).</w:t>
      </w:r>
      <w:r w:rsidRPr="005B353C">
        <w:rPr>
          <w:rFonts w:ascii="Arial Narrow" w:hAnsi="Arial Narrow" w:cs="Tahoma"/>
          <w:i/>
          <w:color w:val="000000"/>
          <w:spacing w:val="-2"/>
          <w:sz w:val="28"/>
          <w:szCs w:val="28"/>
          <w:lang w:val="es-CO"/>
        </w:rPr>
        <w:t>   </w:t>
      </w:r>
    </w:p>
    <w:p w:rsidR="006C1BD2" w:rsidRDefault="006C1BD2" w:rsidP="00FD603C">
      <w:pPr>
        <w:tabs>
          <w:tab w:val="left" w:pos="-720"/>
        </w:tabs>
        <w:suppressAutoHyphens/>
        <w:spacing w:line="360" w:lineRule="auto"/>
        <w:ind w:right="-7" w:firstLine="709"/>
        <w:jc w:val="both"/>
        <w:rPr>
          <w:rFonts w:ascii="Arial Narrow" w:hAnsi="Arial Narrow" w:cs="Tahoma"/>
          <w:color w:val="000000"/>
          <w:spacing w:val="-2"/>
          <w:sz w:val="28"/>
          <w:szCs w:val="28"/>
          <w:lang w:val="es-CO"/>
        </w:rPr>
      </w:pPr>
    </w:p>
    <w:p w:rsidR="00691693" w:rsidRDefault="005B353C" w:rsidP="00FD603C">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 xml:space="preserve">De lo hasta acá discurrido, bien puede concluirse que el derecho a la vivienda digna es un derecho fundamental que implica que su ejercicio se dé en unas condiciones adecuadas que garanticen, entre otros aspectos, la habitabilidad de la casa en condiciones de dignidad, </w:t>
      </w:r>
      <w:r w:rsidR="00691693">
        <w:rPr>
          <w:rFonts w:ascii="Arial Narrow" w:hAnsi="Arial Narrow" w:cs="Tahoma"/>
          <w:color w:val="000000"/>
          <w:spacing w:val="-2"/>
          <w:sz w:val="28"/>
          <w:szCs w:val="28"/>
          <w:lang w:val="es-CO"/>
        </w:rPr>
        <w:t>y que en caso de que se observe</w:t>
      </w:r>
      <w:r w:rsidR="009A278F">
        <w:rPr>
          <w:rFonts w:ascii="Arial Narrow" w:hAnsi="Arial Narrow" w:cs="Tahoma"/>
          <w:color w:val="000000"/>
          <w:spacing w:val="-2"/>
          <w:sz w:val="28"/>
          <w:szCs w:val="28"/>
          <w:lang w:val="es-CO"/>
        </w:rPr>
        <w:t xml:space="preserve"> la</w:t>
      </w:r>
      <w:r w:rsidR="00691693">
        <w:rPr>
          <w:rFonts w:ascii="Arial Narrow" w:hAnsi="Arial Narrow" w:cs="Tahoma"/>
          <w:color w:val="000000"/>
          <w:spacing w:val="-2"/>
          <w:sz w:val="28"/>
          <w:szCs w:val="28"/>
          <w:lang w:val="es-CO"/>
        </w:rPr>
        <w:t xml:space="preserve"> urgente </w:t>
      </w:r>
      <w:r w:rsidR="009A278F">
        <w:rPr>
          <w:rFonts w:ascii="Arial Narrow" w:hAnsi="Arial Narrow" w:cs="Tahoma"/>
          <w:color w:val="000000"/>
          <w:spacing w:val="-2"/>
          <w:sz w:val="28"/>
          <w:szCs w:val="28"/>
          <w:lang w:val="es-CO"/>
        </w:rPr>
        <w:t xml:space="preserve">necesidad en </w:t>
      </w:r>
      <w:r w:rsidR="00691693">
        <w:rPr>
          <w:rFonts w:ascii="Arial Narrow" w:hAnsi="Arial Narrow" w:cs="Tahoma"/>
          <w:color w:val="000000"/>
          <w:spacing w:val="-2"/>
          <w:sz w:val="28"/>
          <w:szCs w:val="28"/>
          <w:lang w:val="es-CO"/>
        </w:rPr>
        <w:t>la adopción de medidas que conjuren un peligro inminente,</w:t>
      </w:r>
      <w:r w:rsidR="0077357B">
        <w:rPr>
          <w:rFonts w:ascii="Arial Narrow" w:hAnsi="Arial Narrow" w:cs="Tahoma"/>
          <w:color w:val="000000"/>
          <w:spacing w:val="-2"/>
          <w:sz w:val="28"/>
          <w:szCs w:val="28"/>
          <w:lang w:val="es-CO"/>
        </w:rPr>
        <w:t xml:space="preserve"> como por ejemplo una amenaza estructural cierta e inminente,</w:t>
      </w:r>
      <w:r w:rsidR="00691693">
        <w:rPr>
          <w:rFonts w:ascii="Arial Narrow" w:hAnsi="Arial Narrow" w:cs="Tahoma"/>
          <w:color w:val="000000"/>
          <w:spacing w:val="-2"/>
          <w:sz w:val="28"/>
          <w:szCs w:val="28"/>
          <w:lang w:val="es-CO"/>
        </w:rPr>
        <w:t xml:space="preserve"> el Juez de tutela está en obligación de tomarlas, pero como regla general, la protección de la vivienda digna está </w:t>
      </w:r>
      <w:r w:rsidR="0076518F">
        <w:rPr>
          <w:rFonts w:ascii="Arial Narrow" w:hAnsi="Arial Narrow" w:cs="Tahoma"/>
          <w:color w:val="000000"/>
          <w:spacing w:val="-2"/>
          <w:sz w:val="28"/>
          <w:szCs w:val="28"/>
          <w:lang w:val="es-CO"/>
        </w:rPr>
        <w:t>amparada por los medios ordinarios de defensa judicial</w:t>
      </w:r>
      <w:r w:rsidR="00691693">
        <w:rPr>
          <w:rFonts w:ascii="Arial Narrow" w:hAnsi="Arial Narrow" w:cs="Tahoma"/>
          <w:color w:val="000000"/>
          <w:spacing w:val="-2"/>
          <w:sz w:val="28"/>
          <w:szCs w:val="28"/>
          <w:lang w:val="es-CO"/>
        </w:rPr>
        <w:t>.</w:t>
      </w:r>
    </w:p>
    <w:p w:rsidR="00116F9E" w:rsidRDefault="00691693" w:rsidP="00FD603C">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lastRenderedPageBreak/>
        <w:t xml:space="preserve"> </w:t>
      </w:r>
      <w:r w:rsidR="0077357B">
        <w:rPr>
          <w:rFonts w:ascii="Arial Narrow" w:hAnsi="Arial Narrow" w:cs="Tahoma"/>
          <w:color w:val="000000"/>
          <w:spacing w:val="-2"/>
          <w:sz w:val="28"/>
          <w:szCs w:val="28"/>
          <w:lang w:val="es-CO"/>
        </w:rPr>
        <w:t xml:space="preserve">Conforme a lo discurrido, ha de decirse que en el caso concreto, se observa que la vivienda 49 de la </w:t>
      </w:r>
      <w:r w:rsidR="006B51E3">
        <w:rPr>
          <w:rFonts w:ascii="Arial Narrow" w:hAnsi="Arial Narrow" w:cs="Tahoma"/>
          <w:color w:val="000000"/>
          <w:spacing w:val="-2"/>
          <w:sz w:val="28"/>
          <w:szCs w:val="28"/>
          <w:lang w:val="es-CO"/>
        </w:rPr>
        <w:t>Urbanización</w:t>
      </w:r>
      <w:r w:rsidR="0077357B">
        <w:rPr>
          <w:rFonts w:ascii="Arial Narrow" w:hAnsi="Arial Narrow" w:cs="Tahoma"/>
          <w:color w:val="000000"/>
          <w:spacing w:val="-2"/>
          <w:sz w:val="28"/>
          <w:szCs w:val="28"/>
          <w:lang w:val="es-CO"/>
        </w:rPr>
        <w:t xml:space="preserve"> Portal de Llano Grande, de propiedad de los demandantes en sede de tutela, se encuentra ubicada cerca de la quebrada el Erazo, la cual paulatinamente ha desviado su cauce</w:t>
      </w:r>
      <w:r w:rsidR="00AD6EAF">
        <w:rPr>
          <w:rFonts w:ascii="Arial Narrow" w:hAnsi="Arial Narrow" w:cs="Tahoma"/>
          <w:color w:val="000000"/>
          <w:spacing w:val="-2"/>
          <w:sz w:val="28"/>
          <w:szCs w:val="28"/>
          <w:lang w:val="es-CO"/>
        </w:rPr>
        <w:t xml:space="preserve"> y ha ido erosionando el terreno contiguo. Sin embargo, tal situación que obedece indudablemente a </w:t>
      </w:r>
      <w:r w:rsidR="006B51E3">
        <w:rPr>
          <w:rFonts w:ascii="Arial Narrow" w:hAnsi="Arial Narrow" w:cs="Tahoma"/>
          <w:color w:val="000000"/>
          <w:spacing w:val="-2"/>
          <w:sz w:val="28"/>
          <w:szCs w:val="28"/>
          <w:lang w:val="es-CO"/>
        </w:rPr>
        <w:t xml:space="preserve">la fuerza de la naturaleza, en realidad no ha afectado de manera urgente y evidente la aludida vivienda, tal como se puede verificar en el informe de visita que adelantó la </w:t>
      </w:r>
      <w:proofErr w:type="spellStart"/>
      <w:r w:rsidR="006B51E3">
        <w:rPr>
          <w:rFonts w:ascii="Arial Narrow" w:hAnsi="Arial Narrow" w:cs="Tahoma"/>
          <w:color w:val="000000"/>
          <w:spacing w:val="-2"/>
          <w:sz w:val="28"/>
          <w:szCs w:val="28"/>
          <w:lang w:val="es-CO"/>
        </w:rPr>
        <w:t>Carder</w:t>
      </w:r>
      <w:proofErr w:type="spellEnd"/>
      <w:r w:rsidR="006B51E3">
        <w:rPr>
          <w:rFonts w:ascii="Arial Narrow" w:hAnsi="Arial Narrow" w:cs="Tahoma"/>
          <w:color w:val="000000"/>
          <w:spacing w:val="-2"/>
          <w:sz w:val="28"/>
          <w:szCs w:val="28"/>
          <w:lang w:val="es-CO"/>
        </w:rPr>
        <w:t xml:space="preserve"> a la vivienda y que se aportó en segunda instancia como cumplimiento de la decisión judicial. El mismo indudablemente refiere que la vivienda no presenta problema estructural alguno, que no está afectada su habitabilidad y que la misma conserva las condiciones de dignidad necesarias para que los accionantes vivan allí. El mismo informe también revela que la quebrada el Erazo presenta </w:t>
      </w:r>
      <w:r w:rsidR="006B51E3">
        <w:rPr>
          <w:rFonts w:ascii="Arial Narrow" w:hAnsi="Arial Narrow" w:cs="Tahoma"/>
          <w:i/>
          <w:color w:val="000000"/>
          <w:spacing w:val="-2"/>
          <w:sz w:val="28"/>
          <w:szCs w:val="28"/>
          <w:lang w:val="es-CO"/>
        </w:rPr>
        <w:t>“rocas de tamaño considerable, y arrastre de materiales que obstruyen el lecho de la quebrada, las cuales aceleran el proceso de socavación y desvió del cauce natural de la Quebrada”</w:t>
      </w:r>
      <w:r w:rsidR="006B51E3">
        <w:rPr>
          <w:rFonts w:ascii="Arial Narrow" w:hAnsi="Arial Narrow" w:cs="Tahoma"/>
          <w:color w:val="000000"/>
          <w:spacing w:val="-2"/>
          <w:sz w:val="28"/>
          <w:szCs w:val="28"/>
          <w:lang w:val="es-CO"/>
        </w:rPr>
        <w:t>. Tal documento muestra que</w:t>
      </w:r>
      <w:r w:rsidR="00D87446">
        <w:rPr>
          <w:rFonts w:ascii="Arial Narrow" w:hAnsi="Arial Narrow" w:cs="Tahoma"/>
          <w:color w:val="000000"/>
          <w:spacing w:val="-2"/>
          <w:sz w:val="28"/>
          <w:szCs w:val="28"/>
          <w:lang w:val="es-CO"/>
        </w:rPr>
        <w:t xml:space="preserve"> es posible</w:t>
      </w:r>
      <w:r w:rsidR="006B51E3">
        <w:rPr>
          <w:rFonts w:ascii="Arial Narrow" w:hAnsi="Arial Narrow" w:cs="Tahoma"/>
          <w:color w:val="000000"/>
          <w:spacing w:val="-2"/>
          <w:sz w:val="28"/>
          <w:szCs w:val="28"/>
          <w:lang w:val="es-CO"/>
        </w:rPr>
        <w:t xml:space="preserve"> </w:t>
      </w:r>
      <w:r w:rsidR="00D87446">
        <w:rPr>
          <w:rFonts w:ascii="Arial Narrow" w:hAnsi="Arial Narrow" w:cs="Tahoma"/>
          <w:color w:val="000000"/>
          <w:spacing w:val="-2"/>
          <w:sz w:val="28"/>
          <w:szCs w:val="28"/>
          <w:lang w:val="es-CO"/>
        </w:rPr>
        <w:t xml:space="preserve">que </w:t>
      </w:r>
      <w:r w:rsidR="006B51E3">
        <w:rPr>
          <w:rFonts w:ascii="Arial Narrow" w:hAnsi="Arial Narrow" w:cs="Tahoma"/>
          <w:color w:val="000000"/>
          <w:spacing w:val="-2"/>
          <w:sz w:val="28"/>
          <w:szCs w:val="28"/>
          <w:lang w:val="es-CO"/>
        </w:rPr>
        <w:t xml:space="preserve">a futuro </w:t>
      </w:r>
      <w:r w:rsidR="006B51E3" w:rsidRPr="00D87446">
        <w:rPr>
          <w:rFonts w:ascii="Arial Narrow" w:hAnsi="Arial Narrow" w:cs="Tahoma"/>
          <w:b/>
          <w:color w:val="000000"/>
          <w:spacing w:val="-2"/>
          <w:sz w:val="28"/>
          <w:szCs w:val="28"/>
          <w:lang w:val="es-CO"/>
        </w:rPr>
        <w:t>se puede presentar</w:t>
      </w:r>
      <w:r w:rsidR="006B51E3">
        <w:rPr>
          <w:rFonts w:ascii="Arial Narrow" w:hAnsi="Arial Narrow" w:cs="Tahoma"/>
          <w:color w:val="000000"/>
          <w:spacing w:val="-2"/>
          <w:sz w:val="28"/>
          <w:szCs w:val="28"/>
          <w:lang w:val="es-CO"/>
        </w:rPr>
        <w:t xml:space="preserve"> un proceso de socavación del terreno contiguo que termine afectando la sostenibilidad </w:t>
      </w:r>
      <w:r w:rsidR="00D515A9">
        <w:rPr>
          <w:rFonts w:ascii="Arial Narrow" w:hAnsi="Arial Narrow" w:cs="Tahoma"/>
          <w:color w:val="000000"/>
          <w:spacing w:val="-2"/>
          <w:sz w:val="28"/>
          <w:szCs w:val="28"/>
          <w:lang w:val="es-CO"/>
        </w:rPr>
        <w:t>estructural de la vivienda de lo</w:t>
      </w:r>
      <w:r w:rsidR="006B51E3">
        <w:rPr>
          <w:rFonts w:ascii="Arial Narrow" w:hAnsi="Arial Narrow" w:cs="Tahoma"/>
          <w:color w:val="000000"/>
          <w:spacing w:val="-2"/>
          <w:sz w:val="28"/>
          <w:szCs w:val="28"/>
          <w:lang w:val="es-CO"/>
        </w:rPr>
        <w:t>s accionantes y de a</w:t>
      </w:r>
      <w:r w:rsidR="00116F9E">
        <w:rPr>
          <w:rFonts w:ascii="Arial Narrow" w:hAnsi="Arial Narrow" w:cs="Tahoma"/>
          <w:color w:val="000000"/>
          <w:spacing w:val="-2"/>
          <w:sz w:val="28"/>
          <w:szCs w:val="28"/>
          <w:lang w:val="es-CO"/>
        </w:rPr>
        <w:t>l</w:t>
      </w:r>
      <w:r w:rsidR="006B51E3">
        <w:rPr>
          <w:rFonts w:ascii="Arial Narrow" w:hAnsi="Arial Narrow" w:cs="Tahoma"/>
          <w:color w:val="000000"/>
          <w:spacing w:val="-2"/>
          <w:sz w:val="28"/>
          <w:szCs w:val="28"/>
          <w:lang w:val="es-CO"/>
        </w:rPr>
        <w:t xml:space="preserve">gunas otras ubicadas en las cercanías, </w:t>
      </w:r>
      <w:r w:rsidR="00116F9E">
        <w:rPr>
          <w:rFonts w:ascii="Arial Narrow" w:hAnsi="Arial Narrow" w:cs="Tahoma"/>
          <w:color w:val="000000"/>
          <w:spacing w:val="-2"/>
          <w:sz w:val="28"/>
          <w:szCs w:val="28"/>
          <w:lang w:val="es-CO"/>
        </w:rPr>
        <w:t>no se observa que tal riesgo tenga la latencia e inminencia relatada por los accionantes,</w:t>
      </w:r>
      <w:r w:rsidR="00D515A9">
        <w:rPr>
          <w:rFonts w:ascii="Arial Narrow" w:hAnsi="Arial Narrow" w:cs="Tahoma"/>
          <w:color w:val="000000"/>
          <w:spacing w:val="-2"/>
          <w:sz w:val="28"/>
          <w:szCs w:val="28"/>
          <w:lang w:val="es-CO"/>
        </w:rPr>
        <w:t xml:space="preserve"> </w:t>
      </w:r>
      <w:r w:rsidR="00D87446">
        <w:rPr>
          <w:rFonts w:ascii="Arial Narrow" w:hAnsi="Arial Narrow" w:cs="Tahoma"/>
          <w:color w:val="000000"/>
          <w:spacing w:val="-2"/>
          <w:sz w:val="28"/>
          <w:szCs w:val="28"/>
          <w:lang w:val="es-CO"/>
        </w:rPr>
        <w:t xml:space="preserve">ni que sean urgentes las medidas que deban adoptarse, </w:t>
      </w:r>
      <w:r w:rsidR="007A7E4E">
        <w:rPr>
          <w:rFonts w:ascii="Arial Narrow" w:hAnsi="Arial Narrow" w:cs="Tahoma"/>
          <w:color w:val="000000"/>
          <w:spacing w:val="-2"/>
          <w:sz w:val="28"/>
          <w:szCs w:val="28"/>
          <w:lang w:val="es-CO"/>
        </w:rPr>
        <w:t>pues así se desprende del mismo documento que alude a las actuales condiciones</w:t>
      </w:r>
      <w:r w:rsidR="00D87446">
        <w:rPr>
          <w:rFonts w:ascii="Arial Narrow" w:hAnsi="Arial Narrow" w:cs="Tahoma"/>
          <w:color w:val="000000"/>
          <w:spacing w:val="-2"/>
          <w:sz w:val="28"/>
          <w:szCs w:val="28"/>
          <w:lang w:val="es-CO"/>
        </w:rPr>
        <w:t xml:space="preserve"> de la vivienda y sus alrededores, encontrándolas adecuadas y sin alusión a modificaciones de las mismas a corto o mediano plazo</w:t>
      </w:r>
      <w:r w:rsidR="007A7E4E">
        <w:rPr>
          <w:rFonts w:ascii="Arial Narrow" w:hAnsi="Arial Narrow" w:cs="Tahoma"/>
          <w:color w:val="000000"/>
          <w:spacing w:val="-2"/>
          <w:sz w:val="28"/>
          <w:szCs w:val="28"/>
          <w:lang w:val="es-CO"/>
        </w:rPr>
        <w:t>,</w:t>
      </w:r>
      <w:r w:rsidR="00116F9E">
        <w:rPr>
          <w:rFonts w:ascii="Arial Narrow" w:hAnsi="Arial Narrow" w:cs="Tahoma"/>
          <w:color w:val="000000"/>
          <w:spacing w:val="-2"/>
          <w:sz w:val="28"/>
          <w:szCs w:val="28"/>
          <w:lang w:val="es-CO"/>
        </w:rPr>
        <w:t xml:space="preserve"> por lo que las acciones ordinarias tendientes a que la entidad territorial en su condición de suprema gestor del riesgo en el municipio –Ley 1523 de 2012 art. Art. 14- cumpla con su deber y que las constructoras entren a responder por un posible vicio oculto en la construcción de la vivienda, siguen mostrándose como un mecanismo idóneo, razón por la cual la acción de tutela no puede desplazarlas.</w:t>
      </w:r>
    </w:p>
    <w:p w:rsidR="00116F9E" w:rsidRDefault="00116F9E" w:rsidP="00FD603C">
      <w:pPr>
        <w:tabs>
          <w:tab w:val="left" w:pos="-720"/>
        </w:tabs>
        <w:suppressAutoHyphens/>
        <w:spacing w:line="360" w:lineRule="auto"/>
        <w:ind w:right="-7" w:firstLine="709"/>
        <w:jc w:val="both"/>
        <w:rPr>
          <w:rFonts w:ascii="Arial Narrow" w:hAnsi="Arial Narrow" w:cs="Tahoma"/>
          <w:color w:val="000000"/>
          <w:spacing w:val="-2"/>
          <w:sz w:val="28"/>
          <w:szCs w:val="28"/>
          <w:lang w:val="es-CO"/>
        </w:rPr>
      </w:pPr>
    </w:p>
    <w:p w:rsidR="00116F9E" w:rsidRDefault="00116F9E" w:rsidP="00FD603C">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Así las cosas, se encuentra que la decisión de primer grado debe revocarse, pues en verdad se observa que la acción de tutela no es el mecanismo idóneo para el amparo del derecho alegado, debiendo en su lugar declararse improcedente el amparo deprecado.</w:t>
      </w:r>
      <w:r w:rsidR="00F15918">
        <w:rPr>
          <w:rFonts w:ascii="Arial Narrow" w:hAnsi="Arial Narrow" w:cs="Tahoma"/>
          <w:color w:val="000000"/>
          <w:spacing w:val="-2"/>
          <w:sz w:val="28"/>
          <w:szCs w:val="28"/>
          <w:lang w:val="es-CO"/>
        </w:rPr>
        <w:t xml:space="preserve"> </w:t>
      </w:r>
    </w:p>
    <w:p w:rsidR="00A83C94" w:rsidRDefault="00497D0B" w:rsidP="003F4D5E">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 </w:t>
      </w:r>
      <w:r w:rsidR="00D92E7A">
        <w:rPr>
          <w:rFonts w:ascii="Arial Narrow" w:hAnsi="Arial Narrow" w:cs="Tahoma"/>
          <w:color w:val="000000"/>
          <w:spacing w:val="-2"/>
          <w:sz w:val="28"/>
          <w:szCs w:val="28"/>
        </w:rPr>
        <w:t xml:space="preserve">  </w:t>
      </w:r>
      <w:r w:rsidR="00EC35E6">
        <w:rPr>
          <w:rFonts w:ascii="Arial Narrow" w:hAnsi="Arial Narrow" w:cs="Tahoma"/>
          <w:color w:val="000000"/>
          <w:spacing w:val="-2"/>
          <w:sz w:val="28"/>
          <w:szCs w:val="28"/>
        </w:rPr>
        <w:t xml:space="preserve"> </w:t>
      </w:r>
    </w:p>
    <w:p w:rsidR="00EF2DB9" w:rsidRPr="00074CDE" w:rsidRDefault="00EF2DB9" w:rsidP="00EF2DB9">
      <w:pPr>
        <w:pStyle w:val="Prrafodelista1"/>
        <w:spacing w:line="360" w:lineRule="auto"/>
        <w:ind w:left="0" w:firstLine="851"/>
        <w:jc w:val="both"/>
        <w:rPr>
          <w:rFonts w:ascii="Arial Narrow" w:hAnsi="Arial Narrow"/>
          <w:sz w:val="28"/>
          <w:szCs w:val="28"/>
        </w:rPr>
      </w:pPr>
      <w:r w:rsidRPr="00074CDE">
        <w:rPr>
          <w:rFonts w:ascii="Arial Narrow" w:hAnsi="Arial Narrow"/>
          <w:sz w:val="28"/>
          <w:szCs w:val="28"/>
        </w:rPr>
        <w:lastRenderedPageBreak/>
        <w:t>En mérito de lo expuesto,</w:t>
      </w:r>
      <w:r w:rsidRPr="00074CDE">
        <w:rPr>
          <w:rFonts w:ascii="Arial Narrow" w:hAnsi="Arial Narrow"/>
          <w:b/>
          <w:sz w:val="28"/>
          <w:szCs w:val="28"/>
        </w:rPr>
        <w:t xml:space="preserve"> </w:t>
      </w:r>
      <w:r w:rsidRPr="00074CDE">
        <w:rPr>
          <w:rFonts w:ascii="Arial Narrow" w:hAnsi="Arial Narrow"/>
          <w:b/>
          <w:i/>
          <w:sz w:val="28"/>
          <w:szCs w:val="28"/>
        </w:rPr>
        <w:t>el Tribunal Superior del Distrito Judicial de Pereira - Risaralda, Sala Laboral,</w:t>
      </w:r>
      <w:r w:rsidRPr="00074CDE">
        <w:rPr>
          <w:rFonts w:ascii="Arial Narrow" w:hAnsi="Arial Narrow"/>
          <w:b/>
          <w:sz w:val="28"/>
          <w:szCs w:val="28"/>
        </w:rPr>
        <w:t xml:space="preserve"> </w:t>
      </w:r>
      <w:r w:rsidRPr="00074CDE">
        <w:rPr>
          <w:rFonts w:ascii="Arial Narrow" w:hAnsi="Arial Narrow"/>
          <w:sz w:val="28"/>
          <w:szCs w:val="28"/>
        </w:rPr>
        <w:t>administrando justicia en nombre del pueblo y por mandato de la Constitución,</w:t>
      </w:r>
    </w:p>
    <w:p w:rsidR="00EF2DB9" w:rsidRPr="00074CDE" w:rsidRDefault="00EF2DB9" w:rsidP="00EF2DB9">
      <w:pPr>
        <w:jc w:val="center"/>
        <w:rPr>
          <w:rFonts w:ascii="Arial Narrow" w:hAnsi="Arial Narrow" w:cs="Arial"/>
          <w:b/>
          <w:i/>
          <w:sz w:val="28"/>
          <w:szCs w:val="28"/>
        </w:rPr>
      </w:pPr>
    </w:p>
    <w:p w:rsidR="00EF2DB9" w:rsidRPr="00074CDE" w:rsidRDefault="00EF2DB9" w:rsidP="00EF2DB9">
      <w:pPr>
        <w:jc w:val="center"/>
        <w:rPr>
          <w:rFonts w:ascii="Arial Narrow" w:hAnsi="Arial Narrow" w:cs="Arial"/>
          <w:b/>
          <w:i/>
          <w:sz w:val="28"/>
          <w:szCs w:val="28"/>
        </w:rPr>
      </w:pPr>
      <w:r w:rsidRPr="00074CDE">
        <w:rPr>
          <w:rFonts w:ascii="Arial Narrow" w:hAnsi="Arial Narrow" w:cs="Arial"/>
          <w:b/>
          <w:i/>
          <w:sz w:val="28"/>
          <w:szCs w:val="28"/>
        </w:rPr>
        <w:t>FALLA</w:t>
      </w:r>
    </w:p>
    <w:p w:rsidR="00EF2DB9" w:rsidRPr="00074CDE" w:rsidRDefault="00EF2DB9" w:rsidP="00843F9F">
      <w:pPr>
        <w:spacing w:line="480" w:lineRule="auto"/>
        <w:jc w:val="center"/>
        <w:rPr>
          <w:rFonts w:ascii="Arial Narrow" w:hAnsi="Arial Narrow" w:cs="Arial"/>
          <w:b/>
          <w:i/>
          <w:sz w:val="28"/>
          <w:szCs w:val="28"/>
        </w:rPr>
      </w:pPr>
    </w:p>
    <w:p w:rsidR="00EF2DB9" w:rsidRPr="005335B1" w:rsidRDefault="00EF2DB9" w:rsidP="00EF2DB9">
      <w:pPr>
        <w:spacing w:line="360" w:lineRule="auto"/>
        <w:ind w:firstLine="900"/>
        <w:jc w:val="both"/>
        <w:rPr>
          <w:rFonts w:ascii="Arial Narrow" w:hAnsi="Arial Narrow" w:cs="Tahoma"/>
          <w:i/>
          <w:sz w:val="28"/>
          <w:szCs w:val="28"/>
        </w:rPr>
      </w:pPr>
      <w:r w:rsidRPr="00074CDE">
        <w:rPr>
          <w:rFonts w:ascii="Arial Narrow" w:hAnsi="Arial Narrow" w:cs="Arial"/>
          <w:b/>
          <w:i/>
          <w:sz w:val="28"/>
          <w:szCs w:val="28"/>
        </w:rPr>
        <w:t xml:space="preserve">1º. </w:t>
      </w:r>
      <w:r w:rsidR="00116F9E">
        <w:rPr>
          <w:rFonts w:ascii="Arial Narrow" w:hAnsi="Arial Narrow" w:cs="Arial"/>
          <w:b/>
          <w:i/>
          <w:color w:val="000000"/>
          <w:spacing w:val="-2"/>
          <w:sz w:val="28"/>
          <w:szCs w:val="28"/>
        </w:rPr>
        <w:t>Revocar</w:t>
      </w:r>
      <w:r w:rsidRPr="00074CDE">
        <w:rPr>
          <w:rFonts w:ascii="Arial Narrow" w:hAnsi="Arial Narrow" w:cs="Arial"/>
          <w:b/>
          <w:i/>
          <w:color w:val="000000"/>
          <w:spacing w:val="-2"/>
          <w:sz w:val="28"/>
          <w:szCs w:val="28"/>
        </w:rPr>
        <w:t xml:space="preserve"> </w:t>
      </w:r>
      <w:r w:rsidRPr="00EF4B89">
        <w:rPr>
          <w:rFonts w:ascii="Arial Narrow" w:hAnsi="Arial Narrow" w:cs="Arial"/>
          <w:color w:val="000000"/>
          <w:spacing w:val="-2"/>
          <w:sz w:val="28"/>
          <w:szCs w:val="28"/>
        </w:rPr>
        <w:t xml:space="preserve">el fallo impugnado, proferido el </w:t>
      </w:r>
      <w:r w:rsidR="00116F9E">
        <w:rPr>
          <w:rFonts w:ascii="Arial Narrow" w:hAnsi="Arial Narrow" w:cs="Arial"/>
          <w:color w:val="000000"/>
          <w:spacing w:val="-2"/>
          <w:sz w:val="28"/>
          <w:szCs w:val="28"/>
        </w:rPr>
        <w:t>08</w:t>
      </w:r>
      <w:r w:rsidR="001B7B2B">
        <w:rPr>
          <w:rFonts w:ascii="Arial Narrow" w:hAnsi="Arial Narrow" w:cs="Arial"/>
          <w:color w:val="000000"/>
          <w:spacing w:val="-2"/>
          <w:sz w:val="28"/>
          <w:szCs w:val="28"/>
        </w:rPr>
        <w:t xml:space="preserve"> de </w:t>
      </w:r>
      <w:r w:rsidR="00116F9E">
        <w:rPr>
          <w:rFonts w:ascii="Arial Narrow" w:hAnsi="Arial Narrow" w:cs="Arial"/>
          <w:color w:val="000000"/>
          <w:spacing w:val="-2"/>
          <w:sz w:val="28"/>
          <w:szCs w:val="28"/>
        </w:rPr>
        <w:t>febrero</w:t>
      </w:r>
      <w:r w:rsidR="001B7B2B">
        <w:rPr>
          <w:rFonts w:ascii="Arial Narrow" w:hAnsi="Arial Narrow" w:cs="Arial"/>
          <w:color w:val="000000"/>
          <w:spacing w:val="-2"/>
          <w:sz w:val="28"/>
          <w:szCs w:val="28"/>
        </w:rPr>
        <w:t xml:space="preserve"> de </w:t>
      </w:r>
      <w:r w:rsidRPr="00EF4B89">
        <w:rPr>
          <w:rFonts w:ascii="Arial Narrow" w:hAnsi="Arial Narrow" w:cs="Arial"/>
          <w:color w:val="000000"/>
          <w:spacing w:val="-2"/>
          <w:sz w:val="28"/>
          <w:szCs w:val="28"/>
        </w:rPr>
        <w:t>201</w:t>
      </w:r>
      <w:r w:rsidR="00C30034">
        <w:rPr>
          <w:rFonts w:ascii="Arial Narrow" w:hAnsi="Arial Narrow" w:cs="Arial"/>
          <w:color w:val="000000"/>
          <w:spacing w:val="-2"/>
          <w:sz w:val="28"/>
          <w:szCs w:val="28"/>
        </w:rPr>
        <w:t>7</w:t>
      </w:r>
      <w:r w:rsidRPr="00EF4B89">
        <w:rPr>
          <w:rFonts w:ascii="Arial Narrow" w:hAnsi="Arial Narrow" w:cs="Arial"/>
          <w:color w:val="000000"/>
          <w:spacing w:val="-2"/>
          <w:sz w:val="28"/>
          <w:szCs w:val="28"/>
        </w:rPr>
        <w:t xml:space="preserve"> por el Juzgado </w:t>
      </w:r>
      <w:r w:rsidR="00116F9E">
        <w:rPr>
          <w:rFonts w:ascii="Arial Narrow" w:hAnsi="Arial Narrow" w:cs="Arial"/>
          <w:color w:val="000000"/>
          <w:spacing w:val="-2"/>
          <w:sz w:val="28"/>
          <w:szCs w:val="28"/>
        </w:rPr>
        <w:t>Segundo</w:t>
      </w:r>
      <w:r w:rsidR="00C36E77">
        <w:rPr>
          <w:rFonts w:ascii="Arial Narrow" w:hAnsi="Arial Narrow" w:cs="Arial"/>
          <w:color w:val="000000"/>
          <w:spacing w:val="-2"/>
          <w:sz w:val="28"/>
          <w:szCs w:val="28"/>
        </w:rPr>
        <w:t xml:space="preserve"> </w:t>
      </w:r>
      <w:r w:rsidRPr="00EF4B89">
        <w:rPr>
          <w:rFonts w:ascii="Arial Narrow" w:hAnsi="Arial Narrow" w:cs="Arial"/>
          <w:color w:val="000000"/>
          <w:spacing w:val="-2"/>
          <w:sz w:val="28"/>
          <w:szCs w:val="28"/>
        </w:rPr>
        <w:t xml:space="preserve">Laboral del Circuito </w:t>
      </w:r>
      <w:r w:rsidR="009B2EA7">
        <w:rPr>
          <w:rFonts w:ascii="Arial Narrow" w:hAnsi="Arial Narrow" w:cs="Arial"/>
          <w:color w:val="000000"/>
          <w:spacing w:val="-2"/>
          <w:sz w:val="28"/>
          <w:szCs w:val="28"/>
        </w:rPr>
        <w:t xml:space="preserve">de </w:t>
      </w:r>
      <w:r w:rsidR="00C36E77">
        <w:rPr>
          <w:rFonts w:ascii="Arial Narrow" w:hAnsi="Arial Narrow" w:cs="Arial"/>
          <w:color w:val="000000"/>
          <w:spacing w:val="-2"/>
          <w:sz w:val="28"/>
          <w:szCs w:val="28"/>
        </w:rPr>
        <w:t>Pereira</w:t>
      </w:r>
      <w:r w:rsidRPr="00EF4B89">
        <w:rPr>
          <w:rFonts w:ascii="Arial Narrow" w:hAnsi="Arial Narrow" w:cs="Arial"/>
          <w:color w:val="000000"/>
          <w:spacing w:val="-2"/>
          <w:sz w:val="28"/>
          <w:szCs w:val="28"/>
        </w:rPr>
        <w:t xml:space="preserve">, </w:t>
      </w:r>
      <w:r w:rsidRPr="00EF4B89">
        <w:rPr>
          <w:rFonts w:ascii="Arial Narrow" w:hAnsi="Arial Narrow" w:cs="Tahoma"/>
          <w:sz w:val="28"/>
          <w:szCs w:val="28"/>
        </w:rPr>
        <w:t xml:space="preserve">dentro de la acción de tutela </w:t>
      </w:r>
      <w:r w:rsidR="009B2EA7">
        <w:rPr>
          <w:rFonts w:ascii="Arial Narrow" w:hAnsi="Arial Narrow" w:cs="Tahoma"/>
          <w:sz w:val="28"/>
          <w:szCs w:val="28"/>
        </w:rPr>
        <w:t>de la referencia</w:t>
      </w:r>
      <w:r w:rsidR="00116F9E">
        <w:rPr>
          <w:rFonts w:ascii="Arial Narrow" w:hAnsi="Arial Narrow" w:cs="Tahoma"/>
          <w:sz w:val="28"/>
          <w:szCs w:val="28"/>
        </w:rPr>
        <w:t xml:space="preserve"> y en su lugar </w:t>
      </w:r>
      <w:r w:rsidR="00116F9E">
        <w:rPr>
          <w:rFonts w:ascii="Arial Narrow" w:hAnsi="Arial Narrow" w:cs="Tahoma"/>
          <w:b/>
          <w:i/>
          <w:sz w:val="28"/>
          <w:szCs w:val="28"/>
        </w:rPr>
        <w:t>declarar improcedente</w:t>
      </w:r>
      <w:r w:rsidR="00116F9E">
        <w:rPr>
          <w:rFonts w:ascii="Arial Narrow" w:hAnsi="Arial Narrow" w:cs="Tahoma"/>
          <w:sz w:val="28"/>
          <w:szCs w:val="28"/>
        </w:rPr>
        <w:t xml:space="preserve"> la acción de tutela</w:t>
      </w:r>
      <w:r w:rsidR="003F4D5E">
        <w:rPr>
          <w:rFonts w:ascii="Arial Narrow" w:hAnsi="Arial Narrow" w:cs="Tahoma"/>
          <w:color w:val="000000"/>
          <w:spacing w:val="-2"/>
          <w:sz w:val="28"/>
          <w:szCs w:val="28"/>
        </w:rPr>
        <w:t>.</w:t>
      </w:r>
      <w:r w:rsidR="005335B1">
        <w:rPr>
          <w:rFonts w:ascii="Arial Narrow" w:hAnsi="Arial Narrow" w:cs="Tahoma"/>
          <w:sz w:val="28"/>
          <w:szCs w:val="28"/>
        </w:rPr>
        <w:t xml:space="preserve"> </w:t>
      </w:r>
    </w:p>
    <w:p w:rsidR="00EF2DB9" w:rsidRPr="00074CDE" w:rsidRDefault="00EF2DB9" w:rsidP="00EF2DB9">
      <w:pPr>
        <w:ind w:firstLine="900"/>
        <w:jc w:val="both"/>
        <w:rPr>
          <w:rFonts w:ascii="Arial Narrow" w:hAnsi="Arial Narrow" w:cs="Tahoma"/>
          <w:b/>
          <w:i/>
          <w:sz w:val="28"/>
          <w:szCs w:val="28"/>
        </w:rPr>
      </w:pPr>
    </w:p>
    <w:p w:rsidR="00EF2DB9" w:rsidRPr="00074CDE" w:rsidRDefault="00EF2DB9" w:rsidP="00EF2DB9">
      <w:pPr>
        <w:spacing w:line="360" w:lineRule="auto"/>
        <w:ind w:firstLine="900"/>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EF2DB9" w:rsidRPr="00074CDE" w:rsidRDefault="00EF2DB9" w:rsidP="00EF2DB9">
      <w:pPr>
        <w:ind w:firstLine="900"/>
        <w:jc w:val="both"/>
        <w:rPr>
          <w:rFonts w:ascii="Arial Narrow" w:hAnsi="Arial Narrow" w:cs="Arial"/>
          <w:i/>
          <w:sz w:val="28"/>
          <w:szCs w:val="28"/>
        </w:rPr>
      </w:pPr>
    </w:p>
    <w:p w:rsidR="00EF2DB9" w:rsidRPr="00074CDE" w:rsidRDefault="00EF2DB9" w:rsidP="00EF2DB9">
      <w:pPr>
        <w:suppressAutoHyphens/>
        <w:spacing w:line="360" w:lineRule="auto"/>
        <w:ind w:firstLine="900"/>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EF2DB9" w:rsidRPr="00074CDE" w:rsidRDefault="00EF2DB9" w:rsidP="00EF2DB9">
      <w:pPr>
        <w:pStyle w:val="Prrafodelista1"/>
        <w:ind w:left="0" w:firstLine="851"/>
        <w:jc w:val="both"/>
        <w:rPr>
          <w:rFonts w:ascii="Arial Narrow" w:hAnsi="Arial Narrow"/>
          <w:b/>
          <w:i/>
          <w:sz w:val="28"/>
          <w:szCs w:val="28"/>
        </w:rPr>
      </w:pPr>
    </w:p>
    <w:p w:rsidR="00EF2DB9" w:rsidRPr="00074CDE" w:rsidRDefault="00EF2DB9" w:rsidP="00EF2DB9">
      <w:pPr>
        <w:pStyle w:val="Prrafodelista1"/>
        <w:spacing w:line="360" w:lineRule="auto"/>
        <w:ind w:left="0" w:firstLine="851"/>
        <w:jc w:val="both"/>
        <w:rPr>
          <w:rFonts w:ascii="Arial Narrow" w:hAnsi="Arial Narrow"/>
          <w:b/>
          <w:i/>
          <w:sz w:val="28"/>
          <w:szCs w:val="28"/>
        </w:rPr>
      </w:pPr>
      <w:r w:rsidRPr="00074CDE">
        <w:rPr>
          <w:rFonts w:ascii="Arial Narrow" w:hAnsi="Arial Narrow"/>
          <w:b/>
          <w:i/>
          <w:sz w:val="28"/>
          <w:szCs w:val="28"/>
        </w:rPr>
        <w:t>CÓPIESE, NOTIFÍQUESE Y CÚMPLASE.</w:t>
      </w:r>
    </w:p>
    <w:p w:rsidR="00F02B78" w:rsidRDefault="00F02B78" w:rsidP="00EF2DB9">
      <w:pPr>
        <w:spacing w:line="360" w:lineRule="auto"/>
        <w:ind w:firstLine="900"/>
        <w:jc w:val="both"/>
        <w:rPr>
          <w:rFonts w:ascii="Arial Narrow" w:hAnsi="Arial Narrow" w:cs="Arial"/>
          <w:sz w:val="28"/>
          <w:szCs w:val="28"/>
        </w:rPr>
      </w:pPr>
    </w:p>
    <w:p w:rsidR="00D87446" w:rsidRDefault="00D87446" w:rsidP="00EF2DB9">
      <w:pPr>
        <w:spacing w:line="360" w:lineRule="auto"/>
        <w:ind w:firstLine="900"/>
        <w:jc w:val="both"/>
        <w:rPr>
          <w:rFonts w:ascii="Arial Narrow" w:hAnsi="Arial Narrow" w:cs="Arial"/>
          <w:sz w:val="28"/>
          <w:szCs w:val="28"/>
        </w:rPr>
      </w:pPr>
    </w:p>
    <w:p w:rsidR="00D87446" w:rsidRPr="00074CDE" w:rsidRDefault="00D87446" w:rsidP="00EF2DB9">
      <w:pPr>
        <w:spacing w:line="360" w:lineRule="auto"/>
        <w:ind w:firstLine="900"/>
        <w:jc w:val="both"/>
        <w:rPr>
          <w:rFonts w:ascii="Arial Narrow" w:hAnsi="Arial Narrow" w:cs="Arial"/>
          <w:sz w:val="28"/>
          <w:szCs w:val="28"/>
        </w:rPr>
      </w:pPr>
    </w:p>
    <w:p w:rsidR="00EF2DB9" w:rsidRPr="00074CDE" w:rsidRDefault="00EF2DB9" w:rsidP="009B2EA7">
      <w:pPr>
        <w:spacing w:line="480" w:lineRule="auto"/>
        <w:ind w:firstLine="900"/>
        <w:jc w:val="both"/>
        <w:rPr>
          <w:rFonts w:ascii="Arial Narrow" w:hAnsi="Arial Narrow" w:cs="Arial"/>
          <w:b/>
          <w:bCs/>
          <w:iCs/>
          <w:sz w:val="28"/>
          <w:szCs w:val="28"/>
        </w:rPr>
      </w:pPr>
      <w:r w:rsidRPr="00074CDE">
        <w:rPr>
          <w:rFonts w:ascii="Arial Narrow" w:hAnsi="Arial Narrow" w:cs="Arial"/>
          <w:sz w:val="28"/>
          <w:szCs w:val="28"/>
        </w:rPr>
        <w:tab/>
      </w:r>
      <w:r w:rsidRPr="00074CDE">
        <w:rPr>
          <w:rFonts w:ascii="Arial Narrow" w:hAnsi="Arial Narrow" w:cs="Arial"/>
          <w:sz w:val="28"/>
          <w:szCs w:val="28"/>
        </w:rPr>
        <w:tab/>
      </w:r>
      <w:r w:rsidRPr="00074CDE">
        <w:rPr>
          <w:rFonts w:ascii="Arial Narrow" w:hAnsi="Arial Narrow" w:cs="Arial"/>
          <w:b/>
          <w:bCs/>
          <w:iCs/>
          <w:sz w:val="28"/>
          <w:szCs w:val="28"/>
        </w:rPr>
        <w:t>FRANCISCO JAVIER TAMAYO TABARES</w:t>
      </w:r>
    </w:p>
    <w:p w:rsidR="00EF2DB9" w:rsidRPr="00074CDE" w:rsidRDefault="00EF2DB9" w:rsidP="00EF2DB9">
      <w:pPr>
        <w:spacing w:line="360" w:lineRule="auto"/>
        <w:jc w:val="center"/>
        <w:rPr>
          <w:rFonts w:ascii="Arial Narrow" w:hAnsi="Arial Narrow" w:cs="Arial"/>
          <w:bCs/>
          <w:iCs/>
          <w:sz w:val="28"/>
          <w:szCs w:val="28"/>
        </w:rPr>
      </w:pPr>
      <w:r w:rsidRPr="00074CDE">
        <w:rPr>
          <w:rFonts w:ascii="Arial Narrow" w:hAnsi="Arial Narrow" w:cs="Arial"/>
          <w:bCs/>
          <w:iCs/>
          <w:sz w:val="28"/>
          <w:szCs w:val="28"/>
        </w:rPr>
        <w:t>Magistrado Ponente</w:t>
      </w:r>
    </w:p>
    <w:p w:rsidR="00F02B78" w:rsidRDefault="00F02B78" w:rsidP="00EF2DB9">
      <w:pPr>
        <w:spacing w:line="360" w:lineRule="auto"/>
        <w:jc w:val="both"/>
        <w:rPr>
          <w:rFonts w:ascii="Arial Narrow" w:hAnsi="Arial Narrow" w:cs="Arial"/>
          <w:b/>
          <w:i/>
          <w:sz w:val="28"/>
          <w:szCs w:val="28"/>
        </w:rPr>
      </w:pPr>
    </w:p>
    <w:p w:rsidR="00EF2DB9" w:rsidRPr="00074CDE" w:rsidRDefault="006A5917" w:rsidP="006A5917">
      <w:pPr>
        <w:tabs>
          <w:tab w:val="left" w:pos="6225"/>
          <w:tab w:val="left" w:pos="6750"/>
        </w:tabs>
        <w:jc w:val="both"/>
        <w:rPr>
          <w:rFonts w:ascii="Arial Narrow" w:hAnsi="Arial Narrow" w:cs="Arial"/>
          <w:b/>
          <w:i/>
          <w:sz w:val="28"/>
          <w:szCs w:val="28"/>
        </w:rPr>
      </w:pPr>
      <w:r>
        <w:rPr>
          <w:rFonts w:ascii="Arial Narrow" w:hAnsi="Arial Narrow" w:cs="Arial"/>
          <w:b/>
          <w:i/>
          <w:sz w:val="28"/>
          <w:szCs w:val="28"/>
        </w:rPr>
        <w:tab/>
      </w:r>
      <w:r>
        <w:rPr>
          <w:rFonts w:ascii="Arial Narrow" w:hAnsi="Arial Narrow" w:cs="Arial"/>
          <w:b/>
          <w:i/>
          <w:sz w:val="28"/>
          <w:szCs w:val="28"/>
        </w:rPr>
        <w:tab/>
      </w:r>
    </w:p>
    <w:p w:rsidR="00EF2DB9" w:rsidRPr="00074CDE" w:rsidRDefault="00F02B78" w:rsidP="00CF150C">
      <w:pPr>
        <w:tabs>
          <w:tab w:val="left" w:pos="8647"/>
        </w:tabs>
        <w:jc w:val="both"/>
        <w:rPr>
          <w:rFonts w:ascii="Arial Narrow" w:hAnsi="Arial Narrow" w:cs="Arial"/>
          <w:b/>
          <w:bCs/>
          <w:iCs/>
          <w:sz w:val="28"/>
          <w:szCs w:val="28"/>
        </w:rPr>
      </w:pPr>
      <w:r>
        <w:rPr>
          <w:rFonts w:ascii="Arial Narrow" w:hAnsi="Arial Narrow" w:cs="Arial"/>
          <w:b/>
          <w:bCs/>
          <w:iCs/>
          <w:sz w:val="28"/>
          <w:szCs w:val="28"/>
        </w:rPr>
        <w:t>OLGA LUCIA HOYOS SEPÙLVEDA</w:t>
      </w:r>
      <w:r w:rsidR="00AF32DA" w:rsidRPr="00074CDE">
        <w:rPr>
          <w:rFonts w:ascii="Arial Narrow" w:hAnsi="Arial Narrow" w:cs="Arial"/>
          <w:b/>
          <w:bCs/>
          <w:iCs/>
          <w:sz w:val="28"/>
          <w:szCs w:val="28"/>
        </w:rPr>
        <w:t xml:space="preserve"> </w:t>
      </w:r>
      <w:r w:rsidR="00AF32DA">
        <w:rPr>
          <w:rFonts w:ascii="Arial Narrow" w:hAnsi="Arial Narrow" w:cs="Arial"/>
          <w:b/>
          <w:bCs/>
          <w:iCs/>
          <w:sz w:val="28"/>
          <w:szCs w:val="28"/>
        </w:rPr>
        <w:t xml:space="preserve">           </w:t>
      </w:r>
      <w:r w:rsidR="00EF2DB9" w:rsidRPr="00074CDE">
        <w:rPr>
          <w:rFonts w:ascii="Arial Narrow" w:hAnsi="Arial Narrow" w:cs="Arial"/>
          <w:b/>
          <w:bCs/>
          <w:iCs/>
          <w:sz w:val="28"/>
          <w:szCs w:val="28"/>
        </w:rPr>
        <w:t xml:space="preserve">ANA LUCÍA CAICEDO CALDERÓN                       </w:t>
      </w:r>
    </w:p>
    <w:p w:rsidR="00EF2DB9" w:rsidRPr="00074CDE" w:rsidRDefault="00EF2DB9" w:rsidP="00CF150C">
      <w:pPr>
        <w:jc w:val="both"/>
        <w:rPr>
          <w:rFonts w:ascii="Arial Narrow" w:hAnsi="Arial Narrow" w:cs="Arial"/>
          <w:bCs/>
          <w:iCs/>
          <w:sz w:val="28"/>
          <w:szCs w:val="28"/>
        </w:rPr>
      </w:pPr>
      <w:r w:rsidRPr="00074CDE">
        <w:rPr>
          <w:rFonts w:ascii="Arial Narrow" w:hAnsi="Arial Narrow" w:cs="Arial"/>
          <w:bCs/>
          <w:iCs/>
          <w:sz w:val="28"/>
          <w:szCs w:val="28"/>
        </w:rPr>
        <w:tab/>
        <w:t xml:space="preserve">      </w:t>
      </w:r>
      <w:r w:rsidR="00AF32DA">
        <w:rPr>
          <w:rFonts w:ascii="Arial Narrow" w:hAnsi="Arial Narrow" w:cs="Arial"/>
          <w:bCs/>
          <w:iCs/>
          <w:sz w:val="28"/>
          <w:szCs w:val="28"/>
        </w:rPr>
        <w:t xml:space="preserve"> </w:t>
      </w:r>
      <w:r w:rsidRPr="00074CDE">
        <w:rPr>
          <w:rFonts w:ascii="Arial Narrow" w:hAnsi="Arial Narrow" w:cs="Arial"/>
          <w:bCs/>
          <w:iCs/>
          <w:sz w:val="28"/>
          <w:szCs w:val="28"/>
        </w:rPr>
        <w:t>Magistrad</w:t>
      </w:r>
      <w:r w:rsidR="00F02B78">
        <w:rPr>
          <w:rFonts w:ascii="Arial Narrow" w:hAnsi="Arial Narrow" w:cs="Arial"/>
          <w:bCs/>
          <w:iCs/>
          <w:sz w:val="28"/>
          <w:szCs w:val="28"/>
        </w:rPr>
        <w:t>a</w:t>
      </w:r>
      <w:r w:rsidR="00AF32DA" w:rsidRPr="00AF32DA">
        <w:rPr>
          <w:rFonts w:ascii="Arial Narrow" w:hAnsi="Arial Narrow" w:cs="Arial"/>
          <w:bCs/>
          <w:iCs/>
          <w:sz w:val="28"/>
          <w:szCs w:val="28"/>
        </w:rPr>
        <w:t xml:space="preserve"> </w:t>
      </w:r>
      <w:r w:rsidR="00AF32DA">
        <w:rPr>
          <w:rFonts w:ascii="Arial Narrow" w:hAnsi="Arial Narrow" w:cs="Arial"/>
          <w:bCs/>
          <w:iCs/>
          <w:sz w:val="28"/>
          <w:szCs w:val="28"/>
        </w:rPr>
        <w:tab/>
      </w:r>
      <w:r w:rsidR="00AF32DA">
        <w:rPr>
          <w:rFonts w:ascii="Arial Narrow" w:hAnsi="Arial Narrow" w:cs="Arial"/>
          <w:bCs/>
          <w:iCs/>
          <w:sz w:val="28"/>
          <w:szCs w:val="28"/>
        </w:rPr>
        <w:tab/>
      </w:r>
      <w:r w:rsidR="00AF32DA">
        <w:rPr>
          <w:rFonts w:ascii="Arial Narrow" w:hAnsi="Arial Narrow" w:cs="Arial"/>
          <w:bCs/>
          <w:iCs/>
          <w:sz w:val="28"/>
          <w:szCs w:val="28"/>
        </w:rPr>
        <w:tab/>
        <w:t xml:space="preserve">               </w:t>
      </w:r>
      <w:r w:rsidR="00AF32DA">
        <w:rPr>
          <w:rFonts w:ascii="Arial Narrow" w:hAnsi="Arial Narrow" w:cs="Arial"/>
          <w:bCs/>
          <w:iCs/>
          <w:sz w:val="28"/>
          <w:szCs w:val="28"/>
        </w:rPr>
        <w:tab/>
        <w:t xml:space="preserve">     </w:t>
      </w:r>
      <w:r w:rsidR="00AF32DA" w:rsidRPr="00074CDE">
        <w:rPr>
          <w:rFonts w:ascii="Arial Narrow" w:hAnsi="Arial Narrow" w:cs="Arial"/>
          <w:bCs/>
          <w:iCs/>
          <w:sz w:val="28"/>
          <w:szCs w:val="28"/>
        </w:rPr>
        <w:t>Magistrada</w:t>
      </w:r>
    </w:p>
    <w:p w:rsidR="00EF2DB9" w:rsidRDefault="00EF2DB9" w:rsidP="00CF150C">
      <w:pPr>
        <w:pStyle w:val="Sansinterligne"/>
      </w:pPr>
    </w:p>
    <w:p w:rsidR="00EF2DB9" w:rsidRPr="00074CDE" w:rsidRDefault="00EF2DB9" w:rsidP="00EF2DB9">
      <w:pPr>
        <w:spacing w:line="360" w:lineRule="auto"/>
        <w:jc w:val="center"/>
        <w:rPr>
          <w:rFonts w:ascii="Arial Narrow" w:hAnsi="Arial Narrow" w:cs="Arial"/>
          <w:bCs/>
          <w:iCs/>
          <w:sz w:val="28"/>
          <w:szCs w:val="28"/>
        </w:rPr>
      </w:pPr>
    </w:p>
    <w:p w:rsidR="00EF2DB9" w:rsidRPr="00074CDE" w:rsidRDefault="00F02B78" w:rsidP="00EF2DB9">
      <w:pPr>
        <w:jc w:val="center"/>
        <w:rPr>
          <w:rFonts w:ascii="Arial Narrow" w:hAnsi="Arial Narrow" w:cs="Arial"/>
          <w:b/>
          <w:bCs/>
          <w:iCs/>
          <w:sz w:val="28"/>
          <w:szCs w:val="28"/>
        </w:rPr>
      </w:pPr>
      <w:r>
        <w:rPr>
          <w:rFonts w:ascii="Arial Narrow" w:hAnsi="Arial Narrow" w:cs="Arial"/>
          <w:b/>
          <w:bCs/>
          <w:iCs/>
          <w:sz w:val="28"/>
          <w:szCs w:val="28"/>
        </w:rPr>
        <w:t>Alonso Gaviria Ocampo</w:t>
      </w:r>
    </w:p>
    <w:p w:rsidR="006233DA" w:rsidRDefault="00EF2DB9" w:rsidP="00116F9E">
      <w:pPr>
        <w:spacing w:line="360" w:lineRule="auto"/>
        <w:jc w:val="center"/>
      </w:pPr>
      <w:r w:rsidRPr="00074CDE">
        <w:rPr>
          <w:rFonts w:ascii="Arial Narrow" w:hAnsi="Arial Narrow" w:cs="Arial"/>
          <w:iCs/>
          <w:sz w:val="28"/>
          <w:szCs w:val="28"/>
        </w:rPr>
        <w:t>Secretari</w:t>
      </w:r>
      <w:r w:rsidR="00AF32DA">
        <w:rPr>
          <w:rFonts w:ascii="Arial Narrow" w:hAnsi="Arial Narrow" w:cs="Arial"/>
          <w:iCs/>
          <w:sz w:val="28"/>
          <w:szCs w:val="28"/>
        </w:rPr>
        <w:t>o</w:t>
      </w:r>
    </w:p>
    <w:sectPr w:rsidR="006233DA" w:rsidSect="0074785B">
      <w:headerReference w:type="even" r:id="rId10"/>
      <w:headerReference w:type="default" r:id="rId11"/>
      <w:footerReference w:type="even" r:id="rId12"/>
      <w:footerReference w:type="default" r:id="rId13"/>
      <w:headerReference w:type="first" r:id="rId14"/>
      <w:footerReference w:type="first" r:id="rId15"/>
      <w:pgSz w:w="12242" w:h="18722" w:code="121"/>
      <w:pgMar w:top="1625"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14" w:rsidRDefault="008F0314" w:rsidP="00EF2DB9">
      <w:r>
        <w:separator/>
      </w:r>
    </w:p>
  </w:endnote>
  <w:endnote w:type="continuationSeparator" w:id="0">
    <w:p w:rsidR="008F0314" w:rsidRDefault="008F0314"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C7" w:rsidRDefault="00C216C7" w:rsidP="006233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216C7" w:rsidRDefault="00C216C7" w:rsidP="006233D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750142"/>
      <w:docPartObj>
        <w:docPartGallery w:val="Page Numbers (Bottom of Page)"/>
        <w:docPartUnique/>
      </w:docPartObj>
    </w:sdtPr>
    <w:sdtEndPr/>
    <w:sdtContent>
      <w:p w:rsidR="00C216C7" w:rsidRDefault="009E2465">
        <w:pPr>
          <w:pStyle w:val="Pieddepage"/>
          <w:jc w:val="center"/>
        </w:pPr>
        <w:r>
          <w:fldChar w:fldCharType="begin"/>
        </w:r>
        <w:r>
          <w:instrText>PAGE   \* MERGEFORMAT</w:instrText>
        </w:r>
        <w:r>
          <w:fldChar w:fldCharType="separate"/>
        </w:r>
        <w:r w:rsidR="00843F9F">
          <w:rPr>
            <w:noProof/>
          </w:rPr>
          <w:t>13</w:t>
        </w:r>
        <w:r>
          <w:rPr>
            <w:noProof/>
          </w:rPr>
          <w:fldChar w:fldCharType="end"/>
        </w:r>
      </w:p>
    </w:sdtContent>
  </w:sdt>
  <w:p w:rsidR="00C216C7" w:rsidRDefault="00C216C7" w:rsidP="006233DA">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254209"/>
      <w:docPartObj>
        <w:docPartGallery w:val="Page Numbers (Bottom of Page)"/>
        <w:docPartUnique/>
      </w:docPartObj>
    </w:sdtPr>
    <w:sdtEndPr/>
    <w:sdtContent>
      <w:p w:rsidR="00C216C7" w:rsidRDefault="009E2465">
        <w:pPr>
          <w:pStyle w:val="Pieddepage"/>
          <w:jc w:val="center"/>
        </w:pPr>
        <w:r>
          <w:fldChar w:fldCharType="begin"/>
        </w:r>
        <w:r>
          <w:instrText>PAGE   \* MERGEFORMAT</w:instrText>
        </w:r>
        <w:r>
          <w:fldChar w:fldCharType="separate"/>
        </w:r>
        <w:r w:rsidR="00843F9F">
          <w:rPr>
            <w:noProof/>
          </w:rPr>
          <w:t>1</w:t>
        </w:r>
        <w:r>
          <w:rPr>
            <w:noProof/>
          </w:rPr>
          <w:fldChar w:fldCharType="end"/>
        </w:r>
      </w:p>
    </w:sdtContent>
  </w:sdt>
  <w:p w:rsidR="00C216C7" w:rsidRDefault="00C216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14" w:rsidRDefault="008F0314" w:rsidP="00EF2DB9">
      <w:r>
        <w:separator/>
      </w:r>
    </w:p>
  </w:footnote>
  <w:footnote w:type="continuationSeparator" w:id="0">
    <w:p w:rsidR="008F0314" w:rsidRDefault="008F0314" w:rsidP="00EF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C7" w:rsidRDefault="00C216C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C216C7" w:rsidRDefault="00C216C7">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C7" w:rsidRDefault="00C216C7" w:rsidP="00993F6A">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4</w:t>
    </w:r>
    <w:r w:rsidRPr="00095F59">
      <w:rPr>
        <w:rFonts w:ascii="Arial Narrow" w:hAnsi="Arial Narrow" w:cs="Arial"/>
        <w:bCs/>
        <w:i/>
        <w:iCs/>
        <w:lang w:eastAsia="es-MX"/>
      </w:rPr>
      <w:t>-201</w:t>
    </w:r>
    <w:r>
      <w:rPr>
        <w:rFonts w:ascii="Arial Narrow" w:hAnsi="Arial Narrow" w:cs="Arial"/>
        <w:bCs/>
        <w:i/>
        <w:iCs/>
        <w:lang w:eastAsia="es-MX"/>
      </w:rPr>
      <w:t>7-00059</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C216C7" w:rsidRPr="00EF2DB9" w:rsidRDefault="00C216C7" w:rsidP="00993F6A">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Juan Pablo González Duque </w:t>
    </w:r>
    <w:r>
      <w:rPr>
        <w:rFonts w:ascii="Arial Narrow" w:hAnsi="Arial Narrow"/>
        <w:i/>
      </w:rPr>
      <w:t>vs ESAP</w:t>
    </w:r>
  </w:p>
  <w:p w:rsidR="00C216C7" w:rsidRPr="00993F6A" w:rsidRDefault="00C216C7" w:rsidP="00993F6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C7" w:rsidRDefault="00C216C7" w:rsidP="00EF2D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2</w:t>
    </w:r>
    <w:r w:rsidRPr="00095F59">
      <w:rPr>
        <w:rFonts w:ascii="Arial Narrow" w:hAnsi="Arial Narrow" w:cs="Arial"/>
        <w:bCs/>
        <w:i/>
        <w:iCs/>
        <w:lang w:eastAsia="es-MX"/>
      </w:rPr>
      <w:t>-201</w:t>
    </w:r>
    <w:r>
      <w:rPr>
        <w:rFonts w:ascii="Arial Narrow" w:hAnsi="Arial Narrow" w:cs="Arial"/>
        <w:bCs/>
        <w:i/>
        <w:iCs/>
        <w:lang w:eastAsia="es-MX"/>
      </w:rPr>
      <w:t>7-00035</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C216C7" w:rsidRPr="00EF2DB9" w:rsidRDefault="00C216C7" w:rsidP="00EF2DB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Edison Montoya González y otros </w:t>
    </w:r>
    <w:r>
      <w:rPr>
        <w:rFonts w:ascii="Arial Narrow" w:hAnsi="Arial Narrow"/>
        <w:i/>
      </w:rPr>
      <w:t xml:space="preserve">vs </w:t>
    </w:r>
    <w:proofErr w:type="spellStart"/>
    <w:r>
      <w:rPr>
        <w:rFonts w:ascii="Arial Narrow" w:hAnsi="Arial Narrow"/>
        <w:i/>
      </w:rPr>
      <w:t>Carder</w:t>
    </w:r>
    <w:proofErr w:type="spellEnd"/>
    <w:r>
      <w:rPr>
        <w:rFonts w:ascii="Arial Narrow" w:hAnsi="Arial Narrow"/>
        <w:i/>
      </w:rPr>
      <w:t xml:space="preserve">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nsid w:val="3E4C208D"/>
    <w:multiLevelType w:val="hybridMultilevel"/>
    <w:tmpl w:val="47C6FAAE"/>
    <w:lvl w:ilvl="0" w:tplc="791EF28A">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7E5276F"/>
    <w:multiLevelType w:val="hybridMultilevel"/>
    <w:tmpl w:val="02DADC24"/>
    <w:lvl w:ilvl="0" w:tplc="BCCEA366">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B9"/>
    <w:rsid w:val="000034F8"/>
    <w:rsid w:val="00034D62"/>
    <w:rsid w:val="00051539"/>
    <w:rsid w:val="000806AE"/>
    <w:rsid w:val="000852C0"/>
    <w:rsid w:val="00094D1A"/>
    <w:rsid w:val="00095A9D"/>
    <w:rsid w:val="000C07C6"/>
    <w:rsid w:val="000C217D"/>
    <w:rsid w:val="000D22E0"/>
    <w:rsid w:val="000E7F42"/>
    <w:rsid w:val="000F6CA5"/>
    <w:rsid w:val="000F766B"/>
    <w:rsid w:val="00114C5D"/>
    <w:rsid w:val="00116F9E"/>
    <w:rsid w:val="00121A26"/>
    <w:rsid w:val="001250BE"/>
    <w:rsid w:val="00140046"/>
    <w:rsid w:val="00142074"/>
    <w:rsid w:val="00146014"/>
    <w:rsid w:val="00154D85"/>
    <w:rsid w:val="00161FA5"/>
    <w:rsid w:val="0016425D"/>
    <w:rsid w:val="0017189A"/>
    <w:rsid w:val="00172834"/>
    <w:rsid w:val="001920D5"/>
    <w:rsid w:val="00195F57"/>
    <w:rsid w:val="001A2D29"/>
    <w:rsid w:val="001A63D6"/>
    <w:rsid w:val="001A7838"/>
    <w:rsid w:val="001B1244"/>
    <w:rsid w:val="001B73F0"/>
    <w:rsid w:val="001B7B2B"/>
    <w:rsid w:val="001D5943"/>
    <w:rsid w:val="001F4796"/>
    <w:rsid w:val="00205D4E"/>
    <w:rsid w:val="00210B27"/>
    <w:rsid w:val="00211384"/>
    <w:rsid w:val="00215788"/>
    <w:rsid w:val="002178AD"/>
    <w:rsid w:val="00221650"/>
    <w:rsid w:val="00230473"/>
    <w:rsid w:val="00242152"/>
    <w:rsid w:val="00250E5E"/>
    <w:rsid w:val="0025420E"/>
    <w:rsid w:val="00257042"/>
    <w:rsid w:val="002708F8"/>
    <w:rsid w:val="00274E22"/>
    <w:rsid w:val="00282106"/>
    <w:rsid w:val="002826B7"/>
    <w:rsid w:val="00282770"/>
    <w:rsid w:val="0029205F"/>
    <w:rsid w:val="002A2BDD"/>
    <w:rsid w:val="002B58E3"/>
    <w:rsid w:val="002B69F7"/>
    <w:rsid w:val="002C2326"/>
    <w:rsid w:val="002C5FC9"/>
    <w:rsid w:val="002F06E0"/>
    <w:rsid w:val="00301BC5"/>
    <w:rsid w:val="0031577B"/>
    <w:rsid w:val="00315FFF"/>
    <w:rsid w:val="003307FB"/>
    <w:rsid w:val="0033770A"/>
    <w:rsid w:val="00341200"/>
    <w:rsid w:val="00347DE6"/>
    <w:rsid w:val="003606E4"/>
    <w:rsid w:val="003676D2"/>
    <w:rsid w:val="0038072E"/>
    <w:rsid w:val="003818A8"/>
    <w:rsid w:val="003827EE"/>
    <w:rsid w:val="003A14A9"/>
    <w:rsid w:val="003A1983"/>
    <w:rsid w:val="003C032B"/>
    <w:rsid w:val="003D63EA"/>
    <w:rsid w:val="003E28A6"/>
    <w:rsid w:val="003F4D5E"/>
    <w:rsid w:val="00411110"/>
    <w:rsid w:val="004151EF"/>
    <w:rsid w:val="004231E9"/>
    <w:rsid w:val="004342C3"/>
    <w:rsid w:val="00441EC4"/>
    <w:rsid w:val="004527DF"/>
    <w:rsid w:val="00455B13"/>
    <w:rsid w:val="00472D97"/>
    <w:rsid w:val="00483E33"/>
    <w:rsid w:val="00497D0B"/>
    <w:rsid w:val="004B293B"/>
    <w:rsid w:val="004C3CF0"/>
    <w:rsid w:val="004C43B9"/>
    <w:rsid w:val="004D01C5"/>
    <w:rsid w:val="004F4B24"/>
    <w:rsid w:val="004F6803"/>
    <w:rsid w:val="0050739C"/>
    <w:rsid w:val="00515BDC"/>
    <w:rsid w:val="00521D28"/>
    <w:rsid w:val="005335B1"/>
    <w:rsid w:val="00533750"/>
    <w:rsid w:val="0054131E"/>
    <w:rsid w:val="00542BCB"/>
    <w:rsid w:val="00562DFA"/>
    <w:rsid w:val="00563496"/>
    <w:rsid w:val="00592DF9"/>
    <w:rsid w:val="00592EFD"/>
    <w:rsid w:val="005973D1"/>
    <w:rsid w:val="00597689"/>
    <w:rsid w:val="005B19CF"/>
    <w:rsid w:val="005B353C"/>
    <w:rsid w:val="005B5408"/>
    <w:rsid w:val="005C11CE"/>
    <w:rsid w:val="005C4689"/>
    <w:rsid w:val="005C4C63"/>
    <w:rsid w:val="005D16BC"/>
    <w:rsid w:val="005D217B"/>
    <w:rsid w:val="005D3C45"/>
    <w:rsid w:val="005D48E3"/>
    <w:rsid w:val="005D6E59"/>
    <w:rsid w:val="005E05E9"/>
    <w:rsid w:val="005F5E82"/>
    <w:rsid w:val="00606A5A"/>
    <w:rsid w:val="00611DAA"/>
    <w:rsid w:val="006135E9"/>
    <w:rsid w:val="00617727"/>
    <w:rsid w:val="006233DA"/>
    <w:rsid w:val="00624273"/>
    <w:rsid w:val="00634549"/>
    <w:rsid w:val="00662BBF"/>
    <w:rsid w:val="0067518A"/>
    <w:rsid w:val="006760D6"/>
    <w:rsid w:val="00687199"/>
    <w:rsid w:val="00691693"/>
    <w:rsid w:val="00697D0A"/>
    <w:rsid w:val="00697F4A"/>
    <w:rsid w:val="006A5917"/>
    <w:rsid w:val="006B1BAD"/>
    <w:rsid w:val="006B1BF2"/>
    <w:rsid w:val="006B2B60"/>
    <w:rsid w:val="006B51E3"/>
    <w:rsid w:val="006C1BD2"/>
    <w:rsid w:val="006C4059"/>
    <w:rsid w:val="006E2D15"/>
    <w:rsid w:val="006E3478"/>
    <w:rsid w:val="006E6C05"/>
    <w:rsid w:val="006F2FF3"/>
    <w:rsid w:val="006F5D16"/>
    <w:rsid w:val="00701FDB"/>
    <w:rsid w:val="00703C27"/>
    <w:rsid w:val="00720E26"/>
    <w:rsid w:val="007300C7"/>
    <w:rsid w:val="00734D5A"/>
    <w:rsid w:val="0074785B"/>
    <w:rsid w:val="00763B52"/>
    <w:rsid w:val="0076518F"/>
    <w:rsid w:val="0077357B"/>
    <w:rsid w:val="00793C51"/>
    <w:rsid w:val="00794453"/>
    <w:rsid w:val="00794D3A"/>
    <w:rsid w:val="007A05D5"/>
    <w:rsid w:val="007A4C65"/>
    <w:rsid w:val="007A7E4E"/>
    <w:rsid w:val="007B2CD6"/>
    <w:rsid w:val="007B5499"/>
    <w:rsid w:val="007C11D0"/>
    <w:rsid w:val="007C4A5E"/>
    <w:rsid w:val="007E245C"/>
    <w:rsid w:val="00801EA7"/>
    <w:rsid w:val="00824805"/>
    <w:rsid w:val="00843F9F"/>
    <w:rsid w:val="00846D27"/>
    <w:rsid w:val="00874ABE"/>
    <w:rsid w:val="00883EC3"/>
    <w:rsid w:val="008A6FA3"/>
    <w:rsid w:val="008B1984"/>
    <w:rsid w:val="008B3744"/>
    <w:rsid w:val="008B7E53"/>
    <w:rsid w:val="008C413A"/>
    <w:rsid w:val="008C51AC"/>
    <w:rsid w:val="008D4212"/>
    <w:rsid w:val="008F003B"/>
    <w:rsid w:val="008F0314"/>
    <w:rsid w:val="008F4702"/>
    <w:rsid w:val="00904726"/>
    <w:rsid w:val="009070C1"/>
    <w:rsid w:val="00907A5F"/>
    <w:rsid w:val="00910D9F"/>
    <w:rsid w:val="009121FD"/>
    <w:rsid w:val="00950D1E"/>
    <w:rsid w:val="009516A0"/>
    <w:rsid w:val="009617A1"/>
    <w:rsid w:val="00992E22"/>
    <w:rsid w:val="00993F6A"/>
    <w:rsid w:val="009954D7"/>
    <w:rsid w:val="009A278F"/>
    <w:rsid w:val="009B212E"/>
    <w:rsid w:val="009B2EA7"/>
    <w:rsid w:val="009B79E4"/>
    <w:rsid w:val="009E2465"/>
    <w:rsid w:val="009F26C3"/>
    <w:rsid w:val="00A01741"/>
    <w:rsid w:val="00A0454A"/>
    <w:rsid w:val="00A23CFA"/>
    <w:rsid w:val="00A33C98"/>
    <w:rsid w:val="00A47CF6"/>
    <w:rsid w:val="00A67204"/>
    <w:rsid w:val="00A7096E"/>
    <w:rsid w:val="00A750DC"/>
    <w:rsid w:val="00A83C94"/>
    <w:rsid w:val="00A87CF4"/>
    <w:rsid w:val="00A94EC4"/>
    <w:rsid w:val="00AA18C3"/>
    <w:rsid w:val="00AA70FE"/>
    <w:rsid w:val="00AB3F8F"/>
    <w:rsid w:val="00AB56FF"/>
    <w:rsid w:val="00AC0B75"/>
    <w:rsid w:val="00AD1743"/>
    <w:rsid w:val="00AD4B15"/>
    <w:rsid w:val="00AD5D6F"/>
    <w:rsid w:val="00AD6EAF"/>
    <w:rsid w:val="00AF32DA"/>
    <w:rsid w:val="00AF4C0F"/>
    <w:rsid w:val="00AF5CC9"/>
    <w:rsid w:val="00AF6191"/>
    <w:rsid w:val="00AF7E3D"/>
    <w:rsid w:val="00B4281C"/>
    <w:rsid w:val="00B50FD5"/>
    <w:rsid w:val="00B56E76"/>
    <w:rsid w:val="00B618AB"/>
    <w:rsid w:val="00B66A07"/>
    <w:rsid w:val="00B7172A"/>
    <w:rsid w:val="00B81B19"/>
    <w:rsid w:val="00B81DE5"/>
    <w:rsid w:val="00B868DA"/>
    <w:rsid w:val="00BA1B8E"/>
    <w:rsid w:val="00BA2C24"/>
    <w:rsid w:val="00BA5031"/>
    <w:rsid w:val="00BC1F3C"/>
    <w:rsid w:val="00BD77EE"/>
    <w:rsid w:val="00BE1069"/>
    <w:rsid w:val="00C12C10"/>
    <w:rsid w:val="00C1772D"/>
    <w:rsid w:val="00C216C7"/>
    <w:rsid w:val="00C30034"/>
    <w:rsid w:val="00C312EE"/>
    <w:rsid w:val="00C31996"/>
    <w:rsid w:val="00C32B09"/>
    <w:rsid w:val="00C33999"/>
    <w:rsid w:val="00C36E77"/>
    <w:rsid w:val="00C54670"/>
    <w:rsid w:val="00C65583"/>
    <w:rsid w:val="00C65601"/>
    <w:rsid w:val="00C80F97"/>
    <w:rsid w:val="00CA4D07"/>
    <w:rsid w:val="00CB2CAC"/>
    <w:rsid w:val="00CB5C6E"/>
    <w:rsid w:val="00CC3A7F"/>
    <w:rsid w:val="00CC7FF3"/>
    <w:rsid w:val="00CD2486"/>
    <w:rsid w:val="00CD3B17"/>
    <w:rsid w:val="00CE117F"/>
    <w:rsid w:val="00CF150C"/>
    <w:rsid w:val="00CF576A"/>
    <w:rsid w:val="00D00362"/>
    <w:rsid w:val="00D107FF"/>
    <w:rsid w:val="00D11AE0"/>
    <w:rsid w:val="00D20D6D"/>
    <w:rsid w:val="00D515A9"/>
    <w:rsid w:val="00D563DD"/>
    <w:rsid w:val="00D63559"/>
    <w:rsid w:val="00D72E96"/>
    <w:rsid w:val="00D76628"/>
    <w:rsid w:val="00D82318"/>
    <w:rsid w:val="00D87446"/>
    <w:rsid w:val="00D92E7A"/>
    <w:rsid w:val="00DB6BF3"/>
    <w:rsid w:val="00DB7808"/>
    <w:rsid w:val="00DC0F3F"/>
    <w:rsid w:val="00DC125B"/>
    <w:rsid w:val="00DC184C"/>
    <w:rsid w:val="00DC29C8"/>
    <w:rsid w:val="00DD06E5"/>
    <w:rsid w:val="00DF2E4F"/>
    <w:rsid w:val="00DF30A5"/>
    <w:rsid w:val="00E010CD"/>
    <w:rsid w:val="00E0226B"/>
    <w:rsid w:val="00E17812"/>
    <w:rsid w:val="00E179F5"/>
    <w:rsid w:val="00E260F1"/>
    <w:rsid w:val="00E27B52"/>
    <w:rsid w:val="00E34FC3"/>
    <w:rsid w:val="00E438BA"/>
    <w:rsid w:val="00E517A7"/>
    <w:rsid w:val="00E53D85"/>
    <w:rsid w:val="00E549DD"/>
    <w:rsid w:val="00E73132"/>
    <w:rsid w:val="00E7619E"/>
    <w:rsid w:val="00E77E97"/>
    <w:rsid w:val="00E8584D"/>
    <w:rsid w:val="00E8795B"/>
    <w:rsid w:val="00EA00AB"/>
    <w:rsid w:val="00EA1A55"/>
    <w:rsid w:val="00EA2389"/>
    <w:rsid w:val="00EA2928"/>
    <w:rsid w:val="00EA4FD8"/>
    <w:rsid w:val="00EC0DC3"/>
    <w:rsid w:val="00EC35E6"/>
    <w:rsid w:val="00EC466B"/>
    <w:rsid w:val="00ED1490"/>
    <w:rsid w:val="00ED6D53"/>
    <w:rsid w:val="00EE5E2F"/>
    <w:rsid w:val="00EE6511"/>
    <w:rsid w:val="00EF2313"/>
    <w:rsid w:val="00EF2DB9"/>
    <w:rsid w:val="00EF5F80"/>
    <w:rsid w:val="00F02B78"/>
    <w:rsid w:val="00F05608"/>
    <w:rsid w:val="00F15918"/>
    <w:rsid w:val="00F20E7A"/>
    <w:rsid w:val="00F32E82"/>
    <w:rsid w:val="00F404A0"/>
    <w:rsid w:val="00F50C95"/>
    <w:rsid w:val="00F51301"/>
    <w:rsid w:val="00F53692"/>
    <w:rsid w:val="00F65645"/>
    <w:rsid w:val="00FA4CEF"/>
    <w:rsid w:val="00FC5C7C"/>
    <w:rsid w:val="00FD0593"/>
    <w:rsid w:val="00FD60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F2DB9"/>
    <w:pPr>
      <w:tabs>
        <w:tab w:val="center" w:pos="4252"/>
        <w:tab w:val="right" w:pos="8504"/>
      </w:tabs>
    </w:pPr>
  </w:style>
  <w:style w:type="character" w:customStyle="1" w:styleId="En-tteCar">
    <w:name w:val="En-tête Car"/>
    <w:basedOn w:val="Policepardfaut"/>
    <w:link w:val="En-tte"/>
    <w:uiPriority w:val="99"/>
    <w:rsid w:val="00EF2DB9"/>
    <w:rPr>
      <w:rFonts w:ascii="Times New Roman" w:eastAsia="Times New Roman" w:hAnsi="Times New Roman" w:cs="Times New Roman"/>
      <w:sz w:val="20"/>
      <w:szCs w:val="20"/>
      <w:lang w:val="es-ES" w:eastAsia="es-ES"/>
    </w:rPr>
  </w:style>
  <w:style w:type="character" w:styleId="Numrodepage">
    <w:name w:val="page number"/>
    <w:basedOn w:val="Policepardfaut"/>
    <w:rsid w:val="00EF2DB9"/>
  </w:style>
  <w:style w:type="paragraph" w:styleId="Pieddepage">
    <w:name w:val="footer"/>
    <w:basedOn w:val="Normal"/>
    <w:link w:val="PieddepageCar"/>
    <w:uiPriority w:val="99"/>
    <w:rsid w:val="00EF2DB9"/>
    <w:pPr>
      <w:tabs>
        <w:tab w:val="center" w:pos="4252"/>
        <w:tab w:val="right" w:pos="8504"/>
      </w:tabs>
    </w:pPr>
  </w:style>
  <w:style w:type="character" w:customStyle="1" w:styleId="PieddepageCar">
    <w:name w:val="Pied de page Car"/>
    <w:basedOn w:val="Policepardfaut"/>
    <w:link w:val="Pieddepage"/>
    <w:uiPriority w:val="99"/>
    <w:rsid w:val="00EF2DB9"/>
    <w:rPr>
      <w:rFonts w:ascii="Times New Roman" w:eastAsia="Times New Roman" w:hAnsi="Times New Roman" w:cs="Times New Roman"/>
      <w:sz w:val="20"/>
      <w:szCs w:val="20"/>
      <w:lang w:val="es-ES"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texto de nota al pie,Footnote Text"/>
    <w:basedOn w:val="Normal"/>
    <w:link w:val="NotedebasdepageCar"/>
    <w:uiPriority w:val="99"/>
    <w:rsid w:val="00EF2DB9"/>
  </w:style>
  <w:style w:type="character" w:customStyle="1" w:styleId="TextonotapieCar">
    <w:name w:val="Texto nota pie Car"/>
    <w:basedOn w:val="Policepardfaut"/>
    <w:uiPriority w:val="99"/>
    <w:semiHidden/>
    <w:rsid w:val="00EF2DB9"/>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Appel note de bas de page,Footnotes refss,Fago Fußnotenzeichen"/>
    <w:uiPriority w:val="99"/>
    <w:rsid w:val="00EF2DB9"/>
    <w:rPr>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ootnote Text Car"/>
    <w:link w:val="Notedebasdepag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Corpsdetexte">
    <w:name w:val="Body Text"/>
    <w:basedOn w:val="Normal"/>
    <w:link w:val="CorpsdetexteCar"/>
    <w:rsid w:val="00EF2DB9"/>
    <w:pPr>
      <w:spacing w:after="120"/>
    </w:pPr>
  </w:style>
  <w:style w:type="character" w:customStyle="1" w:styleId="CorpsdetexteCar">
    <w:name w:val="Corps de texte Car"/>
    <w:basedOn w:val="Policepardfaut"/>
    <w:link w:val="Corpsdetexte"/>
    <w:rsid w:val="00EF2DB9"/>
    <w:rPr>
      <w:rFonts w:ascii="Times New Roman" w:eastAsia="Times New Roman" w:hAnsi="Times New Roman" w:cs="Times New Roman"/>
      <w:sz w:val="20"/>
      <w:szCs w:val="20"/>
      <w:lang w:val="es-ES" w:eastAsia="es-ES"/>
    </w:rPr>
  </w:style>
  <w:style w:type="paragraph" w:styleId="Sansinterligne">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aragraphedeliste">
    <w:name w:val="List Paragraph"/>
    <w:basedOn w:val="Normal"/>
    <w:uiPriority w:val="34"/>
    <w:qFormat/>
    <w:rsid w:val="00CF150C"/>
    <w:pPr>
      <w:ind w:left="720"/>
      <w:contextualSpacing/>
    </w:pPr>
  </w:style>
  <w:style w:type="paragraph" w:styleId="Textedebulles">
    <w:name w:val="Balloon Text"/>
    <w:basedOn w:val="Normal"/>
    <w:link w:val="TextedebullesCar"/>
    <w:uiPriority w:val="99"/>
    <w:semiHidden/>
    <w:unhideWhenUsed/>
    <w:rsid w:val="006A59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5917"/>
    <w:rPr>
      <w:rFonts w:ascii="Segoe UI" w:eastAsia="Times New Roman" w:hAnsi="Segoe UI" w:cs="Segoe UI"/>
      <w:sz w:val="18"/>
      <w:szCs w:val="18"/>
      <w:lang w:val="es-ES" w:eastAsia="es-ES"/>
    </w:rPr>
  </w:style>
  <w:style w:type="character" w:styleId="Lienhypertexte">
    <w:name w:val="Hyperlink"/>
    <w:basedOn w:val="Policepardfaut"/>
    <w:uiPriority w:val="99"/>
    <w:unhideWhenUsed/>
    <w:rsid w:val="003C032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F2DB9"/>
    <w:pPr>
      <w:tabs>
        <w:tab w:val="center" w:pos="4252"/>
        <w:tab w:val="right" w:pos="8504"/>
      </w:tabs>
    </w:pPr>
  </w:style>
  <w:style w:type="character" w:customStyle="1" w:styleId="En-tteCar">
    <w:name w:val="En-tête Car"/>
    <w:basedOn w:val="Policepardfaut"/>
    <w:link w:val="En-tte"/>
    <w:uiPriority w:val="99"/>
    <w:rsid w:val="00EF2DB9"/>
    <w:rPr>
      <w:rFonts w:ascii="Times New Roman" w:eastAsia="Times New Roman" w:hAnsi="Times New Roman" w:cs="Times New Roman"/>
      <w:sz w:val="20"/>
      <w:szCs w:val="20"/>
      <w:lang w:val="es-ES" w:eastAsia="es-ES"/>
    </w:rPr>
  </w:style>
  <w:style w:type="character" w:styleId="Numrodepage">
    <w:name w:val="page number"/>
    <w:basedOn w:val="Policepardfaut"/>
    <w:rsid w:val="00EF2DB9"/>
  </w:style>
  <w:style w:type="paragraph" w:styleId="Pieddepage">
    <w:name w:val="footer"/>
    <w:basedOn w:val="Normal"/>
    <w:link w:val="PieddepageCar"/>
    <w:uiPriority w:val="99"/>
    <w:rsid w:val="00EF2DB9"/>
    <w:pPr>
      <w:tabs>
        <w:tab w:val="center" w:pos="4252"/>
        <w:tab w:val="right" w:pos="8504"/>
      </w:tabs>
    </w:pPr>
  </w:style>
  <w:style w:type="character" w:customStyle="1" w:styleId="PieddepageCar">
    <w:name w:val="Pied de page Car"/>
    <w:basedOn w:val="Policepardfaut"/>
    <w:link w:val="Pieddepage"/>
    <w:uiPriority w:val="99"/>
    <w:rsid w:val="00EF2DB9"/>
    <w:rPr>
      <w:rFonts w:ascii="Times New Roman" w:eastAsia="Times New Roman" w:hAnsi="Times New Roman" w:cs="Times New Roman"/>
      <w:sz w:val="20"/>
      <w:szCs w:val="20"/>
      <w:lang w:val="es-ES"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texto de nota al pie,Footnote Text"/>
    <w:basedOn w:val="Normal"/>
    <w:link w:val="NotedebasdepageCar"/>
    <w:uiPriority w:val="99"/>
    <w:rsid w:val="00EF2DB9"/>
  </w:style>
  <w:style w:type="character" w:customStyle="1" w:styleId="TextonotapieCar">
    <w:name w:val="Texto nota pie Car"/>
    <w:basedOn w:val="Policepardfaut"/>
    <w:uiPriority w:val="99"/>
    <w:semiHidden/>
    <w:rsid w:val="00EF2DB9"/>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Appel note de bas de page,Footnotes refss,Fago Fußnotenzeichen"/>
    <w:uiPriority w:val="99"/>
    <w:rsid w:val="00EF2DB9"/>
    <w:rPr>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ootnote Text Car"/>
    <w:link w:val="Notedebasdepag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Corpsdetexte">
    <w:name w:val="Body Text"/>
    <w:basedOn w:val="Normal"/>
    <w:link w:val="CorpsdetexteCar"/>
    <w:rsid w:val="00EF2DB9"/>
    <w:pPr>
      <w:spacing w:after="120"/>
    </w:pPr>
  </w:style>
  <w:style w:type="character" w:customStyle="1" w:styleId="CorpsdetexteCar">
    <w:name w:val="Corps de texte Car"/>
    <w:basedOn w:val="Policepardfaut"/>
    <w:link w:val="Corpsdetexte"/>
    <w:rsid w:val="00EF2DB9"/>
    <w:rPr>
      <w:rFonts w:ascii="Times New Roman" w:eastAsia="Times New Roman" w:hAnsi="Times New Roman" w:cs="Times New Roman"/>
      <w:sz w:val="20"/>
      <w:szCs w:val="20"/>
      <w:lang w:val="es-ES" w:eastAsia="es-ES"/>
    </w:rPr>
  </w:style>
  <w:style w:type="paragraph" w:styleId="Sansinterligne">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aragraphedeliste">
    <w:name w:val="List Paragraph"/>
    <w:basedOn w:val="Normal"/>
    <w:uiPriority w:val="34"/>
    <w:qFormat/>
    <w:rsid w:val="00CF150C"/>
    <w:pPr>
      <w:ind w:left="720"/>
      <w:contextualSpacing/>
    </w:pPr>
  </w:style>
  <w:style w:type="paragraph" w:styleId="Textedebulles">
    <w:name w:val="Balloon Text"/>
    <w:basedOn w:val="Normal"/>
    <w:link w:val="TextedebullesCar"/>
    <w:uiPriority w:val="99"/>
    <w:semiHidden/>
    <w:unhideWhenUsed/>
    <w:rsid w:val="006A59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5917"/>
    <w:rPr>
      <w:rFonts w:ascii="Segoe UI" w:eastAsia="Times New Roman" w:hAnsi="Segoe UI" w:cs="Segoe UI"/>
      <w:sz w:val="18"/>
      <w:szCs w:val="18"/>
      <w:lang w:val="es-ES" w:eastAsia="es-ES"/>
    </w:rPr>
  </w:style>
  <w:style w:type="character" w:styleId="Lienhypertexte">
    <w:name w:val="Hyperlink"/>
    <w:basedOn w:val="Policepardfaut"/>
    <w:uiPriority w:val="99"/>
    <w:unhideWhenUsed/>
    <w:rsid w:val="003C0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48443">
      <w:bodyDiv w:val="1"/>
      <w:marLeft w:val="0"/>
      <w:marRight w:val="0"/>
      <w:marTop w:val="0"/>
      <w:marBottom w:val="0"/>
      <w:divBdr>
        <w:top w:val="none" w:sz="0" w:space="0" w:color="auto"/>
        <w:left w:val="none" w:sz="0" w:space="0" w:color="auto"/>
        <w:bottom w:val="none" w:sz="0" w:space="0" w:color="auto"/>
        <w:right w:val="none" w:sz="0" w:space="0" w:color="auto"/>
      </w:divBdr>
    </w:div>
    <w:div w:id="579605720">
      <w:bodyDiv w:val="1"/>
      <w:marLeft w:val="0"/>
      <w:marRight w:val="0"/>
      <w:marTop w:val="0"/>
      <w:marBottom w:val="0"/>
      <w:divBdr>
        <w:top w:val="none" w:sz="0" w:space="0" w:color="auto"/>
        <w:left w:val="none" w:sz="0" w:space="0" w:color="auto"/>
        <w:bottom w:val="none" w:sz="0" w:space="0" w:color="auto"/>
        <w:right w:val="none" w:sz="0" w:space="0" w:color="auto"/>
      </w:divBdr>
    </w:div>
    <w:div w:id="812059618">
      <w:bodyDiv w:val="1"/>
      <w:marLeft w:val="0"/>
      <w:marRight w:val="0"/>
      <w:marTop w:val="0"/>
      <w:marBottom w:val="0"/>
      <w:divBdr>
        <w:top w:val="none" w:sz="0" w:space="0" w:color="auto"/>
        <w:left w:val="none" w:sz="0" w:space="0" w:color="auto"/>
        <w:bottom w:val="none" w:sz="0" w:space="0" w:color="auto"/>
        <w:right w:val="none" w:sz="0" w:space="0" w:color="auto"/>
      </w:divBdr>
    </w:div>
    <w:div w:id="993997278">
      <w:bodyDiv w:val="1"/>
      <w:marLeft w:val="0"/>
      <w:marRight w:val="0"/>
      <w:marTop w:val="0"/>
      <w:marBottom w:val="0"/>
      <w:divBdr>
        <w:top w:val="none" w:sz="0" w:space="0" w:color="auto"/>
        <w:left w:val="none" w:sz="0" w:space="0" w:color="auto"/>
        <w:bottom w:val="none" w:sz="0" w:space="0" w:color="auto"/>
        <w:right w:val="none" w:sz="0" w:space="0" w:color="auto"/>
      </w:divBdr>
    </w:div>
    <w:div w:id="1162936714">
      <w:bodyDiv w:val="1"/>
      <w:marLeft w:val="0"/>
      <w:marRight w:val="0"/>
      <w:marTop w:val="0"/>
      <w:marBottom w:val="0"/>
      <w:divBdr>
        <w:top w:val="none" w:sz="0" w:space="0" w:color="auto"/>
        <w:left w:val="none" w:sz="0" w:space="0" w:color="auto"/>
        <w:bottom w:val="none" w:sz="0" w:space="0" w:color="auto"/>
        <w:right w:val="none" w:sz="0" w:space="0" w:color="auto"/>
      </w:divBdr>
    </w:div>
    <w:div w:id="1603804018">
      <w:bodyDiv w:val="1"/>
      <w:marLeft w:val="0"/>
      <w:marRight w:val="0"/>
      <w:marTop w:val="0"/>
      <w:marBottom w:val="0"/>
      <w:divBdr>
        <w:top w:val="none" w:sz="0" w:space="0" w:color="auto"/>
        <w:left w:val="none" w:sz="0" w:space="0" w:color="auto"/>
        <w:bottom w:val="none" w:sz="0" w:space="0" w:color="auto"/>
        <w:right w:val="none" w:sz="0" w:space="0" w:color="auto"/>
      </w:divBdr>
    </w:div>
    <w:div w:id="19074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90908-E0D1-4F7C-9C62-CA47D66E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13</Pages>
  <Words>4335</Words>
  <Characters>23847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Malucimedina</cp:lastModifiedBy>
  <cp:revision>8</cp:revision>
  <cp:lastPrinted>2017-03-28T19:48:00Z</cp:lastPrinted>
  <dcterms:created xsi:type="dcterms:W3CDTF">2017-03-28T12:13:00Z</dcterms:created>
  <dcterms:modified xsi:type="dcterms:W3CDTF">2017-05-15T00:32:00Z</dcterms:modified>
</cp:coreProperties>
</file>