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F8" w:rsidRPr="0094372D" w:rsidRDefault="006649F8" w:rsidP="006649F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6649F8" w:rsidRPr="006649F8" w:rsidRDefault="006649F8" w:rsidP="008B7327">
      <w:pPr>
        <w:spacing w:line="360" w:lineRule="auto"/>
        <w:jc w:val="both"/>
        <w:rPr>
          <w:rFonts w:ascii="Arial Narrow" w:hAnsi="Arial Narrow" w:cs="Arial"/>
          <w:bCs/>
          <w:i/>
          <w:iCs/>
          <w:sz w:val="16"/>
          <w:szCs w:val="16"/>
          <w:u w:val="single"/>
          <w:lang w:val="es-CO"/>
        </w:rPr>
      </w:pPr>
    </w:p>
    <w:p w:rsidR="008B7327" w:rsidRPr="00C4250C" w:rsidRDefault="008B7327" w:rsidP="008B7327">
      <w:pPr>
        <w:spacing w:line="360" w:lineRule="auto"/>
        <w:jc w:val="both"/>
        <w:rPr>
          <w:rFonts w:ascii="Arial Narrow" w:hAnsi="Arial Narrow" w:cs="Arial"/>
          <w:bCs/>
          <w:i/>
          <w:iCs/>
          <w:sz w:val="28"/>
          <w:szCs w:val="28"/>
          <w:u w:val="single"/>
        </w:rPr>
      </w:pPr>
      <w:r w:rsidRPr="00C4250C">
        <w:rPr>
          <w:rFonts w:ascii="Arial Narrow" w:hAnsi="Arial Narrow" w:cs="Arial"/>
          <w:bCs/>
          <w:i/>
          <w:iCs/>
          <w:sz w:val="28"/>
          <w:szCs w:val="28"/>
          <w:u w:val="single"/>
        </w:rPr>
        <w:t>ORALIDAD</w:t>
      </w:r>
    </w:p>
    <w:p w:rsidR="008B7327" w:rsidRPr="008D0DA1" w:rsidRDefault="008B7327" w:rsidP="008B7327">
      <w:pPr>
        <w:jc w:val="both"/>
        <w:rPr>
          <w:rFonts w:ascii="Arial Narrow" w:hAnsi="Arial Narrow" w:cs="Arial"/>
          <w:b/>
          <w:sz w:val="16"/>
          <w:szCs w:val="16"/>
        </w:rPr>
      </w:pPr>
    </w:p>
    <w:p w:rsidR="008B7327" w:rsidRPr="008D0DA1" w:rsidRDefault="008B7327" w:rsidP="008B7327">
      <w:pPr>
        <w:jc w:val="both"/>
        <w:rPr>
          <w:rFonts w:ascii="Arial Narrow" w:hAnsi="Arial Narrow" w:cs="Arial"/>
          <w:sz w:val="16"/>
          <w:szCs w:val="16"/>
        </w:rPr>
      </w:pPr>
      <w:r w:rsidRPr="008D0DA1">
        <w:rPr>
          <w:rFonts w:ascii="Arial Narrow" w:hAnsi="Arial Narrow" w:cs="Arial"/>
          <w:b/>
          <w:sz w:val="16"/>
          <w:szCs w:val="16"/>
        </w:rPr>
        <w:t>Providencia</w:t>
      </w:r>
      <w:r w:rsidRPr="008D0DA1">
        <w:rPr>
          <w:rFonts w:ascii="Arial Narrow" w:hAnsi="Arial Narrow" w:cs="Arial"/>
          <w:sz w:val="16"/>
          <w:szCs w:val="16"/>
        </w:rPr>
        <w:t>:</w:t>
      </w:r>
      <w:r w:rsidRPr="008D0DA1">
        <w:rPr>
          <w:rFonts w:ascii="Arial Narrow" w:hAnsi="Arial Narrow" w:cs="Arial"/>
          <w:sz w:val="16"/>
          <w:szCs w:val="16"/>
        </w:rPr>
        <w:tab/>
      </w:r>
      <w:r w:rsidRPr="008D0DA1">
        <w:rPr>
          <w:rFonts w:ascii="Arial Narrow" w:hAnsi="Arial Narrow" w:cs="Arial"/>
          <w:sz w:val="16"/>
          <w:szCs w:val="16"/>
        </w:rPr>
        <w:tab/>
        <w:t>Sentenci</w:t>
      </w:r>
      <w:r>
        <w:rPr>
          <w:rFonts w:ascii="Arial Narrow" w:hAnsi="Arial Narrow" w:cs="Arial"/>
          <w:sz w:val="16"/>
          <w:szCs w:val="16"/>
        </w:rPr>
        <w:t xml:space="preserve">a de Segunda Instancia, jueves </w:t>
      </w:r>
      <w:r w:rsidRPr="008D0DA1">
        <w:rPr>
          <w:rFonts w:ascii="Arial Narrow" w:hAnsi="Arial Narrow" w:cs="Arial"/>
          <w:sz w:val="16"/>
          <w:szCs w:val="16"/>
        </w:rPr>
        <w:t xml:space="preserve">9 de </w:t>
      </w:r>
      <w:r>
        <w:rPr>
          <w:rFonts w:ascii="Arial Narrow" w:hAnsi="Arial Narrow" w:cs="Arial"/>
          <w:sz w:val="16"/>
          <w:szCs w:val="16"/>
        </w:rPr>
        <w:t xml:space="preserve">marzo de </w:t>
      </w:r>
      <w:r w:rsidRPr="008D0DA1">
        <w:rPr>
          <w:rFonts w:ascii="Arial Narrow" w:hAnsi="Arial Narrow" w:cs="Arial"/>
          <w:sz w:val="16"/>
          <w:szCs w:val="16"/>
        </w:rPr>
        <w:t>2017</w:t>
      </w:r>
    </w:p>
    <w:p w:rsidR="006649F8" w:rsidRPr="008D0DA1" w:rsidRDefault="006649F8" w:rsidP="006649F8">
      <w:pPr>
        <w:jc w:val="both"/>
        <w:rPr>
          <w:rFonts w:ascii="Arial Narrow" w:hAnsi="Arial Narrow" w:cs="Arial"/>
          <w:iCs/>
          <w:sz w:val="16"/>
          <w:szCs w:val="16"/>
        </w:rPr>
      </w:pPr>
      <w:r w:rsidRPr="008D0DA1">
        <w:rPr>
          <w:rFonts w:ascii="Arial Narrow" w:hAnsi="Arial Narrow" w:cs="Arial"/>
          <w:b/>
          <w:bCs/>
          <w:iCs/>
          <w:sz w:val="16"/>
          <w:szCs w:val="16"/>
        </w:rPr>
        <w:t>Proceso</w:t>
      </w:r>
      <w:r w:rsidRPr="008D0DA1">
        <w:rPr>
          <w:rFonts w:ascii="Arial Narrow" w:hAnsi="Arial Narrow" w:cs="Arial"/>
          <w:bCs/>
          <w:iCs/>
          <w:sz w:val="16"/>
          <w:szCs w:val="16"/>
        </w:rPr>
        <w:t>:</w:t>
      </w:r>
      <w:r w:rsidRPr="008D0DA1">
        <w:rPr>
          <w:rFonts w:ascii="Arial Narrow" w:hAnsi="Arial Narrow" w:cs="Arial"/>
          <w:b/>
          <w:iCs/>
          <w:sz w:val="16"/>
          <w:szCs w:val="16"/>
        </w:rPr>
        <w:tab/>
      </w:r>
      <w:r w:rsidRPr="008D0DA1">
        <w:rPr>
          <w:rFonts w:ascii="Arial Narrow" w:hAnsi="Arial Narrow" w:cs="Arial"/>
          <w:b/>
          <w:iCs/>
          <w:sz w:val="16"/>
          <w:szCs w:val="16"/>
        </w:rPr>
        <w:tab/>
      </w:r>
      <w:r w:rsidRPr="008D0DA1">
        <w:rPr>
          <w:rFonts w:ascii="Arial Narrow" w:hAnsi="Arial Narrow" w:cs="Arial"/>
          <w:b/>
          <w:iCs/>
          <w:sz w:val="16"/>
          <w:szCs w:val="16"/>
        </w:rPr>
        <w:tab/>
      </w:r>
      <w:r w:rsidRPr="008D0DA1">
        <w:rPr>
          <w:rFonts w:ascii="Arial Narrow" w:hAnsi="Arial Narrow" w:cs="Arial"/>
          <w:iCs/>
          <w:sz w:val="16"/>
          <w:szCs w:val="16"/>
        </w:rPr>
        <w:t>Ordinario Laboral</w:t>
      </w:r>
      <w:r>
        <w:rPr>
          <w:rFonts w:ascii="Arial Narrow" w:hAnsi="Arial Narrow" w:cs="Arial"/>
          <w:iCs/>
          <w:sz w:val="16"/>
          <w:szCs w:val="16"/>
        </w:rPr>
        <w:t xml:space="preserve"> – Modifica sentencia que accedió a las pretensiones</w:t>
      </w:r>
    </w:p>
    <w:p w:rsidR="008B7327" w:rsidRPr="008D0DA1" w:rsidRDefault="008B7327" w:rsidP="008B7327">
      <w:pPr>
        <w:jc w:val="both"/>
        <w:rPr>
          <w:rFonts w:ascii="Arial Narrow" w:hAnsi="Arial Narrow" w:cs="Arial"/>
          <w:bCs/>
          <w:iCs/>
          <w:sz w:val="16"/>
          <w:szCs w:val="16"/>
        </w:rPr>
      </w:pPr>
      <w:r w:rsidRPr="008D0DA1">
        <w:rPr>
          <w:rFonts w:ascii="Arial Narrow" w:hAnsi="Arial Narrow" w:cs="Arial"/>
          <w:b/>
          <w:bCs/>
          <w:sz w:val="16"/>
          <w:szCs w:val="16"/>
        </w:rPr>
        <w:t>Radicación No</w:t>
      </w:r>
      <w:r w:rsidRPr="008D0DA1">
        <w:rPr>
          <w:rFonts w:ascii="Arial Narrow" w:hAnsi="Arial Narrow" w:cs="Arial"/>
          <w:bCs/>
          <w:sz w:val="16"/>
          <w:szCs w:val="16"/>
        </w:rPr>
        <w:t>:</w:t>
      </w:r>
      <w:r w:rsidRPr="008D0DA1">
        <w:rPr>
          <w:rFonts w:ascii="Arial Narrow" w:hAnsi="Arial Narrow" w:cs="Arial"/>
          <w:b/>
          <w:bCs/>
          <w:sz w:val="16"/>
          <w:szCs w:val="16"/>
        </w:rPr>
        <w:tab/>
      </w:r>
      <w:r w:rsidRPr="008D0DA1">
        <w:rPr>
          <w:rFonts w:ascii="Arial Narrow" w:hAnsi="Arial Narrow" w:cs="Arial"/>
          <w:b/>
          <w:bCs/>
          <w:sz w:val="16"/>
          <w:szCs w:val="16"/>
        </w:rPr>
        <w:tab/>
      </w:r>
      <w:r w:rsidRPr="008D0DA1">
        <w:rPr>
          <w:rFonts w:ascii="Arial Narrow" w:hAnsi="Arial Narrow" w:cs="Arial"/>
          <w:bCs/>
          <w:sz w:val="16"/>
          <w:szCs w:val="16"/>
        </w:rPr>
        <w:t>66001-31-05-00</w:t>
      </w:r>
      <w:r>
        <w:rPr>
          <w:rFonts w:ascii="Arial Narrow" w:hAnsi="Arial Narrow" w:cs="Arial"/>
          <w:bCs/>
          <w:sz w:val="16"/>
          <w:szCs w:val="16"/>
        </w:rPr>
        <w:t>4-2014-00095-04</w:t>
      </w:r>
    </w:p>
    <w:p w:rsidR="008B7327" w:rsidRPr="008D0DA1" w:rsidRDefault="008B7327" w:rsidP="008B7327">
      <w:pPr>
        <w:ind w:firstLine="6"/>
        <w:jc w:val="both"/>
        <w:rPr>
          <w:rFonts w:ascii="Arial Narrow" w:hAnsi="Arial Narrow" w:cs="Arial"/>
          <w:iCs/>
          <w:sz w:val="16"/>
          <w:szCs w:val="16"/>
        </w:rPr>
      </w:pPr>
      <w:r w:rsidRPr="008D0DA1">
        <w:rPr>
          <w:rFonts w:ascii="Arial Narrow" w:hAnsi="Arial Narrow" w:cs="Arial"/>
          <w:b/>
          <w:iCs/>
          <w:sz w:val="16"/>
          <w:szCs w:val="16"/>
        </w:rPr>
        <w:t>Demandante</w:t>
      </w:r>
      <w:r w:rsidRPr="008D0DA1">
        <w:rPr>
          <w:rFonts w:ascii="Arial Narrow" w:hAnsi="Arial Narrow" w:cs="Arial"/>
          <w:iCs/>
          <w:sz w:val="16"/>
          <w:szCs w:val="16"/>
        </w:rPr>
        <w:t xml:space="preserve">:     </w:t>
      </w:r>
      <w:r w:rsidRPr="008D0DA1">
        <w:rPr>
          <w:rFonts w:ascii="Arial Narrow" w:hAnsi="Arial Narrow" w:cs="Arial"/>
          <w:iCs/>
          <w:sz w:val="16"/>
          <w:szCs w:val="16"/>
        </w:rPr>
        <w:tab/>
      </w:r>
      <w:r w:rsidRPr="008D0DA1">
        <w:rPr>
          <w:rFonts w:ascii="Arial Narrow" w:hAnsi="Arial Narrow" w:cs="Arial"/>
          <w:iCs/>
          <w:sz w:val="16"/>
          <w:szCs w:val="16"/>
        </w:rPr>
        <w:tab/>
      </w:r>
      <w:r>
        <w:rPr>
          <w:rFonts w:ascii="Arial Narrow" w:hAnsi="Arial Narrow" w:cs="Arial"/>
          <w:iCs/>
          <w:sz w:val="16"/>
          <w:szCs w:val="16"/>
        </w:rPr>
        <w:t xml:space="preserve">Jairo Ignacio González Díaz y otros </w:t>
      </w:r>
      <w:r w:rsidRPr="008D0DA1">
        <w:rPr>
          <w:rFonts w:ascii="Arial Narrow" w:hAnsi="Arial Narrow" w:cs="Arial"/>
          <w:iCs/>
          <w:sz w:val="16"/>
          <w:szCs w:val="16"/>
        </w:rPr>
        <w:t xml:space="preserve">    </w:t>
      </w:r>
    </w:p>
    <w:p w:rsidR="008B7327" w:rsidRPr="008D0DA1" w:rsidRDefault="008B7327" w:rsidP="008B7327">
      <w:pPr>
        <w:ind w:firstLine="6"/>
        <w:jc w:val="both"/>
        <w:rPr>
          <w:rFonts w:ascii="Arial Narrow" w:hAnsi="Arial Narrow" w:cs="Arial"/>
          <w:bCs/>
          <w:sz w:val="16"/>
          <w:szCs w:val="16"/>
        </w:rPr>
      </w:pPr>
      <w:r w:rsidRPr="008D0DA1">
        <w:rPr>
          <w:rFonts w:ascii="Arial Narrow" w:hAnsi="Arial Narrow" w:cs="Arial"/>
          <w:b/>
          <w:bCs/>
          <w:sz w:val="16"/>
          <w:szCs w:val="16"/>
        </w:rPr>
        <w:t>Demandado:</w:t>
      </w:r>
      <w:r w:rsidRPr="008D0DA1">
        <w:rPr>
          <w:rFonts w:ascii="Arial Narrow" w:hAnsi="Arial Narrow" w:cs="Arial"/>
          <w:bCs/>
          <w:sz w:val="16"/>
          <w:szCs w:val="16"/>
        </w:rPr>
        <w:tab/>
      </w:r>
      <w:r w:rsidRPr="008D0DA1">
        <w:rPr>
          <w:rFonts w:ascii="Arial Narrow" w:hAnsi="Arial Narrow" w:cs="Arial"/>
          <w:bCs/>
          <w:sz w:val="16"/>
          <w:szCs w:val="16"/>
        </w:rPr>
        <w:tab/>
      </w:r>
      <w:proofErr w:type="spellStart"/>
      <w:r w:rsidRPr="008D0DA1">
        <w:rPr>
          <w:rFonts w:ascii="Arial Narrow" w:hAnsi="Arial Narrow" w:cs="Arial"/>
          <w:bCs/>
          <w:sz w:val="16"/>
          <w:szCs w:val="16"/>
        </w:rPr>
        <w:t>Colpensiones</w:t>
      </w:r>
      <w:proofErr w:type="spellEnd"/>
    </w:p>
    <w:p w:rsidR="008B7327" w:rsidRPr="008D0DA1" w:rsidRDefault="008B7327" w:rsidP="008B7327">
      <w:pPr>
        <w:jc w:val="both"/>
        <w:rPr>
          <w:rFonts w:ascii="Arial Narrow" w:hAnsi="Arial Narrow" w:cs="Arial"/>
          <w:sz w:val="16"/>
          <w:szCs w:val="16"/>
        </w:rPr>
      </w:pPr>
      <w:r w:rsidRPr="008D0DA1">
        <w:rPr>
          <w:rFonts w:ascii="Arial Narrow" w:hAnsi="Arial Narrow" w:cs="Arial"/>
          <w:b/>
          <w:sz w:val="16"/>
          <w:szCs w:val="16"/>
        </w:rPr>
        <w:t>Juzgado de origen</w:t>
      </w:r>
      <w:r w:rsidRPr="008D0DA1">
        <w:rPr>
          <w:rFonts w:ascii="Arial Narrow" w:hAnsi="Arial Narrow" w:cs="Arial"/>
          <w:sz w:val="16"/>
          <w:szCs w:val="16"/>
        </w:rPr>
        <w:t xml:space="preserve">:    </w:t>
      </w:r>
      <w:r>
        <w:rPr>
          <w:rFonts w:ascii="Arial Narrow" w:hAnsi="Arial Narrow" w:cs="Arial"/>
          <w:sz w:val="16"/>
          <w:szCs w:val="16"/>
        </w:rPr>
        <w:tab/>
      </w:r>
      <w:r w:rsidRPr="008D0DA1">
        <w:rPr>
          <w:rFonts w:ascii="Arial Narrow" w:hAnsi="Arial Narrow" w:cs="Arial"/>
          <w:sz w:val="16"/>
          <w:szCs w:val="16"/>
        </w:rPr>
        <w:t xml:space="preserve"> </w:t>
      </w:r>
      <w:r w:rsidRPr="008D0DA1">
        <w:rPr>
          <w:rFonts w:ascii="Arial Narrow" w:hAnsi="Arial Narrow" w:cs="Arial"/>
          <w:sz w:val="16"/>
          <w:szCs w:val="16"/>
        </w:rPr>
        <w:tab/>
      </w:r>
      <w:r>
        <w:rPr>
          <w:rFonts w:ascii="Arial Narrow" w:hAnsi="Arial Narrow" w:cs="Arial"/>
          <w:sz w:val="16"/>
          <w:szCs w:val="16"/>
        </w:rPr>
        <w:t xml:space="preserve">Cuarto </w:t>
      </w:r>
      <w:r w:rsidRPr="008D0DA1">
        <w:rPr>
          <w:rFonts w:ascii="Arial Narrow" w:hAnsi="Arial Narrow" w:cs="Arial"/>
          <w:sz w:val="16"/>
          <w:szCs w:val="16"/>
        </w:rPr>
        <w:t>Laboral del Circuito de Pereira.</w:t>
      </w:r>
    </w:p>
    <w:p w:rsidR="008B7327" w:rsidRDefault="008B7327" w:rsidP="008B7327">
      <w:pPr>
        <w:jc w:val="both"/>
        <w:rPr>
          <w:rFonts w:ascii="Arial Narrow" w:hAnsi="Arial Narrow" w:cs="Arial"/>
          <w:iCs/>
          <w:sz w:val="16"/>
          <w:szCs w:val="16"/>
        </w:rPr>
      </w:pPr>
      <w:r w:rsidRPr="008D0DA1">
        <w:rPr>
          <w:rFonts w:ascii="Arial Narrow" w:hAnsi="Arial Narrow" w:cs="Arial"/>
          <w:b/>
          <w:iCs/>
          <w:sz w:val="16"/>
          <w:szCs w:val="16"/>
        </w:rPr>
        <w:t xml:space="preserve">Magistrado Ponente:     </w:t>
      </w:r>
      <w:r w:rsidRPr="008D0DA1">
        <w:rPr>
          <w:rFonts w:ascii="Arial Narrow" w:hAnsi="Arial Narrow" w:cs="Arial"/>
          <w:b/>
          <w:iCs/>
          <w:sz w:val="16"/>
          <w:szCs w:val="16"/>
        </w:rPr>
        <w:tab/>
      </w:r>
      <w:r w:rsidRPr="008D0DA1">
        <w:rPr>
          <w:rFonts w:ascii="Arial Narrow" w:hAnsi="Arial Narrow" w:cs="Arial"/>
          <w:iCs/>
          <w:sz w:val="16"/>
          <w:szCs w:val="16"/>
        </w:rPr>
        <w:t>Francisco Javier Tamayo Tabares.</w:t>
      </w:r>
    </w:p>
    <w:p w:rsidR="006649F8" w:rsidRPr="008D0DA1" w:rsidRDefault="006649F8" w:rsidP="008B7327">
      <w:pPr>
        <w:jc w:val="both"/>
        <w:rPr>
          <w:rFonts w:ascii="Arial Narrow" w:hAnsi="Arial Narrow" w:cs="Arial"/>
          <w:b/>
          <w:iCs/>
          <w:sz w:val="16"/>
          <w:szCs w:val="16"/>
        </w:rPr>
      </w:pPr>
    </w:p>
    <w:p w:rsidR="00966BF9" w:rsidRPr="00966BF9" w:rsidRDefault="008B7327" w:rsidP="00966BF9">
      <w:pPr>
        <w:pStyle w:val="Sansinterligne"/>
        <w:ind w:left="2124" w:hanging="2124"/>
        <w:jc w:val="both"/>
        <w:rPr>
          <w:rFonts w:ascii="Arial Narrow" w:hAnsi="Arial Narrow" w:cs="Arial"/>
          <w:sz w:val="18"/>
          <w:szCs w:val="18"/>
          <w:lang w:val="es-ES"/>
        </w:rPr>
      </w:pPr>
      <w:r w:rsidRPr="008D0DA1">
        <w:rPr>
          <w:rFonts w:ascii="Arial Narrow" w:hAnsi="Arial Narrow" w:cs="Arial"/>
          <w:b/>
          <w:bCs/>
          <w:sz w:val="16"/>
          <w:szCs w:val="16"/>
        </w:rPr>
        <w:t xml:space="preserve">Tema a tratar: </w:t>
      </w:r>
      <w:r w:rsidRPr="008D0DA1">
        <w:rPr>
          <w:rFonts w:ascii="Arial Narrow" w:hAnsi="Arial Narrow" w:cs="Arial"/>
          <w:b/>
          <w:bCs/>
          <w:sz w:val="16"/>
          <w:szCs w:val="16"/>
        </w:rPr>
        <w:tab/>
      </w:r>
      <w:r w:rsidR="006649F8">
        <w:rPr>
          <w:rFonts w:ascii="Arial Narrow" w:hAnsi="Arial Narrow" w:cs="Arial"/>
          <w:b/>
          <w:bCs/>
          <w:sz w:val="16"/>
          <w:szCs w:val="16"/>
        </w:rPr>
        <w:t>DE LA DESAFILIACIÓN AL SISTEMA PARA EL DISFRUTE DE LA PENSIÓN:</w:t>
      </w:r>
      <w:r w:rsidR="00966BF9">
        <w:rPr>
          <w:rFonts w:ascii="Arial Narrow" w:hAnsi="Arial Narrow" w:cs="Arial"/>
          <w:b/>
          <w:bCs/>
          <w:sz w:val="16"/>
          <w:szCs w:val="16"/>
        </w:rPr>
        <w:t xml:space="preserve"> </w:t>
      </w:r>
      <w:r w:rsidR="00966BF9" w:rsidRPr="00966BF9">
        <w:rPr>
          <w:rFonts w:ascii="Arial Narrow" w:hAnsi="Arial Narrow" w:cs="Arial"/>
          <w:sz w:val="18"/>
          <w:szCs w:val="18"/>
          <w:lang w:val="es-ES"/>
        </w:rPr>
        <w:t>la desafiliación es necesaria para que el afiliado (a) pueda empezar a disfrutar de la prestación, y que por regla general el acto de desafiliación le compete reportarlo al empleador. No obstante lo anterior, por vía jurisprudencial, el órgano de cierre de la especialidad laboral, ha acudido a otras alternativas hermenéuticas para dar solución a los casos particulares que ameritan una solución distinta. Así por ejemplo ha reconocido que la desafiliación al sistema pensional, se puede presentar de manera excepcional ante la falta de reporte de dicha novedad, y se infiere de las circunstancias que rodean cada caso en particular, pues estas disposiciones (arts. 13 y 35 Ado. 049/1990), "</w:t>
      </w:r>
      <w:r w:rsidR="00966BF9" w:rsidRPr="00966BF9">
        <w:rPr>
          <w:rFonts w:ascii="Arial Narrow" w:hAnsi="Arial Narrow" w:cs="Arial"/>
          <w:i/>
          <w:sz w:val="18"/>
          <w:szCs w:val="18"/>
          <w:lang w:val="es-ES"/>
        </w:rPr>
        <w:t>admiten un entendimiento conforme al cual la voluntad del afiliado de no continuar afiliado al sistema, manifestada mediante actos externos, es un parámetro válido para establecer la fecha de inicio de disfrute de la pensión</w:t>
      </w:r>
      <w:r w:rsidR="00966BF9" w:rsidRPr="00966BF9">
        <w:rPr>
          <w:rFonts w:ascii="Arial Narrow" w:hAnsi="Arial Narrow" w:cs="Arial"/>
          <w:sz w:val="18"/>
          <w:szCs w:val="18"/>
          <w:lang w:val="es-ES"/>
        </w:rPr>
        <w:t>” (sentencia SL 5603, de 6 de abril 2016).</w:t>
      </w:r>
    </w:p>
    <w:p w:rsidR="00966BF9" w:rsidRPr="00966BF9" w:rsidRDefault="00966BF9" w:rsidP="00966BF9">
      <w:pPr>
        <w:pStyle w:val="Sansinterligne"/>
        <w:spacing w:line="360" w:lineRule="auto"/>
      </w:pPr>
    </w:p>
    <w:p w:rsidR="008B7327" w:rsidRDefault="008B7327" w:rsidP="00374077">
      <w:pPr>
        <w:pStyle w:val="Sansinterligne"/>
        <w:ind w:firstLine="708"/>
        <w:rPr>
          <w:rFonts w:ascii="Arial Narrow" w:hAnsi="Arial Narrow" w:cs="Arial"/>
          <w:sz w:val="28"/>
          <w:szCs w:val="28"/>
        </w:rPr>
      </w:pPr>
      <w:r w:rsidRPr="00C4250C">
        <w:rPr>
          <w:rFonts w:ascii="Arial Narrow" w:hAnsi="Arial Narrow" w:cs="Arial"/>
          <w:sz w:val="28"/>
          <w:szCs w:val="28"/>
          <w:u w:val="single"/>
        </w:rPr>
        <w:t>AUDIENCIA PÚBLICA</w:t>
      </w:r>
      <w:r w:rsidRPr="00C4250C">
        <w:rPr>
          <w:rFonts w:ascii="Arial Narrow" w:hAnsi="Arial Narrow" w:cs="Arial"/>
          <w:sz w:val="28"/>
          <w:szCs w:val="28"/>
        </w:rPr>
        <w:t>:</w:t>
      </w:r>
    </w:p>
    <w:p w:rsidR="00966BF9" w:rsidRPr="00C4250C" w:rsidRDefault="00966BF9" w:rsidP="00374077">
      <w:pPr>
        <w:pStyle w:val="Sansinterligne"/>
        <w:ind w:firstLine="708"/>
        <w:rPr>
          <w:rFonts w:ascii="Arial Narrow" w:hAnsi="Arial Narrow" w:cs="Arial"/>
          <w:sz w:val="28"/>
          <w:szCs w:val="28"/>
        </w:rPr>
      </w:pPr>
    </w:p>
    <w:p w:rsidR="008B7327" w:rsidRPr="00BD51DF" w:rsidRDefault="008B7327" w:rsidP="008B7327">
      <w:pPr>
        <w:pStyle w:val="Sansinterligne"/>
      </w:pPr>
    </w:p>
    <w:p w:rsidR="008B7327" w:rsidRPr="00A071CD" w:rsidRDefault="008B7327" w:rsidP="008B7327">
      <w:pPr>
        <w:spacing w:line="360" w:lineRule="auto"/>
        <w:ind w:firstLine="851"/>
        <w:jc w:val="both"/>
        <w:rPr>
          <w:rFonts w:ascii="Arial Narrow" w:hAnsi="Arial Narrow" w:cs="Arial"/>
          <w:bCs/>
          <w:iCs/>
          <w:sz w:val="28"/>
          <w:szCs w:val="28"/>
        </w:rPr>
      </w:pPr>
      <w:r w:rsidRPr="00A071CD">
        <w:rPr>
          <w:rFonts w:ascii="Arial Narrow" w:eastAsia="Calibri" w:hAnsi="Arial Narrow" w:cs="Arial"/>
          <w:sz w:val="28"/>
          <w:szCs w:val="28"/>
          <w:lang w:val="es-CO" w:eastAsia="en-US"/>
        </w:rPr>
        <w:t>En Pereira, a lo</w:t>
      </w:r>
      <w:r>
        <w:rPr>
          <w:rFonts w:ascii="Arial Narrow" w:eastAsia="Calibri" w:hAnsi="Arial Narrow" w:cs="Arial"/>
          <w:sz w:val="28"/>
          <w:szCs w:val="28"/>
          <w:lang w:val="es-CO" w:eastAsia="en-US"/>
        </w:rPr>
        <w:t xml:space="preserve">s nueve (9) días del mes de marzo de dos mil diecisiete </w:t>
      </w:r>
      <w:r w:rsidRPr="00A071CD">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A071CD">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y cuarenta y cinco de la mañana </w:t>
      </w:r>
      <w:r w:rsidRPr="00A071C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9:45 a.m.</w:t>
      </w:r>
      <w:r w:rsidRPr="00A071CD">
        <w:rPr>
          <w:rFonts w:ascii="Arial Narrow" w:eastAsia="Calibri" w:hAnsi="Arial Narrow" w:cs="Arial"/>
          <w:sz w:val="28"/>
          <w:szCs w:val="28"/>
          <w:lang w:val="es-CO" w:eastAsia="en-US"/>
        </w:rPr>
        <w:t xml:space="preserve">), </w:t>
      </w:r>
      <w:r w:rsidRPr="00A071CD">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as magistradas y el suscrito magistrado de</w:t>
      </w:r>
      <w:r w:rsidRPr="00A071CD">
        <w:rPr>
          <w:rFonts w:ascii="Arial Narrow" w:hAnsi="Arial Narrow" w:cs="Tahoma"/>
          <w:bCs/>
          <w:color w:val="000000"/>
          <w:sz w:val="28"/>
          <w:szCs w:val="28"/>
          <w:lang w:eastAsia="es-CO"/>
        </w:rPr>
        <w:t xml:space="preserv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interpuesto por el apoderado judicial de los demandantes y el </w:t>
      </w:r>
      <w:r w:rsidRPr="00A071CD">
        <w:rPr>
          <w:rFonts w:ascii="Arial Narrow" w:hAnsi="Arial Narrow" w:cs="Tahoma"/>
          <w:bCs/>
          <w:color w:val="000000"/>
          <w:sz w:val="28"/>
          <w:szCs w:val="28"/>
          <w:lang w:eastAsia="es-CO"/>
        </w:rPr>
        <w:t xml:space="preserve">grado jurisdiccional de consulta ordenado frente a la </w:t>
      </w:r>
      <w:r w:rsidRPr="00A071CD">
        <w:rPr>
          <w:rFonts w:ascii="Arial Narrow" w:hAnsi="Arial Narrow" w:cs="Arial"/>
          <w:sz w:val="28"/>
          <w:szCs w:val="28"/>
        </w:rPr>
        <w:t xml:space="preserve">sentencia proferida el </w:t>
      </w:r>
      <w:r w:rsidR="0022194F">
        <w:rPr>
          <w:rFonts w:ascii="Arial Narrow" w:hAnsi="Arial Narrow" w:cs="Arial"/>
          <w:sz w:val="28"/>
          <w:szCs w:val="28"/>
        </w:rPr>
        <w:t xml:space="preserve">31 de marzo de </w:t>
      </w:r>
      <w:r>
        <w:rPr>
          <w:rFonts w:ascii="Arial Narrow" w:hAnsi="Arial Narrow" w:cs="Arial"/>
          <w:sz w:val="28"/>
          <w:szCs w:val="28"/>
        </w:rPr>
        <w:t xml:space="preserve">2016 </w:t>
      </w:r>
      <w:r w:rsidRPr="00A071CD">
        <w:rPr>
          <w:rFonts w:ascii="Arial Narrow" w:hAnsi="Arial Narrow" w:cs="Arial"/>
          <w:sz w:val="28"/>
          <w:szCs w:val="28"/>
        </w:rPr>
        <w:t>por el Juzgado</w:t>
      </w:r>
      <w:r>
        <w:rPr>
          <w:rFonts w:ascii="Arial Narrow" w:hAnsi="Arial Narrow" w:cs="Arial"/>
          <w:sz w:val="28"/>
          <w:szCs w:val="28"/>
        </w:rPr>
        <w:t xml:space="preserve"> </w:t>
      </w:r>
      <w:r w:rsidR="0022194F">
        <w:rPr>
          <w:rFonts w:ascii="Arial Narrow" w:hAnsi="Arial Narrow" w:cs="Arial"/>
          <w:sz w:val="28"/>
          <w:szCs w:val="28"/>
        </w:rPr>
        <w:t xml:space="preserve">Cuarto </w:t>
      </w:r>
      <w:r w:rsidRPr="00A071CD">
        <w:rPr>
          <w:rFonts w:ascii="Arial Narrow" w:hAnsi="Arial Narrow" w:cs="Arial"/>
          <w:sz w:val="28"/>
          <w:szCs w:val="28"/>
        </w:rPr>
        <w:t xml:space="preserve">Laboral del Circuito de Pereira, dentro del proceso ordinario laboral promovido por </w:t>
      </w:r>
      <w:r w:rsidR="0022194F">
        <w:rPr>
          <w:rFonts w:ascii="Arial Narrow" w:hAnsi="Arial Narrow" w:cs="Arial"/>
          <w:i/>
          <w:sz w:val="28"/>
          <w:szCs w:val="28"/>
        </w:rPr>
        <w:t xml:space="preserve">Jairo Ignacio González Díaz, Álvaro Giraldo Arango, Fernando Bedoya Naranjo </w:t>
      </w:r>
      <w:r w:rsidR="0022194F" w:rsidRPr="0022194F">
        <w:rPr>
          <w:rFonts w:ascii="Arial Narrow" w:hAnsi="Arial Narrow" w:cs="Arial"/>
          <w:sz w:val="28"/>
          <w:szCs w:val="28"/>
        </w:rPr>
        <w:t>y</w:t>
      </w:r>
      <w:r w:rsidR="0022194F">
        <w:rPr>
          <w:rFonts w:ascii="Arial Narrow" w:hAnsi="Arial Narrow" w:cs="Arial"/>
          <w:i/>
          <w:sz w:val="28"/>
          <w:szCs w:val="28"/>
        </w:rPr>
        <w:t xml:space="preserve"> María Eugenia Sandoval </w:t>
      </w:r>
      <w:proofErr w:type="spellStart"/>
      <w:r w:rsidR="0022194F">
        <w:rPr>
          <w:rFonts w:ascii="Arial Narrow" w:hAnsi="Arial Narrow" w:cs="Arial"/>
          <w:i/>
          <w:sz w:val="28"/>
          <w:szCs w:val="28"/>
        </w:rPr>
        <w:t>Fonnegra</w:t>
      </w:r>
      <w:proofErr w:type="spellEnd"/>
      <w:r w:rsidR="0022194F">
        <w:rPr>
          <w:rFonts w:ascii="Arial Narrow" w:hAnsi="Arial Narrow" w:cs="Arial"/>
          <w:i/>
          <w:sz w:val="28"/>
          <w:szCs w:val="28"/>
        </w:rPr>
        <w:t xml:space="preserve"> </w:t>
      </w:r>
      <w:r w:rsidRPr="00A071CD">
        <w:rPr>
          <w:rFonts w:ascii="Arial Narrow" w:hAnsi="Arial Narrow" w:cs="Arial"/>
          <w:sz w:val="28"/>
          <w:szCs w:val="28"/>
        </w:rPr>
        <w:t xml:space="preserve">contra la </w:t>
      </w:r>
      <w:r w:rsidRPr="00C4250C">
        <w:rPr>
          <w:rFonts w:ascii="Arial Narrow" w:hAnsi="Arial Narrow" w:cs="Arial"/>
          <w:i/>
          <w:sz w:val="28"/>
          <w:szCs w:val="28"/>
        </w:rPr>
        <w:t xml:space="preserve">Administradora Colombiana de Pensiones </w:t>
      </w:r>
      <w:proofErr w:type="spellStart"/>
      <w:r w:rsidRPr="00C4250C">
        <w:rPr>
          <w:rFonts w:ascii="Arial Narrow" w:hAnsi="Arial Narrow" w:cs="Arial"/>
          <w:bCs/>
          <w:i/>
          <w:sz w:val="28"/>
          <w:szCs w:val="28"/>
        </w:rPr>
        <w:t>Colpensiones</w:t>
      </w:r>
      <w:proofErr w:type="spellEnd"/>
      <w:r w:rsidRPr="00C4250C">
        <w:rPr>
          <w:rFonts w:ascii="Arial Narrow" w:hAnsi="Arial Narrow" w:cs="Arial"/>
          <w:bCs/>
          <w:i/>
          <w:iCs/>
          <w:sz w:val="28"/>
          <w:szCs w:val="28"/>
        </w:rPr>
        <w:t>.</w:t>
      </w:r>
    </w:p>
    <w:p w:rsidR="008B7327" w:rsidRDefault="008B7327" w:rsidP="00374077">
      <w:pPr>
        <w:pStyle w:val="Sansinterligne"/>
      </w:pPr>
    </w:p>
    <w:p w:rsidR="00966BF9" w:rsidRPr="00374077" w:rsidRDefault="00966BF9" w:rsidP="00374077">
      <w:pPr>
        <w:pStyle w:val="Sansinterligne"/>
      </w:pPr>
    </w:p>
    <w:p w:rsidR="008B7327" w:rsidRPr="00C4250C" w:rsidRDefault="008B7327" w:rsidP="008B7327">
      <w:pPr>
        <w:shd w:val="clear" w:color="auto" w:fill="FFFFFF"/>
        <w:spacing w:line="360" w:lineRule="atLeast"/>
        <w:ind w:firstLine="708"/>
        <w:jc w:val="both"/>
        <w:rPr>
          <w:rFonts w:ascii="Arial Narrow" w:hAnsi="Arial Narrow" w:cs="Tahoma"/>
          <w:bCs/>
          <w:color w:val="000000"/>
          <w:sz w:val="28"/>
          <w:szCs w:val="28"/>
          <w:lang w:eastAsia="es-CO"/>
        </w:rPr>
      </w:pPr>
      <w:r w:rsidRPr="00C4250C">
        <w:rPr>
          <w:rFonts w:ascii="Arial Narrow" w:hAnsi="Arial Narrow" w:cs="Tahoma"/>
          <w:bCs/>
          <w:color w:val="000000"/>
          <w:sz w:val="28"/>
          <w:szCs w:val="28"/>
          <w:lang w:eastAsia="es-CO"/>
        </w:rPr>
        <w:t>IDENTIFICACIÓN DE LOS PRESENTES:</w:t>
      </w:r>
    </w:p>
    <w:p w:rsidR="008B7327" w:rsidRDefault="008B7327" w:rsidP="008B7327">
      <w:pPr>
        <w:pStyle w:val="Sansinterligne"/>
        <w:rPr>
          <w:sz w:val="28"/>
          <w:szCs w:val="28"/>
          <w:lang w:eastAsia="es-CO"/>
        </w:rPr>
      </w:pPr>
    </w:p>
    <w:p w:rsidR="00966BF9" w:rsidRPr="00C4250C" w:rsidRDefault="00966BF9" w:rsidP="008B7327">
      <w:pPr>
        <w:pStyle w:val="Sansinterligne"/>
        <w:rPr>
          <w:sz w:val="28"/>
          <w:szCs w:val="28"/>
          <w:lang w:eastAsia="es-CO"/>
        </w:rPr>
      </w:pPr>
    </w:p>
    <w:p w:rsidR="008B7327" w:rsidRPr="00374077" w:rsidRDefault="008B7327" w:rsidP="00374077">
      <w:pPr>
        <w:pStyle w:val="Paragraphedeliste"/>
        <w:numPr>
          <w:ilvl w:val="0"/>
          <w:numId w:val="7"/>
        </w:numPr>
        <w:spacing w:line="360" w:lineRule="auto"/>
        <w:rPr>
          <w:rFonts w:ascii="Arial Narrow" w:hAnsi="Arial Narrow" w:cs="Tahoma"/>
          <w:i/>
          <w:sz w:val="28"/>
          <w:szCs w:val="28"/>
        </w:rPr>
      </w:pPr>
      <w:r w:rsidRPr="00374077">
        <w:rPr>
          <w:rFonts w:ascii="Arial Narrow" w:hAnsi="Arial Narrow" w:cs="Tahoma"/>
          <w:i/>
          <w:sz w:val="28"/>
          <w:szCs w:val="28"/>
        </w:rPr>
        <w:t>INTRODUCCIÓN</w:t>
      </w:r>
    </w:p>
    <w:p w:rsidR="008B7327" w:rsidRPr="00374077" w:rsidRDefault="008B7327" w:rsidP="00374077">
      <w:pPr>
        <w:pStyle w:val="Sansinterligne"/>
      </w:pPr>
    </w:p>
    <w:p w:rsidR="00794E39" w:rsidRPr="00316614" w:rsidRDefault="0022194F" w:rsidP="00601411">
      <w:pPr>
        <w:spacing w:line="360" w:lineRule="auto"/>
        <w:ind w:firstLine="900"/>
        <w:jc w:val="both"/>
        <w:rPr>
          <w:rFonts w:ascii="Arial Narrow" w:hAnsi="Arial Narrow" w:cs="Tahoma"/>
          <w:sz w:val="28"/>
          <w:szCs w:val="28"/>
        </w:rPr>
      </w:pPr>
      <w:r w:rsidRPr="00316614">
        <w:rPr>
          <w:rFonts w:ascii="Arial Narrow" w:hAnsi="Arial Narrow" w:cs="Tahoma"/>
          <w:sz w:val="28"/>
          <w:szCs w:val="28"/>
        </w:rPr>
        <w:t>Los demandantes pretenden que se les reconozca y</w:t>
      </w:r>
      <w:r w:rsidR="00316614" w:rsidRPr="00316614">
        <w:rPr>
          <w:rFonts w:ascii="Arial Narrow" w:hAnsi="Arial Narrow" w:cs="Tahoma"/>
          <w:sz w:val="28"/>
          <w:szCs w:val="28"/>
        </w:rPr>
        <w:t xml:space="preserve"> pague el retroactivo pensional, </w:t>
      </w:r>
      <w:r w:rsidR="00794E39" w:rsidRPr="00316614">
        <w:rPr>
          <w:rFonts w:ascii="Arial Narrow" w:hAnsi="Arial Narrow" w:cs="Tahoma"/>
          <w:sz w:val="28"/>
          <w:szCs w:val="28"/>
        </w:rPr>
        <w:t>junto con los intereses moratorios</w:t>
      </w:r>
      <w:r w:rsidR="00800A03" w:rsidRPr="00316614">
        <w:rPr>
          <w:rFonts w:ascii="Arial Narrow" w:hAnsi="Arial Narrow" w:cs="Tahoma"/>
          <w:sz w:val="28"/>
          <w:szCs w:val="28"/>
        </w:rPr>
        <w:t xml:space="preserve"> de que trata el art</w:t>
      </w:r>
      <w:r w:rsidR="00601411" w:rsidRPr="00316614">
        <w:rPr>
          <w:rFonts w:ascii="Arial Narrow" w:hAnsi="Arial Narrow" w:cs="Tahoma"/>
          <w:sz w:val="28"/>
          <w:szCs w:val="28"/>
        </w:rPr>
        <w:t xml:space="preserve">ículo 141 de la Ley 100/93, o en subsidio la indexación de las condenas </w:t>
      </w:r>
      <w:r w:rsidR="00794E39" w:rsidRPr="00316614">
        <w:rPr>
          <w:rFonts w:ascii="Arial Narrow" w:hAnsi="Arial Narrow" w:cs="Tahoma"/>
          <w:sz w:val="28"/>
          <w:szCs w:val="28"/>
        </w:rPr>
        <w:t xml:space="preserve">y las costas del proceso. </w:t>
      </w:r>
    </w:p>
    <w:p w:rsidR="00794E39" w:rsidRPr="00316614" w:rsidRDefault="00794E39" w:rsidP="00794E39">
      <w:pPr>
        <w:pStyle w:val="Sansinterligne"/>
      </w:pPr>
    </w:p>
    <w:p w:rsidR="00794E39" w:rsidRDefault="00794E39" w:rsidP="00794E39">
      <w:pPr>
        <w:shd w:val="clear" w:color="auto" w:fill="FFFFFF"/>
        <w:spacing w:line="360" w:lineRule="auto"/>
        <w:ind w:firstLine="851"/>
        <w:jc w:val="both"/>
        <w:rPr>
          <w:rFonts w:ascii="Arial Narrow" w:hAnsi="Arial Narrow" w:cs="Tahoma"/>
          <w:sz w:val="28"/>
          <w:szCs w:val="28"/>
        </w:rPr>
      </w:pPr>
      <w:r w:rsidRPr="00316614">
        <w:rPr>
          <w:rFonts w:ascii="Arial Narrow" w:hAnsi="Arial Narrow" w:cs="Tahoma"/>
          <w:sz w:val="28"/>
          <w:szCs w:val="28"/>
        </w:rPr>
        <w:lastRenderedPageBreak/>
        <w:t xml:space="preserve">Para efectos prácticos, se hará un relato de los hechos de </w:t>
      </w:r>
      <w:r>
        <w:rPr>
          <w:rFonts w:ascii="Arial Narrow" w:hAnsi="Arial Narrow" w:cs="Tahoma"/>
          <w:sz w:val="28"/>
          <w:szCs w:val="28"/>
        </w:rPr>
        <w:t>cada uno de los interesados, así:</w:t>
      </w:r>
    </w:p>
    <w:p w:rsidR="00794E39" w:rsidRPr="00374077" w:rsidRDefault="00794E39" w:rsidP="00374077">
      <w:pPr>
        <w:pStyle w:val="Sansinterligne"/>
      </w:pPr>
    </w:p>
    <w:p w:rsidR="00794E39" w:rsidRPr="00FD7F66" w:rsidRDefault="00794E39" w:rsidP="00794E39">
      <w:pPr>
        <w:pStyle w:val="Paragraphedeliste"/>
        <w:numPr>
          <w:ilvl w:val="0"/>
          <w:numId w:val="4"/>
        </w:numPr>
        <w:spacing w:line="360" w:lineRule="auto"/>
        <w:jc w:val="both"/>
        <w:rPr>
          <w:rFonts w:ascii="Arial Narrow" w:hAnsi="Arial Narrow" w:cs="Tahoma"/>
          <w:sz w:val="28"/>
          <w:szCs w:val="28"/>
        </w:rPr>
      </w:pPr>
      <w:r w:rsidRPr="00FD7F66">
        <w:rPr>
          <w:rFonts w:ascii="Arial Narrow" w:hAnsi="Arial Narrow" w:cs="Tahoma"/>
          <w:sz w:val="28"/>
          <w:szCs w:val="28"/>
        </w:rPr>
        <w:t>Hechos del señor Jairo Ignacio González Díaz</w:t>
      </w:r>
    </w:p>
    <w:p w:rsidR="00794E39" w:rsidRPr="00374077" w:rsidRDefault="00794E39" w:rsidP="00374077">
      <w:pPr>
        <w:pStyle w:val="Sansinterligne"/>
      </w:pPr>
    </w:p>
    <w:p w:rsidR="00240B50" w:rsidRDefault="00794E39" w:rsidP="008B7327">
      <w:pPr>
        <w:spacing w:line="360" w:lineRule="auto"/>
        <w:ind w:firstLine="900"/>
        <w:jc w:val="both"/>
        <w:rPr>
          <w:rFonts w:ascii="Arial Narrow" w:hAnsi="Arial Narrow" w:cs="Tahoma"/>
          <w:sz w:val="28"/>
          <w:szCs w:val="28"/>
        </w:rPr>
      </w:pPr>
      <w:r>
        <w:rPr>
          <w:rFonts w:ascii="Arial Narrow" w:hAnsi="Arial Narrow" w:cs="Tahoma"/>
          <w:sz w:val="28"/>
          <w:szCs w:val="28"/>
        </w:rPr>
        <w:t xml:space="preserve">Indica que </w:t>
      </w:r>
      <w:r w:rsidR="0052620D">
        <w:rPr>
          <w:rFonts w:ascii="Arial Narrow" w:hAnsi="Arial Narrow" w:cs="Tahoma"/>
          <w:sz w:val="28"/>
          <w:szCs w:val="28"/>
        </w:rPr>
        <w:t xml:space="preserve">nació el 10 de diciembre de 1951; que cotizó al Sistema General de Seguridad Social en pensiones ante el </w:t>
      </w:r>
      <w:r w:rsidR="00E70FC3">
        <w:rPr>
          <w:rFonts w:ascii="Arial Narrow" w:hAnsi="Arial Narrow" w:cs="Tahoma"/>
          <w:sz w:val="28"/>
          <w:szCs w:val="28"/>
        </w:rPr>
        <w:t xml:space="preserve">ISS desde el 1º de septiembre de 1973 hasta el 31 de marzo de 2013; que mediante Resolución </w:t>
      </w:r>
      <w:r w:rsidR="00584F17">
        <w:rPr>
          <w:rFonts w:ascii="Arial Narrow" w:hAnsi="Arial Narrow" w:cs="Tahoma"/>
          <w:sz w:val="28"/>
          <w:szCs w:val="28"/>
        </w:rPr>
        <w:t xml:space="preserve">GNR 130420 de 2013 </w:t>
      </w:r>
      <w:r w:rsidR="00240B50">
        <w:rPr>
          <w:rFonts w:ascii="Arial Narrow" w:hAnsi="Arial Narrow" w:cs="Tahoma"/>
          <w:sz w:val="28"/>
          <w:szCs w:val="28"/>
        </w:rPr>
        <w:t xml:space="preserve">le fue reconocida la </w:t>
      </w:r>
      <w:r w:rsidR="00584F17">
        <w:rPr>
          <w:rFonts w:ascii="Arial Narrow" w:hAnsi="Arial Narrow" w:cs="Tahoma"/>
          <w:sz w:val="28"/>
          <w:szCs w:val="28"/>
        </w:rPr>
        <w:t>pensión vitalicia de vejez con una mesada de $4</w:t>
      </w:r>
      <w:r w:rsidR="00240B50">
        <w:rPr>
          <w:rFonts w:ascii="Arial Narrow" w:hAnsi="Arial Narrow" w:cs="Tahoma"/>
          <w:sz w:val="28"/>
          <w:szCs w:val="28"/>
        </w:rPr>
        <w:t xml:space="preserve">`161.402 </w:t>
      </w:r>
      <w:r w:rsidR="00584F17">
        <w:rPr>
          <w:rFonts w:ascii="Arial Narrow" w:hAnsi="Arial Narrow" w:cs="Tahoma"/>
          <w:sz w:val="28"/>
          <w:szCs w:val="28"/>
        </w:rPr>
        <w:t>a partir del 1</w:t>
      </w:r>
      <w:r w:rsidR="00240B50">
        <w:rPr>
          <w:rFonts w:ascii="Arial Narrow" w:hAnsi="Arial Narrow" w:cs="Tahoma"/>
          <w:sz w:val="28"/>
          <w:szCs w:val="28"/>
        </w:rPr>
        <w:t xml:space="preserve">º de junio de 2013, sin embargo, se dejó en suspenso el pago de la prestación hasta tanto se acreditara el retiro definitivo del servicio público; que dicho acto administrativo fue revocado por la Resolución </w:t>
      </w:r>
      <w:r w:rsidR="0035622E">
        <w:rPr>
          <w:rFonts w:ascii="Arial Narrow" w:hAnsi="Arial Narrow" w:cs="Tahoma"/>
          <w:sz w:val="28"/>
          <w:szCs w:val="28"/>
        </w:rPr>
        <w:t>GNR</w:t>
      </w:r>
      <w:r w:rsidR="00E70FC3">
        <w:rPr>
          <w:rFonts w:ascii="Arial Narrow" w:hAnsi="Arial Narrow" w:cs="Tahoma"/>
          <w:sz w:val="28"/>
          <w:szCs w:val="28"/>
        </w:rPr>
        <w:t xml:space="preserve"> </w:t>
      </w:r>
      <w:r w:rsidR="00106430">
        <w:rPr>
          <w:rFonts w:ascii="Arial Narrow" w:hAnsi="Arial Narrow" w:cs="Tahoma"/>
          <w:sz w:val="28"/>
          <w:szCs w:val="28"/>
        </w:rPr>
        <w:t>202932 del 10 de agosto de 2013</w:t>
      </w:r>
      <w:r w:rsidR="00240B50">
        <w:rPr>
          <w:rFonts w:ascii="Arial Narrow" w:hAnsi="Arial Narrow" w:cs="Tahoma"/>
          <w:sz w:val="28"/>
          <w:szCs w:val="28"/>
        </w:rPr>
        <w:t xml:space="preserve">, a través de la cual se ordenó el pago de la pensión a partir del 1º de agosto de 2013. </w:t>
      </w:r>
      <w:r w:rsidR="00B47EEE">
        <w:rPr>
          <w:rFonts w:ascii="Arial Narrow" w:hAnsi="Arial Narrow" w:cs="Tahoma"/>
          <w:sz w:val="28"/>
          <w:szCs w:val="28"/>
        </w:rPr>
        <w:t>Por lo anterior, pide el reconocimie</w:t>
      </w:r>
      <w:r w:rsidR="00601411">
        <w:rPr>
          <w:rFonts w:ascii="Arial Narrow" w:hAnsi="Arial Narrow" w:cs="Tahoma"/>
          <w:sz w:val="28"/>
          <w:szCs w:val="28"/>
        </w:rPr>
        <w:t xml:space="preserve">nto </w:t>
      </w:r>
      <w:r w:rsidR="003D4F83">
        <w:rPr>
          <w:rFonts w:ascii="Arial Narrow" w:hAnsi="Arial Narrow" w:cs="Tahoma"/>
          <w:sz w:val="28"/>
          <w:szCs w:val="28"/>
        </w:rPr>
        <w:t xml:space="preserve">y pago </w:t>
      </w:r>
      <w:r w:rsidR="00601411">
        <w:rPr>
          <w:rFonts w:ascii="Arial Narrow" w:hAnsi="Arial Narrow" w:cs="Tahoma"/>
          <w:sz w:val="28"/>
          <w:szCs w:val="28"/>
        </w:rPr>
        <w:t>del retroactivo pensional causado entre el 1º de abril de 2013 y el 31 de julio del mismo año.</w:t>
      </w:r>
    </w:p>
    <w:p w:rsidR="00240B50" w:rsidRDefault="00240B50" w:rsidP="00374077">
      <w:pPr>
        <w:pStyle w:val="Sansinterligne"/>
      </w:pPr>
    </w:p>
    <w:p w:rsidR="00E70FC3" w:rsidRPr="00FD7F66" w:rsidRDefault="00214363" w:rsidP="00214363">
      <w:pPr>
        <w:pStyle w:val="Paragraphedeliste"/>
        <w:numPr>
          <w:ilvl w:val="0"/>
          <w:numId w:val="4"/>
        </w:numPr>
        <w:spacing w:line="360" w:lineRule="auto"/>
        <w:jc w:val="both"/>
        <w:rPr>
          <w:rFonts w:ascii="Arial Narrow" w:hAnsi="Arial Narrow" w:cs="Tahoma"/>
          <w:sz w:val="28"/>
          <w:szCs w:val="28"/>
        </w:rPr>
      </w:pPr>
      <w:r w:rsidRPr="00FD7F66">
        <w:rPr>
          <w:rFonts w:ascii="Arial Narrow" w:hAnsi="Arial Narrow" w:cs="Tahoma"/>
          <w:sz w:val="28"/>
          <w:szCs w:val="28"/>
        </w:rPr>
        <w:t xml:space="preserve">Hechos de Álvaro Giraldo Arango </w:t>
      </w:r>
    </w:p>
    <w:p w:rsidR="00E70FC3" w:rsidRPr="00374077" w:rsidRDefault="00E70FC3" w:rsidP="00374077">
      <w:pPr>
        <w:pStyle w:val="Sansinterligne"/>
      </w:pPr>
    </w:p>
    <w:p w:rsidR="00E07EC9" w:rsidRDefault="009E275A" w:rsidP="008B7327">
      <w:pPr>
        <w:spacing w:line="360" w:lineRule="auto"/>
        <w:ind w:firstLine="900"/>
        <w:jc w:val="both"/>
        <w:rPr>
          <w:rFonts w:ascii="Arial Narrow" w:hAnsi="Arial Narrow" w:cs="Tahoma"/>
          <w:sz w:val="28"/>
          <w:szCs w:val="28"/>
        </w:rPr>
      </w:pPr>
      <w:r>
        <w:rPr>
          <w:rFonts w:ascii="Arial Narrow" w:hAnsi="Arial Narrow" w:cs="Tahoma"/>
          <w:sz w:val="28"/>
          <w:szCs w:val="28"/>
        </w:rPr>
        <w:t xml:space="preserve">Indica que nació el 31 de diciembre de 1951, que cotizó al sistema de pensiones ante el ISS a partir del 15 de febrero 1975 hasta el 31 de diciembre de 2011; que su ultimo empleador, </w:t>
      </w:r>
      <w:proofErr w:type="spellStart"/>
      <w:r>
        <w:rPr>
          <w:rFonts w:ascii="Arial Narrow" w:hAnsi="Arial Narrow" w:cs="Tahoma"/>
          <w:sz w:val="28"/>
          <w:szCs w:val="28"/>
        </w:rPr>
        <w:t>Conalpartes</w:t>
      </w:r>
      <w:proofErr w:type="spellEnd"/>
      <w:r>
        <w:rPr>
          <w:rFonts w:ascii="Arial Narrow" w:hAnsi="Arial Narrow" w:cs="Tahoma"/>
          <w:sz w:val="28"/>
          <w:szCs w:val="28"/>
        </w:rPr>
        <w:t xml:space="preserve"> S.A. suspendió las cotizaciones a pensión el 31 de diciembre de 2011; que </w:t>
      </w:r>
      <w:r w:rsidR="0035622E">
        <w:rPr>
          <w:rFonts w:ascii="Arial Narrow" w:hAnsi="Arial Narrow" w:cs="Tahoma"/>
          <w:sz w:val="28"/>
          <w:szCs w:val="28"/>
        </w:rPr>
        <w:t xml:space="preserve">mediante Resolución GNR 000963 de 2013 le fue reconocida la pensión vitalicia de vejez, </w:t>
      </w:r>
      <w:r w:rsidR="009D3435">
        <w:rPr>
          <w:rFonts w:ascii="Arial Narrow" w:hAnsi="Arial Narrow" w:cs="Tahoma"/>
          <w:sz w:val="28"/>
          <w:szCs w:val="28"/>
        </w:rPr>
        <w:t xml:space="preserve">en cuantía </w:t>
      </w:r>
      <w:r w:rsidR="0035622E">
        <w:rPr>
          <w:rFonts w:ascii="Arial Narrow" w:hAnsi="Arial Narrow" w:cs="Tahoma"/>
          <w:sz w:val="28"/>
          <w:szCs w:val="28"/>
        </w:rPr>
        <w:t>de $4`102.467 a pa</w:t>
      </w:r>
      <w:r w:rsidR="0028777B">
        <w:rPr>
          <w:rFonts w:ascii="Arial Narrow" w:hAnsi="Arial Narrow" w:cs="Tahoma"/>
          <w:sz w:val="28"/>
          <w:szCs w:val="28"/>
        </w:rPr>
        <w:t>rtir de</w:t>
      </w:r>
      <w:r w:rsidR="00B47EEE">
        <w:rPr>
          <w:rFonts w:ascii="Arial Narrow" w:hAnsi="Arial Narrow" w:cs="Tahoma"/>
          <w:sz w:val="28"/>
          <w:szCs w:val="28"/>
        </w:rPr>
        <w:t xml:space="preserve">l 1º de </w:t>
      </w:r>
      <w:r w:rsidR="0028777B">
        <w:rPr>
          <w:rFonts w:ascii="Arial Narrow" w:hAnsi="Arial Narrow" w:cs="Tahoma"/>
          <w:sz w:val="28"/>
          <w:szCs w:val="28"/>
        </w:rPr>
        <w:t xml:space="preserve">enero de ese año; que contra dicho acto interpuso los recursos de ley, razón por la </w:t>
      </w:r>
      <w:r w:rsidR="003F3E55">
        <w:rPr>
          <w:rFonts w:ascii="Arial Narrow" w:hAnsi="Arial Narrow" w:cs="Tahoma"/>
          <w:sz w:val="28"/>
          <w:szCs w:val="28"/>
        </w:rPr>
        <w:t>que se modificó el monto de la</w:t>
      </w:r>
      <w:r w:rsidR="009D3435">
        <w:rPr>
          <w:rFonts w:ascii="Arial Narrow" w:hAnsi="Arial Narrow" w:cs="Tahoma"/>
          <w:sz w:val="28"/>
          <w:szCs w:val="28"/>
        </w:rPr>
        <w:t xml:space="preserve"> mesada, </w:t>
      </w:r>
      <w:r w:rsidR="0081055A">
        <w:rPr>
          <w:rFonts w:ascii="Arial Narrow" w:hAnsi="Arial Narrow" w:cs="Tahoma"/>
          <w:sz w:val="28"/>
          <w:szCs w:val="28"/>
        </w:rPr>
        <w:t>otorgándosele</w:t>
      </w:r>
      <w:r w:rsidR="0028777B">
        <w:rPr>
          <w:rFonts w:ascii="Arial Narrow" w:hAnsi="Arial Narrow" w:cs="Tahoma"/>
          <w:sz w:val="28"/>
          <w:szCs w:val="28"/>
        </w:rPr>
        <w:t xml:space="preserve"> un valor de $ 4</w:t>
      </w:r>
      <w:r w:rsidR="0081055A">
        <w:rPr>
          <w:rFonts w:ascii="Arial Narrow" w:hAnsi="Arial Narrow" w:cs="Tahoma"/>
          <w:sz w:val="28"/>
          <w:szCs w:val="28"/>
        </w:rPr>
        <w:t xml:space="preserve">`948.565. </w:t>
      </w:r>
      <w:r w:rsidR="00601411">
        <w:rPr>
          <w:rFonts w:ascii="Arial Narrow" w:hAnsi="Arial Narrow" w:cs="Tahoma"/>
          <w:sz w:val="28"/>
          <w:szCs w:val="28"/>
        </w:rPr>
        <w:t>Por lo anterior, pide el reconocimiento</w:t>
      </w:r>
      <w:r w:rsidR="003D4F83">
        <w:rPr>
          <w:rFonts w:ascii="Arial Narrow" w:hAnsi="Arial Narrow" w:cs="Tahoma"/>
          <w:sz w:val="28"/>
          <w:szCs w:val="28"/>
        </w:rPr>
        <w:t xml:space="preserve"> y pago </w:t>
      </w:r>
      <w:r w:rsidR="00601411">
        <w:rPr>
          <w:rFonts w:ascii="Arial Narrow" w:hAnsi="Arial Narrow" w:cs="Tahoma"/>
          <w:sz w:val="28"/>
          <w:szCs w:val="28"/>
        </w:rPr>
        <w:t>del retroactivo pensional causado entre el 1º de enero de 2012 y el</w:t>
      </w:r>
      <w:r w:rsidR="00A50BE3">
        <w:rPr>
          <w:rFonts w:ascii="Arial Narrow" w:hAnsi="Arial Narrow" w:cs="Tahoma"/>
          <w:sz w:val="28"/>
          <w:szCs w:val="28"/>
        </w:rPr>
        <w:t xml:space="preserve"> 31 de diciembre</w:t>
      </w:r>
      <w:r w:rsidR="00E07EC9">
        <w:rPr>
          <w:rFonts w:ascii="Arial Narrow" w:hAnsi="Arial Narrow" w:cs="Tahoma"/>
          <w:sz w:val="28"/>
          <w:szCs w:val="28"/>
        </w:rPr>
        <w:t xml:space="preserve"> del mismo año. </w:t>
      </w:r>
    </w:p>
    <w:p w:rsidR="00794E39" w:rsidRDefault="00E70FC3" w:rsidP="00374077">
      <w:pPr>
        <w:pStyle w:val="Sansinterligne"/>
      </w:pPr>
      <w:r>
        <w:t xml:space="preserve">   </w:t>
      </w:r>
    </w:p>
    <w:p w:rsidR="00B47EEE" w:rsidRPr="00FD7F66" w:rsidRDefault="00B47EEE" w:rsidP="00B47EEE">
      <w:pPr>
        <w:pStyle w:val="Paragraphedeliste"/>
        <w:numPr>
          <w:ilvl w:val="0"/>
          <w:numId w:val="4"/>
        </w:numPr>
        <w:spacing w:line="360" w:lineRule="auto"/>
        <w:jc w:val="both"/>
        <w:rPr>
          <w:rFonts w:ascii="Arial Narrow" w:hAnsi="Arial Narrow" w:cs="Tahoma"/>
          <w:sz w:val="28"/>
          <w:szCs w:val="28"/>
        </w:rPr>
      </w:pPr>
      <w:r w:rsidRPr="00FD7F66">
        <w:rPr>
          <w:rFonts w:ascii="Arial Narrow" w:hAnsi="Arial Narrow" w:cs="Tahoma"/>
          <w:sz w:val="28"/>
          <w:szCs w:val="28"/>
        </w:rPr>
        <w:t xml:space="preserve">Hechos de </w:t>
      </w:r>
      <w:r w:rsidR="00E07EC9" w:rsidRPr="00FD7F66">
        <w:rPr>
          <w:rFonts w:ascii="Arial Narrow" w:hAnsi="Arial Narrow" w:cs="Tahoma"/>
          <w:sz w:val="28"/>
          <w:szCs w:val="28"/>
        </w:rPr>
        <w:t xml:space="preserve">Fernando Bedoya Naranjo </w:t>
      </w:r>
    </w:p>
    <w:p w:rsidR="00E07EC9" w:rsidRPr="00374077" w:rsidRDefault="00E07EC9" w:rsidP="00374077">
      <w:pPr>
        <w:pStyle w:val="Sansinterligne"/>
      </w:pPr>
    </w:p>
    <w:p w:rsidR="00E07EC9" w:rsidRDefault="00E07EC9" w:rsidP="00E07EC9">
      <w:pPr>
        <w:spacing w:line="360" w:lineRule="auto"/>
        <w:ind w:firstLine="708"/>
        <w:jc w:val="both"/>
        <w:rPr>
          <w:rFonts w:ascii="Arial Narrow" w:hAnsi="Arial Narrow" w:cs="Tahoma"/>
          <w:sz w:val="28"/>
          <w:szCs w:val="28"/>
        </w:rPr>
      </w:pPr>
      <w:r w:rsidRPr="00316614">
        <w:rPr>
          <w:rFonts w:ascii="Arial Narrow" w:hAnsi="Arial Narrow" w:cs="Tahoma"/>
          <w:sz w:val="28"/>
          <w:szCs w:val="28"/>
        </w:rPr>
        <w:t>Indica que nació el 3 de diciembre de 1947, que cotizó al sistema de pensiones ante el ISS a partir del 23 de abril de 1974 hasta el 31 de diciembre de 2007</w:t>
      </w:r>
      <w:r w:rsidR="006249BF" w:rsidRPr="00316614">
        <w:rPr>
          <w:rFonts w:ascii="Arial Narrow" w:hAnsi="Arial Narrow" w:cs="Tahoma"/>
          <w:sz w:val="28"/>
          <w:szCs w:val="28"/>
        </w:rPr>
        <w:t xml:space="preserve">; que cesó las cotizaciones al sistema </w:t>
      </w:r>
      <w:r w:rsidR="009D3435" w:rsidRPr="00316614">
        <w:rPr>
          <w:rFonts w:ascii="Arial Narrow" w:hAnsi="Arial Narrow" w:cs="Tahoma"/>
          <w:sz w:val="28"/>
          <w:szCs w:val="28"/>
        </w:rPr>
        <w:t xml:space="preserve">de pensiones </w:t>
      </w:r>
      <w:r w:rsidR="006249BF" w:rsidRPr="00316614">
        <w:rPr>
          <w:rFonts w:ascii="Arial Narrow" w:hAnsi="Arial Narrow" w:cs="Tahoma"/>
          <w:sz w:val="28"/>
          <w:szCs w:val="28"/>
        </w:rPr>
        <w:t xml:space="preserve">en calidad de trabajador independiente </w:t>
      </w:r>
      <w:r w:rsidR="009D3435" w:rsidRPr="00316614">
        <w:rPr>
          <w:rFonts w:ascii="Arial Narrow" w:hAnsi="Arial Narrow" w:cs="Tahoma"/>
          <w:sz w:val="28"/>
          <w:szCs w:val="28"/>
        </w:rPr>
        <w:t xml:space="preserve">el </w:t>
      </w:r>
      <w:r w:rsidR="006249BF" w:rsidRPr="00316614">
        <w:rPr>
          <w:rFonts w:ascii="Arial Narrow" w:hAnsi="Arial Narrow" w:cs="Tahoma"/>
          <w:sz w:val="28"/>
          <w:szCs w:val="28"/>
        </w:rPr>
        <w:t>31 de diciembre de 2007</w:t>
      </w:r>
      <w:r w:rsidR="0056783D" w:rsidRPr="00316614">
        <w:rPr>
          <w:rFonts w:ascii="Arial Narrow" w:hAnsi="Arial Narrow" w:cs="Tahoma"/>
          <w:sz w:val="28"/>
          <w:szCs w:val="28"/>
        </w:rPr>
        <w:t xml:space="preserve">; que mediante Resolución GNR 14070 de 2013 </w:t>
      </w:r>
      <w:r w:rsidR="009D3435" w:rsidRPr="00316614">
        <w:rPr>
          <w:rFonts w:ascii="Arial Narrow" w:hAnsi="Arial Narrow" w:cs="Tahoma"/>
          <w:sz w:val="28"/>
          <w:szCs w:val="28"/>
        </w:rPr>
        <w:t xml:space="preserve">se le reconoció la pensión vitalicia de vejez en cuantía de $2`143.401 y a partir del 1º de marzo de </w:t>
      </w:r>
      <w:r w:rsidR="009D3435" w:rsidRPr="00316614">
        <w:rPr>
          <w:rFonts w:ascii="Arial Narrow" w:hAnsi="Arial Narrow" w:cs="Tahoma"/>
          <w:sz w:val="28"/>
          <w:szCs w:val="28"/>
        </w:rPr>
        <w:lastRenderedPageBreak/>
        <w:t xml:space="preserve">2013, por haber cotizado un total de 1.739 semanas. Por lo anterior, pide el reconocimiento </w:t>
      </w:r>
      <w:r w:rsidR="003D4F83">
        <w:rPr>
          <w:rFonts w:ascii="Arial Narrow" w:hAnsi="Arial Narrow" w:cs="Tahoma"/>
          <w:sz w:val="28"/>
          <w:szCs w:val="28"/>
        </w:rPr>
        <w:t xml:space="preserve">y pago </w:t>
      </w:r>
      <w:r w:rsidR="009D3435" w:rsidRPr="00316614">
        <w:rPr>
          <w:rFonts w:ascii="Arial Narrow" w:hAnsi="Arial Narrow" w:cs="Tahoma"/>
          <w:sz w:val="28"/>
          <w:szCs w:val="28"/>
        </w:rPr>
        <w:t xml:space="preserve">del retroactivo pensional causado entre el </w:t>
      </w:r>
      <w:r w:rsidR="00316614" w:rsidRPr="00316614">
        <w:rPr>
          <w:rFonts w:ascii="Arial Narrow" w:hAnsi="Arial Narrow" w:cs="Tahoma"/>
          <w:sz w:val="28"/>
          <w:szCs w:val="28"/>
        </w:rPr>
        <w:t xml:space="preserve">1º de enero de 2008 y el 28 de febrero de 2013. </w:t>
      </w:r>
    </w:p>
    <w:p w:rsidR="00316614" w:rsidRDefault="00316614" w:rsidP="00374077">
      <w:pPr>
        <w:pStyle w:val="Sansinterligne"/>
      </w:pPr>
    </w:p>
    <w:p w:rsidR="00316614" w:rsidRPr="00FD7F66" w:rsidRDefault="00316614" w:rsidP="00316614">
      <w:pPr>
        <w:pStyle w:val="Paragraphedeliste"/>
        <w:numPr>
          <w:ilvl w:val="0"/>
          <w:numId w:val="4"/>
        </w:numPr>
        <w:spacing w:line="360" w:lineRule="auto"/>
        <w:jc w:val="both"/>
        <w:rPr>
          <w:rFonts w:ascii="Arial Narrow" w:hAnsi="Arial Narrow" w:cs="Tahoma"/>
          <w:sz w:val="28"/>
          <w:szCs w:val="28"/>
        </w:rPr>
      </w:pPr>
      <w:r w:rsidRPr="00FD7F66">
        <w:rPr>
          <w:rFonts w:ascii="Arial Narrow" w:hAnsi="Arial Narrow" w:cs="Tahoma"/>
          <w:sz w:val="28"/>
          <w:szCs w:val="28"/>
        </w:rPr>
        <w:t xml:space="preserve">Hechos de María Eugenia Sandoval </w:t>
      </w:r>
      <w:proofErr w:type="spellStart"/>
      <w:r w:rsidRPr="00FD7F66">
        <w:rPr>
          <w:rFonts w:ascii="Arial Narrow" w:hAnsi="Arial Narrow" w:cs="Tahoma"/>
          <w:sz w:val="28"/>
          <w:szCs w:val="28"/>
        </w:rPr>
        <w:t>Fonnegra</w:t>
      </w:r>
      <w:proofErr w:type="spellEnd"/>
      <w:r w:rsidRPr="00FD7F66">
        <w:rPr>
          <w:rFonts w:ascii="Arial Narrow" w:hAnsi="Arial Narrow" w:cs="Tahoma"/>
          <w:sz w:val="28"/>
          <w:szCs w:val="28"/>
        </w:rPr>
        <w:t xml:space="preserve"> </w:t>
      </w:r>
    </w:p>
    <w:p w:rsidR="00374077" w:rsidRPr="00374077" w:rsidRDefault="00374077" w:rsidP="00374077">
      <w:pPr>
        <w:pStyle w:val="Sansinterligne"/>
      </w:pPr>
    </w:p>
    <w:p w:rsidR="00316614" w:rsidRPr="003D4F83" w:rsidRDefault="00316614" w:rsidP="00374077">
      <w:pPr>
        <w:spacing w:line="360" w:lineRule="auto"/>
        <w:ind w:firstLine="708"/>
        <w:jc w:val="both"/>
        <w:rPr>
          <w:rFonts w:ascii="Arial Narrow" w:hAnsi="Arial Narrow" w:cs="Tahoma"/>
          <w:sz w:val="28"/>
          <w:szCs w:val="28"/>
        </w:rPr>
      </w:pPr>
      <w:r w:rsidRPr="003D4F83">
        <w:rPr>
          <w:rFonts w:ascii="Arial Narrow" w:hAnsi="Arial Narrow" w:cs="Tahoma"/>
          <w:sz w:val="28"/>
          <w:szCs w:val="28"/>
        </w:rPr>
        <w:t xml:space="preserve">Indica que nació el 14 de mayo de 1954, que cotizó al sistema de pensiones ante el ISS a partir del 3 de octubre de 1989 hasta el 30 de junio de 2009; que su empleador </w:t>
      </w:r>
      <w:proofErr w:type="spellStart"/>
      <w:r w:rsidRPr="003D4F83">
        <w:rPr>
          <w:rFonts w:ascii="Arial Narrow" w:hAnsi="Arial Narrow" w:cs="Tahoma"/>
          <w:sz w:val="28"/>
          <w:szCs w:val="28"/>
        </w:rPr>
        <w:t>Comfamiliar</w:t>
      </w:r>
      <w:proofErr w:type="spellEnd"/>
      <w:r w:rsidRPr="003D4F83">
        <w:rPr>
          <w:rFonts w:ascii="Arial Narrow" w:hAnsi="Arial Narrow" w:cs="Tahoma"/>
          <w:sz w:val="28"/>
          <w:szCs w:val="28"/>
        </w:rPr>
        <w:t xml:space="preserve"> Risaralda suspendió las cotizaciones a pensión el 30 de junio de 2009; </w:t>
      </w:r>
      <w:r w:rsidR="003D4F83" w:rsidRPr="003D4F83">
        <w:rPr>
          <w:rFonts w:ascii="Arial Narrow" w:hAnsi="Arial Narrow" w:cs="Tahoma"/>
          <w:sz w:val="28"/>
          <w:szCs w:val="28"/>
        </w:rPr>
        <w:t xml:space="preserve">y </w:t>
      </w:r>
      <w:r w:rsidRPr="003D4F83">
        <w:rPr>
          <w:rFonts w:ascii="Arial Narrow" w:hAnsi="Arial Narrow" w:cs="Tahoma"/>
          <w:sz w:val="28"/>
          <w:szCs w:val="28"/>
        </w:rPr>
        <w:t xml:space="preserve">que mediante Resolución GNR 179851 del 11 de julio de 2013 se le reconoció la pensión vitalicia de </w:t>
      </w:r>
      <w:r w:rsidR="003D4F83" w:rsidRPr="003D4F83">
        <w:rPr>
          <w:rFonts w:ascii="Arial Narrow" w:hAnsi="Arial Narrow" w:cs="Tahoma"/>
          <w:sz w:val="28"/>
          <w:szCs w:val="28"/>
        </w:rPr>
        <w:t xml:space="preserve">vejez en cuantía de $4`127.362 a partir del </w:t>
      </w:r>
      <w:r w:rsidR="00374077">
        <w:rPr>
          <w:rFonts w:ascii="Arial Narrow" w:hAnsi="Arial Narrow" w:cs="Tahoma"/>
          <w:sz w:val="28"/>
          <w:szCs w:val="28"/>
        </w:rPr>
        <w:t xml:space="preserve">1º de julio de 2013, por </w:t>
      </w:r>
      <w:r w:rsidR="003D4F83" w:rsidRPr="003D4F83">
        <w:rPr>
          <w:rFonts w:ascii="Arial Narrow" w:hAnsi="Arial Narrow" w:cs="Tahoma"/>
          <w:sz w:val="28"/>
          <w:szCs w:val="28"/>
        </w:rPr>
        <w:t xml:space="preserve">haber cotizado un total de 1.014 semanas en toda su vida laboral. Por lo anterior, pide el reconocimiento y pago del retroactivo pensional causado entre el 1º de julio de 2009 y el 30 de junio de 2013. </w:t>
      </w:r>
    </w:p>
    <w:p w:rsidR="009D3435" w:rsidRDefault="009D3435" w:rsidP="0031650A">
      <w:pPr>
        <w:pStyle w:val="Sansinterligne"/>
      </w:pPr>
    </w:p>
    <w:p w:rsidR="008B7327" w:rsidRDefault="008B7327" w:rsidP="003D4F83">
      <w:pPr>
        <w:spacing w:line="360" w:lineRule="auto"/>
        <w:ind w:firstLine="708"/>
        <w:jc w:val="both"/>
        <w:rPr>
          <w:rFonts w:ascii="Arial Narrow" w:hAnsi="Arial Narrow" w:cs="Tahoma"/>
          <w:sz w:val="28"/>
          <w:szCs w:val="28"/>
        </w:rPr>
      </w:pPr>
      <w:r w:rsidRPr="00A071CD">
        <w:rPr>
          <w:rFonts w:ascii="Arial Narrow" w:hAnsi="Arial Narrow" w:cs="Tahoma"/>
          <w:sz w:val="28"/>
          <w:szCs w:val="28"/>
        </w:rPr>
        <w:t xml:space="preserve">La </w:t>
      </w:r>
      <w:r w:rsidRPr="00C4250C">
        <w:rPr>
          <w:rFonts w:ascii="Arial Narrow" w:hAnsi="Arial Narrow" w:cs="Tahoma"/>
          <w:sz w:val="28"/>
          <w:szCs w:val="28"/>
        </w:rPr>
        <w:t xml:space="preserve">Administradora Colombiana de Pensiones </w:t>
      </w:r>
      <w:proofErr w:type="spellStart"/>
      <w:r w:rsidRPr="00C4250C">
        <w:rPr>
          <w:rFonts w:ascii="Arial Narrow" w:hAnsi="Arial Narrow" w:cs="Tahoma"/>
          <w:sz w:val="28"/>
          <w:szCs w:val="28"/>
        </w:rPr>
        <w:t>Colpensiones</w:t>
      </w:r>
      <w:proofErr w:type="spellEnd"/>
      <w:r w:rsidRPr="00A071CD">
        <w:rPr>
          <w:rFonts w:ascii="Arial Narrow" w:hAnsi="Arial Narrow" w:cs="Tahoma"/>
          <w:sz w:val="28"/>
          <w:szCs w:val="28"/>
        </w:rPr>
        <w:t xml:space="preserve"> se opuso a todas las pretensiones de la demanda, aduciendo que</w:t>
      </w:r>
      <w:r>
        <w:rPr>
          <w:rFonts w:ascii="Arial Narrow" w:hAnsi="Arial Narrow" w:cs="Tahoma"/>
          <w:sz w:val="28"/>
          <w:szCs w:val="28"/>
        </w:rPr>
        <w:t xml:space="preserve"> </w:t>
      </w:r>
      <w:r w:rsidR="00307D5D">
        <w:rPr>
          <w:rFonts w:ascii="Arial Narrow" w:hAnsi="Arial Narrow" w:cs="Tahoma"/>
          <w:sz w:val="28"/>
          <w:szCs w:val="28"/>
        </w:rPr>
        <w:t xml:space="preserve">el reconocimiento de la pensión en favor de los demandantes se hizo con </w:t>
      </w:r>
      <w:r w:rsidR="006B6B6E">
        <w:rPr>
          <w:rFonts w:ascii="Arial Narrow" w:hAnsi="Arial Narrow" w:cs="Tahoma"/>
          <w:sz w:val="28"/>
          <w:szCs w:val="28"/>
        </w:rPr>
        <w:t xml:space="preserve">base en los mandatos legales expresos que exigen la desafiliación al sistema y el reporte de la novedad de retiro para el disfrute de la pensión. </w:t>
      </w:r>
      <w:r>
        <w:rPr>
          <w:rFonts w:ascii="Arial Narrow" w:hAnsi="Arial Narrow" w:cs="Tahoma"/>
          <w:sz w:val="28"/>
          <w:szCs w:val="28"/>
        </w:rPr>
        <w:t xml:space="preserve">En su defensa, propuso como </w:t>
      </w:r>
      <w:r w:rsidRPr="00A071CD">
        <w:rPr>
          <w:rFonts w:ascii="Arial Narrow" w:hAnsi="Arial Narrow" w:cs="Tahoma"/>
          <w:sz w:val="28"/>
          <w:szCs w:val="28"/>
        </w:rPr>
        <w:t>excepciones de fondo “</w:t>
      </w:r>
      <w:r w:rsidR="00EA5E1F">
        <w:rPr>
          <w:rFonts w:ascii="Arial Narrow" w:hAnsi="Arial Narrow" w:cs="Tahoma"/>
          <w:sz w:val="28"/>
          <w:szCs w:val="28"/>
        </w:rPr>
        <w:t xml:space="preserve">Falta de Causa por inexistencia del derecho al retroactivo pensional desde las fechas pretendidas”, “Improcedencia de la condena por intereses de mora de la Ley 100/93”, “Falta de causa por improcedencia de la indexación”, “Prescripción”, y “Exoneración por buena fe”. </w:t>
      </w:r>
    </w:p>
    <w:p w:rsidR="00374077" w:rsidRDefault="00374077" w:rsidP="00966BF9">
      <w:pPr>
        <w:spacing w:line="360" w:lineRule="auto"/>
        <w:ind w:firstLine="708"/>
        <w:jc w:val="both"/>
        <w:rPr>
          <w:rFonts w:ascii="Arial Narrow" w:hAnsi="Arial Narrow" w:cs="Tahoma"/>
          <w:sz w:val="28"/>
          <w:szCs w:val="28"/>
        </w:rPr>
      </w:pPr>
    </w:p>
    <w:p w:rsidR="00374077" w:rsidRPr="00374077" w:rsidRDefault="00374077" w:rsidP="00374077">
      <w:pPr>
        <w:pStyle w:val="Paragraphedeliste"/>
        <w:numPr>
          <w:ilvl w:val="0"/>
          <w:numId w:val="7"/>
        </w:numPr>
        <w:spacing w:line="360" w:lineRule="auto"/>
        <w:ind w:left="1560"/>
        <w:jc w:val="both"/>
        <w:rPr>
          <w:rFonts w:ascii="Arial Narrow" w:hAnsi="Arial Narrow" w:cs="Tahoma"/>
          <w:i/>
          <w:sz w:val="28"/>
          <w:szCs w:val="28"/>
        </w:rPr>
      </w:pPr>
      <w:r>
        <w:rPr>
          <w:rFonts w:ascii="Arial Narrow" w:hAnsi="Arial Narrow" w:cs="Tahoma"/>
          <w:i/>
          <w:sz w:val="28"/>
          <w:szCs w:val="28"/>
        </w:rPr>
        <w:t xml:space="preserve">SENTENCIA DEL JUZGADO </w:t>
      </w:r>
    </w:p>
    <w:p w:rsidR="008B7327" w:rsidRPr="00374077" w:rsidRDefault="008B7327" w:rsidP="00374077">
      <w:pPr>
        <w:pStyle w:val="Sansinterligne"/>
      </w:pPr>
    </w:p>
    <w:p w:rsidR="003B14B1" w:rsidRDefault="008B7327" w:rsidP="008D7964">
      <w:pPr>
        <w:spacing w:line="360" w:lineRule="auto"/>
        <w:ind w:firstLine="900"/>
        <w:jc w:val="both"/>
        <w:rPr>
          <w:rFonts w:ascii="Arial Narrow" w:hAnsi="Arial Narrow" w:cs="Tahoma"/>
          <w:sz w:val="28"/>
          <w:szCs w:val="28"/>
          <w:lang w:eastAsia="es-CO"/>
        </w:rPr>
      </w:pPr>
      <w:r w:rsidRPr="00A071CD">
        <w:rPr>
          <w:rFonts w:ascii="Arial Narrow" w:hAnsi="Arial Narrow" w:cs="Tahoma"/>
          <w:color w:val="000000"/>
          <w:sz w:val="28"/>
          <w:szCs w:val="28"/>
          <w:lang w:eastAsia="es-CO"/>
        </w:rPr>
        <w:t>El Juzgado</w:t>
      </w:r>
      <w:r w:rsidR="00374077">
        <w:rPr>
          <w:rFonts w:ascii="Arial Narrow" w:hAnsi="Arial Narrow" w:cs="Tahoma"/>
          <w:color w:val="000000"/>
          <w:sz w:val="28"/>
          <w:szCs w:val="28"/>
          <w:lang w:eastAsia="es-CO"/>
        </w:rPr>
        <w:t xml:space="preserve"> de conocimiento mediante fallo del 31 de marzo de 2016</w:t>
      </w:r>
      <w:r>
        <w:rPr>
          <w:rFonts w:ascii="Arial Narrow" w:hAnsi="Arial Narrow" w:cs="Tahoma"/>
          <w:color w:val="000000"/>
          <w:sz w:val="28"/>
          <w:szCs w:val="28"/>
          <w:lang w:eastAsia="es-CO"/>
        </w:rPr>
        <w:t>,</w:t>
      </w:r>
      <w:r w:rsidR="00374077">
        <w:rPr>
          <w:rFonts w:ascii="Arial Narrow" w:hAnsi="Arial Narrow" w:cs="Tahoma"/>
          <w:color w:val="000000"/>
          <w:sz w:val="28"/>
          <w:szCs w:val="28"/>
          <w:lang w:eastAsia="es-CO"/>
        </w:rPr>
        <w:t xml:space="preserve"> </w:t>
      </w:r>
      <w:r w:rsidR="003D5B23">
        <w:rPr>
          <w:rFonts w:ascii="Arial Narrow" w:hAnsi="Arial Narrow" w:cs="Tahoma"/>
          <w:color w:val="000000"/>
          <w:sz w:val="28"/>
          <w:szCs w:val="28"/>
          <w:lang w:eastAsia="es-CO"/>
        </w:rPr>
        <w:t>declaró que</w:t>
      </w:r>
      <w:r w:rsidR="008D7964">
        <w:rPr>
          <w:rFonts w:ascii="Arial Narrow" w:hAnsi="Arial Narrow" w:cs="Tahoma"/>
          <w:color w:val="000000"/>
          <w:sz w:val="28"/>
          <w:szCs w:val="28"/>
          <w:lang w:eastAsia="es-CO"/>
        </w:rPr>
        <w:t xml:space="preserve"> los demandantes</w:t>
      </w:r>
      <w:r w:rsidR="003D5B23">
        <w:rPr>
          <w:rFonts w:ascii="Arial Narrow" w:hAnsi="Arial Narrow" w:cs="Tahoma"/>
          <w:color w:val="000000"/>
          <w:sz w:val="28"/>
          <w:szCs w:val="28"/>
          <w:lang w:eastAsia="es-CO"/>
        </w:rPr>
        <w:t xml:space="preserve"> Álvaro Giraldo Arango, Fernando Bedoya Naranjo y </w:t>
      </w:r>
      <w:r w:rsidR="003D5B23" w:rsidRPr="003D5B23">
        <w:rPr>
          <w:rFonts w:ascii="Arial Narrow" w:hAnsi="Arial Narrow" w:cs="Tahoma"/>
          <w:sz w:val="28"/>
          <w:szCs w:val="28"/>
          <w:lang w:eastAsia="es-CO"/>
        </w:rPr>
        <w:t>Jairo Ignacio González Díaz</w:t>
      </w:r>
      <w:r w:rsidR="003D5B23">
        <w:rPr>
          <w:rFonts w:ascii="Arial Narrow" w:hAnsi="Arial Narrow" w:cs="Tahoma"/>
          <w:sz w:val="28"/>
          <w:szCs w:val="28"/>
          <w:lang w:eastAsia="es-CO"/>
        </w:rPr>
        <w:t xml:space="preserve">, tienen derecho al retroactivo pensional </w:t>
      </w:r>
      <w:r w:rsidR="00A74A75">
        <w:rPr>
          <w:rFonts w:ascii="Arial Narrow" w:hAnsi="Arial Narrow" w:cs="Tahoma"/>
          <w:sz w:val="28"/>
          <w:szCs w:val="28"/>
          <w:lang w:eastAsia="es-CO"/>
        </w:rPr>
        <w:t xml:space="preserve">solicitado, y en consecuencia, condenó a </w:t>
      </w:r>
      <w:proofErr w:type="spellStart"/>
      <w:r w:rsidR="00A74A75">
        <w:rPr>
          <w:rFonts w:ascii="Arial Narrow" w:hAnsi="Arial Narrow" w:cs="Tahoma"/>
          <w:sz w:val="28"/>
          <w:szCs w:val="28"/>
          <w:lang w:eastAsia="es-CO"/>
        </w:rPr>
        <w:t>Colpensiones</w:t>
      </w:r>
      <w:proofErr w:type="spellEnd"/>
      <w:r w:rsidR="00A74A75">
        <w:rPr>
          <w:rFonts w:ascii="Arial Narrow" w:hAnsi="Arial Narrow" w:cs="Tahoma"/>
          <w:sz w:val="28"/>
          <w:szCs w:val="28"/>
          <w:lang w:eastAsia="es-CO"/>
        </w:rPr>
        <w:t xml:space="preserve"> a cancelar en favor del primero, la suma de 52`030.758 por las mesadas causadas entre el 1º de enero de 2012 al 31 de diciembre del mismo año, junto con los intereses de mora desde el 27 de junio de 2012 al 31 de diciembre de 2012; al segundo, la suma de $ 45`607.088 por las </w:t>
      </w:r>
      <w:r w:rsidR="00A74A75">
        <w:rPr>
          <w:rFonts w:ascii="Arial Narrow" w:hAnsi="Arial Narrow" w:cs="Tahoma"/>
          <w:sz w:val="28"/>
          <w:szCs w:val="28"/>
          <w:lang w:eastAsia="es-CO"/>
        </w:rPr>
        <w:lastRenderedPageBreak/>
        <w:t>mesadas causadas entre el 1º de julio de 2011 y el 28 de febrero de 2013, junto con los intereses de mora a partir del 29 de diciembre de 2011 al 1 de marzo de 2013; y al tercero, Jairo Ignacio Gonzáles Díaz, la suma de $16`676.612 por las mesadas causadas entre el 1º de abril y el 31 de julio de 2013, junto con la indexación a la fecha del pago.</w:t>
      </w:r>
    </w:p>
    <w:p w:rsidR="003B14B1" w:rsidRDefault="003B14B1" w:rsidP="003B14B1">
      <w:pPr>
        <w:pStyle w:val="Sansinterligne"/>
        <w:rPr>
          <w:lang w:eastAsia="es-CO"/>
        </w:rPr>
      </w:pPr>
    </w:p>
    <w:p w:rsidR="008D7964" w:rsidRDefault="00CF461E" w:rsidP="008D7964">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 </w:t>
      </w:r>
      <w:r w:rsidR="00A74A75">
        <w:rPr>
          <w:rFonts w:ascii="Arial Narrow" w:hAnsi="Arial Narrow" w:cs="Tahoma"/>
          <w:sz w:val="28"/>
          <w:szCs w:val="28"/>
          <w:lang w:eastAsia="es-CO"/>
        </w:rPr>
        <w:t xml:space="preserve">De otra parte, negó los pedimentos de María Eugenia </w:t>
      </w:r>
      <w:r w:rsidR="00BE7989">
        <w:rPr>
          <w:rFonts w:ascii="Arial Narrow" w:hAnsi="Arial Narrow" w:cs="Tahoma"/>
          <w:sz w:val="28"/>
          <w:szCs w:val="28"/>
          <w:lang w:eastAsia="es-CO"/>
        </w:rPr>
        <w:t xml:space="preserve">Sandoval </w:t>
      </w:r>
      <w:proofErr w:type="spellStart"/>
      <w:r w:rsidR="00BE7989">
        <w:rPr>
          <w:rFonts w:ascii="Arial Narrow" w:hAnsi="Arial Narrow" w:cs="Tahoma"/>
          <w:sz w:val="28"/>
          <w:szCs w:val="28"/>
          <w:lang w:eastAsia="es-CO"/>
        </w:rPr>
        <w:t>Fonnegra</w:t>
      </w:r>
      <w:proofErr w:type="spellEnd"/>
      <w:r w:rsidR="00BE7989">
        <w:rPr>
          <w:rFonts w:ascii="Arial Narrow" w:hAnsi="Arial Narrow" w:cs="Tahoma"/>
          <w:sz w:val="28"/>
          <w:szCs w:val="28"/>
          <w:lang w:eastAsia="es-CO"/>
        </w:rPr>
        <w:t>, aduciendo que si bien dejó de cotizar en el año 2009, la solicitud pensional sólo la presentó en el 2013, tal como se indicó en la demanda y se corrobora con el acto administra</w:t>
      </w:r>
      <w:r>
        <w:rPr>
          <w:rFonts w:ascii="Arial Narrow" w:hAnsi="Arial Narrow" w:cs="Tahoma"/>
          <w:sz w:val="28"/>
          <w:szCs w:val="28"/>
          <w:lang w:eastAsia="es-CO"/>
        </w:rPr>
        <w:t>tivo que le r</w:t>
      </w:r>
      <w:r w:rsidR="00BE7989">
        <w:rPr>
          <w:rFonts w:ascii="Arial Narrow" w:hAnsi="Arial Narrow" w:cs="Tahoma"/>
          <w:sz w:val="28"/>
          <w:szCs w:val="28"/>
          <w:lang w:eastAsia="es-CO"/>
        </w:rPr>
        <w:t>econoció el derecho.</w:t>
      </w:r>
      <w:r>
        <w:rPr>
          <w:rFonts w:ascii="Arial Narrow" w:hAnsi="Arial Narrow" w:cs="Tahoma"/>
          <w:sz w:val="28"/>
          <w:szCs w:val="28"/>
          <w:lang w:eastAsia="es-CO"/>
        </w:rPr>
        <w:t xml:space="preserve"> Condenó en costas a la demandante vencida en juicio </w:t>
      </w:r>
      <w:r w:rsidR="007B650D">
        <w:rPr>
          <w:rFonts w:ascii="Arial Narrow" w:hAnsi="Arial Narrow" w:cs="Tahoma"/>
          <w:sz w:val="28"/>
          <w:szCs w:val="28"/>
          <w:lang w:eastAsia="es-CO"/>
        </w:rPr>
        <w:t xml:space="preserve">y </w:t>
      </w:r>
      <w:r>
        <w:rPr>
          <w:rFonts w:ascii="Arial Narrow" w:hAnsi="Arial Narrow" w:cs="Tahoma"/>
          <w:sz w:val="28"/>
          <w:szCs w:val="28"/>
          <w:lang w:eastAsia="es-CO"/>
        </w:rPr>
        <w:t xml:space="preserve">a </w:t>
      </w:r>
      <w:proofErr w:type="spellStart"/>
      <w:r>
        <w:rPr>
          <w:rFonts w:ascii="Arial Narrow" w:hAnsi="Arial Narrow" w:cs="Tahoma"/>
          <w:sz w:val="28"/>
          <w:szCs w:val="28"/>
          <w:lang w:eastAsia="es-CO"/>
        </w:rPr>
        <w:t>Colpensiones</w:t>
      </w:r>
      <w:proofErr w:type="spellEnd"/>
      <w:r>
        <w:rPr>
          <w:rFonts w:ascii="Arial Narrow" w:hAnsi="Arial Narrow" w:cs="Tahoma"/>
          <w:sz w:val="28"/>
          <w:szCs w:val="28"/>
          <w:lang w:eastAsia="es-CO"/>
        </w:rPr>
        <w:t xml:space="preserve"> en favor de los tres demandantes </w:t>
      </w:r>
      <w:r w:rsidR="007B650D">
        <w:rPr>
          <w:rFonts w:ascii="Arial Narrow" w:hAnsi="Arial Narrow" w:cs="Tahoma"/>
          <w:sz w:val="28"/>
          <w:szCs w:val="28"/>
          <w:lang w:eastAsia="es-CO"/>
        </w:rPr>
        <w:t>en</w:t>
      </w:r>
      <w:r>
        <w:rPr>
          <w:rFonts w:ascii="Arial Narrow" w:hAnsi="Arial Narrow" w:cs="Tahoma"/>
          <w:sz w:val="28"/>
          <w:szCs w:val="28"/>
          <w:lang w:eastAsia="es-CO"/>
        </w:rPr>
        <w:t xml:space="preserve"> un 90%.</w:t>
      </w:r>
    </w:p>
    <w:p w:rsidR="008D7964" w:rsidRDefault="008D7964" w:rsidP="00A74A75">
      <w:pPr>
        <w:spacing w:line="360" w:lineRule="auto"/>
        <w:ind w:firstLine="900"/>
        <w:jc w:val="both"/>
        <w:rPr>
          <w:rFonts w:ascii="Arial Narrow" w:hAnsi="Arial Narrow" w:cs="Tahoma"/>
          <w:sz w:val="28"/>
          <w:szCs w:val="28"/>
          <w:lang w:eastAsia="es-CO"/>
        </w:rPr>
      </w:pPr>
    </w:p>
    <w:p w:rsidR="008D7964" w:rsidRPr="007B650D" w:rsidRDefault="007B650D" w:rsidP="007B650D">
      <w:pPr>
        <w:pStyle w:val="Paragraphedeliste"/>
        <w:numPr>
          <w:ilvl w:val="0"/>
          <w:numId w:val="7"/>
        </w:numPr>
        <w:spacing w:line="360" w:lineRule="auto"/>
        <w:jc w:val="both"/>
        <w:rPr>
          <w:rFonts w:ascii="Arial Narrow" w:hAnsi="Arial Narrow" w:cs="Tahoma"/>
          <w:i/>
          <w:sz w:val="28"/>
          <w:szCs w:val="28"/>
          <w:lang w:eastAsia="es-CO"/>
        </w:rPr>
      </w:pPr>
      <w:r>
        <w:rPr>
          <w:rFonts w:ascii="Arial Narrow" w:hAnsi="Arial Narrow" w:cs="Tahoma"/>
          <w:i/>
          <w:sz w:val="28"/>
          <w:szCs w:val="28"/>
          <w:lang w:eastAsia="es-CO"/>
        </w:rPr>
        <w:t>RECURSO DE APELACIÓN</w:t>
      </w:r>
    </w:p>
    <w:p w:rsidR="00A74A75" w:rsidRPr="00FD7F66" w:rsidRDefault="00A74A75" w:rsidP="00FD7F66">
      <w:pPr>
        <w:pStyle w:val="Sansinterligne"/>
      </w:pPr>
    </w:p>
    <w:p w:rsidR="00C10AA8" w:rsidRDefault="007B650D" w:rsidP="008B7327">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Contra el mentado fallo se alzó el vocero judicial de la parte actora, </w:t>
      </w:r>
      <w:r w:rsidR="004A4CAB">
        <w:rPr>
          <w:rFonts w:ascii="Arial Narrow" w:hAnsi="Arial Narrow" w:cs="Tahoma"/>
          <w:sz w:val="28"/>
          <w:szCs w:val="28"/>
          <w:lang w:eastAsia="es-CO"/>
        </w:rPr>
        <w:t xml:space="preserve">en orden a manifestar su inconformidad </w:t>
      </w:r>
      <w:r w:rsidR="00135D1E">
        <w:rPr>
          <w:rFonts w:ascii="Arial Narrow" w:hAnsi="Arial Narrow" w:cs="Tahoma"/>
          <w:sz w:val="28"/>
          <w:szCs w:val="28"/>
          <w:lang w:eastAsia="es-CO"/>
        </w:rPr>
        <w:t>respecto a l</w:t>
      </w:r>
      <w:r w:rsidR="003D4FD0">
        <w:rPr>
          <w:rFonts w:ascii="Arial Narrow" w:hAnsi="Arial Narrow" w:cs="Tahoma"/>
          <w:sz w:val="28"/>
          <w:szCs w:val="28"/>
          <w:lang w:eastAsia="es-CO"/>
        </w:rPr>
        <w:t xml:space="preserve">a fecha de </w:t>
      </w:r>
      <w:r w:rsidR="004A4CAB">
        <w:rPr>
          <w:rFonts w:ascii="Arial Narrow" w:hAnsi="Arial Narrow" w:cs="Tahoma"/>
          <w:sz w:val="28"/>
          <w:szCs w:val="28"/>
          <w:lang w:eastAsia="es-CO"/>
        </w:rPr>
        <w:t xml:space="preserve">disfrute pensional </w:t>
      </w:r>
      <w:r w:rsidR="002F0EC0">
        <w:rPr>
          <w:rFonts w:ascii="Arial Narrow" w:hAnsi="Arial Narrow" w:cs="Tahoma"/>
          <w:sz w:val="28"/>
          <w:szCs w:val="28"/>
          <w:lang w:eastAsia="es-CO"/>
        </w:rPr>
        <w:t xml:space="preserve">fijada para </w:t>
      </w:r>
      <w:r w:rsidR="004A4CAB">
        <w:rPr>
          <w:rFonts w:ascii="Arial Narrow" w:hAnsi="Arial Narrow" w:cs="Tahoma"/>
          <w:sz w:val="28"/>
          <w:szCs w:val="28"/>
          <w:lang w:eastAsia="es-CO"/>
        </w:rPr>
        <w:t xml:space="preserve">los </w:t>
      </w:r>
      <w:r w:rsidR="00135D1E">
        <w:rPr>
          <w:rFonts w:ascii="Arial Narrow" w:hAnsi="Arial Narrow" w:cs="Tahoma"/>
          <w:sz w:val="28"/>
          <w:szCs w:val="28"/>
          <w:lang w:eastAsia="es-CO"/>
        </w:rPr>
        <w:t xml:space="preserve">demandantes </w:t>
      </w:r>
      <w:r w:rsidR="004A4CAB">
        <w:rPr>
          <w:rFonts w:ascii="Arial Narrow" w:hAnsi="Arial Narrow" w:cs="Tahoma"/>
          <w:sz w:val="28"/>
          <w:szCs w:val="28"/>
          <w:lang w:eastAsia="es-CO"/>
        </w:rPr>
        <w:t xml:space="preserve">Fernando Bedoya Naranjo y María Eugenia Sandoval </w:t>
      </w:r>
      <w:proofErr w:type="spellStart"/>
      <w:r w:rsidR="004A4CAB">
        <w:rPr>
          <w:rFonts w:ascii="Arial Narrow" w:hAnsi="Arial Narrow" w:cs="Tahoma"/>
          <w:sz w:val="28"/>
          <w:szCs w:val="28"/>
          <w:lang w:eastAsia="es-CO"/>
        </w:rPr>
        <w:t>Fonnegra</w:t>
      </w:r>
      <w:proofErr w:type="spellEnd"/>
      <w:r w:rsidR="004A4CAB">
        <w:rPr>
          <w:rFonts w:ascii="Arial Narrow" w:hAnsi="Arial Narrow" w:cs="Tahoma"/>
          <w:sz w:val="28"/>
          <w:szCs w:val="28"/>
          <w:lang w:eastAsia="es-CO"/>
        </w:rPr>
        <w:t xml:space="preserve">. </w:t>
      </w:r>
      <w:r w:rsidR="00135D1E">
        <w:rPr>
          <w:rFonts w:ascii="Arial Narrow" w:hAnsi="Arial Narrow" w:cs="Tahoma"/>
          <w:sz w:val="28"/>
          <w:szCs w:val="28"/>
          <w:lang w:eastAsia="es-CO"/>
        </w:rPr>
        <w:t>Frente a</w:t>
      </w:r>
      <w:r w:rsidR="004A4CAB">
        <w:rPr>
          <w:rFonts w:ascii="Arial Narrow" w:hAnsi="Arial Narrow" w:cs="Tahoma"/>
          <w:sz w:val="28"/>
          <w:szCs w:val="28"/>
          <w:lang w:eastAsia="es-CO"/>
        </w:rPr>
        <w:t>l primero,</w:t>
      </w:r>
      <w:r w:rsidR="00122CBF">
        <w:rPr>
          <w:rFonts w:ascii="Arial Narrow" w:hAnsi="Arial Narrow" w:cs="Tahoma"/>
          <w:sz w:val="28"/>
          <w:szCs w:val="28"/>
          <w:lang w:eastAsia="es-CO"/>
        </w:rPr>
        <w:t xml:space="preserve"> solicita que se </w:t>
      </w:r>
      <w:r w:rsidR="00F347A4">
        <w:rPr>
          <w:rFonts w:ascii="Arial Narrow" w:hAnsi="Arial Narrow" w:cs="Tahoma"/>
          <w:sz w:val="28"/>
          <w:szCs w:val="28"/>
          <w:lang w:eastAsia="es-CO"/>
        </w:rPr>
        <w:t xml:space="preserve">reconozca el goce de la pensión a partir del 1º de enero de 2008, pues </w:t>
      </w:r>
      <w:r w:rsidR="002F0EC0">
        <w:rPr>
          <w:rFonts w:ascii="Arial Narrow" w:hAnsi="Arial Narrow" w:cs="Tahoma"/>
          <w:sz w:val="28"/>
          <w:szCs w:val="28"/>
          <w:lang w:eastAsia="es-CO"/>
        </w:rPr>
        <w:t xml:space="preserve">la a-quo no tuvo en cuenta que la última cotización </w:t>
      </w:r>
      <w:r w:rsidR="00135D1E">
        <w:rPr>
          <w:rFonts w:ascii="Arial Narrow" w:hAnsi="Arial Narrow" w:cs="Tahoma"/>
          <w:sz w:val="28"/>
          <w:szCs w:val="28"/>
          <w:lang w:eastAsia="es-CO"/>
        </w:rPr>
        <w:t xml:space="preserve">la </w:t>
      </w:r>
      <w:r w:rsidR="003D4FD0">
        <w:rPr>
          <w:rFonts w:ascii="Arial Narrow" w:hAnsi="Arial Narrow" w:cs="Tahoma"/>
          <w:sz w:val="28"/>
          <w:szCs w:val="28"/>
          <w:lang w:eastAsia="es-CO"/>
        </w:rPr>
        <w:t>hizo en c</w:t>
      </w:r>
      <w:r w:rsidR="002F0EC0">
        <w:rPr>
          <w:rFonts w:ascii="Arial Narrow" w:hAnsi="Arial Narrow" w:cs="Tahoma"/>
          <w:sz w:val="28"/>
          <w:szCs w:val="28"/>
          <w:lang w:eastAsia="es-CO"/>
        </w:rPr>
        <w:t xml:space="preserve">alidad de </w:t>
      </w:r>
      <w:r w:rsidR="00C10AA8">
        <w:rPr>
          <w:rFonts w:ascii="Arial Narrow" w:hAnsi="Arial Narrow" w:cs="Tahoma"/>
          <w:sz w:val="28"/>
          <w:szCs w:val="28"/>
          <w:lang w:eastAsia="es-CO"/>
        </w:rPr>
        <w:t xml:space="preserve">trabajador independiente, </w:t>
      </w:r>
      <w:r w:rsidR="008E6F2E">
        <w:rPr>
          <w:rFonts w:ascii="Arial Narrow" w:hAnsi="Arial Narrow" w:cs="Tahoma"/>
          <w:sz w:val="28"/>
          <w:szCs w:val="28"/>
          <w:lang w:eastAsia="es-CO"/>
        </w:rPr>
        <w:t xml:space="preserve">por lo que </w:t>
      </w:r>
      <w:r w:rsidR="002F0EC0">
        <w:rPr>
          <w:rFonts w:ascii="Arial Narrow" w:hAnsi="Arial Narrow" w:cs="Tahoma"/>
          <w:sz w:val="28"/>
          <w:szCs w:val="28"/>
          <w:lang w:eastAsia="es-CO"/>
        </w:rPr>
        <w:t>no se requería el reporte de la novedad de retiro</w:t>
      </w:r>
      <w:r w:rsidR="00122CBF">
        <w:rPr>
          <w:rFonts w:ascii="Arial Narrow" w:hAnsi="Arial Narrow" w:cs="Tahoma"/>
          <w:sz w:val="28"/>
          <w:szCs w:val="28"/>
          <w:lang w:eastAsia="es-CO"/>
        </w:rPr>
        <w:t xml:space="preserve">; </w:t>
      </w:r>
      <w:r w:rsidR="001A6512">
        <w:rPr>
          <w:rFonts w:ascii="Arial Narrow" w:hAnsi="Arial Narrow" w:cs="Tahoma"/>
          <w:sz w:val="28"/>
          <w:szCs w:val="28"/>
          <w:lang w:eastAsia="es-CO"/>
        </w:rPr>
        <w:t xml:space="preserve">que la desidia de </w:t>
      </w:r>
      <w:r w:rsidR="00135D1E">
        <w:rPr>
          <w:rFonts w:ascii="Arial Narrow" w:hAnsi="Arial Narrow" w:cs="Tahoma"/>
          <w:sz w:val="28"/>
          <w:szCs w:val="28"/>
          <w:lang w:eastAsia="es-CO"/>
        </w:rPr>
        <w:t xml:space="preserve">las </w:t>
      </w:r>
      <w:r w:rsidR="001A6512">
        <w:rPr>
          <w:rFonts w:ascii="Arial Narrow" w:hAnsi="Arial Narrow" w:cs="Tahoma"/>
          <w:sz w:val="28"/>
          <w:szCs w:val="28"/>
          <w:lang w:eastAsia="es-CO"/>
        </w:rPr>
        <w:t xml:space="preserve">administradoras de pensiones no puede cargársele al afiliado, pues </w:t>
      </w:r>
      <w:r w:rsidR="00122CBF">
        <w:rPr>
          <w:rFonts w:ascii="Arial Narrow" w:hAnsi="Arial Narrow" w:cs="Tahoma"/>
          <w:sz w:val="28"/>
          <w:szCs w:val="28"/>
          <w:lang w:eastAsia="es-CO"/>
        </w:rPr>
        <w:t xml:space="preserve">desde al año 2005 se </w:t>
      </w:r>
      <w:r w:rsidR="00135D1E">
        <w:rPr>
          <w:rFonts w:ascii="Arial Narrow" w:hAnsi="Arial Narrow" w:cs="Tahoma"/>
          <w:sz w:val="28"/>
          <w:szCs w:val="28"/>
          <w:lang w:eastAsia="es-CO"/>
        </w:rPr>
        <w:t>pidió la devolución</w:t>
      </w:r>
      <w:r w:rsidR="00122CBF">
        <w:rPr>
          <w:rFonts w:ascii="Arial Narrow" w:hAnsi="Arial Narrow" w:cs="Tahoma"/>
          <w:sz w:val="28"/>
          <w:szCs w:val="28"/>
          <w:lang w:eastAsia="es-CO"/>
        </w:rPr>
        <w:t xml:space="preserve"> de saldos para el traslado de régimen, sin embargo, ello </w:t>
      </w:r>
      <w:r w:rsidR="00135D1E">
        <w:rPr>
          <w:rFonts w:ascii="Arial Narrow" w:hAnsi="Arial Narrow" w:cs="Tahoma"/>
          <w:sz w:val="28"/>
          <w:szCs w:val="28"/>
          <w:lang w:eastAsia="es-CO"/>
        </w:rPr>
        <w:t xml:space="preserve">sólo se logró </w:t>
      </w:r>
      <w:r w:rsidR="00122CBF">
        <w:rPr>
          <w:rFonts w:ascii="Arial Narrow" w:hAnsi="Arial Narrow" w:cs="Tahoma"/>
          <w:sz w:val="28"/>
          <w:szCs w:val="28"/>
          <w:lang w:eastAsia="es-CO"/>
        </w:rPr>
        <w:t xml:space="preserve">en el </w:t>
      </w:r>
      <w:r w:rsidR="00135D1E">
        <w:rPr>
          <w:rFonts w:ascii="Arial Narrow" w:hAnsi="Arial Narrow" w:cs="Tahoma"/>
          <w:sz w:val="28"/>
          <w:szCs w:val="28"/>
          <w:lang w:eastAsia="es-CO"/>
        </w:rPr>
        <w:t xml:space="preserve">2012. </w:t>
      </w:r>
      <w:r w:rsidR="00F812BA">
        <w:rPr>
          <w:rFonts w:ascii="Arial Narrow" w:hAnsi="Arial Narrow" w:cs="Tahoma"/>
          <w:sz w:val="28"/>
          <w:szCs w:val="28"/>
          <w:lang w:eastAsia="es-CO"/>
        </w:rPr>
        <w:t>S</w:t>
      </w:r>
      <w:r w:rsidR="00D922EB">
        <w:rPr>
          <w:rFonts w:ascii="Arial Narrow" w:hAnsi="Arial Narrow" w:cs="Tahoma"/>
          <w:sz w:val="28"/>
          <w:szCs w:val="28"/>
          <w:lang w:eastAsia="es-CO"/>
        </w:rPr>
        <w:t>olicita que se incorpore</w:t>
      </w:r>
      <w:r w:rsidR="00122CBF">
        <w:rPr>
          <w:rFonts w:ascii="Arial Narrow" w:hAnsi="Arial Narrow" w:cs="Tahoma"/>
          <w:sz w:val="28"/>
          <w:szCs w:val="28"/>
          <w:lang w:eastAsia="es-CO"/>
        </w:rPr>
        <w:t xml:space="preserve"> la documental que </w:t>
      </w:r>
      <w:r w:rsidR="00D922EB">
        <w:rPr>
          <w:rFonts w:ascii="Arial Narrow" w:hAnsi="Arial Narrow" w:cs="Tahoma"/>
          <w:sz w:val="28"/>
          <w:szCs w:val="28"/>
          <w:lang w:eastAsia="es-CO"/>
        </w:rPr>
        <w:t>ha venido reiterando desde la audiencia de trámite y juzgamiento,</w:t>
      </w:r>
      <w:r w:rsidR="00B14881">
        <w:rPr>
          <w:rFonts w:ascii="Arial Narrow" w:hAnsi="Arial Narrow" w:cs="Tahoma"/>
          <w:sz w:val="28"/>
          <w:szCs w:val="28"/>
          <w:lang w:eastAsia="es-CO"/>
        </w:rPr>
        <w:t xml:space="preserve"> </w:t>
      </w:r>
      <w:r w:rsidR="0091749A">
        <w:rPr>
          <w:rFonts w:ascii="Arial Narrow" w:hAnsi="Arial Narrow" w:cs="Tahoma"/>
          <w:sz w:val="28"/>
          <w:szCs w:val="28"/>
          <w:lang w:eastAsia="es-CO"/>
        </w:rPr>
        <w:t>que</w:t>
      </w:r>
      <w:r w:rsidR="004A4329">
        <w:rPr>
          <w:rFonts w:ascii="Arial Narrow" w:hAnsi="Arial Narrow" w:cs="Tahoma"/>
          <w:sz w:val="28"/>
          <w:szCs w:val="28"/>
          <w:lang w:eastAsia="es-CO"/>
        </w:rPr>
        <w:t xml:space="preserve"> da cuenta </w:t>
      </w:r>
      <w:r w:rsidR="008E6F2E">
        <w:rPr>
          <w:rFonts w:ascii="Arial Narrow" w:hAnsi="Arial Narrow" w:cs="Tahoma"/>
          <w:sz w:val="28"/>
          <w:szCs w:val="28"/>
          <w:lang w:eastAsia="es-CO"/>
        </w:rPr>
        <w:t xml:space="preserve">del trámite que debió adelantar el actor para lograr </w:t>
      </w:r>
      <w:r w:rsidR="0091749A">
        <w:rPr>
          <w:rFonts w:ascii="Arial Narrow" w:hAnsi="Arial Narrow" w:cs="Tahoma"/>
          <w:sz w:val="28"/>
          <w:szCs w:val="28"/>
          <w:lang w:eastAsia="es-CO"/>
        </w:rPr>
        <w:t xml:space="preserve">su </w:t>
      </w:r>
      <w:r w:rsidR="008E6F2E">
        <w:rPr>
          <w:rFonts w:ascii="Arial Narrow" w:hAnsi="Arial Narrow" w:cs="Tahoma"/>
          <w:sz w:val="28"/>
          <w:szCs w:val="28"/>
          <w:lang w:eastAsia="es-CO"/>
        </w:rPr>
        <w:t>traslado de régimen</w:t>
      </w:r>
      <w:r w:rsidR="0091749A">
        <w:rPr>
          <w:rFonts w:ascii="Arial Narrow" w:hAnsi="Arial Narrow" w:cs="Tahoma"/>
          <w:sz w:val="28"/>
          <w:szCs w:val="28"/>
          <w:lang w:eastAsia="es-CO"/>
        </w:rPr>
        <w:t xml:space="preserve">. </w:t>
      </w:r>
    </w:p>
    <w:p w:rsidR="00135D1E" w:rsidRPr="00F347A4" w:rsidRDefault="00135D1E" w:rsidP="00F347A4">
      <w:pPr>
        <w:pStyle w:val="Sansinterligne"/>
      </w:pPr>
    </w:p>
    <w:p w:rsidR="00135D1E" w:rsidRDefault="008E6F2E" w:rsidP="008B7327">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Respecto de la demandante María Eugenia Sandoval </w:t>
      </w:r>
      <w:proofErr w:type="spellStart"/>
      <w:r>
        <w:rPr>
          <w:rFonts w:ascii="Arial Narrow" w:hAnsi="Arial Narrow" w:cs="Tahoma"/>
          <w:sz w:val="28"/>
          <w:szCs w:val="28"/>
          <w:lang w:eastAsia="es-CO"/>
        </w:rPr>
        <w:t>Fonnegra</w:t>
      </w:r>
      <w:proofErr w:type="spellEnd"/>
      <w:r>
        <w:rPr>
          <w:rFonts w:ascii="Arial Narrow" w:hAnsi="Arial Narrow" w:cs="Tahoma"/>
          <w:sz w:val="28"/>
          <w:szCs w:val="28"/>
          <w:lang w:eastAsia="es-CO"/>
        </w:rPr>
        <w:t xml:space="preserve"> </w:t>
      </w:r>
      <w:r w:rsidR="0091749A">
        <w:rPr>
          <w:rFonts w:ascii="Arial Narrow" w:hAnsi="Arial Narrow" w:cs="Tahoma"/>
          <w:sz w:val="28"/>
          <w:szCs w:val="28"/>
          <w:lang w:eastAsia="es-CO"/>
        </w:rPr>
        <w:t xml:space="preserve">solicita que se reconozca la pensión a partir del día siguiente a la última cotización </w:t>
      </w:r>
      <w:r w:rsidR="00830DD0">
        <w:rPr>
          <w:rFonts w:ascii="Arial Narrow" w:hAnsi="Arial Narrow" w:cs="Tahoma"/>
          <w:sz w:val="28"/>
          <w:szCs w:val="28"/>
          <w:lang w:eastAsia="es-CO"/>
        </w:rPr>
        <w:t>al sistema. Para el efecto, adujo que la demandante presentó la solicitud pensional ante el ISS el 7 de junio de 2009, y que tampoco puede cargársele la responsabilidad de la omisión de su empleador de reportar la novedad de retiro del sistema, máxime cuando ella cesó en su obligación de continuar cotizando por haber cumplido los requisitos legales para hacerse acreedora del derecho a la pensión de vejez.</w:t>
      </w:r>
    </w:p>
    <w:p w:rsidR="00837C1C" w:rsidRDefault="00837C1C" w:rsidP="00F43368">
      <w:pPr>
        <w:pStyle w:val="Sansinterligne"/>
        <w:rPr>
          <w:lang w:eastAsia="es-CO"/>
        </w:rPr>
      </w:pPr>
    </w:p>
    <w:p w:rsidR="00837C1C" w:rsidRDefault="00837C1C" w:rsidP="00837C1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De conformidad con lo indicado en el artículo 69 del Estatuto Procesal del Trabajo y la Seguridad Social, se dispuso la consulta de la decisión por ser desfavorable a la entidad demandada. </w:t>
      </w:r>
    </w:p>
    <w:p w:rsidR="008B7327" w:rsidRPr="00D50878" w:rsidRDefault="008B7327" w:rsidP="008B7327">
      <w:pPr>
        <w:shd w:val="clear" w:color="auto" w:fill="FFFFFF"/>
        <w:tabs>
          <w:tab w:val="left" w:pos="5197"/>
        </w:tabs>
        <w:spacing w:line="360" w:lineRule="auto"/>
        <w:ind w:firstLine="851"/>
        <w:jc w:val="both"/>
        <w:rPr>
          <w:rFonts w:ascii="Arial Narrow" w:hAnsi="Arial Narrow" w:cs="Tahoma"/>
          <w:i/>
          <w:sz w:val="28"/>
          <w:szCs w:val="28"/>
        </w:rPr>
      </w:pPr>
      <w:r w:rsidRPr="00D50878">
        <w:rPr>
          <w:rFonts w:ascii="Arial Narrow" w:hAnsi="Arial Narrow" w:cs="Tahoma"/>
          <w:i/>
          <w:sz w:val="28"/>
          <w:szCs w:val="28"/>
        </w:rPr>
        <w:t>Del problema jurídico.</w:t>
      </w:r>
    </w:p>
    <w:p w:rsidR="008B7327" w:rsidRPr="00901E2F" w:rsidRDefault="008B7327" w:rsidP="008B7327">
      <w:pPr>
        <w:pStyle w:val="Sansinterligne"/>
      </w:pPr>
    </w:p>
    <w:p w:rsidR="008B7327" w:rsidRPr="00A071CD" w:rsidRDefault="008B7327" w:rsidP="008B732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Visto el recuento anterior, la Sala formula el problema jurídico en los siguientes términos:</w:t>
      </w:r>
    </w:p>
    <w:p w:rsidR="008B7327" w:rsidRDefault="008B7327" w:rsidP="00F43368">
      <w:pPr>
        <w:shd w:val="clear" w:color="auto" w:fill="FFFFFF"/>
        <w:tabs>
          <w:tab w:val="left" w:pos="5197"/>
        </w:tabs>
        <w:ind w:firstLine="851"/>
        <w:jc w:val="both"/>
        <w:rPr>
          <w:rFonts w:ascii="Arial Narrow" w:hAnsi="Arial Narrow" w:cs="Tahoma"/>
          <w:i/>
          <w:color w:val="000000"/>
          <w:sz w:val="28"/>
          <w:szCs w:val="28"/>
          <w:lang w:eastAsia="es-CO"/>
        </w:rPr>
      </w:pPr>
      <w:r w:rsidRPr="00D50878">
        <w:rPr>
          <w:rFonts w:ascii="Arial Narrow" w:hAnsi="Arial Narrow" w:cs="Tahoma"/>
          <w:i/>
          <w:color w:val="000000"/>
          <w:sz w:val="28"/>
          <w:szCs w:val="28"/>
          <w:lang w:eastAsia="es-CO"/>
        </w:rPr>
        <w:t>¿</w:t>
      </w:r>
      <w:r w:rsidR="00F43368">
        <w:rPr>
          <w:rFonts w:ascii="Arial Narrow" w:hAnsi="Arial Narrow" w:cs="Tahoma"/>
          <w:i/>
          <w:color w:val="000000"/>
          <w:sz w:val="28"/>
          <w:szCs w:val="28"/>
          <w:lang w:eastAsia="es-CO"/>
        </w:rPr>
        <w:t>A partir de qué fecha tienen derecho los demandantes a disfrutar de su pensión de vejez?</w:t>
      </w:r>
      <w:r w:rsidRPr="00D50878">
        <w:rPr>
          <w:rFonts w:ascii="Arial Narrow" w:hAnsi="Arial Narrow" w:cs="Tahoma"/>
          <w:i/>
          <w:color w:val="000000"/>
          <w:sz w:val="28"/>
          <w:szCs w:val="28"/>
          <w:lang w:eastAsia="es-CO"/>
        </w:rPr>
        <w:t xml:space="preserve"> </w:t>
      </w:r>
    </w:p>
    <w:p w:rsidR="00966BF9" w:rsidRDefault="00966BF9" w:rsidP="00F43368">
      <w:pPr>
        <w:shd w:val="clear" w:color="auto" w:fill="FFFFFF"/>
        <w:tabs>
          <w:tab w:val="left" w:pos="5197"/>
        </w:tabs>
        <w:ind w:firstLine="851"/>
        <w:jc w:val="both"/>
        <w:rPr>
          <w:rFonts w:ascii="Arial Narrow" w:hAnsi="Arial Narrow" w:cs="Tahoma"/>
          <w:i/>
          <w:color w:val="000000"/>
          <w:sz w:val="28"/>
          <w:szCs w:val="28"/>
          <w:lang w:eastAsia="es-CO"/>
        </w:rPr>
      </w:pPr>
    </w:p>
    <w:p w:rsidR="00966BF9" w:rsidRDefault="00966BF9" w:rsidP="00F43368">
      <w:pPr>
        <w:shd w:val="clear" w:color="auto" w:fill="FFFFFF"/>
        <w:tabs>
          <w:tab w:val="left" w:pos="5197"/>
        </w:tabs>
        <w:ind w:firstLine="851"/>
        <w:jc w:val="both"/>
        <w:rPr>
          <w:rFonts w:ascii="Arial Narrow" w:hAnsi="Arial Narrow" w:cs="Tahoma"/>
          <w:i/>
          <w:sz w:val="28"/>
          <w:szCs w:val="28"/>
        </w:rPr>
      </w:pPr>
    </w:p>
    <w:p w:rsidR="008B7327" w:rsidRPr="00E81B56" w:rsidRDefault="008B7327" w:rsidP="008B7327">
      <w:pPr>
        <w:tabs>
          <w:tab w:val="left" w:pos="0"/>
          <w:tab w:val="left" w:pos="8647"/>
        </w:tabs>
        <w:suppressAutoHyphens/>
        <w:spacing w:line="360" w:lineRule="auto"/>
        <w:ind w:firstLine="900"/>
        <w:jc w:val="both"/>
        <w:rPr>
          <w:rFonts w:ascii="Arial Narrow" w:hAnsi="Arial Narrow" w:cs="Tahoma"/>
          <w:sz w:val="28"/>
          <w:szCs w:val="28"/>
        </w:rPr>
      </w:pPr>
      <w:r w:rsidRPr="00E81B56">
        <w:rPr>
          <w:rFonts w:ascii="Arial Narrow" w:hAnsi="Arial Narrow" w:cs="Tahoma"/>
          <w:i/>
          <w:sz w:val="28"/>
          <w:szCs w:val="28"/>
        </w:rPr>
        <w:t>Alegatos en esta instancia</w:t>
      </w:r>
      <w:r w:rsidRPr="00E81B56">
        <w:rPr>
          <w:rFonts w:ascii="Arial Narrow" w:hAnsi="Arial Narrow" w:cs="Tahoma"/>
          <w:sz w:val="28"/>
          <w:szCs w:val="28"/>
        </w:rPr>
        <w:t>:</w:t>
      </w:r>
    </w:p>
    <w:p w:rsidR="008B7327" w:rsidRPr="003D5A72" w:rsidRDefault="008B7327" w:rsidP="008B7327">
      <w:pPr>
        <w:pStyle w:val="Sansinterligne"/>
      </w:pPr>
    </w:p>
    <w:p w:rsidR="008B7327" w:rsidRPr="00A071CD" w:rsidRDefault="008B7327" w:rsidP="008B7327">
      <w:pPr>
        <w:pStyle w:val="Sansinterligne"/>
        <w:spacing w:line="360" w:lineRule="auto"/>
        <w:ind w:firstLine="708"/>
        <w:jc w:val="both"/>
        <w:rPr>
          <w:rFonts w:ascii="Arial Narrow" w:hAnsi="Arial Narrow"/>
          <w:sz w:val="28"/>
          <w:szCs w:val="28"/>
        </w:rPr>
      </w:pPr>
      <w:r w:rsidRPr="00A071CD">
        <w:rPr>
          <w:rFonts w:ascii="Arial Narrow" w:hAnsi="Arial Narrow"/>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parte </w:t>
      </w:r>
      <w:r w:rsidR="00F43368">
        <w:rPr>
          <w:rFonts w:ascii="Arial Narrow" w:hAnsi="Arial Narrow"/>
          <w:sz w:val="28"/>
          <w:szCs w:val="28"/>
        </w:rPr>
        <w:t xml:space="preserve">recurrente, advirtiéndole que sus exposiciones versarán únicamente respecto a lo que fue materia de apelación </w:t>
      </w:r>
      <w:r w:rsidRPr="00A071CD">
        <w:rPr>
          <w:rFonts w:ascii="Arial Narrow" w:hAnsi="Arial Narrow"/>
          <w:sz w:val="28"/>
          <w:szCs w:val="28"/>
        </w:rPr>
        <w:t xml:space="preserve">(art. </w:t>
      </w:r>
      <w:smartTag w:uri="urn:schemas-microsoft-com:office:smarttags" w:element="metricconverter">
        <w:smartTagPr>
          <w:attr w:name="ProductID" w:val="66 A"/>
        </w:smartTagPr>
        <w:r w:rsidRPr="00A071CD">
          <w:rPr>
            <w:rFonts w:ascii="Arial Narrow" w:hAnsi="Arial Narrow"/>
            <w:sz w:val="28"/>
            <w:szCs w:val="28"/>
          </w:rPr>
          <w:t>66 A</w:t>
        </w:r>
      </w:smartTag>
      <w:r w:rsidRPr="00A071CD">
        <w:rPr>
          <w:rFonts w:ascii="Arial Narrow" w:hAnsi="Arial Narrow"/>
          <w:sz w:val="28"/>
          <w:szCs w:val="28"/>
        </w:rPr>
        <w:t xml:space="preserve"> CPLSS.).</w:t>
      </w:r>
      <w:r w:rsidR="00F43368">
        <w:rPr>
          <w:rFonts w:ascii="Arial Narrow" w:hAnsi="Arial Narrow"/>
          <w:sz w:val="28"/>
          <w:szCs w:val="28"/>
        </w:rPr>
        <w:t xml:space="preserve"> </w:t>
      </w:r>
      <w:r w:rsidRPr="00A071CD">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8B7327" w:rsidRPr="00A071CD" w:rsidRDefault="008B7327" w:rsidP="008B7327">
      <w:pPr>
        <w:pStyle w:val="Sansinterligne"/>
        <w:spacing w:line="360" w:lineRule="auto"/>
        <w:jc w:val="both"/>
        <w:rPr>
          <w:rFonts w:ascii="Arial Narrow" w:hAnsi="Arial Narrow"/>
          <w:sz w:val="28"/>
          <w:szCs w:val="28"/>
        </w:rPr>
      </w:pPr>
    </w:p>
    <w:p w:rsidR="008B7327" w:rsidRDefault="008B7327" w:rsidP="00E31937">
      <w:pPr>
        <w:pStyle w:val="Sansinterligne"/>
        <w:numPr>
          <w:ilvl w:val="0"/>
          <w:numId w:val="7"/>
        </w:numPr>
        <w:spacing w:line="360" w:lineRule="auto"/>
        <w:jc w:val="both"/>
        <w:rPr>
          <w:rFonts w:ascii="Arial Narrow" w:hAnsi="Arial Narrow"/>
          <w:b/>
          <w:sz w:val="28"/>
          <w:szCs w:val="28"/>
        </w:rPr>
      </w:pPr>
      <w:r w:rsidRPr="00C679AE">
        <w:rPr>
          <w:rFonts w:ascii="Arial Narrow" w:hAnsi="Arial Narrow"/>
          <w:sz w:val="28"/>
          <w:szCs w:val="28"/>
        </w:rPr>
        <w:t>CONSIDERACIONES</w:t>
      </w:r>
      <w:r w:rsidRPr="00A071CD">
        <w:rPr>
          <w:rFonts w:ascii="Arial Narrow" w:hAnsi="Arial Narrow"/>
          <w:b/>
          <w:sz w:val="28"/>
          <w:szCs w:val="28"/>
        </w:rPr>
        <w:t>:</w:t>
      </w:r>
    </w:p>
    <w:p w:rsidR="008B7327" w:rsidRPr="00FD7F66" w:rsidRDefault="008B7327" w:rsidP="00FD7F66">
      <w:pPr>
        <w:pStyle w:val="Sansinterligne"/>
      </w:pPr>
    </w:p>
    <w:p w:rsidR="00C679AE" w:rsidRDefault="00C679AE" w:rsidP="00C679AE">
      <w:pPr>
        <w:spacing w:line="360" w:lineRule="auto"/>
        <w:ind w:firstLine="708"/>
        <w:jc w:val="both"/>
        <w:rPr>
          <w:rFonts w:ascii="Arial Narrow" w:hAnsi="Arial Narrow" w:cs="Tahoma"/>
          <w:sz w:val="28"/>
          <w:szCs w:val="28"/>
        </w:rPr>
      </w:pPr>
      <w:r>
        <w:rPr>
          <w:rFonts w:ascii="Arial Narrow" w:hAnsi="Arial Narrow" w:cs="Tahoma"/>
          <w:sz w:val="28"/>
          <w:szCs w:val="28"/>
        </w:rPr>
        <w:t xml:space="preserve">Para empezar, es preciso hacer mención del condicionamiento de la desafiliación al sistema pensional que consagra el artículo 13 y 35 del Acuerdo 049 de 1990, para el disfrute de la pensión. </w:t>
      </w:r>
    </w:p>
    <w:p w:rsidR="00C679AE" w:rsidRDefault="00C679AE" w:rsidP="00C679AE">
      <w:pPr>
        <w:pStyle w:val="Sansinterligne"/>
      </w:pPr>
    </w:p>
    <w:p w:rsidR="00C679AE" w:rsidRDefault="00C679AE" w:rsidP="00C679AE">
      <w:pPr>
        <w:pStyle w:val="Sansinterligne"/>
        <w:spacing w:line="360" w:lineRule="auto"/>
        <w:jc w:val="both"/>
        <w:rPr>
          <w:rFonts w:ascii="Arial Narrow" w:hAnsi="Arial Narrow" w:cs="Arial"/>
          <w:sz w:val="28"/>
          <w:szCs w:val="28"/>
          <w:lang w:val="es-ES"/>
        </w:rPr>
      </w:pPr>
      <w:r>
        <w:tab/>
      </w:r>
      <w:r>
        <w:rPr>
          <w:rFonts w:ascii="Arial Narrow" w:hAnsi="Arial Narrow" w:cs="Arial"/>
          <w:sz w:val="28"/>
          <w:szCs w:val="28"/>
          <w:lang w:val="es-ES"/>
        </w:rPr>
        <w:t xml:space="preserve">Dichos cánones, </w:t>
      </w:r>
      <w:r w:rsidRPr="00353A1E">
        <w:rPr>
          <w:rFonts w:ascii="Arial Narrow" w:hAnsi="Arial Narrow" w:cs="Arial"/>
          <w:sz w:val="28"/>
          <w:szCs w:val="28"/>
          <w:lang w:val="es-ES"/>
        </w:rPr>
        <w:t>aplicable</w:t>
      </w:r>
      <w:r>
        <w:rPr>
          <w:rFonts w:ascii="Arial Narrow" w:hAnsi="Arial Narrow" w:cs="Arial"/>
          <w:sz w:val="28"/>
          <w:szCs w:val="28"/>
          <w:lang w:val="es-ES"/>
        </w:rPr>
        <w:t>s</w:t>
      </w:r>
      <w:r w:rsidRPr="00353A1E">
        <w:rPr>
          <w:rFonts w:ascii="Arial Narrow" w:hAnsi="Arial Narrow" w:cs="Arial"/>
          <w:sz w:val="28"/>
          <w:szCs w:val="28"/>
          <w:lang w:val="es-ES"/>
        </w:rPr>
        <w:t xml:space="preserve"> por remisión que hace el inciso segundo del ar</w:t>
      </w:r>
      <w:r>
        <w:rPr>
          <w:rFonts w:ascii="Arial Narrow" w:hAnsi="Arial Narrow" w:cs="Arial"/>
          <w:sz w:val="28"/>
          <w:szCs w:val="28"/>
          <w:lang w:val="es-ES"/>
        </w:rPr>
        <w:t xml:space="preserve">tículo 31 de la Ley 100 de 1993, establecen que la desafiliación </w:t>
      </w:r>
      <w:r w:rsidRPr="00353A1E">
        <w:rPr>
          <w:rFonts w:ascii="Arial Narrow" w:hAnsi="Arial Narrow" w:cs="Arial"/>
          <w:sz w:val="28"/>
          <w:szCs w:val="28"/>
          <w:lang w:val="es-ES"/>
        </w:rPr>
        <w:t xml:space="preserve">es necesaria para que el afiliado </w:t>
      </w:r>
      <w:r>
        <w:rPr>
          <w:rFonts w:ascii="Arial Narrow" w:hAnsi="Arial Narrow" w:cs="Arial"/>
          <w:sz w:val="28"/>
          <w:szCs w:val="28"/>
          <w:lang w:val="es-ES"/>
        </w:rPr>
        <w:t xml:space="preserve">(a) </w:t>
      </w:r>
      <w:r w:rsidRPr="00353A1E">
        <w:rPr>
          <w:rFonts w:ascii="Arial Narrow" w:hAnsi="Arial Narrow" w:cs="Arial"/>
          <w:sz w:val="28"/>
          <w:szCs w:val="28"/>
          <w:lang w:val="es-ES"/>
        </w:rPr>
        <w:t xml:space="preserve">pueda empezar a disfrutar de la prestación, y que por regla general el acto de desafiliación le compete reportarlo al empleador. </w:t>
      </w:r>
    </w:p>
    <w:p w:rsidR="00C679AE" w:rsidRPr="00FF1424" w:rsidRDefault="00C679AE" w:rsidP="00C679AE">
      <w:pPr>
        <w:pStyle w:val="Sansinterligne"/>
      </w:pPr>
    </w:p>
    <w:p w:rsidR="00C679AE" w:rsidRPr="0096530C" w:rsidRDefault="00C679AE" w:rsidP="00C679AE">
      <w:pPr>
        <w:autoSpaceDE w:val="0"/>
        <w:autoSpaceDN w:val="0"/>
        <w:adjustRightInd w:val="0"/>
        <w:spacing w:line="360" w:lineRule="auto"/>
        <w:ind w:firstLine="851"/>
        <w:jc w:val="both"/>
        <w:rPr>
          <w:rFonts w:ascii="Arial Narrow" w:hAnsi="Arial Narrow" w:cs="Arial"/>
          <w:sz w:val="28"/>
          <w:szCs w:val="28"/>
          <w:lang w:val="es-ES"/>
        </w:rPr>
      </w:pPr>
      <w:r w:rsidRPr="0096530C">
        <w:rPr>
          <w:rFonts w:ascii="Arial Narrow" w:hAnsi="Arial Narrow" w:cs="Arial"/>
          <w:sz w:val="28"/>
          <w:szCs w:val="28"/>
          <w:lang w:val="es-ES"/>
        </w:rPr>
        <w:t>No obstante</w:t>
      </w:r>
      <w:r>
        <w:rPr>
          <w:rFonts w:ascii="Arial Narrow" w:hAnsi="Arial Narrow" w:cs="Arial"/>
          <w:sz w:val="28"/>
          <w:szCs w:val="28"/>
          <w:lang w:val="es-ES"/>
        </w:rPr>
        <w:t xml:space="preserve"> lo anterior</w:t>
      </w:r>
      <w:r w:rsidRPr="0096530C">
        <w:rPr>
          <w:rFonts w:ascii="Arial Narrow" w:hAnsi="Arial Narrow" w:cs="Arial"/>
          <w:sz w:val="28"/>
          <w:szCs w:val="28"/>
          <w:lang w:val="es-ES"/>
        </w:rPr>
        <w:t xml:space="preserve">, por vía jurisprudencial, el órgano de cierre de la especialidad laboral, </w:t>
      </w:r>
      <w:r>
        <w:rPr>
          <w:rFonts w:ascii="Arial Narrow" w:hAnsi="Arial Narrow" w:cs="Arial"/>
          <w:sz w:val="28"/>
          <w:szCs w:val="28"/>
          <w:lang w:val="es-ES"/>
        </w:rPr>
        <w:t xml:space="preserve">ha acudido a otras alternativas hermenéuticas para dar solución a </w:t>
      </w:r>
      <w:r w:rsidR="00294C59">
        <w:rPr>
          <w:rFonts w:ascii="Arial Narrow" w:hAnsi="Arial Narrow" w:cs="Arial"/>
          <w:sz w:val="28"/>
          <w:szCs w:val="28"/>
          <w:lang w:val="es-ES"/>
        </w:rPr>
        <w:t>los casos</w:t>
      </w:r>
      <w:r w:rsidR="00C63031">
        <w:rPr>
          <w:rFonts w:ascii="Arial Narrow" w:hAnsi="Arial Narrow" w:cs="Arial"/>
          <w:sz w:val="28"/>
          <w:szCs w:val="28"/>
          <w:lang w:val="es-ES"/>
        </w:rPr>
        <w:t xml:space="preserve"> particulares que ameritan una solución distinta.</w:t>
      </w:r>
      <w:r>
        <w:rPr>
          <w:rFonts w:ascii="Arial Narrow" w:hAnsi="Arial Narrow" w:cs="Arial"/>
          <w:sz w:val="28"/>
          <w:szCs w:val="28"/>
          <w:lang w:val="es-ES"/>
        </w:rPr>
        <w:t xml:space="preserve"> Así por ejemplo h</w:t>
      </w:r>
      <w:r w:rsidRPr="0096530C">
        <w:rPr>
          <w:rFonts w:ascii="Arial Narrow" w:hAnsi="Arial Narrow" w:cs="Arial"/>
          <w:sz w:val="28"/>
          <w:szCs w:val="28"/>
          <w:lang w:val="es-ES"/>
        </w:rPr>
        <w:t xml:space="preserve">a reconocido que </w:t>
      </w:r>
      <w:r>
        <w:rPr>
          <w:rFonts w:ascii="Arial Narrow" w:hAnsi="Arial Narrow" w:cs="Arial"/>
          <w:sz w:val="28"/>
          <w:szCs w:val="28"/>
          <w:lang w:val="es-ES"/>
        </w:rPr>
        <w:t xml:space="preserve">la </w:t>
      </w:r>
      <w:r w:rsidRPr="0096530C">
        <w:rPr>
          <w:rFonts w:ascii="Arial Narrow" w:hAnsi="Arial Narrow" w:cs="Arial"/>
          <w:sz w:val="28"/>
          <w:szCs w:val="28"/>
          <w:lang w:val="es-ES"/>
        </w:rPr>
        <w:t xml:space="preserve">desafiliación al sistema pensional, se puede presentar de manera </w:t>
      </w:r>
      <w:r w:rsidRPr="0096530C">
        <w:rPr>
          <w:rFonts w:ascii="Arial Narrow" w:hAnsi="Arial Narrow" w:cs="Arial"/>
          <w:sz w:val="28"/>
          <w:szCs w:val="28"/>
          <w:lang w:val="es-ES"/>
        </w:rPr>
        <w:lastRenderedPageBreak/>
        <w:t>excepcional ante la falta de reporte de dicha novedad, y se infiere de las circunstancias que rodean cada caso en particular, pues estas disposiciones (arts. 13 y 35 Ado. 049/1990), "</w:t>
      </w:r>
      <w:r w:rsidRPr="0096530C">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Pr="0096530C">
        <w:rPr>
          <w:rFonts w:ascii="Arial Narrow" w:hAnsi="Arial Narrow" w:cs="Arial"/>
          <w:sz w:val="28"/>
          <w:szCs w:val="28"/>
          <w:lang w:val="es-ES"/>
        </w:rPr>
        <w:t>” (sentencia SL 5603, de 6 de abril 2016).</w:t>
      </w:r>
    </w:p>
    <w:p w:rsidR="00C679AE" w:rsidRPr="0096530C" w:rsidRDefault="00C679AE" w:rsidP="00C679AE">
      <w:pPr>
        <w:pStyle w:val="Sansinterligne"/>
      </w:pPr>
    </w:p>
    <w:p w:rsidR="00C679AE" w:rsidRDefault="00C679AE" w:rsidP="00C679AE">
      <w:pPr>
        <w:autoSpaceDE w:val="0"/>
        <w:autoSpaceDN w:val="0"/>
        <w:adjustRightInd w:val="0"/>
        <w:spacing w:line="360" w:lineRule="auto"/>
        <w:ind w:firstLine="708"/>
        <w:jc w:val="both"/>
        <w:rPr>
          <w:rFonts w:ascii="Arial Narrow" w:hAnsi="Arial Narrow" w:cs="Arial"/>
          <w:sz w:val="28"/>
          <w:szCs w:val="28"/>
          <w:lang w:val="es-ES"/>
        </w:rPr>
      </w:pPr>
      <w:r w:rsidRPr="0096530C">
        <w:rPr>
          <w:rFonts w:ascii="Arial Narrow" w:hAnsi="Arial Narrow" w:cs="Arial"/>
          <w:sz w:val="28"/>
          <w:szCs w:val="28"/>
          <w:lang w:val="es-ES"/>
        </w:rPr>
        <w:t>De allí, entonces, que la ameritada jurisprudencia insiste que “</w:t>
      </w:r>
      <w:r w:rsidRPr="0096530C">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96530C">
        <w:rPr>
          <w:rFonts w:ascii="Arial Narrow" w:hAnsi="Arial Narrow" w:cs="Arial"/>
          <w:sz w:val="28"/>
          <w:szCs w:val="28"/>
          <w:lang w:val="es-ES"/>
        </w:rPr>
        <w:t>”.</w:t>
      </w:r>
    </w:p>
    <w:p w:rsidR="00C679AE" w:rsidRDefault="00C679AE" w:rsidP="00C679AE">
      <w:pPr>
        <w:pStyle w:val="Sansinterligne"/>
      </w:pPr>
    </w:p>
    <w:p w:rsidR="00914FE3" w:rsidRPr="006927A7" w:rsidRDefault="00EC0A2D" w:rsidP="006927A7">
      <w:pPr>
        <w:autoSpaceDE w:val="0"/>
        <w:autoSpaceDN w:val="0"/>
        <w:adjustRightInd w:val="0"/>
        <w:spacing w:line="360" w:lineRule="auto"/>
        <w:ind w:firstLine="851"/>
        <w:jc w:val="both"/>
        <w:rPr>
          <w:rFonts w:ascii="Arial Narrow" w:hAnsi="Arial Narrow" w:cs="Arial"/>
          <w:sz w:val="28"/>
          <w:szCs w:val="28"/>
          <w:lang w:val="es-ES"/>
        </w:rPr>
      </w:pPr>
      <w:r w:rsidRPr="00EC0A2D">
        <w:rPr>
          <w:rFonts w:ascii="Arial Narrow" w:hAnsi="Arial Narrow" w:cs="Arial"/>
          <w:sz w:val="28"/>
          <w:szCs w:val="28"/>
          <w:lang w:val="es-ES"/>
        </w:rPr>
        <w:t>En síntesis, la desafiliación al sistema pensional, generalmente, debe ser comunicada por el empleador, pero también puede inferirse de actos externos e inequívocos del afiliado, tales como el cese en las cotizaciones por haber cumplido los requisitos para acceder</w:t>
      </w:r>
      <w:r w:rsidR="006927A7">
        <w:rPr>
          <w:rFonts w:ascii="Arial Narrow" w:hAnsi="Arial Narrow" w:cs="Arial"/>
          <w:sz w:val="28"/>
          <w:szCs w:val="28"/>
          <w:lang w:val="es-ES"/>
        </w:rPr>
        <w:t xml:space="preserve"> al derecho, </w:t>
      </w:r>
      <w:r w:rsidR="00A4117E">
        <w:rPr>
          <w:rFonts w:ascii="Arial Narrow" w:hAnsi="Arial Narrow" w:cs="Arial"/>
          <w:sz w:val="28"/>
          <w:szCs w:val="28"/>
          <w:lang w:val="es-ES"/>
        </w:rPr>
        <w:t xml:space="preserve">o </w:t>
      </w:r>
      <w:r w:rsidRPr="00EC0A2D">
        <w:rPr>
          <w:rFonts w:ascii="Arial Narrow" w:hAnsi="Arial Narrow" w:cs="Arial"/>
          <w:sz w:val="28"/>
          <w:szCs w:val="28"/>
          <w:lang w:val="es-ES"/>
        </w:rPr>
        <w:t xml:space="preserve">la reclamación de la pensión.   </w:t>
      </w:r>
      <w:r w:rsidR="00C63031" w:rsidRPr="00C63031">
        <w:rPr>
          <w:rFonts w:ascii="Arial Narrow" w:hAnsi="Arial Narrow"/>
          <w:sz w:val="28"/>
          <w:szCs w:val="28"/>
        </w:rPr>
        <w:t xml:space="preserve">Así pues, conforme a dicha postura, </w:t>
      </w:r>
      <w:r w:rsidR="00C63031" w:rsidRPr="00C63031">
        <w:rPr>
          <w:rFonts w:ascii="Arial Narrow" w:hAnsi="Arial Narrow" w:cs="Arial"/>
          <w:sz w:val="28"/>
          <w:szCs w:val="28"/>
          <w:lang w:val="es-ES"/>
        </w:rPr>
        <w:t xml:space="preserve">desde el momento en que reunidos ambos presupuestos (edad y densidad de aportes), </w:t>
      </w:r>
      <w:r w:rsidR="00894F44">
        <w:rPr>
          <w:rFonts w:ascii="Arial Narrow" w:hAnsi="Arial Narrow" w:cs="Arial"/>
          <w:sz w:val="28"/>
          <w:szCs w:val="28"/>
          <w:lang w:val="es-ES"/>
        </w:rPr>
        <w:t>el afiliado denota su intención de dejar de c</w:t>
      </w:r>
      <w:r w:rsidR="00C63031" w:rsidRPr="00C63031">
        <w:rPr>
          <w:rFonts w:ascii="Arial Narrow" w:hAnsi="Arial Narrow" w:cs="Arial"/>
          <w:sz w:val="28"/>
          <w:szCs w:val="28"/>
          <w:lang w:val="es-ES"/>
        </w:rPr>
        <w:t>otizar al sistema, se podrá empezar a disfrutar de la pensión de vejez, al configurarse así la desafiliación contenida en el artíc</w:t>
      </w:r>
      <w:r w:rsidR="007F74E0">
        <w:rPr>
          <w:rFonts w:ascii="Arial Narrow" w:hAnsi="Arial Narrow" w:cs="Arial"/>
          <w:sz w:val="28"/>
          <w:szCs w:val="28"/>
          <w:lang w:val="es-ES"/>
        </w:rPr>
        <w:t>ulo 13 del Acuerdo 049 de 1990</w:t>
      </w:r>
      <w:r w:rsidR="00531AAB">
        <w:rPr>
          <w:rFonts w:ascii="Arial Narrow" w:hAnsi="Arial Narrow" w:cs="Arial"/>
          <w:sz w:val="28"/>
          <w:szCs w:val="28"/>
          <w:lang w:val="es-ES"/>
        </w:rPr>
        <w:t>.</w:t>
      </w:r>
    </w:p>
    <w:p w:rsidR="00C679AE" w:rsidRPr="00CD3511" w:rsidRDefault="00C679AE" w:rsidP="00CD3511">
      <w:pPr>
        <w:pStyle w:val="Sansinterligne"/>
      </w:pPr>
    </w:p>
    <w:p w:rsidR="00DE417E" w:rsidRDefault="00D052AD" w:rsidP="00DE417E">
      <w:pPr>
        <w:spacing w:line="360" w:lineRule="auto"/>
        <w:ind w:firstLine="709"/>
        <w:jc w:val="both"/>
        <w:rPr>
          <w:rFonts w:ascii="Arial Narrow" w:hAnsi="Arial Narrow" w:cs="Arial"/>
          <w:sz w:val="28"/>
          <w:szCs w:val="28"/>
          <w:lang w:val="es-ES"/>
        </w:rPr>
      </w:pPr>
      <w:r>
        <w:rPr>
          <w:rFonts w:ascii="Arial Narrow" w:hAnsi="Arial Narrow"/>
          <w:sz w:val="28"/>
          <w:szCs w:val="28"/>
        </w:rPr>
        <w:t xml:space="preserve">En ese orden, </w:t>
      </w:r>
      <w:r w:rsidRPr="00A55E2C">
        <w:rPr>
          <w:rFonts w:ascii="Arial Narrow" w:hAnsi="Arial Narrow" w:cs="Arial"/>
          <w:sz w:val="28"/>
          <w:szCs w:val="28"/>
          <w:lang w:val="es-ES"/>
        </w:rPr>
        <w:t>encuentra esta Sala que lo dispuesto por la Jueza a-quo</w:t>
      </w:r>
      <w:r w:rsidR="00CD3511">
        <w:rPr>
          <w:rFonts w:ascii="Arial Narrow" w:hAnsi="Arial Narrow" w:cs="Arial"/>
          <w:sz w:val="28"/>
          <w:szCs w:val="28"/>
          <w:lang w:val="es-ES"/>
        </w:rPr>
        <w:t xml:space="preserve"> </w:t>
      </w:r>
      <w:r w:rsidR="004E1939">
        <w:rPr>
          <w:rFonts w:ascii="Arial Narrow" w:hAnsi="Arial Narrow" w:cs="Arial"/>
          <w:sz w:val="28"/>
          <w:szCs w:val="28"/>
          <w:lang w:val="es-ES"/>
        </w:rPr>
        <w:t xml:space="preserve">respecto a </w:t>
      </w:r>
      <w:r w:rsidR="001633D4">
        <w:rPr>
          <w:rFonts w:ascii="Arial Narrow" w:hAnsi="Arial Narrow" w:cs="Arial"/>
          <w:sz w:val="28"/>
          <w:szCs w:val="28"/>
          <w:lang w:val="es-ES"/>
        </w:rPr>
        <w:t xml:space="preserve">los demandantes </w:t>
      </w:r>
      <w:r w:rsidR="00CD3511">
        <w:rPr>
          <w:rFonts w:ascii="Arial Narrow" w:hAnsi="Arial Narrow" w:cs="Arial"/>
          <w:sz w:val="28"/>
          <w:szCs w:val="28"/>
          <w:lang w:val="es-ES"/>
        </w:rPr>
        <w:t>Jairo Ignacio González Díaz y Álvaro Giraldo Arango</w:t>
      </w:r>
      <w:r w:rsidRPr="00A55E2C">
        <w:rPr>
          <w:rFonts w:ascii="Arial Narrow" w:hAnsi="Arial Narrow" w:cs="Arial"/>
          <w:sz w:val="28"/>
          <w:szCs w:val="28"/>
          <w:lang w:val="es-ES"/>
        </w:rPr>
        <w:t xml:space="preserve">, </w:t>
      </w:r>
      <w:r w:rsidR="00382684" w:rsidRPr="00A55E2C">
        <w:rPr>
          <w:rFonts w:ascii="Arial Narrow" w:hAnsi="Arial Narrow" w:cs="Arial"/>
          <w:sz w:val="28"/>
          <w:szCs w:val="28"/>
          <w:lang w:val="es-ES"/>
        </w:rPr>
        <w:t>resulta adecuado</w:t>
      </w:r>
      <w:r w:rsidR="00382684">
        <w:rPr>
          <w:rFonts w:ascii="Arial Narrow" w:hAnsi="Arial Narrow" w:cs="Arial"/>
          <w:sz w:val="28"/>
          <w:szCs w:val="28"/>
          <w:lang w:val="es-ES"/>
        </w:rPr>
        <w:t xml:space="preserve">, </w:t>
      </w:r>
      <w:r w:rsidRPr="00A55E2C">
        <w:rPr>
          <w:rFonts w:ascii="Arial Narrow" w:hAnsi="Arial Narrow" w:cs="Arial"/>
          <w:sz w:val="28"/>
          <w:szCs w:val="28"/>
          <w:lang w:val="es-ES"/>
        </w:rPr>
        <w:t xml:space="preserve">amén que tomó como fecha de desafiliación del sistema la de la última cotización, esto es, el </w:t>
      </w:r>
      <w:r w:rsidR="00CD3511">
        <w:rPr>
          <w:rFonts w:ascii="Arial Narrow" w:hAnsi="Arial Narrow" w:cs="Arial"/>
          <w:sz w:val="28"/>
          <w:szCs w:val="28"/>
          <w:lang w:val="es-ES"/>
        </w:rPr>
        <w:t xml:space="preserve">31 de marzo de 2013 y </w:t>
      </w:r>
      <w:r w:rsidR="00B12816">
        <w:rPr>
          <w:rFonts w:ascii="Arial Narrow" w:hAnsi="Arial Narrow" w:cs="Arial"/>
          <w:sz w:val="28"/>
          <w:szCs w:val="28"/>
          <w:lang w:val="es-ES"/>
        </w:rPr>
        <w:t>31 de diciembre de 2011</w:t>
      </w:r>
      <w:r w:rsidR="004A4208">
        <w:rPr>
          <w:rFonts w:ascii="Arial Narrow" w:hAnsi="Arial Narrow" w:cs="Arial"/>
          <w:sz w:val="28"/>
          <w:szCs w:val="28"/>
          <w:lang w:val="es-ES"/>
        </w:rPr>
        <w:t xml:space="preserve">, </w:t>
      </w:r>
      <w:r w:rsidR="00DE417E">
        <w:rPr>
          <w:rFonts w:ascii="Arial Narrow" w:hAnsi="Arial Narrow" w:cs="Arial"/>
          <w:sz w:val="28"/>
          <w:szCs w:val="28"/>
          <w:lang w:val="es-ES"/>
        </w:rPr>
        <w:t>en su orden</w:t>
      </w:r>
      <w:r w:rsidR="004A4208">
        <w:rPr>
          <w:rFonts w:ascii="Arial Narrow" w:hAnsi="Arial Narrow" w:cs="Arial"/>
          <w:sz w:val="28"/>
          <w:szCs w:val="28"/>
          <w:lang w:val="es-ES"/>
        </w:rPr>
        <w:t xml:space="preserve">, </w:t>
      </w:r>
      <w:r w:rsidRPr="00A55E2C">
        <w:rPr>
          <w:rFonts w:ascii="Arial Narrow" w:hAnsi="Arial Narrow" w:cs="Arial"/>
          <w:sz w:val="28"/>
          <w:szCs w:val="28"/>
          <w:lang w:val="es-ES"/>
        </w:rPr>
        <w:t xml:space="preserve">fecha en que además </w:t>
      </w:r>
      <w:r w:rsidR="00162A1D">
        <w:rPr>
          <w:rFonts w:ascii="Arial Narrow" w:hAnsi="Arial Narrow" w:cs="Arial"/>
          <w:sz w:val="28"/>
          <w:szCs w:val="28"/>
          <w:lang w:val="es-ES"/>
        </w:rPr>
        <w:t xml:space="preserve">los demandantes </w:t>
      </w:r>
      <w:r w:rsidR="001633D4">
        <w:rPr>
          <w:rFonts w:ascii="Arial Narrow" w:hAnsi="Arial Narrow" w:cs="Arial"/>
          <w:sz w:val="28"/>
          <w:szCs w:val="28"/>
          <w:lang w:val="es-ES"/>
        </w:rPr>
        <w:t>ya tenían reunidos l</w:t>
      </w:r>
      <w:r w:rsidR="00F43F26">
        <w:rPr>
          <w:rFonts w:ascii="Arial Narrow" w:hAnsi="Arial Narrow" w:cs="Arial"/>
          <w:sz w:val="28"/>
          <w:szCs w:val="28"/>
          <w:lang w:val="es-ES"/>
        </w:rPr>
        <w:t xml:space="preserve">os requisitos legales para acceder al derecho </w:t>
      </w:r>
      <w:r w:rsidR="001633D4">
        <w:rPr>
          <w:rFonts w:ascii="Arial Narrow" w:hAnsi="Arial Narrow" w:cs="Arial"/>
          <w:sz w:val="28"/>
          <w:szCs w:val="28"/>
          <w:lang w:val="es-ES"/>
        </w:rPr>
        <w:t>pensional</w:t>
      </w:r>
      <w:r w:rsidR="009F45D8">
        <w:rPr>
          <w:rFonts w:ascii="Arial Narrow" w:hAnsi="Arial Narrow" w:cs="Arial"/>
          <w:sz w:val="28"/>
          <w:szCs w:val="28"/>
          <w:lang w:val="es-ES"/>
        </w:rPr>
        <w:t xml:space="preserve">, </w:t>
      </w:r>
      <w:r w:rsidRPr="00A55E2C">
        <w:rPr>
          <w:rFonts w:ascii="Arial Narrow" w:hAnsi="Arial Narrow" w:cs="Arial"/>
          <w:sz w:val="28"/>
          <w:szCs w:val="28"/>
          <w:lang w:val="es-ES"/>
        </w:rPr>
        <w:t>siendo viable el disfrute a partir del día siguiente, es d</w:t>
      </w:r>
      <w:r>
        <w:rPr>
          <w:rFonts w:ascii="Arial Narrow" w:hAnsi="Arial Narrow" w:cs="Arial"/>
          <w:sz w:val="28"/>
          <w:szCs w:val="28"/>
          <w:lang w:val="es-ES"/>
        </w:rPr>
        <w:t xml:space="preserve">ecir, </w:t>
      </w:r>
      <w:r w:rsidR="00197857">
        <w:rPr>
          <w:rFonts w:ascii="Arial Narrow" w:hAnsi="Arial Narrow" w:cs="Arial"/>
          <w:sz w:val="28"/>
          <w:szCs w:val="28"/>
          <w:lang w:val="es-ES"/>
        </w:rPr>
        <w:t>d</w:t>
      </w:r>
      <w:r>
        <w:rPr>
          <w:rFonts w:ascii="Arial Narrow" w:hAnsi="Arial Narrow" w:cs="Arial"/>
          <w:sz w:val="28"/>
          <w:szCs w:val="28"/>
          <w:lang w:val="es-ES"/>
        </w:rPr>
        <w:t xml:space="preserve">el 1 de </w:t>
      </w:r>
      <w:r w:rsidR="00957279">
        <w:rPr>
          <w:rFonts w:ascii="Arial Narrow" w:hAnsi="Arial Narrow" w:cs="Arial"/>
          <w:sz w:val="28"/>
          <w:szCs w:val="28"/>
          <w:lang w:val="es-ES"/>
        </w:rPr>
        <w:t>abril de 2013 en caso del señor González Díaz, y</w:t>
      </w:r>
      <w:r w:rsidR="00DE417E">
        <w:rPr>
          <w:rFonts w:ascii="Arial Narrow" w:hAnsi="Arial Narrow" w:cs="Arial"/>
          <w:sz w:val="28"/>
          <w:szCs w:val="28"/>
          <w:lang w:val="es-ES"/>
        </w:rPr>
        <w:t xml:space="preserve"> </w:t>
      </w:r>
      <w:r w:rsidR="00197857">
        <w:rPr>
          <w:rFonts w:ascii="Arial Narrow" w:hAnsi="Arial Narrow" w:cs="Arial"/>
          <w:sz w:val="28"/>
          <w:szCs w:val="28"/>
          <w:lang w:val="es-ES"/>
        </w:rPr>
        <w:t>d</w:t>
      </w:r>
      <w:r w:rsidR="00DE417E">
        <w:rPr>
          <w:rFonts w:ascii="Arial Narrow" w:hAnsi="Arial Narrow" w:cs="Arial"/>
          <w:sz w:val="28"/>
          <w:szCs w:val="28"/>
          <w:lang w:val="es-ES"/>
        </w:rPr>
        <w:t xml:space="preserve">el </w:t>
      </w:r>
      <w:r w:rsidR="00957279">
        <w:rPr>
          <w:rFonts w:ascii="Arial Narrow" w:hAnsi="Arial Narrow" w:cs="Arial"/>
          <w:sz w:val="28"/>
          <w:szCs w:val="28"/>
          <w:lang w:val="es-ES"/>
        </w:rPr>
        <w:t xml:space="preserve">1º de enero de 2012 </w:t>
      </w:r>
      <w:r w:rsidR="00DE417E">
        <w:rPr>
          <w:rFonts w:ascii="Arial Narrow" w:hAnsi="Arial Narrow" w:cs="Arial"/>
          <w:sz w:val="28"/>
          <w:szCs w:val="28"/>
          <w:lang w:val="es-ES"/>
        </w:rPr>
        <w:t xml:space="preserve">para </w:t>
      </w:r>
      <w:r w:rsidR="00957279">
        <w:rPr>
          <w:rFonts w:ascii="Arial Narrow" w:hAnsi="Arial Narrow" w:cs="Arial"/>
          <w:sz w:val="28"/>
          <w:szCs w:val="28"/>
          <w:lang w:val="es-ES"/>
        </w:rPr>
        <w:t xml:space="preserve">Giraldo Arango, </w:t>
      </w:r>
      <w:r w:rsidR="00B84B1E">
        <w:rPr>
          <w:rFonts w:ascii="Arial Narrow" w:hAnsi="Arial Narrow" w:cs="Arial"/>
          <w:sz w:val="28"/>
          <w:szCs w:val="28"/>
          <w:lang w:val="es-ES"/>
        </w:rPr>
        <w:t>m</w:t>
      </w:r>
      <w:r w:rsidR="00DE417E">
        <w:rPr>
          <w:rFonts w:ascii="Arial Narrow" w:hAnsi="Arial Narrow" w:cs="Arial"/>
          <w:sz w:val="28"/>
          <w:szCs w:val="28"/>
          <w:lang w:val="es-ES"/>
        </w:rPr>
        <w:t>á</w:t>
      </w:r>
      <w:r w:rsidR="00382684">
        <w:rPr>
          <w:rFonts w:ascii="Arial Narrow" w:hAnsi="Arial Narrow" w:cs="Arial"/>
          <w:sz w:val="28"/>
          <w:szCs w:val="28"/>
          <w:lang w:val="es-ES"/>
        </w:rPr>
        <w:t>s</w:t>
      </w:r>
      <w:r w:rsidR="00DE417E">
        <w:rPr>
          <w:rFonts w:ascii="Arial Narrow" w:hAnsi="Arial Narrow" w:cs="Arial"/>
          <w:sz w:val="28"/>
          <w:szCs w:val="28"/>
          <w:lang w:val="es-ES"/>
        </w:rPr>
        <w:t xml:space="preserve"> cuando la  solicitud pensional </w:t>
      </w:r>
      <w:r w:rsidR="00AE4653">
        <w:rPr>
          <w:rFonts w:ascii="Arial Narrow" w:hAnsi="Arial Narrow" w:cs="Arial"/>
          <w:sz w:val="28"/>
          <w:szCs w:val="28"/>
          <w:lang w:val="es-ES"/>
        </w:rPr>
        <w:t xml:space="preserve">la radicaron el </w:t>
      </w:r>
      <w:r w:rsidR="00DE417E">
        <w:rPr>
          <w:rFonts w:ascii="Arial Narrow" w:hAnsi="Arial Narrow" w:cs="Arial"/>
          <w:sz w:val="28"/>
          <w:szCs w:val="28"/>
          <w:lang w:val="es-ES"/>
        </w:rPr>
        <w:t>12 de diciembre de 2011 y 25 de enero de 2012, respectivamente</w:t>
      </w:r>
      <w:r w:rsidR="0073456A">
        <w:rPr>
          <w:rFonts w:ascii="Arial Narrow" w:hAnsi="Arial Narrow" w:cs="Arial"/>
          <w:sz w:val="28"/>
          <w:szCs w:val="28"/>
          <w:lang w:val="es-ES"/>
        </w:rPr>
        <w:t xml:space="preserve">, </w:t>
      </w:r>
      <w:r w:rsidR="001633D4">
        <w:rPr>
          <w:rFonts w:ascii="Arial Narrow" w:hAnsi="Arial Narrow" w:cs="Arial"/>
          <w:sz w:val="28"/>
          <w:szCs w:val="28"/>
          <w:lang w:val="es-ES"/>
        </w:rPr>
        <w:t xml:space="preserve">lo cual permite concluir que la intención de los demandantes de no seguir vinculados con el sistema de pensiones quedó establecido no sólo con la cesación definitiva en el pago de los aportes, sino también con la solicitud de pago de la pensión </w:t>
      </w:r>
      <w:r w:rsidR="00DE417E">
        <w:rPr>
          <w:rFonts w:ascii="Arial Narrow" w:hAnsi="Arial Narrow" w:cs="Arial"/>
          <w:sz w:val="28"/>
          <w:szCs w:val="28"/>
          <w:lang w:val="es-ES"/>
        </w:rPr>
        <w:t>(ver fls.63 y 356).</w:t>
      </w:r>
    </w:p>
    <w:p w:rsidR="00197857" w:rsidRPr="0073456A" w:rsidRDefault="00197857" w:rsidP="0073456A">
      <w:pPr>
        <w:pStyle w:val="Sansinterligne"/>
      </w:pPr>
    </w:p>
    <w:p w:rsidR="00197857" w:rsidRDefault="00197857" w:rsidP="00DE417E">
      <w:pPr>
        <w:spacing w:line="360" w:lineRule="auto"/>
        <w:ind w:firstLine="709"/>
        <w:jc w:val="both"/>
        <w:rPr>
          <w:rFonts w:ascii="Arial Narrow" w:hAnsi="Arial Narrow" w:cs="Arial"/>
          <w:sz w:val="28"/>
          <w:szCs w:val="28"/>
          <w:lang w:val="es-ES"/>
        </w:rPr>
      </w:pPr>
      <w:r>
        <w:rPr>
          <w:rFonts w:ascii="Arial Narrow" w:hAnsi="Arial Narrow" w:cs="Arial"/>
          <w:sz w:val="28"/>
          <w:szCs w:val="28"/>
          <w:lang w:val="es-ES"/>
        </w:rPr>
        <w:lastRenderedPageBreak/>
        <w:t xml:space="preserve">Jairo Ignacio González Díaz, cumplió la edad el 10 de diciembre de 2011 y </w:t>
      </w:r>
      <w:r w:rsidR="000F1F72">
        <w:rPr>
          <w:rFonts w:ascii="Arial Narrow" w:hAnsi="Arial Narrow" w:cs="Arial"/>
          <w:sz w:val="28"/>
          <w:szCs w:val="28"/>
          <w:lang w:val="es-ES"/>
        </w:rPr>
        <w:t xml:space="preserve">sufragó un total de 1.889 semanas de aportes al sistema entre el </w:t>
      </w:r>
      <w:r>
        <w:rPr>
          <w:rFonts w:ascii="Arial Narrow" w:hAnsi="Arial Narrow" w:cs="Arial"/>
          <w:sz w:val="28"/>
          <w:szCs w:val="28"/>
          <w:lang w:val="es-ES"/>
        </w:rPr>
        <w:t>entre el</w:t>
      </w:r>
      <w:r w:rsidR="0073456A">
        <w:rPr>
          <w:rFonts w:ascii="Arial Narrow" w:hAnsi="Arial Narrow" w:cs="Arial"/>
          <w:sz w:val="28"/>
          <w:szCs w:val="28"/>
          <w:lang w:val="es-ES"/>
        </w:rPr>
        <w:t xml:space="preserve"> 1 de septiembre de </w:t>
      </w:r>
      <w:r w:rsidR="000F1F72">
        <w:rPr>
          <w:rFonts w:ascii="Arial Narrow" w:hAnsi="Arial Narrow" w:cs="Arial"/>
          <w:sz w:val="28"/>
          <w:szCs w:val="28"/>
          <w:lang w:val="es-ES"/>
        </w:rPr>
        <w:t>1</w:t>
      </w:r>
      <w:r w:rsidR="0073456A">
        <w:rPr>
          <w:rFonts w:ascii="Arial Narrow" w:hAnsi="Arial Narrow" w:cs="Arial"/>
          <w:sz w:val="28"/>
          <w:szCs w:val="28"/>
          <w:lang w:val="es-ES"/>
        </w:rPr>
        <w:t>973 y el 31 de marzo</w:t>
      </w:r>
      <w:r w:rsidR="000F1F72">
        <w:rPr>
          <w:rFonts w:ascii="Arial Narrow" w:hAnsi="Arial Narrow" w:cs="Arial"/>
          <w:sz w:val="28"/>
          <w:szCs w:val="28"/>
          <w:lang w:val="es-ES"/>
        </w:rPr>
        <w:t xml:space="preserve"> de 2013 –fl.</w:t>
      </w:r>
      <w:r w:rsidR="0073456A">
        <w:rPr>
          <w:rFonts w:ascii="Arial Narrow" w:hAnsi="Arial Narrow" w:cs="Arial"/>
          <w:sz w:val="28"/>
          <w:szCs w:val="28"/>
          <w:lang w:val="es-ES"/>
        </w:rPr>
        <w:t>12</w:t>
      </w:r>
      <w:r w:rsidR="00F43F26">
        <w:rPr>
          <w:rFonts w:ascii="Arial Narrow" w:hAnsi="Arial Narrow" w:cs="Arial"/>
          <w:sz w:val="28"/>
          <w:szCs w:val="28"/>
          <w:lang w:val="es-ES"/>
        </w:rPr>
        <w:t xml:space="preserve"> y 33</w:t>
      </w:r>
      <w:r w:rsidR="000F1F72">
        <w:rPr>
          <w:rFonts w:ascii="Arial Narrow" w:hAnsi="Arial Narrow" w:cs="Arial"/>
          <w:sz w:val="28"/>
          <w:szCs w:val="28"/>
          <w:lang w:val="es-ES"/>
        </w:rPr>
        <w:t xml:space="preserve">- </w:t>
      </w:r>
      <w:r w:rsidR="0073456A">
        <w:rPr>
          <w:rFonts w:ascii="Arial Narrow" w:hAnsi="Arial Narrow" w:cs="Arial"/>
          <w:sz w:val="28"/>
          <w:szCs w:val="28"/>
          <w:lang w:val="es-ES"/>
        </w:rPr>
        <w:t xml:space="preserve">. Por su parte, </w:t>
      </w:r>
      <w:r w:rsidR="000F1F72">
        <w:rPr>
          <w:rFonts w:ascii="Arial Narrow" w:hAnsi="Arial Narrow" w:cs="Arial"/>
          <w:sz w:val="28"/>
          <w:szCs w:val="28"/>
          <w:lang w:val="es-ES"/>
        </w:rPr>
        <w:t xml:space="preserve">el señor </w:t>
      </w:r>
      <w:r w:rsidR="00F43F26">
        <w:rPr>
          <w:rFonts w:ascii="Arial Narrow" w:hAnsi="Arial Narrow" w:cs="Arial"/>
          <w:sz w:val="28"/>
          <w:szCs w:val="28"/>
          <w:lang w:val="es-ES"/>
        </w:rPr>
        <w:t>Álvaro</w:t>
      </w:r>
      <w:r w:rsidR="0073456A">
        <w:rPr>
          <w:rFonts w:ascii="Arial Narrow" w:hAnsi="Arial Narrow" w:cs="Arial"/>
          <w:sz w:val="28"/>
          <w:szCs w:val="28"/>
          <w:lang w:val="es-ES"/>
        </w:rPr>
        <w:t xml:space="preserve"> Giraldo Arango, cumplió la edad el 31 de diciembre de 2011 y cotizó un total de </w:t>
      </w:r>
      <w:r w:rsidR="00F43F26">
        <w:rPr>
          <w:rFonts w:ascii="Arial Narrow" w:hAnsi="Arial Narrow" w:cs="Arial"/>
          <w:sz w:val="28"/>
          <w:szCs w:val="28"/>
          <w:lang w:val="es-ES"/>
        </w:rPr>
        <w:t>1.803 semanas entre el 15 de febrero de 1974 y el 31 de diciembre de 2011</w:t>
      </w:r>
      <w:r w:rsidR="000F1F72">
        <w:rPr>
          <w:rFonts w:ascii="Arial Narrow" w:hAnsi="Arial Narrow" w:cs="Arial"/>
          <w:sz w:val="28"/>
          <w:szCs w:val="28"/>
          <w:lang w:val="es-ES"/>
        </w:rPr>
        <w:t xml:space="preserve"> –fl.</w:t>
      </w:r>
      <w:r w:rsidR="00F43F26">
        <w:rPr>
          <w:rFonts w:ascii="Arial Narrow" w:hAnsi="Arial Narrow" w:cs="Arial"/>
          <w:sz w:val="28"/>
          <w:szCs w:val="28"/>
          <w:lang w:val="es-ES"/>
        </w:rPr>
        <w:t xml:space="preserve">153 y 341. </w:t>
      </w:r>
    </w:p>
    <w:p w:rsidR="004D3925" w:rsidRDefault="004D3925" w:rsidP="004047D4">
      <w:pPr>
        <w:pStyle w:val="Sansinterligne"/>
        <w:rPr>
          <w:lang w:val="es-ES"/>
        </w:rPr>
      </w:pPr>
    </w:p>
    <w:p w:rsidR="004D3925" w:rsidRDefault="004D3925" w:rsidP="00DE417E">
      <w:pPr>
        <w:spacing w:line="360" w:lineRule="auto"/>
        <w:ind w:firstLine="709"/>
        <w:jc w:val="both"/>
        <w:rPr>
          <w:rFonts w:ascii="Arial Narrow" w:hAnsi="Arial Narrow" w:cs="Arial"/>
          <w:sz w:val="28"/>
          <w:szCs w:val="28"/>
          <w:lang w:val="es-ES"/>
        </w:rPr>
      </w:pPr>
      <w:r>
        <w:rPr>
          <w:rFonts w:ascii="Arial Narrow" w:hAnsi="Arial Narrow" w:cs="Arial"/>
          <w:sz w:val="28"/>
          <w:szCs w:val="28"/>
          <w:lang w:val="es-ES"/>
        </w:rPr>
        <w:t>Por lo anterior, se confirmará este punto de la sentencia objeto de consulta.</w:t>
      </w:r>
    </w:p>
    <w:p w:rsidR="00F61ED8" w:rsidRDefault="00F61ED8" w:rsidP="00F61ED8">
      <w:pPr>
        <w:pStyle w:val="Sansinterligne"/>
        <w:rPr>
          <w:lang w:val="es-ES"/>
        </w:rPr>
      </w:pPr>
    </w:p>
    <w:p w:rsidR="002E49A7" w:rsidRPr="000B4EAE" w:rsidRDefault="00F61ED8" w:rsidP="002E49A7">
      <w:pPr>
        <w:spacing w:line="360" w:lineRule="auto"/>
        <w:ind w:firstLine="851"/>
        <w:jc w:val="both"/>
        <w:rPr>
          <w:rFonts w:ascii="Arial Narrow" w:hAnsi="Arial Narrow" w:cs="Arial"/>
          <w:i/>
          <w:sz w:val="28"/>
          <w:szCs w:val="28"/>
          <w:lang w:val="es-ES"/>
        </w:rPr>
      </w:pPr>
      <w:r>
        <w:rPr>
          <w:rFonts w:ascii="Arial Narrow" w:hAnsi="Arial Narrow" w:cs="Arial"/>
          <w:sz w:val="28"/>
          <w:szCs w:val="28"/>
        </w:rPr>
        <w:t xml:space="preserve">En lo tocante con </w:t>
      </w:r>
      <w:r w:rsidR="00997260">
        <w:rPr>
          <w:rFonts w:ascii="Arial Narrow" w:hAnsi="Arial Narrow"/>
          <w:sz w:val="28"/>
          <w:szCs w:val="28"/>
        </w:rPr>
        <w:t xml:space="preserve">la condena </w:t>
      </w:r>
      <w:r>
        <w:rPr>
          <w:rFonts w:ascii="Arial Narrow" w:hAnsi="Arial Narrow" w:cs="Arial"/>
          <w:sz w:val="28"/>
          <w:szCs w:val="28"/>
        </w:rPr>
        <w:t xml:space="preserve">a los intereses moratorios a los cuales accedió la a-quo en relación con el demandante </w:t>
      </w:r>
      <w:r w:rsidR="00F963B8">
        <w:rPr>
          <w:rFonts w:ascii="Arial Narrow" w:hAnsi="Arial Narrow"/>
          <w:sz w:val="28"/>
          <w:szCs w:val="28"/>
        </w:rPr>
        <w:t xml:space="preserve">Álvaro </w:t>
      </w:r>
      <w:r w:rsidR="00F963B8">
        <w:rPr>
          <w:rFonts w:ascii="Arial Narrow" w:hAnsi="Arial Narrow" w:cs="Arial"/>
          <w:sz w:val="28"/>
          <w:szCs w:val="28"/>
        </w:rPr>
        <w:t xml:space="preserve">Arango Giraldo, </w:t>
      </w:r>
      <w:r w:rsidR="002E49A7">
        <w:rPr>
          <w:rFonts w:ascii="Arial Narrow" w:hAnsi="Arial Narrow" w:cs="Arial"/>
          <w:sz w:val="28"/>
          <w:szCs w:val="28"/>
          <w:lang w:val="es-ES"/>
        </w:rPr>
        <w:t xml:space="preserve">lo primero que debe decirse es que </w:t>
      </w:r>
      <w:r w:rsidR="00AE4653">
        <w:rPr>
          <w:rFonts w:ascii="Arial Narrow" w:hAnsi="Arial Narrow" w:cs="Arial"/>
          <w:sz w:val="28"/>
          <w:szCs w:val="28"/>
          <w:lang w:val="es-ES"/>
        </w:rPr>
        <w:t xml:space="preserve">los mismos </w:t>
      </w:r>
      <w:r w:rsidR="002E49A7">
        <w:rPr>
          <w:rFonts w:ascii="Arial Narrow" w:hAnsi="Arial Narrow" w:cs="Arial"/>
          <w:sz w:val="28"/>
          <w:szCs w:val="28"/>
          <w:lang w:val="es-ES"/>
        </w:rPr>
        <w:t xml:space="preserve">no están atados a </w:t>
      </w:r>
      <w:r w:rsidR="00AE4653">
        <w:rPr>
          <w:rFonts w:ascii="Arial Narrow" w:hAnsi="Arial Narrow" w:cs="Arial"/>
          <w:sz w:val="28"/>
          <w:szCs w:val="28"/>
          <w:lang w:val="es-ES"/>
        </w:rPr>
        <w:t>comprobar</w:t>
      </w:r>
      <w:r w:rsidR="002E49A7">
        <w:rPr>
          <w:rFonts w:ascii="Arial Narrow" w:hAnsi="Arial Narrow" w:cs="Arial"/>
          <w:sz w:val="28"/>
          <w:szCs w:val="28"/>
          <w:lang w:val="es-ES"/>
        </w:rPr>
        <w:t xml:space="preserve"> ninguna circunstancia subjetiva de la entidad, sino que lo único que debe verificarse es la tardanza en el cumplimiento de las prestaciones que están a su cargo. Así lo ha dicho la Sala de Casación Laboral de la Corte Suprema de Justicia</w:t>
      </w:r>
      <w:r w:rsidR="002E49A7">
        <w:rPr>
          <w:rStyle w:val="Appelnotedebasdep"/>
          <w:rFonts w:ascii="Arial Narrow" w:hAnsi="Arial Narrow" w:cs="Arial"/>
          <w:i/>
          <w:sz w:val="28"/>
          <w:szCs w:val="28"/>
          <w:lang w:val="es-ES"/>
        </w:rPr>
        <w:footnoteReference w:id="1"/>
      </w:r>
      <w:r w:rsidR="002E49A7" w:rsidRPr="000B4EAE">
        <w:rPr>
          <w:rFonts w:ascii="Arial Narrow" w:hAnsi="Arial Narrow" w:cs="Arial"/>
          <w:i/>
          <w:sz w:val="28"/>
          <w:szCs w:val="28"/>
          <w:lang w:val="es-ES"/>
        </w:rPr>
        <w:t>.</w:t>
      </w:r>
    </w:p>
    <w:p w:rsidR="002E49A7" w:rsidRDefault="002E49A7" w:rsidP="00AE4653">
      <w:pPr>
        <w:pStyle w:val="Sansinterligne"/>
        <w:rPr>
          <w:lang w:val="es-ES"/>
        </w:rPr>
      </w:pPr>
    </w:p>
    <w:p w:rsidR="002E49A7" w:rsidRDefault="002E49A7" w:rsidP="002E49A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determinar si existe tardanza en el pago de prestaciones sociales, valga decir que es indispensable determinar los plazo</w:t>
      </w:r>
      <w:r w:rsidR="004047D4">
        <w:rPr>
          <w:rFonts w:ascii="Arial Narrow" w:hAnsi="Arial Narrow" w:cs="Arial"/>
          <w:sz w:val="28"/>
          <w:szCs w:val="28"/>
          <w:lang w:val="es-ES"/>
        </w:rPr>
        <w:t xml:space="preserve">s con que cuentan los fondos de </w:t>
      </w:r>
      <w:r>
        <w:rPr>
          <w:rFonts w:ascii="Arial Narrow" w:hAnsi="Arial Narrow" w:cs="Arial"/>
          <w:sz w:val="28"/>
          <w:szCs w:val="28"/>
          <w:lang w:val="es-ES"/>
        </w:rPr>
        <w:t>pensiones para iniciar a pagar una prestación. Tal plazo se encuentra establecido en la Ley 700 de 2001, artículo 4º, que reza:</w:t>
      </w:r>
    </w:p>
    <w:p w:rsidR="002E49A7" w:rsidRDefault="002E49A7" w:rsidP="004047D4">
      <w:pPr>
        <w:pStyle w:val="Sansinterligne"/>
        <w:rPr>
          <w:lang w:val="es-ES"/>
        </w:rPr>
      </w:pPr>
    </w:p>
    <w:p w:rsidR="002E49A7" w:rsidRDefault="002E49A7" w:rsidP="004047D4">
      <w:pPr>
        <w:ind w:firstLine="851"/>
        <w:jc w:val="both"/>
        <w:rPr>
          <w:rFonts w:ascii="Arial Narrow" w:hAnsi="Arial Narrow" w:cs="Arial"/>
          <w:i/>
          <w:sz w:val="28"/>
          <w:szCs w:val="28"/>
          <w:lang w:val="es-ES"/>
        </w:rPr>
      </w:pPr>
      <w:r>
        <w:rPr>
          <w:rFonts w:ascii="Arial Narrow" w:hAnsi="Arial Narrow" w:cs="Arial"/>
          <w:i/>
          <w:sz w:val="28"/>
          <w:szCs w:val="28"/>
          <w:lang w:val="es-ES"/>
        </w:rPr>
        <w:t>“</w:t>
      </w:r>
      <w:r w:rsidRPr="001F5B03">
        <w:rPr>
          <w:rFonts w:ascii="Arial Narrow" w:hAnsi="Arial Narrow" w:cs="Arial"/>
          <w:i/>
          <w:sz w:val="28"/>
          <w:szCs w:val="28"/>
          <w:lang w:val="es-ES"/>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r>
        <w:rPr>
          <w:rFonts w:ascii="Arial Narrow" w:hAnsi="Arial Narrow" w:cs="Arial"/>
          <w:i/>
          <w:sz w:val="28"/>
          <w:szCs w:val="28"/>
          <w:lang w:val="es-ES"/>
        </w:rPr>
        <w:t>”</w:t>
      </w:r>
      <w:r w:rsidRPr="001F5B03">
        <w:rPr>
          <w:rFonts w:ascii="Arial Narrow" w:hAnsi="Arial Narrow" w:cs="Arial"/>
          <w:i/>
          <w:sz w:val="28"/>
          <w:szCs w:val="28"/>
          <w:lang w:val="es-ES"/>
        </w:rPr>
        <w:t>.</w:t>
      </w:r>
    </w:p>
    <w:p w:rsidR="002E49A7" w:rsidRDefault="002E49A7" w:rsidP="004047D4">
      <w:pPr>
        <w:pStyle w:val="Sansinterligne"/>
        <w:spacing w:line="360" w:lineRule="auto"/>
        <w:rPr>
          <w:lang w:val="es-ES"/>
        </w:rPr>
      </w:pPr>
    </w:p>
    <w:p w:rsidR="002E49A7" w:rsidRDefault="002E49A7" w:rsidP="002E49A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se pregonará tardanza en el pago de las mesadas pensionales que contempla esta norma, cuando la persona haya solicitado la pensión y, teniendo derecho a ella, hayan pasado más de seis meses sin que se inicie el pago.</w:t>
      </w:r>
    </w:p>
    <w:p w:rsidR="002E49A7" w:rsidRDefault="002E49A7" w:rsidP="002E49A7">
      <w:pPr>
        <w:pStyle w:val="Sansinterligne"/>
        <w:rPr>
          <w:lang w:val="es-ES"/>
        </w:rPr>
      </w:pPr>
    </w:p>
    <w:p w:rsidR="00F61ED8" w:rsidRPr="00773E17" w:rsidRDefault="002E49A7" w:rsidP="00C50DA2">
      <w:pPr>
        <w:spacing w:line="360" w:lineRule="auto"/>
        <w:ind w:firstLine="851"/>
        <w:jc w:val="both"/>
        <w:rPr>
          <w:rFonts w:ascii="Arial Narrow" w:hAnsi="Arial Narrow" w:cs="Arial"/>
          <w:sz w:val="28"/>
          <w:szCs w:val="28"/>
          <w:lang w:val="es-CO"/>
        </w:rPr>
      </w:pPr>
      <w:r>
        <w:rPr>
          <w:rFonts w:ascii="Arial Narrow" w:hAnsi="Arial Narrow" w:cs="Arial"/>
          <w:sz w:val="28"/>
          <w:szCs w:val="28"/>
          <w:lang w:val="es-ES"/>
        </w:rPr>
        <w:t xml:space="preserve">En el caso del demandante </w:t>
      </w:r>
      <w:r>
        <w:rPr>
          <w:rFonts w:ascii="Arial Narrow" w:hAnsi="Arial Narrow"/>
          <w:sz w:val="28"/>
          <w:szCs w:val="28"/>
        </w:rPr>
        <w:t xml:space="preserve">Álvaro </w:t>
      </w:r>
      <w:r>
        <w:rPr>
          <w:rFonts w:ascii="Arial Narrow" w:hAnsi="Arial Narrow" w:cs="Arial"/>
          <w:sz w:val="28"/>
          <w:szCs w:val="28"/>
        </w:rPr>
        <w:t xml:space="preserve">Arango Giraldo, </w:t>
      </w:r>
      <w:r w:rsidR="00C12F23">
        <w:rPr>
          <w:rFonts w:ascii="Arial Narrow" w:hAnsi="Arial Narrow"/>
          <w:sz w:val="28"/>
          <w:szCs w:val="28"/>
          <w:lang w:val="es-CO"/>
        </w:rPr>
        <w:t xml:space="preserve">la imposición de dichos réditos es procedente a </w:t>
      </w:r>
      <w:r w:rsidR="009844B5">
        <w:rPr>
          <w:rFonts w:ascii="Arial Narrow" w:hAnsi="Arial Narrow"/>
          <w:sz w:val="28"/>
          <w:szCs w:val="28"/>
          <w:lang w:val="es-CO"/>
        </w:rPr>
        <w:t xml:space="preserve">partir del 26 de junio de 2012, </w:t>
      </w:r>
      <w:r w:rsidR="00FA550A">
        <w:rPr>
          <w:rFonts w:ascii="Arial Narrow" w:hAnsi="Arial Narrow"/>
          <w:sz w:val="28"/>
          <w:szCs w:val="28"/>
          <w:lang w:val="es-CO"/>
        </w:rPr>
        <w:t xml:space="preserve">pues la </w:t>
      </w:r>
      <w:r w:rsidR="00E67A3E">
        <w:rPr>
          <w:rFonts w:ascii="Arial Narrow" w:hAnsi="Arial Narrow"/>
          <w:sz w:val="28"/>
          <w:szCs w:val="28"/>
          <w:lang w:val="es-CO"/>
        </w:rPr>
        <w:t xml:space="preserve">reclamación </w:t>
      </w:r>
      <w:r w:rsidR="00FA550A">
        <w:rPr>
          <w:rFonts w:ascii="Arial Narrow" w:hAnsi="Arial Narrow"/>
          <w:sz w:val="28"/>
          <w:szCs w:val="28"/>
          <w:lang w:val="es-CO"/>
        </w:rPr>
        <w:t xml:space="preserve">se presentó </w:t>
      </w:r>
      <w:r w:rsidR="00C12F23">
        <w:rPr>
          <w:rFonts w:ascii="Arial Narrow" w:hAnsi="Arial Narrow"/>
          <w:sz w:val="28"/>
          <w:szCs w:val="28"/>
          <w:lang w:val="es-CO"/>
        </w:rPr>
        <w:t>e</w:t>
      </w:r>
      <w:r w:rsidR="00E67A3E">
        <w:rPr>
          <w:rFonts w:ascii="Arial Narrow" w:hAnsi="Arial Narrow"/>
          <w:sz w:val="28"/>
          <w:szCs w:val="28"/>
          <w:lang w:val="es-CO"/>
        </w:rPr>
        <w:t>l 25 de enero de 2012</w:t>
      </w:r>
      <w:r w:rsidR="004047D4">
        <w:rPr>
          <w:rFonts w:ascii="Arial Narrow" w:hAnsi="Arial Narrow"/>
          <w:sz w:val="28"/>
          <w:szCs w:val="28"/>
          <w:lang w:val="es-CO"/>
        </w:rPr>
        <w:t xml:space="preserve"> y </w:t>
      </w:r>
      <w:r w:rsidR="000010F3">
        <w:rPr>
          <w:rFonts w:ascii="Arial Narrow" w:hAnsi="Arial Narrow"/>
          <w:sz w:val="28"/>
          <w:szCs w:val="28"/>
          <w:lang w:val="es-CO"/>
        </w:rPr>
        <w:t>s</w:t>
      </w:r>
      <w:r w:rsidR="00FA550A">
        <w:rPr>
          <w:rFonts w:ascii="Arial Narrow" w:hAnsi="Arial Narrow"/>
          <w:sz w:val="28"/>
          <w:szCs w:val="28"/>
          <w:lang w:val="es-CO"/>
        </w:rPr>
        <w:t>ólo a partir del m</w:t>
      </w:r>
      <w:r w:rsidR="000010F3">
        <w:rPr>
          <w:rFonts w:ascii="Arial Narrow" w:hAnsi="Arial Narrow"/>
          <w:sz w:val="28"/>
          <w:szCs w:val="28"/>
          <w:lang w:val="es-CO"/>
        </w:rPr>
        <w:t xml:space="preserve">es de enero de 2013 </w:t>
      </w:r>
      <w:r w:rsidR="004047D4">
        <w:rPr>
          <w:rFonts w:ascii="Arial Narrow" w:hAnsi="Arial Narrow"/>
          <w:sz w:val="28"/>
          <w:szCs w:val="28"/>
          <w:lang w:val="es-CO"/>
        </w:rPr>
        <w:t xml:space="preserve">la entidad </w:t>
      </w:r>
      <w:r w:rsidR="00474042">
        <w:rPr>
          <w:rFonts w:ascii="Arial Narrow" w:hAnsi="Arial Narrow"/>
          <w:sz w:val="28"/>
          <w:szCs w:val="28"/>
          <w:lang w:val="es-CO"/>
        </w:rPr>
        <w:lastRenderedPageBreak/>
        <w:t>procedió a reconoce</w:t>
      </w:r>
      <w:r w:rsidR="002C56D4">
        <w:rPr>
          <w:rFonts w:ascii="Arial Narrow" w:hAnsi="Arial Narrow"/>
          <w:sz w:val="28"/>
          <w:szCs w:val="28"/>
          <w:lang w:val="es-CO"/>
        </w:rPr>
        <w:t>r</w:t>
      </w:r>
      <w:r w:rsidR="00474042">
        <w:rPr>
          <w:rFonts w:ascii="Arial Narrow" w:hAnsi="Arial Narrow"/>
          <w:sz w:val="28"/>
          <w:szCs w:val="28"/>
          <w:lang w:val="es-CO"/>
        </w:rPr>
        <w:t xml:space="preserve"> la </w:t>
      </w:r>
      <w:r w:rsidR="00FA550A">
        <w:rPr>
          <w:rFonts w:ascii="Arial Narrow" w:hAnsi="Arial Narrow"/>
          <w:sz w:val="28"/>
          <w:szCs w:val="28"/>
          <w:lang w:val="es-CO"/>
        </w:rPr>
        <w:t>prestación</w:t>
      </w:r>
      <w:r w:rsidR="00777074">
        <w:rPr>
          <w:rFonts w:ascii="Arial Narrow" w:hAnsi="Arial Narrow"/>
          <w:sz w:val="28"/>
          <w:szCs w:val="28"/>
          <w:lang w:val="es-CO"/>
        </w:rPr>
        <w:t xml:space="preserve">. Ahora, si bien </w:t>
      </w:r>
      <w:r w:rsidR="00474042">
        <w:rPr>
          <w:rFonts w:ascii="Arial Narrow" w:hAnsi="Arial Narrow"/>
          <w:sz w:val="28"/>
          <w:szCs w:val="28"/>
          <w:lang w:val="es-CO"/>
        </w:rPr>
        <w:t xml:space="preserve">la a-quo </w:t>
      </w:r>
      <w:r w:rsidR="008E48CE">
        <w:rPr>
          <w:rFonts w:ascii="Arial Narrow" w:hAnsi="Arial Narrow"/>
          <w:sz w:val="28"/>
          <w:szCs w:val="28"/>
          <w:lang w:val="es-CO"/>
        </w:rPr>
        <w:t>cometió un yerro a</w:t>
      </w:r>
      <w:r w:rsidR="00474042">
        <w:rPr>
          <w:rFonts w:ascii="Arial Narrow" w:hAnsi="Arial Narrow"/>
          <w:sz w:val="28"/>
          <w:szCs w:val="28"/>
          <w:lang w:val="es-CO"/>
        </w:rPr>
        <w:t xml:space="preserve">l limitar la condena al pago de </w:t>
      </w:r>
      <w:r w:rsidR="00BE4671">
        <w:rPr>
          <w:rFonts w:ascii="Arial Narrow" w:hAnsi="Arial Narrow"/>
          <w:sz w:val="28"/>
          <w:szCs w:val="28"/>
          <w:lang w:val="es-CO"/>
        </w:rPr>
        <w:t>dichos</w:t>
      </w:r>
      <w:r w:rsidR="00474042">
        <w:rPr>
          <w:rFonts w:ascii="Arial Narrow" w:hAnsi="Arial Narrow"/>
          <w:sz w:val="28"/>
          <w:szCs w:val="28"/>
          <w:lang w:val="es-CO"/>
        </w:rPr>
        <w:t xml:space="preserve"> réditos ha</w:t>
      </w:r>
      <w:r w:rsidR="00BE4671">
        <w:rPr>
          <w:rFonts w:ascii="Arial Narrow" w:hAnsi="Arial Narrow"/>
          <w:sz w:val="28"/>
          <w:szCs w:val="28"/>
          <w:lang w:val="es-CO"/>
        </w:rPr>
        <w:t xml:space="preserve">sta el 31 de diciembre de 2012, </w:t>
      </w:r>
      <w:r w:rsidR="00B123D2">
        <w:rPr>
          <w:rFonts w:ascii="Arial Narrow" w:hAnsi="Arial Narrow"/>
          <w:sz w:val="28"/>
          <w:szCs w:val="28"/>
          <w:lang w:val="es-CO"/>
        </w:rPr>
        <w:t xml:space="preserve">no será posible la modificación de la sentencia, toda vez que </w:t>
      </w:r>
      <w:r w:rsidR="00C50DA2">
        <w:rPr>
          <w:rFonts w:ascii="Arial Narrow" w:hAnsi="Arial Narrow"/>
          <w:sz w:val="28"/>
          <w:szCs w:val="28"/>
          <w:lang w:val="es-CO"/>
        </w:rPr>
        <w:t xml:space="preserve">este punto </w:t>
      </w:r>
      <w:r w:rsidR="00B123D2">
        <w:rPr>
          <w:rFonts w:ascii="Arial Narrow" w:hAnsi="Arial Narrow"/>
          <w:sz w:val="28"/>
          <w:szCs w:val="28"/>
          <w:lang w:val="es-CO"/>
        </w:rPr>
        <w:t xml:space="preserve">no fue materia de inconformidad </w:t>
      </w:r>
      <w:r w:rsidR="00C50DA2">
        <w:rPr>
          <w:rFonts w:ascii="Arial Narrow" w:hAnsi="Arial Narrow"/>
          <w:sz w:val="28"/>
          <w:szCs w:val="28"/>
          <w:lang w:val="es-CO"/>
        </w:rPr>
        <w:t xml:space="preserve">por el vocero judicial de la parte actora </w:t>
      </w:r>
      <w:r w:rsidR="00B123D2">
        <w:rPr>
          <w:rFonts w:ascii="Arial Narrow" w:hAnsi="Arial Narrow"/>
          <w:sz w:val="28"/>
          <w:szCs w:val="28"/>
          <w:lang w:val="es-CO"/>
        </w:rPr>
        <w:t xml:space="preserve">y está siendo analizado en virtud del grado jurisdiccional de consulta en favor de la entidad demandada. </w:t>
      </w:r>
    </w:p>
    <w:p w:rsidR="00067551" w:rsidRDefault="00773E17" w:rsidP="00067551">
      <w:pPr>
        <w:pStyle w:val="Textoindependiente34"/>
        <w:ind w:right="191" w:firstLine="708"/>
        <w:rPr>
          <w:rFonts w:ascii="Arial Narrow" w:hAnsi="Arial Narrow"/>
          <w:iCs/>
          <w:sz w:val="28"/>
          <w:szCs w:val="28"/>
          <w:lang w:val="es-ES"/>
        </w:rPr>
      </w:pPr>
      <w:r>
        <w:rPr>
          <w:rFonts w:ascii="Arial Narrow" w:hAnsi="Arial Narrow" w:cs="Arial Narrow"/>
          <w:color w:val="000000"/>
          <w:sz w:val="28"/>
          <w:szCs w:val="28"/>
        </w:rPr>
        <w:t xml:space="preserve">En cuanto a la condena </w:t>
      </w:r>
      <w:r w:rsidR="00067551">
        <w:rPr>
          <w:rFonts w:ascii="Arial Narrow" w:hAnsi="Arial Narrow" w:cs="Arial Narrow"/>
          <w:color w:val="000000"/>
          <w:sz w:val="28"/>
          <w:szCs w:val="28"/>
        </w:rPr>
        <w:t>por indexación del retroactivo pensional reconocido</w:t>
      </w:r>
      <w:r w:rsidR="00997260">
        <w:rPr>
          <w:rFonts w:ascii="Arial Narrow" w:hAnsi="Arial Narrow" w:cs="Arial Narrow"/>
          <w:color w:val="000000"/>
          <w:sz w:val="28"/>
          <w:szCs w:val="28"/>
        </w:rPr>
        <w:t xml:space="preserve"> en favor de Jairo Ignacio González Díaz</w:t>
      </w:r>
      <w:r w:rsidR="00067551">
        <w:rPr>
          <w:rFonts w:ascii="Arial Narrow" w:hAnsi="Arial Narrow" w:cs="Arial Narrow"/>
          <w:color w:val="000000"/>
          <w:sz w:val="28"/>
          <w:szCs w:val="28"/>
        </w:rPr>
        <w:t xml:space="preserve">, habrá que decir </w:t>
      </w:r>
      <w:r w:rsidR="00067551" w:rsidRPr="00B3358C">
        <w:rPr>
          <w:rFonts w:ascii="Arial Narrow" w:hAnsi="Arial Narrow"/>
          <w:iCs/>
          <w:sz w:val="28"/>
          <w:szCs w:val="28"/>
          <w:lang w:val="es-ES"/>
        </w:rPr>
        <w:t xml:space="preserve">que </w:t>
      </w:r>
      <w:r w:rsidR="00067551">
        <w:rPr>
          <w:rFonts w:ascii="Arial Narrow" w:hAnsi="Arial Narrow"/>
          <w:iCs/>
          <w:sz w:val="28"/>
          <w:szCs w:val="28"/>
          <w:lang w:val="es-ES"/>
        </w:rPr>
        <w:t>es</w:t>
      </w:r>
      <w:r w:rsidR="00067551" w:rsidRPr="00B3358C">
        <w:rPr>
          <w:rFonts w:ascii="Arial Narrow" w:hAnsi="Arial Narrow"/>
          <w:iCs/>
          <w:sz w:val="28"/>
          <w:szCs w:val="28"/>
          <w:lang w:val="es-ES"/>
        </w:rPr>
        <w:t xml:space="preserve"> procedente, </w:t>
      </w:r>
      <w:r w:rsidR="00067551">
        <w:rPr>
          <w:rFonts w:ascii="Arial Narrow" w:hAnsi="Arial Narrow"/>
          <w:iCs/>
          <w:sz w:val="28"/>
          <w:szCs w:val="28"/>
          <w:lang w:val="es-ES"/>
        </w:rPr>
        <w:t xml:space="preserve">en la medida en que permite </w:t>
      </w:r>
      <w:r w:rsidR="00067551" w:rsidRPr="00B3358C">
        <w:rPr>
          <w:rFonts w:ascii="Arial Narrow" w:hAnsi="Arial Narrow"/>
          <w:iCs/>
          <w:sz w:val="28"/>
          <w:szCs w:val="28"/>
          <w:lang w:val="es-ES"/>
        </w:rPr>
        <w:t>aminorar los efectos negativos que causa la inflación económica al valor nominal con el transcurso del tiempo</w:t>
      </w:r>
      <w:r w:rsidR="00067551">
        <w:rPr>
          <w:rFonts w:ascii="Arial Narrow" w:hAnsi="Arial Narrow"/>
          <w:iCs/>
          <w:sz w:val="28"/>
          <w:szCs w:val="28"/>
          <w:lang w:val="es-ES"/>
        </w:rPr>
        <w:t xml:space="preserve">. </w:t>
      </w:r>
      <w:r w:rsidR="00997260">
        <w:rPr>
          <w:rFonts w:ascii="Arial Narrow" w:hAnsi="Arial Narrow"/>
          <w:iCs/>
          <w:sz w:val="28"/>
          <w:szCs w:val="28"/>
          <w:lang w:val="es-ES"/>
        </w:rPr>
        <w:t>Por ende, se confirmará este punto de la sentencia.</w:t>
      </w:r>
    </w:p>
    <w:p w:rsidR="00EE5D71" w:rsidRPr="00C50DA2" w:rsidRDefault="00EE5D71" w:rsidP="00C50DA2">
      <w:pPr>
        <w:pStyle w:val="Sansinterligne"/>
      </w:pPr>
    </w:p>
    <w:p w:rsidR="001D22D5" w:rsidRPr="00166879" w:rsidRDefault="00764AEA" w:rsidP="00764AEA">
      <w:pPr>
        <w:spacing w:line="360" w:lineRule="auto"/>
        <w:ind w:firstLine="851"/>
        <w:jc w:val="both"/>
        <w:rPr>
          <w:rFonts w:ascii="Arial Narrow" w:hAnsi="Arial Narrow"/>
          <w:sz w:val="28"/>
          <w:szCs w:val="28"/>
        </w:rPr>
      </w:pPr>
      <w:r w:rsidRPr="00166879">
        <w:rPr>
          <w:rFonts w:ascii="Arial Narrow" w:hAnsi="Arial Narrow"/>
          <w:sz w:val="28"/>
          <w:szCs w:val="28"/>
        </w:rPr>
        <w:t xml:space="preserve">La excepción de prescripción no está llamada a prosperar, como quiera que en los términos del artículo 151 del C.P.T y S.S. y artículo 488 del C.S.T., no transcurrió el término trienal desde </w:t>
      </w:r>
      <w:r w:rsidR="001D22D5" w:rsidRPr="00166879">
        <w:rPr>
          <w:rFonts w:ascii="Arial Narrow" w:hAnsi="Arial Narrow"/>
          <w:sz w:val="28"/>
          <w:szCs w:val="28"/>
        </w:rPr>
        <w:t xml:space="preserve">que la exigibilidad del </w:t>
      </w:r>
      <w:r w:rsidR="00793694" w:rsidRPr="00166879">
        <w:rPr>
          <w:rFonts w:ascii="Arial Narrow" w:hAnsi="Arial Narrow"/>
          <w:sz w:val="28"/>
          <w:szCs w:val="28"/>
        </w:rPr>
        <w:t>derech</w:t>
      </w:r>
      <w:r w:rsidR="001D22D5" w:rsidRPr="00166879">
        <w:rPr>
          <w:rFonts w:ascii="Arial Narrow" w:hAnsi="Arial Narrow"/>
          <w:sz w:val="28"/>
          <w:szCs w:val="28"/>
        </w:rPr>
        <w:t xml:space="preserve">o pensional </w:t>
      </w:r>
      <w:r w:rsidRPr="00166879">
        <w:rPr>
          <w:rFonts w:ascii="Arial Narrow" w:hAnsi="Arial Narrow"/>
          <w:sz w:val="28"/>
          <w:szCs w:val="28"/>
        </w:rPr>
        <w:t xml:space="preserve">y la interposición de la demanda, </w:t>
      </w:r>
      <w:r w:rsidR="001D22D5" w:rsidRPr="00166879">
        <w:rPr>
          <w:rFonts w:ascii="Arial Narrow" w:hAnsi="Arial Narrow"/>
          <w:sz w:val="28"/>
          <w:szCs w:val="28"/>
        </w:rPr>
        <w:t xml:space="preserve">que en el caso del señor Jairo Ignacio González Díaz se dio el 24 de febrero de 2014, y de Álvaro Giraldo Arango el 3 de julio de esa anualidad (ver fls.10 y 135). </w:t>
      </w:r>
    </w:p>
    <w:p w:rsidR="001D22D5" w:rsidRPr="00F02C24" w:rsidRDefault="001D22D5" w:rsidP="00F02C24">
      <w:pPr>
        <w:pStyle w:val="Sansinterligne"/>
      </w:pPr>
    </w:p>
    <w:p w:rsidR="006E47F3" w:rsidRDefault="006E47F3" w:rsidP="006E47F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síntesis, se observa que la sentencia consultada es correcta tanto en sus apreciaciones fácticas como jurídicas y que, además, las operaciones efectuadas por la a quo, con miras a concretar las condenas, son correctas, por lo que, deberá confirmarse.</w:t>
      </w:r>
    </w:p>
    <w:p w:rsidR="006E47F3" w:rsidRPr="00966BF9" w:rsidRDefault="006E47F3" w:rsidP="00966BF9">
      <w:pPr>
        <w:pStyle w:val="Sansinterligne"/>
      </w:pPr>
    </w:p>
    <w:p w:rsidR="00F50655" w:rsidRDefault="005752C4" w:rsidP="004F62C0">
      <w:pPr>
        <w:spacing w:line="360" w:lineRule="auto"/>
        <w:ind w:firstLine="709"/>
        <w:jc w:val="both"/>
        <w:rPr>
          <w:rFonts w:ascii="Arial Narrow" w:hAnsi="Arial Narrow" w:cs="Arial"/>
          <w:sz w:val="28"/>
          <w:szCs w:val="28"/>
          <w:lang w:val="es-ES"/>
        </w:rPr>
      </w:pPr>
      <w:r>
        <w:rPr>
          <w:rFonts w:ascii="Arial Narrow" w:hAnsi="Arial Narrow" w:cs="Arial"/>
          <w:sz w:val="28"/>
          <w:szCs w:val="28"/>
          <w:lang w:val="es-ES"/>
        </w:rPr>
        <w:t>En punto a lo que fue materia de recurso de apelación</w:t>
      </w:r>
      <w:r w:rsidR="004F62C0">
        <w:rPr>
          <w:rFonts w:ascii="Arial Narrow" w:hAnsi="Arial Narrow" w:cs="Tahoma"/>
          <w:sz w:val="28"/>
          <w:szCs w:val="28"/>
        </w:rPr>
        <w:t>,</w:t>
      </w:r>
      <w:r>
        <w:rPr>
          <w:rFonts w:ascii="Arial Narrow" w:hAnsi="Arial Narrow" w:cs="Tahoma"/>
          <w:sz w:val="28"/>
          <w:szCs w:val="28"/>
        </w:rPr>
        <w:t xml:space="preserve"> partiendo de los supuestos normativos y jurisprudenciales antes citados, </w:t>
      </w:r>
      <w:r>
        <w:rPr>
          <w:rFonts w:ascii="Arial Narrow" w:hAnsi="Arial Narrow"/>
          <w:sz w:val="28"/>
          <w:szCs w:val="28"/>
          <w:lang w:val="es-CO"/>
        </w:rPr>
        <w:t xml:space="preserve">se tiene que </w:t>
      </w:r>
      <w:r w:rsidR="00887486">
        <w:rPr>
          <w:rFonts w:ascii="Arial Narrow" w:hAnsi="Arial Narrow"/>
          <w:sz w:val="28"/>
          <w:szCs w:val="28"/>
          <w:lang w:val="es-CO"/>
        </w:rPr>
        <w:t xml:space="preserve">la señora </w:t>
      </w:r>
      <w:r w:rsidR="00C63F89">
        <w:rPr>
          <w:rFonts w:ascii="Arial Narrow" w:hAnsi="Arial Narrow"/>
          <w:sz w:val="28"/>
          <w:szCs w:val="28"/>
          <w:lang w:val="es-CO"/>
        </w:rPr>
        <w:t xml:space="preserve">María Eugenia Sandoval </w:t>
      </w:r>
      <w:proofErr w:type="spellStart"/>
      <w:r w:rsidR="00C63F89">
        <w:rPr>
          <w:rFonts w:ascii="Arial Narrow" w:hAnsi="Arial Narrow"/>
          <w:sz w:val="28"/>
          <w:szCs w:val="28"/>
          <w:lang w:val="es-CO"/>
        </w:rPr>
        <w:t>Fonnegra</w:t>
      </w:r>
      <w:proofErr w:type="spellEnd"/>
      <w:r>
        <w:rPr>
          <w:rFonts w:ascii="Arial Narrow" w:hAnsi="Arial Narrow"/>
          <w:sz w:val="28"/>
          <w:szCs w:val="28"/>
          <w:lang w:val="es-CO"/>
        </w:rPr>
        <w:t>, cumplió los 55 años de edad el 14 de mayo de 2009</w:t>
      </w:r>
      <w:r w:rsidR="0010725E">
        <w:rPr>
          <w:rFonts w:ascii="Arial Narrow" w:hAnsi="Arial Narrow"/>
          <w:sz w:val="28"/>
          <w:szCs w:val="28"/>
          <w:lang w:val="es-CO"/>
        </w:rPr>
        <w:t xml:space="preserve">, tal como se desprende del documento visible a folio 175. </w:t>
      </w:r>
      <w:r w:rsidR="0010725E" w:rsidRPr="0010725E">
        <w:rPr>
          <w:rFonts w:ascii="Arial Narrow" w:hAnsi="Arial Narrow" w:cs="Arial"/>
          <w:sz w:val="28"/>
          <w:szCs w:val="28"/>
          <w:lang w:val="es-ES"/>
        </w:rPr>
        <w:t>Igualmente, se tiene certeza de que para ese momento, contaba con un total de 1.</w:t>
      </w:r>
      <w:r w:rsidR="007C232C">
        <w:rPr>
          <w:rFonts w:ascii="Arial Narrow" w:hAnsi="Arial Narrow" w:cs="Arial"/>
          <w:sz w:val="28"/>
          <w:szCs w:val="28"/>
          <w:lang w:val="es-ES"/>
        </w:rPr>
        <w:t xml:space="preserve">014, 97 </w:t>
      </w:r>
      <w:r w:rsidR="0010725E" w:rsidRPr="0010725E">
        <w:rPr>
          <w:rFonts w:ascii="Arial Narrow" w:hAnsi="Arial Narrow" w:cs="Arial"/>
          <w:sz w:val="28"/>
          <w:szCs w:val="28"/>
          <w:lang w:val="es-ES"/>
        </w:rPr>
        <w:t xml:space="preserve">semanas </w:t>
      </w:r>
      <w:r w:rsidR="0076419E">
        <w:rPr>
          <w:rFonts w:ascii="Arial Narrow" w:hAnsi="Arial Narrow" w:cs="Arial"/>
          <w:sz w:val="28"/>
          <w:szCs w:val="28"/>
          <w:lang w:val="es-ES"/>
        </w:rPr>
        <w:t xml:space="preserve">de aportes, </w:t>
      </w:r>
      <w:r w:rsidR="00887486">
        <w:rPr>
          <w:rFonts w:ascii="Arial Narrow" w:hAnsi="Arial Narrow" w:cs="Arial"/>
          <w:sz w:val="28"/>
          <w:szCs w:val="28"/>
          <w:lang w:val="es-ES"/>
        </w:rPr>
        <w:t xml:space="preserve">y que cesó en sus cotizaciones a partir del 1º de julio de 2009, acto </w:t>
      </w:r>
      <w:r w:rsidR="00570BEE">
        <w:rPr>
          <w:rFonts w:ascii="Arial Narrow" w:hAnsi="Arial Narrow" w:cs="Arial"/>
          <w:sz w:val="28"/>
          <w:szCs w:val="28"/>
          <w:lang w:val="es-ES"/>
        </w:rPr>
        <w:t xml:space="preserve">del cual se deduce su intención de no </w:t>
      </w:r>
      <w:r w:rsidR="00887486">
        <w:rPr>
          <w:rFonts w:ascii="Arial Narrow" w:hAnsi="Arial Narrow" w:cs="Arial"/>
          <w:sz w:val="28"/>
          <w:szCs w:val="28"/>
          <w:lang w:val="es-ES"/>
        </w:rPr>
        <w:t xml:space="preserve">seguir vinculado al régimen </w:t>
      </w:r>
      <w:r w:rsidR="00DD1D8E">
        <w:rPr>
          <w:rFonts w:ascii="Arial Narrow" w:hAnsi="Arial Narrow" w:cs="Arial"/>
          <w:sz w:val="28"/>
          <w:szCs w:val="28"/>
          <w:lang w:val="es-ES"/>
        </w:rPr>
        <w:t xml:space="preserve">de pensiones, </w:t>
      </w:r>
      <w:r w:rsidR="00570BEE">
        <w:rPr>
          <w:rFonts w:ascii="Arial Narrow" w:hAnsi="Arial Narrow" w:cs="Arial"/>
          <w:sz w:val="28"/>
          <w:szCs w:val="28"/>
          <w:lang w:val="es-ES"/>
        </w:rPr>
        <w:t xml:space="preserve">y que se constata además con los trámites que </w:t>
      </w:r>
      <w:r w:rsidR="00763B3A">
        <w:rPr>
          <w:rFonts w:ascii="Arial Narrow" w:hAnsi="Arial Narrow" w:cs="Arial"/>
          <w:sz w:val="28"/>
          <w:szCs w:val="28"/>
          <w:lang w:val="es-ES"/>
        </w:rPr>
        <w:t xml:space="preserve">adelantó </w:t>
      </w:r>
      <w:r w:rsidR="00DF7967">
        <w:rPr>
          <w:rFonts w:ascii="Arial Narrow" w:hAnsi="Arial Narrow" w:cs="Arial"/>
          <w:sz w:val="28"/>
          <w:szCs w:val="28"/>
          <w:lang w:val="es-ES"/>
        </w:rPr>
        <w:t xml:space="preserve">ante la AFP Protección S.A. con el propósito de </w:t>
      </w:r>
      <w:r w:rsidR="00B26DB1">
        <w:rPr>
          <w:rFonts w:ascii="Arial Narrow" w:hAnsi="Arial Narrow" w:cs="Arial"/>
          <w:sz w:val="28"/>
          <w:szCs w:val="28"/>
          <w:lang w:val="es-ES"/>
        </w:rPr>
        <w:t xml:space="preserve">que </w:t>
      </w:r>
      <w:r w:rsidR="00E7757C">
        <w:rPr>
          <w:rFonts w:ascii="Arial Narrow" w:hAnsi="Arial Narrow" w:cs="Arial"/>
          <w:sz w:val="28"/>
          <w:szCs w:val="28"/>
          <w:lang w:val="es-ES"/>
        </w:rPr>
        <w:t xml:space="preserve">ésta </w:t>
      </w:r>
      <w:r w:rsidR="00B26DB1">
        <w:rPr>
          <w:rFonts w:ascii="Arial Narrow" w:hAnsi="Arial Narrow" w:cs="Arial"/>
          <w:sz w:val="28"/>
          <w:szCs w:val="28"/>
          <w:lang w:val="es-ES"/>
        </w:rPr>
        <w:t xml:space="preserve">trasladara los aportes </w:t>
      </w:r>
      <w:r w:rsidR="00DF7967">
        <w:rPr>
          <w:rFonts w:ascii="Arial Narrow" w:hAnsi="Arial Narrow" w:cs="Arial"/>
          <w:sz w:val="28"/>
          <w:szCs w:val="28"/>
          <w:lang w:val="es-ES"/>
        </w:rPr>
        <w:t>al régimen de prim</w:t>
      </w:r>
      <w:r w:rsidR="0045683E">
        <w:rPr>
          <w:rFonts w:ascii="Arial Narrow" w:hAnsi="Arial Narrow" w:cs="Arial"/>
          <w:sz w:val="28"/>
          <w:szCs w:val="28"/>
          <w:lang w:val="es-ES"/>
        </w:rPr>
        <w:t xml:space="preserve">a media </w:t>
      </w:r>
      <w:r w:rsidR="00763B3A">
        <w:rPr>
          <w:rFonts w:ascii="Arial Narrow" w:hAnsi="Arial Narrow" w:cs="Arial"/>
          <w:sz w:val="28"/>
          <w:szCs w:val="28"/>
          <w:lang w:val="es-ES"/>
        </w:rPr>
        <w:t xml:space="preserve">con prestación definida </w:t>
      </w:r>
      <w:r w:rsidR="0045683E">
        <w:rPr>
          <w:rFonts w:ascii="Arial Narrow" w:hAnsi="Arial Narrow" w:cs="Arial"/>
          <w:sz w:val="28"/>
          <w:szCs w:val="28"/>
          <w:lang w:val="es-ES"/>
        </w:rPr>
        <w:t xml:space="preserve">administrado por el </w:t>
      </w:r>
      <w:r w:rsidR="00763B3A">
        <w:rPr>
          <w:rFonts w:ascii="Arial Narrow" w:hAnsi="Arial Narrow" w:cs="Arial"/>
          <w:sz w:val="28"/>
          <w:szCs w:val="28"/>
          <w:lang w:val="es-ES"/>
        </w:rPr>
        <w:t xml:space="preserve">antiguo </w:t>
      </w:r>
      <w:r w:rsidR="0045683E">
        <w:rPr>
          <w:rFonts w:ascii="Arial Narrow" w:hAnsi="Arial Narrow" w:cs="Arial"/>
          <w:sz w:val="28"/>
          <w:szCs w:val="28"/>
          <w:lang w:val="es-ES"/>
        </w:rPr>
        <w:t xml:space="preserve">ISS, para </w:t>
      </w:r>
      <w:r w:rsidR="00C50DA2">
        <w:rPr>
          <w:rFonts w:ascii="Arial Narrow" w:hAnsi="Arial Narrow" w:cs="Arial"/>
          <w:sz w:val="28"/>
          <w:szCs w:val="28"/>
          <w:lang w:val="es-ES"/>
        </w:rPr>
        <w:t>que</w:t>
      </w:r>
      <w:r w:rsidR="0045683E">
        <w:rPr>
          <w:rFonts w:ascii="Arial Narrow" w:hAnsi="Arial Narrow" w:cs="Arial"/>
          <w:sz w:val="28"/>
          <w:szCs w:val="28"/>
          <w:lang w:val="es-ES"/>
        </w:rPr>
        <w:t xml:space="preserve"> </w:t>
      </w:r>
      <w:r w:rsidR="000C6516">
        <w:rPr>
          <w:rFonts w:ascii="Arial Narrow" w:hAnsi="Arial Narrow" w:cs="Arial"/>
          <w:sz w:val="28"/>
          <w:szCs w:val="28"/>
          <w:lang w:val="es-ES"/>
        </w:rPr>
        <w:t xml:space="preserve">ésta </w:t>
      </w:r>
      <w:r w:rsidR="00B26DB1">
        <w:rPr>
          <w:rFonts w:ascii="Arial Narrow" w:hAnsi="Arial Narrow" w:cs="Arial"/>
          <w:sz w:val="28"/>
          <w:szCs w:val="28"/>
          <w:lang w:val="es-ES"/>
        </w:rPr>
        <w:t>posterior</w:t>
      </w:r>
      <w:r w:rsidR="000C6516">
        <w:rPr>
          <w:rFonts w:ascii="Arial Narrow" w:hAnsi="Arial Narrow" w:cs="Arial"/>
          <w:sz w:val="28"/>
          <w:szCs w:val="28"/>
          <w:lang w:val="es-ES"/>
        </w:rPr>
        <w:t xml:space="preserve">mente, procediera a reconocer </w:t>
      </w:r>
      <w:r w:rsidR="000C6516">
        <w:rPr>
          <w:rFonts w:ascii="Arial Narrow" w:hAnsi="Arial Narrow" w:cs="Arial"/>
          <w:sz w:val="28"/>
          <w:szCs w:val="28"/>
          <w:lang w:val="es-ES"/>
        </w:rPr>
        <w:lastRenderedPageBreak/>
        <w:t xml:space="preserve">y pagar </w:t>
      </w:r>
      <w:r w:rsidR="00C50DA2">
        <w:rPr>
          <w:rFonts w:ascii="Arial Narrow" w:hAnsi="Arial Narrow" w:cs="Arial"/>
          <w:sz w:val="28"/>
          <w:szCs w:val="28"/>
          <w:lang w:val="es-ES"/>
        </w:rPr>
        <w:t>la prestaci</w:t>
      </w:r>
      <w:r w:rsidR="000C6516">
        <w:rPr>
          <w:rFonts w:ascii="Arial Narrow" w:hAnsi="Arial Narrow" w:cs="Arial"/>
          <w:sz w:val="28"/>
          <w:szCs w:val="28"/>
          <w:lang w:val="es-ES"/>
        </w:rPr>
        <w:t>ón</w:t>
      </w:r>
      <w:r w:rsidR="00DE2723">
        <w:rPr>
          <w:rFonts w:ascii="Arial Narrow" w:hAnsi="Arial Narrow" w:cs="Arial"/>
          <w:sz w:val="28"/>
          <w:szCs w:val="28"/>
          <w:lang w:val="es-ES"/>
        </w:rPr>
        <w:t xml:space="preserve"> pensional</w:t>
      </w:r>
      <w:r w:rsidR="00D10262">
        <w:rPr>
          <w:rFonts w:ascii="Arial Narrow" w:hAnsi="Arial Narrow" w:cs="Arial"/>
          <w:sz w:val="28"/>
          <w:szCs w:val="28"/>
          <w:lang w:val="es-ES"/>
        </w:rPr>
        <w:t xml:space="preserve">; así se colige </w:t>
      </w:r>
      <w:r w:rsidR="00763B3A">
        <w:rPr>
          <w:rFonts w:ascii="Arial Narrow" w:hAnsi="Arial Narrow" w:cs="Arial"/>
          <w:sz w:val="28"/>
          <w:szCs w:val="28"/>
          <w:lang w:val="es-ES"/>
        </w:rPr>
        <w:t xml:space="preserve">del escrito </w:t>
      </w:r>
      <w:r w:rsidR="00E7757C">
        <w:rPr>
          <w:rFonts w:ascii="Arial Narrow" w:hAnsi="Arial Narrow" w:cs="Arial"/>
          <w:sz w:val="28"/>
          <w:szCs w:val="28"/>
          <w:lang w:val="es-ES"/>
        </w:rPr>
        <w:t>de tutela del 20 enero de 2010</w:t>
      </w:r>
      <w:r w:rsidR="00256540">
        <w:rPr>
          <w:rFonts w:ascii="Arial Narrow" w:hAnsi="Arial Narrow" w:cs="Arial"/>
          <w:sz w:val="28"/>
          <w:szCs w:val="28"/>
          <w:lang w:val="es-ES"/>
        </w:rPr>
        <w:t xml:space="preserve">, </w:t>
      </w:r>
      <w:r w:rsidR="00D10262">
        <w:rPr>
          <w:rFonts w:ascii="Arial Narrow" w:hAnsi="Arial Narrow" w:cs="Arial"/>
          <w:sz w:val="28"/>
          <w:szCs w:val="28"/>
          <w:lang w:val="es-ES"/>
        </w:rPr>
        <w:t>en el cual se relata que la pensión fue solicitada el 7 de julio de</w:t>
      </w:r>
      <w:r w:rsidR="001E2AB1">
        <w:rPr>
          <w:rFonts w:ascii="Arial Narrow" w:hAnsi="Arial Narrow" w:cs="Arial"/>
          <w:sz w:val="28"/>
          <w:szCs w:val="28"/>
          <w:lang w:val="es-ES"/>
        </w:rPr>
        <w:t xml:space="preserve"> 2009, ver folio 38.</w:t>
      </w:r>
    </w:p>
    <w:p w:rsidR="00256540" w:rsidRPr="00D10262" w:rsidRDefault="00256540" w:rsidP="00D10262">
      <w:pPr>
        <w:pStyle w:val="Sansinterligne"/>
      </w:pPr>
    </w:p>
    <w:p w:rsidR="000C3CF1" w:rsidRDefault="001E2AB1" w:rsidP="001E2AB1">
      <w:pPr>
        <w:pStyle w:val="Yo"/>
        <w:numPr>
          <w:ilvl w:val="0"/>
          <w:numId w:val="0"/>
        </w:numPr>
        <w:jc w:val="both"/>
        <w:rPr>
          <w:rFonts w:ascii="Arial Narrow" w:hAnsi="Arial Narrow"/>
          <w:b w:val="0"/>
        </w:rPr>
      </w:pPr>
      <w:r>
        <w:rPr>
          <w:rFonts w:ascii="Arial Narrow" w:hAnsi="Arial Narrow"/>
          <w:b w:val="0"/>
        </w:rPr>
        <w:tab/>
      </w:r>
      <w:r w:rsidR="005F74BA" w:rsidRPr="005F74BA">
        <w:rPr>
          <w:rFonts w:ascii="Arial Narrow" w:hAnsi="Arial Narrow"/>
          <w:b w:val="0"/>
        </w:rPr>
        <w:t xml:space="preserve">En ese orden de ideas, la desafiliación definitiva del sistema para efectos pensionales, operó a partir del 1º de </w:t>
      </w:r>
      <w:r w:rsidR="005F74BA">
        <w:rPr>
          <w:rFonts w:ascii="Arial Narrow" w:hAnsi="Arial Narrow"/>
          <w:b w:val="0"/>
        </w:rPr>
        <w:t>julio de 2009</w:t>
      </w:r>
      <w:r w:rsidR="005F74BA" w:rsidRPr="005F74BA">
        <w:rPr>
          <w:rFonts w:ascii="Arial Narrow" w:hAnsi="Arial Narrow"/>
          <w:b w:val="0"/>
        </w:rPr>
        <w:t xml:space="preserve"> y desde ese momento debió c</w:t>
      </w:r>
      <w:r w:rsidR="005F74BA">
        <w:rPr>
          <w:rFonts w:ascii="Arial Narrow" w:hAnsi="Arial Narrow"/>
          <w:b w:val="0"/>
        </w:rPr>
        <w:t xml:space="preserve">omenzar el disfrute del derecho. </w:t>
      </w:r>
    </w:p>
    <w:p w:rsidR="001E2AB1" w:rsidRDefault="001E2AB1" w:rsidP="001E2AB1">
      <w:pPr>
        <w:pStyle w:val="Sansinterligne"/>
      </w:pPr>
    </w:p>
    <w:p w:rsidR="001E2AB1" w:rsidRPr="00166879" w:rsidRDefault="001E2AB1" w:rsidP="001E2AB1">
      <w:pPr>
        <w:pStyle w:val="Textoindependiente34"/>
        <w:ind w:right="191" w:firstLine="708"/>
        <w:rPr>
          <w:rFonts w:ascii="Arial Narrow" w:hAnsi="Arial Narrow" w:cs="Arial Narrow"/>
          <w:sz w:val="28"/>
          <w:szCs w:val="28"/>
        </w:rPr>
      </w:pPr>
      <w:r w:rsidRPr="00166879">
        <w:rPr>
          <w:rFonts w:ascii="Arial Narrow" w:hAnsi="Arial Narrow" w:cs="Arial Narrow"/>
          <w:sz w:val="28"/>
          <w:szCs w:val="28"/>
        </w:rPr>
        <w:t xml:space="preserve">Respecto a la excepción de prescripción, habrá que decir que recae sobre las mesadas causadas con antelación al </w:t>
      </w:r>
      <w:r w:rsidR="005204D5">
        <w:rPr>
          <w:rFonts w:ascii="Arial Narrow" w:hAnsi="Arial Narrow" w:cs="Arial Narrow"/>
          <w:sz w:val="28"/>
          <w:szCs w:val="28"/>
        </w:rPr>
        <w:t xml:space="preserve">3 de julio </w:t>
      </w:r>
      <w:r w:rsidRPr="00166879">
        <w:rPr>
          <w:rFonts w:ascii="Arial Narrow" w:hAnsi="Arial Narrow" w:cs="Arial Narrow"/>
          <w:sz w:val="28"/>
          <w:szCs w:val="28"/>
        </w:rPr>
        <w:t xml:space="preserve">de 2011, habida cuenta que el demandante interrumpió el término de prescripción de todas las obligaciones generadas con ocasión de la pensión de vejez, el día </w:t>
      </w:r>
      <w:r w:rsidR="00631B95" w:rsidRPr="00166879">
        <w:rPr>
          <w:rFonts w:ascii="Arial Narrow" w:hAnsi="Arial Narrow" w:cs="Arial Narrow"/>
          <w:sz w:val="28"/>
          <w:szCs w:val="28"/>
        </w:rPr>
        <w:t xml:space="preserve">7 de julio de 2009, </w:t>
      </w:r>
      <w:r w:rsidRPr="00166879">
        <w:rPr>
          <w:rFonts w:ascii="Arial Narrow" w:hAnsi="Arial Narrow" w:cs="Arial Narrow"/>
          <w:sz w:val="28"/>
          <w:szCs w:val="28"/>
        </w:rPr>
        <w:t xml:space="preserve">cuando elevó la solicitud de reconocimiento pensional, mismo que quedó suspendido hasta el </w:t>
      </w:r>
      <w:r w:rsidR="00631B95" w:rsidRPr="00166879">
        <w:rPr>
          <w:rFonts w:ascii="Arial Narrow" w:hAnsi="Arial Narrow" w:cs="Arial Narrow"/>
          <w:sz w:val="28"/>
          <w:szCs w:val="28"/>
        </w:rPr>
        <w:t xml:space="preserve">14 de enero de 2011 </w:t>
      </w:r>
      <w:r w:rsidRPr="00166879">
        <w:rPr>
          <w:rFonts w:ascii="Arial Narrow" w:hAnsi="Arial Narrow" w:cs="Arial Narrow"/>
          <w:sz w:val="28"/>
          <w:szCs w:val="28"/>
        </w:rPr>
        <w:t xml:space="preserve">cuando se le notificó la Resolución No. </w:t>
      </w:r>
      <w:r w:rsidR="00631B95" w:rsidRPr="00166879">
        <w:rPr>
          <w:rFonts w:ascii="Arial Narrow" w:hAnsi="Arial Narrow" w:cs="Arial Narrow"/>
          <w:sz w:val="28"/>
          <w:szCs w:val="28"/>
        </w:rPr>
        <w:t xml:space="preserve">1458 de 2010, visible a folio 38 del </w:t>
      </w:r>
      <w:proofErr w:type="spellStart"/>
      <w:r w:rsidR="00631B95" w:rsidRPr="00166879">
        <w:rPr>
          <w:rFonts w:ascii="Arial Narrow" w:hAnsi="Arial Narrow" w:cs="Arial Narrow"/>
          <w:sz w:val="28"/>
          <w:szCs w:val="28"/>
        </w:rPr>
        <w:t>Cdno</w:t>
      </w:r>
      <w:proofErr w:type="spellEnd"/>
      <w:r w:rsidR="00631B95" w:rsidRPr="00166879">
        <w:rPr>
          <w:rFonts w:ascii="Arial Narrow" w:hAnsi="Arial Narrow" w:cs="Arial Narrow"/>
          <w:sz w:val="28"/>
          <w:szCs w:val="28"/>
        </w:rPr>
        <w:t xml:space="preserve">. 2ª instancia, </w:t>
      </w:r>
      <w:r w:rsidRPr="00166879">
        <w:rPr>
          <w:rFonts w:ascii="Arial Narrow" w:hAnsi="Arial Narrow" w:cs="Arial Narrow"/>
          <w:sz w:val="28"/>
          <w:szCs w:val="28"/>
        </w:rPr>
        <w:t xml:space="preserve">por lo que el término legal de 3 años con que contaba para interponer la acción judicial frente a cualquier inconformidad presentada respecto del contenido de ese acto administrativo, empezó a correr a partir del </w:t>
      </w:r>
      <w:r w:rsidR="00631B95" w:rsidRPr="00166879">
        <w:rPr>
          <w:rFonts w:ascii="Arial Narrow" w:hAnsi="Arial Narrow" w:cs="Arial Narrow"/>
          <w:sz w:val="28"/>
          <w:szCs w:val="28"/>
        </w:rPr>
        <w:t>15 de enero de 2011</w:t>
      </w:r>
      <w:r w:rsidRPr="00166879">
        <w:rPr>
          <w:rFonts w:ascii="Arial Narrow" w:hAnsi="Arial Narrow" w:cs="Arial Narrow"/>
          <w:sz w:val="28"/>
          <w:szCs w:val="28"/>
        </w:rPr>
        <w:t xml:space="preserve">, sin embargo, la demanda sólo fue interpuesta el </w:t>
      </w:r>
      <w:r w:rsidR="00631B95" w:rsidRPr="00166879">
        <w:rPr>
          <w:rFonts w:ascii="Arial Narrow" w:hAnsi="Arial Narrow" w:cs="Arial Narrow"/>
          <w:sz w:val="28"/>
          <w:szCs w:val="28"/>
        </w:rPr>
        <w:t xml:space="preserve">3 de julio de 2014 – ver </w:t>
      </w:r>
      <w:r w:rsidR="00FD0286" w:rsidRPr="00166879">
        <w:rPr>
          <w:rFonts w:ascii="Arial Narrow" w:hAnsi="Arial Narrow" w:cs="Arial Narrow"/>
          <w:sz w:val="28"/>
          <w:szCs w:val="28"/>
        </w:rPr>
        <w:t xml:space="preserve">fl.135-, cuando en reforma a la demanda </w:t>
      </w:r>
      <w:r w:rsidR="002B6700" w:rsidRPr="00166879">
        <w:rPr>
          <w:rFonts w:ascii="Arial Narrow" w:hAnsi="Arial Narrow" w:cs="Arial Narrow"/>
          <w:sz w:val="28"/>
          <w:szCs w:val="28"/>
        </w:rPr>
        <w:t xml:space="preserve">que instaurara </w:t>
      </w:r>
      <w:r w:rsidR="002D0955" w:rsidRPr="00166879">
        <w:rPr>
          <w:rFonts w:ascii="Arial Narrow" w:hAnsi="Arial Narrow" w:cs="Arial Narrow"/>
          <w:sz w:val="28"/>
          <w:szCs w:val="28"/>
        </w:rPr>
        <w:t xml:space="preserve">el señor </w:t>
      </w:r>
      <w:r w:rsidR="002B6700" w:rsidRPr="00166879">
        <w:rPr>
          <w:rFonts w:ascii="Arial Narrow" w:hAnsi="Arial Narrow" w:cs="Arial Narrow"/>
          <w:sz w:val="28"/>
          <w:szCs w:val="28"/>
        </w:rPr>
        <w:t xml:space="preserve">Jairo Ignacio González Díaz </w:t>
      </w:r>
      <w:r w:rsidR="0071002D" w:rsidRPr="00166879">
        <w:rPr>
          <w:rFonts w:ascii="Arial Narrow" w:hAnsi="Arial Narrow" w:cs="Arial Narrow"/>
          <w:sz w:val="28"/>
          <w:szCs w:val="28"/>
        </w:rPr>
        <w:t xml:space="preserve">se incluyó a la señora </w:t>
      </w:r>
      <w:r w:rsidR="00166879" w:rsidRPr="00166879">
        <w:rPr>
          <w:rFonts w:ascii="Arial Narrow" w:hAnsi="Arial Narrow" w:cs="Arial Narrow"/>
          <w:sz w:val="28"/>
          <w:szCs w:val="28"/>
        </w:rPr>
        <w:t>María</w:t>
      </w:r>
      <w:r w:rsidR="0071002D" w:rsidRPr="00166879">
        <w:rPr>
          <w:rFonts w:ascii="Arial Narrow" w:hAnsi="Arial Narrow" w:cs="Arial Narrow"/>
          <w:sz w:val="28"/>
          <w:szCs w:val="28"/>
        </w:rPr>
        <w:t xml:space="preserve"> </w:t>
      </w:r>
      <w:r w:rsidR="0071002D" w:rsidRPr="00166879">
        <w:rPr>
          <w:rFonts w:ascii="Arial Narrow" w:hAnsi="Arial Narrow"/>
          <w:sz w:val="28"/>
          <w:szCs w:val="28"/>
        </w:rPr>
        <w:t xml:space="preserve">Eugenia Sandoval </w:t>
      </w:r>
      <w:proofErr w:type="spellStart"/>
      <w:r w:rsidR="0071002D" w:rsidRPr="00166879">
        <w:rPr>
          <w:rFonts w:ascii="Arial Narrow" w:hAnsi="Arial Narrow"/>
          <w:sz w:val="28"/>
          <w:szCs w:val="28"/>
        </w:rPr>
        <w:t>Fonnegra</w:t>
      </w:r>
      <w:proofErr w:type="spellEnd"/>
      <w:r w:rsidR="0071002D" w:rsidRPr="00166879">
        <w:rPr>
          <w:rFonts w:ascii="Arial Narrow" w:hAnsi="Arial Narrow"/>
          <w:sz w:val="28"/>
          <w:szCs w:val="28"/>
        </w:rPr>
        <w:t>,</w:t>
      </w:r>
      <w:r w:rsidR="00E74A4B" w:rsidRPr="00166879">
        <w:rPr>
          <w:rFonts w:ascii="Arial Narrow" w:hAnsi="Arial Narrow" w:cs="Arial Narrow"/>
          <w:sz w:val="28"/>
          <w:szCs w:val="28"/>
        </w:rPr>
        <w:t xml:space="preserve"> como una de las demandantes</w:t>
      </w:r>
      <w:r w:rsidR="002B6700" w:rsidRPr="00166879">
        <w:rPr>
          <w:rFonts w:ascii="Arial Narrow" w:hAnsi="Arial Narrow" w:cs="Arial Narrow"/>
          <w:sz w:val="28"/>
          <w:szCs w:val="28"/>
        </w:rPr>
        <w:t xml:space="preserve"> dentro del </w:t>
      </w:r>
      <w:r w:rsidR="00E74A4B" w:rsidRPr="00166879">
        <w:rPr>
          <w:rFonts w:ascii="Arial Narrow" w:hAnsi="Arial Narrow" w:cs="Arial Narrow"/>
          <w:sz w:val="28"/>
          <w:szCs w:val="28"/>
        </w:rPr>
        <w:t>proceso.</w:t>
      </w:r>
    </w:p>
    <w:p w:rsidR="001E2AB1" w:rsidRPr="00C74AB4" w:rsidRDefault="001E2AB1" w:rsidP="00C74AB4">
      <w:pPr>
        <w:pStyle w:val="Sansinterligne"/>
      </w:pPr>
    </w:p>
    <w:p w:rsidR="005F74BA" w:rsidRDefault="002B6700" w:rsidP="005F74BA">
      <w:pPr>
        <w:pStyle w:val="Yo"/>
        <w:numPr>
          <w:ilvl w:val="0"/>
          <w:numId w:val="0"/>
        </w:numPr>
        <w:ind w:firstLine="720"/>
        <w:jc w:val="both"/>
        <w:rPr>
          <w:rFonts w:ascii="Arial Narrow" w:hAnsi="Arial Narrow"/>
          <w:b w:val="0"/>
        </w:rPr>
      </w:pPr>
      <w:r>
        <w:rPr>
          <w:rFonts w:ascii="Arial Narrow" w:hAnsi="Arial Narrow"/>
          <w:b w:val="0"/>
        </w:rPr>
        <w:t>En ese orden de ideas, el</w:t>
      </w:r>
      <w:r w:rsidR="005F74BA">
        <w:rPr>
          <w:rFonts w:ascii="Arial Narrow" w:hAnsi="Arial Narrow"/>
          <w:b w:val="0"/>
        </w:rPr>
        <w:t xml:space="preserve"> monto del retroactivo pensional causado entre el </w:t>
      </w:r>
      <w:r w:rsidR="005204D5">
        <w:rPr>
          <w:rFonts w:ascii="Arial Narrow" w:hAnsi="Arial Narrow"/>
          <w:b w:val="0"/>
        </w:rPr>
        <w:t xml:space="preserve">3 de julio de 2011 </w:t>
      </w:r>
      <w:r>
        <w:rPr>
          <w:rFonts w:ascii="Arial Narrow" w:hAnsi="Arial Narrow"/>
          <w:b w:val="0"/>
        </w:rPr>
        <w:t xml:space="preserve">y el </w:t>
      </w:r>
      <w:r w:rsidR="000E761E">
        <w:rPr>
          <w:rFonts w:ascii="Arial Narrow" w:hAnsi="Arial Narrow"/>
          <w:b w:val="0"/>
        </w:rPr>
        <w:t xml:space="preserve">30 de junio de 2013, asciende </w:t>
      </w:r>
      <w:r w:rsidR="000E761E" w:rsidRPr="00C14F4E">
        <w:rPr>
          <w:rFonts w:ascii="Arial Narrow" w:hAnsi="Arial Narrow"/>
          <w:b w:val="0"/>
        </w:rPr>
        <w:t>a $</w:t>
      </w:r>
      <w:r w:rsidR="00C14F4E" w:rsidRPr="00C14F4E">
        <w:rPr>
          <w:rFonts w:ascii="Arial Narrow" w:hAnsi="Arial Narrow"/>
          <w:b w:val="0"/>
        </w:rPr>
        <w:t>1</w:t>
      </w:r>
      <w:r w:rsidR="005204D5">
        <w:rPr>
          <w:rFonts w:ascii="Arial Narrow" w:hAnsi="Arial Narrow"/>
          <w:b w:val="0"/>
        </w:rPr>
        <w:t>03`942.653</w:t>
      </w:r>
      <w:r w:rsidR="000E761E" w:rsidRPr="00C14F4E">
        <w:rPr>
          <w:rFonts w:ascii="Arial Narrow" w:hAnsi="Arial Narrow"/>
          <w:b w:val="0"/>
        </w:rPr>
        <w:t xml:space="preserve">, conforme </w:t>
      </w:r>
      <w:r w:rsidR="000E761E">
        <w:rPr>
          <w:rFonts w:ascii="Arial Narrow" w:hAnsi="Arial Narrow"/>
          <w:b w:val="0"/>
        </w:rPr>
        <w:t xml:space="preserve">el cuadro que se pone de presente a los asistentes y hará parte integrante del acta que se suscriba con ocasión de esta diligencia. </w:t>
      </w:r>
    </w:p>
    <w:p w:rsidR="00F80157" w:rsidRPr="00C74AB4" w:rsidRDefault="00F80157" w:rsidP="00C74AB4">
      <w:pPr>
        <w:pStyle w:val="Sansinterligne"/>
      </w:pPr>
    </w:p>
    <w:p w:rsidR="00F02C24" w:rsidRPr="00D03432" w:rsidRDefault="00F80157" w:rsidP="00D03432">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En cuanto al pago de los</w:t>
      </w:r>
      <w:r w:rsidR="005048F4">
        <w:rPr>
          <w:rFonts w:ascii="Arial Narrow" w:hAnsi="Arial Narrow" w:cs="Arial"/>
          <w:sz w:val="28"/>
          <w:szCs w:val="28"/>
          <w:lang w:val="es-ES"/>
        </w:rPr>
        <w:t xml:space="preserve"> intereses moratorios, estos proceden a</w:t>
      </w:r>
      <w:r w:rsidR="00221E91">
        <w:rPr>
          <w:rFonts w:ascii="Arial Narrow" w:hAnsi="Arial Narrow" w:cs="Arial"/>
          <w:sz w:val="28"/>
          <w:szCs w:val="28"/>
          <w:lang w:val="es-ES"/>
        </w:rPr>
        <w:t xml:space="preserve"> partir del </w:t>
      </w:r>
      <w:r w:rsidR="005204D5">
        <w:rPr>
          <w:rFonts w:ascii="Arial Narrow" w:hAnsi="Arial Narrow" w:cs="Arial"/>
          <w:sz w:val="28"/>
          <w:szCs w:val="28"/>
          <w:lang w:val="es-ES"/>
        </w:rPr>
        <w:t xml:space="preserve">3 de julio de </w:t>
      </w:r>
      <w:r w:rsidR="00221E91" w:rsidRPr="00D03432">
        <w:rPr>
          <w:rFonts w:ascii="Arial Narrow" w:hAnsi="Arial Narrow" w:cs="Arial"/>
          <w:sz w:val="28"/>
          <w:szCs w:val="28"/>
          <w:lang w:val="es-ES"/>
        </w:rPr>
        <w:t xml:space="preserve">2011, </w:t>
      </w:r>
      <w:r w:rsidR="00394194" w:rsidRPr="00D03432">
        <w:rPr>
          <w:rFonts w:ascii="Arial Narrow" w:hAnsi="Arial Narrow" w:cs="Arial"/>
          <w:sz w:val="28"/>
          <w:szCs w:val="28"/>
          <w:lang w:val="es-ES"/>
        </w:rPr>
        <w:t xml:space="preserve">habida cuenta </w:t>
      </w:r>
      <w:r w:rsidR="00166879" w:rsidRPr="00D03432">
        <w:rPr>
          <w:rFonts w:ascii="Arial Narrow" w:hAnsi="Arial Narrow" w:cs="Arial"/>
          <w:sz w:val="28"/>
          <w:szCs w:val="28"/>
          <w:lang w:val="es-ES"/>
        </w:rPr>
        <w:t xml:space="preserve">que </w:t>
      </w:r>
      <w:r w:rsidR="00221E91" w:rsidRPr="00D03432">
        <w:rPr>
          <w:rFonts w:ascii="Arial Narrow" w:hAnsi="Arial Narrow" w:cs="Arial"/>
          <w:sz w:val="28"/>
          <w:szCs w:val="28"/>
          <w:lang w:val="es-ES"/>
        </w:rPr>
        <w:t xml:space="preserve">las mesadas causadas con antelación a esa calenda </w:t>
      </w:r>
      <w:r w:rsidR="009F5E3B" w:rsidRPr="00D03432">
        <w:rPr>
          <w:rFonts w:ascii="Arial Narrow" w:hAnsi="Arial Narrow" w:cs="Arial"/>
          <w:sz w:val="28"/>
          <w:szCs w:val="28"/>
          <w:lang w:val="es-ES"/>
        </w:rPr>
        <w:t xml:space="preserve">se encuentran </w:t>
      </w:r>
      <w:r w:rsidR="00221E91" w:rsidRPr="00D03432">
        <w:rPr>
          <w:rFonts w:ascii="Arial Narrow" w:hAnsi="Arial Narrow" w:cs="Arial"/>
          <w:sz w:val="28"/>
          <w:szCs w:val="28"/>
          <w:lang w:val="es-ES"/>
        </w:rPr>
        <w:t>afectadas por el fenómeno extintivo de la prescripci</w:t>
      </w:r>
      <w:r w:rsidR="005D2AA8" w:rsidRPr="00D03432">
        <w:rPr>
          <w:rFonts w:ascii="Arial Narrow" w:hAnsi="Arial Narrow" w:cs="Arial"/>
          <w:sz w:val="28"/>
          <w:szCs w:val="28"/>
          <w:lang w:val="es-ES"/>
        </w:rPr>
        <w:t>ón.</w:t>
      </w:r>
      <w:r w:rsidR="00D03432" w:rsidRPr="00D03432">
        <w:rPr>
          <w:rFonts w:ascii="Arial Narrow" w:hAnsi="Arial Narrow" w:cs="Arial"/>
          <w:sz w:val="28"/>
          <w:szCs w:val="28"/>
          <w:lang w:val="es-ES"/>
        </w:rPr>
        <w:t xml:space="preserve"> </w:t>
      </w:r>
      <w:r w:rsidR="005D2AA8" w:rsidRPr="00D03432">
        <w:rPr>
          <w:rFonts w:ascii="Arial Narrow" w:hAnsi="Arial Narrow"/>
          <w:sz w:val="28"/>
          <w:szCs w:val="28"/>
        </w:rPr>
        <w:t xml:space="preserve">Se revocará, por ende, el </w:t>
      </w:r>
      <w:r w:rsidR="00F02C24" w:rsidRPr="00D03432">
        <w:rPr>
          <w:rFonts w:ascii="Arial Narrow" w:hAnsi="Arial Narrow"/>
          <w:sz w:val="28"/>
          <w:szCs w:val="28"/>
        </w:rPr>
        <w:t>ordinal 13º de</w:t>
      </w:r>
      <w:r w:rsidR="001F6FD8" w:rsidRPr="00D03432">
        <w:rPr>
          <w:rFonts w:ascii="Arial Narrow" w:hAnsi="Arial Narrow"/>
          <w:sz w:val="28"/>
          <w:szCs w:val="28"/>
        </w:rPr>
        <w:t xml:space="preserve"> la sentencia.</w:t>
      </w:r>
    </w:p>
    <w:p w:rsidR="00C14F4E" w:rsidRPr="00736FA5" w:rsidRDefault="00C14F4E" w:rsidP="00736FA5">
      <w:pPr>
        <w:pStyle w:val="Sansinterligne"/>
      </w:pPr>
    </w:p>
    <w:p w:rsidR="008140F9" w:rsidRDefault="00F80157" w:rsidP="0030565F">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Por último, en cuanto al demandante </w:t>
      </w:r>
      <w:r w:rsidR="00221E91">
        <w:rPr>
          <w:rFonts w:ascii="Arial Narrow" w:hAnsi="Arial Narrow"/>
          <w:sz w:val="28"/>
          <w:szCs w:val="28"/>
          <w:lang w:val="es-CO"/>
        </w:rPr>
        <w:t xml:space="preserve">Fernando </w:t>
      </w:r>
      <w:r w:rsidR="001C77A4">
        <w:rPr>
          <w:rFonts w:ascii="Arial Narrow" w:hAnsi="Arial Narrow"/>
          <w:sz w:val="28"/>
          <w:szCs w:val="28"/>
          <w:lang w:val="es-CO"/>
        </w:rPr>
        <w:t xml:space="preserve">Bedoya Naranjo, </w:t>
      </w:r>
      <w:r w:rsidR="009F5E3B">
        <w:rPr>
          <w:rFonts w:ascii="Arial Narrow" w:hAnsi="Arial Narrow"/>
          <w:sz w:val="28"/>
          <w:szCs w:val="28"/>
          <w:lang w:val="es-CO"/>
        </w:rPr>
        <w:t xml:space="preserve">conforme la documental </w:t>
      </w:r>
      <w:r w:rsidR="00D03432">
        <w:rPr>
          <w:rFonts w:ascii="Arial Narrow" w:hAnsi="Arial Narrow"/>
          <w:sz w:val="28"/>
          <w:szCs w:val="28"/>
          <w:lang w:val="es-CO"/>
        </w:rPr>
        <w:t>que reposa en el expediente</w:t>
      </w:r>
      <w:r w:rsidR="009F5E3B">
        <w:rPr>
          <w:rFonts w:ascii="Arial Narrow" w:hAnsi="Arial Narrow"/>
          <w:sz w:val="28"/>
          <w:szCs w:val="28"/>
          <w:lang w:val="es-CO"/>
        </w:rPr>
        <w:t xml:space="preserve">, </w:t>
      </w:r>
      <w:r w:rsidR="001C77A4">
        <w:rPr>
          <w:rFonts w:ascii="Arial Narrow" w:hAnsi="Arial Narrow"/>
          <w:sz w:val="28"/>
          <w:szCs w:val="28"/>
          <w:lang w:val="es-CO"/>
        </w:rPr>
        <w:t xml:space="preserve">cumplió 60 años de edad el 3 de diciembre </w:t>
      </w:r>
      <w:r w:rsidR="001C77A4">
        <w:rPr>
          <w:rFonts w:ascii="Arial Narrow" w:hAnsi="Arial Narrow"/>
          <w:sz w:val="28"/>
          <w:szCs w:val="28"/>
          <w:lang w:val="es-CO"/>
        </w:rPr>
        <w:lastRenderedPageBreak/>
        <w:t>de 2007</w:t>
      </w:r>
      <w:r w:rsidR="00D03432">
        <w:rPr>
          <w:rFonts w:ascii="Arial Narrow" w:hAnsi="Arial Narrow"/>
          <w:sz w:val="28"/>
          <w:szCs w:val="28"/>
          <w:lang w:val="es-CO"/>
        </w:rPr>
        <w:t xml:space="preserve">; </w:t>
      </w:r>
      <w:r w:rsidR="009F5E3B">
        <w:rPr>
          <w:rFonts w:ascii="Arial Narrow" w:hAnsi="Arial Narrow"/>
          <w:sz w:val="28"/>
          <w:szCs w:val="28"/>
          <w:lang w:val="es-CO"/>
        </w:rPr>
        <w:t xml:space="preserve">efectuó </w:t>
      </w:r>
      <w:r w:rsidR="005A6746">
        <w:rPr>
          <w:rFonts w:ascii="Arial Narrow" w:hAnsi="Arial Narrow"/>
          <w:sz w:val="28"/>
          <w:szCs w:val="28"/>
          <w:lang w:val="es-CO"/>
        </w:rPr>
        <w:t xml:space="preserve">su última cotización al sistema el día 31 de ese mismo mes y año, </w:t>
      </w:r>
      <w:r w:rsidR="00D03432">
        <w:rPr>
          <w:rFonts w:ascii="Arial Narrow" w:hAnsi="Arial Narrow"/>
          <w:sz w:val="28"/>
          <w:szCs w:val="28"/>
          <w:lang w:val="es-CO"/>
        </w:rPr>
        <w:t xml:space="preserve">y para esa calenda había sufragado un </w:t>
      </w:r>
      <w:r w:rsidR="005A6746">
        <w:rPr>
          <w:rFonts w:ascii="Arial Narrow" w:hAnsi="Arial Narrow"/>
          <w:sz w:val="28"/>
          <w:szCs w:val="28"/>
          <w:lang w:val="es-CO"/>
        </w:rPr>
        <w:t>total d</w:t>
      </w:r>
      <w:r w:rsidR="009F5E3B">
        <w:rPr>
          <w:rFonts w:ascii="Arial Narrow" w:hAnsi="Arial Narrow"/>
          <w:sz w:val="28"/>
          <w:szCs w:val="28"/>
          <w:lang w:val="es-CO"/>
        </w:rPr>
        <w:t>e 1.738, 86 semanas de aportes,</w:t>
      </w:r>
      <w:r w:rsidR="0070523A">
        <w:rPr>
          <w:rFonts w:ascii="Arial Narrow" w:hAnsi="Arial Narrow"/>
          <w:sz w:val="28"/>
          <w:szCs w:val="28"/>
          <w:lang w:val="es-CO"/>
        </w:rPr>
        <w:t xml:space="preserve"> de modo que</w:t>
      </w:r>
      <w:r w:rsidR="00F37C43">
        <w:rPr>
          <w:rFonts w:ascii="Arial Narrow" w:hAnsi="Arial Narrow"/>
          <w:sz w:val="28"/>
          <w:szCs w:val="28"/>
          <w:lang w:val="es-CO"/>
        </w:rPr>
        <w:t>,</w:t>
      </w:r>
      <w:r w:rsidR="007F2627">
        <w:rPr>
          <w:rFonts w:ascii="Arial Narrow" w:hAnsi="Arial Narrow"/>
          <w:sz w:val="28"/>
          <w:szCs w:val="28"/>
          <w:lang w:val="es-CO"/>
        </w:rPr>
        <w:t xml:space="preserve"> tenía causado el derecho a la pensión de vejez.</w:t>
      </w:r>
      <w:r w:rsidR="00F37C43">
        <w:rPr>
          <w:rFonts w:ascii="Arial Narrow" w:hAnsi="Arial Narrow"/>
          <w:sz w:val="28"/>
          <w:szCs w:val="28"/>
          <w:lang w:val="es-CO"/>
        </w:rPr>
        <w:t xml:space="preserve"> </w:t>
      </w:r>
      <w:r w:rsidR="000B52FE">
        <w:rPr>
          <w:rFonts w:ascii="Arial Narrow" w:hAnsi="Arial Narrow"/>
          <w:sz w:val="28"/>
          <w:szCs w:val="28"/>
          <w:lang w:val="es-CO"/>
        </w:rPr>
        <w:t xml:space="preserve">Acorde con lo anterior, encuentra la Sala que </w:t>
      </w:r>
      <w:r w:rsidR="0070523A">
        <w:rPr>
          <w:rFonts w:ascii="Arial Narrow" w:hAnsi="Arial Narrow"/>
          <w:sz w:val="28"/>
          <w:szCs w:val="28"/>
          <w:lang w:val="es-CO"/>
        </w:rPr>
        <w:t xml:space="preserve">la voluntad del </w:t>
      </w:r>
      <w:r w:rsidR="009F5E3B">
        <w:rPr>
          <w:rFonts w:ascii="Arial Narrow" w:hAnsi="Arial Narrow"/>
          <w:sz w:val="28"/>
          <w:szCs w:val="28"/>
          <w:lang w:val="es-CO"/>
        </w:rPr>
        <w:t xml:space="preserve">demandante </w:t>
      </w:r>
      <w:r w:rsidR="0070523A">
        <w:rPr>
          <w:rFonts w:ascii="Arial Narrow" w:hAnsi="Arial Narrow"/>
          <w:sz w:val="28"/>
          <w:szCs w:val="28"/>
          <w:lang w:val="es-CO"/>
        </w:rPr>
        <w:t>de no continuar afiliado al sistema, manifestada mediante actos e</w:t>
      </w:r>
      <w:r w:rsidR="0070523A" w:rsidRPr="00D03432">
        <w:rPr>
          <w:rFonts w:ascii="Arial Narrow" w:hAnsi="Arial Narrow"/>
          <w:sz w:val="28"/>
          <w:szCs w:val="28"/>
          <w:lang w:val="es-CO"/>
        </w:rPr>
        <w:t>x</w:t>
      </w:r>
      <w:r w:rsidR="0070523A">
        <w:rPr>
          <w:rFonts w:ascii="Arial Narrow" w:hAnsi="Arial Narrow"/>
          <w:sz w:val="28"/>
          <w:szCs w:val="28"/>
          <w:lang w:val="es-CO"/>
        </w:rPr>
        <w:t xml:space="preserve">ternos, </w:t>
      </w:r>
      <w:r w:rsidR="006B119F">
        <w:rPr>
          <w:rFonts w:ascii="Arial Narrow" w:hAnsi="Arial Narrow"/>
          <w:sz w:val="28"/>
          <w:szCs w:val="28"/>
          <w:lang w:val="es-CO"/>
        </w:rPr>
        <w:t>como es la suspensión definitiva de los aportes</w:t>
      </w:r>
      <w:r w:rsidR="000B52FE">
        <w:rPr>
          <w:rFonts w:ascii="Arial Narrow" w:hAnsi="Arial Narrow"/>
          <w:sz w:val="28"/>
          <w:szCs w:val="28"/>
          <w:lang w:val="es-CO"/>
        </w:rPr>
        <w:t xml:space="preserve"> al sistema</w:t>
      </w:r>
      <w:r w:rsidR="006B119F">
        <w:rPr>
          <w:rFonts w:ascii="Arial Narrow" w:hAnsi="Arial Narrow"/>
          <w:sz w:val="28"/>
          <w:szCs w:val="28"/>
          <w:lang w:val="es-CO"/>
        </w:rPr>
        <w:t xml:space="preserve">, </w:t>
      </w:r>
      <w:r w:rsidR="0070523A">
        <w:rPr>
          <w:rFonts w:ascii="Arial Narrow" w:hAnsi="Arial Narrow"/>
          <w:sz w:val="28"/>
          <w:szCs w:val="28"/>
          <w:lang w:val="es-CO"/>
        </w:rPr>
        <w:t>es un parámetro válido para establecer la fecha de inicio del disfrute de la pensi</w:t>
      </w:r>
      <w:r w:rsidR="000B52FE">
        <w:rPr>
          <w:rFonts w:ascii="Arial Narrow" w:hAnsi="Arial Narrow"/>
          <w:sz w:val="28"/>
          <w:szCs w:val="28"/>
          <w:lang w:val="es-CO"/>
        </w:rPr>
        <w:t xml:space="preserve">ón. </w:t>
      </w:r>
    </w:p>
    <w:p w:rsidR="0070523A" w:rsidRPr="00736FA5" w:rsidRDefault="0070523A" w:rsidP="00736FA5">
      <w:pPr>
        <w:pStyle w:val="Sansinterligne"/>
      </w:pPr>
    </w:p>
    <w:p w:rsidR="00FE18BF" w:rsidRDefault="00FE18BF" w:rsidP="00FE18BF">
      <w:pPr>
        <w:pStyle w:val="Yo"/>
        <w:numPr>
          <w:ilvl w:val="0"/>
          <w:numId w:val="0"/>
        </w:numPr>
        <w:jc w:val="both"/>
        <w:rPr>
          <w:rFonts w:ascii="Arial Narrow" w:hAnsi="Arial Narrow"/>
          <w:b w:val="0"/>
        </w:rPr>
      </w:pPr>
      <w:r>
        <w:rPr>
          <w:rFonts w:ascii="Arial Narrow" w:hAnsi="Arial Narrow"/>
          <w:b w:val="0"/>
          <w:lang w:val="es-CO"/>
        </w:rPr>
        <w:tab/>
      </w:r>
      <w:r w:rsidRPr="00FE18BF">
        <w:rPr>
          <w:rFonts w:ascii="Arial Narrow" w:hAnsi="Arial Narrow"/>
          <w:b w:val="0"/>
          <w:lang w:val="es-CO"/>
        </w:rPr>
        <w:t>Así pues, la desafiliación</w:t>
      </w:r>
      <w:r>
        <w:rPr>
          <w:rFonts w:ascii="Arial Narrow" w:hAnsi="Arial Narrow"/>
          <w:lang w:val="es-CO"/>
        </w:rPr>
        <w:t xml:space="preserve"> </w:t>
      </w:r>
      <w:r w:rsidRPr="005F74BA">
        <w:rPr>
          <w:rFonts w:ascii="Arial Narrow" w:hAnsi="Arial Narrow"/>
          <w:b w:val="0"/>
        </w:rPr>
        <w:t xml:space="preserve">definitiva del sistema para efectos pensionales, operó a partir del </w:t>
      </w:r>
      <w:r>
        <w:rPr>
          <w:rFonts w:ascii="Arial Narrow" w:hAnsi="Arial Narrow"/>
          <w:b w:val="0"/>
        </w:rPr>
        <w:t>1 de enero de 2008</w:t>
      </w:r>
      <w:r w:rsidRPr="005F74BA">
        <w:rPr>
          <w:rFonts w:ascii="Arial Narrow" w:hAnsi="Arial Narrow"/>
          <w:b w:val="0"/>
        </w:rPr>
        <w:t xml:space="preserve"> y desde ese momento debió c</w:t>
      </w:r>
      <w:r>
        <w:rPr>
          <w:rFonts w:ascii="Arial Narrow" w:hAnsi="Arial Narrow"/>
          <w:b w:val="0"/>
        </w:rPr>
        <w:t xml:space="preserve">omenzar el disfrute del derecho. </w:t>
      </w:r>
    </w:p>
    <w:p w:rsidR="00FE18BF" w:rsidRPr="00B931E5" w:rsidRDefault="00FE18BF" w:rsidP="00B931E5">
      <w:pPr>
        <w:pStyle w:val="Sansinterligne"/>
      </w:pPr>
    </w:p>
    <w:p w:rsidR="002F6047" w:rsidRDefault="005D76FA" w:rsidP="00FE18BF">
      <w:pPr>
        <w:pStyle w:val="Textoindependiente34"/>
        <w:ind w:right="191" w:firstLine="708"/>
        <w:rPr>
          <w:rFonts w:ascii="Arial Narrow" w:hAnsi="Arial Narrow" w:cs="Arial Narrow"/>
          <w:sz w:val="28"/>
          <w:szCs w:val="28"/>
        </w:rPr>
      </w:pPr>
      <w:r>
        <w:rPr>
          <w:rFonts w:ascii="Arial Narrow" w:hAnsi="Arial Narrow" w:cs="Arial Narrow"/>
          <w:sz w:val="28"/>
          <w:szCs w:val="28"/>
        </w:rPr>
        <w:t xml:space="preserve">La excepción de prescripción sale avante respecto de </w:t>
      </w:r>
      <w:r w:rsidR="00FE18BF">
        <w:rPr>
          <w:rFonts w:ascii="Arial Narrow" w:hAnsi="Arial Narrow" w:cs="Arial Narrow"/>
          <w:sz w:val="28"/>
          <w:szCs w:val="28"/>
        </w:rPr>
        <w:t xml:space="preserve">las mesadas causadas con antelación al </w:t>
      </w:r>
      <w:r w:rsidR="00C05E52">
        <w:rPr>
          <w:rFonts w:ascii="Arial Narrow" w:hAnsi="Arial Narrow" w:cs="Arial Narrow"/>
          <w:sz w:val="28"/>
          <w:szCs w:val="28"/>
        </w:rPr>
        <w:t>3 de julio de 2011</w:t>
      </w:r>
      <w:r w:rsidR="00FE18BF">
        <w:rPr>
          <w:rFonts w:ascii="Arial Narrow" w:hAnsi="Arial Narrow" w:cs="Arial Narrow"/>
          <w:sz w:val="28"/>
          <w:szCs w:val="28"/>
        </w:rPr>
        <w:t xml:space="preserve">, </w:t>
      </w:r>
      <w:r w:rsidR="00365756">
        <w:rPr>
          <w:rFonts w:ascii="Arial Narrow" w:hAnsi="Arial Narrow" w:cs="Arial Narrow"/>
          <w:sz w:val="28"/>
          <w:szCs w:val="28"/>
        </w:rPr>
        <w:t xml:space="preserve">pues </w:t>
      </w:r>
      <w:r w:rsidR="002A6C32">
        <w:rPr>
          <w:rFonts w:ascii="Arial Narrow" w:hAnsi="Arial Narrow" w:cs="Arial Narrow"/>
          <w:sz w:val="28"/>
          <w:szCs w:val="28"/>
        </w:rPr>
        <w:t xml:space="preserve">la </w:t>
      </w:r>
      <w:r w:rsidR="002E618E">
        <w:rPr>
          <w:rFonts w:ascii="Arial Narrow" w:hAnsi="Arial Narrow" w:cs="Arial Narrow"/>
          <w:sz w:val="28"/>
          <w:szCs w:val="28"/>
        </w:rPr>
        <w:t xml:space="preserve">acción judicial </w:t>
      </w:r>
      <w:r w:rsidR="002A6C32">
        <w:rPr>
          <w:rFonts w:ascii="Arial Narrow" w:hAnsi="Arial Narrow" w:cs="Arial Narrow"/>
          <w:sz w:val="28"/>
          <w:szCs w:val="28"/>
        </w:rPr>
        <w:t xml:space="preserve">fue instaurada en ese mismo día y mes del año </w:t>
      </w:r>
      <w:r w:rsidR="005D47F1">
        <w:rPr>
          <w:rFonts w:ascii="Arial Narrow" w:hAnsi="Arial Narrow" w:cs="Arial Narrow"/>
          <w:sz w:val="28"/>
          <w:szCs w:val="28"/>
        </w:rPr>
        <w:t xml:space="preserve">2014, </w:t>
      </w:r>
      <w:r w:rsidR="002F6047">
        <w:rPr>
          <w:rFonts w:ascii="Arial Narrow" w:hAnsi="Arial Narrow" w:cs="Arial Narrow"/>
          <w:sz w:val="28"/>
          <w:szCs w:val="28"/>
        </w:rPr>
        <w:t xml:space="preserve">amén de que la solicitud </w:t>
      </w:r>
      <w:r w:rsidR="00B15CE0">
        <w:rPr>
          <w:rFonts w:ascii="Arial Narrow" w:hAnsi="Arial Narrow" w:cs="Arial Narrow"/>
          <w:sz w:val="28"/>
          <w:szCs w:val="28"/>
        </w:rPr>
        <w:t xml:space="preserve">pensional </w:t>
      </w:r>
      <w:r w:rsidR="00DD23F1">
        <w:rPr>
          <w:rFonts w:ascii="Arial Narrow" w:hAnsi="Arial Narrow" w:cs="Arial Narrow"/>
          <w:sz w:val="28"/>
          <w:szCs w:val="28"/>
        </w:rPr>
        <w:t xml:space="preserve">fue radicada </w:t>
      </w:r>
      <w:r w:rsidR="00B15CE0">
        <w:rPr>
          <w:rFonts w:ascii="Arial Narrow" w:hAnsi="Arial Narrow" w:cs="Arial Narrow"/>
          <w:sz w:val="28"/>
          <w:szCs w:val="28"/>
        </w:rPr>
        <w:t>por</w:t>
      </w:r>
      <w:r w:rsidR="002F6047">
        <w:rPr>
          <w:rFonts w:ascii="Arial Narrow" w:hAnsi="Arial Narrow" w:cs="Arial Narrow"/>
          <w:sz w:val="28"/>
          <w:szCs w:val="28"/>
        </w:rPr>
        <w:t xml:space="preserve"> fuera del término legal que establece el precepto 151 del CPL </w:t>
      </w:r>
      <w:r w:rsidR="00DD23F1">
        <w:rPr>
          <w:rFonts w:ascii="Arial Narrow" w:hAnsi="Arial Narrow" w:cs="Arial Narrow"/>
          <w:sz w:val="28"/>
          <w:szCs w:val="28"/>
        </w:rPr>
        <w:t>para reclamar el derecho desde el momento en que</w:t>
      </w:r>
      <w:r w:rsidR="00DE2723">
        <w:rPr>
          <w:rFonts w:ascii="Arial Narrow" w:hAnsi="Arial Narrow" w:cs="Arial Narrow"/>
          <w:sz w:val="28"/>
          <w:szCs w:val="28"/>
        </w:rPr>
        <w:t xml:space="preserve"> é</w:t>
      </w:r>
      <w:r w:rsidR="00DD23F1">
        <w:rPr>
          <w:rFonts w:ascii="Arial Narrow" w:hAnsi="Arial Narrow" w:cs="Arial Narrow"/>
          <w:sz w:val="28"/>
          <w:szCs w:val="28"/>
        </w:rPr>
        <w:t>ste se hizo exigible</w:t>
      </w:r>
      <w:r w:rsidR="002F6047">
        <w:rPr>
          <w:rFonts w:ascii="Arial Narrow" w:hAnsi="Arial Narrow" w:cs="Arial Narrow"/>
          <w:sz w:val="28"/>
          <w:szCs w:val="28"/>
        </w:rPr>
        <w:t xml:space="preserve">, pues la </w:t>
      </w:r>
      <w:proofErr w:type="spellStart"/>
      <w:r w:rsidR="002F6047">
        <w:rPr>
          <w:rFonts w:ascii="Arial Narrow" w:hAnsi="Arial Narrow" w:cs="Arial Narrow"/>
          <w:sz w:val="28"/>
          <w:szCs w:val="28"/>
        </w:rPr>
        <w:t>causación</w:t>
      </w:r>
      <w:proofErr w:type="spellEnd"/>
      <w:r w:rsidR="002F6047">
        <w:rPr>
          <w:rFonts w:ascii="Arial Narrow" w:hAnsi="Arial Narrow" w:cs="Arial Narrow"/>
          <w:sz w:val="28"/>
          <w:szCs w:val="28"/>
        </w:rPr>
        <w:t xml:space="preserve"> del derecho se dio el 3 de diciembre de 2007 y la reclamación data del 29 de junio de 2011, </w:t>
      </w:r>
      <w:r w:rsidR="00B15CE0">
        <w:rPr>
          <w:rFonts w:ascii="Arial Narrow" w:hAnsi="Arial Narrow" w:cs="Arial Narrow"/>
          <w:sz w:val="28"/>
          <w:szCs w:val="28"/>
        </w:rPr>
        <w:t xml:space="preserve">razón por la cual </w:t>
      </w:r>
      <w:r w:rsidR="00DD23F1">
        <w:rPr>
          <w:rFonts w:ascii="Arial Narrow" w:hAnsi="Arial Narrow" w:cs="Arial Narrow"/>
          <w:sz w:val="28"/>
          <w:szCs w:val="28"/>
        </w:rPr>
        <w:t xml:space="preserve">la reclamación </w:t>
      </w:r>
      <w:r w:rsidR="002F6047">
        <w:rPr>
          <w:rFonts w:ascii="Arial Narrow" w:hAnsi="Arial Narrow" w:cs="Arial Narrow"/>
          <w:sz w:val="28"/>
          <w:szCs w:val="28"/>
        </w:rPr>
        <w:t xml:space="preserve">no tiene la virtualidad de interrumpir los términos </w:t>
      </w:r>
      <w:r w:rsidR="00B15CE0">
        <w:rPr>
          <w:rFonts w:ascii="Arial Narrow" w:hAnsi="Arial Narrow" w:cs="Arial Narrow"/>
          <w:sz w:val="28"/>
          <w:szCs w:val="28"/>
        </w:rPr>
        <w:t>prescriptivos</w:t>
      </w:r>
      <w:r w:rsidR="002F6047">
        <w:rPr>
          <w:rFonts w:ascii="Arial Narrow" w:hAnsi="Arial Narrow" w:cs="Arial Narrow"/>
          <w:sz w:val="28"/>
          <w:szCs w:val="28"/>
        </w:rPr>
        <w:t xml:space="preserve">. </w:t>
      </w:r>
    </w:p>
    <w:p w:rsidR="002F6047" w:rsidRPr="009843D7" w:rsidRDefault="002F6047" w:rsidP="009843D7">
      <w:pPr>
        <w:pStyle w:val="Sansinterligne"/>
      </w:pPr>
    </w:p>
    <w:p w:rsidR="00DE2723" w:rsidRDefault="009673FA" w:rsidP="00FE18BF">
      <w:pPr>
        <w:pStyle w:val="Textoindependiente34"/>
        <w:ind w:right="191" w:firstLine="708"/>
        <w:rPr>
          <w:rFonts w:ascii="Arial Narrow" w:hAnsi="Arial Narrow" w:cs="Arial Narrow"/>
          <w:sz w:val="28"/>
          <w:szCs w:val="28"/>
        </w:rPr>
      </w:pPr>
      <w:r>
        <w:rPr>
          <w:rFonts w:ascii="Arial Narrow" w:hAnsi="Arial Narrow" w:cs="Arial Narrow"/>
          <w:sz w:val="28"/>
          <w:szCs w:val="28"/>
        </w:rPr>
        <w:t xml:space="preserve">Tampoco </w:t>
      </w:r>
      <w:r w:rsidR="00DD23F1">
        <w:rPr>
          <w:rFonts w:ascii="Arial Narrow" w:hAnsi="Arial Narrow" w:cs="Arial Narrow"/>
          <w:sz w:val="28"/>
          <w:szCs w:val="28"/>
        </w:rPr>
        <w:t>podría tomarse en cuenta para efectos de interrumpir la prescripción</w:t>
      </w:r>
      <w:r w:rsidR="009843D7">
        <w:rPr>
          <w:rFonts w:ascii="Arial Narrow" w:hAnsi="Arial Narrow" w:cs="Arial Narrow"/>
          <w:sz w:val="28"/>
          <w:szCs w:val="28"/>
        </w:rPr>
        <w:t>,</w:t>
      </w:r>
      <w:r w:rsidR="00DD23F1">
        <w:rPr>
          <w:rFonts w:ascii="Arial Narrow" w:hAnsi="Arial Narrow" w:cs="Arial Narrow"/>
          <w:sz w:val="28"/>
          <w:szCs w:val="28"/>
        </w:rPr>
        <w:t xml:space="preserve"> la petición de tutela elevada por el actor el 23 de julio de 2009, </w:t>
      </w:r>
      <w:r w:rsidR="001B3272">
        <w:rPr>
          <w:rFonts w:ascii="Arial Narrow" w:hAnsi="Arial Narrow" w:cs="Arial Narrow"/>
          <w:sz w:val="28"/>
          <w:szCs w:val="28"/>
        </w:rPr>
        <w:t>p</w:t>
      </w:r>
      <w:r w:rsidR="000437D5">
        <w:rPr>
          <w:rFonts w:ascii="Arial Narrow" w:hAnsi="Arial Narrow" w:cs="Arial Narrow"/>
          <w:sz w:val="28"/>
          <w:szCs w:val="28"/>
        </w:rPr>
        <w:t xml:space="preserve">ues </w:t>
      </w:r>
      <w:r w:rsidR="00DE2723">
        <w:rPr>
          <w:rFonts w:ascii="Arial Narrow" w:hAnsi="Arial Narrow" w:cs="Arial Narrow"/>
          <w:sz w:val="28"/>
          <w:szCs w:val="28"/>
        </w:rPr>
        <w:t xml:space="preserve">en ella no se solicitó de manera expresa y concreta el reconocimiento y pago de la pensión vitalicia de vejez, sino </w:t>
      </w:r>
      <w:r w:rsidR="00FB6BEF">
        <w:rPr>
          <w:rFonts w:ascii="Arial Narrow" w:hAnsi="Arial Narrow" w:cs="Arial Narrow"/>
          <w:sz w:val="28"/>
          <w:szCs w:val="28"/>
        </w:rPr>
        <w:t xml:space="preserve">únicamente la autorización para </w:t>
      </w:r>
      <w:r w:rsidR="00DE2723">
        <w:rPr>
          <w:rFonts w:ascii="Arial Narrow" w:hAnsi="Arial Narrow" w:cs="Arial Narrow"/>
          <w:sz w:val="28"/>
          <w:szCs w:val="28"/>
        </w:rPr>
        <w:t>el traslado de</w:t>
      </w:r>
      <w:r w:rsidR="00FB6BEF">
        <w:rPr>
          <w:rFonts w:ascii="Arial Narrow" w:hAnsi="Arial Narrow" w:cs="Arial Narrow"/>
          <w:sz w:val="28"/>
          <w:szCs w:val="28"/>
        </w:rPr>
        <w:t>l</w:t>
      </w:r>
      <w:r w:rsidR="00DE2723">
        <w:rPr>
          <w:rFonts w:ascii="Arial Narrow" w:hAnsi="Arial Narrow" w:cs="Arial Narrow"/>
          <w:sz w:val="28"/>
          <w:szCs w:val="28"/>
        </w:rPr>
        <w:t xml:space="preserve"> régimen de ahorro individual al de prima media con prestación definida.</w:t>
      </w:r>
    </w:p>
    <w:p w:rsidR="00DE2723" w:rsidRDefault="00DE2723" w:rsidP="00736FA5">
      <w:pPr>
        <w:pStyle w:val="Sansinterligne"/>
      </w:pPr>
    </w:p>
    <w:p w:rsidR="0062369F" w:rsidRPr="00966BF9" w:rsidRDefault="00961233" w:rsidP="0062369F">
      <w:pPr>
        <w:pStyle w:val="Textoindependiente34"/>
        <w:ind w:right="191" w:firstLine="708"/>
        <w:rPr>
          <w:rFonts w:ascii="Arial Narrow" w:hAnsi="Arial Narrow" w:cs="Arial Narrow"/>
          <w:sz w:val="28"/>
          <w:szCs w:val="28"/>
        </w:rPr>
      </w:pPr>
      <w:r w:rsidRPr="00966BF9">
        <w:rPr>
          <w:rFonts w:ascii="Arial Narrow" w:hAnsi="Arial Narrow" w:cs="Arial Narrow"/>
          <w:sz w:val="28"/>
          <w:szCs w:val="28"/>
        </w:rPr>
        <w:t xml:space="preserve">Así las cosas, el retroactivo pensional causado entre el </w:t>
      </w:r>
      <w:r w:rsidR="00CF5C2C" w:rsidRPr="00966BF9">
        <w:rPr>
          <w:rFonts w:ascii="Arial Narrow" w:hAnsi="Arial Narrow" w:cs="Arial Narrow"/>
          <w:sz w:val="28"/>
          <w:szCs w:val="28"/>
        </w:rPr>
        <w:t>3 de julio de 2011 y el 28 de febrero de 2013, asc</w:t>
      </w:r>
      <w:r w:rsidR="00A15B62" w:rsidRPr="00966BF9">
        <w:rPr>
          <w:rFonts w:ascii="Arial Narrow" w:hAnsi="Arial Narrow" w:cs="Arial Narrow"/>
          <w:sz w:val="28"/>
          <w:szCs w:val="28"/>
        </w:rPr>
        <w:t xml:space="preserve">iende a </w:t>
      </w:r>
      <w:r w:rsidR="00CF5C2C" w:rsidRPr="00966BF9">
        <w:rPr>
          <w:rFonts w:ascii="Arial Narrow" w:hAnsi="Arial Narrow" w:cs="Arial Narrow"/>
          <w:sz w:val="28"/>
          <w:szCs w:val="28"/>
        </w:rPr>
        <w:t>$</w:t>
      </w:r>
      <w:r w:rsidR="00736FA5" w:rsidRPr="00966BF9">
        <w:rPr>
          <w:rFonts w:ascii="Arial Narrow" w:hAnsi="Arial Narrow" w:cs="Arial Narrow"/>
          <w:sz w:val="28"/>
          <w:szCs w:val="28"/>
        </w:rPr>
        <w:t xml:space="preserve">45`405.380, </w:t>
      </w:r>
      <w:r w:rsidR="00A15B62" w:rsidRPr="00966BF9">
        <w:rPr>
          <w:rFonts w:ascii="Arial Narrow" w:hAnsi="Arial Narrow" w:cs="Arial Narrow"/>
          <w:sz w:val="28"/>
          <w:szCs w:val="28"/>
        </w:rPr>
        <w:t>monto que resulta inferior al calculado por la a-quo, motivo por el cual en virtud del grado jurisdiccional de consulta que opera en favor de la entidad, se modificará.</w:t>
      </w:r>
    </w:p>
    <w:p w:rsidR="0062369F" w:rsidRPr="00291C1A" w:rsidRDefault="0062369F" w:rsidP="00052F65">
      <w:pPr>
        <w:pStyle w:val="Sansinterligne"/>
      </w:pPr>
    </w:p>
    <w:p w:rsidR="002372A5" w:rsidRPr="00773E17" w:rsidRDefault="002372A5" w:rsidP="0062369F">
      <w:pPr>
        <w:pStyle w:val="Textoindependiente34"/>
        <w:ind w:right="191" w:firstLine="708"/>
        <w:rPr>
          <w:rFonts w:ascii="Arial Narrow" w:hAnsi="Arial Narrow"/>
          <w:sz w:val="28"/>
          <w:szCs w:val="28"/>
        </w:rPr>
      </w:pPr>
      <w:r>
        <w:rPr>
          <w:rFonts w:ascii="Arial Narrow" w:hAnsi="Arial Narrow"/>
          <w:sz w:val="28"/>
          <w:szCs w:val="28"/>
          <w:lang w:val="es-ES"/>
        </w:rPr>
        <w:t>En cuanto al pago de los inte</w:t>
      </w:r>
      <w:r w:rsidR="00F514E2">
        <w:rPr>
          <w:rFonts w:ascii="Arial Narrow" w:hAnsi="Arial Narrow"/>
          <w:sz w:val="28"/>
          <w:szCs w:val="28"/>
          <w:lang w:val="es-ES"/>
        </w:rPr>
        <w:t>reses de mora impuestos por la a</w:t>
      </w:r>
      <w:r>
        <w:rPr>
          <w:rFonts w:ascii="Arial Narrow" w:hAnsi="Arial Narrow"/>
          <w:sz w:val="28"/>
          <w:szCs w:val="28"/>
          <w:lang w:val="es-ES"/>
        </w:rPr>
        <w:t xml:space="preserve">-quo, </w:t>
      </w:r>
      <w:r w:rsidR="00F514E2">
        <w:rPr>
          <w:rFonts w:ascii="Arial Narrow" w:hAnsi="Arial Narrow"/>
          <w:sz w:val="28"/>
          <w:szCs w:val="28"/>
          <w:lang w:val="es-ES"/>
        </w:rPr>
        <w:t>é</w:t>
      </w:r>
      <w:r>
        <w:rPr>
          <w:rFonts w:ascii="Arial Narrow" w:hAnsi="Arial Narrow"/>
          <w:sz w:val="28"/>
          <w:szCs w:val="28"/>
          <w:lang w:val="es-ES"/>
        </w:rPr>
        <w:t xml:space="preserve">stos proceden a partir del </w:t>
      </w:r>
      <w:r w:rsidR="00F514E2">
        <w:rPr>
          <w:rFonts w:ascii="Arial Narrow" w:hAnsi="Arial Narrow"/>
          <w:sz w:val="28"/>
          <w:szCs w:val="28"/>
          <w:lang w:val="es-ES"/>
        </w:rPr>
        <w:t xml:space="preserve">29 de diciembre de 2011, por cuanto la </w:t>
      </w:r>
      <w:r w:rsidR="00FB0146">
        <w:rPr>
          <w:rFonts w:ascii="Arial Narrow" w:hAnsi="Arial Narrow"/>
          <w:sz w:val="28"/>
          <w:szCs w:val="28"/>
          <w:lang w:val="es-ES"/>
        </w:rPr>
        <w:t xml:space="preserve">solicitud pensional se </w:t>
      </w:r>
      <w:r w:rsidR="00FB0146">
        <w:rPr>
          <w:rFonts w:ascii="Arial Narrow" w:hAnsi="Arial Narrow"/>
          <w:sz w:val="28"/>
          <w:szCs w:val="28"/>
          <w:lang w:val="es-ES"/>
        </w:rPr>
        <w:lastRenderedPageBreak/>
        <w:t xml:space="preserve">presentó </w:t>
      </w:r>
      <w:r w:rsidR="00F514E2">
        <w:rPr>
          <w:rFonts w:ascii="Arial Narrow" w:hAnsi="Arial Narrow"/>
          <w:sz w:val="28"/>
          <w:szCs w:val="28"/>
          <w:lang w:val="es-ES"/>
        </w:rPr>
        <w:t xml:space="preserve">ese día de junio de 2011 </w:t>
      </w:r>
      <w:r>
        <w:rPr>
          <w:rFonts w:ascii="Arial Narrow" w:hAnsi="Arial Narrow"/>
          <w:sz w:val="28"/>
          <w:szCs w:val="28"/>
        </w:rPr>
        <w:t xml:space="preserve">y sólo a partir del </w:t>
      </w:r>
      <w:r w:rsidR="006D6320">
        <w:rPr>
          <w:rFonts w:ascii="Arial Narrow" w:hAnsi="Arial Narrow"/>
          <w:sz w:val="28"/>
          <w:szCs w:val="28"/>
        </w:rPr>
        <w:t xml:space="preserve">1º </w:t>
      </w:r>
      <w:r>
        <w:rPr>
          <w:rFonts w:ascii="Arial Narrow" w:hAnsi="Arial Narrow"/>
          <w:sz w:val="28"/>
          <w:szCs w:val="28"/>
        </w:rPr>
        <w:t xml:space="preserve">de </w:t>
      </w:r>
      <w:r w:rsidR="00F514E2">
        <w:rPr>
          <w:rFonts w:ascii="Arial Narrow" w:hAnsi="Arial Narrow"/>
          <w:sz w:val="28"/>
          <w:szCs w:val="28"/>
        </w:rPr>
        <w:t>marzo de 2</w:t>
      </w:r>
      <w:r>
        <w:rPr>
          <w:rFonts w:ascii="Arial Narrow" w:hAnsi="Arial Narrow"/>
          <w:sz w:val="28"/>
          <w:szCs w:val="28"/>
        </w:rPr>
        <w:t>013 la entidad procedió a reconoce</w:t>
      </w:r>
      <w:r w:rsidR="006D6320">
        <w:rPr>
          <w:rFonts w:ascii="Arial Narrow" w:hAnsi="Arial Narrow"/>
          <w:sz w:val="28"/>
          <w:szCs w:val="28"/>
        </w:rPr>
        <w:t>r</w:t>
      </w:r>
      <w:r>
        <w:rPr>
          <w:rFonts w:ascii="Arial Narrow" w:hAnsi="Arial Narrow"/>
          <w:sz w:val="28"/>
          <w:szCs w:val="28"/>
        </w:rPr>
        <w:t xml:space="preserve"> la prestación</w:t>
      </w:r>
      <w:r w:rsidR="003E4A74">
        <w:rPr>
          <w:rFonts w:ascii="Arial Narrow" w:hAnsi="Arial Narrow"/>
          <w:sz w:val="28"/>
          <w:szCs w:val="28"/>
        </w:rPr>
        <w:t xml:space="preserve">. </w:t>
      </w:r>
      <w:r w:rsidR="00FB0146">
        <w:rPr>
          <w:rFonts w:ascii="Arial Narrow" w:hAnsi="Arial Narrow"/>
          <w:sz w:val="28"/>
          <w:szCs w:val="28"/>
        </w:rPr>
        <w:t>N</w:t>
      </w:r>
      <w:r w:rsidR="003E4A74">
        <w:rPr>
          <w:rFonts w:ascii="Arial Narrow" w:hAnsi="Arial Narrow"/>
          <w:sz w:val="28"/>
          <w:szCs w:val="28"/>
        </w:rPr>
        <w:t xml:space="preserve">ingún pronunciamiento se hará respecto a la fecha hasta la cual </w:t>
      </w:r>
      <w:r w:rsidR="00FB0146">
        <w:rPr>
          <w:rFonts w:ascii="Arial Narrow" w:hAnsi="Arial Narrow"/>
          <w:sz w:val="28"/>
          <w:szCs w:val="28"/>
        </w:rPr>
        <w:t xml:space="preserve">la a-quo limitó el pago de los intereses, </w:t>
      </w:r>
      <w:r w:rsidR="003E4A74">
        <w:rPr>
          <w:rFonts w:ascii="Arial Narrow" w:hAnsi="Arial Narrow"/>
          <w:sz w:val="28"/>
          <w:szCs w:val="28"/>
        </w:rPr>
        <w:t xml:space="preserve">pues como se dijo, no fue materia de recurso de apelación. </w:t>
      </w:r>
    </w:p>
    <w:p w:rsidR="00F80157" w:rsidRDefault="00F80157" w:rsidP="003E4A74">
      <w:pPr>
        <w:pStyle w:val="Sansinterligne"/>
        <w:rPr>
          <w:lang w:val="es-CO"/>
        </w:rPr>
      </w:pPr>
    </w:p>
    <w:p w:rsidR="00C679AE" w:rsidRPr="003E4A74" w:rsidRDefault="003E4A74" w:rsidP="00FB0146">
      <w:pPr>
        <w:pStyle w:val="Sansinterligne"/>
        <w:spacing w:line="360" w:lineRule="auto"/>
        <w:ind w:firstLine="708"/>
        <w:jc w:val="both"/>
        <w:rPr>
          <w:rFonts w:ascii="Arial Narrow" w:hAnsi="Arial Narrow"/>
          <w:sz w:val="28"/>
          <w:szCs w:val="28"/>
        </w:rPr>
      </w:pPr>
      <w:r w:rsidRPr="003E4A74">
        <w:rPr>
          <w:rFonts w:ascii="Arial Narrow" w:hAnsi="Arial Narrow"/>
          <w:sz w:val="28"/>
          <w:szCs w:val="28"/>
        </w:rPr>
        <w:t>No se impondrán condena en cos</w:t>
      </w:r>
      <w:bookmarkStart w:id="0" w:name="_GoBack"/>
      <w:bookmarkEnd w:id="0"/>
      <w:r w:rsidRPr="003E4A74">
        <w:rPr>
          <w:rFonts w:ascii="Arial Narrow" w:hAnsi="Arial Narrow"/>
          <w:sz w:val="28"/>
          <w:szCs w:val="28"/>
        </w:rPr>
        <w:t>tas en esta</w:t>
      </w:r>
      <w:r w:rsidR="00FB0146">
        <w:rPr>
          <w:rFonts w:ascii="Arial Narrow" w:hAnsi="Arial Narrow"/>
          <w:sz w:val="28"/>
          <w:szCs w:val="28"/>
        </w:rPr>
        <w:t xml:space="preserve"> instancia, dada la prosperidad p</w:t>
      </w:r>
      <w:r w:rsidRPr="003E4A74">
        <w:rPr>
          <w:rFonts w:ascii="Arial Narrow" w:hAnsi="Arial Narrow"/>
          <w:sz w:val="28"/>
          <w:szCs w:val="28"/>
        </w:rPr>
        <w:t xml:space="preserve">arcial del recurso. </w:t>
      </w:r>
      <w:r w:rsidR="004A5591">
        <w:rPr>
          <w:rFonts w:ascii="Arial Narrow" w:hAnsi="Arial Narrow"/>
          <w:sz w:val="28"/>
          <w:szCs w:val="28"/>
        </w:rPr>
        <w:t>Las de primer grado correrán a cargo de la entidad demandada en favor de los demandantes.</w:t>
      </w:r>
    </w:p>
    <w:p w:rsidR="008B7327" w:rsidRPr="00FB0146" w:rsidRDefault="008B7327" w:rsidP="00FB0146">
      <w:pPr>
        <w:pStyle w:val="Sansinterligne"/>
      </w:pPr>
    </w:p>
    <w:p w:rsidR="008B7327" w:rsidRPr="006A37DE" w:rsidRDefault="008B7327" w:rsidP="008B7327">
      <w:pPr>
        <w:pStyle w:val="Prrafodelista1"/>
        <w:spacing w:after="0" w:line="360" w:lineRule="auto"/>
        <w:ind w:left="0" w:firstLine="900"/>
        <w:jc w:val="both"/>
        <w:rPr>
          <w:rFonts w:ascii="Arial Narrow" w:hAnsi="Arial Narrow"/>
          <w:sz w:val="28"/>
          <w:szCs w:val="28"/>
        </w:rPr>
      </w:pPr>
      <w:r w:rsidRPr="00A071CD">
        <w:rPr>
          <w:rFonts w:ascii="Arial Narrow" w:hAnsi="Arial Narrow"/>
          <w:sz w:val="28"/>
          <w:szCs w:val="28"/>
        </w:rPr>
        <w:t xml:space="preserve">En mérito de lo expuesto, el </w:t>
      </w:r>
      <w:r w:rsidRPr="006A37DE">
        <w:rPr>
          <w:rFonts w:ascii="Arial Narrow" w:hAnsi="Arial Narrow"/>
          <w:i/>
          <w:sz w:val="28"/>
          <w:szCs w:val="28"/>
        </w:rPr>
        <w:t>H. Tribunal Superior del Distrito Judicial de Pereira - Risaralda, Sala Laboral,</w:t>
      </w:r>
      <w:r w:rsidRPr="006A37DE">
        <w:rPr>
          <w:rFonts w:ascii="Arial Narrow" w:hAnsi="Arial Narrow"/>
          <w:sz w:val="28"/>
          <w:szCs w:val="28"/>
        </w:rPr>
        <w:t xml:space="preserve"> administrando justicia en nombre de la República y por autoridad de la ley,</w:t>
      </w:r>
    </w:p>
    <w:p w:rsidR="008B7327" w:rsidRPr="006A37DE" w:rsidRDefault="008B7327" w:rsidP="008B7327">
      <w:pPr>
        <w:spacing w:line="360" w:lineRule="auto"/>
        <w:jc w:val="center"/>
        <w:rPr>
          <w:rFonts w:ascii="Arial Narrow" w:hAnsi="Arial Narrow" w:cs="Arial"/>
          <w:i/>
          <w:sz w:val="28"/>
          <w:szCs w:val="28"/>
        </w:rPr>
      </w:pPr>
      <w:r w:rsidRPr="006A37DE">
        <w:rPr>
          <w:rFonts w:ascii="Arial Narrow" w:hAnsi="Arial Narrow" w:cs="Arial"/>
          <w:i/>
          <w:sz w:val="28"/>
          <w:szCs w:val="28"/>
        </w:rPr>
        <w:t>FALLA</w:t>
      </w:r>
    </w:p>
    <w:p w:rsidR="008B7327" w:rsidRPr="00CB64AA" w:rsidRDefault="008B7327" w:rsidP="00CB64AA">
      <w:pPr>
        <w:pStyle w:val="Sansinterligne"/>
      </w:pPr>
    </w:p>
    <w:p w:rsidR="007E0928" w:rsidRPr="007E0928" w:rsidRDefault="008B7327" w:rsidP="00F94D6C">
      <w:pPr>
        <w:numPr>
          <w:ilvl w:val="0"/>
          <w:numId w:val="1"/>
        </w:numPr>
        <w:autoSpaceDE w:val="0"/>
        <w:autoSpaceDN w:val="0"/>
        <w:adjustRightInd w:val="0"/>
        <w:spacing w:line="360" w:lineRule="auto"/>
        <w:ind w:left="0" w:firstLine="0"/>
        <w:jc w:val="both"/>
      </w:pPr>
      <w:r w:rsidRPr="00052F65">
        <w:rPr>
          <w:rFonts w:ascii="Arial Narrow" w:hAnsi="Arial Narrow" w:cs="Arial"/>
          <w:i/>
          <w:sz w:val="28"/>
          <w:szCs w:val="28"/>
          <w:lang w:val="es-ES"/>
        </w:rPr>
        <w:t xml:space="preserve">Modifica </w:t>
      </w:r>
      <w:r w:rsidR="0093222F" w:rsidRPr="0093222F">
        <w:rPr>
          <w:rFonts w:ascii="Arial Narrow" w:hAnsi="Arial Narrow" w:cs="Arial"/>
          <w:sz w:val="28"/>
          <w:szCs w:val="28"/>
          <w:lang w:val="es-ES"/>
        </w:rPr>
        <w:t xml:space="preserve">los ordinales 9, 10 y 12 </w:t>
      </w:r>
      <w:r w:rsidR="00FB7449" w:rsidRPr="0093222F">
        <w:rPr>
          <w:rFonts w:ascii="Arial Narrow" w:hAnsi="Arial Narrow" w:cs="Arial"/>
          <w:sz w:val="28"/>
          <w:szCs w:val="28"/>
          <w:lang w:val="es-ES"/>
        </w:rPr>
        <w:t xml:space="preserve">de la </w:t>
      </w:r>
      <w:r w:rsidRPr="0093222F">
        <w:rPr>
          <w:rFonts w:ascii="Arial Narrow" w:hAnsi="Arial Narrow" w:cs="Arial"/>
          <w:sz w:val="28"/>
          <w:szCs w:val="28"/>
          <w:lang w:val="es-ES"/>
        </w:rPr>
        <w:t>sentencia</w:t>
      </w:r>
      <w:r w:rsidRPr="00052F65">
        <w:rPr>
          <w:rFonts w:ascii="Arial Narrow" w:hAnsi="Arial Narrow" w:cs="Arial"/>
          <w:sz w:val="28"/>
          <w:szCs w:val="28"/>
          <w:lang w:val="es-ES"/>
        </w:rPr>
        <w:t xml:space="preserve"> </w:t>
      </w:r>
      <w:r w:rsidRPr="00052F65">
        <w:rPr>
          <w:rFonts w:ascii="Arial Narrow" w:hAnsi="Arial Narrow" w:cs="Arial"/>
          <w:sz w:val="28"/>
          <w:szCs w:val="28"/>
        </w:rPr>
        <w:t xml:space="preserve">proferida por el Juzgado </w:t>
      </w:r>
      <w:r w:rsidR="00FB7449" w:rsidRPr="00052F65">
        <w:rPr>
          <w:rFonts w:ascii="Arial Narrow" w:hAnsi="Arial Narrow" w:cs="Arial"/>
          <w:sz w:val="28"/>
          <w:szCs w:val="28"/>
        </w:rPr>
        <w:t xml:space="preserve">Cuarto </w:t>
      </w:r>
      <w:r w:rsidRPr="00052F65">
        <w:rPr>
          <w:rFonts w:ascii="Arial Narrow" w:hAnsi="Arial Narrow" w:cs="Arial"/>
          <w:sz w:val="28"/>
          <w:szCs w:val="28"/>
        </w:rPr>
        <w:t>Laboral del Circuito de Pereira, dentro del proceso ordinario laboral de la referencia,</w:t>
      </w:r>
      <w:r w:rsidR="007E0928">
        <w:rPr>
          <w:rFonts w:ascii="Arial Narrow" w:hAnsi="Arial Narrow" w:cs="Arial"/>
          <w:sz w:val="28"/>
          <w:szCs w:val="28"/>
        </w:rPr>
        <w:t xml:space="preserve"> los cuales quedarán así: </w:t>
      </w:r>
    </w:p>
    <w:p w:rsidR="007E0928" w:rsidRDefault="007E0928" w:rsidP="007E0928">
      <w:pPr>
        <w:pStyle w:val="Sansinterligne"/>
        <w:rPr>
          <w:lang w:val="es-ES"/>
        </w:rPr>
      </w:pPr>
    </w:p>
    <w:p w:rsidR="008B7327" w:rsidRPr="007E0928" w:rsidRDefault="007E0928" w:rsidP="007E0928">
      <w:pPr>
        <w:autoSpaceDE w:val="0"/>
        <w:autoSpaceDN w:val="0"/>
        <w:adjustRightInd w:val="0"/>
        <w:jc w:val="both"/>
        <w:rPr>
          <w:rFonts w:ascii="Arial Narrow" w:hAnsi="Arial Narrow" w:cs="Arial"/>
          <w:i/>
          <w:sz w:val="28"/>
          <w:szCs w:val="28"/>
          <w:lang w:val="es-ES"/>
        </w:rPr>
      </w:pPr>
      <w:r>
        <w:rPr>
          <w:rFonts w:ascii="Arial Narrow" w:hAnsi="Arial Narrow" w:cs="Arial"/>
          <w:i/>
          <w:sz w:val="28"/>
          <w:szCs w:val="28"/>
          <w:lang w:val="es-ES"/>
        </w:rPr>
        <w:t>“</w:t>
      </w:r>
      <w:r w:rsidRPr="007E0928">
        <w:rPr>
          <w:rFonts w:ascii="Arial Narrow" w:hAnsi="Arial Narrow" w:cs="Arial"/>
          <w:i/>
          <w:sz w:val="28"/>
          <w:szCs w:val="28"/>
          <w:lang w:val="es-ES"/>
        </w:rPr>
        <w:t>Noveno: Declarar que el señor Fernando Bedoya Naranjo tiene derecho al reconocimiento de su pensión vitalicia de vejez</w:t>
      </w:r>
      <w:r w:rsidR="008B7327" w:rsidRPr="007E0928">
        <w:rPr>
          <w:rFonts w:ascii="Arial Narrow" w:hAnsi="Arial Narrow" w:cs="Arial"/>
          <w:i/>
          <w:sz w:val="28"/>
          <w:szCs w:val="28"/>
          <w:lang w:val="es-ES"/>
        </w:rPr>
        <w:t xml:space="preserve"> </w:t>
      </w:r>
      <w:r w:rsidRPr="007E0928">
        <w:rPr>
          <w:rFonts w:ascii="Arial Narrow" w:hAnsi="Arial Narrow" w:cs="Arial"/>
          <w:i/>
          <w:sz w:val="28"/>
          <w:szCs w:val="28"/>
          <w:lang w:val="es-ES"/>
        </w:rPr>
        <w:t xml:space="preserve">a partir del 1º </w:t>
      </w:r>
      <w:r w:rsidR="00052F65" w:rsidRPr="007E0928">
        <w:rPr>
          <w:rFonts w:ascii="Arial Narrow" w:hAnsi="Arial Narrow" w:cs="Arial"/>
          <w:i/>
          <w:sz w:val="28"/>
          <w:szCs w:val="28"/>
          <w:lang w:val="es-ES"/>
        </w:rPr>
        <w:t xml:space="preserve">de enero de 2008. </w:t>
      </w:r>
    </w:p>
    <w:p w:rsidR="007E0928" w:rsidRPr="007E0928" w:rsidRDefault="007E0928" w:rsidP="007E0928">
      <w:pPr>
        <w:pStyle w:val="Sansinterligne"/>
        <w:rPr>
          <w:lang w:val="es-ES"/>
        </w:rPr>
      </w:pPr>
    </w:p>
    <w:p w:rsidR="008B7327" w:rsidRDefault="007E0928" w:rsidP="007E0928">
      <w:pPr>
        <w:autoSpaceDE w:val="0"/>
        <w:autoSpaceDN w:val="0"/>
        <w:adjustRightInd w:val="0"/>
        <w:jc w:val="both"/>
        <w:rPr>
          <w:rFonts w:ascii="Arial Narrow" w:hAnsi="Arial Narrow" w:cs="Arial"/>
          <w:i/>
          <w:sz w:val="28"/>
          <w:szCs w:val="28"/>
          <w:lang w:val="es-ES"/>
        </w:rPr>
      </w:pPr>
      <w:r w:rsidRPr="00966BF9">
        <w:rPr>
          <w:rFonts w:ascii="Arial Narrow" w:hAnsi="Arial Narrow" w:cs="Arial"/>
          <w:i/>
          <w:sz w:val="28"/>
          <w:szCs w:val="28"/>
          <w:lang w:val="es-ES"/>
        </w:rPr>
        <w:t xml:space="preserve">Decimo: Condenar a </w:t>
      </w:r>
      <w:proofErr w:type="spellStart"/>
      <w:r w:rsidRPr="00966BF9">
        <w:rPr>
          <w:rFonts w:ascii="Arial Narrow" w:hAnsi="Arial Narrow" w:cs="Arial"/>
          <w:i/>
          <w:sz w:val="28"/>
          <w:szCs w:val="28"/>
          <w:lang w:val="es-ES"/>
        </w:rPr>
        <w:t>Colpensiones</w:t>
      </w:r>
      <w:proofErr w:type="spellEnd"/>
      <w:r w:rsidRPr="00966BF9">
        <w:rPr>
          <w:rFonts w:ascii="Arial Narrow" w:hAnsi="Arial Narrow" w:cs="Arial"/>
          <w:i/>
          <w:sz w:val="28"/>
          <w:szCs w:val="28"/>
          <w:lang w:val="es-ES"/>
        </w:rPr>
        <w:t xml:space="preserve"> a cancelar en favor de Fernando Bedoya Naranjo la suma de $ 45`405.380 por </w:t>
      </w:r>
      <w:r w:rsidR="008B7327" w:rsidRPr="007E0928">
        <w:rPr>
          <w:rFonts w:ascii="Arial Narrow" w:hAnsi="Arial Narrow" w:cs="Arial"/>
          <w:i/>
          <w:sz w:val="28"/>
          <w:szCs w:val="28"/>
          <w:lang w:val="es-ES"/>
        </w:rPr>
        <w:t>concepto de re</w:t>
      </w:r>
      <w:r w:rsidR="00052F65" w:rsidRPr="007E0928">
        <w:rPr>
          <w:rFonts w:ascii="Arial Narrow" w:hAnsi="Arial Narrow" w:cs="Arial"/>
          <w:i/>
          <w:sz w:val="28"/>
          <w:szCs w:val="28"/>
          <w:lang w:val="es-ES"/>
        </w:rPr>
        <w:t>troactivo pensional causad</w:t>
      </w:r>
      <w:r w:rsidRPr="007E0928">
        <w:rPr>
          <w:rFonts w:ascii="Arial Narrow" w:hAnsi="Arial Narrow" w:cs="Arial"/>
          <w:i/>
          <w:sz w:val="28"/>
          <w:szCs w:val="28"/>
          <w:lang w:val="es-ES"/>
        </w:rPr>
        <w:t xml:space="preserve">o </w:t>
      </w:r>
      <w:r w:rsidR="00052F65" w:rsidRPr="007E0928">
        <w:rPr>
          <w:rFonts w:ascii="Arial Narrow" w:hAnsi="Arial Narrow" w:cs="Arial"/>
          <w:i/>
          <w:sz w:val="28"/>
          <w:szCs w:val="28"/>
          <w:lang w:val="es-ES"/>
        </w:rPr>
        <w:t xml:space="preserve"> entre el 3 de julio de 2011 y el 28 de </w:t>
      </w:r>
      <w:r w:rsidRPr="007E0928">
        <w:rPr>
          <w:rFonts w:ascii="Arial Narrow" w:hAnsi="Arial Narrow" w:cs="Arial"/>
          <w:i/>
          <w:sz w:val="28"/>
          <w:szCs w:val="28"/>
          <w:lang w:val="es-ES"/>
        </w:rPr>
        <w:t xml:space="preserve">febrero de 2013. </w:t>
      </w:r>
    </w:p>
    <w:p w:rsidR="007E0928" w:rsidRDefault="007E0928" w:rsidP="007E0928">
      <w:pPr>
        <w:pStyle w:val="Sansinterligne"/>
        <w:rPr>
          <w:lang w:val="es-ES"/>
        </w:rPr>
      </w:pPr>
    </w:p>
    <w:p w:rsidR="007E0928" w:rsidRDefault="007E0928" w:rsidP="007E0928">
      <w:pPr>
        <w:autoSpaceDE w:val="0"/>
        <w:autoSpaceDN w:val="0"/>
        <w:adjustRightInd w:val="0"/>
        <w:jc w:val="both"/>
        <w:rPr>
          <w:rFonts w:ascii="Arial Narrow" w:hAnsi="Arial Narrow" w:cs="Arial"/>
          <w:i/>
          <w:sz w:val="28"/>
          <w:szCs w:val="28"/>
          <w:lang w:val="es-ES"/>
        </w:rPr>
      </w:pPr>
      <w:r>
        <w:rPr>
          <w:rFonts w:ascii="Arial Narrow" w:hAnsi="Arial Narrow" w:cs="Arial"/>
          <w:i/>
          <w:sz w:val="28"/>
          <w:szCs w:val="28"/>
          <w:lang w:val="es-ES"/>
        </w:rPr>
        <w:t xml:space="preserve">Décimo segundo: Declarar parcialmente probada la excepción de prescripción respecto de las mesadas causadas con antelación al 3 de julio de 2011 en favor de </w:t>
      </w:r>
      <w:r w:rsidRPr="007E0928">
        <w:rPr>
          <w:rFonts w:ascii="Arial Narrow" w:hAnsi="Arial Narrow" w:cs="Arial"/>
          <w:i/>
          <w:sz w:val="28"/>
          <w:szCs w:val="28"/>
          <w:lang w:val="es-ES"/>
        </w:rPr>
        <w:t>Fernando Bedoya Naranjo</w:t>
      </w:r>
      <w:r>
        <w:rPr>
          <w:rFonts w:ascii="Arial Narrow" w:hAnsi="Arial Narrow" w:cs="Arial"/>
          <w:i/>
          <w:sz w:val="28"/>
          <w:szCs w:val="28"/>
          <w:lang w:val="es-ES"/>
        </w:rPr>
        <w:t xml:space="preserve">”. </w:t>
      </w:r>
    </w:p>
    <w:p w:rsidR="007E0928" w:rsidRPr="007E0928" w:rsidRDefault="007E0928" w:rsidP="007E0928">
      <w:pPr>
        <w:autoSpaceDE w:val="0"/>
        <w:autoSpaceDN w:val="0"/>
        <w:adjustRightInd w:val="0"/>
        <w:jc w:val="both"/>
        <w:rPr>
          <w:i/>
        </w:rPr>
      </w:pPr>
    </w:p>
    <w:p w:rsidR="008B7327" w:rsidRPr="00CB64AA" w:rsidRDefault="008B7327" w:rsidP="00CB64AA">
      <w:pPr>
        <w:pStyle w:val="Sansinterligne"/>
      </w:pPr>
    </w:p>
    <w:p w:rsidR="00F94D6C" w:rsidRDefault="007E0928" w:rsidP="00F94D6C">
      <w:pPr>
        <w:pStyle w:val="Paragraphedeliste"/>
        <w:numPr>
          <w:ilvl w:val="0"/>
          <w:numId w:val="1"/>
        </w:numPr>
        <w:autoSpaceDE w:val="0"/>
        <w:autoSpaceDN w:val="0"/>
        <w:adjustRightInd w:val="0"/>
        <w:spacing w:line="360" w:lineRule="auto"/>
        <w:ind w:left="0" w:firstLine="0"/>
        <w:jc w:val="both"/>
        <w:rPr>
          <w:rFonts w:ascii="Arial Narrow" w:hAnsi="Arial Narrow"/>
          <w:iCs/>
          <w:sz w:val="28"/>
          <w:szCs w:val="28"/>
          <w:lang w:val="es-ES"/>
        </w:rPr>
      </w:pPr>
      <w:r>
        <w:rPr>
          <w:rFonts w:ascii="Arial Narrow" w:hAnsi="Arial Narrow" w:cs="Arial Narrow"/>
          <w:i/>
          <w:sz w:val="28"/>
          <w:szCs w:val="28"/>
        </w:rPr>
        <w:t xml:space="preserve">Revoca </w:t>
      </w:r>
      <w:r w:rsidR="008B7327" w:rsidRPr="006A37DE">
        <w:rPr>
          <w:rFonts w:ascii="Arial Narrow" w:hAnsi="Arial Narrow" w:cs="Arial Narrow"/>
          <w:sz w:val="28"/>
          <w:szCs w:val="28"/>
        </w:rPr>
        <w:t xml:space="preserve">el ordinal </w:t>
      </w:r>
      <w:r w:rsidR="00F94D6C">
        <w:rPr>
          <w:rFonts w:ascii="Arial Narrow" w:hAnsi="Arial Narrow" w:cs="Arial Narrow"/>
          <w:sz w:val="28"/>
          <w:szCs w:val="28"/>
        </w:rPr>
        <w:t>13º de la sentencia, para en su lugar:</w:t>
      </w:r>
    </w:p>
    <w:p w:rsidR="00F94D6C" w:rsidRDefault="00F94D6C" w:rsidP="00F94D6C">
      <w:pPr>
        <w:pStyle w:val="Sansinterligne"/>
      </w:pPr>
    </w:p>
    <w:p w:rsidR="00F94D6C" w:rsidRPr="009F7D67" w:rsidRDefault="0039676B" w:rsidP="009F7D67">
      <w:pPr>
        <w:pStyle w:val="Paragraphedeliste"/>
        <w:autoSpaceDE w:val="0"/>
        <w:autoSpaceDN w:val="0"/>
        <w:adjustRightInd w:val="0"/>
        <w:spacing w:line="360" w:lineRule="auto"/>
        <w:ind w:left="0" w:firstLine="708"/>
        <w:jc w:val="both"/>
        <w:rPr>
          <w:rFonts w:ascii="Arial Narrow" w:hAnsi="Arial Narrow" w:cs="Arial Narrow"/>
          <w:sz w:val="28"/>
          <w:szCs w:val="28"/>
        </w:rPr>
      </w:pPr>
      <w:r w:rsidRPr="009F7D67">
        <w:rPr>
          <w:rFonts w:ascii="Arial Narrow" w:hAnsi="Arial Narrow" w:cs="Arial Narrow"/>
          <w:sz w:val="28"/>
          <w:szCs w:val="28"/>
        </w:rPr>
        <w:t>Declara</w:t>
      </w:r>
      <w:r w:rsidR="00F94D6C" w:rsidRPr="009F7D67">
        <w:rPr>
          <w:rFonts w:ascii="Arial Narrow" w:hAnsi="Arial Narrow" w:cs="Arial Narrow"/>
          <w:sz w:val="28"/>
          <w:szCs w:val="28"/>
        </w:rPr>
        <w:t xml:space="preserve"> que la señora María Eugenia Sandoval </w:t>
      </w:r>
      <w:proofErr w:type="spellStart"/>
      <w:r w:rsidR="00F94D6C" w:rsidRPr="009F7D67">
        <w:rPr>
          <w:rFonts w:ascii="Arial Narrow" w:hAnsi="Arial Narrow" w:cs="Arial Narrow"/>
          <w:sz w:val="28"/>
          <w:szCs w:val="28"/>
        </w:rPr>
        <w:t>Fonnegra</w:t>
      </w:r>
      <w:proofErr w:type="spellEnd"/>
      <w:r w:rsidR="00F94D6C" w:rsidRPr="009F7D67">
        <w:rPr>
          <w:rFonts w:ascii="Arial Narrow" w:hAnsi="Arial Narrow" w:cs="Arial Narrow"/>
          <w:sz w:val="28"/>
          <w:szCs w:val="28"/>
        </w:rPr>
        <w:t xml:space="preserve"> tiene derecho al reconocimiento de la pensión vitalicia de vejez a partir del 1º de julio de 2009. En</w:t>
      </w:r>
      <w:r w:rsidRPr="009F7D67">
        <w:rPr>
          <w:rFonts w:ascii="Arial Narrow" w:hAnsi="Arial Narrow" w:cs="Arial Narrow"/>
          <w:sz w:val="28"/>
          <w:szCs w:val="28"/>
        </w:rPr>
        <w:t xml:space="preserve"> consecuencia, </w:t>
      </w:r>
    </w:p>
    <w:p w:rsidR="00F94D6C" w:rsidRPr="00AE5D48" w:rsidRDefault="00F94D6C" w:rsidP="00AE5D48">
      <w:pPr>
        <w:pStyle w:val="Sansinterligne"/>
      </w:pPr>
    </w:p>
    <w:p w:rsidR="008B7327" w:rsidRPr="009F7D67" w:rsidRDefault="0039676B" w:rsidP="009F7D67">
      <w:pPr>
        <w:autoSpaceDE w:val="0"/>
        <w:autoSpaceDN w:val="0"/>
        <w:adjustRightInd w:val="0"/>
        <w:spacing w:line="360" w:lineRule="auto"/>
        <w:ind w:firstLine="708"/>
        <w:jc w:val="both"/>
        <w:rPr>
          <w:rFonts w:ascii="Arial Narrow" w:hAnsi="Arial Narrow"/>
          <w:sz w:val="28"/>
          <w:szCs w:val="28"/>
        </w:rPr>
      </w:pPr>
      <w:r w:rsidRPr="009F7D67">
        <w:rPr>
          <w:rFonts w:ascii="Arial Narrow" w:hAnsi="Arial Narrow" w:cs="Arial"/>
          <w:sz w:val="28"/>
          <w:szCs w:val="28"/>
          <w:lang w:val="es-ES"/>
        </w:rPr>
        <w:t>Condena</w:t>
      </w:r>
      <w:r w:rsidR="00F94D6C" w:rsidRPr="009F7D67">
        <w:rPr>
          <w:rFonts w:ascii="Arial Narrow" w:hAnsi="Arial Narrow" w:cs="Arial"/>
          <w:sz w:val="28"/>
          <w:szCs w:val="28"/>
          <w:lang w:val="es-ES"/>
        </w:rPr>
        <w:t xml:space="preserve"> a </w:t>
      </w:r>
      <w:proofErr w:type="spellStart"/>
      <w:r w:rsidR="00F94D6C" w:rsidRPr="009F7D67">
        <w:rPr>
          <w:rFonts w:ascii="Arial Narrow" w:hAnsi="Arial Narrow" w:cs="Arial"/>
          <w:sz w:val="28"/>
          <w:szCs w:val="28"/>
          <w:lang w:val="es-ES"/>
        </w:rPr>
        <w:t>Colpensiones</w:t>
      </w:r>
      <w:proofErr w:type="spellEnd"/>
      <w:r w:rsidR="00F94D6C" w:rsidRPr="009F7D67">
        <w:rPr>
          <w:rFonts w:ascii="Arial Narrow" w:hAnsi="Arial Narrow" w:cs="Arial"/>
          <w:sz w:val="28"/>
          <w:szCs w:val="28"/>
          <w:lang w:val="es-ES"/>
        </w:rPr>
        <w:t xml:space="preserve"> a cancelar en </w:t>
      </w:r>
      <w:r w:rsidRPr="009F7D67">
        <w:rPr>
          <w:rFonts w:ascii="Arial Narrow" w:hAnsi="Arial Narrow" w:cs="Arial"/>
          <w:sz w:val="28"/>
          <w:szCs w:val="28"/>
          <w:lang w:val="es-ES"/>
        </w:rPr>
        <w:t xml:space="preserve">su favor </w:t>
      </w:r>
      <w:r w:rsidR="00F94D6C" w:rsidRPr="009F7D67">
        <w:rPr>
          <w:rFonts w:ascii="Arial Narrow" w:hAnsi="Arial Narrow" w:cs="Arial"/>
          <w:sz w:val="28"/>
          <w:szCs w:val="28"/>
          <w:lang w:val="es-ES"/>
        </w:rPr>
        <w:t>la suma de</w:t>
      </w:r>
      <w:r w:rsidRPr="009F7D67">
        <w:rPr>
          <w:rFonts w:ascii="Arial Narrow" w:hAnsi="Arial Narrow" w:cs="Arial"/>
          <w:sz w:val="28"/>
          <w:szCs w:val="28"/>
          <w:lang w:val="es-ES"/>
        </w:rPr>
        <w:t xml:space="preserve"> $103`942.653 por concepto de retroactivo pensional causado entre el </w:t>
      </w:r>
      <w:r w:rsidRPr="009F7D67">
        <w:rPr>
          <w:rFonts w:ascii="Arial Narrow" w:hAnsi="Arial Narrow"/>
          <w:sz w:val="28"/>
          <w:szCs w:val="28"/>
        </w:rPr>
        <w:t>3 de julio de 2011 y el 30 de</w:t>
      </w:r>
      <w:r w:rsidR="00152428">
        <w:rPr>
          <w:rFonts w:ascii="Arial Narrow" w:hAnsi="Arial Narrow"/>
          <w:sz w:val="28"/>
          <w:szCs w:val="28"/>
        </w:rPr>
        <w:t xml:space="preserve"> junio de 2013, junto con los intereses moratorios de que trata el art</w:t>
      </w:r>
      <w:r w:rsidR="00AE5D48">
        <w:rPr>
          <w:rFonts w:ascii="Arial Narrow" w:hAnsi="Arial Narrow"/>
          <w:sz w:val="28"/>
          <w:szCs w:val="28"/>
        </w:rPr>
        <w:t xml:space="preserve">ículo 141 de la Ley </w:t>
      </w:r>
      <w:r w:rsidR="00AE5D48">
        <w:rPr>
          <w:rFonts w:ascii="Arial Narrow" w:hAnsi="Arial Narrow"/>
          <w:sz w:val="28"/>
          <w:szCs w:val="28"/>
        </w:rPr>
        <w:lastRenderedPageBreak/>
        <w:t xml:space="preserve">100/93 </w:t>
      </w:r>
      <w:r w:rsidR="00152428">
        <w:rPr>
          <w:rFonts w:ascii="Arial Narrow" w:hAnsi="Arial Narrow"/>
          <w:sz w:val="28"/>
          <w:szCs w:val="28"/>
        </w:rPr>
        <w:t>a partir del 3 de julio de 2011 y hasta que se haga efectivo el pago total de la obligación.</w:t>
      </w:r>
    </w:p>
    <w:p w:rsidR="0039676B" w:rsidRPr="009F7D67" w:rsidRDefault="0039676B" w:rsidP="009F7D67">
      <w:pPr>
        <w:pStyle w:val="Sansinterligne"/>
        <w:rPr>
          <w:lang w:val="es-ES"/>
        </w:rPr>
      </w:pPr>
    </w:p>
    <w:p w:rsidR="0039676B" w:rsidRDefault="0039676B" w:rsidP="009F7D67">
      <w:pPr>
        <w:autoSpaceDE w:val="0"/>
        <w:autoSpaceDN w:val="0"/>
        <w:adjustRightInd w:val="0"/>
        <w:spacing w:line="360" w:lineRule="auto"/>
        <w:ind w:firstLine="708"/>
        <w:jc w:val="both"/>
        <w:rPr>
          <w:rFonts w:ascii="Arial Narrow" w:hAnsi="Arial Narrow" w:cs="Arial Narrow"/>
          <w:sz w:val="28"/>
          <w:szCs w:val="28"/>
        </w:rPr>
      </w:pPr>
      <w:r w:rsidRPr="009F7D67">
        <w:rPr>
          <w:rFonts w:ascii="Arial Narrow" w:hAnsi="Arial Narrow" w:cs="Arial"/>
          <w:sz w:val="28"/>
          <w:szCs w:val="28"/>
          <w:lang w:val="es-ES"/>
        </w:rPr>
        <w:t xml:space="preserve">Declarar parcialmente probada la excepción de prescripción respecto de las mesadas causadas con antelación al 3 de julio de 2011 en favor de </w:t>
      </w:r>
      <w:r w:rsidRPr="009F7D67">
        <w:rPr>
          <w:rFonts w:ascii="Arial Narrow" w:hAnsi="Arial Narrow" w:cs="Arial Narrow"/>
          <w:sz w:val="28"/>
          <w:szCs w:val="28"/>
        </w:rPr>
        <w:t xml:space="preserve">María Eugenia Sandoval </w:t>
      </w:r>
      <w:proofErr w:type="spellStart"/>
      <w:r w:rsidRPr="009F7D67">
        <w:rPr>
          <w:rFonts w:ascii="Arial Narrow" w:hAnsi="Arial Narrow" w:cs="Arial Narrow"/>
          <w:sz w:val="28"/>
          <w:szCs w:val="28"/>
        </w:rPr>
        <w:t>Fonnegra</w:t>
      </w:r>
      <w:proofErr w:type="spellEnd"/>
      <w:r w:rsidRPr="009F7D67">
        <w:rPr>
          <w:rFonts w:ascii="Arial Narrow" w:hAnsi="Arial Narrow" w:cs="Arial Narrow"/>
          <w:sz w:val="28"/>
          <w:szCs w:val="28"/>
        </w:rPr>
        <w:t>.</w:t>
      </w:r>
    </w:p>
    <w:p w:rsidR="00AE5D48" w:rsidRPr="00CB64AA" w:rsidRDefault="00AE5D48" w:rsidP="00CB64AA">
      <w:pPr>
        <w:pStyle w:val="Sansinterligne"/>
      </w:pPr>
    </w:p>
    <w:p w:rsidR="00AE5D48" w:rsidRDefault="00AE5D48" w:rsidP="00AE5D48">
      <w:pPr>
        <w:pStyle w:val="Paragraphedeliste"/>
        <w:numPr>
          <w:ilvl w:val="0"/>
          <w:numId w:val="1"/>
        </w:numPr>
        <w:autoSpaceDE w:val="0"/>
        <w:autoSpaceDN w:val="0"/>
        <w:adjustRightInd w:val="0"/>
        <w:spacing w:line="360" w:lineRule="auto"/>
        <w:ind w:left="993"/>
        <w:jc w:val="both"/>
        <w:rPr>
          <w:rFonts w:ascii="Arial Narrow" w:hAnsi="Arial Narrow" w:cs="Arial Narrow"/>
          <w:sz w:val="28"/>
          <w:szCs w:val="28"/>
        </w:rPr>
      </w:pPr>
      <w:r>
        <w:rPr>
          <w:rFonts w:ascii="Arial Narrow" w:hAnsi="Arial Narrow" w:cs="Arial Narrow"/>
          <w:sz w:val="28"/>
          <w:szCs w:val="28"/>
        </w:rPr>
        <w:t xml:space="preserve">Confirma todo lo demás. </w:t>
      </w:r>
    </w:p>
    <w:p w:rsidR="00AE5D48" w:rsidRDefault="00AE5D48" w:rsidP="00AE5D48">
      <w:pPr>
        <w:pStyle w:val="Sansinterligne"/>
      </w:pPr>
    </w:p>
    <w:p w:rsidR="00CB64AA" w:rsidRPr="003E4A74" w:rsidRDefault="008B7327" w:rsidP="00CB64AA">
      <w:pPr>
        <w:pStyle w:val="Sansinterligne"/>
        <w:spacing w:line="360" w:lineRule="auto"/>
        <w:ind w:firstLine="708"/>
        <w:jc w:val="both"/>
        <w:rPr>
          <w:rFonts w:ascii="Arial Narrow" w:hAnsi="Arial Narrow"/>
          <w:sz w:val="28"/>
          <w:szCs w:val="28"/>
        </w:rPr>
      </w:pPr>
      <w:r w:rsidRPr="006A37DE">
        <w:rPr>
          <w:rFonts w:ascii="Arial Narrow" w:hAnsi="Arial Narrow" w:cs="Arial"/>
          <w:iCs/>
          <w:sz w:val="28"/>
          <w:szCs w:val="28"/>
          <w:lang w:val="es-ES"/>
        </w:rPr>
        <w:t>Sin costas en esta instancia.</w:t>
      </w:r>
      <w:r w:rsidR="00CB64AA">
        <w:rPr>
          <w:rFonts w:ascii="Arial Narrow" w:hAnsi="Arial Narrow" w:cs="Arial"/>
          <w:iCs/>
          <w:sz w:val="28"/>
          <w:szCs w:val="28"/>
          <w:lang w:val="es-ES"/>
        </w:rPr>
        <w:t xml:space="preserve"> </w:t>
      </w:r>
      <w:r w:rsidR="00CB64AA">
        <w:rPr>
          <w:rFonts w:ascii="Arial Narrow" w:hAnsi="Arial Narrow"/>
          <w:sz w:val="28"/>
          <w:szCs w:val="28"/>
        </w:rPr>
        <w:t>Las de primer grado correrán a cargo de la entidad demandada en favor de los demandantes.</w:t>
      </w:r>
    </w:p>
    <w:p w:rsidR="008B7327" w:rsidRPr="006A37DE" w:rsidRDefault="008B7327" w:rsidP="008B7327">
      <w:pPr>
        <w:pStyle w:val="Sansinterligne"/>
        <w:rPr>
          <w:lang w:val="es-ES"/>
        </w:rPr>
      </w:pPr>
    </w:p>
    <w:p w:rsidR="008B7327" w:rsidRPr="006A37DE" w:rsidRDefault="008B7327" w:rsidP="008B7327">
      <w:pPr>
        <w:spacing w:line="360" w:lineRule="auto"/>
        <w:ind w:firstLine="900"/>
        <w:jc w:val="both"/>
        <w:rPr>
          <w:rFonts w:ascii="Arial Narrow" w:hAnsi="Arial Narrow" w:cs="Microsoft Sans Serif"/>
          <w:bCs/>
          <w:i/>
          <w:iCs/>
          <w:sz w:val="28"/>
          <w:szCs w:val="28"/>
          <w:lang w:val="es-ES"/>
        </w:rPr>
      </w:pPr>
      <w:r w:rsidRPr="006A37DE">
        <w:rPr>
          <w:rFonts w:ascii="Arial Narrow" w:hAnsi="Arial Narrow" w:cs="Microsoft Sans Serif"/>
          <w:bCs/>
          <w:i/>
          <w:iCs/>
          <w:sz w:val="28"/>
          <w:szCs w:val="28"/>
          <w:lang w:val="es-ES"/>
        </w:rPr>
        <w:t>NOTIFÍQUESE, CÚMPLASE Y DEVUÉLVASE.</w:t>
      </w:r>
    </w:p>
    <w:p w:rsidR="008B7327" w:rsidRPr="006A37DE" w:rsidRDefault="008B7327" w:rsidP="008B7327">
      <w:pPr>
        <w:pStyle w:val="Sansinterligne"/>
      </w:pPr>
    </w:p>
    <w:p w:rsidR="008B7327" w:rsidRPr="006A37DE" w:rsidRDefault="008B7327" w:rsidP="008B7327">
      <w:pPr>
        <w:spacing w:line="360" w:lineRule="auto"/>
        <w:ind w:firstLine="900"/>
        <w:jc w:val="both"/>
        <w:rPr>
          <w:rFonts w:ascii="Arial Narrow" w:hAnsi="Arial Narrow" w:cs="Microsoft Sans Serif"/>
          <w:bCs/>
          <w:iCs/>
          <w:sz w:val="28"/>
          <w:szCs w:val="28"/>
          <w:lang w:val="es-ES"/>
        </w:rPr>
      </w:pPr>
      <w:r w:rsidRPr="006A37DE">
        <w:rPr>
          <w:rFonts w:ascii="Arial Narrow" w:hAnsi="Arial Narrow" w:cs="Microsoft Sans Serif"/>
          <w:bCs/>
          <w:iCs/>
          <w:sz w:val="28"/>
          <w:szCs w:val="28"/>
          <w:lang w:val="es-ES"/>
        </w:rPr>
        <w:t xml:space="preserve">La anterior decisión queda notificada </w:t>
      </w:r>
      <w:r w:rsidRPr="006A37DE">
        <w:rPr>
          <w:rFonts w:ascii="Arial Narrow" w:hAnsi="Arial Narrow" w:cs="Microsoft Sans Serif"/>
          <w:bCs/>
          <w:i/>
          <w:iCs/>
          <w:sz w:val="28"/>
          <w:szCs w:val="28"/>
          <w:lang w:val="es-ES"/>
        </w:rPr>
        <w:t>en estrados.</w:t>
      </w:r>
    </w:p>
    <w:p w:rsidR="008B7327" w:rsidRDefault="008B7327" w:rsidP="008B7327">
      <w:pPr>
        <w:pStyle w:val="Sansinterligne"/>
        <w:spacing w:line="480" w:lineRule="auto"/>
        <w:jc w:val="center"/>
        <w:rPr>
          <w:rFonts w:ascii="Arial Narrow" w:hAnsi="Arial Narrow"/>
          <w:sz w:val="28"/>
          <w:szCs w:val="28"/>
          <w:lang w:val="es-ES"/>
        </w:rPr>
      </w:pPr>
    </w:p>
    <w:p w:rsidR="00AE5D48" w:rsidRPr="006A37DE" w:rsidRDefault="00AE5D48" w:rsidP="008B7327">
      <w:pPr>
        <w:pStyle w:val="Sansinterligne"/>
        <w:spacing w:line="480" w:lineRule="auto"/>
        <w:jc w:val="center"/>
        <w:rPr>
          <w:rFonts w:ascii="Arial Narrow" w:hAnsi="Arial Narrow"/>
          <w:sz w:val="28"/>
          <w:szCs w:val="28"/>
          <w:lang w:val="es-ES"/>
        </w:rPr>
      </w:pPr>
    </w:p>
    <w:p w:rsidR="008B7327" w:rsidRPr="006A37DE" w:rsidRDefault="008B7327" w:rsidP="008B7327">
      <w:pPr>
        <w:pStyle w:val="Sansinterligne"/>
        <w:jc w:val="center"/>
        <w:rPr>
          <w:rFonts w:ascii="Arial Narrow" w:hAnsi="Arial Narrow"/>
          <w:sz w:val="28"/>
          <w:szCs w:val="28"/>
          <w:lang w:val="es-ES"/>
        </w:rPr>
      </w:pPr>
      <w:r w:rsidRPr="006A37DE">
        <w:rPr>
          <w:rFonts w:ascii="Arial Narrow" w:hAnsi="Arial Narrow"/>
          <w:sz w:val="28"/>
          <w:szCs w:val="28"/>
          <w:lang w:val="es-ES"/>
        </w:rPr>
        <w:t>FRANCISCO JAVIER TAMAYO TABARES</w:t>
      </w:r>
    </w:p>
    <w:p w:rsidR="008B7327" w:rsidRPr="006A37DE" w:rsidRDefault="008B7327" w:rsidP="008B7327">
      <w:pPr>
        <w:pStyle w:val="Sansinterligne"/>
        <w:jc w:val="center"/>
        <w:rPr>
          <w:rFonts w:ascii="Arial Narrow" w:hAnsi="Arial Narrow"/>
          <w:sz w:val="28"/>
          <w:szCs w:val="28"/>
          <w:lang w:val="es-ES"/>
        </w:rPr>
      </w:pPr>
      <w:r w:rsidRPr="006A37DE">
        <w:rPr>
          <w:rFonts w:ascii="Arial Narrow" w:hAnsi="Arial Narrow"/>
          <w:sz w:val="28"/>
          <w:szCs w:val="28"/>
          <w:lang w:val="es-ES"/>
        </w:rPr>
        <w:t>Magistrado Ponente</w:t>
      </w:r>
    </w:p>
    <w:p w:rsidR="008B7327" w:rsidRPr="006A37DE" w:rsidRDefault="008B7327" w:rsidP="008B7327">
      <w:pPr>
        <w:pStyle w:val="Sansinterligne"/>
        <w:jc w:val="center"/>
        <w:rPr>
          <w:rFonts w:ascii="Arial Narrow" w:hAnsi="Arial Narrow"/>
          <w:sz w:val="28"/>
          <w:szCs w:val="28"/>
          <w:lang w:val="es-ES"/>
        </w:rPr>
      </w:pPr>
    </w:p>
    <w:p w:rsidR="008B7327" w:rsidRDefault="008B7327" w:rsidP="008B7327">
      <w:pPr>
        <w:pStyle w:val="Sansinterligne"/>
        <w:spacing w:line="360" w:lineRule="auto"/>
        <w:rPr>
          <w:rFonts w:ascii="Arial Narrow" w:hAnsi="Arial Narrow"/>
          <w:sz w:val="28"/>
          <w:szCs w:val="28"/>
          <w:lang w:val="es-ES"/>
        </w:rPr>
      </w:pPr>
    </w:p>
    <w:p w:rsidR="00AE5D48" w:rsidRPr="006A37DE" w:rsidRDefault="00AE5D48" w:rsidP="008B7327">
      <w:pPr>
        <w:pStyle w:val="Sansinterligne"/>
        <w:spacing w:line="360" w:lineRule="auto"/>
        <w:rPr>
          <w:rFonts w:ascii="Arial Narrow" w:hAnsi="Arial Narrow"/>
          <w:sz w:val="28"/>
          <w:szCs w:val="28"/>
          <w:lang w:val="es-ES"/>
        </w:rPr>
      </w:pPr>
    </w:p>
    <w:p w:rsidR="008B7327" w:rsidRPr="006A37DE" w:rsidRDefault="008B7327" w:rsidP="008B7327">
      <w:pPr>
        <w:pStyle w:val="Sansinterligne"/>
        <w:rPr>
          <w:rFonts w:ascii="Arial Narrow" w:hAnsi="Arial Narrow"/>
          <w:sz w:val="28"/>
          <w:szCs w:val="28"/>
          <w:lang w:val="es-ES"/>
        </w:rPr>
      </w:pPr>
      <w:r w:rsidRPr="006A37DE">
        <w:rPr>
          <w:rFonts w:ascii="Arial Narrow" w:hAnsi="Arial Narrow"/>
          <w:sz w:val="28"/>
          <w:szCs w:val="28"/>
          <w:lang w:val="es-ES"/>
        </w:rPr>
        <w:t xml:space="preserve">ANA LUCÍA CAICEDO CALDERÓN                 </w:t>
      </w:r>
      <w:r>
        <w:rPr>
          <w:rFonts w:ascii="Arial Narrow" w:hAnsi="Arial Narrow"/>
          <w:sz w:val="28"/>
          <w:szCs w:val="28"/>
          <w:lang w:val="es-ES"/>
        </w:rPr>
        <w:t xml:space="preserve">OLGA LUCÍA HOYOS SEPÚLVEDA </w:t>
      </w:r>
    </w:p>
    <w:p w:rsidR="008B7327" w:rsidRPr="006A37DE" w:rsidRDefault="008B7327" w:rsidP="008B7327">
      <w:pPr>
        <w:pStyle w:val="Sansinterligne"/>
        <w:rPr>
          <w:rFonts w:ascii="Arial Narrow" w:hAnsi="Arial Narrow"/>
          <w:sz w:val="28"/>
          <w:szCs w:val="28"/>
          <w:lang w:val="es-ES"/>
        </w:rPr>
      </w:pPr>
      <w:r w:rsidRPr="006A37DE">
        <w:rPr>
          <w:rFonts w:ascii="Arial Narrow" w:hAnsi="Arial Narrow"/>
          <w:sz w:val="28"/>
          <w:szCs w:val="28"/>
          <w:lang w:val="es-ES"/>
        </w:rPr>
        <w:t xml:space="preserve">             </w:t>
      </w:r>
      <w:r>
        <w:rPr>
          <w:rFonts w:ascii="Arial Narrow" w:hAnsi="Arial Narrow"/>
          <w:sz w:val="28"/>
          <w:szCs w:val="28"/>
          <w:lang w:val="es-ES"/>
        </w:rPr>
        <w:t xml:space="preserve">       Magistrada </w:t>
      </w:r>
      <w:r>
        <w:rPr>
          <w:rFonts w:ascii="Arial Narrow" w:hAnsi="Arial Narrow"/>
          <w:sz w:val="28"/>
          <w:szCs w:val="28"/>
          <w:lang w:val="es-ES"/>
        </w:rPr>
        <w:tab/>
      </w:r>
      <w:r>
        <w:rPr>
          <w:rFonts w:ascii="Arial Narrow" w:hAnsi="Arial Narrow"/>
          <w:sz w:val="28"/>
          <w:szCs w:val="28"/>
          <w:lang w:val="es-ES"/>
        </w:rPr>
        <w:tab/>
      </w:r>
      <w:r>
        <w:rPr>
          <w:rFonts w:ascii="Arial Narrow" w:hAnsi="Arial Narrow"/>
          <w:sz w:val="28"/>
          <w:szCs w:val="28"/>
          <w:lang w:val="es-ES"/>
        </w:rPr>
        <w:tab/>
      </w:r>
      <w:r>
        <w:rPr>
          <w:rFonts w:ascii="Arial Narrow" w:hAnsi="Arial Narrow"/>
          <w:sz w:val="28"/>
          <w:szCs w:val="28"/>
          <w:lang w:val="es-ES"/>
        </w:rPr>
        <w:tab/>
        <w:t xml:space="preserve">                  </w:t>
      </w:r>
      <w:proofErr w:type="spellStart"/>
      <w:r>
        <w:rPr>
          <w:rFonts w:ascii="Arial Narrow" w:hAnsi="Arial Narrow"/>
          <w:sz w:val="28"/>
          <w:szCs w:val="28"/>
          <w:lang w:val="es-ES"/>
        </w:rPr>
        <w:t>Magistrada</w:t>
      </w:r>
      <w:proofErr w:type="spellEnd"/>
    </w:p>
    <w:p w:rsidR="008B7327" w:rsidRDefault="008B7327" w:rsidP="008B7327">
      <w:pPr>
        <w:pStyle w:val="Sansinterligne"/>
        <w:rPr>
          <w:rFonts w:ascii="Arial Narrow" w:hAnsi="Arial Narrow"/>
          <w:sz w:val="28"/>
          <w:szCs w:val="28"/>
          <w:lang w:val="es-ES"/>
        </w:rPr>
      </w:pPr>
    </w:p>
    <w:p w:rsidR="00AE5D48" w:rsidRPr="006A37DE" w:rsidRDefault="00AE5D48" w:rsidP="008B7327">
      <w:pPr>
        <w:pStyle w:val="Sansinterligne"/>
        <w:rPr>
          <w:rFonts w:ascii="Arial Narrow" w:hAnsi="Arial Narrow"/>
          <w:sz w:val="28"/>
          <w:szCs w:val="28"/>
          <w:lang w:val="es-ES"/>
        </w:rPr>
      </w:pPr>
    </w:p>
    <w:p w:rsidR="008B7327" w:rsidRPr="006A37DE" w:rsidRDefault="008B7327" w:rsidP="008B7327">
      <w:pPr>
        <w:pStyle w:val="Sansinterligne"/>
        <w:rPr>
          <w:rFonts w:ascii="Arial Narrow" w:hAnsi="Arial Narrow"/>
          <w:sz w:val="28"/>
          <w:szCs w:val="28"/>
          <w:lang w:val="es-ES"/>
        </w:rPr>
      </w:pPr>
    </w:p>
    <w:p w:rsidR="008B7327" w:rsidRPr="006A37DE" w:rsidRDefault="008B7327" w:rsidP="008B7327">
      <w:pPr>
        <w:pStyle w:val="Sansinterligne"/>
        <w:ind w:left="2832"/>
        <w:rPr>
          <w:rFonts w:ascii="Arial Narrow" w:hAnsi="Arial Narrow"/>
          <w:sz w:val="28"/>
          <w:szCs w:val="28"/>
          <w:lang w:val="es-ES"/>
        </w:rPr>
      </w:pPr>
      <w:r w:rsidRPr="006A37DE">
        <w:rPr>
          <w:rFonts w:ascii="Arial Narrow" w:hAnsi="Arial Narrow"/>
          <w:sz w:val="28"/>
          <w:szCs w:val="28"/>
          <w:lang w:val="es-ES"/>
        </w:rPr>
        <w:t xml:space="preserve">   </w:t>
      </w:r>
      <w:r>
        <w:rPr>
          <w:rFonts w:ascii="Arial Narrow" w:hAnsi="Arial Narrow"/>
          <w:sz w:val="28"/>
          <w:szCs w:val="28"/>
          <w:lang w:val="es-ES"/>
        </w:rPr>
        <w:t>Alonso Gaviria Ocampo</w:t>
      </w:r>
    </w:p>
    <w:p w:rsidR="008B7327" w:rsidRDefault="008B7327" w:rsidP="008B7327">
      <w:pPr>
        <w:spacing w:line="360" w:lineRule="auto"/>
        <w:ind w:firstLine="900"/>
        <w:rPr>
          <w:rFonts w:ascii="Arial Narrow" w:hAnsi="Arial Narrow" w:cs="Microsoft Sans Serif"/>
          <w:iCs/>
          <w:sz w:val="28"/>
          <w:szCs w:val="28"/>
          <w:lang w:val="es-ES"/>
        </w:rPr>
      </w:pPr>
      <w:r w:rsidRPr="006A37DE">
        <w:rPr>
          <w:rFonts w:ascii="Arial Narrow" w:hAnsi="Arial Narrow" w:cs="Microsoft Sans Serif"/>
          <w:iCs/>
          <w:sz w:val="28"/>
          <w:szCs w:val="28"/>
          <w:lang w:val="es-ES"/>
        </w:rPr>
        <w:t xml:space="preserve">                        </w:t>
      </w:r>
      <w:r>
        <w:rPr>
          <w:rFonts w:ascii="Arial Narrow" w:hAnsi="Arial Narrow" w:cs="Microsoft Sans Serif"/>
          <w:iCs/>
          <w:sz w:val="28"/>
          <w:szCs w:val="28"/>
          <w:lang w:val="es-ES"/>
        </w:rPr>
        <w:t xml:space="preserve">                      Secretario</w:t>
      </w:r>
    </w:p>
    <w:p w:rsidR="00286DB0" w:rsidRDefault="00286DB0" w:rsidP="004117C0">
      <w:pPr>
        <w:spacing w:line="360" w:lineRule="auto"/>
        <w:ind w:firstLine="900"/>
        <w:jc w:val="center"/>
        <w:rPr>
          <w:rFonts w:ascii="Arial Narrow" w:hAnsi="Arial Narrow" w:cs="Microsoft Sans Serif"/>
          <w:iCs/>
          <w:sz w:val="28"/>
          <w:szCs w:val="28"/>
          <w:lang w:val="es-ES"/>
        </w:rPr>
      </w:pPr>
    </w:p>
    <w:p w:rsidR="00286DB0" w:rsidRDefault="00286DB0" w:rsidP="004117C0">
      <w:pPr>
        <w:spacing w:line="360" w:lineRule="auto"/>
        <w:ind w:firstLine="900"/>
        <w:jc w:val="center"/>
        <w:rPr>
          <w:rFonts w:ascii="Arial Narrow" w:hAnsi="Arial Narrow" w:cs="Microsoft Sans Serif"/>
          <w:iCs/>
          <w:sz w:val="28"/>
          <w:szCs w:val="28"/>
          <w:lang w:val="es-ES"/>
        </w:rPr>
      </w:pPr>
    </w:p>
    <w:p w:rsidR="00286DB0" w:rsidRDefault="00286DB0" w:rsidP="004117C0">
      <w:pPr>
        <w:spacing w:line="360" w:lineRule="auto"/>
        <w:ind w:firstLine="900"/>
        <w:jc w:val="center"/>
        <w:rPr>
          <w:rFonts w:ascii="Arial Narrow" w:hAnsi="Arial Narrow" w:cs="Microsoft Sans Serif"/>
          <w:iCs/>
          <w:sz w:val="28"/>
          <w:szCs w:val="28"/>
          <w:lang w:val="es-ES"/>
        </w:rPr>
      </w:pPr>
    </w:p>
    <w:p w:rsidR="00286DB0" w:rsidRDefault="00286DB0" w:rsidP="004117C0">
      <w:pPr>
        <w:spacing w:line="360" w:lineRule="auto"/>
        <w:ind w:firstLine="900"/>
        <w:jc w:val="center"/>
        <w:rPr>
          <w:rFonts w:ascii="Arial Narrow" w:hAnsi="Arial Narrow" w:cs="Microsoft Sans Serif"/>
          <w:iCs/>
          <w:sz w:val="28"/>
          <w:szCs w:val="28"/>
          <w:lang w:val="es-ES"/>
        </w:rPr>
      </w:pPr>
    </w:p>
    <w:p w:rsidR="00286DB0" w:rsidRDefault="00286DB0" w:rsidP="004117C0">
      <w:pPr>
        <w:spacing w:line="360" w:lineRule="auto"/>
        <w:ind w:firstLine="900"/>
        <w:jc w:val="center"/>
        <w:rPr>
          <w:rFonts w:ascii="Arial Narrow" w:hAnsi="Arial Narrow" w:cs="Microsoft Sans Serif"/>
          <w:iCs/>
          <w:sz w:val="28"/>
          <w:szCs w:val="28"/>
          <w:lang w:val="es-ES"/>
        </w:rPr>
      </w:pPr>
    </w:p>
    <w:p w:rsidR="00286DB0" w:rsidRDefault="00286DB0" w:rsidP="004117C0">
      <w:pPr>
        <w:spacing w:line="360" w:lineRule="auto"/>
        <w:ind w:firstLine="900"/>
        <w:jc w:val="center"/>
        <w:rPr>
          <w:rFonts w:ascii="Arial Narrow" w:hAnsi="Arial Narrow" w:cs="Microsoft Sans Serif"/>
          <w:iCs/>
          <w:sz w:val="28"/>
          <w:szCs w:val="28"/>
          <w:lang w:val="es-ES"/>
        </w:rPr>
      </w:pPr>
    </w:p>
    <w:p w:rsidR="00286DB0" w:rsidRDefault="00286DB0" w:rsidP="004117C0">
      <w:pPr>
        <w:spacing w:line="360" w:lineRule="auto"/>
        <w:ind w:firstLine="900"/>
        <w:jc w:val="center"/>
        <w:rPr>
          <w:rFonts w:ascii="Arial Narrow" w:hAnsi="Arial Narrow" w:cs="Microsoft Sans Serif"/>
          <w:iCs/>
          <w:sz w:val="28"/>
          <w:szCs w:val="28"/>
          <w:lang w:val="es-ES"/>
        </w:rPr>
      </w:pPr>
    </w:p>
    <w:p w:rsidR="00286DB0" w:rsidRDefault="00286DB0" w:rsidP="004117C0">
      <w:pPr>
        <w:spacing w:line="360" w:lineRule="auto"/>
        <w:ind w:firstLine="900"/>
        <w:jc w:val="center"/>
        <w:rPr>
          <w:rFonts w:ascii="Arial Narrow" w:hAnsi="Arial Narrow" w:cs="Microsoft Sans Serif"/>
          <w:iCs/>
          <w:sz w:val="28"/>
          <w:szCs w:val="28"/>
          <w:lang w:val="es-ES"/>
        </w:rPr>
      </w:pPr>
    </w:p>
    <w:p w:rsidR="004117C0" w:rsidRDefault="004117C0" w:rsidP="004117C0">
      <w:pPr>
        <w:spacing w:line="360" w:lineRule="auto"/>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lastRenderedPageBreak/>
        <w:t>ANEXOS</w:t>
      </w:r>
    </w:p>
    <w:p w:rsidR="004117C0" w:rsidRDefault="004117C0" w:rsidP="004117C0">
      <w:pPr>
        <w:spacing w:line="360" w:lineRule="auto"/>
        <w:ind w:firstLine="900"/>
        <w:jc w:val="center"/>
        <w:rPr>
          <w:rFonts w:ascii="Arial Narrow" w:hAnsi="Arial Narrow" w:cs="Microsoft Sans Serif"/>
          <w:iCs/>
          <w:sz w:val="28"/>
          <w:szCs w:val="28"/>
          <w:lang w:val="es-ES"/>
        </w:rPr>
      </w:pPr>
    </w:p>
    <w:tbl>
      <w:tblPr>
        <w:tblW w:w="7940" w:type="dxa"/>
        <w:tblCellMar>
          <w:left w:w="70" w:type="dxa"/>
          <w:right w:w="70" w:type="dxa"/>
        </w:tblCellMar>
        <w:tblLook w:val="04A0" w:firstRow="1" w:lastRow="0" w:firstColumn="1" w:lastColumn="0" w:noHBand="0" w:noVBand="1"/>
      </w:tblPr>
      <w:tblGrid>
        <w:gridCol w:w="1369"/>
        <w:gridCol w:w="7"/>
        <w:gridCol w:w="1185"/>
        <w:gridCol w:w="10"/>
        <w:gridCol w:w="1207"/>
        <w:gridCol w:w="8"/>
        <w:gridCol w:w="1189"/>
        <w:gridCol w:w="9"/>
        <w:gridCol w:w="1488"/>
        <w:gridCol w:w="10"/>
        <w:gridCol w:w="1458"/>
      </w:tblGrid>
      <w:tr w:rsidR="004117C0" w:rsidRPr="004117C0" w:rsidTr="004117C0">
        <w:trPr>
          <w:trHeight w:val="510"/>
        </w:trPr>
        <w:tc>
          <w:tcPr>
            <w:tcW w:w="1369" w:type="dxa"/>
            <w:tcBorders>
              <w:top w:val="nil"/>
              <w:left w:val="nil"/>
              <w:bottom w:val="nil"/>
              <w:right w:val="nil"/>
            </w:tcBorders>
            <w:shd w:val="clear" w:color="auto" w:fill="auto"/>
            <w:noWrap/>
            <w:vAlign w:val="bottom"/>
            <w:hideMark/>
          </w:tcPr>
          <w:p w:rsidR="004117C0" w:rsidRPr="004117C0" w:rsidRDefault="004117C0" w:rsidP="004117C0">
            <w:pPr>
              <w:rPr>
                <w:rFonts w:ascii="Calibri" w:hAnsi="Calibri"/>
                <w:color w:val="000000"/>
                <w:sz w:val="22"/>
                <w:szCs w:val="22"/>
                <w:lang w:val="es-ES"/>
              </w:rPr>
            </w:pPr>
            <w:r w:rsidRPr="004117C0">
              <w:rPr>
                <w:rFonts w:ascii="Calibri" w:hAnsi="Calibri"/>
                <w:color w:val="000000"/>
                <w:sz w:val="22"/>
                <w:szCs w:val="22"/>
                <w:lang w:val="es-ES"/>
              </w:rPr>
              <w:t>2014-00095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b/>
                <w:bCs/>
                <w:color w:val="000000"/>
                <w:sz w:val="20"/>
                <w:lang w:val="es-ES"/>
              </w:rPr>
            </w:pPr>
            <w:r w:rsidRPr="004117C0">
              <w:rPr>
                <w:rFonts w:ascii="Arial Narrow" w:hAnsi="Arial Narrow"/>
                <w:b/>
                <w:bCs/>
                <w:color w:val="000000"/>
                <w:sz w:val="20"/>
                <w:lang w:val="es-ES"/>
              </w:rPr>
              <w:t xml:space="preserve">AÑO </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b/>
                <w:bCs/>
                <w:color w:val="000000"/>
                <w:sz w:val="20"/>
                <w:lang w:val="es-ES"/>
              </w:rPr>
            </w:pPr>
            <w:r w:rsidRPr="004117C0">
              <w:rPr>
                <w:rFonts w:ascii="Arial Narrow" w:hAnsi="Arial Narrow"/>
                <w:b/>
                <w:bCs/>
                <w:color w:val="000000"/>
                <w:sz w:val="20"/>
                <w:lang w:val="es-ES"/>
              </w:rPr>
              <w:t xml:space="preserve">VALOR DE LA MESADA </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b/>
                <w:bCs/>
                <w:color w:val="000000"/>
                <w:sz w:val="20"/>
                <w:lang w:val="es-ES"/>
              </w:rPr>
            </w:pPr>
            <w:r w:rsidRPr="004117C0">
              <w:rPr>
                <w:rFonts w:ascii="Arial Narrow" w:hAnsi="Arial Narrow"/>
                <w:b/>
                <w:bCs/>
                <w:color w:val="000000"/>
                <w:sz w:val="20"/>
                <w:lang w:val="es-ES"/>
              </w:rPr>
              <w:t>No. MESADAS</w:t>
            </w:r>
          </w:p>
        </w:tc>
        <w:tc>
          <w:tcPr>
            <w:tcW w:w="1497" w:type="dxa"/>
            <w:gridSpan w:val="2"/>
            <w:tcBorders>
              <w:top w:val="single" w:sz="4" w:space="0" w:color="auto"/>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b/>
                <w:bCs/>
                <w:color w:val="000000"/>
                <w:sz w:val="20"/>
                <w:lang w:val="es-ES"/>
              </w:rPr>
            </w:pPr>
            <w:r w:rsidRPr="004117C0">
              <w:rPr>
                <w:rFonts w:ascii="Arial Narrow" w:hAnsi="Arial Narrow"/>
                <w:b/>
                <w:bCs/>
                <w:color w:val="000000"/>
                <w:sz w:val="20"/>
                <w:lang w:val="es-ES"/>
              </w:rPr>
              <w:t xml:space="preserve">TOTAL </w:t>
            </w:r>
          </w:p>
        </w:tc>
        <w:tc>
          <w:tcPr>
            <w:tcW w:w="1468" w:type="dxa"/>
            <w:gridSpan w:val="2"/>
            <w:tcBorders>
              <w:top w:val="nil"/>
              <w:left w:val="nil"/>
              <w:bottom w:val="nil"/>
              <w:right w:val="nil"/>
            </w:tcBorders>
            <w:shd w:val="clear" w:color="auto" w:fill="auto"/>
            <w:noWrap/>
            <w:vAlign w:val="bottom"/>
            <w:hideMark/>
          </w:tcPr>
          <w:p w:rsidR="004117C0" w:rsidRPr="004117C0" w:rsidRDefault="004117C0" w:rsidP="004117C0">
            <w:pPr>
              <w:jc w:val="center"/>
              <w:rPr>
                <w:rFonts w:ascii="Arial Narrow" w:hAnsi="Arial Narrow"/>
                <w:b/>
                <w:bCs/>
                <w:color w:val="000000"/>
                <w:sz w:val="20"/>
                <w:lang w:val="es-ES"/>
              </w:rPr>
            </w:pPr>
          </w:p>
        </w:tc>
      </w:tr>
      <w:tr w:rsidR="004117C0" w:rsidRPr="004117C0" w:rsidTr="004117C0">
        <w:trPr>
          <w:trHeight w:val="330"/>
        </w:trPr>
        <w:tc>
          <w:tcPr>
            <w:tcW w:w="1369" w:type="dxa"/>
            <w:tcBorders>
              <w:top w:val="nil"/>
              <w:left w:val="nil"/>
              <w:bottom w:val="nil"/>
              <w:right w:val="nil"/>
            </w:tcBorders>
            <w:shd w:val="clear" w:color="auto" w:fill="auto"/>
            <w:noWrap/>
            <w:vAlign w:val="bottom"/>
            <w:hideMark/>
          </w:tcPr>
          <w:p w:rsidR="004117C0" w:rsidRPr="004117C0" w:rsidRDefault="004117C0" w:rsidP="004117C0">
            <w:pPr>
              <w:rPr>
                <w:rFonts w:ascii="Calibri" w:hAnsi="Calibri"/>
                <w:color w:val="000000"/>
                <w:sz w:val="22"/>
                <w:szCs w:val="22"/>
                <w:lang w:val="es-ES"/>
              </w:rPr>
            </w:pPr>
            <w:r w:rsidRPr="004117C0">
              <w:rPr>
                <w:rFonts w:ascii="Calibri" w:hAnsi="Calibri"/>
                <w:color w:val="000000"/>
                <w:sz w:val="22"/>
                <w:szCs w:val="22"/>
                <w:lang w:val="es-ES"/>
              </w:rPr>
              <w:t>Jairo Ignacio</w:t>
            </w:r>
          </w:p>
        </w:tc>
        <w:tc>
          <w:tcPr>
            <w:tcW w:w="1192" w:type="dxa"/>
            <w:gridSpan w:val="2"/>
            <w:tcBorders>
              <w:top w:val="nil"/>
              <w:left w:val="single" w:sz="4" w:space="0" w:color="auto"/>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color w:val="000000"/>
                <w:sz w:val="22"/>
                <w:szCs w:val="22"/>
                <w:lang w:val="es-ES"/>
              </w:rPr>
            </w:pPr>
            <w:r w:rsidRPr="004117C0">
              <w:rPr>
                <w:rFonts w:ascii="Arial Narrow" w:hAnsi="Arial Narrow"/>
                <w:color w:val="000000"/>
                <w:sz w:val="22"/>
                <w:szCs w:val="22"/>
                <w:lang w:val="es-ES"/>
              </w:rPr>
              <w:t>2013</w:t>
            </w:r>
          </w:p>
        </w:tc>
        <w:tc>
          <w:tcPr>
            <w:tcW w:w="1217" w:type="dxa"/>
            <w:gridSpan w:val="2"/>
            <w:tcBorders>
              <w:top w:val="nil"/>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color w:val="000000"/>
                <w:sz w:val="22"/>
                <w:szCs w:val="22"/>
                <w:lang w:val="es-ES"/>
              </w:rPr>
            </w:pPr>
            <w:r w:rsidRPr="004117C0">
              <w:rPr>
                <w:rFonts w:ascii="Arial Narrow" w:hAnsi="Arial Narrow"/>
                <w:color w:val="000000"/>
                <w:sz w:val="22"/>
                <w:szCs w:val="22"/>
                <w:lang w:val="es-ES"/>
              </w:rPr>
              <w:t>$4.169.153</w:t>
            </w:r>
          </w:p>
        </w:tc>
        <w:tc>
          <w:tcPr>
            <w:tcW w:w="1197" w:type="dxa"/>
            <w:gridSpan w:val="2"/>
            <w:tcBorders>
              <w:top w:val="nil"/>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color w:val="000000"/>
                <w:sz w:val="22"/>
                <w:szCs w:val="22"/>
                <w:lang w:val="es-ES"/>
              </w:rPr>
            </w:pPr>
            <w:r w:rsidRPr="004117C0">
              <w:rPr>
                <w:rFonts w:ascii="Arial Narrow" w:hAnsi="Arial Narrow"/>
                <w:color w:val="000000"/>
                <w:sz w:val="22"/>
                <w:szCs w:val="22"/>
                <w:lang w:val="es-ES"/>
              </w:rPr>
              <w:t>4</w:t>
            </w:r>
          </w:p>
        </w:tc>
        <w:tc>
          <w:tcPr>
            <w:tcW w:w="1497" w:type="dxa"/>
            <w:gridSpan w:val="2"/>
            <w:tcBorders>
              <w:top w:val="nil"/>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color w:val="000000"/>
                <w:sz w:val="22"/>
                <w:szCs w:val="22"/>
                <w:lang w:val="es-ES"/>
              </w:rPr>
            </w:pPr>
            <w:r w:rsidRPr="004117C0">
              <w:rPr>
                <w:rFonts w:ascii="Arial Narrow" w:hAnsi="Arial Narrow"/>
                <w:color w:val="000000"/>
                <w:sz w:val="22"/>
                <w:szCs w:val="22"/>
                <w:lang w:val="es-ES"/>
              </w:rPr>
              <w:t>$16.676.612</w:t>
            </w:r>
          </w:p>
        </w:tc>
        <w:tc>
          <w:tcPr>
            <w:tcW w:w="1468" w:type="dxa"/>
            <w:gridSpan w:val="2"/>
            <w:tcBorders>
              <w:top w:val="nil"/>
              <w:left w:val="nil"/>
              <w:bottom w:val="nil"/>
              <w:right w:val="nil"/>
            </w:tcBorders>
            <w:shd w:val="clear" w:color="auto" w:fill="auto"/>
            <w:noWrap/>
            <w:vAlign w:val="bottom"/>
            <w:hideMark/>
          </w:tcPr>
          <w:p w:rsidR="004117C0" w:rsidRPr="004117C0" w:rsidRDefault="004117C0" w:rsidP="004117C0">
            <w:pPr>
              <w:jc w:val="center"/>
              <w:rPr>
                <w:rFonts w:ascii="Arial Narrow" w:hAnsi="Arial Narrow"/>
                <w:color w:val="000000"/>
                <w:sz w:val="22"/>
                <w:szCs w:val="22"/>
                <w:lang w:val="es-ES"/>
              </w:rPr>
            </w:pPr>
          </w:p>
        </w:tc>
      </w:tr>
      <w:tr w:rsidR="004117C0" w:rsidRPr="004117C0" w:rsidTr="004117C0">
        <w:trPr>
          <w:trHeight w:val="330"/>
        </w:trPr>
        <w:tc>
          <w:tcPr>
            <w:tcW w:w="1369" w:type="dxa"/>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360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117C0" w:rsidRPr="004117C0" w:rsidRDefault="004117C0" w:rsidP="004117C0">
            <w:pPr>
              <w:jc w:val="center"/>
              <w:rPr>
                <w:rFonts w:ascii="Arial Narrow" w:hAnsi="Arial Narrow"/>
                <w:b/>
                <w:bCs/>
                <w:color w:val="000000"/>
                <w:sz w:val="22"/>
                <w:szCs w:val="22"/>
                <w:lang w:val="es-ES"/>
              </w:rPr>
            </w:pPr>
            <w:r w:rsidRPr="004117C0">
              <w:rPr>
                <w:rFonts w:ascii="Arial Narrow" w:hAnsi="Arial Narrow"/>
                <w:b/>
                <w:bCs/>
                <w:color w:val="000000"/>
                <w:sz w:val="22"/>
                <w:szCs w:val="22"/>
                <w:lang w:val="es-ES"/>
              </w:rPr>
              <w:t xml:space="preserve">TOTAL </w:t>
            </w:r>
          </w:p>
        </w:tc>
        <w:tc>
          <w:tcPr>
            <w:tcW w:w="1497" w:type="dxa"/>
            <w:gridSpan w:val="2"/>
            <w:tcBorders>
              <w:top w:val="nil"/>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b/>
                <w:bCs/>
                <w:color w:val="000000"/>
                <w:sz w:val="22"/>
                <w:szCs w:val="22"/>
                <w:lang w:val="es-ES"/>
              </w:rPr>
            </w:pPr>
            <w:r w:rsidRPr="004117C0">
              <w:rPr>
                <w:rFonts w:ascii="Arial Narrow" w:hAnsi="Arial Narrow"/>
                <w:b/>
                <w:bCs/>
                <w:color w:val="000000"/>
                <w:sz w:val="22"/>
                <w:szCs w:val="22"/>
                <w:lang w:val="es-ES"/>
              </w:rPr>
              <w:t>$16.676.612</w:t>
            </w:r>
          </w:p>
        </w:tc>
        <w:tc>
          <w:tcPr>
            <w:tcW w:w="1468" w:type="dxa"/>
            <w:gridSpan w:val="2"/>
            <w:tcBorders>
              <w:top w:val="nil"/>
              <w:left w:val="nil"/>
              <w:bottom w:val="nil"/>
              <w:right w:val="nil"/>
            </w:tcBorders>
            <w:shd w:val="clear" w:color="auto" w:fill="auto"/>
            <w:noWrap/>
            <w:vAlign w:val="bottom"/>
            <w:hideMark/>
          </w:tcPr>
          <w:p w:rsidR="004117C0" w:rsidRPr="004117C0" w:rsidRDefault="004117C0" w:rsidP="004117C0">
            <w:pPr>
              <w:jc w:val="center"/>
              <w:rPr>
                <w:rFonts w:ascii="Arial Narrow" w:hAnsi="Arial Narrow"/>
                <w:b/>
                <w:bCs/>
                <w:color w:val="000000"/>
                <w:sz w:val="22"/>
                <w:szCs w:val="22"/>
                <w:lang w:val="es-ES"/>
              </w:rPr>
            </w:pPr>
          </w:p>
        </w:tc>
      </w:tr>
      <w:tr w:rsidR="004117C0" w:rsidRPr="004117C0" w:rsidTr="004117C0">
        <w:trPr>
          <w:trHeight w:val="300"/>
        </w:trPr>
        <w:tc>
          <w:tcPr>
            <w:tcW w:w="1369" w:type="dxa"/>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192"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21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19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49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468"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r>
      <w:tr w:rsidR="004117C0" w:rsidRPr="004117C0" w:rsidTr="004117C0">
        <w:trPr>
          <w:trHeight w:val="300"/>
        </w:trPr>
        <w:tc>
          <w:tcPr>
            <w:tcW w:w="1369" w:type="dxa"/>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192"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21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19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49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468"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r>
      <w:tr w:rsidR="004117C0" w:rsidRPr="004117C0" w:rsidTr="004117C0">
        <w:trPr>
          <w:trHeight w:val="660"/>
        </w:trPr>
        <w:tc>
          <w:tcPr>
            <w:tcW w:w="1369" w:type="dxa"/>
            <w:tcBorders>
              <w:top w:val="nil"/>
              <w:left w:val="nil"/>
              <w:bottom w:val="nil"/>
              <w:right w:val="nil"/>
            </w:tcBorders>
            <w:shd w:val="clear" w:color="auto" w:fill="auto"/>
            <w:noWrap/>
            <w:vAlign w:val="bottom"/>
            <w:hideMark/>
          </w:tcPr>
          <w:p w:rsidR="004117C0" w:rsidRPr="004117C0" w:rsidRDefault="004117C0" w:rsidP="004117C0">
            <w:pPr>
              <w:rPr>
                <w:rFonts w:ascii="Calibri" w:hAnsi="Calibri"/>
                <w:color w:val="000000"/>
                <w:sz w:val="22"/>
                <w:szCs w:val="22"/>
                <w:lang w:val="es-ES"/>
              </w:rPr>
            </w:pPr>
            <w:r w:rsidRPr="004117C0">
              <w:rPr>
                <w:rFonts w:ascii="Calibri" w:hAnsi="Calibri"/>
                <w:color w:val="000000"/>
                <w:sz w:val="22"/>
                <w:szCs w:val="22"/>
                <w:lang w:val="es-ES"/>
              </w:rPr>
              <w:t>Álvaro Giraldo</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b/>
                <w:bCs/>
                <w:color w:val="000000"/>
                <w:sz w:val="22"/>
                <w:szCs w:val="22"/>
                <w:lang w:val="es-ES"/>
              </w:rPr>
            </w:pPr>
            <w:r w:rsidRPr="004117C0">
              <w:rPr>
                <w:rFonts w:ascii="Arial Narrow" w:hAnsi="Arial Narrow"/>
                <w:b/>
                <w:bCs/>
                <w:color w:val="000000"/>
                <w:sz w:val="22"/>
                <w:szCs w:val="22"/>
                <w:lang w:val="es-ES"/>
              </w:rPr>
              <w:t xml:space="preserve">AÑO </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b/>
                <w:bCs/>
                <w:color w:val="000000"/>
                <w:sz w:val="22"/>
                <w:szCs w:val="22"/>
                <w:lang w:val="es-ES"/>
              </w:rPr>
            </w:pPr>
            <w:r w:rsidRPr="004117C0">
              <w:rPr>
                <w:rFonts w:ascii="Arial Narrow" w:hAnsi="Arial Narrow"/>
                <w:b/>
                <w:bCs/>
                <w:color w:val="000000"/>
                <w:sz w:val="22"/>
                <w:szCs w:val="22"/>
                <w:lang w:val="es-ES"/>
              </w:rPr>
              <w:t xml:space="preserve">IPC </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b/>
                <w:bCs/>
                <w:color w:val="000000"/>
                <w:sz w:val="22"/>
                <w:szCs w:val="22"/>
                <w:lang w:val="es-ES"/>
              </w:rPr>
            </w:pPr>
            <w:r w:rsidRPr="004117C0">
              <w:rPr>
                <w:rFonts w:ascii="Arial Narrow" w:hAnsi="Arial Narrow"/>
                <w:b/>
                <w:bCs/>
                <w:color w:val="000000"/>
                <w:sz w:val="22"/>
                <w:szCs w:val="22"/>
                <w:lang w:val="es-ES"/>
              </w:rPr>
              <w:t xml:space="preserve">No. MESADAS </w:t>
            </w:r>
          </w:p>
        </w:tc>
        <w:tc>
          <w:tcPr>
            <w:tcW w:w="1497" w:type="dxa"/>
            <w:gridSpan w:val="2"/>
            <w:tcBorders>
              <w:top w:val="single" w:sz="4" w:space="0" w:color="auto"/>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b/>
                <w:bCs/>
                <w:color w:val="000000"/>
                <w:sz w:val="22"/>
                <w:szCs w:val="22"/>
                <w:lang w:val="es-ES"/>
              </w:rPr>
            </w:pPr>
            <w:r w:rsidRPr="004117C0">
              <w:rPr>
                <w:rFonts w:ascii="Arial Narrow" w:hAnsi="Arial Narrow"/>
                <w:b/>
                <w:bCs/>
                <w:color w:val="000000"/>
                <w:sz w:val="22"/>
                <w:szCs w:val="22"/>
                <w:lang w:val="es-ES"/>
              </w:rPr>
              <w:t>MESADA RECONOCIDA</w:t>
            </w:r>
          </w:p>
        </w:tc>
        <w:tc>
          <w:tcPr>
            <w:tcW w:w="1468" w:type="dxa"/>
            <w:gridSpan w:val="2"/>
            <w:tcBorders>
              <w:top w:val="single" w:sz="4" w:space="0" w:color="auto"/>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b/>
                <w:bCs/>
                <w:color w:val="000000"/>
                <w:sz w:val="22"/>
                <w:szCs w:val="22"/>
                <w:lang w:val="es-ES"/>
              </w:rPr>
            </w:pPr>
            <w:r w:rsidRPr="004117C0">
              <w:rPr>
                <w:rFonts w:ascii="Arial Narrow" w:hAnsi="Arial Narrow"/>
                <w:b/>
                <w:bCs/>
                <w:color w:val="000000"/>
                <w:sz w:val="22"/>
                <w:szCs w:val="22"/>
                <w:lang w:val="es-ES"/>
              </w:rPr>
              <w:t xml:space="preserve">SUBTOTAL </w:t>
            </w:r>
          </w:p>
        </w:tc>
      </w:tr>
      <w:tr w:rsidR="004117C0" w:rsidRPr="004117C0" w:rsidTr="004117C0">
        <w:trPr>
          <w:trHeight w:val="330"/>
        </w:trPr>
        <w:tc>
          <w:tcPr>
            <w:tcW w:w="1369" w:type="dxa"/>
            <w:tcBorders>
              <w:top w:val="nil"/>
              <w:left w:val="nil"/>
              <w:bottom w:val="nil"/>
              <w:right w:val="nil"/>
            </w:tcBorders>
            <w:shd w:val="clear" w:color="auto" w:fill="auto"/>
            <w:noWrap/>
            <w:vAlign w:val="bottom"/>
            <w:hideMark/>
          </w:tcPr>
          <w:p w:rsidR="004117C0" w:rsidRPr="004117C0" w:rsidRDefault="004117C0" w:rsidP="004117C0">
            <w:pPr>
              <w:jc w:val="center"/>
              <w:rPr>
                <w:rFonts w:ascii="Arial Narrow" w:hAnsi="Arial Narrow"/>
                <w:b/>
                <w:bCs/>
                <w:color w:val="000000"/>
                <w:sz w:val="22"/>
                <w:szCs w:val="22"/>
                <w:lang w:val="es-ES"/>
              </w:rPr>
            </w:pPr>
          </w:p>
        </w:tc>
        <w:tc>
          <w:tcPr>
            <w:tcW w:w="1192" w:type="dxa"/>
            <w:gridSpan w:val="2"/>
            <w:tcBorders>
              <w:top w:val="nil"/>
              <w:left w:val="single" w:sz="4" w:space="0" w:color="auto"/>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color w:val="000000"/>
                <w:sz w:val="22"/>
                <w:szCs w:val="22"/>
                <w:lang w:val="es-ES"/>
              </w:rPr>
            </w:pPr>
            <w:r w:rsidRPr="004117C0">
              <w:rPr>
                <w:rFonts w:ascii="Arial Narrow" w:hAnsi="Arial Narrow"/>
                <w:color w:val="000000"/>
                <w:sz w:val="22"/>
                <w:szCs w:val="22"/>
                <w:lang w:val="es-ES"/>
              </w:rPr>
              <w:t>2012</w:t>
            </w:r>
          </w:p>
        </w:tc>
        <w:tc>
          <w:tcPr>
            <w:tcW w:w="1217" w:type="dxa"/>
            <w:gridSpan w:val="2"/>
            <w:tcBorders>
              <w:top w:val="nil"/>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color w:val="000000"/>
                <w:sz w:val="22"/>
                <w:szCs w:val="22"/>
                <w:lang w:val="es-ES"/>
              </w:rPr>
            </w:pPr>
            <w:r w:rsidRPr="004117C0">
              <w:rPr>
                <w:rFonts w:ascii="Arial Narrow" w:hAnsi="Arial Narrow"/>
                <w:color w:val="000000"/>
                <w:sz w:val="22"/>
                <w:szCs w:val="22"/>
                <w:lang w:val="es-ES"/>
              </w:rPr>
              <w:t>3,73</w:t>
            </w:r>
          </w:p>
        </w:tc>
        <w:tc>
          <w:tcPr>
            <w:tcW w:w="1197" w:type="dxa"/>
            <w:gridSpan w:val="2"/>
            <w:tcBorders>
              <w:top w:val="nil"/>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color w:val="000000"/>
                <w:sz w:val="22"/>
                <w:szCs w:val="22"/>
                <w:lang w:val="es-ES"/>
              </w:rPr>
            </w:pPr>
            <w:r w:rsidRPr="004117C0">
              <w:rPr>
                <w:rFonts w:ascii="Arial Narrow" w:hAnsi="Arial Narrow"/>
                <w:color w:val="000000"/>
                <w:sz w:val="22"/>
                <w:szCs w:val="22"/>
                <w:lang w:val="es-ES"/>
              </w:rPr>
              <w:t>13</w:t>
            </w:r>
          </w:p>
        </w:tc>
        <w:tc>
          <w:tcPr>
            <w:tcW w:w="1497" w:type="dxa"/>
            <w:gridSpan w:val="2"/>
            <w:tcBorders>
              <w:top w:val="nil"/>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color w:val="000000"/>
                <w:sz w:val="22"/>
                <w:szCs w:val="22"/>
                <w:lang w:val="es-ES"/>
              </w:rPr>
            </w:pPr>
            <w:r w:rsidRPr="004117C0">
              <w:rPr>
                <w:rFonts w:ascii="Arial Narrow" w:hAnsi="Arial Narrow"/>
                <w:color w:val="000000"/>
                <w:sz w:val="22"/>
                <w:szCs w:val="22"/>
                <w:lang w:val="es-ES"/>
              </w:rPr>
              <w:t>$4.002.366</w:t>
            </w:r>
          </w:p>
        </w:tc>
        <w:tc>
          <w:tcPr>
            <w:tcW w:w="1468" w:type="dxa"/>
            <w:gridSpan w:val="2"/>
            <w:tcBorders>
              <w:top w:val="nil"/>
              <w:left w:val="nil"/>
              <w:bottom w:val="single" w:sz="4" w:space="0" w:color="auto"/>
              <w:right w:val="single" w:sz="4" w:space="0" w:color="auto"/>
            </w:tcBorders>
            <w:shd w:val="clear" w:color="auto" w:fill="auto"/>
            <w:vAlign w:val="center"/>
            <w:hideMark/>
          </w:tcPr>
          <w:p w:rsidR="004117C0" w:rsidRPr="004117C0" w:rsidRDefault="004117C0" w:rsidP="004117C0">
            <w:pPr>
              <w:jc w:val="center"/>
              <w:rPr>
                <w:rFonts w:ascii="Arial Narrow" w:hAnsi="Arial Narrow"/>
                <w:color w:val="000000"/>
                <w:sz w:val="22"/>
                <w:szCs w:val="22"/>
                <w:lang w:val="es-ES"/>
              </w:rPr>
            </w:pPr>
            <w:r w:rsidRPr="004117C0">
              <w:rPr>
                <w:rFonts w:ascii="Arial Narrow" w:hAnsi="Arial Narrow"/>
                <w:color w:val="000000"/>
                <w:sz w:val="22"/>
                <w:szCs w:val="22"/>
                <w:lang w:val="es-ES"/>
              </w:rPr>
              <w:t>$52.030.758</w:t>
            </w:r>
          </w:p>
        </w:tc>
      </w:tr>
      <w:tr w:rsidR="004117C0" w:rsidRPr="004117C0" w:rsidTr="004117C0">
        <w:trPr>
          <w:trHeight w:val="330"/>
        </w:trPr>
        <w:tc>
          <w:tcPr>
            <w:tcW w:w="1369" w:type="dxa"/>
            <w:tcBorders>
              <w:top w:val="nil"/>
              <w:left w:val="nil"/>
              <w:bottom w:val="nil"/>
              <w:right w:val="nil"/>
            </w:tcBorders>
            <w:shd w:val="clear" w:color="auto" w:fill="auto"/>
            <w:noWrap/>
            <w:vAlign w:val="bottom"/>
            <w:hideMark/>
          </w:tcPr>
          <w:p w:rsidR="004117C0" w:rsidRPr="004117C0" w:rsidRDefault="004117C0" w:rsidP="004117C0">
            <w:pPr>
              <w:jc w:val="center"/>
              <w:rPr>
                <w:rFonts w:ascii="Arial Narrow" w:hAnsi="Arial Narrow"/>
                <w:color w:val="000000"/>
                <w:sz w:val="22"/>
                <w:szCs w:val="22"/>
                <w:lang w:val="es-ES"/>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4117C0" w:rsidRPr="004117C0" w:rsidRDefault="004117C0" w:rsidP="004117C0">
            <w:pPr>
              <w:jc w:val="center"/>
              <w:rPr>
                <w:rFonts w:ascii="Arial Narrow" w:hAnsi="Arial Narrow"/>
                <w:b/>
                <w:bCs/>
                <w:color w:val="000000"/>
                <w:sz w:val="22"/>
                <w:szCs w:val="22"/>
                <w:lang w:val="es-ES"/>
              </w:rPr>
            </w:pPr>
            <w:r w:rsidRPr="004117C0">
              <w:rPr>
                <w:rFonts w:ascii="Arial Narrow" w:hAnsi="Arial Narrow"/>
                <w:b/>
                <w:bCs/>
                <w:color w:val="000000"/>
                <w:sz w:val="22"/>
                <w:szCs w:val="22"/>
                <w:lang w:val="es-ES"/>
              </w:rPr>
              <w:t xml:space="preserve">TOTAL </w:t>
            </w:r>
          </w:p>
        </w:tc>
        <w:tc>
          <w:tcPr>
            <w:tcW w:w="1468" w:type="dxa"/>
            <w:gridSpan w:val="2"/>
            <w:tcBorders>
              <w:top w:val="nil"/>
              <w:left w:val="nil"/>
              <w:bottom w:val="single" w:sz="4" w:space="0" w:color="auto"/>
              <w:right w:val="single" w:sz="4" w:space="0" w:color="auto"/>
            </w:tcBorders>
            <w:shd w:val="clear" w:color="auto" w:fill="auto"/>
            <w:vAlign w:val="bottom"/>
            <w:hideMark/>
          </w:tcPr>
          <w:p w:rsidR="004117C0" w:rsidRPr="004117C0" w:rsidRDefault="004117C0" w:rsidP="004117C0">
            <w:pPr>
              <w:jc w:val="center"/>
              <w:rPr>
                <w:rFonts w:ascii="Arial Narrow" w:hAnsi="Arial Narrow"/>
                <w:b/>
                <w:bCs/>
                <w:color w:val="000000"/>
                <w:sz w:val="22"/>
                <w:szCs w:val="22"/>
                <w:lang w:val="es-ES"/>
              </w:rPr>
            </w:pPr>
            <w:r w:rsidRPr="004117C0">
              <w:rPr>
                <w:rFonts w:ascii="Arial Narrow" w:hAnsi="Arial Narrow"/>
                <w:b/>
                <w:bCs/>
                <w:color w:val="000000"/>
                <w:sz w:val="22"/>
                <w:szCs w:val="22"/>
                <w:lang w:val="es-ES"/>
              </w:rPr>
              <w:t>$52.030.758</w:t>
            </w:r>
          </w:p>
        </w:tc>
      </w:tr>
      <w:tr w:rsidR="004117C0" w:rsidRPr="004117C0" w:rsidTr="004117C0">
        <w:trPr>
          <w:trHeight w:val="300"/>
        </w:trPr>
        <w:tc>
          <w:tcPr>
            <w:tcW w:w="1369" w:type="dxa"/>
            <w:tcBorders>
              <w:top w:val="nil"/>
              <w:left w:val="nil"/>
              <w:bottom w:val="nil"/>
              <w:right w:val="nil"/>
            </w:tcBorders>
            <w:shd w:val="clear" w:color="auto" w:fill="auto"/>
            <w:noWrap/>
            <w:vAlign w:val="bottom"/>
            <w:hideMark/>
          </w:tcPr>
          <w:p w:rsidR="004117C0" w:rsidRPr="004117C0" w:rsidRDefault="004117C0" w:rsidP="004117C0">
            <w:pPr>
              <w:jc w:val="center"/>
              <w:rPr>
                <w:rFonts w:ascii="Arial Narrow" w:hAnsi="Arial Narrow"/>
                <w:b/>
                <w:bCs/>
                <w:color w:val="000000"/>
                <w:sz w:val="22"/>
                <w:szCs w:val="22"/>
                <w:lang w:val="es-ES"/>
              </w:rPr>
            </w:pPr>
          </w:p>
        </w:tc>
        <w:tc>
          <w:tcPr>
            <w:tcW w:w="1192"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21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19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49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468"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r>
      <w:tr w:rsidR="004117C0" w:rsidRPr="004117C0" w:rsidTr="004117C0">
        <w:trPr>
          <w:trHeight w:val="300"/>
        </w:trPr>
        <w:tc>
          <w:tcPr>
            <w:tcW w:w="1369" w:type="dxa"/>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192"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21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19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49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468"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r>
      <w:tr w:rsidR="004117C0" w:rsidRPr="004117C0" w:rsidTr="004117C0">
        <w:trPr>
          <w:trHeight w:val="300"/>
        </w:trPr>
        <w:tc>
          <w:tcPr>
            <w:tcW w:w="1369" w:type="dxa"/>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192"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21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19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497"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c>
          <w:tcPr>
            <w:tcW w:w="1468" w:type="dxa"/>
            <w:gridSpan w:val="2"/>
            <w:tcBorders>
              <w:top w:val="nil"/>
              <w:left w:val="nil"/>
              <w:bottom w:val="nil"/>
              <w:right w:val="nil"/>
            </w:tcBorders>
            <w:shd w:val="clear" w:color="auto" w:fill="auto"/>
            <w:noWrap/>
            <w:vAlign w:val="bottom"/>
            <w:hideMark/>
          </w:tcPr>
          <w:p w:rsidR="004117C0" w:rsidRPr="004117C0" w:rsidRDefault="004117C0" w:rsidP="004117C0">
            <w:pPr>
              <w:rPr>
                <w:sz w:val="20"/>
                <w:lang w:val="es-ES"/>
              </w:rPr>
            </w:pPr>
          </w:p>
        </w:tc>
      </w:tr>
      <w:tr w:rsidR="006E06A5" w:rsidRPr="006E06A5" w:rsidTr="006E06A5">
        <w:trPr>
          <w:trHeight w:val="66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rPr>
                <w:sz w:val="20"/>
                <w:szCs w:val="24"/>
                <w:lang w:val="es-ES"/>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 xml:space="preserve">AÑO </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 xml:space="preserve">IPC </w:t>
            </w: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 xml:space="preserve">No. MESADAS </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MESADA RECONOCIDA</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 xml:space="preserve">SUBTOTAL </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rPr>
                <w:rFonts w:ascii="Calibri" w:hAnsi="Calibri"/>
                <w:color w:val="000000"/>
                <w:sz w:val="22"/>
                <w:szCs w:val="22"/>
                <w:lang w:val="es-ES"/>
              </w:rPr>
            </w:pPr>
            <w:r w:rsidRPr="006E06A5">
              <w:rPr>
                <w:rFonts w:ascii="Calibri" w:hAnsi="Calibri"/>
                <w:color w:val="000000"/>
                <w:sz w:val="22"/>
                <w:szCs w:val="22"/>
                <w:lang w:val="es-ES"/>
              </w:rPr>
              <w:t>María Eugenia</w:t>
            </w:r>
          </w:p>
        </w:tc>
        <w:tc>
          <w:tcPr>
            <w:tcW w:w="1195" w:type="dxa"/>
            <w:gridSpan w:val="2"/>
            <w:tcBorders>
              <w:top w:val="nil"/>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2009</w:t>
            </w:r>
          </w:p>
        </w:tc>
        <w:tc>
          <w:tcPr>
            <w:tcW w:w="1215"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7,67</w:t>
            </w:r>
          </w:p>
        </w:tc>
        <w:tc>
          <w:tcPr>
            <w:tcW w:w="11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 </w:t>
            </w:r>
          </w:p>
        </w:tc>
        <w:tc>
          <w:tcPr>
            <w:tcW w:w="14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$3.691.008</w:t>
            </w:r>
          </w:p>
        </w:tc>
        <w:tc>
          <w:tcPr>
            <w:tcW w:w="1458" w:type="dxa"/>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color w:val="000000"/>
                <w:sz w:val="22"/>
                <w:szCs w:val="22"/>
                <w:lang w:val="es-ES"/>
              </w:rPr>
            </w:pPr>
          </w:p>
        </w:tc>
        <w:tc>
          <w:tcPr>
            <w:tcW w:w="1195" w:type="dxa"/>
            <w:gridSpan w:val="2"/>
            <w:tcBorders>
              <w:top w:val="nil"/>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2010</w:t>
            </w:r>
          </w:p>
        </w:tc>
        <w:tc>
          <w:tcPr>
            <w:tcW w:w="1215"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2,00</w:t>
            </w:r>
          </w:p>
        </w:tc>
        <w:tc>
          <w:tcPr>
            <w:tcW w:w="11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 </w:t>
            </w:r>
          </w:p>
        </w:tc>
        <w:tc>
          <w:tcPr>
            <w:tcW w:w="14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$3.764.828</w:t>
            </w:r>
          </w:p>
        </w:tc>
        <w:tc>
          <w:tcPr>
            <w:tcW w:w="1458" w:type="dxa"/>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color w:val="000000"/>
                <w:sz w:val="22"/>
                <w:szCs w:val="22"/>
                <w:lang w:val="es-ES"/>
              </w:rPr>
            </w:pPr>
          </w:p>
        </w:tc>
        <w:tc>
          <w:tcPr>
            <w:tcW w:w="1195" w:type="dxa"/>
            <w:gridSpan w:val="2"/>
            <w:tcBorders>
              <w:top w:val="nil"/>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2011</w:t>
            </w:r>
          </w:p>
        </w:tc>
        <w:tc>
          <w:tcPr>
            <w:tcW w:w="1215"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3,17</w:t>
            </w:r>
          </w:p>
        </w:tc>
        <w:tc>
          <w:tcPr>
            <w:tcW w:w="11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6,9</w:t>
            </w:r>
          </w:p>
        </w:tc>
        <w:tc>
          <w:tcPr>
            <w:tcW w:w="14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$3.884.173</w:t>
            </w:r>
          </w:p>
        </w:tc>
        <w:tc>
          <w:tcPr>
            <w:tcW w:w="1458" w:type="dxa"/>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$26.800.795</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color w:val="000000"/>
                <w:sz w:val="22"/>
                <w:szCs w:val="22"/>
                <w:lang w:val="es-ES"/>
              </w:rPr>
            </w:pPr>
          </w:p>
        </w:tc>
        <w:tc>
          <w:tcPr>
            <w:tcW w:w="1195" w:type="dxa"/>
            <w:gridSpan w:val="2"/>
            <w:tcBorders>
              <w:top w:val="nil"/>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2012</w:t>
            </w:r>
          </w:p>
        </w:tc>
        <w:tc>
          <w:tcPr>
            <w:tcW w:w="1215"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3,73</w:t>
            </w:r>
          </w:p>
        </w:tc>
        <w:tc>
          <w:tcPr>
            <w:tcW w:w="11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13</w:t>
            </w:r>
          </w:p>
        </w:tc>
        <w:tc>
          <w:tcPr>
            <w:tcW w:w="14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$4.029.053</w:t>
            </w:r>
          </w:p>
        </w:tc>
        <w:tc>
          <w:tcPr>
            <w:tcW w:w="1458" w:type="dxa"/>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$52.377.687</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color w:val="000000"/>
                <w:sz w:val="22"/>
                <w:szCs w:val="22"/>
                <w:lang w:val="es-ES"/>
              </w:rPr>
            </w:pPr>
          </w:p>
        </w:tc>
        <w:tc>
          <w:tcPr>
            <w:tcW w:w="1195" w:type="dxa"/>
            <w:gridSpan w:val="2"/>
            <w:tcBorders>
              <w:top w:val="nil"/>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2013</w:t>
            </w:r>
          </w:p>
        </w:tc>
        <w:tc>
          <w:tcPr>
            <w:tcW w:w="1215"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2,44</w:t>
            </w:r>
          </w:p>
        </w:tc>
        <w:tc>
          <w:tcPr>
            <w:tcW w:w="11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6</w:t>
            </w:r>
          </w:p>
        </w:tc>
        <w:tc>
          <w:tcPr>
            <w:tcW w:w="14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$4.127.362</w:t>
            </w:r>
          </w:p>
        </w:tc>
        <w:tc>
          <w:tcPr>
            <w:tcW w:w="1458" w:type="dxa"/>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$24.764.171</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color w:val="000000"/>
                <w:sz w:val="22"/>
                <w:szCs w:val="22"/>
                <w:lang w:val="es-ES"/>
              </w:rPr>
            </w:pPr>
          </w:p>
        </w:tc>
        <w:tc>
          <w:tcPr>
            <w:tcW w:w="510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 xml:space="preserve">TOTAL </w:t>
            </w:r>
          </w:p>
        </w:tc>
        <w:tc>
          <w:tcPr>
            <w:tcW w:w="1458" w:type="dxa"/>
            <w:tcBorders>
              <w:top w:val="nil"/>
              <w:left w:val="nil"/>
              <w:bottom w:val="single" w:sz="4" w:space="0" w:color="auto"/>
              <w:right w:val="single" w:sz="4" w:space="0" w:color="auto"/>
            </w:tcBorders>
            <w:shd w:val="clear" w:color="auto" w:fill="auto"/>
            <w:vAlign w:val="bottom"/>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$103.942.653</w:t>
            </w:r>
          </w:p>
        </w:tc>
      </w:tr>
      <w:tr w:rsidR="006E06A5" w:rsidRPr="006E06A5" w:rsidTr="006E06A5">
        <w:trPr>
          <w:trHeight w:val="30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b/>
                <w:bCs/>
                <w:color w:val="000000"/>
                <w:sz w:val="22"/>
                <w:szCs w:val="22"/>
                <w:lang w:val="es-ES"/>
              </w:rPr>
            </w:pPr>
          </w:p>
        </w:tc>
        <w:tc>
          <w:tcPr>
            <w:tcW w:w="1195" w:type="dxa"/>
            <w:gridSpan w:val="2"/>
            <w:tcBorders>
              <w:top w:val="nil"/>
              <w:left w:val="nil"/>
              <w:bottom w:val="nil"/>
              <w:right w:val="nil"/>
            </w:tcBorders>
            <w:shd w:val="clear" w:color="auto" w:fill="auto"/>
            <w:noWrap/>
            <w:vAlign w:val="bottom"/>
            <w:hideMark/>
          </w:tcPr>
          <w:p w:rsidR="006E06A5" w:rsidRPr="006E06A5" w:rsidRDefault="006E06A5" w:rsidP="006E06A5">
            <w:pPr>
              <w:rPr>
                <w:sz w:val="20"/>
                <w:lang w:val="es-ES"/>
              </w:rPr>
            </w:pPr>
          </w:p>
        </w:tc>
        <w:tc>
          <w:tcPr>
            <w:tcW w:w="1215" w:type="dxa"/>
            <w:gridSpan w:val="2"/>
            <w:tcBorders>
              <w:top w:val="nil"/>
              <w:left w:val="nil"/>
              <w:bottom w:val="nil"/>
              <w:right w:val="nil"/>
            </w:tcBorders>
            <w:shd w:val="clear" w:color="auto" w:fill="auto"/>
            <w:noWrap/>
            <w:vAlign w:val="bottom"/>
            <w:hideMark/>
          </w:tcPr>
          <w:p w:rsidR="006E06A5" w:rsidRPr="006E06A5" w:rsidRDefault="006E06A5" w:rsidP="006E06A5">
            <w:pPr>
              <w:rPr>
                <w:sz w:val="20"/>
                <w:lang w:val="es-ES"/>
              </w:rPr>
            </w:pPr>
          </w:p>
        </w:tc>
        <w:tc>
          <w:tcPr>
            <w:tcW w:w="1198" w:type="dxa"/>
            <w:gridSpan w:val="2"/>
            <w:tcBorders>
              <w:top w:val="nil"/>
              <w:left w:val="nil"/>
              <w:bottom w:val="nil"/>
              <w:right w:val="nil"/>
            </w:tcBorders>
            <w:shd w:val="clear" w:color="auto" w:fill="auto"/>
            <w:noWrap/>
            <w:vAlign w:val="bottom"/>
            <w:hideMark/>
          </w:tcPr>
          <w:p w:rsidR="006E06A5" w:rsidRPr="006E06A5" w:rsidRDefault="006E06A5" w:rsidP="006E06A5">
            <w:pPr>
              <w:rPr>
                <w:sz w:val="20"/>
                <w:lang w:val="es-ES"/>
              </w:rPr>
            </w:pPr>
          </w:p>
        </w:tc>
        <w:tc>
          <w:tcPr>
            <w:tcW w:w="1498" w:type="dxa"/>
            <w:gridSpan w:val="2"/>
            <w:tcBorders>
              <w:top w:val="nil"/>
              <w:left w:val="nil"/>
              <w:bottom w:val="nil"/>
              <w:right w:val="nil"/>
            </w:tcBorders>
            <w:shd w:val="clear" w:color="auto" w:fill="auto"/>
            <w:noWrap/>
            <w:vAlign w:val="bottom"/>
            <w:hideMark/>
          </w:tcPr>
          <w:p w:rsidR="006E06A5" w:rsidRPr="006E06A5" w:rsidRDefault="006E06A5" w:rsidP="006E06A5">
            <w:pPr>
              <w:rPr>
                <w:sz w:val="20"/>
                <w:lang w:val="es-ES"/>
              </w:rPr>
            </w:pPr>
          </w:p>
        </w:tc>
        <w:tc>
          <w:tcPr>
            <w:tcW w:w="1458" w:type="dxa"/>
            <w:tcBorders>
              <w:top w:val="nil"/>
              <w:left w:val="nil"/>
              <w:bottom w:val="nil"/>
              <w:right w:val="nil"/>
            </w:tcBorders>
            <w:shd w:val="clear" w:color="auto" w:fill="auto"/>
            <w:noWrap/>
            <w:vAlign w:val="bottom"/>
            <w:hideMark/>
          </w:tcPr>
          <w:p w:rsidR="006E06A5" w:rsidRPr="006E06A5" w:rsidRDefault="006E06A5" w:rsidP="006E06A5">
            <w:pPr>
              <w:rPr>
                <w:sz w:val="20"/>
                <w:lang w:val="es-ES"/>
              </w:rPr>
            </w:pPr>
          </w:p>
        </w:tc>
      </w:tr>
      <w:tr w:rsidR="006E06A5" w:rsidRPr="006E06A5" w:rsidTr="006E06A5">
        <w:trPr>
          <w:trHeight w:val="30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rPr>
                <w:sz w:val="20"/>
                <w:lang w:val="es-ES"/>
              </w:rPr>
            </w:pPr>
          </w:p>
        </w:tc>
        <w:tc>
          <w:tcPr>
            <w:tcW w:w="1195" w:type="dxa"/>
            <w:gridSpan w:val="2"/>
            <w:tcBorders>
              <w:top w:val="nil"/>
              <w:left w:val="nil"/>
              <w:bottom w:val="nil"/>
              <w:right w:val="nil"/>
            </w:tcBorders>
            <w:shd w:val="clear" w:color="auto" w:fill="auto"/>
            <w:noWrap/>
            <w:vAlign w:val="bottom"/>
            <w:hideMark/>
          </w:tcPr>
          <w:p w:rsidR="006E06A5" w:rsidRPr="006E06A5" w:rsidRDefault="006E06A5" w:rsidP="006E06A5">
            <w:pPr>
              <w:rPr>
                <w:sz w:val="20"/>
                <w:lang w:val="es-ES"/>
              </w:rPr>
            </w:pPr>
          </w:p>
        </w:tc>
        <w:tc>
          <w:tcPr>
            <w:tcW w:w="1215" w:type="dxa"/>
            <w:gridSpan w:val="2"/>
            <w:tcBorders>
              <w:top w:val="nil"/>
              <w:left w:val="nil"/>
              <w:bottom w:val="nil"/>
              <w:right w:val="nil"/>
            </w:tcBorders>
            <w:shd w:val="clear" w:color="auto" w:fill="auto"/>
            <w:noWrap/>
            <w:vAlign w:val="bottom"/>
            <w:hideMark/>
          </w:tcPr>
          <w:p w:rsidR="006E06A5" w:rsidRPr="006E06A5" w:rsidRDefault="006E06A5" w:rsidP="006E06A5">
            <w:pPr>
              <w:rPr>
                <w:sz w:val="20"/>
                <w:lang w:val="es-ES"/>
              </w:rPr>
            </w:pPr>
          </w:p>
        </w:tc>
        <w:tc>
          <w:tcPr>
            <w:tcW w:w="1198" w:type="dxa"/>
            <w:gridSpan w:val="2"/>
            <w:tcBorders>
              <w:top w:val="nil"/>
              <w:left w:val="nil"/>
              <w:bottom w:val="nil"/>
              <w:right w:val="nil"/>
            </w:tcBorders>
            <w:shd w:val="clear" w:color="auto" w:fill="auto"/>
            <w:noWrap/>
            <w:vAlign w:val="bottom"/>
            <w:hideMark/>
          </w:tcPr>
          <w:p w:rsidR="006E06A5" w:rsidRPr="006E06A5" w:rsidRDefault="006E06A5" w:rsidP="006E06A5">
            <w:pPr>
              <w:rPr>
                <w:sz w:val="20"/>
                <w:lang w:val="es-ES"/>
              </w:rPr>
            </w:pPr>
          </w:p>
        </w:tc>
        <w:tc>
          <w:tcPr>
            <w:tcW w:w="1498" w:type="dxa"/>
            <w:gridSpan w:val="2"/>
            <w:tcBorders>
              <w:top w:val="nil"/>
              <w:left w:val="nil"/>
              <w:bottom w:val="nil"/>
              <w:right w:val="nil"/>
            </w:tcBorders>
            <w:shd w:val="clear" w:color="auto" w:fill="auto"/>
            <w:noWrap/>
            <w:vAlign w:val="bottom"/>
            <w:hideMark/>
          </w:tcPr>
          <w:p w:rsidR="006E06A5" w:rsidRPr="006E06A5" w:rsidRDefault="006E06A5" w:rsidP="006E06A5">
            <w:pPr>
              <w:rPr>
                <w:sz w:val="20"/>
                <w:lang w:val="es-ES"/>
              </w:rPr>
            </w:pPr>
          </w:p>
        </w:tc>
        <w:tc>
          <w:tcPr>
            <w:tcW w:w="1458" w:type="dxa"/>
            <w:tcBorders>
              <w:top w:val="nil"/>
              <w:left w:val="nil"/>
              <w:bottom w:val="nil"/>
              <w:right w:val="nil"/>
            </w:tcBorders>
            <w:shd w:val="clear" w:color="auto" w:fill="auto"/>
            <w:noWrap/>
            <w:vAlign w:val="bottom"/>
            <w:hideMark/>
          </w:tcPr>
          <w:p w:rsidR="006E06A5" w:rsidRPr="006E06A5" w:rsidRDefault="006E06A5" w:rsidP="006E06A5">
            <w:pPr>
              <w:rPr>
                <w:sz w:val="20"/>
                <w:lang w:val="es-ES"/>
              </w:rPr>
            </w:pPr>
          </w:p>
        </w:tc>
      </w:tr>
      <w:tr w:rsidR="006E06A5" w:rsidRPr="006E06A5" w:rsidTr="006E06A5">
        <w:trPr>
          <w:trHeight w:val="660"/>
        </w:trPr>
        <w:tc>
          <w:tcPr>
            <w:tcW w:w="1376" w:type="dxa"/>
            <w:gridSpan w:val="2"/>
            <w:tcBorders>
              <w:top w:val="nil"/>
              <w:left w:val="nil"/>
              <w:bottom w:val="nil"/>
              <w:right w:val="nil"/>
            </w:tcBorders>
            <w:shd w:val="clear" w:color="auto" w:fill="auto"/>
            <w:vAlign w:val="bottom"/>
            <w:hideMark/>
          </w:tcPr>
          <w:p w:rsidR="006E06A5" w:rsidRPr="006E06A5" w:rsidRDefault="006E06A5" w:rsidP="006E06A5">
            <w:pPr>
              <w:rPr>
                <w:rFonts w:ascii="Calibri" w:hAnsi="Calibri"/>
                <w:color w:val="000000"/>
                <w:sz w:val="22"/>
                <w:szCs w:val="22"/>
                <w:lang w:val="es-ES"/>
              </w:rPr>
            </w:pPr>
            <w:r w:rsidRPr="006E06A5">
              <w:rPr>
                <w:rFonts w:ascii="Calibri" w:hAnsi="Calibri"/>
                <w:color w:val="000000"/>
                <w:sz w:val="22"/>
                <w:szCs w:val="22"/>
                <w:lang w:val="es-ES"/>
              </w:rPr>
              <w:t xml:space="preserve">Fernando Bedoya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 xml:space="preserve">AÑO </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 xml:space="preserve">IPC </w:t>
            </w: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 xml:space="preserve">No. MESADAS </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MESADA RECONOCIDA</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 xml:space="preserve">SUBTOTAL </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b/>
                <w:bCs/>
                <w:color w:val="000000"/>
                <w:sz w:val="22"/>
                <w:szCs w:val="22"/>
                <w:lang w:val="es-ES"/>
              </w:rPr>
            </w:pPr>
          </w:p>
        </w:tc>
        <w:tc>
          <w:tcPr>
            <w:tcW w:w="1195" w:type="dxa"/>
            <w:gridSpan w:val="2"/>
            <w:tcBorders>
              <w:top w:val="nil"/>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2009</w:t>
            </w:r>
          </w:p>
        </w:tc>
        <w:tc>
          <w:tcPr>
            <w:tcW w:w="1215"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7,67</w:t>
            </w:r>
          </w:p>
        </w:tc>
        <w:tc>
          <w:tcPr>
            <w:tcW w:w="11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 </w:t>
            </w:r>
          </w:p>
        </w:tc>
        <w:tc>
          <w:tcPr>
            <w:tcW w:w="14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$1.916.796</w:t>
            </w:r>
          </w:p>
        </w:tc>
        <w:tc>
          <w:tcPr>
            <w:tcW w:w="1458" w:type="dxa"/>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color w:val="000000"/>
                <w:sz w:val="22"/>
                <w:szCs w:val="22"/>
                <w:lang w:val="es-ES"/>
              </w:rPr>
            </w:pPr>
          </w:p>
        </w:tc>
        <w:tc>
          <w:tcPr>
            <w:tcW w:w="1195" w:type="dxa"/>
            <w:gridSpan w:val="2"/>
            <w:tcBorders>
              <w:top w:val="nil"/>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2010</w:t>
            </w:r>
          </w:p>
        </w:tc>
        <w:tc>
          <w:tcPr>
            <w:tcW w:w="1215"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2,00</w:t>
            </w:r>
          </w:p>
        </w:tc>
        <w:tc>
          <w:tcPr>
            <w:tcW w:w="11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 </w:t>
            </w:r>
          </w:p>
        </w:tc>
        <w:tc>
          <w:tcPr>
            <w:tcW w:w="14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$1.955.132</w:t>
            </w:r>
          </w:p>
        </w:tc>
        <w:tc>
          <w:tcPr>
            <w:tcW w:w="1458" w:type="dxa"/>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color w:val="000000"/>
                <w:sz w:val="22"/>
                <w:szCs w:val="22"/>
                <w:lang w:val="es-ES"/>
              </w:rPr>
            </w:pPr>
          </w:p>
        </w:tc>
        <w:tc>
          <w:tcPr>
            <w:tcW w:w="1195" w:type="dxa"/>
            <w:gridSpan w:val="2"/>
            <w:tcBorders>
              <w:top w:val="nil"/>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2011</w:t>
            </w:r>
          </w:p>
        </w:tc>
        <w:tc>
          <w:tcPr>
            <w:tcW w:w="1215"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3,17</w:t>
            </w:r>
          </w:p>
        </w:tc>
        <w:tc>
          <w:tcPr>
            <w:tcW w:w="11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6,9</w:t>
            </w:r>
          </w:p>
        </w:tc>
        <w:tc>
          <w:tcPr>
            <w:tcW w:w="14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$2.017.110</w:t>
            </w:r>
          </w:p>
        </w:tc>
        <w:tc>
          <w:tcPr>
            <w:tcW w:w="1458" w:type="dxa"/>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$13.918.056</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color w:val="000000"/>
                <w:sz w:val="22"/>
                <w:szCs w:val="22"/>
                <w:lang w:val="es-ES"/>
              </w:rPr>
            </w:pPr>
          </w:p>
        </w:tc>
        <w:tc>
          <w:tcPr>
            <w:tcW w:w="1195" w:type="dxa"/>
            <w:gridSpan w:val="2"/>
            <w:tcBorders>
              <w:top w:val="nil"/>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2012</w:t>
            </w:r>
          </w:p>
        </w:tc>
        <w:tc>
          <w:tcPr>
            <w:tcW w:w="1215"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3,73</w:t>
            </w:r>
          </w:p>
        </w:tc>
        <w:tc>
          <w:tcPr>
            <w:tcW w:w="11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13</w:t>
            </w:r>
          </w:p>
        </w:tc>
        <w:tc>
          <w:tcPr>
            <w:tcW w:w="14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$2.092.348</w:t>
            </w:r>
          </w:p>
        </w:tc>
        <w:tc>
          <w:tcPr>
            <w:tcW w:w="1458" w:type="dxa"/>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$27.200.521</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color w:val="000000"/>
                <w:sz w:val="22"/>
                <w:szCs w:val="22"/>
                <w:lang w:val="es-ES"/>
              </w:rPr>
            </w:pPr>
          </w:p>
        </w:tc>
        <w:tc>
          <w:tcPr>
            <w:tcW w:w="1195" w:type="dxa"/>
            <w:gridSpan w:val="2"/>
            <w:tcBorders>
              <w:top w:val="nil"/>
              <w:left w:val="single" w:sz="4" w:space="0" w:color="auto"/>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2013</w:t>
            </w:r>
          </w:p>
        </w:tc>
        <w:tc>
          <w:tcPr>
            <w:tcW w:w="1215"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2,44</w:t>
            </w:r>
          </w:p>
        </w:tc>
        <w:tc>
          <w:tcPr>
            <w:tcW w:w="11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w:t>
            </w:r>
          </w:p>
        </w:tc>
        <w:tc>
          <w:tcPr>
            <w:tcW w:w="1498" w:type="dxa"/>
            <w:gridSpan w:val="2"/>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$2.143.401</w:t>
            </w:r>
          </w:p>
        </w:tc>
        <w:tc>
          <w:tcPr>
            <w:tcW w:w="1458" w:type="dxa"/>
            <w:tcBorders>
              <w:top w:val="nil"/>
              <w:left w:val="nil"/>
              <w:bottom w:val="single" w:sz="4" w:space="0" w:color="auto"/>
              <w:right w:val="single" w:sz="4" w:space="0" w:color="auto"/>
            </w:tcBorders>
            <w:shd w:val="clear" w:color="auto" w:fill="auto"/>
            <w:vAlign w:val="center"/>
            <w:hideMark/>
          </w:tcPr>
          <w:p w:rsidR="006E06A5" w:rsidRPr="006E06A5" w:rsidRDefault="006E06A5" w:rsidP="006E06A5">
            <w:pPr>
              <w:jc w:val="center"/>
              <w:rPr>
                <w:rFonts w:ascii="Arial Narrow" w:hAnsi="Arial Narrow"/>
                <w:color w:val="000000"/>
                <w:sz w:val="22"/>
                <w:szCs w:val="22"/>
                <w:lang w:val="es-ES"/>
              </w:rPr>
            </w:pPr>
            <w:r w:rsidRPr="006E06A5">
              <w:rPr>
                <w:rFonts w:ascii="Arial Narrow" w:hAnsi="Arial Narrow"/>
                <w:color w:val="000000"/>
                <w:sz w:val="22"/>
                <w:szCs w:val="22"/>
                <w:lang w:val="es-ES"/>
              </w:rPr>
              <w:t>$4.286.802</w:t>
            </w:r>
          </w:p>
        </w:tc>
      </w:tr>
      <w:tr w:rsidR="006E06A5" w:rsidRPr="006E06A5" w:rsidTr="006E06A5">
        <w:trPr>
          <w:trHeight w:val="330"/>
        </w:trPr>
        <w:tc>
          <w:tcPr>
            <w:tcW w:w="1376" w:type="dxa"/>
            <w:gridSpan w:val="2"/>
            <w:tcBorders>
              <w:top w:val="nil"/>
              <w:left w:val="nil"/>
              <w:bottom w:val="nil"/>
              <w:right w:val="nil"/>
            </w:tcBorders>
            <w:shd w:val="clear" w:color="auto" w:fill="auto"/>
            <w:noWrap/>
            <w:vAlign w:val="bottom"/>
            <w:hideMark/>
          </w:tcPr>
          <w:p w:rsidR="006E06A5" w:rsidRPr="006E06A5" w:rsidRDefault="006E06A5" w:rsidP="006E06A5">
            <w:pPr>
              <w:jc w:val="center"/>
              <w:rPr>
                <w:rFonts w:ascii="Arial Narrow" w:hAnsi="Arial Narrow"/>
                <w:color w:val="000000"/>
                <w:sz w:val="22"/>
                <w:szCs w:val="22"/>
                <w:lang w:val="es-ES"/>
              </w:rPr>
            </w:pPr>
          </w:p>
        </w:tc>
        <w:tc>
          <w:tcPr>
            <w:tcW w:w="510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 xml:space="preserve">TOTAL </w:t>
            </w:r>
          </w:p>
        </w:tc>
        <w:tc>
          <w:tcPr>
            <w:tcW w:w="1458" w:type="dxa"/>
            <w:tcBorders>
              <w:top w:val="nil"/>
              <w:left w:val="nil"/>
              <w:bottom w:val="single" w:sz="4" w:space="0" w:color="auto"/>
              <w:right w:val="single" w:sz="4" w:space="0" w:color="auto"/>
            </w:tcBorders>
            <w:shd w:val="clear" w:color="auto" w:fill="auto"/>
            <w:vAlign w:val="bottom"/>
            <w:hideMark/>
          </w:tcPr>
          <w:p w:rsidR="006E06A5" w:rsidRPr="006E06A5" w:rsidRDefault="006E06A5" w:rsidP="006E06A5">
            <w:pPr>
              <w:jc w:val="center"/>
              <w:rPr>
                <w:rFonts w:ascii="Arial Narrow" w:hAnsi="Arial Narrow"/>
                <w:b/>
                <w:bCs/>
                <w:color w:val="000000"/>
                <w:sz w:val="22"/>
                <w:szCs w:val="22"/>
                <w:lang w:val="es-ES"/>
              </w:rPr>
            </w:pPr>
            <w:r w:rsidRPr="006E06A5">
              <w:rPr>
                <w:rFonts w:ascii="Arial Narrow" w:hAnsi="Arial Narrow"/>
                <w:b/>
                <w:bCs/>
                <w:color w:val="000000"/>
                <w:sz w:val="22"/>
                <w:szCs w:val="22"/>
                <w:lang w:val="es-ES"/>
              </w:rPr>
              <w:t>$45.405.380</w:t>
            </w:r>
          </w:p>
        </w:tc>
      </w:tr>
    </w:tbl>
    <w:p w:rsidR="004117C0" w:rsidRPr="006A37DE" w:rsidRDefault="004117C0" w:rsidP="008B7327">
      <w:pPr>
        <w:spacing w:line="360" w:lineRule="auto"/>
        <w:ind w:firstLine="900"/>
        <w:rPr>
          <w:rFonts w:ascii="Arial Narrow" w:hAnsi="Arial Narrow" w:cs="Microsoft Sans Serif"/>
          <w:iCs/>
          <w:sz w:val="28"/>
          <w:szCs w:val="28"/>
          <w:lang w:val="es-ES"/>
        </w:rPr>
      </w:pPr>
    </w:p>
    <w:sectPr w:rsidR="004117C0" w:rsidRPr="006A37DE" w:rsidSect="008B7327">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sidP="008B7327">
      <w:r>
        <w:separator/>
      </w:r>
    </w:p>
  </w:endnote>
  <w:endnote w:type="continuationSeparator" w:id="0">
    <w:p w:rsidR="002F0FDF" w:rsidRDefault="002F0FDF" w:rsidP="008B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6C" w:rsidRDefault="00F94D6C" w:rsidP="008B73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94D6C" w:rsidRDefault="00F94D6C" w:rsidP="008B732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6C" w:rsidRDefault="00F94D6C" w:rsidP="008B73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649F8">
      <w:rPr>
        <w:rStyle w:val="Numrodepage"/>
        <w:noProof/>
      </w:rPr>
      <w:t>11</w:t>
    </w:r>
    <w:r>
      <w:rPr>
        <w:rStyle w:val="Numrodepage"/>
      </w:rPr>
      <w:fldChar w:fldCharType="end"/>
    </w:r>
  </w:p>
  <w:p w:rsidR="00F94D6C" w:rsidRDefault="00F94D6C" w:rsidP="008B732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sidP="008B7327">
      <w:r>
        <w:separator/>
      </w:r>
    </w:p>
  </w:footnote>
  <w:footnote w:type="continuationSeparator" w:id="0">
    <w:p w:rsidR="002F0FDF" w:rsidRDefault="002F0FDF" w:rsidP="008B7327">
      <w:r>
        <w:continuationSeparator/>
      </w:r>
    </w:p>
  </w:footnote>
  <w:footnote w:id="1">
    <w:p w:rsidR="00F94D6C" w:rsidRPr="00AE4653" w:rsidRDefault="00F94D6C" w:rsidP="002E49A7">
      <w:pPr>
        <w:pStyle w:val="Notedebasdepage"/>
        <w:rPr>
          <w:rFonts w:ascii="Arial Narrow" w:hAnsi="Arial Narrow"/>
          <w:sz w:val="18"/>
          <w:szCs w:val="18"/>
          <w:lang w:val="es-ES"/>
        </w:rPr>
      </w:pPr>
      <w:r w:rsidRPr="00AE4653">
        <w:rPr>
          <w:rStyle w:val="Appelnotedebasdep"/>
          <w:rFonts w:ascii="Arial Narrow" w:hAnsi="Arial Narrow"/>
          <w:sz w:val="18"/>
          <w:szCs w:val="18"/>
        </w:rPr>
        <w:footnoteRef/>
      </w:r>
      <w:r w:rsidRPr="00AE4653">
        <w:rPr>
          <w:rFonts w:ascii="Arial Narrow" w:hAnsi="Arial Narrow"/>
          <w:sz w:val="18"/>
          <w:szCs w:val="18"/>
        </w:rPr>
        <w:t xml:space="preserve"> Entre otras sentencia </w:t>
      </w:r>
      <w:r w:rsidRPr="00AE4653">
        <w:rPr>
          <w:rFonts w:ascii="Arial Narrow" w:hAnsi="Arial Narrow"/>
          <w:sz w:val="18"/>
          <w:szCs w:val="18"/>
          <w:lang w:val="es-ES"/>
        </w:rPr>
        <w:t>SL10522-2015 Radicación n.° 44788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6C" w:rsidRDefault="00F94D6C" w:rsidP="008B7327">
    <w:pPr>
      <w:jc w:val="both"/>
      <w:rPr>
        <w:rFonts w:ascii="Arial Narrow" w:hAnsi="Arial Narrow" w:cs="Arial"/>
        <w:bCs/>
        <w:sz w:val="16"/>
        <w:szCs w:val="16"/>
      </w:rPr>
    </w:pPr>
    <w:r w:rsidRPr="008B7327">
      <w:rPr>
        <w:rFonts w:ascii="Arial Narrow" w:hAnsi="Arial Narrow" w:cs="Arial"/>
        <w:bCs/>
        <w:sz w:val="16"/>
        <w:szCs w:val="16"/>
      </w:rPr>
      <w:t>Radicación No: 66001-31-05-00</w:t>
    </w:r>
    <w:r>
      <w:rPr>
        <w:rFonts w:ascii="Arial Narrow" w:hAnsi="Arial Narrow" w:cs="Arial"/>
        <w:bCs/>
        <w:sz w:val="16"/>
        <w:szCs w:val="16"/>
      </w:rPr>
      <w:t>4-2014-00095-04</w:t>
    </w:r>
  </w:p>
  <w:p w:rsidR="00F94D6C" w:rsidRPr="008B7327" w:rsidRDefault="00F94D6C" w:rsidP="008B7327">
    <w:pPr>
      <w:jc w:val="both"/>
      <w:rPr>
        <w:rFonts w:ascii="Arial Narrow" w:hAnsi="Arial Narrow" w:cs="Arial"/>
        <w:bCs/>
        <w:iCs/>
        <w:sz w:val="16"/>
        <w:szCs w:val="16"/>
      </w:rPr>
    </w:pPr>
    <w:r>
      <w:rPr>
        <w:rFonts w:ascii="Arial Narrow" w:hAnsi="Arial Narrow" w:cs="Arial"/>
        <w:bCs/>
        <w:sz w:val="16"/>
        <w:szCs w:val="16"/>
      </w:rPr>
      <w:t xml:space="preserve">Jairo Ignacio González Díaz y otros </w:t>
    </w:r>
    <w:r w:rsidRPr="008B7327">
      <w:rPr>
        <w:rFonts w:ascii="Arial Narrow" w:hAnsi="Arial Narrow" w:cs="Arial"/>
        <w:bCs/>
        <w:sz w:val="16"/>
        <w:szCs w:val="16"/>
      </w:rPr>
      <w:t xml:space="preserve">vs </w:t>
    </w:r>
    <w:proofErr w:type="spellStart"/>
    <w:r w:rsidRPr="008B7327">
      <w:rPr>
        <w:rFonts w:ascii="Arial Narrow" w:hAnsi="Arial Narrow" w:cs="Arial"/>
        <w:bCs/>
        <w:sz w:val="16"/>
        <w:szCs w:val="16"/>
      </w:rPr>
      <w:t>Colpensiones</w:t>
    </w:r>
    <w:proofErr w:type="spellEnd"/>
  </w:p>
  <w:p w:rsidR="00F94D6C" w:rsidRDefault="00F94D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19"/>
    <w:multiLevelType w:val="hybridMultilevel"/>
    <w:tmpl w:val="7BBA0192"/>
    <w:lvl w:ilvl="0" w:tplc="BE568CE4">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nsid w:val="08C354AB"/>
    <w:multiLevelType w:val="hybridMultilevel"/>
    <w:tmpl w:val="919CB460"/>
    <w:lvl w:ilvl="0" w:tplc="75B2A704">
      <w:start w:val="1"/>
      <w:numFmt w:val="decimal"/>
      <w:lvlText w:val="%1."/>
      <w:lvlJc w:val="left"/>
      <w:pPr>
        <w:ind w:left="1637" w:hanging="360"/>
      </w:pPr>
      <w:rPr>
        <w:rFonts w:ascii="Arial Narrow" w:hAnsi="Arial Narrow" w:hint="default"/>
        <w:b/>
        <w:i/>
        <w:sz w:val="28"/>
        <w:szCs w:val="28"/>
      </w:rPr>
    </w:lvl>
    <w:lvl w:ilvl="1" w:tplc="240A0019">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3">
    <w:nsid w:val="555D2981"/>
    <w:multiLevelType w:val="hybridMultilevel"/>
    <w:tmpl w:val="0044886A"/>
    <w:lvl w:ilvl="0" w:tplc="EFF07D12">
      <w:start w:val="1"/>
      <w:numFmt w:val="upperRoman"/>
      <w:lvlText w:val="%1."/>
      <w:lvlJc w:val="left"/>
      <w:pPr>
        <w:ind w:left="1800" w:hanging="72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5C4F14C2"/>
    <w:multiLevelType w:val="hybridMultilevel"/>
    <w:tmpl w:val="73E8227C"/>
    <w:lvl w:ilvl="0" w:tplc="61A43EC6">
      <w:start w:val="1"/>
      <w:numFmt w:val="upperRoman"/>
      <w:pStyle w:val="Yo"/>
      <w:lvlText w:val="%1."/>
      <w:lvlJc w:val="left"/>
      <w:pPr>
        <w:tabs>
          <w:tab w:val="num" w:pos="1080"/>
        </w:tabs>
        <w:ind w:left="1080" w:hanging="720"/>
      </w:pPr>
      <w:rPr>
        <w:rFonts w:hint="default"/>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E7740BB"/>
    <w:multiLevelType w:val="hybridMultilevel"/>
    <w:tmpl w:val="8EC47524"/>
    <w:lvl w:ilvl="0" w:tplc="FB1ADE38">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6">
    <w:nsid w:val="6F887FB5"/>
    <w:multiLevelType w:val="hybridMultilevel"/>
    <w:tmpl w:val="37B0DE62"/>
    <w:lvl w:ilvl="0" w:tplc="618A558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D2E2251"/>
    <w:multiLevelType w:val="hybridMultilevel"/>
    <w:tmpl w:val="8F2C083C"/>
    <w:lvl w:ilvl="0" w:tplc="5F8E5C26">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27"/>
    <w:rsid w:val="000010F3"/>
    <w:rsid w:val="000021CC"/>
    <w:rsid w:val="00016B3F"/>
    <w:rsid w:val="000437D5"/>
    <w:rsid w:val="00052F65"/>
    <w:rsid w:val="00067551"/>
    <w:rsid w:val="000B52FE"/>
    <w:rsid w:val="000C3CF1"/>
    <w:rsid w:val="000C6516"/>
    <w:rsid w:val="000E5B88"/>
    <w:rsid w:val="000E761E"/>
    <w:rsid w:val="000F1F72"/>
    <w:rsid w:val="0010592D"/>
    <w:rsid w:val="00106430"/>
    <w:rsid w:val="0010725E"/>
    <w:rsid w:val="00122CBF"/>
    <w:rsid w:val="00135D1E"/>
    <w:rsid w:val="00152428"/>
    <w:rsid w:val="001608A8"/>
    <w:rsid w:val="001629F7"/>
    <w:rsid w:val="00162A1D"/>
    <w:rsid w:val="001633D4"/>
    <w:rsid w:val="00166879"/>
    <w:rsid w:val="00167272"/>
    <w:rsid w:val="00197857"/>
    <w:rsid w:val="001A0CBA"/>
    <w:rsid w:val="001A4A1B"/>
    <w:rsid w:val="001A6512"/>
    <w:rsid w:val="001B3272"/>
    <w:rsid w:val="001C77A4"/>
    <w:rsid w:val="001D0C9D"/>
    <w:rsid w:val="001D22D5"/>
    <w:rsid w:val="001E2AB1"/>
    <w:rsid w:val="001E4CA0"/>
    <w:rsid w:val="001F6FD8"/>
    <w:rsid w:val="00212B4B"/>
    <w:rsid w:val="00214363"/>
    <w:rsid w:val="0022194F"/>
    <w:rsid w:val="00221E91"/>
    <w:rsid w:val="002372A5"/>
    <w:rsid w:val="00240B50"/>
    <w:rsid w:val="00245DAC"/>
    <w:rsid w:val="00256540"/>
    <w:rsid w:val="00286DB0"/>
    <w:rsid w:val="0028777B"/>
    <w:rsid w:val="00294C59"/>
    <w:rsid w:val="002A3673"/>
    <w:rsid w:val="002A6C32"/>
    <w:rsid w:val="002B6700"/>
    <w:rsid w:val="002B6852"/>
    <w:rsid w:val="002C56D4"/>
    <w:rsid w:val="002D0955"/>
    <w:rsid w:val="002E49A7"/>
    <w:rsid w:val="002E618E"/>
    <w:rsid w:val="002E6E9C"/>
    <w:rsid w:val="002F0EC0"/>
    <w:rsid w:val="002F0FDF"/>
    <w:rsid w:val="002F6047"/>
    <w:rsid w:val="002F798B"/>
    <w:rsid w:val="0030565F"/>
    <w:rsid w:val="00307D5D"/>
    <w:rsid w:val="00311299"/>
    <w:rsid w:val="0031650A"/>
    <w:rsid w:val="00316614"/>
    <w:rsid w:val="00327E01"/>
    <w:rsid w:val="00332090"/>
    <w:rsid w:val="0035622E"/>
    <w:rsid w:val="00365756"/>
    <w:rsid w:val="00374077"/>
    <w:rsid w:val="00382684"/>
    <w:rsid w:val="00394194"/>
    <w:rsid w:val="0039676B"/>
    <w:rsid w:val="003B14B1"/>
    <w:rsid w:val="003D4F83"/>
    <w:rsid w:val="003D4FD0"/>
    <w:rsid w:val="003D5162"/>
    <w:rsid w:val="003D5B23"/>
    <w:rsid w:val="003E4A74"/>
    <w:rsid w:val="003F3E55"/>
    <w:rsid w:val="004047D4"/>
    <w:rsid w:val="004117C0"/>
    <w:rsid w:val="00440A61"/>
    <w:rsid w:val="0045683E"/>
    <w:rsid w:val="00474042"/>
    <w:rsid w:val="004A4208"/>
    <w:rsid w:val="004A4329"/>
    <w:rsid w:val="004A4CAB"/>
    <w:rsid w:val="004A5591"/>
    <w:rsid w:val="004B703F"/>
    <w:rsid w:val="004C01ED"/>
    <w:rsid w:val="004C7ABB"/>
    <w:rsid w:val="004D3925"/>
    <w:rsid w:val="004E1939"/>
    <w:rsid w:val="004F62C0"/>
    <w:rsid w:val="005048F4"/>
    <w:rsid w:val="0050541A"/>
    <w:rsid w:val="0051110B"/>
    <w:rsid w:val="0051528D"/>
    <w:rsid w:val="005204D5"/>
    <w:rsid w:val="0052620D"/>
    <w:rsid w:val="00531AAB"/>
    <w:rsid w:val="00533FE6"/>
    <w:rsid w:val="0056783D"/>
    <w:rsid w:val="00570BEE"/>
    <w:rsid w:val="005733BC"/>
    <w:rsid w:val="005752C4"/>
    <w:rsid w:val="00584F17"/>
    <w:rsid w:val="00590039"/>
    <w:rsid w:val="005A5B1E"/>
    <w:rsid w:val="005A6746"/>
    <w:rsid w:val="005D2AA8"/>
    <w:rsid w:val="005D47F1"/>
    <w:rsid w:val="005D76FA"/>
    <w:rsid w:val="005F74BA"/>
    <w:rsid w:val="00601411"/>
    <w:rsid w:val="006226FB"/>
    <w:rsid w:val="0062369F"/>
    <w:rsid w:val="006249BF"/>
    <w:rsid w:val="00631B95"/>
    <w:rsid w:val="00645723"/>
    <w:rsid w:val="006649F8"/>
    <w:rsid w:val="00665477"/>
    <w:rsid w:val="006849A8"/>
    <w:rsid w:val="006927A7"/>
    <w:rsid w:val="006A62CF"/>
    <w:rsid w:val="006B119F"/>
    <w:rsid w:val="006B6B6E"/>
    <w:rsid w:val="006C3A3D"/>
    <w:rsid w:val="006D6320"/>
    <w:rsid w:val="006E06A5"/>
    <w:rsid w:val="006E47F3"/>
    <w:rsid w:val="0070523A"/>
    <w:rsid w:val="0071002D"/>
    <w:rsid w:val="0073456A"/>
    <w:rsid w:val="00736FA5"/>
    <w:rsid w:val="00746CBB"/>
    <w:rsid w:val="00763B3A"/>
    <w:rsid w:val="0076419E"/>
    <w:rsid w:val="00764AEA"/>
    <w:rsid w:val="00773E17"/>
    <w:rsid w:val="00777074"/>
    <w:rsid w:val="007824DA"/>
    <w:rsid w:val="00793694"/>
    <w:rsid w:val="00794E39"/>
    <w:rsid w:val="007951AD"/>
    <w:rsid w:val="007B06E9"/>
    <w:rsid w:val="007B5A5E"/>
    <w:rsid w:val="007B650D"/>
    <w:rsid w:val="007C232C"/>
    <w:rsid w:val="007E0928"/>
    <w:rsid w:val="007F2627"/>
    <w:rsid w:val="007F74E0"/>
    <w:rsid w:val="00800A03"/>
    <w:rsid w:val="0081055A"/>
    <w:rsid w:val="008140F9"/>
    <w:rsid w:val="00830DD0"/>
    <w:rsid w:val="00837C1C"/>
    <w:rsid w:val="00844951"/>
    <w:rsid w:val="0085519E"/>
    <w:rsid w:val="00855FEF"/>
    <w:rsid w:val="0086784D"/>
    <w:rsid w:val="00887486"/>
    <w:rsid w:val="00894F44"/>
    <w:rsid w:val="008A10C3"/>
    <w:rsid w:val="008B7327"/>
    <w:rsid w:val="008C1947"/>
    <w:rsid w:val="008D7964"/>
    <w:rsid w:val="008E2325"/>
    <w:rsid w:val="008E48CE"/>
    <w:rsid w:val="008E6F2E"/>
    <w:rsid w:val="008F5122"/>
    <w:rsid w:val="00904009"/>
    <w:rsid w:val="00914FE3"/>
    <w:rsid w:val="00916096"/>
    <w:rsid w:val="0091749A"/>
    <w:rsid w:val="0093222F"/>
    <w:rsid w:val="00946086"/>
    <w:rsid w:val="00957279"/>
    <w:rsid w:val="00961233"/>
    <w:rsid w:val="00966BF9"/>
    <w:rsid w:val="009673FA"/>
    <w:rsid w:val="009843D7"/>
    <w:rsid w:val="009844B5"/>
    <w:rsid w:val="00997260"/>
    <w:rsid w:val="009D3435"/>
    <w:rsid w:val="009E275A"/>
    <w:rsid w:val="009F45D8"/>
    <w:rsid w:val="009F5E3B"/>
    <w:rsid w:val="009F7D67"/>
    <w:rsid w:val="00A15B62"/>
    <w:rsid w:val="00A334EF"/>
    <w:rsid w:val="00A4117E"/>
    <w:rsid w:val="00A50BE3"/>
    <w:rsid w:val="00A74A75"/>
    <w:rsid w:val="00A938A1"/>
    <w:rsid w:val="00AC7715"/>
    <w:rsid w:val="00AE4653"/>
    <w:rsid w:val="00AE5D48"/>
    <w:rsid w:val="00B123D2"/>
    <w:rsid w:val="00B12816"/>
    <w:rsid w:val="00B14881"/>
    <w:rsid w:val="00B15CE0"/>
    <w:rsid w:val="00B24843"/>
    <w:rsid w:val="00B26DB1"/>
    <w:rsid w:val="00B37698"/>
    <w:rsid w:val="00B47EEE"/>
    <w:rsid w:val="00B60377"/>
    <w:rsid w:val="00B84B1E"/>
    <w:rsid w:val="00B931E5"/>
    <w:rsid w:val="00BE4671"/>
    <w:rsid w:val="00BE7032"/>
    <w:rsid w:val="00BE7989"/>
    <w:rsid w:val="00C00894"/>
    <w:rsid w:val="00C05E52"/>
    <w:rsid w:val="00C10AA8"/>
    <w:rsid w:val="00C12F23"/>
    <w:rsid w:val="00C14F4E"/>
    <w:rsid w:val="00C20C89"/>
    <w:rsid w:val="00C35CA1"/>
    <w:rsid w:val="00C50DA2"/>
    <w:rsid w:val="00C523E9"/>
    <w:rsid w:val="00C63031"/>
    <w:rsid w:val="00C63F89"/>
    <w:rsid w:val="00C679AE"/>
    <w:rsid w:val="00C74AB4"/>
    <w:rsid w:val="00CA5849"/>
    <w:rsid w:val="00CA6114"/>
    <w:rsid w:val="00CB64AA"/>
    <w:rsid w:val="00CC14F5"/>
    <w:rsid w:val="00CD3511"/>
    <w:rsid w:val="00CF02E0"/>
    <w:rsid w:val="00CF2459"/>
    <w:rsid w:val="00CF43FA"/>
    <w:rsid w:val="00CF461E"/>
    <w:rsid w:val="00CF5C2C"/>
    <w:rsid w:val="00D03432"/>
    <w:rsid w:val="00D052AD"/>
    <w:rsid w:val="00D10262"/>
    <w:rsid w:val="00D922EB"/>
    <w:rsid w:val="00DA149D"/>
    <w:rsid w:val="00DB6FAE"/>
    <w:rsid w:val="00DD1D8E"/>
    <w:rsid w:val="00DD23F1"/>
    <w:rsid w:val="00DE2723"/>
    <w:rsid w:val="00DE417E"/>
    <w:rsid w:val="00DF7967"/>
    <w:rsid w:val="00E054B7"/>
    <w:rsid w:val="00E07EC9"/>
    <w:rsid w:val="00E20F7D"/>
    <w:rsid w:val="00E261D7"/>
    <w:rsid w:val="00E31937"/>
    <w:rsid w:val="00E67A3E"/>
    <w:rsid w:val="00E70FC3"/>
    <w:rsid w:val="00E74A4B"/>
    <w:rsid w:val="00E7757C"/>
    <w:rsid w:val="00E83AF7"/>
    <w:rsid w:val="00EA5E1F"/>
    <w:rsid w:val="00EC0A2D"/>
    <w:rsid w:val="00EE5D71"/>
    <w:rsid w:val="00F02C24"/>
    <w:rsid w:val="00F347A4"/>
    <w:rsid w:val="00F37C43"/>
    <w:rsid w:val="00F43368"/>
    <w:rsid w:val="00F43F26"/>
    <w:rsid w:val="00F50655"/>
    <w:rsid w:val="00F514E2"/>
    <w:rsid w:val="00F61ED8"/>
    <w:rsid w:val="00F80157"/>
    <w:rsid w:val="00F812BA"/>
    <w:rsid w:val="00F90209"/>
    <w:rsid w:val="00F94D6C"/>
    <w:rsid w:val="00F963B8"/>
    <w:rsid w:val="00FA46A0"/>
    <w:rsid w:val="00FA550A"/>
    <w:rsid w:val="00FB0146"/>
    <w:rsid w:val="00FB6BEF"/>
    <w:rsid w:val="00FB7449"/>
    <w:rsid w:val="00FC0FD9"/>
    <w:rsid w:val="00FD0286"/>
    <w:rsid w:val="00FD7F66"/>
    <w:rsid w:val="00FE18BF"/>
    <w:rsid w:val="00FF0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27"/>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1D22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5F74B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8B7327"/>
    <w:rPr>
      <w:rFonts w:ascii="Arial" w:hAnsi="Arial" w:cs="Arial"/>
      <w:sz w:val="24"/>
      <w:lang w:val="es-ES_tradnl" w:eastAsia="es-ES"/>
    </w:rPr>
  </w:style>
  <w:style w:type="paragraph" w:styleId="Corpsdetexte">
    <w:name w:val="Body Text"/>
    <w:basedOn w:val="Normal"/>
    <w:link w:val="CorpsdetexteCar"/>
    <w:rsid w:val="008B732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8B732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8B7327"/>
    <w:pPr>
      <w:tabs>
        <w:tab w:val="center" w:pos="4252"/>
        <w:tab w:val="right" w:pos="8504"/>
      </w:tabs>
    </w:pPr>
  </w:style>
  <w:style w:type="character" w:customStyle="1" w:styleId="PieddepageCar">
    <w:name w:val="Pied de page Car"/>
    <w:basedOn w:val="Policepardfaut"/>
    <w:link w:val="Pieddepage"/>
    <w:rsid w:val="008B7327"/>
    <w:rPr>
      <w:rFonts w:ascii="Times New Roman" w:eastAsia="Times New Roman" w:hAnsi="Times New Roman" w:cs="Times New Roman"/>
      <w:sz w:val="24"/>
      <w:szCs w:val="20"/>
      <w:lang w:val="es-ES_tradnl" w:eastAsia="es-ES"/>
    </w:rPr>
  </w:style>
  <w:style w:type="character" w:styleId="Numrodepage">
    <w:name w:val="page number"/>
    <w:basedOn w:val="Policepardfaut"/>
    <w:rsid w:val="008B7327"/>
  </w:style>
  <w:style w:type="paragraph" w:styleId="En-tte">
    <w:name w:val="header"/>
    <w:basedOn w:val="Normal"/>
    <w:link w:val="En-tteCar"/>
    <w:rsid w:val="008B7327"/>
    <w:pPr>
      <w:tabs>
        <w:tab w:val="center" w:pos="4252"/>
        <w:tab w:val="right" w:pos="8504"/>
      </w:tabs>
    </w:pPr>
  </w:style>
  <w:style w:type="character" w:customStyle="1" w:styleId="En-tteCar">
    <w:name w:val="En-tête Car"/>
    <w:basedOn w:val="Policepardfaut"/>
    <w:link w:val="En-tte"/>
    <w:rsid w:val="008B732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B732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8B7327"/>
    <w:pPr>
      <w:ind w:left="708"/>
    </w:pPr>
  </w:style>
  <w:style w:type="paragraph" w:styleId="Sansinterligne">
    <w:name w:val="No Spacing"/>
    <w:uiPriority w:val="1"/>
    <w:qFormat/>
    <w:rsid w:val="008B7327"/>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8B7327"/>
    <w:pPr>
      <w:spacing w:line="360" w:lineRule="auto"/>
      <w:jc w:val="both"/>
    </w:pPr>
    <w:rPr>
      <w:rFonts w:ascii="Arial" w:hAnsi="Arial"/>
    </w:rPr>
  </w:style>
  <w:style w:type="paragraph" w:customStyle="1" w:styleId="Prrafodelista2">
    <w:name w:val="Párrafo de lista2"/>
    <w:basedOn w:val="Normal"/>
    <w:rsid w:val="008B7327"/>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8B73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7327"/>
    <w:rPr>
      <w:rFonts w:ascii="Segoe UI" w:eastAsia="Times New Roman" w:hAnsi="Segoe UI" w:cs="Segoe UI"/>
      <w:sz w:val="18"/>
      <w:szCs w:val="18"/>
      <w:lang w:val="es-ES_tradnl" w:eastAsia="es-ES"/>
    </w:rPr>
  </w:style>
  <w:style w:type="paragraph" w:customStyle="1" w:styleId="Textoindependiente34">
    <w:name w:val="Texto independiente 34"/>
    <w:basedOn w:val="Normal"/>
    <w:rsid w:val="008B7327"/>
    <w:pPr>
      <w:widowControl w:val="0"/>
      <w:suppressAutoHyphens/>
      <w:spacing w:line="360" w:lineRule="auto"/>
      <w:jc w:val="both"/>
    </w:pPr>
    <w:rPr>
      <w:rFonts w:ascii="Arial" w:eastAsia="SimSun" w:hAnsi="Arial" w:cs="Arial"/>
      <w:kern w:val="2"/>
      <w:szCs w:val="24"/>
      <w:lang w:val="es-CO" w:eastAsia="zh-CN" w:bidi="hi-IN"/>
    </w:rPr>
  </w:style>
  <w:style w:type="paragraph" w:customStyle="1" w:styleId="bodytext21">
    <w:name w:val="bodytext21"/>
    <w:basedOn w:val="Normal"/>
    <w:rsid w:val="008B7327"/>
    <w:pPr>
      <w:spacing w:before="100" w:beforeAutospacing="1" w:after="100" w:afterAutospacing="1"/>
    </w:pPr>
    <w:rPr>
      <w:szCs w:val="24"/>
      <w:lang w:val="es-CO" w:eastAsia="es-CO"/>
    </w:rPr>
  </w:style>
  <w:style w:type="character" w:customStyle="1" w:styleId="Titre1Car">
    <w:name w:val="Titre 1 Car"/>
    <w:basedOn w:val="Policepardfaut"/>
    <w:link w:val="Titre1"/>
    <w:uiPriority w:val="9"/>
    <w:rsid w:val="001D22D5"/>
    <w:rPr>
      <w:rFonts w:asciiTheme="majorHAnsi" w:eastAsiaTheme="majorEastAsia" w:hAnsiTheme="majorHAnsi" w:cstheme="majorBidi"/>
      <w:color w:val="2E74B5" w:themeColor="accent1" w:themeShade="BF"/>
      <w:sz w:val="32"/>
      <w:szCs w:val="32"/>
      <w:lang w:val="es-ES_tradnl" w:eastAsia="es-ES"/>
    </w:rPr>
  </w:style>
  <w:style w:type="paragraph" w:customStyle="1" w:styleId="Yo">
    <w:name w:val="Yo"/>
    <w:basedOn w:val="Titre3"/>
    <w:rsid w:val="005F74BA"/>
    <w:pPr>
      <w:keepLines w:val="0"/>
      <w:widowControl w:val="0"/>
      <w:numPr>
        <w:numId w:val="8"/>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5F74BA"/>
    <w:rPr>
      <w:rFonts w:asciiTheme="majorHAnsi" w:eastAsiaTheme="majorEastAsia" w:hAnsiTheme="majorHAnsi" w:cstheme="majorBidi"/>
      <w:color w:val="1F4D78" w:themeColor="accent1" w:themeShade="7F"/>
      <w:sz w:val="24"/>
      <w:szCs w:val="24"/>
      <w:lang w:val="es-ES_tradnl" w:eastAsia="es-ES"/>
    </w:rPr>
  </w:style>
  <w:style w:type="paragraph" w:styleId="Notedebasdepage">
    <w:name w:val="footnote text"/>
    <w:basedOn w:val="Normal"/>
    <w:link w:val="NotedebasdepageCar"/>
    <w:uiPriority w:val="99"/>
    <w:semiHidden/>
    <w:unhideWhenUsed/>
    <w:rsid w:val="002E49A7"/>
    <w:rPr>
      <w:sz w:val="20"/>
    </w:rPr>
  </w:style>
  <w:style w:type="character" w:customStyle="1" w:styleId="NotedebasdepageCar">
    <w:name w:val="Note de bas de page Car"/>
    <w:basedOn w:val="Policepardfaut"/>
    <w:link w:val="Notedebasdepage"/>
    <w:uiPriority w:val="99"/>
    <w:semiHidden/>
    <w:rsid w:val="002E49A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2E49A7"/>
    <w:rPr>
      <w:vertAlign w:val="superscript"/>
    </w:rPr>
  </w:style>
  <w:style w:type="paragraph" w:customStyle="1" w:styleId="Textoindependiente21">
    <w:name w:val="Texto independiente 21"/>
    <w:basedOn w:val="Normal"/>
    <w:link w:val="BodyText2Car"/>
    <w:rsid w:val="00FC0FD9"/>
    <w:pPr>
      <w:spacing w:line="480" w:lineRule="auto"/>
      <w:ind w:firstLine="708"/>
      <w:jc w:val="both"/>
    </w:pPr>
    <w:rPr>
      <w:rFonts w:ascii="Arial" w:hAnsi="Arial"/>
      <w:b/>
    </w:rPr>
  </w:style>
  <w:style w:type="character" w:customStyle="1" w:styleId="BodyText2Car">
    <w:name w:val="Body Text 2 Car"/>
    <w:link w:val="Textoindependiente21"/>
    <w:rsid w:val="00FC0FD9"/>
    <w:rPr>
      <w:rFonts w:ascii="Arial" w:eastAsia="Times New Roman" w:hAnsi="Arial" w:cs="Times New Roman"/>
      <w:b/>
      <w:sz w:val="24"/>
      <w:szCs w:val="20"/>
      <w:lang w:val="es-ES_tradnl" w:eastAsia="es-ES"/>
    </w:rPr>
  </w:style>
  <w:style w:type="paragraph" w:customStyle="1" w:styleId="Textoindependiente32">
    <w:name w:val="Texto independiente 32"/>
    <w:basedOn w:val="Normal"/>
    <w:rsid w:val="005D76FA"/>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27"/>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1D22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5F74B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8B7327"/>
    <w:rPr>
      <w:rFonts w:ascii="Arial" w:hAnsi="Arial" w:cs="Arial"/>
      <w:sz w:val="24"/>
      <w:lang w:val="es-ES_tradnl" w:eastAsia="es-ES"/>
    </w:rPr>
  </w:style>
  <w:style w:type="paragraph" w:styleId="Corpsdetexte">
    <w:name w:val="Body Text"/>
    <w:basedOn w:val="Normal"/>
    <w:link w:val="CorpsdetexteCar"/>
    <w:rsid w:val="008B732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8B732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8B7327"/>
    <w:pPr>
      <w:tabs>
        <w:tab w:val="center" w:pos="4252"/>
        <w:tab w:val="right" w:pos="8504"/>
      </w:tabs>
    </w:pPr>
  </w:style>
  <w:style w:type="character" w:customStyle="1" w:styleId="PieddepageCar">
    <w:name w:val="Pied de page Car"/>
    <w:basedOn w:val="Policepardfaut"/>
    <w:link w:val="Pieddepage"/>
    <w:rsid w:val="008B7327"/>
    <w:rPr>
      <w:rFonts w:ascii="Times New Roman" w:eastAsia="Times New Roman" w:hAnsi="Times New Roman" w:cs="Times New Roman"/>
      <w:sz w:val="24"/>
      <w:szCs w:val="20"/>
      <w:lang w:val="es-ES_tradnl" w:eastAsia="es-ES"/>
    </w:rPr>
  </w:style>
  <w:style w:type="character" w:styleId="Numrodepage">
    <w:name w:val="page number"/>
    <w:basedOn w:val="Policepardfaut"/>
    <w:rsid w:val="008B7327"/>
  </w:style>
  <w:style w:type="paragraph" w:styleId="En-tte">
    <w:name w:val="header"/>
    <w:basedOn w:val="Normal"/>
    <w:link w:val="En-tteCar"/>
    <w:rsid w:val="008B7327"/>
    <w:pPr>
      <w:tabs>
        <w:tab w:val="center" w:pos="4252"/>
        <w:tab w:val="right" w:pos="8504"/>
      </w:tabs>
    </w:pPr>
  </w:style>
  <w:style w:type="character" w:customStyle="1" w:styleId="En-tteCar">
    <w:name w:val="En-tête Car"/>
    <w:basedOn w:val="Policepardfaut"/>
    <w:link w:val="En-tte"/>
    <w:rsid w:val="008B732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B732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8B7327"/>
    <w:pPr>
      <w:ind w:left="708"/>
    </w:pPr>
  </w:style>
  <w:style w:type="paragraph" w:styleId="Sansinterligne">
    <w:name w:val="No Spacing"/>
    <w:uiPriority w:val="1"/>
    <w:qFormat/>
    <w:rsid w:val="008B7327"/>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8B7327"/>
    <w:pPr>
      <w:spacing w:line="360" w:lineRule="auto"/>
      <w:jc w:val="both"/>
    </w:pPr>
    <w:rPr>
      <w:rFonts w:ascii="Arial" w:hAnsi="Arial"/>
    </w:rPr>
  </w:style>
  <w:style w:type="paragraph" w:customStyle="1" w:styleId="Prrafodelista2">
    <w:name w:val="Párrafo de lista2"/>
    <w:basedOn w:val="Normal"/>
    <w:rsid w:val="008B7327"/>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8B73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7327"/>
    <w:rPr>
      <w:rFonts w:ascii="Segoe UI" w:eastAsia="Times New Roman" w:hAnsi="Segoe UI" w:cs="Segoe UI"/>
      <w:sz w:val="18"/>
      <w:szCs w:val="18"/>
      <w:lang w:val="es-ES_tradnl" w:eastAsia="es-ES"/>
    </w:rPr>
  </w:style>
  <w:style w:type="paragraph" w:customStyle="1" w:styleId="Textoindependiente34">
    <w:name w:val="Texto independiente 34"/>
    <w:basedOn w:val="Normal"/>
    <w:rsid w:val="008B7327"/>
    <w:pPr>
      <w:widowControl w:val="0"/>
      <w:suppressAutoHyphens/>
      <w:spacing w:line="360" w:lineRule="auto"/>
      <w:jc w:val="both"/>
    </w:pPr>
    <w:rPr>
      <w:rFonts w:ascii="Arial" w:eastAsia="SimSun" w:hAnsi="Arial" w:cs="Arial"/>
      <w:kern w:val="2"/>
      <w:szCs w:val="24"/>
      <w:lang w:val="es-CO" w:eastAsia="zh-CN" w:bidi="hi-IN"/>
    </w:rPr>
  </w:style>
  <w:style w:type="paragraph" w:customStyle="1" w:styleId="bodytext21">
    <w:name w:val="bodytext21"/>
    <w:basedOn w:val="Normal"/>
    <w:rsid w:val="008B7327"/>
    <w:pPr>
      <w:spacing w:before="100" w:beforeAutospacing="1" w:after="100" w:afterAutospacing="1"/>
    </w:pPr>
    <w:rPr>
      <w:szCs w:val="24"/>
      <w:lang w:val="es-CO" w:eastAsia="es-CO"/>
    </w:rPr>
  </w:style>
  <w:style w:type="character" w:customStyle="1" w:styleId="Titre1Car">
    <w:name w:val="Titre 1 Car"/>
    <w:basedOn w:val="Policepardfaut"/>
    <w:link w:val="Titre1"/>
    <w:uiPriority w:val="9"/>
    <w:rsid w:val="001D22D5"/>
    <w:rPr>
      <w:rFonts w:asciiTheme="majorHAnsi" w:eastAsiaTheme="majorEastAsia" w:hAnsiTheme="majorHAnsi" w:cstheme="majorBidi"/>
      <w:color w:val="2E74B5" w:themeColor="accent1" w:themeShade="BF"/>
      <w:sz w:val="32"/>
      <w:szCs w:val="32"/>
      <w:lang w:val="es-ES_tradnl" w:eastAsia="es-ES"/>
    </w:rPr>
  </w:style>
  <w:style w:type="paragraph" w:customStyle="1" w:styleId="Yo">
    <w:name w:val="Yo"/>
    <w:basedOn w:val="Titre3"/>
    <w:rsid w:val="005F74BA"/>
    <w:pPr>
      <w:keepLines w:val="0"/>
      <w:widowControl w:val="0"/>
      <w:numPr>
        <w:numId w:val="8"/>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5F74BA"/>
    <w:rPr>
      <w:rFonts w:asciiTheme="majorHAnsi" w:eastAsiaTheme="majorEastAsia" w:hAnsiTheme="majorHAnsi" w:cstheme="majorBidi"/>
      <w:color w:val="1F4D78" w:themeColor="accent1" w:themeShade="7F"/>
      <w:sz w:val="24"/>
      <w:szCs w:val="24"/>
      <w:lang w:val="es-ES_tradnl" w:eastAsia="es-ES"/>
    </w:rPr>
  </w:style>
  <w:style w:type="paragraph" w:styleId="Notedebasdepage">
    <w:name w:val="footnote text"/>
    <w:basedOn w:val="Normal"/>
    <w:link w:val="NotedebasdepageCar"/>
    <w:uiPriority w:val="99"/>
    <w:semiHidden/>
    <w:unhideWhenUsed/>
    <w:rsid w:val="002E49A7"/>
    <w:rPr>
      <w:sz w:val="20"/>
    </w:rPr>
  </w:style>
  <w:style w:type="character" w:customStyle="1" w:styleId="NotedebasdepageCar">
    <w:name w:val="Note de bas de page Car"/>
    <w:basedOn w:val="Policepardfaut"/>
    <w:link w:val="Notedebasdepage"/>
    <w:uiPriority w:val="99"/>
    <w:semiHidden/>
    <w:rsid w:val="002E49A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2E49A7"/>
    <w:rPr>
      <w:vertAlign w:val="superscript"/>
    </w:rPr>
  </w:style>
  <w:style w:type="paragraph" w:customStyle="1" w:styleId="Textoindependiente21">
    <w:name w:val="Texto independiente 21"/>
    <w:basedOn w:val="Normal"/>
    <w:link w:val="BodyText2Car"/>
    <w:rsid w:val="00FC0FD9"/>
    <w:pPr>
      <w:spacing w:line="480" w:lineRule="auto"/>
      <w:ind w:firstLine="708"/>
      <w:jc w:val="both"/>
    </w:pPr>
    <w:rPr>
      <w:rFonts w:ascii="Arial" w:hAnsi="Arial"/>
      <w:b/>
    </w:rPr>
  </w:style>
  <w:style w:type="character" w:customStyle="1" w:styleId="BodyText2Car">
    <w:name w:val="Body Text 2 Car"/>
    <w:link w:val="Textoindependiente21"/>
    <w:rsid w:val="00FC0FD9"/>
    <w:rPr>
      <w:rFonts w:ascii="Arial" w:eastAsia="Times New Roman" w:hAnsi="Arial" w:cs="Times New Roman"/>
      <w:b/>
      <w:sz w:val="24"/>
      <w:szCs w:val="20"/>
      <w:lang w:val="es-ES_tradnl" w:eastAsia="es-ES"/>
    </w:rPr>
  </w:style>
  <w:style w:type="paragraph" w:customStyle="1" w:styleId="Textoindependiente32">
    <w:name w:val="Texto independiente 32"/>
    <w:basedOn w:val="Normal"/>
    <w:rsid w:val="005D76FA"/>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58035">
      <w:bodyDiv w:val="1"/>
      <w:marLeft w:val="0"/>
      <w:marRight w:val="0"/>
      <w:marTop w:val="0"/>
      <w:marBottom w:val="0"/>
      <w:divBdr>
        <w:top w:val="none" w:sz="0" w:space="0" w:color="auto"/>
        <w:left w:val="none" w:sz="0" w:space="0" w:color="auto"/>
        <w:bottom w:val="none" w:sz="0" w:space="0" w:color="auto"/>
        <w:right w:val="none" w:sz="0" w:space="0" w:color="auto"/>
      </w:divBdr>
    </w:div>
    <w:div w:id="1287661770">
      <w:bodyDiv w:val="1"/>
      <w:marLeft w:val="0"/>
      <w:marRight w:val="0"/>
      <w:marTop w:val="0"/>
      <w:marBottom w:val="0"/>
      <w:divBdr>
        <w:top w:val="none" w:sz="0" w:space="0" w:color="auto"/>
        <w:left w:val="none" w:sz="0" w:space="0" w:color="auto"/>
        <w:bottom w:val="none" w:sz="0" w:space="0" w:color="auto"/>
        <w:right w:val="none" w:sz="0" w:space="0" w:color="auto"/>
      </w:divBdr>
    </w:div>
    <w:div w:id="15068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10CE-D3A4-42E4-BA1A-96DE9624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13</Pages>
  <Words>3938</Words>
  <Characters>21662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160</cp:revision>
  <dcterms:created xsi:type="dcterms:W3CDTF">2017-03-01T12:21:00Z</dcterms:created>
  <dcterms:modified xsi:type="dcterms:W3CDTF">2017-05-15T02:10:00Z</dcterms:modified>
</cp:coreProperties>
</file>