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09" w:rsidRPr="0094372D" w:rsidRDefault="00E44509" w:rsidP="00E4450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E44509" w:rsidRPr="00E44509" w:rsidRDefault="00E44509" w:rsidP="00DA5D26">
      <w:pPr>
        <w:spacing w:line="360" w:lineRule="auto"/>
        <w:jc w:val="both"/>
        <w:rPr>
          <w:rFonts w:ascii="Arial Narrow" w:hAnsi="Arial Narrow" w:cs="Arial"/>
          <w:b/>
          <w:bCs/>
          <w:i/>
          <w:iCs/>
          <w:sz w:val="20"/>
          <w:u w:val="single"/>
          <w:lang w:val="es-CO"/>
        </w:rPr>
      </w:pPr>
    </w:p>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ansinterligne"/>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752B07">
        <w:rPr>
          <w:rFonts w:ascii="Arial Narrow" w:hAnsi="Arial Narrow" w:cs="Arial"/>
          <w:i/>
          <w:sz w:val="18"/>
          <w:szCs w:val="18"/>
        </w:rPr>
        <w:t>23</w:t>
      </w:r>
      <w:r w:rsidRPr="00DA5D26">
        <w:rPr>
          <w:rFonts w:ascii="Arial Narrow" w:hAnsi="Arial Narrow" w:cs="Arial"/>
          <w:i/>
          <w:sz w:val="18"/>
          <w:szCs w:val="18"/>
        </w:rPr>
        <w:t xml:space="preserve"> de </w:t>
      </w:r>
      <w:r w:rsidR="00752B07">
        <w:rPr>
          <w:rFonts w:ascii="Arial Narrow" w:hAnsi="Arial Narrow" w:cs="Arial"/>
          <w:i/>
          <w:sz w:val="18"/>
          <w:szCs w:val="18"/>
        </w:rPr>
        <w:t>marzo</w:t>
      </w:r>
      <w:r w:rsidRPr="00DA5D26">
        <w:rPr>
          <w:rFonts w:ascii="Arial Narrow" w:hAnsi="Arial Narrow" w:cs="Arial"/>
          <w:i/>
          <w:sz w:val="18"/>
          <w:szCs w:val="18"/>
        </w:rPr>
        <w:t xml:space="preserve"> de 201</w:t>
      </w:r>
      <w:r w:rsidR="00752B07">
        <w:rPr>
          <w:rFonts w:ascii="Arial Narrow" w:hAnsi="Arial Narrow" w:cs="Arial"/>
          <w:i/>
          <w:sz w:val="18"/>
          <w:szCs w:val="18"/>
        </w:rPr>
        <w:t>7</w:t>
      </w:r>
      <w:r w:rsidRPr="00DA5D26">
        <w:rPr>
          <w:rFonts w:ascii="Arial Narrow" w:hAnsi="Arial Narrow" w:cs="Arial"/>
          <w:i/>
          <w:sz w:val="18"/>
          <w:szCs w:val="18"/>
        </w:rPr>
        <w:t>.</w:t>
      </w:r>
    </w:p>
    <w:p w:rsidR="00E44509" w:rsidRPr="00DA5D26" w:rsidRDefault="00E44509" w:rsidP="00E44509">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Pr>
          <w:rFonts w:ascii="Arial Narrow" w:hAnsi="Arial Narrow" w:cs="Arial"/>
          <w:i/>
          <w:iCs/>
          <w:sz w:val="18"/>
          <w:szCs w:val="18"/>
        </w:rPr>
        <w:t>Ordinario Laboral – Confirma sentencia que negó las pretensiones</w:t>
      </w:r>
      <w:bookmarkStart w:id="0" w:name="_GoBack"/>
      <w:bookmarkEnd w:id="0"/>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752B07">
        <w:rPr>
          <w:rFonts w:ascii="Arial Narrow" w:hAnsi="Arial Narrow" w:cs="Arial"/>
          <w:bCs/>
          <w:i/>
          <w:sz w:val="18"/>
          <w:szCs w:val="18"/>
        </w:rPr>
        <w:t>5</w:t>
      </w:r>
      <w:r>
        <w:rPr>
          <w:rFonts w:ascii="Arial Narrow" w:hAnsi="Arial Narrow" w:cs="Arial"/>
          <w:bCs/>
          <w:i/>
          <w:sz w:val="18"/>
          <w:szCs w:val="18"/>
        </w:rPr>
        <w:t>-2014-00</w:t>
      </w:r>
      <w:r w:rsidR="00752B07">
        <w:rPr>
          <w:rFonts w:ascii="Arial Narrow" w:hAnsi="Arial Narrow" w:cs="Arial"/>
          <w:bCs/>
          <w:i/>
          <w:sz w:val="18"/>
          <w:szCs w:val="18"/>
        </w:rPr>
        <w:t>726</w:t>
      </w:r>
      <w:r>
        <w:rPr>
          <w:rFonts w:ascii="Arial Narrow" w:hAnsi="Arial Narrow" w:cs="Arial"/>
          <w:bCs/>
          <w:i/>
          <w:sz w:val="18"/>
          <w:szCs w:val="18"/>
        </w:rPr>
        <w:t>-01</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752B07">
        <w:rPr>
          <w:rFonts w:ascii="Arial Narrow" w:hAnsi="Arial Narrow" w:cs="Arial"/>
          <w:i/>
          <w:iCs/>
          <w:sz w:val="18"/>
          <w:szCs w:val="18"/>
        </w:rPr>
        <w:t>Luz Mary Valencia Correa</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752B07">
        <w:rPr>
          <w:rFonts w:ascii="Arial Narrow" w:hAnsi="Arial Narrow" w:cs="Arial"/>
          <w:i/>
          <w:sz w:val="18"/>
          <w:szCs w:val="18"/>
        </w:rPr>
        <w:t>Quinto</w:t>
      </w:r>
      <w:r w:rsidRPr="00DA5D26">
        <w:rPr>
          <w:rFonts w:ascii="Arial Narrow" w:hAnsi="Arial Narrow" w:cs="Arial"/>
          <w:i/>
          <w:sz w:val="18"/>
          <w:szCs w:val="18"/>
        </w:rPr>
        <w:t xml:space="preserve"> Laboral del Circuito de Pereira.</w:t>
      </w:r>
    </w:p>
    <w:p w:rsidR="00DA5D26" w:rsidRDefault="00DA5D26" w:rsidP="00DA5D26">
      <w:pPr>
        <w:jc w:val="both"/>
        <w:rPr>
          <w:rFonts w:ascii="Arial Narrow" w:hAnsi="Arial Narrow" w:cs="Arial"/>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E44509" w:rsidRPr="00DA5D26" w:rsidRDefault="00E44509" w:rsidP="00DA5D26">
      <w:pPr>
        <w:jc w:val="both"/>
        <w:rPr>
          <w:rFonts w:ascii="Arial Narrow" w:hAnsi="Arial Narrow" w:cs="Arial"/>
          <w:b/>
          <w:i/>
          <w:iCs/>
          <w:sz w:val="18"/>
          <w:szCs w:val="18"/>
        </w:rPr>
      </w:pPr>
    </w:p>
    <w:p w:rsidR="00DA5D26" w:rsidRPr="00111030" w:rsidRDefault="00DA5D26" w:rsidP="00E719F0">
      <w:pPr>
        <w:spacing w:before="20" w:after="20"/>
        <w:ind w:left="2124" w:hanging="2124"/>
        <w:jc w:val="both"/>
        <w:rPr>
          <w:rFonts w:ascii="Arial Narrow" w:hAnsi="Arial Narrow" w:cs="Arial"/>
          <w:bCs/>
          <w:i/>
          <w:color w:val="FF0000"/>
          <w:sz w:val="18"/>
          <w:szCs w:val="18"/>
          <w:lang w:val="es-CO"/>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E44509">
        <w:rPr>
          <w:rFonts w:ascii="Arial Narrow" w:hAnsi="Arial Narrow" w:cs="Arial"/>
          <w:b/>
          <w:bCs/>
          <w:i/>
          <w:sz w:val="18"/>
          <w:szCs w:val="18"/>
        </w:rPr>
        <w:t>RETROACTIVO PENSIONAL. PRESCRIPCIÓN. CONTABILIZACIÓN E INTERRUPCIÓN.</w:t>
      </w:r>
      <w:r w:rsidR="00111030">
        <w:rPr>
          <w:rFonts w:ascii="Arial Narrow" w:hAnsi="Arial Narrow" w:cs="Arial"/>
          <w:b/>
          <w:bCs/>
          <w:i/>
          <w:sz w:val="18"/>
          <w:szCs w:val="18"/>
        </w:rPr>
        <w:t xml:space="preserve"> </w:t>
      </w:r>
      <w:r w:rsidR="00E719F0" w:rsidRPr="00E719F0">
        <w:rPr>
          <w:rFonts w:ascii="Arial Narrow" w:hAnsi="Arial Narrow" w:cs="Arial"/>
          <w:bCs/>
          <w:i/>
          <w:sz w:val="18"/>
          <w:szCs w:val="18"/>
        </w:rPr>
        <w:t>Y es que se hace necesario precisar que cuando se agota la reclamación pensional, se incluye en ella todo lo atinente al valor de la prestación, el disfrute de la misma y todos los demás aspectos que estén estrechamente unidos a la prestación misma, por lo que con la decisión que adopte el fondo de pensiones, se entiende comprendida y agotada la reclamación tanto en el reconocimiento del derecho, como en todo lo accesorio al mismo, y como en virtud de las normas citadas, solo es posible interrumpir por una vez el término trienal de prescripción, pues el paso que debe seguirse es el de agotar la reclamación judicial, no nuevamente reclamar a la entidad, quien ya manifestó su decisión.</w:t>
      </w: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ansinterligne"/>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AA292C">
        <w:rPr>
          <w:rFonts w:ascii="Arial Narrow" w:eastAsia="Calibri" w:hAnsi="Arial Narrow" w:cs="Arial"/>
          <w:sz w:val="28"/>
          <w:szCs w:val="28"/>
          <w:lang w:val="es-CO" w:eastAsia="en-US"/>
        </w:rPr>
        <w:t>veinti</w:t>
      </w:r>
      <w:r w:rsidR="00752B07">
        <w:rPr>
          <w:rFonts w:ascii="Arial Narrow" w:eastAsia="Calibri" w:hAnsi="Arial Narrow" w:cs="Arial"/>
          <w:sz w:val="28"/>
          <w:szCs w:val="28"/>
          <w:lang w:val="es-CO" w:eastAsia="en-US"/>
        </w:rPr>
        <w:t>trés</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2</w:t>
      </w:r>
      <w:r w:rsidR="00752B07">
        <w:rPr>
          <w:rFonts w:ascii="Arial Narrow" w:eastAsia="Calibri" w:hAnsi="Arial Narrow" w:cs="Arial"/>
          <w:sz w:val="28"/>
          <w:szCs w:val="28"/>
          <w:lang w:val="es-CO" w:eastAsia="en-US"/>
        </w:rPr>
        <w:t>3</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752B07">
        <w:rPr>
          <w:rFonts w:ascii="Arial Narrow" w:eastAsia="Calibri" w:hAnsi="Arial Narrow" w:cs="Arial"/>
          <w:sz w:val="28"/>
          <w:szCs w:val="28"/>
          <w:lang w:val="es-CO" w:eastAsia="en-US"/>
        </w:rPr>
        <w:t>marzo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w:t>
      </w:r>
      <w:r w:rsidR="00752B07">
        <w:rPr>
          <w:rFonts w:ascii="Arial Narrow" w:eastAsia="Calibri" w:hAnsi="Arial Narrow" w:cs="Arial"/>
          <w:sz w:val="28"/>
          <w:szCs w:val="28"/>
          <w:lang w:val="es-CO" w:eastAsia="en-US"/>
        </w:rPr>
        <w:t>iete</w:t>
      </w:r>
      <w:r w:rsidRPr="00B02E05">
        <w:rPr>
          <w:rFonts w:ascii="Arial Narrow" w:eastAsia="Calibri" w:hAnsi="Arial Narrow" w:cs="Arial"/>
          <w:sz w:val="28"/>
          <w:szCs w:val="28"/>
          <w:lang w:val="es-CO" w:eastAsia="en-US"/>
        </w:rPr>
        <w:t xml:space="preserve"> (201</w:t>
      </w:r>
      <w:r w:rsidR="00752B07">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sidR="00752B07">
        <w:rPr>
          <w:rFonts w:ascii="Arial Narrow" w:eastAsia="Calibri" w:hAnsi="Arial Narrow" w:cs="Arial"/>
          <w:sz w:val="28"/>
          <w:szCs w:val="28"/>
          <w:lang w:val="es-CO" w:eastAsia="en-US"/>
        </w:rPr>
        <w:t>nueve</w:t>
      </w:r>
      <w:r w:rsidR="00666823">
        <w:rPr>
          <w:rFonts w:ascii="Arial Narrow" w:eastAsia="Calibri" w:hAnsi="Arial Narrow" w:cs="Arial"/>
          <w:sz w:val="28"/>
          <w:szCs w:val="28"/>
          <w:lang w:val="es-CO" w:eastAsia="en-US"/>
        </w:rPr>
        <w:t xml:space="preserve"> y </w:t>
      </w:r>
      <w:r w:rsidR="00752B07">
        <w:rPr>
          <w:rFonts w:ascii="Arial Narrow" w:eastAsia="Calibri" w:hAnsi="Arial Narrow" w:cs="Arial"/>
          <w:sz w:val="28"/>
          <w:szCs w:val="28"/>
          <w:lang w:val="es-CO" w:eastAsia="en-US"/>
        </w:rPr>
        <w:t>cuarenta y cinco</w:t>
      </w:r>
      <w:r>
        <w:rPr>
          <w:rFonts w:ascii="Arial Narrow" w:eastAsia="Calibri" w:hAnsi="Arial Narrow" w:cs="Arial"/>
          <w:sz w:val="28"/>
          <w:szCs w:val="28"/>
          <w:lang w:val="es-CO" w:eastAsia="en-US"/>
        </w:rPr>
        <w:t xml:space="preserve"> de la mañana (</w:t>
      </w:r>
      <w:r w:rsidR="00752B07">
        <w:rPr>
          <w:rFonts w:ascii="Arial Narrow" w:eastAsia="Calibri" w:hAnsi="Arial Narrow" w:cs="Arial"/>
          <w:sz w:val="28"/>
          <w:szCs w:val="28"/>
          <w:lang w:val="es-CO" w:eastAsia="en-US"/>
        </w:rPr>
        <w:t>9</w:t>
      </w:r>
      <w:r>
        <w:rPr>
          <w:rFonts w:ascii="Arial Narrow" w:eastAsia="Calibri" w:hAnsi="Arial Narrow" w:cs="Arial"/>
          <w:sz w:val="28"/>
          <w:szCs w:val="28"/>
          <w:lang w:val="es-CO" w:eastAsia="en-US"/>
        </w:rPr>
        <w:t>:</w:t>
      </w:r>
      <w:r w:rsidR="00752B07">
        <w:rPr>
          <w:rFonts w:ascii="Arial Narrow" w:eastAsia="Calibri" w:hAnsi="Arial Narrow" w:cs="Arial"/>
          <w:sz w:val="28"/>
          <w:szCs w:val="28"/>
          <w:lang w:val="es-CO" w:eastAsia="en-US"/>
        </w:rPr>
        <w:t>45</w:t>
      </w:r>
      <w:r>
        <w:rPr>
          <w:rFonts w:ascii="Arial Narrow" w:eastAsia="Calibri" w:hAnsi="Arial Narrow" w:cs="Arial"/>
          <w:sz w:val="28"/>
          <w:szCs w:val="28"/>
          <w:lang w:val="es-CO" w:eastAsia="en-US"/>
        </w:rPr>
        <w:t xml:space="preserve"> </w:t>
      </w:r>
      <w:proofErr w:type="spellStart"/>
      <w:r>
        <w:rPr>
          <w:rFonts w:ascii="Arial Narrow" w:eastAsia="Calibri" w:hAnsi="Arial Narrow" w:cs="Arial"/>
          <w:sz w:val="28"/>
          <w:szCs w:val="28"/>
          <w:lang w:val="es-CO" w:eastAsia="en-US"/>
        </w:rPr>
        <w:t>a.m</w:t>
      </w:r>
      <w:proofErr w:type="spellEnd"/>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sidR="00752B07">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sidR="00752B07">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sidR="00752B07">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de la Sala </w:t>
      </w:r>
      <w:r w:rsidR="00752B0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w:t>
      </w:r>
      <w:r w:rsidR="00752B07">
        <w:rPr>
          <w:rFonts w:ascii="Arial Narrow" w:hAnsi="Arial Narrow" w:cs="Tahoma"/>
          <w:bCs/>
          <w:color w:val="000000"/>
          <w:sz w:val="28"/>
          <w:szCs w:val="28"/>
          <w:lang w:eastAsia="es-CO"/>
        </w:rPr>
        <w:t xml:space="preserve">No. 03 </w:t>
      </w:r>
      <w:r w:rsidRPr="00B02E05">
        <w:rPr>
          <w:rFonts w:ascii="Arial Narrow" w:hAnsi="Arial Narrow" w:cs="Tahoma"/>
          <w:bCs/>
          <w:color w:val="000000"/>
          <w:sz w:val="28"/>
          <w:szCs w:val="28"/>
          <w:lang w:eastAsia="es-CO"/>
        </w:rPr>
        <w:t xml:space="preserve">del Tribunal Superior de Pereira, el ponente declara formalmente abierto el acto, que tiene por objeto resolver el </w:t>
      </w:r>
      <w:r w:rsidR="00752B07">
        <w:rPr>
          <w:rFonts w:ascii="Arial Narrow" w:hAnsi="Arial Narrow" w:cs="Tahoma"/>
          <w:bCs/>
          <w:color w:val="000000"/>
          <w:sz w:val="28"/>
          <w:szCs w:val="28"/>
          <w:lang w:eastAsia="es-CO"/>
        </w:rPr>
        <w:t xml:space="preserve">recurso de apelación propuesto por la parte demandante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752B07">
        <w:rPr>
          <w:rFonts w:ascii="Arial Narrow" w:hAnsi="Arial Narrow" w:cs="Arial"/>
          <w:sz w:val="28"/>
          <w:szCs w:val="28"/>
        </w:rPr>
        <w:t>13</w:t>
      </w:r>
      <w:r>
        <w:rPr>
          <w:rFonts w:ascii="Arial Narrow" w:hAnsi="Arial Narrow" w:cs="Arial"/>
          <w:sz w:val="28"/>
          <w:szCs w:val="28"/>
        </w:rPr>
        <w:t xml:space="preserve"> de </w:t>
      </w:r>
      <w:r w:rsidR="00752B07">
        <w:rPr>
          <w:rFonts w:ascii="Arial Narrow" w:hAnsi="Arial Narrow" w:cs="Arial"/>
          <w:sz w:val="28"/>
          <w:szCs w:val="28"/>
        </w:rPr>
        <w:t>abril</w:t>
      </w:r>
      <w:r>
        <w:rPr>
          <w:rFonts w:ascii="Arial Narrow" w:hAnsi="Arial Narrow" w:cs="Arial"/>
          <w:sz w:val="28"/>
          <w:szCs w:val="28"/>
        </w:rPr>
        <w:t xml:space="preserve"> de 201</w:t>
      </w:r>
      <w:r w:rsidR="00752B07">
        <w:rPr>
          <w:rFonts w:ascii="Arial Narrow" w:hAnsi="Arial Narrow" w:cs="Arial"/>
          <w:sz w:val="28"/>
          <w:szCs w:val="28"/>
        </w:rPr>
        <w:t>6</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752B07">
        <w:rPr>
          <w:rFonts w:ascii="Arial Narrow" w:hAnsi="Arial Narrow" w:cs="Arial"/>
          <w:sz w:val="28"/>
          <w:szCs w:val="28"/>
        </w:rPr>
        <w:t>Quinto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752B07">
        <w:rPr>
          <w:rFonts w:ascii="Arial Narrow" w:hAnsi="Arial Narrow" w:cs="Arial"/>
          <w:b/>
          <w:i/>
          <w:iCs/>
          <w:sz w:val="28"/>
          <w:szCs w:val="28"/>
        </w:rPr>
        <w:t>Luz Mary Valencia Correa</w:t>
      </w:r>
      <w:r w:rsidR="00AA292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Default="00DA5D26" w:rsidP="000A6EA4">
      <w:pPr>
        <w:pStyle w:val="Sansinterligne"/>
      </w:pPr>
    </w:p>
    <w:p w:rsidR="002B73FA" w:rsidRPr="00B02E05" w:rsidRDefault="002B73FA" w:rsidP="000A6EA4">
      <w:pPr>
        <w:pStyle w:val="Sansinterligne"/>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aragraphedeliste"/>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ansinterligne"/>
      </w:pPr>
    </w:p>
    <w:p w:rsidR="002B73FA" w:rsidRPr="000A6EA4" w:rsidRDefault="002B73FA" w:rsidP="000A6EA4">
      <w:pPr>
        <w:pStyle w:val="Sansinterligne"/>
      </w:pPr>
    </w:p>
    <w:p w:rsidR="00752B07" w:rsidRDefault="00AA292C" w:rsidP="00DA5D26">
      <w:pPr>
        <w:spacing w:line="360" w:lineRule="auto"/>
        <w:ind w:firstLine="900"/>
        <w:jc w:val="both"/>
        <w:rPr>
          <w:rFonts w:ascii="Arial Narrow" w:hAnsi="Arial Narrow" w:cs="Tahoma"/>
          <w:sz w:val="28"/>
          <w:szCs w:val="28"/>
        </w:rPr>
      </w:pPr>
      <w:r>
        <w:rPr>
          <w:rFonts w:ascii="Arial Narrow" w:hAnsi="Arial Narrow" w:cs="Tahoma"/>
          <w:sz w:val="28"/>
          <w:szCs w:val="28"/>
        </w:rPr>
        <w:t>Persigue la demandante que</w:t>
      </w:r>
      <w:r w:rsidR="00752B07">
        <w:rPr>
          <w:rFonts w:ascii="Arial Narrow" w:hAnsi="Arial Narrow" w:cs="Tahoma"/>
          <w:sz w:val="28"/>
          <w:szCs w:val="28"/>
        </w:rPr>
        <w:t xml:space="preserve"> se declare que tiene derecho al reconocimiento y pago del retroactivo pensional causado a partir del 1º de febrero de 2011 y, en consecuencia, persigue que se condene a la sociedad demandada al pago del correspondiente retroactivo desde el 1º de febrero de 2011 y hasta el 30 de septiembre de 2011 más los réditos moratorios o la indexación de la condena y las costas procesales.</w:t>
      </w:r>
    </w:p>
    <w:p w:rsidR="00AD7D76" w:rsidRDefault="00752B07" w:rsidP="00DA5D26">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Como sustento fáctico se relata que la actora cumplió los 55 años de edad el 15 de enero de 2011, que para esa calenda había cotizado un </w:t>
      </w:r>
      <w:r w:rsidR="00AD7D76">
        <w:rPr>
          <w:rFonts w:ascii="Arial Narrow" w:hAnsi="Arial Narrow" w:cs="Tahoma"/>
          <w:sz w:val="28"/>
          <w:szCs w:val="28"/>
        </w:rPr>
        <w:t>total de 1.363 semanas, que el 22 de marzo de 2011 solicitó al ISS el reconocimiento de su pensión de vejez, que mediante Resolución No. 05099 del 08 de septiembre de 2011 el ISS reconoció la prestación, que dicho acto administrativo fue notificado a la actora el 04 de noviembre de 2011,  que la pensión se reconoció desde el 01 de octubre de 2011, en cuantía de $9.426.442, que no indicaron las razones por las cuales no se reconoció la prestación desde el 01 de febrero de 2011, calenda en la que tuvo efectos la novedad de retiro del sistema, que el 26 de septiembre de 2014 se solicitó el pago del correspondiente retroactivo, que la última cotización correspondió al ciclo de enero de 2011, que el 30 de enero de 2015 se le notificó a la demandante la resolución GNR 439724 del 23 de diciembre de 2014, en la que se reliquidó la pensión de vejez, pero se negó el retroactivo pensional, que en dicho acto administrativo se estableció que el valor de la pensión para el año 2011 corresponde a $10.586.446.</w:t>
      </w:r>
    </w:p>
    <w:p w:rsidR="00AD7D76" w:rsidRDefault="00AD7D76" w:rsidP="00DA5D26">
      <w:pPr>
        <w:spacing w:line="360" w:lineRule="auto"/>
        <w:ind w:firstLine="900"/>
        <w:jc w:val="both"/>
        <w:rPr>
          <w:rFonts w:ascii="Arial Narrow" w:hAnsi="Arial Narrow" w:cs="Tahoma"/>
          <w:sz w:val="28"/>
          <w:szCs w:val="28"/>
        </w:rPr>
      </w:pPr>
    </w:p>
    <w:p w:rsidR="002B3FC6" w:rsidRDefault="00AD7D76"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dispuso el traslado del caso a la sociedad demandada, la que allegó respuesta por intermedio de procurador judicial, el que se manifestó respecto a los hechos de la demanda, aceptando </w:t>
      </w:r>
      <w:r w:rsidR="002F3BF3">
        <w:rPr>
          <w:rFonts w:ascii="Arial Narrow" w:hAnsi="Arial Narrow" w:cs="Tahoma"/>
          <w:sz w:val="28"/>
          <w:szCs w:val="28"/>
        </w:rPr>
        <w:t>la edad de la demandante, el número de semanas cotizadas, la solicitu</w:t>
      </w:r>
      <w:r w:rsidR="00304E52">
        <w:rPr>
          <w:rFonts w:ascii="Arial Narrow" w:hAnsi="Arial Narrow" w:cs="Tahoma"/>
          <w:sz w:val="28"/>
          <w:szCs w:val="28"/>
        </w:rPr>
        <w:t>d</w:t>
      </w:r>
      <w:r w:rsidR="002F3BF3">
        <w:rPr>
          <w:rFonts w:ascii="Arial Narrow" w:hAnsi="Arial Narrow" w:cs="Tahoma"/>
          <w:sz w:val="28"/>
          <w:szCs w:val="28"/>
        </w:rPr>
        <w:t xml:space="preserve"> de reconocimiento pensional inicial</w:t>
      </w:r>
      <w:r w:rsidR="00304E52">
        <w:rPr>
          <w:rFonts w:ascii="Arial Narrow" w:hAnsi="Arial Narrow" w:cs="Tahoma"/>
          <w:sz w:val="28"/>
          <w:szCs w:val="28"/>
        </w:rPr>
        <w:t>, el reconocimiento de la prestación el valor de la misma y la fecha de disfrute fijada, así como la nueva reclamación. Respecto a los restantes aspectos facticos, comenta que no son ciertos</w:t>
      </w:r>
      <w:r w:rsidR="002B3FC6">
        <w:rPr>
          <w:rFonts w:ascii="Arial Narrow" w:hAnsi="Arial Narrow" w:cs="Tahoma"/>
          <w:sz w:val="28"/>
          <w:szCs w:val="28"/>
        </w:rPr>
        <w:t>.  Se opone a las pretensiones de la demanda y formula como excepciones de mérito las de “Inexistencia de la obligación”, “Improcedencia del reconocimiento de intereses moratorios o indexación de montos”, “Cobro de lo no debido”, “Prescripción”, “Buena fe” y “Cosa Juzgada”.</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aragraphedeliste"/>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ansinterligne"/>
        <w:spacing w:line="360" w:lineRule="auto"/>
      </w:pPr>
    </w:p>
    <w:p w:rsidR="005B272C" w:rsidRDefault="002B3FC6"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a-quo, declaró proba la excepción de prescripción y absolvió a Colpensiones de las pretensiones de la demanda, al encontrar que la actora, a partir del 04 de noviembre de 2011 </w:t>
      </w:r>
      <w:r w:rsidR="003B449A">
        <w:rPr>
          <w:rFonts w:ascii="Arial Narrow" w:hAnsi="Arial Narrow" w:cs="Tahoma"/>
          <w:color w:val="000000"/>
          <w:sz w:val="28"/>
          <w:szCs w:val="28"/>
          <w:lang w:eastAsia="es-CO"/>
        </w:rPr>
        <w:t>que se le notificó el acto de reconocimiento de la prestación pensional, contaba con tres años para demandar el reconocim</w:t>
      </w:r>
      <w:r w:rsidR="005B272C">
        <w:rPr>
          <w:rFonts w:ascii="Arial Narrow" w:hAnsi="Arial Narrow" w:cs="Tahoma"/>
          <w:color w:val="000000"/>
          <w:sz w:val="28"/>
          <w:szCs w:val="28"/>
          <w:lang w:eastAsia="es-CO"/>
        </w:rPr>
        <w:t xml:space="preserve">iento del retroactivo pensional, pero lo hizo apenas el 19 de diciembre de 2014.  Por lo tanto </w:t>
      </w:r>
      <w:r w:rsidR="005B272C">
        <w:rPr>
          <w:rFonts w:ascii="Arial Narrow" w:hAnsi="Arial Narrow" w:cs="Tahoma"/>
          <w:color w:val="000000"/>
          <w:sz w:val="28"/>
          <w:szCs w:val="28"/>
          <w:lang w:eastAsia="es-CO"/>
        </w:rPr>
        <w:lastRenderedPageBreak/>
        <w:t>están prescritas todas las mesadas pensionales a las que, en virtud del retroactivo pensional, pudiere tener derecho la actora.</w:t>
      </w:r>
    </w:p>
    <w:p w:rsidR="005B272C" w:rsidRDefault="005B272C"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FD3F3C">
        <w:rPr>
          <w:rFonts w:ascii="Arial Narrow" w:hAnsi="Arial Narrow" w:cs="Tahoma"/>
          <w:b/>
          <w:i/>
          <w:color w:val="000000"/>
          <w:sz w:val="28"/>
          <w:szCs w:val="28"/>
          <w:lang w:eastAsia="es-CO"/>
        </w:rPr>
        <w:t>APELACIÓN</w:t>
      </w:r>
    </w:p>
    <w:p w:rsidR="0089084F" w:rsidRDefault="0089084F" w:rsidP="000A6EA4">
      <w:pPr>
        <w:pStyle w:val="Sansinterligne"/>
        <w:rPr>
          <w:lang w:eastAsia="es-CO"/>
        </w:rPr>
      </w:pPr>
    </w:p>
    <w:p w:rsidR="00FD3F3C" w:rsidRDefault="00FD3F3C"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El portavoz judicial de la parte actora, interpuso recurso de apelación, en el que manifiesta que a la actora se le reconoció la pensión de vejez mediante un acto administrativo que se le notificó el 04 de noviembre de 2011. Como el 26 de septiembre de 2014 la actora elevó una reclamación solicitando el reconocimiento del retroactivo pensional, se interrumpió el fenómeno prescriptivo, por lo tanto debe reconocerse el correspondiente retroactivo.</w:t>
      </w:r>
    </w:p>
    <w:p w:rsidR="00DA5D26" w:rsidRPr="00B02E05" w:rsidRDefault="00DA5D26" w:rsidP="000A6EA4">
      <w:pPr>
        <w:pStyle w:val="Sansinterligne"/>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ansinterligne"/>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problema</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 xml:space="preserve"> jurídico</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 xml:space="preserve"> </w:t>
      </w:r>
      <w:r w:rsidR="00627105">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siguiente</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090E92">
      <w:pPr>
        <w:pStyle w:val="Sansinterligne"/>
        <w:ind w:firstLine="708"/>
        <w:jc w:val="both"/>
        <w:rPr>
          <w:rFonts w:ascii="Arial Narrow" w:hAnsi="Arial Narrow"/>
          <w:i/>
          <w:sz w:val="28"/>
          <w:szCs w:val="26"/>
        </w:rPr>
      </w:pPr>
      <w:r w:rsidRPr="00090E92">
        <w:rPr>
          <w:rFonts w:ascii="Arial Narrow" w:hAnsi="Arial Narrow"/>
          <w:i/>
          <w:sz w:val="28"/>
          <w:szCs w:val="26"/>
        </w:rPr>
        <w:t>¿</w:t>
      </w:r>
      <w:r w:rsidR="000D5FA3">
        <w:rPr>
          <w:rFonts w:ascii="Arial Narrow" w:hAnsi="Arial Narrow"/>
          <w:i/>
          <w:sz w:val="28"/>
          <w:szCs w:val="26"/>
        </w:rPr>
        <w:t>Se interrumpió la prescripción frente al retroactivo pensional reclamado entre febrero y septiembre de 2011, con el escrito presentado el 26 de septiembre de 2014</w:t>
      </w:r>
      <w:r w:rsidR="00F51BC2">
        <w:rPr>
          <w:rFonts w:ascii="Arial Narrow" w:hAnsi="Arial Narrow"/>
          <w:i/>
          <w:sz w:val="28"/>
          <w:szCs w:val="26"/>
        </w:rPr>
        <w:t>?</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ansinterligne"/>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ansinterligne"/>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ansinterligne"/>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ansinterligne"/>
      </w:pPr>
      <w:r w:rsidRPr="00145342">
        <w:tab/>
      </w:r>
      <w:r w:rsidRPr="00145342">
        <w:tab/>
      </w:r>
    </w:p>
    <w:p w:rsidR="00DA5D26" w:rsidRPr="00145342" w:rsidRDefault="00DA5D26" w:rsidP="00DA5D26">
      <w:pPr>
        <w:pStyle w:val="Corpsdetex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E44509" w:rsidRDefault="00DA5D26" w:rsidP="00B47DEE">
      <w:pPr>
        <w:pStyle w:val="Sansinterligne"/>
        <w:rPr>
          <w:sz w:val="10"/>
          <w:szCs w:val="10"/>
        </w:rPr>
      </w:pPr>
    </w:p>
    <w:p w:rsidR="00DA5D26" w:rsidRPr="00B47DEE" w:rsidRDefault="00DA5D26" w:rsidP="00B47DEE">
      <w:pPr>
        <w:pStyle w:val="Sansinterligne"/>
      </w:pPr>
    </w:p>
    <w:p w:rsidR="0054054E" w:rsidRDefault="001B0F4D"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Antes que nada, para poder estudiar la prescripción, como medio </w:t>
      </w:r>
      <w:r w:rsidR="00193BAB">
        <w:rPr>
          <w:rFonts w:ascii="Arial Narrow" w:hAnsi="Arial Narrow"/>
          <w:sz w:val="28"/>
          <w:szCs w:val="28"/>
          <w:lang w:val="es-CO"/>
        </w:rPr>
        <w:t>extintivo</w:t>
      </w:r>
      <w:r>
        <w:rPr>
          <w:rFonts w:ascii="Arial Narrow" w:hAnsi="Arial Narrow"/>
          <w:sz w:val="28"/>
          <w:szCs w:val="28"/>
          <w:lang w:val="es-CO"/>
        </w:rPr>
        <w:t xml:space="preserve"> del retroactivo </w:t>
      </w:r>
      <w:r w:rsidR="00193BAB">
        <w:rPr>
          <w:rFonts w:ascii="Arial Narrow" w:hAnsi="Arial Narrow"/>
          <w:sz w:val="28"/>
          <w:szCs w:val="28"/>
          <w:lang w:val="es-CO"/>
        </w:rPr>
        <w:t>pensional perseguido</w:t>
      </w:r>
      <w:r w:rsidR="0054054E">
        <w:rPr>
          <w:rFonts w:ascii="Arial Narrow" w:hAnsi="Arial Narrow"/>
          <w:sz w:val="28"/>
          <w:szCs w:val="28"/>
          <w:lang w:val="es-CO"/>
        </w:rPr>
        <w:t xml:space="preserve">, es necesario verificar si efectivamente la </w:t>
      </w:r>
      <w:r w:rsidR="0054054E">
        <w:rPr>
          <w:rFonts w:ascii="Arial Narrow" w:hAnsi="Arial Narrow"/>
          <w:sz w:val="28"/>
          <w:szCs w:val="28"/>
          <w:lang w:val="es-CO"/>
        </w:rPr>
        <w:lastRenderedPageBreak/>
        <w:t>demandante tiene derecho al mismo, actuación que omitió la a-quo. Para dilucidar tal situación, es indispensable partir por el artículo 13 del Acuerdo 049 de 1990, norma que es aplicable en virtud del inciso final del artículo 31 de la Ley 100 de 1993.</w:t>
      </w:r>
    </w:p>
    <w:p w:rsidR="0054054E" w:rsidRDefault="0054054E" w:rsidP="00DA5D26">
      <w:pPr>
        <w:pStyle w:val="Corpsdetexte"/>
        <w:spacing w:line="360" w:lineRule="auto"/>
        <w:ind w:firstLine="851"/>
        <w:rPr>
          <w:rFonts w:ascii="Arial Narrow" w:hAnsi="Arial Narrow"/>
          <w:sz w:val="28"/>
          <w:szCs w:val="28"/>
          <w:lang w:val="es-CO"/>
        </w:rPr>
      </w:pPr>
    </w:p>
    <w:p w:rsidR="00F71E6A" w:rsidRDefault="0054054E" w:rsidP="00F71E6A">
      <w:pPr>
        <w:autoSpaceDE w:val="0"/>
        <w:autoSpaceDN w:val="0"/>
        <w:adjustRightInd w:val="0"/>
        <w:spacing w:line="360" w:lineRule="auto"/>
        <w:ind w:firstLine="851"/>
        <w:jc w:val="both"/>
        <w:rPr>
          <w:rFonts w:ascii="Arial Narrow" w:hAnsi="Arial Narrow"/>
          <w:sz w:val="28"/>
          <w:szCs w:val="28"/>
          <w:lang w:val="es-CO"/>
        </w:rPr>
      </w:pPr>
      <w:r>
        <w:rPr>
          <w:rFonts w:ascii="Arial Narrow" w:hAnsi="Arial Narrow"/>
          <w:sz w:val="28"/>
          <w:szCs w:val="28"/>
          <w:lang w:val="es-CO"/>
        </w:rPr>
        <w:t>Tal norma exige, para entrar a disfrutar</w:t>
      </w:r>
      <w:r w:rsidR="00EB20D4">
        <w:rPr>
          <w:rFonts w:ascii="Arial Narrow" w:hAnsi="Arial Narrow"/>
          <w:sz w:val="28"/>
          <w:szCs w:val="28"/>
          <w:lang w:val="es-CO"/>
        </w:rPr>
        <w:t xml:space="preserve"> de la pensión de vejez, que la persona este desafiliada del sistema</w:t>
      </w:r>
      <w:r w:rsidR="00F71E6A">
        <w:rPr>
          <w:rFonts w:ascii="Arial Narrow" w:hAnsi="Arial Narrow"/>
          <w:sz w:val="28"/>
          <w:szCs w:val="28"/>
          <w:lang w:val="es-CO"/>
        </w:rPr>
        <w:t xml:space="preserve"> y, obviamente, haya satisfechos los requisitos para pensionarse con antelación a esa desafiliación. Pues bien, en este caso se tiene que la actora cumplió el requisito de la edad el 15 de enero de 2011, calenda para la cual contaba con densidad de semanas suficientes para pensionarse y, precisamente, en ese ciclo, dejó de cotizar, razón por la cual resulta evidente que desde esa fecha tenía derecho a su pensión y no desde el 1º de octubre de 2011, como lo fijó Colpensiones.</w:t>
      </w:r>
    </w:p>
    <w:p w:rsidR="00A23C99" w:rsidRDefault="00A23C99" w:rsidP="00DA5D26">
      <w:pPr>
        <w:pStyle w:val="Corpsdetexte"/>
        <w:spacing w:line="360" w:lineRule="auto"/>
        <w:ind w:firstLine="851"/>
        <w:rPr>
          <w:rFonts w:ascii="Arial Narrow" w:hAnsi="Arial Narrow"/>
          <w:sz w:val="28"/>
          <w:szCs w:val="28"/>
          <w:lang w:val="es-CO"/>
        </w:rPr>
      </w:pPr>
    </w:p>
    <w:p w:rsidR="00E32C0F" w:rsidRDefault="00A23C99"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Determinada </w:t>
      </w:r>
      <w:r w:rsidR="00140A85">
        <w:rPr>
          <w:rFonts w:ascii="Arial Narrow" w:hAnsi="Arial Narrow"/>
          <w:sz w:val="28"/>
          <w:szCs w:val="28"/>
          <w:lang w:val="es-CO"/>
        </w:rPr>
        <w:t xml:space="preserve">la existencia del derecho, debe adentrarse la Sala </w:t>
      </w:r>
      <w:r w:rsidR="00E32C0F">
        <w:rPr>
          <w:rFonts w:ascii="Arial Narrow" w:hAnsi="Arial Narrow"/>
          <w:sz w:val="28"/>
          <w:szCs w:val="28"/>
          <w:lang w:val="es-CO"/>
        </w:rPr>
        <w:t>a estudiar</w:t>
      </w:r>
      <w:r w:rsidR="00140A85">
        <w:rPr>
          <w:rFonts w:ascii="Arial Narrow" w:hAnsi="Arial Narrow"/>
          <w:sz w:val="28"/>
          <w:szCs w:val="28"/>
          <w:lang w:val="es-CO"/>
        </w:rPr>
        <w:t xml:space="preserve"> </w:t>
      </w:r>
      <w:r w:rsidR="00720AEC">
        <w:rPr>
          <w:rFonts w:ascii="Arial Narrow" w:hAnsi="Arial Narrow"/>
          <w:sz w:val="28"/>
          <w:szCs w:val="28"/>
          <w:lang w:val="es-CO"/>
        </w:rPr>
        <w:t>si en virtud de</w:t>
      </w:r>
      <w:r w:rsidR="00E32C0F">
        <w:rPr>
          <w:rFonts w:ascii="Arial Narrow" w:hAnsi="Arial Narrow"/>
          <w:sz w:val="28"/>
          <w:szCs w:val="28"/>
          <w:lang w:val="es-CO"/>
        </w:rPr>
        <w:t xml:space="preserve">l paso del tiempo se extinguió la posibilidad de reclamar tal retroactivo o si existió algún acto que interrumpiera ese lapso. </w:t>
      </w:r>
    </w:p>
    <w:p w:rsidR="00E32C0F" w:rsidRDefault="00E32C0F" w:rsidP="00DA5D26">
      <w:pPr>
        <w:pStyle w:val="Corpsdetexte"/>
        <w:spacing w:line="360" w:lineRule="auto"/>
        <w:ind w:firstLine="851"/>
        <w:rPr>
          <w:rFonts w:ascii="Arial Narrow" w:hAnsi="Arial Narrow"/>
          <w:sz w:val="28"/>
          <w:szCs w:val="28"/>
          <w:lang w:val="es-CO"/>
        </w:rPr>
      </w:pPr>
    </w:p>
    <w:p w:rsidR="00F71E6A" w:rsidRDefault="00E32C0F"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Pues bien, debe decirse que el canon 151 del CPLSS y 488 del CL, establecen</w:t>
      </w:r>
      <w:r w:rsidR="00202CE7">
        <w:rPr>
          <w:rFonts w:ascii="Arial Narrow" w:hAnsi="Arial Narrow"/>
          <w:sz w:val="28"/>
          <w:szCs w:val="28"/>
          <w:lang w:val="es-CO"/>
        </w:rPr>
        <w:t xml:space="preserve"> que las acciones emanadas de los derechos sociales prescriben en los tres años siguientes a la fecha </w:t>
      </w:r>
      <w:r w:rsidR="00041A4E">
        <w:rPr>
          <w:rFonts w:ascii="Arial Narrow" w:hAnsi="Arial Narrow"/>
          <w:sz w:val="28"/>
          <w:szCs w:val="28"/>
          <w:lang w:val="es-CO"/>
        </w:rPr>
        <w:t xml:space="preserve">de su causación. En este caso, se tiene que a la demandante se le notificó la </w:t>
      </w:r>
      <w:r w:rsidR="00F71E6A">
        <w:rPr>
          <w:rFonts w:ascii="Arial Narrow" w:hAnsi="Arial Narrow"/>
          <w:sz w:val="28"/>
          <w:szCs w:val="28"/>
          <w:lang w:val="es-CO"/>
        </w:rPr>
        <w:t>R</w:t>
      </w:r>
      <w:r w:rsidR="00041A4E">
        <w:rPr>
          <w:rFonts w:ascii="Arial Narrow" w:hAnsi="Arial Narrow"/>
          <w:sz w:val="28"/>
          <w:szCs w:val="28"/>
          <w:lang w:val="es-CO"/>
        </w:rPr>
        <w:t>esolución No. 05099 mediante la cual se le reconocía su pensión de vejez, el 04 de noviembre de 2011 –</w:t>
      </w:r>
      <w:proofErr w:type="spellStart"/>
      <w:r w:rsidR="00041A4E">
        <w:rPr>
          <w:rFonts w:ascii="Arial Narrow" w:hAnsi="Arial Narrow"/>
          <w:sz w:val="28"/>
          <w:szCs w:val="28"/>
          <w:lang w:val="es-CO"/>
        </w:rPr>
        <w:t>fl</w:t>
      </w:r>
      <w:proofErr w:type="spellEnd"/>
      <w:r w:rsidR="00041A4E">
        <w:rPr>
          <w:rFonts w:ascii="Arial Narrow" w:hAnsi="Arial Narrow"/>
          <w:sz w:val="28"/>
          <w:szCs w:val="28"/>
          <w:lang w:val="es-CO"/>
        </w:rPr>
        <w:t>. 14-</w:t>
      </w:r>
      <w:r w:rsidR="00F71E6A">
        <w:rPr>
          <w:rFonts w:ascii="Arial Narrow" w:hAnsi="Arial Narrow"/>
          <w:sz w:val="28"/>
          <w:szCs w:val="28"/>
          <w:lang w:val="es-CO"/>
        </w:rPr>
        <w:t>, con efectos a partir del 1º de octubre de 2011 y sin reconocerle retroactivo</w:t>
      </w:r>
      <w:r w:rsidR="00041A4E">
        <w:rPr>
          <w:rFonts w:ascii="Arial Narrow" w:hAnsi="Arial Narrow"/>
          <w:sz w:val="28"/>
          <w:szCs w:val="28"/>
          <w:lang w:val="es-CO"/>
        </w:rPr>
        <w:t>.</w:t>
      </w:r>
      <w:r w:rsidR="00F71E6A">
        <w:rPr>
          <w:rFonts w:ascii="Arial Narrow" w:hAnsi="Arial Narrow"/>
          <w:sz w:val="28"/>
          <w:szCs w:val="28"/>
          <w:lang w:val="es-CO"/>
        </w:rPr>
        <w:t xml:space="preserve"> A partir de dicha fecha</w:t>
      </w:r>
      <w:r w:rsidR="00041A4E">
        <w:rPr>
          <w:rFonts w:ascii="Arial Narrow" w:hAnsi="Arial Narrow"/>
          <w:sz w:val="28"/>
          <w:szCs w:val="28"/>
          <w:lang w:val="es-CO"/>
        </w:rPr>
        <w:t xml:space="preserve">, </w:t>
      </w:r>
      <w:r w:rsidR="00F71E6A">
        <w:rPr>
          <w:rFonts w:ascii="Arial Narrow" w:hAnsi="Arial Narrow"/>
          <w:sz w:val="28"/>
          <w:szCs w:val="28"/>
          <w:lang w:val="es-CO"/>
        </w:rPr>
        <w:t xml:space="preserve">se debe contabilizar el </w:t>
      </w:r>
      <w:r w:rsidR="00041A4E">
        <w:rPr>
          <w:rFonts w:ascii="Arial Narrow" w:hAnsi="Arial Narrow"/>
          <w:sz w:val="28"/>
          <w:szCs w:val="28"/>
          <w:lang w:val="es-CO"/>
        </w:rPr>
        <w:t>término trienal contenido en las normas mencionadas, lo que nos lleva hasta el 04 de noviembre de 201</w:t>
      </w:r>
      <w:r w:rsidR="00DB3FAC">
        <w:rPr>
          <w:rFonts w:ascii="Arial Narrow" w:hAnsi="Arial Narrow"/>
          <w:sz w:val="28"/>
          <w:szCs w:val="28"/>
          <w:lang w:val="es-CO"/>
        </w:rPr>
        <w:t>4</w:t>
      </w:r>
      <w:r w:rsidR="00E719F0">
        <w:rPr>
          <w:rFonts w:ascii="Arial Narrow" w:hAnsi="Arial Narrow"/>
          <w:sz w:val="28"/>
          <w:szCs w:val="28"/>
          <w:lang w:val="es-CO"/>
        </w:rPr>
        <w:t>,</w:t>
      </w:r>
      <w:r w:rsidR="00DB3FAC">
        <w:rPr>
          <w:rFonts w:ascii="Arial Narrow" w:hAnsi="Arial Narrow"/>
          <w:sz w:val="28"/>
          <w:szCs w:val="28"/>
          <w:lang w:val="es-CO"/>
        </w:rPr>
        <w:t xml:space="preserve"> </w:t>
      </w:r>
      <w:r w:rsidR="00E719F0">
        <w:rPr>
          <w:rFonts w:ascii="Arial Narrow" w:hAnsi="Arial Narrow"/>
          <w:sz w:val="28"/>
          <w:szCs w:val="28"/>
          <w:lang w:val="es-CO"/>
        </w:rPr>
        <w:t>t</w:t>
      </w:r>
      <w:r w:rsidR="00F71E6A">
        <w:rPr>
          <w:rFonts w:ascii="Arial Narrow" w:hAnsi="Arial Narrow"/>
          <w:sz w:val="28"/>
          <w:szCs w:val="28"/>
          <w:lang w:val="es-CO"/>
        </w:rPr>
        <w:t xml:space="preserve">érmino </w:t>
      </w:r>
      <w:r w:rsidR="00E719F0">
        <w:rPr>
          <w:rFonts w:ascii="Arial Narrow" w:hAnsi="Arial Narrow"/>
          <w:sz w:val="28"/>
          <w:szCs w:val="28"/>
          <w:lang w:val="es-CO"/>
        </w:rPr>
        <w:t>é</w:t>
      </w:r>
      <w:r w:rsidR="00F71E6A">
        <w:rPr>
          <w:rFonts w:ascii="Arial Narrow" w:hAnsi="Arial Narrow"/>
          <w:sz w:val="28"/>
          <w:szCs w:val="28"/>
          <w:lang w:val="es-CO"/>
        </w:rPr>
        <w:t xml:space="preserve">ste en el que la demandante debía presentar su reclamo judicial, amén que ya la administración había decidido de manera negativa el pago de la pensión desde la calenda mencionada. </w:t>
      </w:r>
    </w:p>
    <w:p w:rsidR="00540A6A" w:rsidRDefault="00540A6A" w:rsidP="00DA5D26">
      <w:pPr>
        <w:pStyle w:val="Corpsdetexte"/>
        <w:spacing w:line="360" w:lineRule="auto"/>
        <w:ind w:firstLine="851"/>
        <w:rPr>
          <w:rFonts w:ascii="Arial Narrow" w:hAnsi="Arial Narrow"/>
          <w:sz w:val="28"/>
          <w:szCs w:val="28"/>
          <w:lang w:val="es-CO"/>
        </w:rPr>
      </w:pPr>
    </w:p>
    <w:p w:rsidR="00CC604B" w:rsidRDefault="00F71E6A"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Y es que se hace necesario</w:t>
      </w:r>
      <w:r w:rsidR="00540A6A">
        <w:rPr>
          <w:rFonts w:ascii="Arial Narrow" w:hAnsi="Arial Narrow"/>
          <w:sz w:val="28"/>
          <w:szCs w:val="28"/>
          <w:lang w:val="es-CO"/>
        </w:rPr>
        <w:t xml:space="preserve"> precisar que cuando se agota la reclamación pensional, se incluye en ella</w:t>
      </w:r>
      <w:r w:rsidR="00381184">
        <w:rPr>
          <w:rFonts w:ascii="Arial Narrow" w:hAnsi="Arial Narrow"/>
          <w:sz w:val="28"/>
          <w:szCs w:val="28"/>
          <w:lang w:val="es-CO"/>
        </w:rPr>
        <w:t xml:space="preserve"> todo lo atinente al valor de la prestación, el disfrute de la misma y todos los demás aspectos que estén estrechamente unidos a la prestación misma, por lo que con la decisión que adopte el fondo de pensiones, se entiende comprendida y agotada la reclamación</w:t>
      </w:r>
      <w:r>
        <w:rPr>
          <w:rFonts w:ascii="Arial Narrow" w:hAnsi="Arial Narrow"/>
          <w:sz w:val="28"/>
          <w:szCs w:val="28"/>
          <w:lang w:val="es-CO"/>
        </w:rPr>
        <w:t xml:space="preserve"> tanto en el reconocimiento del derecho, como en todo lo accesorio al mismo</w:t>
      </w:r>
      <w:r w:rsidR="00381184">
        <w:rPr>
          <w:rFonts w:ascii="Arial Narrow" w:hAnsi="Arial Narrow"/>
          <w:sz w:val="28"/>
          <w:szCs w:val="28"/>
          <w:lang w:val="es-CO"/>
        </w:rPr>
        <w:t>, y como en virtud de las</w:t>
      </w:r>
      <w:r w:rsidR="00CC604B">
        <w:rPr>
          <w:rFonts w:ascii="Arial Narrow" w:hAnsi="Arial Narrow"/>
          <w:sz w:val="28"/>
          <w:szCs w:val="28"/>
          <w:lang w:val="es-CO"/>
        </w:rPr>
        <w:t xml:space="preserve"> normas citadas, solo es posible </w:t>
      </w:r>
      <w:r w:rsidR="00CC604B">
        <w:rPr>
          <w:rFonts w:ascii="Arial Narrow" w:hAnsi="Arial Narrow"/>
          <w:sz w:val="28"/>
          <w:szCs w:val="28"/>
          <w:lang w:val="es-CO"/>
        </w:rPr>
        <w:lastRenderedPageBreak/>
        <w:t>interrumpir por una vez el término trienal</w:t>
      </w:r>
      <w:r w:rsidR="00111030">
        <w:rPr>
          <w:rFonts w:ascii="Arial Narrow" w:hAnsi="Arial Narrow"/>
          <w:sz w:val="28"/>
          <w:szCs w:val="28"/>
          <w:lang w:val="es-CO"/>
        </w:rPr>
        <w:t xml:space="preserve"> de prescripción</w:t>
      </w:r>
      <w:r w:rsidR="00CC604B">
        <w:rPr>
          <w:rFonts w:ascii="Arial Narrow" w:hAnsi="Arial Narrow"/>
          <w:sz w:val="28"/>
          <w:szCs w:val="28"/>
          <w:lang w:val="es-CO"/>
        </w:rPr>
        <w:t>, pues el paso que debe seguirse es el de agotar la reclamación judicial, no nuevamente reclamar a la entidad, quien ya manifestó su decisión.</w:t>
      </w:r>
    </w:p>
    <w:p w:rsidR="00CC604B" w:rsidRDefault="00CC604B" w:rsidP="00DA5D26">
      <w:pPr>
        <w:pStyle w:val="Corpsdetexte"/>
        <w:spacing w:line="360" w:lineRule="auto"/>
        <w:ind w:firstLine="851"/>
        <w:rPr>
          <w:rFonts w:ascii="Arial Narrow" w:hAnsi="Arial Narrow"/>
          <w:sz w:val="28"/>
          <w:szCs w:val="28"/>
          <w:lang w:val="es-CO"/>
        </w:rPr>
      </w:pPr>
    </w:p>
    <w:p w:rsidR="00111030" w:rsidRDefault="00CC604B"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Por lo tanto, en el caso puntual, se tiene que la parte demandante, al haber sido notificada el 04 de noviembre de 2011, contaba con la posibilidad de reclamar judicialmente hasta el 04 de noviembre de 2014, mas sin embargo, la demanda se incoó el 19 de diciembre de 2014 –</w:t>
      </w:r>
      <w:proofErr w:type="spellStart"/>
      <w:r>
        <w:rPr>
          <w:rFonts w:ascii="Arial Narrow" w:hAnsi="Arial Narrow"/>
          <w:sz w:val="28"/>
          <w:szCs w:val="28"/>
          <w:lang w:val="es-CO"/>
        </w:rPr>
        <w:t>fl</w:t>
      </w:r>
      <w:proofErr w:type="spellEnd"/>
      <w:r>
        <w:rPr>
          <w:rFonts w:ascii="Arial Narrow" w:hAnsi="Arial Narrow"/>
          <w:sz w:val="28"/>
          <w:szCs w:val="28"/>
          <w:lang w:val="es-CO"/>
        </w:rPr>
        <w:t xml:space="preserve">. 27-, por lo que sin duda prescribió la acción para reclamar el retroactivo pensional. </w:t>
      </w:r>
      <w:r w:rsidR="00603673">
        <w:rPr>
          <w:rFonts w:ascii="Arial Narrow" w:hAnsi="Arial Narrow"/>
          <w:sz w:val="28"/>
          <w:szCs w:val="28"/>
          <w:lang w:val="es-CO"/>
        </w:rPr>
        <w:t>Y dígase que el escrito presentado el 26 de septiembre de 2014, referido en la Resolución No. GNR 439724 del 23 de diciembre de 2014 –</w:t>
      </w:r>
      <w:proofErr w:type="spellStart"/>
      <w:r w:rsidR="00603673">
        <w:rPr>
          <w:rFonts w:ascii="Arial Narrow" w:hAnsi="Arial Narrow"/>
          <w:sz w:val="28"/>
          <w:szCs w:val="28"/>
          <w:lang w:val="es-CO"/>
        </w:rPr>
        <w:t>fl</w:t>
      </w:r>
      <w:proofErr w:type="spellEnd"/>
      <w:r w:rsidR="00603673">
        <w:rPr>
          <w:rFonts w:ascii="Arial Narrow" w:hAnsi="Arial Narrow"/>
          <w:sz w:val="28"/>
          <w:szCs w:val="28"/>
          <w:lang w:val="es-CO"/>
        </w:rPr>
        <w:t>. 67- no interrumpe el período trienal, pues se trataría de una segunda interr</w:t>
      </w:r>
      <w:r w:rsidR="00111030">
        <w:rPr>
          <w:rFonts w:ascii="Arial Narrow" w:hAnsi="Arial Narrow"/>
          <w:sz w:val="28"/>
          <w:szCs w:val="28"/>
          <w:lang w:val="es-CO"/>
        </w:rPr>
        <w:t>u</w:t>
      </w:r>
      <w:r w:rsidR="00603673">
        <w:rPr>
          <w:rFonts w:ascii="Arial Narrow" w:hAnsi="Arial Narrow"/>
          <w:sz w:val="28"/>
          <w:szCs w:val="28"/>
          <w:lang w:val="es-CO"/>
        </w:rPr>
        <w:t>pción</w:t>
      </w:r>
      <w:r w:rsidR="00111030">
        <w:rPr>
          <w:rFonts w:ascii="Arial Narrow" w:hAnsi="Arial Narrow"/>
          <w:sz w:val="28"/>
          <w:szCs w:val="28"/>
          <w:lang w:val="es-CO"/>
        </w:rPr>
        <w:t xml:space="preserve">, </w:t>
      </w:r>
      <w:r w:rsidR="00E719F0">
        <w:rPr>
          <w:rFonts w:ascii="Arial Narrow" w:hAnsi="Arial Narrow"/>
          <w:sz w:val="28"/>
          <w:szCs w:val="28"/>
          <w:lang w:val="es-CO"/>
        </w:rPr>
        <w:t xml:space="preserve">no admitida en el </w:t>
      </w:r>
      <w:r w:rsidR="00111030">
        <w:rPr>
          <w:rFonts w:ascii="Arial Narrow" w:hAnsi="Arial Narrow"/>
          <w:sz w:val="28"/>
          <w:szCs w:val="28"/>
          <w:lang w:val="es-CO"/>
        </w:rPr>
        <w:t>contenido de las normas referidas.</w:t>
      </w:r>
    </w:p>
    <w:p w:rsidR="00111030" w:rsidRDefault="00111030" w:rsidP="00DA5D26">
      <w:pPr>
        <w:pStyle w:val="Corpsdetexte"/>
        <w:spacing w:line="360" w:lineRule="auto"/>
        <w:ind w:firstLine="851"/>
        <w:rPr>
          <w:rFonts w:ascii="Arial Narrow" w:hAnsi="Arial Narrow"/>
          <w:sz w:val="28"/>
          <w:szCs w:val="28"/>
          <w:lang w:val="es-CO"/>
        </w:rPr>
      </w:pPr>
    </w:p>
    <w:p w:rsidR="00111030" w:rsidRDefault="00111030"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Por tanto, se observa que la decisión de la Jueza al declarar probada la excepción y, en consecuencia absolver a Colpensiones de las pretensiones de la demanda, es adecuada, por lo que se confirmará.</w:t>
      </w:r>
    </w:p>
    <w:p w:rsidR="00111030" w:rsidRDefault="00111030" w:rsidP="00DA5D26">
      <w:pPr>
        <w:pStyle w:val="Corpsdetexte"/>
        <w:spacing w:line="360" w:lineRule="auto"/>
        <w:ind w:firstLine="851"/>
        <w:rPr>
          <w:rFonts w:ascii="Arial Narrow" w:hAnsi="Arial Narrow"/>
          <w:sz w:val="28"/>
          <w:szCs w:val="28"/>
          <w:lang w:val="es-CO"/>
        </w:rPr>
      </w:pPr>
    </w:p>
    <w:p w:rsidR="00111030" w:rsidRDefault="00111030"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Las costas, en esta sede estarán a cargo de la parte actora y a favor de Colpensiones.</w:t>
      </w:r>
    </w:p>
    <w:p w:rsidR="00DA5D26" w:rsidRPr="00C605CD" w:rsidRDefault="00DA5D26" w:rsidP="00C605CD">
      <w:pPr>
        <w:pStyle w:val="Sansinterligne"/>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ansinterligne"/>
      </w:pPr>
    </w:p>
    <w:p w:rsidR="00B855A0" w:rsidRDefault="00C37893" w:rsidP="00C94E96">
      <w:pPr>
        <w:pStyle w:val="Paragraphedeliste"/>
        <w:numPr>
          <w:ilvl w:val="0"/>
          <w:numId w:val="3"/>
        </w:numPr>
        <w:spacing w:line="360" w:lineRule="auto"/>
        <w:ind w:left="360" w:firstLine="360"/>
        <w:jc w:val="both"/>
        <w:rPr>
          <w:rFonts w:ascii="Arial Narrow" w:hAnsi="Arial Narrow" w:cs="Arial"/>
          <w:sz w:val="28"/>
          <w:szCs w:val="28"/>
        </w:rPr>
      </w:pPr>
      <w:r w:rsidRPr="00C37893">
        <w:rPr>
          <w:rFonts w:ascii="Arial Narrow" w:hAnsi="Arial Narrow" w:cs="Arial"/>
          <w:b/>
          <w:i/>
          <w:sz w:val="28"/>
          <w:szCs w:val="28"/>
        </w:rPr>
        <w:t>Confirmar</w:t>
      </w:r>
      <w:r w:rsidR="00B855A0" w:rsidRPr="00C37893">
        <w:rPr>
          <w:rFonts w:ascii="Arial Narrow" w:hAnsi="Arial Narrow" w:cs="Arial"/>
          <w:b/>
          <w:i/>
          <w:sz w:val="28"/>
          <w:szCs w:val="28"/>
        </w:rPr>
        <w:t xml:space="preserve"> </w:t>
      </w:r>
      <w:r w:rsidR="00111030" w:rsidRPr="00111030">
        <w:rPr>
          <w:rFonts w:ascii="Arial Narrow" w:hAnsi="Arial Narrow" w:cs="Arial"/>
          <w:i/>
          <w:sz w:val="28"/>
          <w:szCs w:val="28"/>
        </w:rPr>
        <w:t>la</w:t>
      </w:r>
      <w:r w:rsidR="00111030">
        <w:rPr>
          <w:rFonts w:ascii="Arial Narrow" w:hAnsi="Arial Narrow" w:cs="Arial"/>
          <w:b/>
          <w:i/>
          <w:sz w:val="28"/>
          <w:szCs w:val="28"/>
        </w:rPr>
        <w:t xml:space="preserve"> </w:t>
      </w:r>
      <w:r w:rsidR="00DA58C1" w:rsidRPr="00C37893">
        <w:rPr>
          <w:rFonts w:ascii="Arial Narrow" w:hAnsi="Arial Narrow" w:cs="Arial"/>
          <w:sz w:val="28"/>
          <w:szCs w:val="28"/>
        </w:rPr>
        <w:t xml:space="preserve">sentencia proferida el </w:t>
      </w:r>
      <w:r w:rsidR="00111030">
        <w:rPr>
          <w:rFonts w:ascii="Arial Narrow" w:hAnsi="Arial Narrow" w:cs="Arial"/>
          <w:sz w:val="28"/>
          <w:szCs w:val="28"/>
        </w:rPr>
        <w:t>13</w:t>
      </w:r>
      <w:r w:rsidR="00DA58C1" w:rsidRPr="00C37893">
        <w:rPr>
          <w:rFonts w:ascii="Arial Narrow" w:hAnsi="Arial Narrow" w:cs="Arial"/>
          <w:sz w:val="28"/>
          <w:szCs w:val="28"/>
        </w:rPr>
        <w:t xml:space="preserve"> de </w:t>
      </w:r>
      <w:r w:rsidR="00111030">
        <w:rPr>
          <w:rFonts w:ascii="Arial Narrow" w:hAnsi="Arial Narrow" w:cs="Arial"/>
          <w:sz w:val="28"/>
          <w:szCs w:val="28"/>
        </w:rPr>
        <w:t>abril</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sidR="00111030">
        <w:rPr>
          <w:rFonts w:ascii="Arial Narrow" w:hAnsi="Arial Narrow" w:cs="Arial"/>
          <w:sz w:val="28"/>
          <w:szCs w:val="28"/>
        </w:rPr>
        <w:t>6</w:t>
      </w:r>
      <w:r w:rsidR="00DA58C1" w:rsidRPr="00C37893">
        <w:rPr>
          <w:rFonts w:ascii="Arial Narrow" w:hAnsi="Arial Narrow" w:cs="Arial"/>
          <w:sz w:val="28"/>
          <w:szCs w:val="28"/>
        </w:rPr>
        <w:t xml:space="preserve"> por el Juzgado </w:t>
      </w:r>
      <w:r w:rsidR="00111030">
        <w:rPr>
          <w:rFonts w:ascii="Arial Narrow" w:hAnsi="Arial Narrow" w:cs="Arial"/>
          <w:sz w:val="28"/>
          <w:szCs w:val="28"/>
        </w:rPr>
        <w:t>Quinto</w:t>
      </w:r>
      <w:r w:rsidR="00DA58C1" w:rsidRPr="00C37893">
        <w:rPr>
          <w:rFonts w:ascii="Arial Narrow" w:hAnsi="Arial Narrow" w:cs="Arial"/>
          <w:sz w:val="28"/>
          <w:szCs w:val="28"/>
        </w:rPr>
        <w:t xml:space="preserve"> Laboral del Circuito de Pereira, dentro del proceso ordinario laboral </w:t>
      </w:r>
      <w:r w:rsidR="00111030">
        <w:rPr>
          <w:rFonts w:ascii="Arial Narrow" w:hAnsi="Arial Narrow" w:cs="Arial"/>
          <w:sz w:val="28"/>
          <w:szCs w:val="28"/>
        </w:rPr>
        <w:t>de la referencia</w:t>
      </w:r>
      <w:r w:rsidRPr="00C37893">
        <w:rPr>
          <w:rFonts w:ascii="Arial Narrow" w:hAnsi="Arial Narrow" w:cs="Arial"/>
          <w:sz w:val="28"/>
          <w:szCs w:val="28"/>
        </w:rPr>
        <w:t xml:space="preserve">. </w:t>
      </w:r>
    </w:p>
    <w:p w:rsidR="00C37893" w:rsidRDefault="00111030" w:rsidP="00C94E96">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 xml:space="preserve">Costas a cargo de la parte actora. </w:t>
      </w:r>
      <w:r w:rsidR="00C37893">
        <w:rPr>
          <w:rFonts w:ascii="Arial Narrow" w:hAnsi="Arial Narrow" w:cs="Arial"/>
          <w:sz w:val="28"/>
          <w:szCs w:val="28"/>
        </w:rPr>
        <w:t>.</w:t>
      </w:r>
    </w:p>
    <w:p w:rsidR="00DA5D26" w:rsidRPr="00C605CD" w:rsidRDefault="00DA5D26" w:rsidP="00DA5D26">
      <w:pPr>
        <w:pStyle w:val="Sansinterligne"/>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ansinterligne"/>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A9242B" w:rsidRDefault="00DA5D26" w:rsidP="00C605CD">
      <w:pPr>
        <w:pStyle w:val="Sansinterligne"/>
        <w:spacing w:line="360" w:lineRule="auto"/>
        <w:rPr>
          <w:lang w:val="es-ES"/>
        </w:rPr>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ansinterligne"/>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111030"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SEPULVEDA</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211C21" w:rsidRDefault="00DA5D26" w:rsidP="00111030">
      <w:pPr>
        <w:ind w:left="192" w:firstLine="708"/>
        <w:jc w:val="both"/>
      </w:pPr>
      <w:r>
        <w:rPr>
          <w:rFonts w:ascii="Arial Narrow" w:hAnsi="Arial Narrow" w:cs="Microsoft Sans Serif"/>
          <w:sz w:val="28"/>
          <w:szCs w:val="28"/>
          <w:lang w:val="es-ES"/>
        </w:rPr>
        <w:t xml:space="preserve">      Magistrad</w:t>
      </w:r>
      <w:r w:rsidR="00111030">
        <w:rPr>
          <w:rFonts w:ascii="Arial Narrow" w:hAnsi="Arial Narrow" w:cs="Microsoft Sans Serif"/>
          <w:sz w:val="28"/>
          <w:szCs w:val="28"/>
          <w:lang w:val="es-ES"/>
        </w:rPr>
        <w:t>a</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sectPr w:rsidR="00211C21" w:rsidSect="00211C21">
      <w:headerReference w:type="default" r:id="rId9"/>
      <w:footerReference w:type="even" r:id="rId10"/>
      <w:footerReference w:type="default" r:id="rId11"/>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9A" w:rsidRDefault="0075759A" w:rsidP="00DA5D26">
      <w:r>
        <w:separator/>
      </w:r>
    </w:p>
  </w:endnote>
  <w:endnote w:type="continuationSeparator" w:id="0">
    <w:p w:rsidR="0075759A" w:rsidRDefault="0075759A"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Default="00211C21" w:rsidP="00211C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1C21" w:rsidRDefault="00211C21" w:rsidP="00211C2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Default="00211C21" w:rsidP="00211C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44509">
      <w:rPr>
        <w:rStyle w:val="Numrodepage"/>
        <w:noProof/>
      </w:rPr>
      <w:t>1</w:t>
    </w:r>
    <w:r>
      <w:rPr>
        <w:rStyle w:val="Numrodepage"/>
      </w:rPr>
      <w:fldChar w:fldCharType="end"/>
    </w:r>
  </w:p>
  <w:p w:rsidR="00211C21" w:rsidRDefault="00211C21" w:rsidP="00211C2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9A" w:rsidRDefault="0075759A" w:rsidP="00DA5D26">
      <w:r>
        <w:separator/>
      </w:r>
    </w:p>
  </w:footnote>
  <w:footnote w:type="continuationSeparator" w:id="0">
    <w:p w:rsidR="0075759A" w:rsidRDefault="0075759A"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752B07">
      <w:rPr>
        <w:rFonts w:ascii="Arial" w:hAnsi="Arial" w:cs="Arial"/>
        <w:bCs/>
        <w:i/>
        <w:sz w:val="16"/>
        <w:szCs w:val="16"/>
      </w:rPr>
      <w:t>5</w:t>
    </w:r>
    <w:r>
      <w:rPr>
        <w:rFonts w:ascii="Arial" w:hAnsi="Arial" w:cs="Arial"/>
        <w:bCs/>
        <w:i/>
        <w:sz w:val="16"/>
        <w:szCs w:val="16"/>
      </w:rPr>
      <w:t>-2014-00</w:t>
    </w:r>
    <w:r w:rsidR="00752B07">
      <w:rPr>
        <w:rFonts w:ascii="Arial" w:hAnsi="Arial" w:cs="Arial"/>
        <w:bCs/>
        <w:i/>
        <w:sz w:val="16"/>
        <w:szCs w:val="16"/>
      </w:rPr>
      <w:t>726</w:t>
    </w:r>
    <w:r>
      <w:rPr>
        <w:rFonts w:ascii="Arial" w:hAnsi="Arial" w:cs="Arial"/>
        <w:bCs/>
        <w:i/>
        <w:sz w:val="16"/>
        <w:szCs w:val="16"/>
      </w:rPr>
      <w:t>-01</w:t>
    </w:r>
  </w:p>
  <w:p w:rsidR="00211C21" w:rsidRPr="00BD0CC8" w:rsidRDefault="00752B07" w:rsidP="00211C21">
    <w:pPr>
      <w:jc w:val="both"/>
      <w:rPr>
        <w:rFonts w:ascii="Arial" w:hAnsi="Arial" w:cs="Arial"/>
        <w:bCs/>
        <w:i/>
        <w:iCs/>
        <w:sz w:val="16"/>
        <w:szCs w:val="16"/>
      </w:rPr>
    </w:pPr>
    <w:r>
      <w:rPr>
        <w:rFonts w:ascii="Arial" w:hAnsi="Arial" w:cs="Arial"/>
        <w:bCs/>
        <w:i/>
        <w:sz w:val="16"/>
        <w:szCs w:val="16"/>
      </w:rPr>
      <w:t>Luz Mary Valencia Correa</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26"/>
    <w:rsid w:val="0002763F"/>
    <w:rsid w:val="000314E2"/>
    <w:rsid w:val="00041A4E"/>
    <w:rsid w:val="000578FB"/>
    <w:rsid w:val="00080BC4"/>
    <w:rsid w:val="00090E92"/>
    <w:rsid w:val="000958E2"/>
    <w:rsid w:val="000A6EA4"/>
    <w:rsid w:val="000B0649"/>
    <w:rsid w:val="000C6A88"/>
    <w:rsid w:val="000D5FA3"/>
    <w:rsid w:val="000E7F42"/>
    <w:rsid w:val="00111030"/>
    <w:rsid w:val="00120D19"/>
    <w:rsid w:val="001230F7"/>
    <w:rsid w:val="00140A85"/>
    <w:rsid w:val="00154202"/>
    <w:rsid w:val="00165B76"/>
    <w:rsid w:val="00172834"/>
    <w:rsid w:val="00193B4E"/>
    <w:rsid w:val="00193BAB"/>
    <w:rsid w:val="001B0F4D"/>
    <w:rsid w:val="001D7DCB"/>
    <w:rsid w:val="00202CE7"/>
    <w:rsid w:val="00211C21"/>
    <w:rsid w:val="002328BA"/>
    <w:rsid w:val="00242152"/>
    <w:rsid w:val="002B3FC6"/>
    <w:rsid w:val="002B73FA"/>
    <w:rsid w:val="002E7993"/>
    <w:rsid w:val="002F3BF3"/>
    <w:rsid w:val="00304E52"/>
    <w:rsid w:val="00381184"/>
    <w:rsid w:val="003B2225"/>
    <w:rsid w:val="003B449A"/>
    <w:rsid w:val="00412232"/>
    <w:rsid w:val="004405BF"/>
    <w:rsid w:val="004438F8"/>
    <w:rsid w:val="00450852"/>
    <w:rsid w:val="00480570"/>
    <w:rsid w:val="0048328B"/>
    <w:rsid w:val="004A3F29"/>
    <w:rsid w:val="004B3062"/>
    <w:rsid w:val="004D01C5"/>
    <w:rsid w:val="004F4594"/>
    <w:rsid w:val="00515BDC"/>
    <w:rsid w:val="00532E74"/>
    <w:rsid w:val="0054054E"/>
    <w:rsid w:val="00540A6A"/>
    <w:rsid w:val="00563496"/>
    <w:rsid w:val="005B272C"/>
    <w:rsid w:val="005F1D1F"/>
    <w:rsid w:val="005F5E82"/>
    <w:rsid w:val="00603673"/>
    <w:rsid w:val="006135E9"/>
    <w:rsid w:val="00627105"/>
    <w:rsid w:val="00650007"/>
    <w:rsid w:val="00650B44"/>
    <w:rsid w:val="00666823"/>
    <w:rsid w:val="006945A9"/>
    <w:rsid w:val="006B40B8"/>
    <w:rsid w:val="006C2890"/>
    <w:rsid w:val="006F2FF3"/>
    <w:rsid w:val="00710A57"/>
    <w:rsid w:val="00714593"/>
    <w:rsid w:val="00720AEC"/>
    <w:rsid w:val="007245D1"/>
    <w:rsid w:val="0072480F"/>
    <w:rsid w:val="00741813"/>
    <w:rsid w:val="00752B07"/>
    <w:rsid w:val="0075759A"/>
    <w:rsid w:val="00765A83"/>
    <w:rsid w:val="00787588"/>
    <w:rsid w:val="00794D39"/>
    <w:rsid w:val="007B5499"/>
    <w:rsid w:val="007E0AB3"/>
    <w:rsid w:val="007E47B6"/>
    <w:rsid w:val="007E71F7"/>
    <w:rsid w:val="00833383"/>
    <w:rsid w:val="00840E22"/>
    <w:rsid w:val="00843FB6"/>
    <w:rsid w:val="0089084F"/>
    <w:rsid w:val="008A24F7"/>
    <w:rsid w:val="008F003B"/>
    <w:rsid w:val="00901C23"/>
    <w:rsid w:val="00907A5F"/>
    <w:rsid w:val="0091791E"/>
    <w:rsid w:val="0095467B"/>
    <w:rsid w:val="0096710B"/>
    <w:rsid w:val="009A4AFF"/>
    <w:rsid w:val="009E0886"/>
    <w:rsid w:val="00A23C99"/>
    <w:rsid w:val="00A23CFA"/>
    <w:rsid w:val="00A2711D"/>
    <w:rsid w:val="00A368C2"/>
    <w:rsid w:val="00A928D2"/>
    <w:rsid w:val="00AA292C"/>
    <w:rsid w:val="00AB17ED"/>
    <w:rsid w:val="00AB21D0"/>
    <w:rsid w:val="00AB267F"/>
    <w:rsid w:val="00AB37E6"/>
    <w:rsid w:val="00AB73EB"/>
    <w:rsid w:val="00AC72AC"/>
    <w:rsid w:val="00AD0855"/>
    <w:rsid w:val="00AD7B28"/>
    <w:rsid w:val="00AD7D76"/>
    <w:rsid w:val="00AF19D4"/>
    <w:rsid w:val="00B47DEE"/>
    <w:rsid w:val="00B55B27"/>
    <w:rsid w:val="00B56E76"/>
    <w:rsid w:val="00B855A0"/>
    <w:rsid w:val="00BA0C20"/>
    <w:rsid w:val="00BB547D"/>
    <w:rsid w:val="00BC22B0"/>
    <w:rsid w:val="00C21964"/>
    <w:rsid w:val="00C37893"/>
    <w:rsid w:val="00C605CD"/>
    <w:rsid w:val="00C84802"/>
    <w:rsid w:val="00CC604B"/>
    <w:rsid w:val="00CE0D41"/>
    <w:rsid w:val="00CF576A"/>
    <w:rsid w:val="00D133D9"/>
    <w:rsid w:val="00D45CAC"/>
    <w:rsid w:val="00D66EC5"/>
    <w:rsid w:val="00DA5765"/>
    <w:rsid w:val="00DA58C1"/>
    <w:rsid w:val="00DA5D26"/>
    <w:rsid w:val="00DB3FAC"/>
    <w:rsid w:val="00DF30A5"/>
    <w:rsid w:val="00E066DB"/>
    <w:rsid w:val="00E27B52"/>
    <w:rsid w:val="00E32C0F"/>
    <w:rsid w:val="00E430CD"/>
    <w:rsid w:val="00E44509"/>
    <w:rsid w:val="00E55BB9"/>
    <w:rsid w:val="00E719F0"/>
    <w:rsid w:val="00E73814"/>
    <w:rsid w:val="00E94359"/>
    <w:rsid w:val="00EB20D4"/>
    <w:rsid w:val="00F113D7"/>
    <w:rsid w:val="00F51080"/>
    <w:rsid w:val="00F5115B"/>
    <w:rsid w:val="00F51BC2"/>
    <w:rsid w:val="00F55B3E"/>
    <w:rsid w:val="00F65645"/>
    <w:rsid w:val="00F71E6A"/>
    <w:rsid w:val="00FA6036"/>
    <w:rsid w:val="00FB3A50"/>
    <w:rsid w:val="00FB54C5"/>
    <w:rsid w:val="00FC7BD3"/>
    <w:rsid w:val="00FD3F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A5D26"/>
    <w:rPr>
      <w:rFonts w:ascii="Arial" w:hAnsi="Arial" w:cs="Arial"/>
      <w:sz w:val="24"/>
      <w:lang w:val="es-ES_tradnl" w:eastAsia="es-ES"/>
    </w:rPr>
  </w:style>
  <w:style w:type="paragraph" w:styleId="Corpsdetexte">
    <w:name w:val="Body Text"/>
    <w:basedOn w:val="Normal"/>
    <w:link w:val="CorpsdetexteCar"/>
    <w:rsid w:val="00DA5D2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A5D2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DA5D26"/>
    <w:pPr>
      <w:tabs>
        <w:tab w:val="center" w:pos="4252"/>
        <w:tab w:val="right" w:pos="8504"/>
      </w:tabs>
    </w:pPr>
  </w:style>
  <w:style w:type="character" w:customStyle="1" w:styleId="PieddepageCar">
    <w:name w:val="Pied de page Car"/>
    <w:basedOn w:val="Policepardfaut"/>
    <w:link w:val="Pieddepage"/>
    <w:rsid w:val="00DA5D26"/>
    <w:rPr>
      <w:rFonts w:ascii="Times New Roman" w:eastAsia="Times New Roman" w:hAnsi="Times New Roman" w:cs="Times New Roman"/>
      <w:sz w:val="24"/>
      <w:szCs w:val="20"/>
      <w:lang w:val="es-ES_tradnl" w:eastAsia="es-ES"/>
    </w:rPr>
  </w:style>
  <w:style w:type="character" w:styleId="Numrodepage">
    <w:name w:val="page number"/>
    <w:basedOn w:val="Policepardfaut"/>
    <w:rsid w:val="00DA5D26"/>
  </w:style>
  <w:style w:type="paragraph" w:styleId="En-tte">
    <w:name w:val="header"/>
    <w:basedOn w:val="Normal"/>
    <w:link w:val="En-tteCar"/>
    <w:rsid w:val="00DA5D26"/>
    <w:pPr>
      <w:tabs>
        <w:tab w:val="center" w:pos="4252"/>
        <w:tab w:val="right" w:pos="8504"/>
      </w:tabs>
    </w:pPr>
  </w:style>
  <w:style w:type="character" w:customStyle="1" w:styleId="En-tteCar">
    <w:name w:val="En-tête Car"/>
    <w:basedOn w:val="Policepardfaut"/>
    <w:link w:val="En-tte"/>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A5D26"/>
    <w:pPr>
      <w:ind w:left="720"/>
      <w:contextualSpacing/>
    </w:pPr>
  </w:style>
  <w:style w:type="paragraph" w:styleId="Textedebulles">
    <w:name w:val="Balloon Text"/>
    <w:basedOn w:val="Normal"/>
    <w:link w:val="TextedebullesCar"/>
    <w:uiPriority w:val="99"/>
    <w:semiHidden/>
    <w:unhideWhenUsed/>
    <w:rsid w:val="00165B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B76"/>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A5D26"/>
    <w:rPr>
      <w:rFonts w:ascii="Arial" w:hAnsi="Arial" w:cs="Arial"/>
      <w:sz w:val="24"/>
      <w:lang w:val="es-ES_tradnl" w:eastAsia="es-ES"/>
    </w:rPr>
  </w:style>
  <w:style w:type="paragraph" w:styleId="Corpsdetexte">
    <w:name w:val="Body Text"/>
    <w:basedOn w:val="Normal"/>
    <w:link w:val="CorpsdetexteCar"/>
    <w:rsid w:val="00DA5D2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A5D2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DA5D26"/>
    <w:pPr>
      <w:tabs>
        <w:tab w:val="center" w:pos="4252"/>
        <w:tab w:val="right" w:pos="8504"/>
      </w:tabs>
    </w:pPr>
  </w:style>
  <w:style w:type="character" w:customStyle="1" w:styleId="PieddepageCar">
    <w:name w:val="Pied de page Car"/>
    <w:basedOn w:val="Policepardfaut"/>
    <w:link w:val="Pieddepage"/>
    <w:rsid w:val="00DA5D26"/>
    <w:rPr>
      <w:rFonts w:ascii="Times New Roman" w:eastAsia="Times New Roman" w:hAnsi="Times New Roman" w:cs="Times New Roman"/>
      <w:sz w:val="24"/>
      <w:szCs w:val="20"/>
      <w:lang w:val="es-ES_tradnl" w:eastAsia="es-ES"/>
    </w:rPr>
  </w:style>
  <w:style w:type="character" w:styleId="Numrodepage">
    <w:name w:val="page number"/>
    <w:basedOn w:val="Policepardfaut"/>
    <w:rsid w:val="00DA5D26"/>
  </w:style>
  <w:style w:type="paragraph" w:styleId="En-tte">
    <w:name w:val="header"/>
    <w:basedOn w:val="Normal"/>
    <w:link w:val="En-tteCar"/>
    <w:rsid w:val="00DA5D26"/>
    <w:pPr>
      <w:tabs>
        <w:tab w:val="center" w:pos="4252"/>
        <w:tab w:val="right" w:pos="8504"/>
      </w:tabs>
    </w:pPr>
  </w:style>
  <w:style w:type="character" w:customStyle="1" w:styleId="En-tteCar">
    <w:name w:val="En-tête Car"/>
    <w:basedOn w:val="Policepardfaut"/>
    <w:link w:val="En-tte"/>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A5D26"/>
    <w:pPr>
      <w:ind w:left="720"/>
      <w:contextualSpacing/>
    </w:pPr>
  </w:style>
  <w:style w:type="paragraph" w:styleId="Textedebulles">
    <w:name w:val="Balloon Text"/>
    <w:basedOn w:val="Normal"/>
    <w:link w:val="TextedebullesCar"/>
    <w:uiPriority w:val="99"/>
    <w:semiHidden/>
    <w:unhideWhenUsed/>
    <w:rsid w:val="00165B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8DE6-09C0-4162-B5AF-765279DE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1640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26</cp:revision>
  <cp:lastPrinted>2017-03-08T19:09:00Z</cp:lastPrinted>
  <dcterms:created xsi:type="dcterms:W3CDTF">2017-03-07T20:48:00Z</dcterms:created>
  <dcterms:modified xsi:type="dcterms:W3CDTF">2017-05-15T01:50:00Z</dcterms:modified>
</cp:coreProperties>
</file>