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8A" w:rsidRDefault="00CE218A" w:rsidP="00CE218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CE218A" w:rsidRDefault="00CE218A" w:rsidP="00CE218A">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cs="Arial"/>
          <w:b/>
          <w:bCs/>
          <w:i/>
          <w:iCs/>
          <w:sz w:val="36"/>
          <w:szCs w:val="36"/>
          <w:u w:val="single"/>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p>
    <w:p w:rsidR="00CE218A" w:rsidRPr="00CE218A" w:rsidRDefault="00CE218A" w:rsidP="00217967">
      <w:pPr>
        <w:spacing w:line="360" w:lineRule="auto"/>
        <w:jc w:val="both"/>
        <w:rPr>
          <w:rFonts w:ascii="Arial Narrow" w:hAnsi="Arial Narrow" w:cs="Tahoma"/>
          <w:b/>
          <w:bCs/>
          <w:i/>
          <w:iCs/>
          <w:sz w:val="16"/>
          <w:szCs w:val="16"/>
          <w:u w:val="single"/>
        </w:rPr>
      </w:pPr>
    </w:p>
    <w:p w:rsidR="00217967" w:rsidRPr="005F2576" w:rsidRDefault="00217967" w:rsidP="00217967">
      <w:pPr>
        <w:spacing w:line="360" w:lineRule="auto"/>
        <w:jc w:val="both"/>
        <w:rPr>
          <w:rFonts w:ascii="Arial Narrow" w:hAnsi="Arial Narrow" w:cs="Tahoma"/>
          <w:b/>
          <w:bCs/>
          <w:i/>
          <w:iCs/>
          <w:sz w:val="28"/>
          <w:szCs w:val="28"/>
          <w:u w:val="single"/>
        </w:rPr>
      </w:pPr>
      <w:r w:rsidRPr="005F2576">
        <w:rPr>
          <w:rFonts w:ascii="Arial Narrow" w:hAnsi="Arial Narrow" w:cs="Tahoma"/>
          <w:b/>
          <w:bCs/>
          <w:i/>
          <w:iCs/>
          <w:sz w:val="28"/>
          <w:szCs w:val="28"/>
          <w:u w:val="single"/>
        </w:rPr>
        <w:t>ORALIDAD</w:t>
      </w:r>
    </w:p>
    <w:p w:rsidR="00217967" w:rsidRPr="009D005E" w:rsidRDefault="00217967" w:rsidP="00217967">
      <w:pPr>
        <w:jc w:val="both"/>
        <w:rPr>
          <w:rFonts w:ascii="Arial Narrow" w:hAnsi="Arial Narrow" w:cs="Tahoma"/>
          <w:sz w:val="18"/>
          <w:szCs w:val="18"/>
        </w:rPr>
      </w:pPr>
      <w:r w:rsidRPr="009D005E">
        <w:rPr>
          <w:rFonts w:ascii="Arial Narrow" w:hAnsi="Arial Narrow" w:cs="Tahoma"/>
          <w:b/>
          <w:sz w:val="18"/>
          <w:szCs w:val="18"/>
        </w:rPr>
        <w:t>Providencia</w:t>
      </w:r>
      <w:r w:rsidRPr="009D005E">
        <w:rPr>
          <w:rFonts w:ascii="Arial Narrow" w:hAnsi="Arial Narrow" w:cs="Tahoma"/>
          <w:sz w:val="18"/>
          <w:szCs w:val="18"/>
        </w:rPr>
        <w:t>:</w:t>
      </w:r>
      <w:r w:rsidRPr="009D005E">
        <w:rPr>
          <w:rFonts w:ascii="Arial Narrow" w:hAnsi="Arial Narrow" w:cs="Tahoma"/>
          <w:b/>
          <w:sz w:val="18"/>
          <w:szCs w:val="18"/>
        </w:rPr>
        <w:t xml:space="preserve"> </w:t>
      </w:r>
      <w:r w:rsidRPr="009D005E">
        <w:rPr>
          <w:rFonts w:ascii="Arial Narrow" w:hAnsi="Arial Narrow" w:cs="Tahoma"/>
          <w:sz w:val="18"/>
          <w:szCs w:val="18"/>
        </w:rPr>
        <w:tab/>
      </w:r>
      <w:r w:rsidRPr="009D005E">
        <w:rPr>
          <w:rFonts w:ascii="Arial Narrow" w:hAnsi="Arial Narrow" w:cs="Tahoma"/>
          <w:sz w:val="18"/>
          <w:szCs w:val="18"/>
        </w:rPr>
        <w:tab/>
        <w:t xml:space="preserve"> </w:t>
      </w:r>
      <w:r w:rsidRPr="009D005E">
        <w:rPr>
          <w:rFonts w:ascii="Arial Narrow" w:hAnsi="Arial Narrow" w:cs="Tahoma"/>
          <w:sz w:val="18"/>
          <w:szCs w:val="18"/>
        </w:rPr>
        <w:tab/>
        <w:t>Sentencia de Segunda Instancia, jueves 4 de mayo de 2017.</w:t>
      </w:r>
    </w:p>
    <w:p w:rsidR="00CE218A" w:rsidRPr="009D005E" w:rsidRDefault="00CE218A" w:rsidP="00CE218A">
      <w:pPr>
        <w:jc w:val="both"/>
        <w:rPr>
          <w:rFonts w:ascii="Arial Narrow" w:hAnsi="Arial Narrow" w:cs="Tahoma"/>
          <w:iCs/>
          <w:sz w:val="18"/>
          <w:szCs w:val="18"/>
        </w:rPr>
      </w:pPr>
      <w:r w:rsidRPr="009D005E">
        <w:rPr>
          <w:rFonts w:ascii="Arial Narrow" w:hAnsi="Arial Narrow" w:cs="Tahoma"/>
          <w:b/>
          <w:bCs/>
          <w:iCs/>
          <w:sz w:val="18"/>
          <w:szCs w:val="18"/>
        </w:rPr>
        <w:t>Proceso</w:t>
      </w:r>
      <w:r w:rsidRPr="009D005E">
        <w:rPr>
          <w:rFonts w:ascii="Arial Narrow" w:hAnsi="Arial Narrow" w:cs="Tahoma"/>
          <w:bCs/>
          <w:iCs/>
          <w:sz w:val="18"/>
          <w:szCs w:val="18"/>
        </w:rPr>
        <w:t>:</w:t>
      </w:r>
      <w:r w:rsidRPr="009D005E">
        <w:rPr>
          <w:rFonts w:ascii="Arial Narrow" w:hAnsi="Arial Narrow" w:cs="Tahoma"/>
          <w:iCs/>
          <w:sz w:val="18"/>
          <w:szCs w:val="18"/>
        </w:rPr>
        <w:t xml:space="preserve"> </w:t>
      </w:r>
      <w:r w:rsidRPr="009D005E">
        <w:rPr>
          <w:rFonts w:ascii="Arial Narrow" w:hAnsi="Arial Narrow" w:cs="Tahoma"/>
          <w:b/>
          <w:iCs/>
          <w:sz w:val="18"/>
          <w:szCs w:val="18"/>
        </w:rPr>
        <w:tab/>
      </w:r>
      <w:r w:rsidRPr="009D005E">
        <w:rPr>
          <w:rFonts w:ascii="Arial Narrow" w:hAnsi="Arial Narrow" w:cs="Tahoma"/>
          <w:iCs/>
          <w:sz w:val="18"/>
          <w:szCs w:val="18"/>
        </w:rPr>
        <w:tab/>
        <w:t xml:space="preserve"> </w:t>
      </w:r>
      <w:r w:rsidRPr="009D005E">
        <w:rPr>
          <w:rFonts w:ascii="Arial Narrow" w:hAnsi="Arial Narrow" w:cs="Tahoma"/>
          <w:iCs/>
          <w:sz w:val="18"/>
          <w:szCs w:val="18"/>
        </w:rPr>
        <w:tab/>
      </w:r>
      <w:r w:rsidRPr="009D005E">
        <w:rPr>
          <w:rFonts w:ascii="Arial Narrow" w:hAnsi="Arial Narrow" w:cs="Tahoma"/>
          <w:iCs/>
          <w:sz w:val="18"/>
          <w:szCs w:val="18"/>
        </w:rPr>
        <w:tab/>
      </w:r>
      <w:r>
        <w:rPr>
          <w:rFonts w:ascii="Arial Narrow" w:hAnsi="Arial Narrow" w:cs="Tahoma"/>
          <w:iCs/>
          <w:sz w:val="18"/>
          <w:szCs w:val="18"/>
        </w:rPr>
        <w:t>Ordinario Laboral – Revoca decisión del a quo y accede a las pretensiones</w:t>
      </w:r>
    </w:p>
    <w:p w:rsidR="00217967" w:rsidRPr="009D005E" w:rsidRDefault="00217967" w:rsidP="00217967">
      <w:pPr>
        <w:jc w:val="both"/>
        <w:rPr>
          <w:rFonts w:ascii="Arial Narrow" w:hAnsi="Arial Narrow" w:cs="Tahoma"/>
          <w:bCs/>
          <w:iCs/>
          <w:sz w:val="18"/>
          <w:szCs w:val="18"/>
        </w:rPr>
      </w:pPr>
      <w:r w:rsidRPr="009D005E">
        <w:rPr>
          <w:rFonts w:ascii="Arial Narrow" w:hAnsi="Arial Narrow" w:cs="Tahoma"/>
          <w:b/>
          <w:bCs/>
          <w:sz w:val="18"/>
          <w:szCs w:val="18"/>
        </w:rPr>
        <w:t>Radicación No</w:t>
      </w:r>
      <w:r w:rsidRPr="009D005E">
        <w:rPr>
          <w:rFonts w:ascii="Arial Narrow" w:hAnsi="Arial Narrow" w:cs="Tahoma"/>
          <w:bCs/>
          <w:sz w:val="18"/>
          <w:szCs w:val="18"/>
        </w:rPr>
        <w:t>:</w:t>
      </w:r>
      <w:r w:rsidRPr="009D005E">
        <w:rPr>
          <w:rFonts w:ascii="Arial Narrow" w:hAnsi="Arial Narrow" w:cs="Tahoma"/>
          <w:b/>
          <w:bCs/>
          <w:sz w:val="18"/>
          <w:szCs w:val="18"/>
        </w:rPr>
        <w:t xml:space="preserve"> </w:t>
      </w:r>
      <w:r w:rsidRPr="009D005E">
        <w:rPr>
          <w:rFonts w:ascii="Arial Narrow" w:hAnsi="Arial Narrow" w:cs="Tahoma"/>
          <w:b/>
          <w:bCs/>
          <w:sz w:val="18"/>
          <w:szCs w:val="18"/>
        </w:rPr>
        <w:tab/>
        <w:t xml:space="preserve">              </w:t>
      </w:r>
      <w:r w:rsidRPr="009D005E">
        <w:rPr>
          <w:rFonts w:ascii="Arial Narrow" w:hAnsi="Arial Narrow" w:cs="Tahoma"/>
          <w:b/>
          <w:bCs/>
          <w:sz w:val="18"/>
          <w:szCs w:val="18"/>
        </w:rPr>
        <w:tab/>
        <w:t xml:space="preserve"> </w:t>
      </w:r>
      <w:r w:rsidRPr="009D005E">
        <w:rPr>
          <w:rFonts w:ascii="Arial Narrow" w:hAnsi="Arial Narrow" w:cs="Tahoma"/>
          <w:b/>
          <w:bCs/>
          <w:sz w:val="18"/>
          <w:szCs w:val="18"/>
        </w:rPr>
        <w:tab/>
      </w:r>
      <w:r w:rsidRPr="009D005E">
        <w:rPr>
          <w:rFonts w:ascii="Arial Narrow" w:hAnsi="Arial Narrow" w:cs="Tahoma"/>
          <w:bCs/>
          <w:sz w:val="18"/>
          <w:szCs w:val="18"/>
        </w:rPr>
        <w:t>66001-31-05-005-2015-0097-01</w:t>
      </w:r>
    </w:p>
    <w:p w:rsidR="00217967" w:rsidRPr="009D005E" w:rsidRDefault="00217967" w:rsidP="00217967">
      <w:pPr>
        <w:ind w:left="2262" w:hanging="2262"/>
        <w:jc w:val="both"/>
        <w:rPr>
          <w:rFonts w:ascii="Arial Narrow" w:hAnsi="Arial Narrow" w:cs="Tahoma"/>
          <w:iCs/>
          <w:sz w:val="18"/>
          <w:szCs w:val="18"/>
        </w:rPr>
      </w:pPr>
      <w:r w:rsidRPr="009D005E">
        <w:rPr>
          <w:rFonts w:ascii="Arial Narrow" w:hAnsi="Arial Narrow" w:cs="Tahoma"/>
          <w:b/>
          <w:iCs/>
          <w:sz w:val="18"/>
          <w:szCs w:val="18"/>
        </w:rPr>
        <w:t>Demandante</w:t>
      </w:r>
      <w:r w:rsidRPr="009D005E">
        <w:rPr>
          <w:rFonts w:ascii="Arial Narrow" w:hAnsi="Arial Narrow" w:cs="Tahoma"/>
          <w:iCs/>
          <w:sz w:val="18"/>
          <w:szCs w:val="18"/>
        </w:rPr>
        <w:t xml:space="preserve">:                     </w:t>
      </w:r>
      <w:r w:rsidRPr="009D005E">
        <w:rPr>
          <w:rFonts w:ascii="Arial Narrow" w:hAnsi="Arial Narrow" w:cs="Tahoma"/>
          <w:iCs/>
          <w:sz w:val="18"/>
          <w:szCs w:val="18"/>
        </w:rPr>
        <w:tab/>
      </w:r>
      <w:r w:rsidRPr="009D005E">
        <w:rPr>
          <w:rFonts w:ascii="Arial Narrow" w:hAnsi="Arial Narrow" w:cs="Tahoma"/>
          <w:iCs/>
          <w:sz w:val="18"/>
          <w:szCs w:val="18"/>
        </w:rPr>
        <w:tab/>
        <w:t xml:space="preserve">Ismael Olmedo Jiménez Ramos </w:t>
      </w:r>
    </w:p>
    <w:p w:rsidR="00217967" w:rsidRPr="009D005E" w:rsidRDefault="00217967" w:rsidP="00217967">
      <w:pPr>
        <w:ind w:left="2262" w:hanging="2262"/>
        <w:jc w:val="both"/>
        <w:rPr>
          <w:rFonts w:ascii="Arial Narrow" w:hAnsi="Arial Narrow" w:cs="Tahoma"/>
          <w:bCs/>
          <w:sz w:val="18"/>
          <w:szCs w:val="18"/>
        </w:rPr>
      </w:pPr>
      <w:r w:rsidRPr="009D005E">
        <w:rPr>
          <w:rFonts w:ascii="Arial Narrow" w:hAnsi="Arial Narrow" w:cs="Tahoma"/>
          <w:b/>
          <w:bCs/>
          <w:sz w:val="18"/>
          <w:szCs w:val="18"/>
        </w:rPr>
        <w:t>Demandado:</w:t>
      </w:r>
      <w:r w:rsidRPr="009D005E">
        <w:rPr>
          <w:rFonts w:ascii="Arial Narrow" w:hAnsi="Arial Narrow" w:cs="Tahoma"/>
          <w:bCs/>
          <w:sz w:val="18"/>
          <w:szCs w:val="18"/>
        </w:rPr>
        <w:t xml:space="preserve">                     </w:t>
      </w:r>
      <w:r w:rsidRPr="009D005E">
        <w:rPr>
          <w:rFonts w:ascii="Arial Narrow" w:hAnsi="Arial Narrow" w:cs="Tahoma"/>
          <w:bCs/>
          <w:sz w:val="18"/>
          <w:szCs w:val="18"/>
        </w:rPr>
        <w:tab/>
      </w:r>
      <w:r w:rsidRPr="009D005E">
        <w:rPr>
          <w:rFonts w:ascii="Arial Narrow" w:hAnsi="Arial Narrow" w:cs="Tahoma"/>
          <w:bCs/>
          <w:sz w:val="18"/>
          <w:szCs w:val="18"/>
        </w:rPr>
        <w:tab/>
      </w:r>
      <w:proofErr w:type="spellStart"/>
      <w:r w:rsidRPr="009D005E">
        <w:rPr>
          <w:rFonts w:ascii="Arial Narrow" w:hAnsi="Arial Narrow" w:cs="Tahoma"/>
          <w:bCs/>
          <w:sz w:val="18"/>
          <w:szCs w:val="18"/>
        </w:rPr>
        <w:t>Colpensiones</w:t>
      </w:r>
      <w:proofErr w:type="spellEnd"/>
      <w:r w:rsidRPr="009D005E">
        <w:rPr>
          <w:rFonts w:ascii="Arial Narrow" w:hAnsi="Arial Narrow" w:cs="Tahoma"/>
          <w:bCs/>
          <w:sz w:val="18"/>
          <w:szCs w:val="18"/>
        </w:rPr>
        <w:t xml:space="preserve"> </w:t>
      </w:r>
    </w:p>
    <w:p w:rsidR="00217967" w:rsidRPr="009D005E" w:rsidRDefault="00217967" w:rsidP="00217967">
      <w:pPr>
        <w:ind w:left="2340" w:hanging="2340"/>
        <w:jc w:val="both"/>
        <w:rPr>
          <w:rFonts w:ascii="Arial Narrow" w:hAnsi="Arial Narrow" w:cs="Tahoma"/>
          <w:sz w:val="18"/>
          <w:szCs w:val="18"/>
        </w:rPr>
      </w:pPr>
      <w:r w:rsidRPr="009D005E">
        <w:rPr>
          <w:rFonts w:ascii="Arial Narrow" w:hAnsi="Arial Narrow" w:cs="Tahoma"/>
          <w:b/>
          <w:sz w:val="18"/>
          <w:szCs w:val="18"/>
        </w:rPr>
        <w:t>Juzgado de origen</w:t>
      </w:r>
      <w:r w:rsidRPr="009D005E">
        <w:rPr>
          <w:rFonts w:ascii="Arial Narrow" w:hAnsi="Arial Narrow" w:cs="Tahoma"/>
          <w:sz w:val="18"/>
          <w:szCs w:val="18"/>
        </w:rPr>
        <w:t xml:space="preserve">:         </w:t>
      </w:r>
      <w:r w:rsidRPr="009D005E">
        <w:rPr>
          <w:rFonts w:ascii="Arial Narrow" w:hAnsi="Arial Narrow" w:cs="Tahoma"/>
          <w:sz w:val="18"/>
          <w:szCs w:val="18"/>
        </w:rPr>
        <w:tab/>
      </w:r>
      <w:r w:rsidRPr="009D005E">
        <w:rPr>
          <w:rFonts w:ascii="Arial Narrow" w:hAnsi="Arial Narrow" w:cs="Tahoma"/>
          <w:sz w:val="18"/>
          <w:szCs w:val="18"/>
        </w:rPr>
        <w:tab/>
        <w:t>Quinto Laboral del Circuito de Pereira</w:t>
      </w:r>
    </w:p>
    <w:p w:rsidR="00217967" w:rsidRDefault="00217967" w:rsidP="00217967">
      <w:pPr>
        <w:jc w:val="both"/>
        <w:rPr>
          <w:rFonts w:ascii="Arial Narrow" w:hAnsi="Arial Narrow" w:cs="Tahoma"/>
          <w:iCs/>
          <w:sz w:val="18"/>
          <w:szCs w:val="18"/>
        </w:rPr>
      </w:pPr>
      <w:r w:rsidRPr="009D005E">
        <w:rPr>
          <w:rFonts w:ascii="Arial Narrow" w:hAnsi="Arial Narrow" w:cs="Tahoma"/>
          <w:b/>
          <w:iCs/>
          <w:sz w:val="18"/>
          <w:szCs w:val="18"/>
        </w:rPr>
        <w:t xml:space="preserve">Magistrado Ponente:      </w:t>
      </w:r>
      <w:r w:rsidRPr="009D005E">
        <w:rPr>
          <w:rFonts w:ascii="Arial Narrow" w:hAnsi="Arial Narrow" w:cs="Tahoma"/>
          <w:b/>
          <w:iCs/>
          <w:sz w:val="18"/>
          <w:szCs w:val="18"/>
        </w:rPr>
        <w:tab/>
      </w:r>
      <w:r w:rsidRPr="009D005E">
        <w:rPr>
          <w:rFonts w:ascii="Arial Narrow" w:hAnsi="Arial Narrow" w:cs="Tahoma"/>
          <w:b/>
          <w:iCs/>
          <w:sz w:val="18"/>
          <w:szCs w:val="18"/>
        </w:rPr>
        <w:tab/>
      </w:r>
      <w:r w:rsidRPr="009D005E">
        <w:rPr>
          <w:rFonts w:ascii="Arial Narrow" w:hAnsi="Arial Narrow" w:cs="Tahoma"/>
          <w:iCs/>
          <w:sz w:val="18"/>
          <w:szCs w:val="18"/>
        </w:rPr>
        <w:t>Francisco Javier Tamayo Tabares.</w:t>
      </w:r>
    </w:p>
    <w:p w:rsidR="00CE218A" w:rsidRPr="009D005E" w:rsidRDefault="00CE218A" w:rsidP="00217967">
      <w:pPr>
        <w:jc w:val="both"/>
        <w:rPr>
          <w:rFonts w:ascii="Arial Narrow" w:hAnsi="Arial Narrow" w:cs="Tahoma"/>
          <w:b/>
          <w:iCs/>
          <w:sz w:val="18"/>
          <w:szCs w:val="18"/>
        </w:rPr>
      </w:pPr>
    </w:p>
    <w:p w:rsidR="00786CB2" w:rsidRPr="00202A2C" w:rsidRDefault="00217967" w:rsidP="00CE218A">
      <w:pPr>
        <w:ind w:left="2832" w:hanging="2832"/>
        <w:jc w:val="both"/>
        <w:rPr>
          <w:rFonts w:ascii="Arial Narrow" w:hAnsi="Arial Narrow"/>
          <w:sz w:val="18"/>
          <w:szCs w:val="18"/>
          <w:lang w:val="es-ES"/>
        </w:rPr>
      </w:pPr>
      <w:r w:rsidRPr="009D005E">
        <w:rPr>
          <w:rFonts w:ascii="Arial Narrow" w:hAnsi="Arial Narrow" w:cs="Tahoma"/>
          <w:b/>
          <w:bCs/>
          <w:sz w:val="18"/>
          <w:szCs w:val="18"/>
        </w:rPr>
        <w:t xml:space="preserve">Tema a tratar:    </w:t>
      </w:r>
      <w:r w:rsidRPr="009D005E">
        <w:rPr>
          <w:rFonts w:ascii="Arial Narrow" w:hAnsi="Arial Narrow" w:cs="Tahoma"/>
          <w:b/>
          <w:bCs/>
          <w:sz w:val="18"/>
          <w:szCs w:val="18"/>
        </w:rPr>
        <w:tab/>
      </w:r>
      <w:r w:rsidR="00CE218A" w:rsidRPr="006F66B8">
        <w:rPr>
          <w:rFonts w:ascii="Arial Narrow" w:hAnsi="Arial Narrow" w:cs="Tahoma"/>
          <w:b/>
          <w:bCs/>
          <w:sz w:val="18"/>
          <w:szCs w:val="18"/>
        </w:rPr>
        <w:t>RÉGIMEN DE TRANSICIÓN.</w:t>
      </w:r>
      <w:r w:rsidRPr="006F66B8">
        <w:rPr>
          <w:rFonts w:ascii="Arial Narrow" w:hAnsi="Arial Narrow" w:cs="Tahoma"/>
          <w:b/>
          <w:bCs/>
          <w:sz w:val="18"/>
          <w:szCs w:val="18"/>
        </w:rPr>
        <w:t xml:space="preserve"> </w:t>
      </w:r>
      <w:r w:rsidR="00786CB2">
        <w:rPr>
          <w:rFonts w:ascii="Arial Narrow" w:hAnsi="Arial Narrow" w:cs="Tahoma"/>
          <w:bCs/>
          <w:sz w:val="18"/>
          <w:szCs w:val="18"/>
        </w:rPr>
        <w:t>L</w:t>
      </w:r>
      <w:r w:rsidRPr="006F66B8">
        <w:rPr>
          <w:rFonts w:ascii="Arial Narrow" w:hAnsi="Arial Narrow" w:cs="Tahoma"/>
          <w:bCs/>
          <w:sz w:val="18"/>
          <w:szCs w:val="18"/>
        </w:rPr>
        <w:t xml:space="preserve">a Ley 100 de 1993 en su artículo 36 estableció un régimen de transición, </w:t>
      </w:r>
      <w:r w:rsidR="00202A2C">
        <w:rPr>
          <w:rFonts w:ascii="Arial Narrow" w:hAnsi="Arial Narrow" w:cs="Tahoma"/>
          <w:bCs/>
          <w:sz w:val="18"/>
          <w:szCs w:val="18"/>
        </w:rPr>
        <w:t>cuya finalidad es</w:t>
      </w:r>
      <w:r w:rsidRPr="006F66B8">
        <w:rPr>
          <w:rFonts w:ascii="Arial Narrow" w:hAnsi="Arial Narrow" w:cs="Tahoma"/>
          <w:bCs/>
          <w:sz w:val="18"/>
          <w:szCs w:val="18"/>
        </w:rPr>
        <w:t xml:space="preserve"> amparar a las personas que estuvieran en alguno de los grupos allí referidos, las expectativas </w:t>
      </w:r>
      <w:proofErr w:type="gramStart"/>
      <w:r w:rsidRPr="006F66B8">
        <w:rPr>
          <w:rFonts w:ascii="Arial Narrow" w:hAnsi="Arial Narrow" w:cs="Tahoma"/>
          <w:bCs/>
          <w:sz w:val="18"/>
          <w:szCs w:val="18"/>
        </w:rPr>
        <w:t>legitimas</w:t>
      </w:r>
      <w:proofErr w:type="gramEnd"/>
      <w:r w:rsidRPr="006F66B8">
        <w:rPr>
          <w:rFonts w:ascii="Arial Narrow" w:hAnsi="Arial Narrow" w:cs="Tahoma"/>
          <w:bCs/>
          <w:sz w:val="18"/>
          <w:szCs w:val="18"/>
        </w:rPr>
        <w:t xml:space="preserve"> de pensionarse, de conformidad con parte del régimen legal anter</w:t>
      </w:r>
      <w:r w:rsidR="00202A2C">
        <w:rPr>
          <w:rFonts w:ascii="Arial Narrow" w:hAnsi="Arial Narrow" w:cs="Tahoma"/>
          <w:bCs/>
          <w:sz w:val="18"/>
          <w:szCs w:val="18"/>
        </w:rPr>
        <w:t>ior que le resultare aplicable.</w:t>
      </w:r>
      <w:r w:rsidRPr="006F66B8">
        <w:rPr>
          <w:rFonts w:ascii="Arial Narrow" w:hAnsi="Arial Narrow" w:cs="Tahoma"/>
          <w:bCs/>
          <w:sz w:val="18"/>
          <w:szCs w:val="18"/>
        </w:rPr>
        <w:t xml:space="preserve"> Los grupos que se podían beneficiar de tales pautas, eran quienes al 1º de abril de 1994 contarán con uno de estos requisitos: (i) mujeres que tuvieran 35 años o más; (ii) hombres que tuvieran 40 años o más y (iii) hombres y mujeres que tuvieran 15 años de servicios o su equivalente en cotizaciones, sin importar la edad.</w:t>
      </w:r>
      <w:r w:rsidR="00786CB2">
        <w:rPr>
          <w:rFonts w:ascii="Arial Narrow" w:hAnsi="Arial Narrow" w:cs="Tahoma"/>
          <w:bCs/>
          <w:sz w:val="18"/>
          <w:szCs w:val="18"/>
        </w:rPr>
        <w:t xml:space="preserve"> </w:t>
      </w:r>
      <w:r w:rsidR="00CE218A" w:rsidRPr="00786CB2">
        <w:rPr>
          <w:rFonts w:ascii="Arial Narrow" w:hAnsi="Arial Narrow" w:cs="Tahoma"/>
          <w:b/>
          <w:bCs/>
          <w:sz w:val="18"/>
          <w:szCs w:val="18"/>
        </w:rPr>
        <w:t>TRÁMITE PREVIO A LA IMPOSICIÓN DE LA MEDIDA SANCIONATORIA DE PÉRDIDA DEL SUBSIDIO DEL</w:t>
      </w:r>
      <w:r w:rsidR="00CE218A">
        <w:rPr>
          <w:rFonts w:ascii="Arial Narrow" w:hAnsi="Arial Narrow" w:cs="Tahoma"/>
          <w:b/>
          <w:bCs/>
          <w:sz w:val="18"/>
          <w:szCs w:val="18"/>
        </w:rPr>
        <w:t xml:space="preserve"> FONDO DE SOLIDARIDAD</w:t>
      </w:r>
      <w:r w:rsidR="00CE218A" w:rsidRPr="00202A2C">
        <w:rPr>
          <w:rFonts w:ascii="Arial Narrow" w:hAnsi="Arial Narrow" w:cs="Tahoma"/>
          <w:b/>
          <w:bCs/>
          <w:sz w:val="18"/>
          <w:szCs w:val="18"/>
        </w:rPr>
        <w:t xml:space="preserve"> PENSIONAL:</w:t>
      </w:r>
      <w:r w:rsidR="00786CB2" w:rsidRPr="00202A2C">
        <w:rPr>
          <w:rFonts w:ascii="Arial Narrow" w:hAnsi="Arial Narrow" w:cs="Tahoma"/>
          <w:b/>
          <w:bCs/>
          <w:sz w:val="18"/>
          <w:szCs w:val="18"/>
        </w:rPr>
        <w:t xml:space="preserve"> </w:t>
      </w:r>
      <w:r w:rsidR="00202A2C" w:rsidRPr="00202A2C">
        <w:rPr>
          <w:rFonts w:ascii="Arial Narrow" w:hAnsi="Arial Narrow" w:cs="Tahoma"/>
          <w:b/>
          <w:bCs/>
          <w:sz w:val="18"/>
          <w:szCs w:val="18"/>
        </w:rPr>
        <w:t>“</w:t>
      </w:r>
      <w:r w:rsidR="00786CB2" w:rsidRPr="00202A2C">
        <w:rPr>
          <w:rFonts w:ascii="Arial Narrow" w:hAnsi="Arial Narrow"/>
          <w:iCs/>
          <w:sz w:val="18"/>
          <w:szCs w:val="18"/>
          <w:lang w:val="es-ES"/>
        </w:rPr>
        <w:t>la administradora de pensiones correspondiente, tendrá hasta el último día hábil del sexto mes para comunicar a la entidad administradora del Fondo de Solidaridad Pensional sobre tal situación, con el fin de que esta proceda a suspender su afiliación al programa. En todo caso, la administradora del Fondo de Solidaridad Pensional deberá verificar que no se haya cobrado el subsidio durante este período».</w:t>
      </w:r>
      <w:r w:rsidR="00CE218A">
        <w:rPr>
          <w:rFonts w:ascii="Arial Narrow" w:hAnsi="Arial Narrow"/>
          <w:iCs/>
          <w:sz w:val="18"/>
          <w:szCs w:val="18"/>
          <w:lang w:val="es-ES"/>
        </w:rPr>
        <w:t xml:space="preserve"> </w:t>
      </w:r>
      <w:r w:rsidR="00786CB2" w:rsidRPr="00202A2C">
        <w:rPr>
          <w:rFonts w:ascii="Arial Narrow" w:hAnsi="Arial Narrow"/>
          <w:iCs/>
          <w:sz w:val="18"/>
          <w:szCs w:val="18"/>
          <w:lang w:val="es-ES"/>
        </w:rPr>
        <w:t xml:space="preserve">Significa lo anterior que ni la suspensión, ni la pérdida del derecho al subsidio operan en forma automática y de pleno derecho, sino que es indispensable que el Instituto informe a PROSPERAR sobre la supuesta falta de pago del demandante de la parte del aporte que le correspondía cancelar. </w:t>
      </w:r>
      <w:r w:rsidR="00CE218A">
        <w:rPr>
          <w:rFonts w:ascii="Arial Narrow" w:hAnsi="Arial Narrow"/>
          <w:iCs/>
          <w:sz w:val="18"/>
          <w:szCs w:val="18"/>
          <w:lang w:val="es-ES"/>
        </w:rPr>
        <w:t xml:space="preserve"> </w:t>
      </w:r>
      <w:r w:rsidR="00786CB2" w:rsidRPr="00202A2C">
        <w:rPr>
          <w:rFonts w:ascii="Arial Narrow" w:hAnsi="Arial Narrow"/>
          <w:iCs/>
          <w:sz w:val="18"/>
          <w:szCs w:val="18"/>
          <w:lang w:val="es-ES"/>
        </w:rPr>
        <w:t>Para la Sala es claro, especialmente en situaciones que involucran la afectación de un derecho de una connotación esencial como el de acceder a la pensión de una persona de la tercera edad, la necesidad de brindar la posibilidad de ponerse al día en el pago de la fracción de la cotización a su cargo, lo cual impone que la eventual falta de pago sea puesta en conocimiento del interesado para que adopte la conducta que estime pertinente en perspectiva de no comprometer su condición de beneficiario del esquema solidario y no poner en riesgo el acceso a la pensión de vejez. En todo caso, para que ejerza su derecho de contradicción y defensa, que en esta ocasión fue menoscabado por la enjuiciada, en la medida en que no adelantó alguna diligencia para notificar al demandante de la supuesta irregularidad en el pago de sus aportes; es decir, le aplicó una sanción sin enterarlo sobre las razones que la inspiraron.”(</w:t>
      </w:r>
      <w:r w:rsidR="00202A2C" w:rsidRPr="00202A2C">
        <w:rPr>
          <w:rFonts w:ascii="Arial Narrow" w:hAnsi="Arial Narrow"/>
          <w:iCs/>
          <w:sz w:val="18"/>
          <w:szCs w:val="18"/>
          <w:lang w:val="es-ES"/>
        </w:rPr>
        <w:t>S</w:t>
      </w:r>
      <w:r w:rsidR="00786CB2" w:rsidRPr="00202A2C">
        <w:rPr>
          <w:rFonts w:ascii="Arial Narrow" w:hAnsi="Arial Narrow"/>
          <w:iCs/>
          <w:sz w:val="18"/>
          <w:szCs w:val="18"/>
          <w:lang w:val="es-ES"/>
        </w:rPr>
        <w:t xml:space="preserve">entencia </w:t>
      </w:r>
      <w:r w:rsidR="00202A2C" w:rsidRPr="00202A2C">
        <w:rPr>
          <w:rFonts w:ascii="Arial Narrow" w:hAnsi="Arial Narrow" w:cs="Arial"/>
          <w:sz w:val="18"/>
          <w:szCs w:val="18"/>
          <w:lang w:val="es-ES"/>
        </w:rPr>
        <w:t>No. 45639 del 2016, Sala Laboral CSJ).</w:t>
      </w:r>
    </w:p>
    <w:p w:rsidR="00786CB2" w:rsidRPr="00202A2C" w:rsidRDefault="00786CB2" w:rsidP="00786CB2">
      <w:pPr>
        <w:pStyle w:val="Sansinterligne"/>
        <w:rPr>
          <w:sz w:val="18"/>
          <w:szCs w:val="18"/>
        </w:rPr>
      </w:pPr>
    </w:p>
    <w:p w:rsidR="00217967" w:rsidRPr="00786CB2" w:rsidRDefault="00217967" w:rsidP="00217967">
      <w:pPr>
        <w:ind w:left="2835" w:hanging="2835"/>
        <w:jc w:val="both"/>
        <w:rPr>
          <w:rFonts w:ascii="Arial Narrow" w:hAnsi="Arial Narrow" w:cs="Arial"/>
          <w:b/>
          <w:sz w:val="18"/>
          <w:szCs w:val="18"/>
          <w:lang w:val="es-ES"/>
        </w:rPr>
      </w:pPr>
    </w:p>
    <w:p w:rsidR="00217967" w:rsidRPr="009D005E" w:rsidRDefault="00217967" w:rsidP="00217967">
      <w:pPr>
        <w:spacing w:line="276" w:lineRule="auto"/>
        <w:ind w:left="2340" w:hanging="1440"/>
        <w:jc w:val="both"/>
        <w:rPr>
          <w:rFonts w:ascii="Arial Narrow" w:hAnsi="Arial Narrow" w:cs="Tahoma"/>
          <w:b/>
          <w:sz w:val="28"/>
          <w:szCs w:val="28"/>
        </w:rPr>
      </w:pPr>
      <w:r w:rsidRPr="009D005E">
        <w:rPr>
          <w:rFonts w:ascii="Arial Narrow" w:hAnsi="Arial Narrow" w:cs="Tahoma"/>
          <w:b/>
          <w:sz w:val="28"/>
          <w:szCs w:val="28"/>
          <w:u w:val="single"/>
        </w:rPr>
        <w:t>AUDIENCIA PÚBLICA</w:t>
      </w:r>
      <w:r w:rsidRPr="009D005E">
        <w:rPr>
          <w:rFonts w:ascii="Arial Narrow" w:hAnsi="Arial Narrow" w:cs="Tahoma"/>
          <w:b/>
          <w:sz w:val="28"/>
          <w:szCs w:val="28"/>
        </w:rPr>
        <w:t>:</w:t>
      </w:r>
    </w:p>
    <w:p w:rsidR="00217967" w:rsidRPr="009D005E" w:rsidRDefault="00217967" w:rsidP="00217967">
      <w:pPr>
        <w:pStyle w:val="Sansinterligne"/>
        <w:rPr>
          <w:sz w:val="28"/>
          <w:szCs w:val="28"/>
        </w:rPr>
      </w:pPr>
      <w:r w:rsidRPr="009D005E">
        <w:rPr>
          <w:sz w:val="28"/>
          <w:szCs w:val="28"/>
        </w:rPr>
        <w:tab/>
      </w:r>
    </w:p>
    <w:p w:rsidR="00217967" w:rsidRPr="009D005E" w:rsidRDefault="00217967" w:rsidP="00217967">
      <w:pPr>
        <w:spacing w:line="360" w:lineRule="auto"/>
        <w:ind w:firstLine="851"/>
        <w:jc w:val="both"/>
        <w:rPr>
          <w:rFonts w:ascii="Arial Narrow" w:eastAsia="Calibri" w:hAnsi="Arial Narrow" w:cs="Arial"/>
          <w:sz w:val="28"/>
          <w:szCs w:val="28"/>
          <w:lang w:val="es-CO" w:eastAsia="en-US"/>
        </w:rPr>
      </w:pPr>
      <w:r w:rsidRPr="009D005E">
        <w:rPr>
          <w:rFonts w:ascii="Arial Narrow" w:eastAsia="Calibri" w:hAnsi="Arial Narrow" w:cs="Arial"/>
          <w:sz w:val="28"/>
          <w:szCs w:val="28"/>
          <w:lang w:val="es-CO" w:eastAsia="en-US"/>
        </w:rPr>
        <w:t xml:space="preserve">Pereira, hoy cuatro (04) de mayo de </w:t>
      </w:r>
      <w:r w:rsidR="009D005E" w:rsidRPr="009D005E">
        <w:rPr>
          <w:rFonts w:ascii="Arial Narrow" w:eastAsia="Calibri" w:hAnsi="Arial Narrow" w:cs="Arial"/>
          <w:sz w:val="28"/>
          <w:szCs w:val="28"/>
          <w:lang w:val="es-CO" w:eastAsia="en-US"/>
        </w:rPr>
        <w:t xml:space="preserve">dos mil diecisiete </w:t>
      </w:r>
      <w:r w:rsidRPr="009D005E">
        <w:rPr>
          <w:rFonts w:ascii="Arial Narrow" w:eastAsia="Calibri" w:hAnsi="Arial Narrow" w:cs="Arial"/>
          <w:sz w:val="28"/>
          <w:szCs w:val="28"/>
          <w:lang w:val="es-CO" w:eastAsia="en-US"/>
        </w:rPr>
        <w:t>(201</w:t>
      </w:r>
      <w:r w:rsidR="009D005E" w:rsidRPr="009D005E">
        <w:rPr>
          <w:rFonts w:ascii="Arial Narrow" w:eastAsia="Calibri" w:hAnsi="Arial Narrow" w:cs="Arial"/>
          <w:sz w:val="28"/>
          <w:szCs w:val="28"/>
          <w:lang w:val="es-CO" w:eastAsia="en-US"/>
        </w:rPr>
        <w:t>7</w:t>
      </w:r>
      <w:r w:rsidRPr="009D005E">
        <w:rPr>
          <w:rFonts w:ascii="Arial Narrow" w:eastAsia="Calibri" w:hAnsi="Arial Narrow" w:cs="Arial"/>
          <w:sz w:val="28"/>
          <w:szCs w:val="28"/>
          <w:lang w:val="es-CO" w:eastAsia="en-US"/>
        </w:rPr>
        <w:t xml:space="preserve">), siendo </w:t>
      </w:r>
      <w:r w:rsidR="009D005E" w:rsidRPr="009D005E">
        <w:rPr>
          <w:rFonts w:ascii="Arial Narrow" w:eastAsia="Calibri" w:hAnsi="Arial Narrow" w:cs="Arial"/>
          <w:sz w:val="28"/>
          <w:szCs w:val="28"/>
          <w:lang w:val="es-CO" w:eastAsia="en-US"/>
        </w:rPr>
        <w:t xml:space="preserve">las                      </w:t>
      </w:r>
      <w:r w:rsidRPr="009D005E">
        <w:rPr>
          <w:rFonts w:ascii="Arial Narrow" w:eastAsia="Calibri" w:hAnsi="Arial Narrow" w:cs="Arial"/>
          <w:sz w:val="28"/>
          <w:szCs w:val="28"/>
          <w:lang w:val="es-CO" w:eastAsia="en-US"/>
        </w:rPr>
        <w:t>(</w:t>
      </w:r>
      <w:r w:rsidR="009D005E" w:rsidRPr="009D005E">
        <w:rPr>
          <w:rFonts w:ascii="Arial Narrow" w:eastAsia="Calibri" w:hAnsi="Arial Narrow" w:cs="Arial"/>
          <w:sz w:val="28"/>
          <w:szCs w:val="28"/>
          <w:lang w:val="es-CO" w:eastAsia="en-US"/>
        </w:rPr>
        <w:t xml:space="preserve">          </w:t>
      </w:r>
      <w:r w:rsidRPr="009D005E">
        <w:rPr>
          <w:rFonts w:ascii="Arial Narrow" w:eastAsia="Calibri" w:hAnsi="Arial Narrow" w:cs="Arial"/>
          <w:sz w:val="28"/>
          <w:szCs w:val="28"/>
          <w:lang w:val="es-CO" w:eastAsia="en-US"/>
        </w:rPr>
        <w:t xml:space="preserve"> ) </w:t>
      </w:r>
      <w:r w:rsidRPr="009D005E">
        <w:rPr>
          <w:rFonts w:ascii="Arial Narrow" w:hAnsi="Arial Narrow" w:cs="Tahoma"/>
          <w:bCs/>
          <w:color w:val="000000"/>
          <w:sz w:val="28"/>
          <w:szCs w:val="28"/>
          <w:lang w:val="es-ES"/>
        </w:rPr>
        <w:t>reunidos en la Sala de Audiencia l</w:t>
      </w:r>
      <w:r w:rsidR="009D005E" w:rsidRPr="009D005E">
        <w:rPr>
          <w:rFonts w:ascii="Arial Narrow" w:hAnsi="Arial Narrow" w:cs="Tahoma"/>
          <w:bCs/>
          <w:color w:val="000000"/>
          <w:sz w:val="28"/>
          <w:szCs w:val="28"/>
          <w:lang w:val="es-ES"/>
        </w:rPr>
        <w:t xml:space="preserve">as magistradas y el suscrito </w:t>
      </w:r>
      <w:r w:rsidRPr="009D005E">
        <w:rPr>
          <w:rFonts w:ascii="Arial Narrow" w:hAnsi="Arial Narrow" w:cs="Tahoma"/>
          <w:bCs/>
          <w:color w:val="000000"/>
          <w:sz w:val="28"/>
          <w:szCs w:val="28"/>
          <w:lang w:val="es-ES"/>
        </w:rPr>
        <w:t xml:space="preserve">magistrado de la Sala Laboral del Tribunal de Pereira, en su Sala de Decisión No. 03, presidida por el ponente, declaran abierto el acto, el cual tiene por objeto decidir el grado jurisdiccional de consulta de la sentencia </w:t>
      </w:r>
      <w:r w:rsidR="009D005E" w:rsidRPr="009D005E">
        <w:rPr>
          <w:rFonts w:ascii="Arial Narrow" w:hAnsi="Arial Narrow" w:cs="Tahoma"/>
          <w:bCs/>
          <w:color w:val="000000"/>
          <w:sz w:val="28"/>
          <w:szCs w:val="28"/>
          <w:lang w:val="es-ES"/>
        </w:rPr>
        <w:t>proferida e</w:t>
      </w:r>
      <w:r w:rsidRPr="009D005E">
        <w:rPr>
          <w:rFonts w:ascii="Arial Narrow" w:hAnsi="Arial Narrow" w:cs="Tahoma"/>
          <w:bCs/>
          <w:color w:val="000000"/>
          <w:sz w:val="28"/>
          <w:szCs w:val="28"/>
          <w:lang w:val="es-ES"/>
        </w:rPr>
        <w:t xml:space="preserve">l </w:t>
      </w:r>
      <w:r w:rsidR="009D005E" w:rsidRPr="009D005E">
        <w:rPr>
          <w:rFonts w:ascii="Arial Narrow" w:hAnsi="Arial Narrow" w:cs="Tahoma"/>
          <w:bCs/>
          <w:color w:val="000000"/>
          <w:sz w:val="28"/>
          <w:szCs w:val="28"/>
          <w:lang w:val="es-ES"/>
        </w:rPr>
        <w:t xml:space="preserve">21 de abril de 2016 por el </w:t>
      </w:r>
      <w:r w:rsidRPr="009D005E">
        <w:rPr>
          <w:rFonts w:ascii="Arial Narrow" w:hAnsi="Arial Narrow" w:cs="Tahoma"/>
          <w:sz w:val="28"/>
          <w:szCs w:val="28"/>
        </w:rPr>
        <w:t xml:space="preserve"> Juzgado </w:t>
      </w:r>
      <w:r w:rsidR="009D005E" w:rsidRPr="009D005E">
        <w:rPr>
          <w:rFonts w:ascii="Arial Narrow" w:hAnsi="Arial Narrow" w:cs="Tahoma"/>
          <w:sz w:val="28"/>
          <w:szCs w:val="28"/>
        </w:rPr>
        <w:t xml:space="preserve">Quinto </w:t>
      </w:r>
      <w:r w:rsidRPr="009D005E">
        <w:rPr>
          <w:rFonts w:ascii="Arial Narrow" w:hAnsi="Arial Narrow" w:cs="Tahoma"/>
          <w:sz w:val="28"/>
          <w:szCs w:val="28"/>
        </w:rPr>
        <w:t>Laboral del Circuito de Pereira</w:t>
      </w:r>
      <w:r w:rsidRPr="009D005E">
        <w:rPr>
          <w:rFonts w:ascii="Arial Narrow" w:hAnsi="Arial Narrow" w:cs="Arial"/>
          <w:sz w:val="28"/>
          <w:szCs w:val="28"/>
        </w:rPr>
        <w:t xml:space="preserve">, dentro del proceso ordinario laboral promovido por </w:t>
      </w:r>
      <w:r w:rsidR="009D005E" w:rsidRPr="009D005E">
        <w:rPr>
          <w:rFonts w:ascii="Arial Narrow" w:hAnsi="Arial Narrow" w:cs="Arial"/>
          <w:b/>
          <w:i/>
          <w:sz w:val="28"/>
          <w:szCs w:val="28"/>
        </w:rPr>
        <w:t xml:space="preserve">Ismael Olmedo Jiménez Ramos </w:t>
      </w:r>
      <w:r w:rsidRPr="009D005E">
        <w:rPr>
          <w:rFonts w:ascii="Arial Narrow" w:hAnsi="Arial Narrow" w:cs="Arial"/>
          <w:sz w:val="28"/>
          <w:szCs w:val="28"/>
        </w:rPr>
        <w:t xml:space="preserve">contra </w:t>
      </w:r>
      <w:proofErr w:type="spellStart"/>
      <w:r w:rsidRPr="009D005E">
        <w:rPr>
          <w:rFonts w:ascii="Arial Narrow" w:hAnsi="Arial Narrow" w:cs="Arial"/>
          <w:b/>
          <w:i/>
          <w:sz w:val="28"/>
          <w:szCs w:val="28"/>
        </w:rPr>
        <w:t>Colpensiones</w:t>
      </w:r>
      <w:proofErr w:type="spellEnd"/>
      <w:r w:rsidR="009D005E" w:rsidRPr="009D005E">
        <w:rPr>
          <w:rFonts w:ascii="Arial Narrow" w:hAnsi="Arial Narrow" w:cs="Arial"/>
          <w:b/>
          <w:i/>
          <w:sz w:val="28"/>
          <w:szCs w:val="28"/>
        </w:rPr>
        <w:t>.</w:t>
      </w:r>
    </w:p>
    <w:p w:rsidR="00217967" w:rsidRPr="009D005E" w:rsidRDefault="00217967" w:rsidP="00217967">
      <w:pPr>
        <w:shd w:val="clear" w:color="auto" w:fill="FFFFFF"/>
        <w:spacing w:line="360" w:lineRule="auto"/>
        <w:jc w:val="both"/>
        <w:rPr>
          <w:rFonts w:ascii="Arial Narrow" w:hAnsi="Arial Narrow" w:cs="Tahoma"/>
          <w:bCs/>
          <w:color w:val="000000"/>
          <w:sz w:val="28"/>
          <w:szCs w:val="28"/>
          <w:lang w:val="es-ES"/>
        </w:rPr>
      </w:pPr>
      <w:r w:rsidRPr="009D005E">
        <w:rPr>
          <w:rFonts w:ascii="Arial Narrow" w:hAnsi="Arial Narrow" w:cs="Tahoma"/>
          <w:bCs/>
          <w:color w:val="000000"/>
          <w:sz w:val="28"/>
          <w:szCs w:val="28"/>
          <w:lang w:val="es-ES"/>
        </w:rPr>
        <w:t> </w:t>
      </w:r>
    </w:p>
    <w:p w:rsidR="00217967" w:rsidRDefault="002D31B9" w:rsidP="00217967">
      <w:pPr>
        <w:shd w:val="clear" w:color="auto" w:fill="FFFFFF"/>
        <w:spacing w:line="360" w:lineRule="auto"/>
        <w:ind w:firstLine="851"/>
        <w:jc w:val="both"/>
        <w:rPr>
          <w:rFonts w:ascii="Arial Narrow" w:hAnsi="Arial Narrow" w:cs="Tahoma"/>
          <w:b/>
          <w:bCs/>
          <w:color w:val="000000"/>
          <w:sz w:val="28"/>
          <w:szCs w:val="28"/>
          <w:lang w:val="es-ES"/>
        </w:rPr>
      </w:pPr>
      <w:r>
        <w:rPr>
          <w:rFonts w:ascii="Arial Narrow" w:hAnsi="Arial Narrow" w:cs="Tahoma"/>
          <w:b/>
          <w:bCs/>
          <w:color w:val="000000"/>
          <w:sz w:val="28"/>
          <w:szCs w:val="28"/>
          <w:lang w:val="es-ES"/>
        </w:rPr>
        <w:t>IDENTIFICACIÓN DE LOS PRESENTES</w:t>
      </w:r>
    </w:p>
    <w:p w:rsidR="002D31B9" w:rsidRPr="002D31B9" w:rsidRDefault="002D31B9" w:rsidP="002D31B9">
      <w:pPr>
        <w:pStyle w:val="Paragraphedeliste"/>
        <w:numPr>
          <w:ilvl w:val="0"/>
          <w:numId w:val="1"/>
        </w:numPr>
        <w:shd w:val="clear" w:color="auto" w:fill="FFFFFF"/>
        <w:spacing w:line="360" w:lineRule="auto"/>
        <w:jc w:val="both"/>
        <w:rPr>
          <w:rFonts w:ascii="Arial Narrow" w:hAnsi="Arial Narrow" w:cs="Tahoma"/>
          <w:b/>
          <w:bCs/>
          <w:color w:val="000000"/>
          <w:sz w:val="28"/>
          <w:szCs w:val="28"/>
          <w:lang w:val="es-ES"/>
        </w:rPr>
      </w:pPr>
      <w:r>
        <w:rPr>
          <w:rFonts w:ascii="Arial Narrow" w:hAnsi="Arial Narrow" w:cs="Tahoma"/>
          <w:b/>
          <w:bCs/>
          <w:color w:val="000000"/>
          <w:sz w:val="28"/>
          <w:szCs w:val="28"/>
          <w:lang w:val="es-ES"/>
        </w:rPr>
        <w:t>INTRODUCCIÓN</w:t>
      </w:r>
    </w:p>
    <w:p w:rsidR="00217967" w:rsidRPr="005F2576" w:rsidRDefault="00217967" w:rsidP="005F2576">
      <w:pPr>
        <w:pStyle w:val="Sansinterligne"/>
      </w:pPr>
    </w:p>
    <w:p w:rsidR="00217967" w:rsidRDefault="00217967" w:rsidP="00217967">
      <w:pPr>
        <w:spacing w:line="360" w:lineRule="auto"/>
        <w:ind w:firstLine="900"/>
        <w:jc w:val="both"/>
        <w:rPr>
          <w:rFonts w:ascii="Arial Narrow" w:hAnsi="Arial Narrow" w:cs="Tahoma"/>
          <w:sz w:val="28"/>
          <w:szCs w:val="28"/>
        </w:rPr>
      </w:pPr>
      <w:r w:rsidRPr="009D005E">
        <w:rPr>
          <w:rFonts w:ascii="Arial Narrow" w:hAnsi="Arial Narrow" w:cs="Tahoma"/>
          <w:sz w:val="28"/>
          <w:szCs w:val="28"/>
        </w:rPr>
        <w:lastRenderedPageBreak/>
        <w:t>Persigue el demandante que se declare que</w:t>
      </w:r>
      <w:r w:rsidR="002D31B9">
        <w:rPr>
          <w:rFonts w:ascii="Arial Narrow" w:hAnsi="Arial Narrow" w:cs="Tahoma"/>
          <w:sz w:val="28"/>
          <w:szCs w:val="28"/>
        </w:rPr>
        <w:t xml:space="preserve"> es beneficiario del régimen de transición que consagra el artículo 36 de la Ley 100/93, y como consecuencia de ello, se condene a la entidad convocada a juicio, a reconocer la pensión de vejez a partir del 24 de marzo de 2013, con fundamento en el artículo 12 del Acuerdo 049 de 1990, aprobado por el Decreto 758 del mismo año, junto con los intereses moratorios de que trata el artículo 141 de la Ley 100/93, la indexación de las condenas y las costas del proceso. </w:t>
      </w:r>
      <w:r w:rsidRPr="009D005E">
        <w:rPr>
          <w:rFonts w:ascii="Arial Narrow" w:hAnsi="Arial Narrow" w:cs="Tahoma"/>
          <w:sz w:val="28"/>
          <w:szCs w:val="28"/>
        </w:rPr>
        <w:t xml:space="preserve"> </w:t>
      </w:r>
    </w:p>
    <w:p w:rsidR="002D31B9" w:rsidRPr="009D005E" w:rsidRDefault="002D31B9" w:rsidP="002D31B9">
      <w:pPr>
        <w:pStyle w:val="Sansinterligne"/>
      </w:pPr>
    </w:p>
    <w:p w:rsidR="00D3428B" w:rsidRDefault="00217967" w:rsidP="00217967">
      <w:pPr>
        <w:spacing w:line="360" w:lineRule="auto"/>
        <w:ind w:firstLine="900"/>
        <w:jc w:val="both"/>
        <w:rPr>
          <w:rFonts w:ascii="Arial Narrow" w:hAnsi="Arial Narrow" w:cs="Tahoma"/>
          <w:sz w:val="28"/>
          <w:szCs w:val="28"/>
        </w:rPr>
      </w:pPr>
      <w:r w:rsidRPr="009D005E">
        <w:rPr>
          <w:rFonts w:ascii="Arial Narrow" w:hAnsi="Arial Narrow" w:cs="Tahoma"/>
          <w:sz w:val="28"/>
          <w:szCs w:val="28"/>
        </w:rPr>
        <w:t xml:space="preserve">Sustenta sus pedidos en que nació </w:t>
      </w:r>
      <w:r w:rsidR="00D3428B">
        <w:rPr>
          <w:rFonts w:ascii="Arial Narrow" w:hAnsi="Arial Narrow" w:cs="Tahoma"/>
          <w:sz w:val="28"/>
          <w:szCs w:val="28"/>
        </w:rPr>
        <w:t xml:space="preserve">el 24 de marzo de 1953, por lo que al 1º de abril de 1994 contaba con más de 40 años de edad; </w:t>
      </w:r>
      <w:r w:rsidR="0089068B">
        <w:rPr>
          <w:rFonts w:ascii="Arial Narrow" w:hAnsi="Arial Narrow" w:cs="Tahoma"/>
          <w:sz w:val="28"/>
          <w:szCs w:val="28"/>
        </w:rPr>
        <w:t xml:space="preserve">que </w:t>
      </w:r>
      <w:r w:rsidR="00D3428B">
        <w:rPr>
          <w:rFonts w:ascii="Arial Narrow" w:hAnsi="Arial Narrow" w:cs="Tahoma"/>
          <w:sz w:val="28"/>
          <w:szCs w:val="28"/>
        </w:rPr>
        <w:t>en el mes de marzo de 2013 presentó la solicitud pensional ante la entidad de seguridad social</w:t>
      </w:r>
      <w:r w:rsidR="0089068B">
        <w:rPr>
          <w:rFonts w:ascii="Arial Narrow" w:hAnsi="Arial Narrow" w:cs="Tahoma"/>
          <w:sz w:val="28"/>
          <w:szCs w:val="28"/>
        </w:rPr>
        <w:t xml:space="preserve">, </w:t>
      </w:r>
      <w:r w:rsidR="00A97750">
        <w:rPr>
          <w:rFonts w:ascii="Arial Narrow" w:hAnsi="Arial Narrow" w:cs="Tahoma"/>
          <w:sz w:val="28"/>
          <w:szCs w:val="28"/>
        </w:rPr>
        <w:t>y que le fue</w:t>
      </w:r>
      <w:r w:rsidR="0089068B">
        <w:rPr>
          <w:rFonts w:ascii="Arial Narrow" w:hAnsi="Arial Narrow" w:cs="Tahoma"/>
          <w:sz w:val="28"/>
          <w:szCs w:val="28"/>
        </w:rPr>
        <w:t xml:space="preserve"> resuelta desfavorablemente </w:t>
      </w:r>
      <w:r w:rsidR="00A97750">
        <w:rPr>
          <w:rFonts w:ascii="Arial Narrow" w:hAnsi="Arial Narrow" w:cs="Tahoma"/>
          <w:sz w:val="28"/>
          <w:szCs w:val="28"/>
        </w:rPr>
        <w:t>a través de la R</w:t>
      </w:r>
      <w:r w:rsidR="0089068B">
        <w:rPr>
          <w:rFonts w:ascii="Arial Narrow" w:hAnsi="Arial Narrow" w:cs="Tahoma"/>
          <w:sz w:val="28"/>
          <w:szCs w:val="28"/>
        </w:rPr>
        <w:t>esolución GNR 112922 de 2013; que contra dicho acto administrativo interpuso los recursos de ley, p</w:t>
      </w:r>
      <w:r w:rsidR="00A97750">
        <w:rPr>
          <w:rFonts w:ascii="Arial Narrow" w:hAnsi="Arial Narrow" w:cs="Tahoma"/>
          <w:sz w:val="28"/>
          <w:szCs w:val="28"/>
        </w:rPr>
        <w:t xml:space="preserve">orque la </w:t>
      </w:r>
      <w:r w:rsidR="0089068B">
        <w:rPr>
          <w:rFonts w:ascii="Arial Narrow" w:hAnsi="Arial Narrow" w:cs="Tahoma"/>
          <w:sz w:val="28"/>
          <w:szCs w:val="28"/>
        </w:rPr>
        <w:t xml:space="preserve">entidad </w:t>
      </w:r>
      <w:r w:rsidR="00A97750">
        <w:rPr>
          <w:rFonts w:ascii="Arial Narrow" w:hAnsi="Arial Narrow" w:cs="Tahoma"/>
          <w:sz w:val="28"/>
          <w:szCs w:val="28"/>
        </w:rPr>
        <w:t xml:space="preserve">demandada </w:t>
      </w:r>
      <w:r w:rsidR="0089068B">
        <w:rPr>
          <w:rFonts w:ascii="Arial Narrow" w:hAnsi="Arial Narrow" w:cs="Tahoma"/>
          <w:sz w:val="28"/>
          <w:szCs w:val="28"/>
        </w:rPr>
        <w:t xml:space="preserve">no tuvo en cuenta </w:t>
      </w:r>
      <w:r w:rsidR="00A97750">
        <w:rPr>
          <w:rFonts w:ascii="Arial Narrow" w:hAnsi="Arial Narrow" w:cs="Tahoma"/>
          <w:sz w:val="28"/>
          <w:szCs w:val="28"/>
        </w:rPr>
        <w:t xml:space="preserve">327 semanas de aportes referentes al </w:t>
      </w:r>
      <w:r w:rsidR="0089068B">
        <w:rPr>
          <w:rFonts w:ascii="Arial Narrow" w:hAnsi="Arial Narrow" w:cs="Tahoma"/>
          <w:sz w:val="28"/>
          <w:szCs w:val="28"/>
        </w:rPr>
        <w:t>tiempo laborado en la empresa “REINDEVA HERNANDO ARANGO”</w:t>
      </w:r>
      <w:r w:rsidR="009311E8">
        <w:rPr>
          <w:rFonts w:ascii="Arial Narrow" w:hAnsi="Arial Narrow" w:cs="Tahoma"/>
          <w:sz w:val="28"/>
          <w:szCs w:val="28"/>
        </w:rPr>
        <w:t>. Indica que presentó la solicitud de corrección y actualización de su historia laboral,</w:t>
      </w:r>
      <w:r w:rsidR="00B342CB">
        <w:rPr>
          <w:rFonts w:ascii="Arial Narrow" w:hAnsi="Arial Narrow" w:cs="Tahoma"/>
          <w:sz w:val="28"/>
          <w:szCs w:val="28"/>
        </w:rPr>
        <w:t xml:space="preserve"> a efectos de subsanar </w:t>
      </w:r>
      <w:r w:rsidR="009311E8">
        <w:rPr>
          <w:rFonts w:ascii="Arial Narrow" w:hAnsi="Arial Narrow" w:cs="Tahoma"/>
          <w:sz w:val="28"/>
          <w:szCs w:val="28"/>
        </w:rPr>
        <w:t xml:space="preserve">la inconsistencia antes anotada, </w:t>
      </w:r>
      <w:r w:rsidR="00A97750">
        <w:rPr>
          <w:rFonts w:ascii="Arial Narrow" w:hAnsi="Arial Narrow" w:cs="Tahoma"/>
          <w:sz w:val="28"/>
          <w:szCs w:val="28"/>
        </w:rPr>
        <w:t xml:space="preserve">empero, la </w:t>
      </w:r>
      <w:r w:rsidR="00B342CB">
        <w:rPr>
          <w:rFonts w:ascii="Arial Narrow" w:hAnsi="Arial Narrow" w:cs="Tahoma"/>
          <w:sz w:val="28"/>
          <w:szCs w:val="28"/>
        </w:rPr>
        <w:t>entidad demandada indicó que no se encontra</w:t>
      </w:r>
      <w:r w:rsidR="00A97750">
        <w:rPr>
          <w:rFonts w:ascii="Arial Narrow" w:hAnsi="Arial Narrow" w:cs="Tahoma"/>
          <w:sz w:val="28"/>
          <w:szCs w:val="28"/>
        </w:rPr>
        <w:t>ban c</w:t>
      </w:r>
      <w:r w:rsidR="00B342CB">
        <w:rPr>
          <w:rFonts w:ascii="Arial Narrow" w:hAnsi="Arial Narrow" w:cs="Tahoma"/>
          <w:sz w:val="28"/>
          <w:szCs w:val="28"/>
        </w:rPr>
        <w:t xml:space="preserve">otizaciones para los ciclos 1987/11 a 1994/12. Por último, indica que sufragó al sistema pensional un total de 1.161 semanas de aportes, de las cuales 1.054 las efectuó antes de la entrada en vigencia del Acto Legislativo 01/05. </w:t>
      </w:r>
    </w:p>
    <w:p w:rsidR="00D3428B" w:rsidRPr="00AB4237" w:rsidRDefault="00D3428B" w:rsidP="00AB4237">
      <w:pPr>
        <w:pStyle w:val="Sansinterligne"/>
      </w:pPr>
    </w:p>
    <w:p w:rsidR="00217967" w:rsidRPr="009D005E" w:rsidRDefault="00217967" w:rsidP="00217967">
      <w:pPr>
        <w:spacing w:line="360" w:lineRule="auto"/>
        <w:ind w:firstLine="900"/>
        <w:jc w:val="both"/>
        <w:rPr>
          <w:rFonts w:ascii="Arial Narrow" w:hAnsi="Arial Narrow" w:cs="Tahoma"/>
          <w:sz w:val="28"/>
          <w:szCs w:val="28"/>
        </w:rPr>
      </w:pPr>
      <w:r w:rsidRPr="009D005E">
        <w:rPr>
          <w:rFonts w:ascii="Arial Narrow" w:hAnsi="Arial Narrow" w:cs="Tahoma"/>
          <w:sz w:val="28"/>
          <w:szCs w:val="28"/>
        </w:rPr>
        <w:t xml:space="preserve">Admitida la demanda, se dio traslado a </w:t>
      </w:r>
      <w:r w:rsidR="00B342CB">
        <w:rPr>
          <w:rFonts w:ascii="Arial Narrow" w:hAnsi="Arial Narrow" w:cs="Tahoma"/>
          <w:sz w:val="28"/>
          <w:szCs w:val="28"/>
        </w:rPr>
        <w:t xml:space="preserve">la Administradora Colombiana de pensiones </w:t>
      </w:r>
      <w:proofErr w:type="spellStart"/>
      <w:r w:rsidR="00B342CB">
        <w:rPr>
          <w:rFonts w:ascii="Arial Narrow" w:hAnsi="Arial Narrow" w:cs="Tahoma"/>
          <w:sz w:val="28"/>
          <w:szCs w:val="28"/>
        </w:rPr>
        <w:t>Colpensiones</w:t>
      </w:r>
      <w:proofErr w:type="spellEnd"/>
      <w:r w:rsidR="00B342CB">
        <w:rPr>
          <w:rFonts w:ascii="Arial Narrow" w:hAnsi="Arial Narrow" w:cs="Tahoma"/>
          <w:sz w:val="28"/>
          <w:szCs w:val="28"/>
        </w:rPr>
        <w:t xml:space="preserve">, quien por intermedio de vocero judicial se pronunció oponiéndose a las pretensiones, tras considerar que </w:t>
      </w:r>
      <w:r w:rsidR="009F0916">
        <w:rPr>
          <w:rFonts w:ascii="Arial Narrow" w:hAnsi="Arial Narrow" w:cs="Tahoma"/>
          <w:sz w:val="28"/>
          <w:szCs w:val="28"/>
        </w:rPr>
        <w:t>el demandante perdió los beneficios del régimen de transición por cuanto no acreditó haber sufragado 750 semanas a la entrada en vigencia del Acto Legislativo 01 de 2005.</w:t>
      </w:r>
      <w:r w:rsidRPr="009D005E">
        <w:rPr>
          <w:rFonts w:ascii="Arial Narrow" w:hAnsi="Arial Narrow" w:cs="Tahoma"/>
          <w:sz w:val="28"/>
          <w:szCs w:val="28"/>
        </w:rPr>
        <w:t xml:space="preserve"> Como excepciones de mérito formuló las de “Inexistencia de la obligación” y “Prescripción”.</w:t>
      </w:r>
    </w:p>
    <w:p w:rsidR="009F0916" w:rsidRPr="009D005E" w:rsidRDefault="009F0916" w:rsidP="00217967">
      <w:pPr>
        <w:spacing w:line="360" w:lineRule="auto"/>
        <w:ind w:firstLine="900"/>
        <w:jc w:val="both"/>
        <w:rPr>
          <w:rFonts w:ascii="Arial Narrow" w:hAnsi="Arial Narrow" w:cs="Tahoma"/>
          <w:sz w:val="28"/>
          <w:szCs w:val="28"/>
        </w:rPr>
      </w:pPr>
    </w:p>
    <w:p w:rsidR="00217967" w:rsidRPr="009D005E" w:rsidRDefault="00217967" w:rsidP="00217967">
      <w:pPr>
        <w:spacing w:line="360" w:lineRule="auto"/>
        <w:ind w:firstLine="900"/>
        <w:jc w:val="both"/>
        <w:rPr>
          <w:rFonts w:ascii="Arial Narrow" w:hAnsi="Arial Narrow" w:cs="Tahoma"/>
          <w:b/>
          <w:i/>
          <w:iCs/>
          <w:sz w:val="28"/>
          <w:szCs w:val="28"/>
        </w:rPr>
      </w:pPr>
      <w:r w:rsidRPr="009D005E">
        <w:rPr>
          <w:rFonts w:ascii="Arial Narrow" w:hAnsi="Arial Narrow" w:cs="Tahoma"/>
          <w:sz w:val="28"/>
          <w:szCs w:val="28"/>
        </w:rPr>
        <w:t xml:space="preserve">  </w:t>
      </w:r>
      <w:r w:rsidRPr="009D005E">
        <w:rPr>
          <w:rFonts w:ascii="Arial Narrow" w:hAnsi="Arial Narrow" w:cs="Tahoma"/>
          <w:b/>
          <w:i/>
          <w:sz w:val="28"/>
          <w:szCs w:val="28"/>
        </w:rPr>
        <w:t>II.</w:t>
      </w:r>
      <w:r w:rsidRPr="009D005E">
        <w:rPr>
          <w:rFonts w:ascii="Arial Narrow" w:hAnsi="Arial Narrow" w:cs="Tahoma"/>
          <w:i/>
          <w:sz w:val="28"/>
          <w:szCs w:val="28"/>
        </w:rPr>
        <w:t xml:space="preserve"> </w:t>
      </w:r>
      <w:r w:rsidRPr="009D005E">
        <w:rPr>
          <w:rFonts w:ascii="Arial Narrow" w:hAnsi="Arial Narrow" w:cs="Tahoma"/>
          <w:b/>
          <w:i/>
          <w:iCs/>
          <w:sz w:val="28"/>
          <w:szCs w:val="28"/>
        </w:rPr>
        <w:t>SENTENCIA DEL JUZGADO</w:t>
      </w:r>
    </w:p>
    <w:p w:rsidR="00217967" w:rsidRPr="009D005E" w:rsidRDefault="00217967" w:rsidP="003761E9">
      <w:pPr>
        <w:pStyle w:val="Sansinterligne"/>
        <w:spacing w:line="276" w:lineRule="auto"/>
      </w:pPr>
      <w:r w:rsidRPr="009D005E">
        <w:t xml:space="preserve">                                         </w:t>
      </w:r>
    </w:p>
    <w:p w:rsidR="006C7B9B" w:rsidRDefault="00217967" w:rsidP="00AD4607">
      <w:pPr>
        <w:tabs>
          <w:tab w:val="left" w:pos="0"/>
          <w:tab w:val="left" w:pos="8647"/>
        </w:tabs>
        <w:suppressAutoHyphens/>
        <w:spacing w:line="360" w:lineRule="auto"/>
        <w:ind w:firstLine="900"/>
        <w:jc w:val="both"/>
        <w:rPr>
          <w:rFonts w:ascii="Arial Narrow" w:hAnsi="Arial Narrow" w:cs="Tahoma"/>
          <w:sz w:val="28"/>
          <w:szCs w:val="28"/>
        </w:rPr>
      </w:pPr>
      <w:r w:rsidRPr="009D005E">
        <w:rPr>
          <w:rFonts w:ascii="Arial Narrow" w:hAnsi="Arial Narrow" w:cs="Tahoma"/>
          <w:sz w:val="28"/>
          <w:szCs w:val="28"/>
        </w:rPr>
        <w:t xml:space="preserve">La Jueza </w:t>
      </w:r>
      <w:r w:rsidR="00663B60">
        <w:rPr>
          <w:rFonts w:ascii="Arial Narrow" w:hAnsi="Arial Narrow" w:cs="Tahoma"/>
          <w:sz w:val="28"/>
          <w:szCs w:val="28"/>
        </w:rPr>
        <w:t xml:space="preserve">de conocimiento </w:t>
      </w:r>
      <w:r w:rsidRPr="009D005E">
        <w:rPr>
          <w:rFonts w:ascii="Arial Narrow" w:hAnsi="Arial Narrow" w:cs="Tahoma"/>
          <w:sz w:val="28"/>
          <w:szCs w:val="28"/>
        </w:rPr>
        <w:t>dividió su dec</w:t>
      </w:r>
      <w:r w:rsidR="00663B60">
        <w:rPr>
          <w:rFonts w:ascii="Arial Narrow" w:hAnsi="Arial Narrow" w:cs="Tahoma"/>
          <w:sz w:val="28"/>
          <w:szCs w:val="28"/>
        </w:rPr>
        <w:t xml:space="preserve">isión en dos puntos. El primero, </w:t>
      </w:r>
      <w:r w:rsidRPr="009D005E">
        <w:rPr>
          <w:rFonts w:ascii="Arial Narrow" w:hAnsi="Arial Narrow" w:cs="Tahoma"/>
          <w:sz w:val="28"/>
          <w:szCs w:val="28"/>
        </w:rPr>
        <w:t xml:space="preserve">establecer si existió </w:t>
      </w:r>
      <w:r w:rsidR="00663B60">
        <w:rPr>
          <w:rFonts w:ascii="Arial Narrow" w:hAnsi="Arial Narrow" w:cs="Tahoma"/>
          <w:sz w:val="28"/>
          <w:szCs w:val="28"/>
        </w:rPr>
        <w:t>mora patronal en el pago de aportes pensionales a cargo del empleador “REINDEVA HERNANDO ARANGO” encontrando que la misma</w:t>
      </w:r>
      <w:r w:rsidR="00895E6F">
        <w:rPr>
          <w:rFonts w:ascii="Arial Narrow" w:hAnsi="Arial Narrow" w:cs="Tahoma"/>
          <w:sz w:val="28"/>
          <w:szCs w:val="28"/>
        </w:rPr>
        <w:t xml:space="preserve"> existió </w:t>
      </w:r>
      <w:r w:rsidR="00242B4D">
        <w:rPr>
          <w:rFonts w:ascii="Arial Narrow" w:hAnsi="Arial Narrow" w:cs="Tahoma"/>
          <w:sz w:val="28"/>
          <w:szCs w:val="28"/>
        </w:rPr>
        <w:lastRenderedPageBreak/>
        <w:t xml:space="preserve">entre </w:t>
      </w:r>
      <w:r w:rsidR="00663B60">
        <w:rPr>
          <w:rFonts w:ascii="Arial Narrow" w:hAnsi="Arial Narrow" w:cs="Tahoma"/>
          <w:sz w:val="28"/>
          <w:szCs w:val="28"/>
        </w:rPr>
        <w:t xml:space="preserve">el ciclo 25 de noviembre de 1987 </w:t>
      </w:r>
      <w:r w:rsidR="00E20D5A">
        <w:rPr>
          <w:rFonts w:ascii="Arial Narrow" w:hAnsi="Arial Narrow" w:cs="Tahoma"/>
          <w:sz w:val="28"/>
          <w:szCs w:val="28"/>
        </w:rPr>
        <w:t xml:space="preserve">y </w:t>
      </w:r>
      <w:r w:rsidR="00663B60">
        <w:rPr>
          <w:rFonts w:ascii="Arial Narrow" w:hAnsi="Arial Narrow" w:cs="Tahoma"/>
          <w:sz w:val="28"/>
          <w:szCs w:val="28"/>
        </w:rPr>
        <w:t xml:space="preserve">el 31 de diciembre de 1994, </w:t>
      </w:r>
      <w:r w:rsidR="00895E6F">
        <w:rPr>
          <w:rFonts w:ascii="Arial Narrow" w:hAnsi="Arial Narrow" w:cs="Tahoma"/>
          <w:sz w:val="28"/>
          <w:szCs w:val="28"/>
        </w:rPr>
        <w:t>razón por la que había lugar a computar</w:t>
      </w:r>
      <w:r w:rsidR="0034012A">
        <w:rPr>
          <w:rFonts w:ascii="Arial Narrow" w:hAnsi="Arial Narrow" w:cs="Tahoma"/>
          <w:sz w:val="28"/>
          <w:szCs w:val="28"/>
        </w:rPr>
        <w:t xml:space="preserve"> 62.27 semanas en mora</w:t>
      </w:r>
      <w:r w:rsidR="00895E6F">
        <w:rPr>
          <w:rFonts w:ascii="Arial Narrow" w:hAnsi="Arial Narrow" w:cs="Tahoma"/>
          <w:sz w:val="28"/>
          <w:szCs w:val="28"/>
        </w:rPr>
        <w:t xml:space="preserve"> en la historia laboral </w:t>
      </w:r>
      <w:r w:rsidR="00735B58">
        <w:rPr>
          <w:rFonts w:ascii="Arial Narrow" w:hAnsi="Arial Narrow" w:cs="Tahoma"/>
          <w:sz w:val="28"/>
          <w:szCs w:val="28"/>
        </w:rPr>
        <w:t>del afiliado</w:t>
      </w:r>
      <w:r w:rsidR="0034012A">
        <w:rPr>
          <w:rFonts w:ascii="Arial Narrow" w:hAnsi="Arial Narrow" w:cs="Tahoma"/>
          <w:sz w:val="28"/>
          <w:szCs w:val="28"/>
        </w:rPr>
        <w:t>,</w:t>
      </w:r>
      <w:r w:rsidR="00735B58">
        <w:rPr>
          <w:rFonts w:ascii="Arial Narrow" w:hAnsi="Arial Narrow" w:cs="Tahoma"/>
          <w:sz w:val="28"/>
          <w:szCs w:val="28"/>
        </w:rPr>
        <w:t xml:space="preserve"> </w:t>
      </w:r>
      <w:r w:rsidR="00895E6F">
        <w:rPr>
          <w:rFonts w:ascii="Arial Narrow" w:hAnsi="Arial Narrow" w:cs="Tahoma"/>
          <w:sz w:val="28"/>
          <w:szCs w:val="28"/>
        </w:rPr>
        <w:t>hasta tanto no fuesen de</w:t>
      </w:r>
      <w:r w:rsidR="00242B4D">
        <w:rPr>
          <w:rFonts w:ascii="Arial Narrow" w:hAnsi="Arial Narrow" w:cs="Tahoma"/>
          <w:sz w:val="28"/>
          <w:szCs w:val="28"/>
        </w:rPr>
        <w:t>claradas como</w:t>
      </w:r>
      <w:r w:rsidR="00895E6F">
        <w:rPr>
          <w:rFonts w:ascii="Arial Narrow" w:hAnsi="Arial Narrow" w:cs="Tahoma"/>
          <w:sz w:val="28"/>
          <w:szCs w:val="28"/>
        </w:rPr>
        <w:t xml:space="preserve"> una</w:t>
      </w:r>
      <w:r w:rsidR="00242B4D">
        <w:rPr>
          <w:rFonts w:ascii="Arial Narrow" w:hAnsi="Arial Narrow" w:cs="Tahoma"/>
          <w:sz w:val="28"/>
          <w:szCs w:val="28"/>
        </w:rPr>
        <w:t xml:space="preserve"> deuda incobrable. </w:t>
      </w:r>
      <w:r w:rsidR="00E20D5A">
        <w:rPr>
          <w:rFonts w:ascii="Arial Narrow" w:hAnsi="Arial Narrow" w:cs="Tahoma"/>
          <w:sz w:val="28"/>
          <w:szCs w:val="28"/>
        </w:rPr>
        <w:t xml:space="preserve">El segundo punto que analizó fue el alusivo al derecho pensional, </w:t>
      </w:r>
      <w:r w:rsidR="0034012A">
        <w:rPr>
          <w:rFonts w:ascii="Arial Narrow" w:hAnsi="Arial Narrow" w:cs="Tahoma"/>
          <w:sz w:val="28"/>
          <w:szCs w:val="28"/>
        </w:rPr>
        <w:t>para lo cual</w:t>
      </w:r>
      <w:r w:rsidR="007E0B27">
        <w:rPr>
          <w:rFonts w:ascii="Arial Narrow" w:hAnsi="Arial Narrow" w:cs="Tahoma"/>
          <w:sz w:val="28"/>
          <w:szCs w:val="28"/>
        </w:rPr>
        <w:t xml:space="preserve"> la a-quo indicó que </w:t>
      </w:r>
      <w:r w:rsidR="00E20D5A">
        <w:rPr>
          <w:rFonts w:ascii="Arial Narrow" w:hAnsi="Arial Narrow" w:cs="Tahoma"/>
          <w:sz w:val="28"/>
          <w:szCs w:val="28"/>
        </w:rPr>
        <w:t xml:space="preserve">pese a </w:t>
      </w:r>
      <w:r w:rsidR="0034012A">
        <w:rPr>
          <w:rFonts w:ascii="Arial Narrow" w:hAnsi="Arial Narrow" w:cs="Tahoma"/>
          <w:sz w:val="28"/>
          <w:szCs w:val="28"/>
        </w:rPr>
        <w:t xml:space="preserve">que </w:t>
      </w:r>
      <w:r w:rsidR="007E0B27">
        <w:rPr>
          <w:rFonts w:ascii="Arial Narrow" w:hAnsi="Arial Narrow" w:cs="Tahoma"/>
          <w:sz w:val="28"/>
          <w:szCs w:val="28"/>
        </w:rPr>
        <w:t xml:space="preserve">el actor </w:t>
      </w:r>
      <w:r w:rsidR="00E20D5A">
        <w:rPr>
          <w:rFonts w:ascii="Arial Narrow" w:hAnsi="Arial Narrow" w:cs="Tahoma"/>
          <w:sz w:val="28"/>
          <w:szCs w:val="28"/>
        </w:rPr>
        <w:t>acredit</w:t>
      </w:r>
      <w:r w:rsidR="00EE6668">
        <w:rPr>
          <w:rFonts w:ascii="Arial Narrow" w:hAnsi="Arial Narrow" w:cs="Tahoma"/>
          <w:sz w:val="28"/>
          <w:szCs w:val="28"/>
        </w:rPr>
        <w:t xml:space="preserve">ó </w:t>
      </w:r>
      <w:r w:rsidR="00E20D5A">
        <w:rPr>
          <w:rFonts w:ascii="Arial Narrow" w:hAnsi="Arial Narrow" w:cs="Tahoma"/>
          <w:sz w:val="28"/>
          <w:szCs w:val="28"/>
        </w:rPr>
        <w:t xml:space="preserve">más de 750 semanas a la entrada en vigencia del Acto Legislativo 01 de 2005, </w:t>
      </w:r>
      <w:r w:rsidR="00AD4607">
        <w:rPr>
          <w:rFonts w:ascii="Arial Narrow" w:hAnsi="Arial Narrow" w:cs="Tahoma"/>
          <w:sz w:val="28"/>
          <w:szCs w:val="28"/>
        </w:rPr>
        <w:t xml:space="preserve">no </w:t>
      </w:r>
      <w:r w:rsidR="00EE6668">
        <w:rPr>
          <w:rFonts w:ascii="Arial Narrow" w:hAnsi="Arial Narrow" w:cs="Tahoma"/>
          <w:sz w:val="28"/>
          <w:szCs w:val="28"/>
        </w:rPr>
        <w:t xml:space="preserve">reunió </w:t>
      </w:r>
      <w:r w:rsidR="00AD4607">
        <w:rPr>
          <w:rFonts w:ascii="Arial Narrow" w:hAnsi="Arial Narrow" w:cs="Tahoma"/>
          <w:sz w:val="28"/>
          <w:szCs w:val="28"/>
        </w:rPr>
        <w:t xml:space="preserve">la densidad de semanas </w:t>
      </w:r>
      <w:r w:rsidR="00EE6668">
        <w:rPr>
          <w:rFonts w:ascii="Arial Narrow" w:hAnsi="Arial Narrow" w:cs="Tahoma"/>
          <w:sz w:val="28"/>
          <w:szCs w:val="28"/>
        </w:rPr>
        <w:t xml:space="preserve">necesarias </w:t>
      </w:r>
      <w:r w:rsidR="007E0B27">
        <w:rPr>
          <w:rFonts w:ascii="Arial Narrow" w:hAnsi="Arial Narrow" w:cs="Tahoma"/>
          <w:sz w:val="28"/>
          <w:szCs w:val="28"/>
        </w:rPr>
        <w:t>para obtener el reconocimiento del derecho a la pensión de vejez con fundamento en el</w:t>
      </w:r>
      <w:r w:rsidR="00EE6668">
        <w:rPr>
          <w:rFonts w:ascii="Arial Narrow" w:hAnsi="Arial Narrow" w:cs="Tahoma"/>
          <w:sz w:val="28"/>
          <w:szCs w:val="28"/>
        </w:rPr>
        <w:t xml:space="preserve"> </w:t>
      </w:r>
      <w:r w:rsidR="00AD4607">
        <w:rPr>
          <w:rFonts w:ascii="Arial Narrow" w:hAnsi="Arial Narrow" w:cs="Tahoma"/>
          <w:sz w:val="28"/>
          <w:szCs w:val="28"/>
        </w:rPr>
        <w:t xml:space="preserve">Acuerdo 049 de 1990, </w:t>
      </w:r>
      <w:r w:rsidR="00827674">
        <w:rPr>
          <w:rFonts w:ascii="Arial Narrow" w:hAnsi="Arial Narrow" w:cs="Tahoma"/>
          <w:sz w:val="28"/>
          <w:szCs w:val="28"/>
        </w:rPr>
        <w:t xml:space="preserve">puesto que sufragó un </w:t>
      </w:r>
      <w:r w:rsidR="007E0B27">
        <w:rPr>
          <w:rFonts w:ascii="Arial Narrow" w:hAnsi="Arial Narrow" w:cs="Tahoma"/>
          <w:sz w:val="28"/>
          <w:szCs w:val="28"/>
        </w:rPr>
        <w:t>total de 882.98 semanas en toda su vida laboral, d</w:t>
      </w:r>
      <w:r w:rsidR="00827674">
        <w:rPr>
          <w:rFonts w:ascii="Arial Narrow" w:hAnsi="Arial Narrow" w:cs="Tahoma"/>
          <w:sz w:val="28"/>
          <w:szCs w:val="28"/>
        </w:rPr>
        <w:t xml:space="preserve">e las cuales, 90.84 lo fueron durante </w:t>
      </w:r>
      <w:r w:rsidR="007E0B27">
        <w:rPr>
          <w:rFonts w:ascii="Arial Narrow" w:hAnsi="Arial Narrow" w:cs="Tahoma"/>
          <w:sz w:val="28"/>
          <w:szCs w:val="28"/>
        </w:rPr>
        <w:t>los 20 años anteriores al cumplim</w:t>
      </w:r>
      <w:r w:rsidR="00E558FE">
        <w:rPr>
          <w:rFonts w:ascii="Arial Narrow" w:hAnsi="Arial Narrow" w:cs="Tahoma"/>
          <w:sz w:val="28"/>
          <w:szCs w:val="28"/>
        </w:rPr>
        <w:t>iento de la edad mínima.</w:t>
      </w:r>
      <w:r w:rsidR="00A75F49">
        <w:rPr>
          <w:rFonts w:ascii="Arial Narrow" w:hAnsi="Arial Narrow" w:cs="Tahoma"/>
          <w:sz w:val="28"/>
          <w:szCs w:val="28"/>
        </w:rPr>
        <w:t xml:space="preserve"> </w:t>
      </w:r>
      <w:r w:rsidR="00DD7B10">
        <w:rPr>
          <w:rFonts w:ascii="Arial Narrow" w:hAnsi="Arial Narrow" w:cs="Tahoma"/>
          <w:sz w:val="28"/>
          <w:szCs w:val="28"/>
        </w:rPr>
        <w:t>En consecuencia, absolvió a la entidad demandada de todas las pretensiones incoadas en su contra.</w:t>
      </w:r>
    </w:p>
    <w:p w:rsidR="00663B60" w:rsidRDefault="00663B60" w:rsidP="00A75F49">
      <w:pPr>
        <w:tabs>
          <w:tab w:val="left" w:pos="0"/>
          <w:tab w:val="left" w:pos="8647"/>
        </w:tabs>
        <w:suppressAutoHyphens/>
        <w:spacing w:line="276" w:lineRule="auto"/>
        <w:jc w:val="both"/>
        <w:rPr>
          <w:rFonts w:ascii="Arial Narrow" w:hAnsi="Arial Narrow" w:cs="Tahoma"/>
          <w:sz w:val="28"/>
          <w:szCs w:val="28"/>
        </w:rPr>
      </w:pPr>
    </w:p>
    <w:p w:rsidR="00217967" w:rsidRPr="009D005E" w:rsidRDefault="00217967" w:rsidP="00217967">
      <w:pPr>
        <w:tabs>
          <w:tab w:val="left" w:pos="0"/>
          <w:tab w:val="left" w:pos="8647"/>
        </w:tabs>
        <w:suppressAutoHyphens/>
        <w:spacing w:line="360" w:lineRule="auto"/>
        <w:ind w:firstLine="900"/>
        <w:jc w:val="both"/>
        <w:rPr>
          <w:rFonts w:ascii="Arial Narrow" w:hAnsi="Arial Narrow" w:cs="Tahoma"/>
          <w:b/>
          <w:i/>
          <w:sz w:val="28"/>
          <w:szCs w:val="28"/>
        </w:rPr>
      </w:pPr>
      <w:r w:rsidRPr="009D005E">
        <w:rPr>
          <w:rFonts w:ascii="Arial Narrow" w:hAnsi="Arial Narrow" w:cs="Tahoma"/>
          <w:b/>
          <w:i/>
          <w:sz w:val="28"/>
          <w:szCs w:val="28"/>
        </w:rPr>
        <w:t>III. CONSULTA.</w:t>
      </w:r>
    </w:p>
    <w:p w:rsidR="00217967" w:rsidRPr="009D005E" w:rsidRDefault="00217967" w:rsidP="00F55C23">
      <w:pPr>
        <w:pStyle w:val="Sansinterligne"/>
      </w:pPr>
    </w:p>
    <w:p w:rsidR="00217967" w:rsidRPr="009D005E" w:rsidRDefault="00217967" w:rsidP="00217967">
      <w:pPr>
        <w:tabs>
          <w:tab w:val="left" w:pos="0"/>
          <w:tab w:val="left" w:pos="8647"/>
        </w:tabs>
        <w:suppressAutoHyphens/>
        <w:spacing w:line="360" w:lineRule="auto"/>
        <w:ind w:firstLine="900"/>
        <w:jc w:val="both"/>
        <w:rPr>
          <w:rFonts w:ascii="Arial Narrow" w:hAnsi="Arial Narrow" w:cs="Tahoma"/>
          <w:sz w:val="28"/>
          <w:szCs w:val="28"/>
        </w:rPr>
      </w:pPr>
      <w:r w:rsidRPr="009D005E">
        <w:rPr>
          <w:rFonts w:ascii="Arial Narrow" w:hAnsi="Arial Narrow" w:cs="Tahoma"/>
          <w:sz w:val="28"/>
          <w:szCs w:val="28"/>
        </w:rPr>
        <w:t xml:space="preserve">Teniendo en cuenta que la </w:t>
      </w:r>
      <w:r w:rsidR="00F55C23">
        <w:rPr>
          <w:rFonts w:ascii="Arial Narrow" w:hAnsi="Arial Narrow" w:cs="Tahoma"/>
          <w:sz w:val="28"/>
          <w:szCs w:val="28"/>
        </w:rPr>
        <w:t>decisión resultó desfavorable al demandante</w:t>
      </w:r>
      <w:r w:rsidRPr="009D005E">
        <w:rPr>
          <w:rFonts w:ascii="Arial Narrow" w:hAnsi="Arial Narrow" w:cs="Tahoma"/>
          <w:sz w:val="28"/>
          <w:szCs w:val="28"/>
        </w:rPr>
        <w:t>, se dispuso el g</w:t>
      </w:r>
      <w:r w:rsidR="00F55C23">
        <w:rPr>
          <w:rFonts w:ascii="Arial Narrow" w:hAnsi="Arial Narrow" w:cs="Tahoma"/>
          <w:sz w:val="28"/>
          <w:szCs w:val="28"/>
        </w:rPr>
        <w:t xml:space="preserve">rado jurisdiccional de consulta, al tenor de lo preceptuado en al artículo 69 </w:t>
      </w:r>
      <w:r w:rsidR="00A250E0">
        <w:rPr>
          <w:rFonts w:ascii="Arial Narrow" w:hAnsi="Arial Narrow" w:cs="Tahoma"/>
          <w:sz w:val="28"/>
          <w:szCs w:val="28"/>
        </w:rPr>
        <w:t>del C.P.T y de la S.S.</w:t>
      </w:r>
    </w:p>
    <w:p w:rsidR="00217967" w:rsidRPr="009D005E" w:rsidRDefault="00217967" w:rsidP="00551D4F">
      <w:pPr>
        <w:pStyle w:val="Sansinterligne"/>
        <w:spacing w:line="360" w:lineRule="auto"/>
      </w:pPr>
    </w:p>
    <w:p w:rsidR="00217967" w:rsidRPr="009D005E" w:rsidRDefault="00217967" w:rsidP="00217967">
      <w:pPr>
        <w:spacing w:line="360" w:lineRule="auto"/>
        <w:ind w:firstLine="851"/>
        <w:jc w:val="both"/>
        <w:rPr>
          <w:rFonts w:ascii="Arial Narrow" w:hAnsi="Arial Narrow" w:cs="Tahoma"/>
          <w:b/>
          <w:i/>
          <w:sz w:val="28"/>
          <w:szCs w:val="28"/>
        </w:rPr>
      </w:pPr>
      <w:r w:rsidRPr="009D005E">
        <w:rPr>
          <w:rFonts w:ascii="Arial Narrow" w:hAnsi="Arial Narrow" w:cs="Tahoma"/>
          <w:b/>
          <w:i/>
          <w:sz w:val="28"/>
          <w:szCs w:val="28"/>
        </w:rPr>
        <w:t>IV.</w:t>
      </w:r>
      <w:r w:rsidRPr="009D005E">
        <w:rPr>
          <w:rFonts w:ascii="Arial Narrow" w:hAnsi="Arial Narrow" w:cs="Tahoma"/>
          <w:i/>
          <w:sz w:val="28"/>
          <w:szCs w:val="28"/>
        </w:rPr>
        <w:t xml:space="preserve"> </w:t>
      </w:r>
      <w:r w:rsidRPr="009D005E">
        <w:rPr>
          <w:rFonts w:ascii="Arial Narrow" w:hAnsi="Arial Narrow" w:cs="Tahoma"/>
          <w:b/>
          <w:i/>
          <w:sz w:val="28"/>
          <w:szCs w:val="28"/>
        </w:rPr>
        <w:t>CONSIDERACIONES</w:t>
      </w:r>
    </w:p>
    <w:p w:rsidR="00217967" w:rsidRPr="009D005E" w:rsidRDefault="00217967" w:rsidP="00A250E0">
      <w:pPr>
        <w:pStyle w:val="Sansinterligne"/>
      </w:pPr>
    </w:p>
    <w:p w:rsidR="00217967" w:rsidRPr="009D005E" w:rsidRDefault="00217967" w:rsidP="00217967">
      <w:pPr>
        <w:pStyle w:val="Corpsdetexte"/>
        <w:ind w:firstLine="900"/>
        <w:rPr>
          <w:rFonts w:ascii="Arial Narrow" w:hAnsi="Arial Narrow" w:cs="Tahoma"/>
          <w:i/>
          <w:sz w:val="28"/>
          <w:szCs w:val="28"/>
        </w:rPr>
      </w:pPr>
      <w:r w:rsidRPr="009D005E">
        <w:rPr>
          <w:rFonts w:ascii="Arial Narrow" w:hAnsi="Arial Narrow" w:cs="Tahoma"/>
          <w:b/>
          <w:bCs/>
          <w:i/>
          <w:sz w:val="28"/>
          <w:szCs w:val="28"/>
        </w:rPr>
        <w:t>1. Del problema jurídico:</w:t>
      </w:r>
    </w:p>
    <w:p w:rsidR="00217967" w:rsidRPr="009D005E" w:rsidRDefault="00217967" w:rsidP="00551D4F">
      <w:pPr>
        <w:pStyle w:val="Sansinterligne"/>
        <w:spacing w:line="360" w:lineRule="auto"/>
      </w:pPr>
    </w:p>
    <w:p w:rsidR="00551D4F" w:rsidRDefault="00217967" w:rsidP="00551D4F">
      <w:pPr>
        <w:ind w:firstLine="900"/>
        <w:jc w:val="both"/>
        <w:rPr>
          <w:rFonts w:ascii="Arial Narrow" w:hAnsi="Arial Narrow" w:cs="Tahoma"/>
          <w:i/>
          <w:sz w:val="28"/>
          <w:szCs w:val="28"/>
        </w:rPr>
      </w:pPr>
      <w:r w:rsidRPr="009D005E">
        <w:rPr>
          <w:rFonts w:ascii="Arial Narrow" w:hAnsi="Arial Narrow" w:cs="Tahoma"/>
          <w:i/>
          <w:sz w:val="28"/>
          <w:szCs w:val="28"/>
        </w:rPr>
        <w:t>¿</w:t>
      </w:r>
      <w:r w:rsidR="00551D4F">
        <w:rPr>
          <w:rFonts w:ascii="Arial Narrow" w:hAnsi="Arial Narrow" w:cs="Tahoma"/>
          <w:i/>
          <w:sz w:val="28"/>
          <w:szCs w:val="28"/>
        </w:rPr>
        <w:t>El demandante es beneficiario del régimen de transición consagrado en el artículo 36 de la Ley 100/93?</w:t>
      </w:r>
    </w:p>
    <w:p w:rsidR="00551D4F" w:rsidRDefault="00551D4F" w:rsidP="00551D4F">
      <w:pPr>
        <w:pStyle w:val="Sansinterligne"/>
        <w:spacing w:line="360" w:lineRule="auto"/>
      </w:pPr>
    </w:p>
    <w:p w:rsidR="00217967" w:rsidRPr="009D005E" w:rsidRDefault="00551D4F" w:rsidP="00551D4F">
      <w:pPr>
        <w:ind w:firstLine="900"/>
        <w:jc w:val="both"/>
        <w:rPr>
          <w:rFonts w:ascii="Arial Narrow" w:hAnsi="Arial Narrow" w:cs="Tahoma"/>
          <w:i/>
          <w:sz w:val="28"/>
          <w:szCs w:val="28"/>
        </w:rPr>
      </w:pPr>
      <w:r>
        <w:rPr>
          <w:rFonts w:ascii="Arial Narrow" w:hAnsi="Arial Narrow" w:cs="Tahoma"/>
          <w:i/>
          <w:sz w:val="28"/>
          <w:szCs w:val="28"/>
        </w:rPr>
        <w:t>¿Tiene derecho a la pensión de vejez que reclama, con arreglo al artículo 12 del Acuerdo 049 de 1990, aprobado por el Decreto 758 del mismo año</w:t>
      </w:r>
      <w:proofErr w:type="gramStart"/>
      <w:r>
        <w:rPr>
          <w:rFonts w:ascii="Arial Narrow" w:hAnsi="Arial Narrow" w:cs="Tahoma"/>
          <w:i/>
          <w:sz w:val="28"/>
          <w:szCs w:val="28"/>
        </w:rPr>
        <w:t>?.</w:t>
      </w:r>
      <w:proofErr w:type="gramEnd"/>
    </w:p>
    <w:p w:rsidR="00217967" w:rsidRDefault="00217967" w:rsidP="00551D4F">
      <w:pPr>
        <w:pStyle w:val="Sansinterligne"/>
      </w:pPr>
    </w:p>
    <w:p w:rsidR="00551D4F" w:rsidRPr="009D005E" w:rsidRDefault="00551D4F" w:rsidP="00551D4F">
      <w:pPr>
        <w:pStyle w:val="Sansinterligne"/>
      </w:pPr>
    </w:p>
    <w:p w:rsidR="00217967" w:rsidRPr="009D005E" w:rsidRDefault="00217967" w:rsidP="00217967">
      <w:pPr>
        <w:spacing w:line="360" w:lineRule="auto"/>
        <w:ind w:firstLine="851"/>
        <w:jc w:val="both"/>
        <w:rPr>
          <w:rFonts w:ascii="Arial Narrow" w:hAnsi="Arial Narrow" w:cs="Tahoma"/>
          <w:b/>
          <w:i/>
          <w:sz w:val="28"/>
          <w:szCs w:val="28"/>
        </w:rPr>
      </w:pPr>
      <w:r w:rsidRPr="009D005E">
        <w:rPr>
          <w:rFonts w:ascii="Arial Narrow" w:hAnsi="Arial Narrow" w:cs="Tahoma"/>
          <w:b/>
          <w:i/>
          <w:sz w:val="28"/>
          <w:szCs w:val="28"/>
        </w:rPr>
        <w:t>2. Desenvolvimiento de la problemática planteada.</w:t>
      </w:r>
    </w:p>
    <w:p w:rsidR="00217967" w:rsidRPr="009D005E" w:rsidRDefault="00217967" w:rsidP="00551D4F">
      <w:pPr>
        <w:pStyle w:val="Sansinterligne"/>
      </w:pPr>
    </w:p>
    <w:p w:rsidR="00551D4F" w:rsidRDefault="00551D4F" w:rsidP="00217967">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Para resolver los dilemas planteados,</w:t>
      </w:r>
      <w:r w:rsidR="00217967" w:rsidRPr="009D005E">
        <w:rPr>
          <w:rFonts w:ascii="Arial Narrow" w:hAnsi="Arial Narrow" w:cs="Arial"/>
          <w:sz w:val="28"/>
          <w:szCs w:val="28"/>
          <w:lang w:val="es-ES"/>
        </w:rPr>
        <w:t xml:space="preserve"> es indispensable, en primer lugar, precisar que la Ley 100 de 1993 en su artículo 36 estableció un régimen de transición, el cual tuvo por finalidad, amparar a las personas que estuvieran en alguno de los grupos allí referidos, las expectativas legitimas de pensionarse, de conformidad con parte del régimen legal anterior que le resultare aplicable, puntualmente, con </w:t>
      </w:r>
      <w:r w:rsidR="00217967" w:rsidRPr="009D005E">
        <w:rPr>
          <w:rFonts w:ascii="Arial Narrow" w:hAnsi="Arial Narrow" w:cs="Arial"/>
          <w:sz w:val="28"/>
          <w:szCs w:val="28"/>
          <w:lang w:val="es-ES"/>
        </w:rPr>
        <w:lastRenderedPageBreak/>
        <w:t xml:space="preserve">aplicación de la edad, el tiempo o semanas de cotización y el monto de la pensión, que se regulaba en esas normas anteriores. </w:t>
      </w:r>
    </w:p>
    <w:p w:rsidR="00551D4F" w:rsidRPr="00551D4F" w:rsidRDefault="00551D4F" w:rsidP="00551D4F">
      <w:pPr>
        <w:pStyle w:val="Sansinterligne"/>
      </w:pPr>
    </w:p>
    <w:p w:rsidR="00217967" w:rsidRDefault="00217967" w:rsidP="00217967">
      <w:pPr>
        <w:autoSpaceDE w:val="0"/>
        <w:autoSpaceDN w:val="0"/>
        <w:adjustRightInd w:val="0"/>
        <w:spacing w:line="360" w:lineRule="auto"/>
        <w:ind w:firstLine="851"/>
        <w:jc w:val="both"/>
        <w:rPr>
          <w:rFonts w:ascii="Arial Narrow" w:hAnsi="Arial Narrow" w:cs="Arial"/>
          <w:sz w:val="28"/>
          <w:szCs w:val="28"/>
          <w:lang w:val="es-ES"/>
        </w:rPr>
      </w:pPr>
      <w:r w:rsidRPr="009D005E">
        <w:rPr>
          <w:rFonts w:ascii="Arial Narrow" w:hAnsi="Arial Narrow" w:cs="Arial"/>
          <w:sz w:val="28"/>
          <w:szCs w:val="28"/>
          <w:lang w:val="es-ES"/>
        </w:rPr>
        <w:t>Los grupos que se podían beneficiar de tales pautas, eran quienes al 1º de abril de 1994 contarán con uno de estos requisitos: (i) mujeres que tuvieran 35 años o más; (ii) homb</w:t>
      </w:r>
      <w:r w:rsidR="0015647A">
        <w:rPr>
          <w:rFonts w:ascii="Arial Narrow" w:hAnsi="Arial Narrow" w:cs="Arial"/>
          <w:sz w:val="28"/>
          <w:szCs w:val="28"/>
          <w:lang w:val="es-ES"/>
        </w:rPr>
        <w:t xml:space="preserve">res que tuvieran 40 años o más, </w:t>
      </w:r>
      <w:r w:rsidR="00F5282F">
        <w:rPr>
          <w:rFonts w:ascii="Arial Narrow" w:hAnsi="Arial Narrow" w:cs="Arial"/>
          <w:sz w:val="28"/>
          <w:szCs w:val="28"/>
          <w:lang w:val="es-ES"/>
        </w:rPr>
        <w:t xml:space="preserve">o </w:t>
      </w:r>
      <w:r w:rsidRPr="009D005E">
        <w:rPr>
          <w:rFonts w:ascii="Arial Narrow" w:hAnsi="Arial Narrow" w:cs="Arial"/>
          <w:sz w:val="28"/>
          <w:szCs w:val="28"/>
          <w:lang w:val="es-ES"/>
        </w:rPr>
        <w:t>(iii)</w:t>
      </w:r>
      <w:r w:rsidR="00F5282F">
        <w:rPr>
          <w:rFonts w:ascii="Arial Narrow" w:hAnsi="Arial Narrow" w:cs="Arial"/>
          <w:sz w:val="28"/>
          <w:szCs w:val="28"/>
          <w:lang w:val="es-ES"/>
        </w:rPr>
        <w:t xml:space="preserve"> tener </w:t>
      </w:r>
      <w:r w:rsidRPr="009D005E">
        <w:rPr>
          <w:rFonts w:ascii="Arial Narrow" w:hAnsi="Arial Narrow" w:cs="Arial"/>
          <w:sz w:val="28"/>
          <w:szCs w:val="28"/>
          <w:lang w:val="es-ES"/>
        </w:rPr>
        <w:t>15 años de servicios o su equivalente en cotizaciones, sin importar la edad.</w:t>
      </w:r>
    </w:p>
    <w:p w:rsidR="00F5282F" w:rsidRDefault="00F5282F" w:rsidP="00A75F49">
      <w:pPr>
        <w:pStyle w:val="Sansinterligne"/>
        <w:rPr>
          <w:lang w:val="es-ES"/>
        </w:rPr>
      </w:pPr>
    </w:p>
    <w:p w:rsidR="009B3754" w:rsidRDefault="009B3754" w:rsidP="00F5282F">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Sin embargo, </w:t>
      </w:r>
      <w:r w:rsidRPr="00784A0D">
        <w:rPr>
          <w:rFonts w:ascii="Arial Narrow" w:hAnsi="Arial Narrow" w:cs="Arial"/>
          <w:sz w:val="28"/>
          <w:szCs w:val="28"/>
          <w:lang w:val="es-ES"/>
        </w:rPr>
        <w:t>en vista de</w:t>
      </w:r>
      <w:r>
        <w:rPr>
          <w:rFonts w:ascii="Arial Narrow" w:hAnsi="Arial Narrow" w:cs="Arial"/>
          <w:sz w:val="28"/>
          <w:szCs w:val="28"/>
          <w:lang w:val="es-ES"/>
        </w:rPr>
        <w:t xml:space="preserve"> la precariedad de aquellas personas que adquirieron la transición con la sola edad y no con la densidad de cotizaciones, el </w:t>
      </w:r>
      <w:r w:rsidRPr="00784A0D">
        <w:rPr>
          <w:rFonts w:ascii="Arial Narrow" w:hAnsi="Arial Narrow" w:cs="Arial"/>
          <w:sz w:val="28"/>
          <w:szCs w:val="28"/>
          <w:lang w:val="es-ES"/>
        </w:rPr>
        <w:t xml:space="preserve">Acto Legislativo 01 de 2005, </w:t>
      </w:r>
      <w:r>
        <w:rPr>
          <w:rFonts w:ascii="Arial Narrow" w:hAnsi="Arial Narrow" w:cs="Arial"/>
          <w:sz w:val="28"/>
          <w:szCs w:val="28"/>
          <w:lang w:val="es-ES"/>
        </w:rPr>
        <w:t>extendió dicho régimen d</w:t>
      </w:r>
      <w:r w:rsidRPr="00784A0D">
        <w:rPr>
          <w:rFonts w:ascii="Arial Narrow" w:hAnsi="Arial Narrow" w:cs="Arial"/>
          <w:sz w:val="28"/>
          <w:szCs w:val="28"/>
          <w:lang w:val="es-ES"/>
        </w:rPr>
        <w:t>el 31 de julio de 2010</w:t>
      </w:r>
      <w:r>
        <w:rPr>
          <w:rFonts w:ascii="Arial Narrow" w:hAnsi="Arial Narrow" w:cs="Arial"/>
          <w:sz w:val="28"/>
          <w:szCs w:val="28"/>
          <w:lang w:val="es-ES"/>
        </w:rPr>
        <w:t xml:space="preserve"> hasta el 2014, siempre que </w:t>
      </w:r>
      <w:r w:rsidRPr="00784A0D">
        <w:rPr>
          <w:rFonts w:ascii="Arial Narrow" w:hAnsi="Arial Narrow" w:cs="Arial"/>
          <w:sz w:val="28"/>
          <w:szCs w:val="28"/>
          <w:lang w:val="es-ES"/>
        </w:rPr>
        <w:t>al momento de entrar a regir dicho acto modificatorio contarán con 750 semanas</w:t>
      </w:r>
      <w:r>
        <w:rPr>
          <w:rFonts w:ascii="Arial Narrow" w:hAnsi="Arial Narrow" w:cs="Arial"/>
          <w:sz w:val="28"/>
          <w:szCs w:val="28"/>
          <w:lang w:val="es-ES"/>
        </w:rPr>
        <w:t xml:space="preserve"> o más.</w:t>
      </w:r>
    </w:p>
    <w:p w:rsidR="00217967" w:rsidRPr="00482F7E" w:rsidRDefault="00217967" w:rsidP="009B3754">
      <w:pPr>
        <w:pStyle w:val="Sansinterligne"/>
        <w:spacing w:line="276" w:lineRule="auto"/>
      </w:pPr>
    </w:p>
    <w:p w:rsidR="00A75F49" w:rsidRDefault="000A2003" w:rsidP="00A75F49">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sub-lite, </w:t>
      </w:r>
      <w:r w:rsidR="00A75F49">
        <w:rPr>
          <w:rFonts w:ascii="Arial Narrow" w:hAnsi="Arial Narrow" w:cs="Arial"/>
          <w:sz w:val="28"/>
          <w:szCs w:val="28"/>
          <w:lang w:val="es-ES"/>
        </w:rPr>
        <w:t>no se ofrece discusión en torno a que el demandante c</w:t>
      </w:r>
      <w:r w:rsidR="0084426B">
        <w:rPr>
          <w:rFonts w:ascii="Arial Narrow" w:hAnsi="Arial Narrow" w:cs="Arial"/>
          <w:sz w:val="28"/>
          <w:szCs w:val="28"/>
          <w:lang w:val="es-ES"/>
        </w:rPr>
        <w:t xml:space="preserve">ontaba con más de 41 años de edad </w:t>
      </w:r>
      <w:r>
        <w:rPr>
          <w:rFonts w:ascii="Arial Narrow" w:hAnsi="Arial Narrow" w:cs="Arial"/>
          <w:sz w:val="28"/>
          <w:szCs w:val="28"/>
          <w:lang w:val="es-ES"/>
        </w:rPr>
        <w:t xml:space="preserve">al 1º de abril de 1994, tal como se extracta de la copia de la </w:t>
      </w:r>
      <w:r w:rsidR="00A75F49">
        <w:rPr>
          <w:rFonts w:ascii="Arial Narrow" w:hAnsi="Arial Narrow" w:cs="Arial"/>
          <w:sz w:val="28"/>
          <w:szCs w:val="28"/>
          <w:lang w:val="es-ES"/>
        </w:rPr>
        <w:t xml:space="preserve">cedula de ciudadanía aportada –fl.10-. Así mismo, que al 29 de julio de 2005, fecha de entrada en vigor del Acto Legislativo 01/05, había sufragado más de 750 semanas de aportes al sistema, pues así se colige de la </w:t>
      </w:r>
      <w:r w:rsidR="00EB5BCF">
        <w:rPr>
          <w:rFonts w:ascii="Arial Narrow" w:hAnsi="Arial Narrow" w:cs="Arial"/>
          <w:sz w:val="28"/>
          <w:szCs w:val="28"/>
          <w:lang w:val="es-ES"/>
        </w:rPr>
        <w:t>historia laboral obrante a folio 73.</w:t>
      </w:r>
      <w:r w:rsidR="00A75F49">
        <w:rPr>
          <w:rFonts w:ascii="Arial Narrow" w:hAnsi="Arial Narrow" w:cs="Arial"/>
          <w:sz w:val="28"/>
          <w:szCs w:val="28"/>
          <w:lang w:val="es-ES"/>
        </w:rPr>
        <w:t xml:space="preserve"> En ese orden, </w:t>
      </w:r>
      <w:r w:rsidR="008234BB">
        <w:rPr>
          <w:rFonts w:ascii="Arial Narrow" w:hAnsi="Arial Narrow" w:cs="Arial"/>
          <w:sz w:val="28"/>
          <w:szCs w:val="28"/>
          <w:lang w:val="es-ES"/>
        </w:rPr>
        <w:t xml:space="preserve">no queda duda que acertó la sentenciadora de primer grado al establecer que el demandante es beneficiario del régimen de transición consagrado en el artículo 36 de la Ley 100/93, y que por ende, su situación pensional </w:t>
      </w:r>
      <w:r w:rsidR="001E61AE">
        <w:rPr>
          <w:rFonts w:ascii="Arial Narrow" w:hAnsi="Arial Narrow" w:cs="Arial"/>
          <w:sz w:val="28"/>
          <w:szCs w:val="28"/>
          <w:lang w:val="es-ES"/>
        </w:rPr>
        <w:t>debe ser analizada de conformidad con l</w:t>
      </w:r>
      <w:r w:rsidR="008234BB">
        <w:rPr>
          <w:rFonts w:ascii="Arial Narrow" w:hAnsi="Arial Narrow" w:cs="Arial"/>
          <w:sz w:val="28"/>
          <w:szCs w:val="28"/>
          <w:lang w:val="es-ES"/>
        </w:rPr>
        <w:t>os lineamientos del Acuerdo 049 de 1990, norma que regulaba el tema pensional de los trabajadores particulares.</w:t>
      </w:r>
    </w:p>
    <w:p w:rsidR="004B7875" w:rsidRDefault="004B7875" w:rsidP="00482F7E">
      <w:pPr>
        <w:pStyle w:val="Sansinterligne"/>
        <w:rPr>
          <w:lang w:val="es-ES"/>
        </w:rPr>
      </w:pPr>
    </w:p>
    <w:p w:rsidR="00427F25" w:rsidRDefault="004B7875" w:rsidP="00427F25">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Dicha disposición</w:t>
      </w:r>
      <w:r w:rsidR="00575DAA">
        <w:rPr>
          <w:rFonts w:ascii="Arial Narrow" w:hAnsi="Arial Narrow" w:cs="Arial"/>
          <w:sz w:val="28"/>
          <w:szCs w:val="28"/>
          <w:lang w:val="es-ES"/>
        </w:rPr>
        <w:t xml:space="preserve"> normativa, exig</w:t>
      </w:r>
      <w:r w:rsidR="00B06649">
        <w:rPr>
          <w:rFonts w:ascii="Arial Narrow" w:hAnsi="Arial Narrow" w:cs="Arial"/>
          <w:sz w:val="28"/>
          <w:szCs w:val="28"/>
          <w:lang w:val="es-ES"/>
        </w:rPr>
        <w:t>e</w:t>
      </w:r>
      <w:r w:rsidR="00427F25">
        <w:rPr>
          <w:rFonts w:ascii="Arial Narrow" w:hAnsi="Arial Narrow" w:cs="Arial"/>
          <w:sz w:val="28"/>
          <w:szCs w:val="28"/>
          <w:lang w:val="es-ES"/>
        </w:rPr>
        <w:t xml:space="preserve"> como presupuestos para acceder a la pensión de vejez, (i) que los hombres alcancen 60 años de edad y (ii) que tengan </w:t>
      </w:r>
      <w:r w:rsidR="00B06649">
        <w:rPr>
          <w:rFonts w:ascii="Arial Narrow" w:hAnsi="Arial Narrow" w:cs="Arial"/>
          <w:sz w:val="28"/>
          <w:szCs w:val="28"/>
          <w:lang w:val="es-ES"/>
        </w:rPr>
        <w:t xml:space="preserve"> </w:t>
      </w:r>
      <w:r w:rsidR="00427F25" w:rsidRPr="0006758F">
        <w:rPr>
          <w:rFonts w:ascii="Arial Narrow" w:hAnsi="Arial Narrow" w:cs="Arial"/>
          <w:sz w:val="28"/>
          <w:szCs w:val="28"/>
          <w:lang w:val="es-ES"/>
        </w:rPr>
        <w:t>1.000 semana</w:t>
      </w:r>
      <w:r w:rsidR="00427F25">
        <w:rPr>
          <w:rFonts w:ascii="Arial Narrow" w:hAnsi="Arial Narrow" w:cs="Arial"/>
          <w:sz w:val="28"/>
          <w:szCs w:val="28"/>
          <w:lang w:val="es-ES"/>
        </w:rPr>
        <w:t xml:space="preserve">s cotizadas en cualquier tiempo, </w:t>
      </w:r>
      <w:r w:rsidR="00427F25" w:rsidRPr="0006758F">
        <w:rPr>
          <w:rFonts w:ascii="Arial Narrow" w:hAnsi="Arial Narrow" w:cs="Arial"/>
          <w:sz w:val="28"/>
          <w:szCs w:val="28"/>
          <w:lang w:val="es-ES"/>
        </w:rPr>
        <w:t>o 500 en los 20 años anteriores al cumplimiento de la edad</w:t>
      </w:r>
      <w:r w:rsidR="00427F25">
        <w:rPr>
          <w:rFonts w:ascii="Arial Narrow" w:hAnsi="Arial Narrow" w:cs="Arial"/>
          <w:sz w:val="28"/>
          <w:szCs w:val="28"/>
          <w:lang w:val="es-ES"/>
        </w:rPr>
        <w:t xml:space="preserve"> para pensión (artículo 12 Acuerdo 049 de 1990). </w:t>
      </w:r>
    </w:p>
    <w:p w:rsidR="00427F25" w:rsidRDefault="00427F25" w:rsidP="004815A4">
      <w:pPr>
        <w:pStyle w:val="Sansinterligne"/>
        <w:rPr>
          <w:lang w:val="es-ES"/>
        </w:rPr>
      </w:pPr>
    </w:p>
    <w:p w:rsidR="00153050" w:rsidRDefault="009B2B1A" w:rsidP="009B2B1A">
      <w:pPr>
        <w:autoSpaceDE w:val="0"/>
        <w:autoSpaceDN w:val="0"/>
        <w:adjustRightInd w:val="0"/>
        <w:spacing w:line="360" w:lineRule="auto"/>
        <w:ind w:firstLine="851"/>
        <w:jc w:val="both"/>
        <w:rPr>
          <w:rFonts w:ascii="Arial Narrow" w:hAnsi="Arial Narrow" w:cs="Arial"/>
          <w:sz w:val="28"/>
          <w:szCs w:val="28"/>
          <w:lang w:val="es-ES"/>
        </w:rPr>
      </w:pPr>
      <w:r w:rsidRPr="00C86AE2">
        <w:rPr>
          <w:rFonts w:ascii="Arial Narrow" w:hAnsi="Arial Narrow" w:cs="Arial"/>
          <w:sz w:val="28"/>
          <w:szCs w:val="28"/>
          <w:lang w:val="es-ES"/>
        </w:rPr>
        <w:t xml:space="preserve">En cuanto al requisito de la edad, </w:t>
      </w:r>
      <w:r w:rsidR="00AB0CA3">
        <w:rPr>
          <w:rFonts w:ascii="Arial Narrow" w:hAnsi="Arial Narrow" w:cs="Arial"/>
          <w:sz w:val="28"/>
          <w:szCs w:val="28"/>
          <w:lang w:val="es-ES"/>
        </w:rPr>
        <w:t xml:space="preserve">éste </w:t>
      </w:r>
      <w:r w:rsidRPr="00C86AE2">
        <w:rPr>
          <w:rFonts w:ascii="Arial Narrow" w:hAnsi="Arial Narrow" w:cs="Arial"/>
          <w:sz w:val="28"/>
          <w:szCs w:val="28"/>
          <w:lang w:val="es-ES"/>
        </w:rPr>
        <w:t xml:space="preserve">se reunió el </w:t>
      </w:r>
      <w:r w:rsidR="004815A4">
        <w:rPr>
          <w:rFonts w:ascii="Arial Narrow" w:hAnsi="Arial Narrow" w:cs="Arial"/>
          <w:sz w:val="28"/>
          <w:szCs w:val="28"/>
          <w:lang w:val="es-ES"/>
        </w:rPr>
        <w:t>24 de marzo de 2013</w:t>
      </w:r>
      <w:r w:rsidRPr="00C86AE2">
        <w:rPr>
          <w:rFonts w:ascii="Arial Narrow" w:hAnsi="Arial Narrow" w:cs="Arial"/>
          <w:sz w:val="28"/>
          <w:szCs w:val="28"/>
          <w:lang w:val="es-ES"/>
        </w:rPr>
        <w:t>, cuand</w:t>
      </w:r>
      <w:r w:rsidR="004815A4">
        <w:rPr>
          <w:rFonts w:ascii="Arial Narrow" w:hAnsi="Arial Narrow" w:cs="Arial"/>
          <w:sz w:val="28"/>
          <w:szCs w:val="28"/>
          <w:lang w:val="es-ES"/>
        </w:rPr>
        <w:t xml:space="preserve">o el demandante arribó a los 60 años edad. </w:t>
      </w:r>
    </w:p>
    <w:p w:rsidR="00153050" w:rsidRDefault="00153050" w:rsidP="00153050">
      <w:pPr>
        <w:pStyle w:val="Sansinterligne"/>
        <w:rPr>
          <w:lang w:val="es-ES"/>
        </w:rPr>
      </w:pPr>
    </w:p>
    <w:p w:rsidR="00E74918" w:rsidRDefault="004815A4" w:rsidP="009B2B1A">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Frente a las cotizaciones, según la historia laboral </w:t>
      </w:r>
      <w:r w:rsidR="00AB0CA3">
        <w:rPr>
          <w:rFonts w:ascii="Arial Narrow" w:hAnsi="Arial Narrow" w:cs="Arial"/>
          <w:sz w:val="28"/>
          <w:szCs w:val="28"/>
          <w:lang w:val="es-ES"/>
        </w:rPr>
        <w:t>que fue allega</w:t>
      </w:r>
      <w:r w:rsidR="00134860">
        <w:rPr>
          <w:rFonts w:ascii="Arial Narrow" w:hAnsi="Arial Narrow" w:cs="Arial"/>
          <w:sz w:val="28"/>
          <w:szCs w:val="28"/>
          <w:lang w:val="es-ES"/>
        </w:rPr>
        <w:t>da</w:t>
      </w:r>
      <w:r w:rsidR="00AB0CA3">
        <w:rPr>
          <w:rFonts w:ascii="Arial Narrow" w:hAnsi="Arial Narrow" w:cs="Arial"/>
          <w:sz w:val="28"/>
          <w:szCs w:val="28"/>
          <w:lang w:val="es-ES"/>
        </w:rPr>
        <w:t xml:space="preserve"> a esta segunda instancia, </w:t>
      </w:r>
      <w:r w:rsidR="00134860">
        <w:rPr>
          <w:rFonts w:ascii="Arial Narrow" w:hAnsi="Arial Narrow" w:cs="Arial"/>
          <w:sz w:val="28"/>
          <w:szCs w:val="28"/>
          <w:lang w:val="es-ES"/>
        </w:rPr>
        <w:t xml:space="preserve">en atención al requerimiento que se </w:t>
      </w:r>
      <w:r w:rsidR="00AB0CA3">
        <w:rPr>
          <w:rFonts w:ascii="Arial Narrow" w:hAnsi="Arial Narrow" w:cs="Arial"/>
          <w:sz w:val="28"/>
          <w:szCs w:val="28"/>
          <w:lang w:val="es-ES"/>
        </w:rPr>
        <w:t>hiciere</w:t>
      </w:r>
      <w:r w:rsidR="00134860">
        <w:rPr>
          <w:rFonts w:ascii="Arial Narrow" w:hAnsi="Arial Narrow" w:cs="Arial"/>
          <w:sz w:val="28"/>
          <w:szCs w:val="28"/>
          <w:lang w:val="es-ES"/>
        </w:rPr>
        <w:t xml:space="preserve"> a la entidad de seguridad social </w:t>
      </w:r>
      <w:r w:rsidR="00AB0CA3">
        <w:rPr>
          <w:rFonts w:ascii="Arial Narrow" w:hAnsi="Arial Narrow" w:cs="Arial"/>
          <w:sz w:val="28"/>
          <w:szCs w:val="28"/>
          <w:lang w:val="es-ES"/>
        </w:rPr>
        <w:t xml:space="preserve">mediante auto del 17 de abril del año en curso, </w:t>
      </w:r>
      <w:r w:rsidR="00134860">
        <w:rPr>
          <w:rFonts w:ascii="Arial Narrow" w:hAnsi="Arial Narrow" w:cs="Arial"/>
          <w:sz w:val="28"/>
          <w:szCs w:val="28"/>
          <w:lang w:val="es-ES"/>
        </w:rPr>
        <w:t>se tiene que el actor sufragó un total de 970.04 semanas</w:t>
      </w:r>
      <w:r w:rsidR="00E74918">
        <w:rPr>
          <w:rFonts w:ascii="Arial Narrow" w:hAnsi="Arial Narrow" w:cs="Arial"/>
          <w:sz w:val="28"/>
          <w:szCs w:val="28"/>
          <w:lang w:val="es-ES"/>
        </w:rPr>
        <w:t xml:space="preserve"> de aportes al sistema. </w:t>
      </w:r>
    </w:p>
    <w:p w:rsidR="002000A8" w:rsidRDefault="00E74918" w:rsidP="009B2B1A">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No obstante, de la documental obrante a folios 14 y 72 del cuaderno de </w:t>
      </w:r>
      <w:r w:rsidR="009F1122">
        <w:rPr>
          <w:rFonts w:ascii="Arial Narrow" w:hAnsi="Arial Narrow" w:cs="Arial"/>
          <w:sz w:val="28"/>
          <w:szCs w:val="28"/>
          <w:lang w:val="es-ES"/>
        </w:rPr>
        <w:t>1ª instancia, y que contiene la relación de novedades registradas de las s</w:t>
      </w:r>
      <w:r w:rsidR="006C081A">
        <w:rPr>
          <w:rFonts w:ascii="Arial Narrow" w:hAnsi="Arial Narrow" w:cs="Arial"/>
          <w:sz w:val="28"/>
          <w:szCs w:val="28"/>
          <w:lang w:val="es-ES"/>
        </w:rPr>
        <w:t>emanas cotizadas entre 1967 y 19</w:t>
      </w:r>
      <w:r w:rsidR="009F1122">
        <w:rPr>
          <w:rFonts w:ascii="Arial Narrow" w:hAnsi="Arial Narrow" w:cs="Arial"/>
          <w:sz w:val="28"/>
          <w:szCs w:val="28"/>
          <w:lang w:val="es-ES"/>
        </w:rPr>
        <w:t xml:space="preserve">94, </w:t>
      </w:r>
      <w:r w:rsidR="00C568DB">
        <w:rPr>
          <w:rFonts w:ascii="Arial Narrow" w:hAnsi="Arial Narrow" w:cs="Arial"/>
          <w:sz w:val="28"/>
          <w:szCs w:val="28"/>
          <w:lang w:val="es-ES"/>
        </w:rPr>
        <w:t>figura la afiliación al sistema a cargo del empleador “</w:t>
      </w:r>
      <w:proofErr w:type="spellStart"/>
      <w:r w:rsidR="00C568DB">
        <w:rPr>
          <w:rFonts w:ascii="Arial Narrow" w:hAnsi="Arial Narrow" w:cs="Arial"/>
          <w:sz w:val="28"/>
          <w:szCs w:val="28"/>
          <w:lang w:val="es-ES"/>
        </w:rPr>
        <w:t>Reindeva</w:t>
      </w:r>
      <w:proofErr w:type="spellEnd"/>
      <w:r w:rsidR="00C568DB">
        <w:rPr>
          <w:rFonts w:ascii="Arial Narrow" w:hAnsi="Arial Narrow" w:cs="Arial"/>
          <w:sz w:val="28"/>
          <w:szCs w:val="28"/>
          <w:lang w:val="es-ES"/>
        </w:rPr>
        <w:t xml:space="preserve"> Hernando Arango”, </w:t>
      </w:r>
      <w:r w:rsidR="00BB5116">
        <w:rPr>
          <w:rFonts w:ascii="Arial Narrow" w:hAnsi="Arial Narrow" w:cs="Arial"/>
          <w:sz w:val="28"/>
          <w:szCs w:val="28"/>
          <w:lang w:val="es-ES"/>
        </w:rPr>
        <w:t>desde e</w:t>
      </w:r>
      <w:r w:rsidR="00925AAC">
        <w:rPr>
          <w:rFonts w:ascii="Arial Narrow" w:hAnsi="Arial Narrow" w:cs="Arial"/>
          <w:sz w:val="28"/>
          <w:szCs w:val="28"/>
          <w:lang w:val="es-ES"/>
        </w:rPr>
        <w:t>l 25 de noviembre de 1987</w:t>
      </w:r>
      <w:r w:rsidR="00BB5116">
        <w:rPr>
          <w:rFonts w:ascii="Arial Narrow" w:hAnsi="Arial Narrow" w:cs="Arial"/>
          <w:sz w:val="28"/>
          <w:szCs w:val="28"/>
          <w:lang w:val="es-ES"/>
        </w:rPr>
        <w:t xml:space="preserve"> hasta </w:t>
      </w:r>
      <w:r w:rsidR="00925AAC">
        <w:rPr>
          <w:rFonts w:ascii="Arial Narrow" w:hAnsi="Arial Narrow" w:cs="Arial"/>
          <w:sz w:val="28"/>
          <w:szCs w:val="28"/>
          <w:lang w:val="es-ES"/>
        </w:rPr>
        <w:t xml:space="preserve">el 31 de diciembre de 1994, con la observación </w:t>
      </w:r>
      <w:r w:rsidR="00EB466B">
        <w:rPr>
          <w:rFonts w:ascii="Arial Narrow" w:hAnsi="Arial Narrow" w:cs="Arial"/>
          <w:sz w:val="28"/>
          <w:szCs w:val="28"/>
          <w:lang w:val="es-ES"/>
        </w:rPr>
        <w:t xml:space="preserve">de </w:t>
      </w:r>
      <w:r w:rsidR="00925AAC">
        <w:rPr>
          <w:rFonts w:ascii="Arial Narrow" w:hAnsi="Arial Narrow" w:cs="Arial"/>
          <w:sz w:val="28"/>
          <w:szCs w:val="28"/>
          <w:lang w:val="es-ES"/>
        </w:rPr>
        <w:t>“Deuda</w:t>
      </w:r>
      <w:r w:rsidR="00E2798B">
        <w:rPr>
          <w:rFonts w:ascii="Arial Narrow" w:hAnsi="Arial Narrow" w:cs="Arial"/>
          <w:sz w:val="28"/>
          <w:szCs w:val="28"/>
          <w:lang w:val="es-ES"/>
        </w:rPr>
        <w:t>” d</w:t>
      </w:r>
      <w:r w:rsidR="002A1400">
        <w:rPr>
          <w:rFonts w:ascii="Arial Narrow" w:hAnsi="Arial Narrow" w:cs="Arial"/>
          <w:sz w:val="28"/>
          <w:szCs w:val="28"/>
          <w:lang w:val="es-ES"/>
        </w:rPr>
        <w:t xml:space="preserve">urante todo el periodo. Por tal </w:t>
      </w:r>
      <w:r w:rsidR="00EB466B">
        <w:rPr>
          <w:rFonts w:ascii="Arial Narrow" w:hAnsi="Arial Narrow" w:cs="Arial"/>
          <w:sz w:val="28"/>
          <w:szCs w:val="28"/>
          <w:lang w:val="es-ES"/>
        </w:rPr>
        <w:t>raz</w:t>
      </w:r>
      <w:r w:rsidR="002A1400">
        <w:rPr>
          <w:rFonts w:ascii="Arial Narrow" w:hAnsi="Arial Narrow" w:cs="Arial"/>
          <w:sz w:val="28"/>
          <w:szCs w:val="28"/>
          <w:lang w:val="es-ES"/>
        </w:rPr>
        <w:t xml:space="preserve">ón, </w:t>
      </w:r>
      <w:r w:rsidR="006C081A">
        <w:rPr>
          <w:rFonts w:ascii="Arial Narrow" w:hAnsi="Arial Narrow" w:cs="Arial"/>
          <w:sz w:val="28"/>
          <w:szCs w:val="28"/>
          <w:lang w:val="es-ES"/>
        </w:rPr>
        <w:t>en principio, h</w:t>
      </w:r>
      <w:r w:rsidR="00EB466B">
        <w:rPr>
          <w:rFonts w:ascii="Arial Narrow" w:hAnsi="Arial Narrow" w:cs="Arial"/>
          <w:sz w:val="28"/>
          <w:szCs w:val="28"/>
          <w:lang w:val="es-ES"/>
        </w:rPr>
        <w:t>abrí</w:t>
      </w:r>
      <w:r w:rsidR="006C081A">
        <w:rPr>
          <w:rFonts w:ascii="Arial Narrow" w:hAnsi="Arial Narrow" w:cs="Arial"/>
          <w:sz w:val="28"/>
          <w:szCs w:val="28"/>
          <w:lang w:val="es-ES"/>
        </w:rPr>
        <w:t>a</w:t>
      </w:r>
      <w:r w:rsidR="00E2798B">
        <w:rPr>
          <w:rFonts w:ascii="Arial Narrow" w:hAnsi="Arial Narrow" w:cs="Arial"/>
          <w:sz w:val="28"/>
          <w:szCs w:val="28"/>
          <w:lang w:val="es-ES"/>
        </w:rPr>
        <w:t xml:space="preserve"> lugar a adicionar 327 semanas al haber de aportes a pensión</w:t>
      </w:r>
      <w:r w:rsidR="002A1400">
        <w:rPr>
          <w:rFonts w:ascii="Arial Narrow" w:hAnsi="Arial Narrow" w:cs="Arial"/>
          <w:sz w:val="28"/>
          <w:szCs w:val="28"/>
          <w:lang w:val="es-ES"/>
        </w:rPr>
        <w:t xml:space="preserve"> del actor,</w:t>
      </w:r>
      <w:r w:rsidR="004056E9">
        <w:rPr>
          <w:rFonts w:ascii="Arial Narrow" w:hAnsi="Arial Narrow" w:cs="Arial"/>
          <w:sz w:val="28"/>
          <w:szCs w:val="28"/>
          <w:lang w:val="es-ES"/>
        </w:rPr>
        <w:t xml:space="preserve"> </w:t>
      </w:r>
      <w:r w:rsidR="00E2798B">
        <w:rPr>
          <w:rFonts w:ascii="Arial Narrow" w:hAnsi="Arial Narrow" w:cs="Arial"/>
          <w:sz w:val="28"/>
          <w:szCs w:val="28"/>
          <w:lang w:val="es-ES"/>
        </w:rPr>
        <w:t xml:space="preserve">sino fuera </w:t>
      </w:r>
      <w:r w:rsidR="00846238">
        <w:rPr>
          <w:rFonts w:ascii="Arial Narrow" w:hAnsi="Arial Narrow" w:cs="Arial"/>
          <w:sz w:val="28"/>
          <w:szCs w:val="28"/>
          <w:lang w:val="es-ES"/>
        </w:rPr>
        <w:t xml:space="preserve">porque la Sala encuentra que existen otras vinculaciones laborales </w:t>
      </w:r>
      <w:r w:rsidR="002A1400">
        <w:rPr>
          <w:rFonts w:ascii="Arial Narrow" w:hAnsi="Arial Narrow" w:cs="Arial"/>
          <w:sz w:val="28"/>
          <w:szCs w:val="28"/>
          <w:lang w:val="es-ES"/>
        </w:rPr>
        <w:t>en dicho interregno</w:t>
      </w:r>
      <w:r w:rsidR="008952B2">
        <w:rPr>
          <w:rFonts w:ascii="Arial Narrow" w:hAnsi="Arial Narrow" w:cs="Arial"/>
          <w:sz w:val="28"/>
          <w:szCs w:val="28"/>
          <w:lang w:val="es-ES"/>
        </w:rPr>
        <w:t>,</w:t>
      </w:r>
      <w:r w:rsidR="002A1400">
        <w:rPr>
          <w:rFonts w:ascii="Arial Narrow" w:hAnsi="Arial Narrow" w:cs="Arial"/>
          <w:sz w:val="28"/>
          <w:szCs w:val="28"/>
          <w:lang w:val="es-ES"/>
        </w:rPr>
        <w:t xml:space="preserve"> que ponen de manifiesto que </w:t>
      </w:r>
      <w:r w:rsidR="00390BF7">
        <w:rPr>
          <w:rFonts w:ascii="Arial Narrow" w:hAnsi="Arial Narrow" w:cs="Arial"/>
          <w:sz w:val="28"/>
          <w:szCs w:val="28"/>
          <w:lang w:val="es-ES"/>
        </w:rPr>
        <w:t xml:space="preserve">el empleador omitió registrar la novedad de retiro del sistema pensional, y </w:t>
      </w:r>
      <w:r w:rsidR="00DA635F">
        <w:rPr>
          <w:rFonts w:ascii="Arial Narrow" w:hAnsi="Arial Narrow" w:cs="Arial"/>
          <w:sz w:val="28"/>
          <w:szCs w:val="28"/>
          <w:lang w:val="es-ES"/>
        </w:rPr>
        <w:t xml:space="preserve">que por ende, </w:t>
      </w:r>
      <w:r w:rsidR="00390BF7">
        <w:rPr>
          <w:rFonts w:ascii="Arial Narrow" w:hAnsi="Arial Narrow" w:cs="Arial"/>
          <w:sz w:val="28"/>
          <w:szCs w:val="28"/>
          <w:lang w:val="es-ES"/>
        </w:rPr>
        <w:t>la mora patronal en el pago de los aportes a pensión sólo puede extenderse hasta el 20 de enero de 1988.</w:t>
      </w:r>
      <w:r w:rsidR="00DA635F">
        <w:rPr>
          <w:rFonts w:ascii="Arial Narrow" w:hAnsi="Arial Narrow" w:cs="Arial"/>
          <w:sz w:val="28"/>
          <w:szCs w:val="28"/>
          <w:lang w:val="es-ES"/>
        </w:rPr>
        <w:t xml:space="preserve"> En </w:t>
      </w:r>
      <w:r w:rsidR="004056E9">
        <w:rPr>
          <w:rFonts w:ascii="Arial Narrow" w:hAnsi="Arial Narrow" w:cs="Arial"/>
          <w:sz w:val="28"/>
          <w:szCs w:val="28"/>
          <w:lang w:val="es-ES"/>
        </w:rPr>
        <w:t>ese orden, hay lugar a a</w:t>
      </w:r>
      <w:r w:rsidR="00DA635F">
        <w:rPr>
          <w:rFonts w:ascii="Arial Narrow" w:hAnsi="Arial Narrow" w:cs="Arial"/>
          <w:sz w:val="28"/>
          <w:szCs w:val="28"/>
          <w:lang w:val="es-ES"/>
        </w:rPr>
        <w:t>dicionar 8.14 semanas al haber de aportes a pensi</w:t>
      </w:r>
      <w:r w:rsidR="004056E9">
        <w:rPr>
          <w:rFonts w:ascii="Arial Narrow" w:hAnsi="Arial Narrow" w:cs="Arial"/>
          <w:sz w:val="28"/>
          <w:szCs w:val="28"/>
          <w:lang w:val="es-ES"/>
        </w:rPr>
        <w:t xml:space="preserve">ón, pues </w:t>
      </w:r>
      <w:r w:rsidR="002000A8">
        <w:rPr>
          <w:rFonts w:ascii="Arial Narrow" w:hAnsi="Arial Narrow" w:cs="Arial"/>
          <w:sz w:val="28"/>
          <w:szCs w:val="28"/>
          <w:lang w:val="es-ES"/>
        </w:rPr>
        <w:t>tal como lo ha decantado la jurisprudencia, el afiliado no puede ser el que cargue con las ominosas consecuencias del no pago de su empleador, por contar las entidades de seguridad social con las acciones de cobro para subvenir esa situación</w:t>
      </w:r>
      <w:r w:rsidR="00BF49AF">
        <w:rPr>
          <w:rFonts w:ascii="Arial Narrow" w:hAnsi="Arial Narrow" w:cs="Arial"/>
          <w:sz w:val="28"/>
          <w:szCs w:val="28"/>
          <w:lang w:val="es-ES"/>
        </w:rPr>
        <w:t>.</w:t>
      </w:r>
    </w:p>
    <w:p w:rsidR="00411AB7" w:rsidRDefault="00411AB7" w:rsidP="004631B5">
      <w:pPr>
        <w:pStyle w:val="Sansinterligne"/>
        <w:rPr>
          <w:lang w:val="es-ES"/>
        </w:rPr>
      </w:pPr>
    </w:p>
    <w:p w:rsidR="00047B28" w:rsidRDefault="003B3FDA" w:rsidP="009B2B1A">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otra parte, </w:t>
      </w:r>
      <w:r w:rsidR="00047C82">
        <w:rPr>
          <w:rFonts w:ascii="Arial Narrow" w:hAnsi="Arial Narrow" w:cs="Arial"/>
          <w:sz w:val="28"/>
          <w:szCs w:val="28"/>
          <w:lang w:val="es-ES"/>
        </w:rPr>
        <w:t xml:space="preserve">conforme </w:t>
      </w:r>
      <w:r w:rsidR="00416071">
        <w:rPr>
          <w:rFonts w:ascii="Arial Narrow" w:hAnsi="Arial Narrow" w:cs="Arial"/>
          <w:sz w:val="28"/>
          <w:szCs w:val="28"/>
          <w:lang w:val="es-ES"/>
        </w:rPr>
        <w:t>a</w:t>
      </w:r>
      <w:r w:rsidR="00047B28">
        <w:rPr>
          <w:rFonts w:ascii="Arial Narrow" w:hAnsi="Arial Narrow" w:cs="Arial"/>
          <w:sz w:val="28"/>
          <w:szCs w:val="28"/>
          <w:lang w:val="es-ES"/>
        </w:rPr>
        <w:t xml:space="preserve"> la certificación expedida por el Consorcio Colombia Mayor,</w:t>
      </w:r>
      <w:r w:rsidR="00EB6B76">
        <w:rPr>
          <w:rFonts w:ascii="Arial Narrow" w:hAnsi="Arial Narrow" w:cs="Arial"/>
          <w:sz w:val="28"/>
          <w:szCs w:val="28"/>
          <w:lang w:val="es-ES"/>
        </w:rPr>
        <w:t xml:space="preserve"> la cual fue allegada a la Secretaría de esta Corporación y puesta en conocimiento de las partes </w:t>
      </w:r>
      <w:r w:rsidR="000A1228">
        <w:rPr>
          <w:rFonts w:ascii="Arial Narrow" w:hAnsi="Arial Narrow" w:cs="Arial"/>
          <w:sz w:val="28"/>
          <w:szCs w:val="28"/>
          <w:lang w:val="es-ES"/>
        </w:rPr>
        <w:t>mediante auto del 28 de abril pasado</w:t>
      </w:r>
      <w:r w:rsidR="00EB6B76">
        <w:rPr>
          <w:rFonts w:ascii="Arial Narrow" w:hAnsi="Arial Narrow" w:cs="Arial"/>
          <w:sz w:val="28"/>
          <w:szCs w:val="28"/>
          <w:lang w:val="es-ES"/>
        </w:rPr>
        <w:t xml:space="preserve">, </w:t>
      </w:r>
      <w:r w:rsidR="00047B28">
        <w:rPr>
          <w:rFonts w:ascii="Arial Narrow" w:hAnsi="Arial Narrow" w:cs="Arial"/>
          <w:sz w:val="28"/>
          <w:szCs w:val="28"/>
          <w:lang w:val="es-ES"/>
        </w:rPr>
        <w:t xml:space="preserve">el </w:t>
      </w:r>
      <w:r w:rsidR="00B57506">
        <w:rPr>
          <w:rFonts w:ascii="Arial Narrow" w:hAnsi="Arial Narrow" w:cs="Arial"/>
          <w:sz w:val="28"/>
          <w:szCs w:val="28"/>
          <w:lang w:val="es-ES"/>
        </w:rPr>
        <w:t xml:space="preserve">actor </w:t>
      </w:r>
      <w:r w:rsidR="00047B28">
        <w:rPr>
          <w:rFonts w:ascii="Arial Narrow" w:hAnsi="Arial Narrow" w:cs="Arial"/>
          <w:sz w:val="28"/>
          <w:szCs w:val="28"/>
          <w:lang w:val="es-ES"/>
        </w:rPr>
        <w:t xml:space="preserve">estuvo afiliado a dicho programa de subsidio de aportes a </w:t>
      </w:r>
      <w:r w:rsidR="00047B28" w:rsidRPr="005C5EE0">
        <w:rPr>
          <w:rFonts w:ascii="Arial Narrow" w:hAnsi="Arial Narrow" w:cs="Arial"/>
          <w:sz w:val="28"/>
          <w:szCs w:val="28"/>
          <w:lang w:val="es-ES"/>
        </w:rPr>
        <w:t xml:space="preserve">pensión, en dos oportunidades: la primera, del 1º de agosto de 2002 </w:t>
      </w:r>
      <w:r w:rsidR="00FE09ED" w:rsidRPr="005C5EE0">
        <w:rPr>
          <w:rFonts w:ascii="Arial Narrow" w:hAnsi="Arial Narrow" w:cs="Arial"/>
          <w:sz w:val="28"/>
          <w:szCs w:val="28"/>
          <w:lang w:val="es-ES"/>
        </w:rPr>
        <w:t>hasta el 30 de abril de 2003, cuando fue retirado por incurrir en la causal e) del artículo 9º del Decreto 2414 de 1998, que dispone que se perderá la condición de beneficiario del régimen subsidiado, cuando</w:t>
      </w:r>
      <w:r w:rsidR="00113B60">
        <w:rPr>
          <w:rFonts w:ascii="Arial Narrow" w:hAnsi="Arial Narrow" w:cs="Arial"/>
          <w:sz w:val="28"/>
          <w:szCs w:val="28"/>
          <w:lang w:val="es-ES"/>
        </w:rPr>
        <w:t xml:space="preserve"> se </w:t>
      </w:r>
      <w:r w:rsidR="00FE09ED" w:rsidRPr="005C5EE0">
        <w:rPr>
          <w:rFonts w:ascii="Arial Narrow" w:hAnsi="Arial Narrow" w:cs="Arial"/>
          <w:sz w:val="28"/>
          <w:szCs w:val="28"/>
          <w:lang w:val="es-ES"/>
        </w:rPr>
        <w:t>deje de cancelar 4 meses continuos del aporte que le corresponde</w:t>
      </w:r>
      <w:r w:rsidR="00865314" w:rsidRPr="005C5EE0">
        <w:rPr>
          <w:rFonts w:ascii="Arial Narrow" w:hAnsi="Arial Narrow" w:cs="Arial"/>
          <w:sz w:val="28"/>
          <w:szCs w:val="28"/>
          <w:lang w:val="es-ES"/>
        </w:rPr>
        <w:t xml:space="preserve">; y la segunda, del 1 de abril de 2011 hasta el 6 de septiembre de 2013, cuando </w:t>
      </w:r>
      <w:r w:rsidR="00865314">
        <w:rPr>
          <w:rFonts w:ascii="Arial Narrow" w:hAnsi="Arial Narrow" w:cs="Arial"/>
          <w:sz w:val="28"/>
          <w:szCs w:val="28"/>
          <w:lang w:val="es-ES"/>
        </w:rPr>
        <w:t>fue retirado por haber reportado el inicio del reconocimiento de la prestaci</w:t>
      </w:r>
      <w:r w:rsidR="00910BA0">
        <w:rPr>
          <w:rFonts w:ascii="Arial Narrow" w:hAnsi="Arial Narrow" w:cs="Arial"/>
          <w:sz w:val="28"/>
          <w:szCs w:val="28"/>
          <w:lang w:val="es-ES"/>
        </w:rPr>
        <w:t xml:space="preserve">ón pensional. </w:t>
      </w:r>
    </w:p>
    <w:p w:rsidR="005C5EE0" w:rsidRPr="00E83C72" w:rsidRDefault="005C5EE0" w:rsidP="00E83C72">
      <w:pPr>
        <w:pStyle w:val="Sansinterligne"/>
      </w:pPr>
    </w:p>
    <w:p w:rsidR="00955CE0" w:rsidRDefault="005C5EE0" w:rsidP="009B2B1A">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Frente a la pérdida del subsidio por el no pago de</w:t>
      </w:r>
      <w:r w:rsidR="00F25DC6">
        <w:rPr>
          <w:rFonts w:ascii="Arial Narrow" w:hAnsi="Arial Narrow" w:cs="Arial"/>
          <w:sz w:val="28"/>
          <w:szCs w:val="28"/>
          <w:lang w:val="es-ES"/>
        </w:rPr>
        <w:t xml:space="preserve"> la parte del </w:t>
      </w:r>
      <w:r>
        <w:rPr>
          <w:rFonts w:ascii="Arial Narrow" w:hAnsi="Arial Narrow" w:cs="Arial"/>
          <w:sz w:val="28"/>
          <w:szCs w:val="28"/>
          <w:lang w:val="es-ES"/>
        </w:rPr>
        <w:t xml:space="preserve">aporte </w:t>
      </w:r>
      <w:r w:rsidR="00F25DC6">
        <w:rPr>
          <w:rFonts w:ascii="Arial Narrow" w:hAnsi="Arial Narrow" w:cs="Arial"/>
          <w:sz w:val="28"/>
          <w:szCs w:val="28"/>
          <w:lang w:val="es-ES"/>
        </w:rPr>
        <w:t>que le corresponde a</w:t>
      </w:r>
      <w:r>
        <w:rPr>
          <w:rFonts w:ascii="Arial Narrow" w:hAnsi="Arial Narrow" w:cs="Arial"/>
          <w:sz w:val="28"/>
          <w:szCs w:val="28"/>
          <w:lang w:val="es-ES"/>
        </w:rPr>
        <w:t>l beneficiario</w:t>
      </w:r>
      <w:r w:rsidR="00955CE0">
        <w:rPr>
          <w:rFonts w:ascii="Arial Narrow" w:hAnsi="Arial Narrow" w:cs="Arial"/>
          <w:sz w:val="28"/>
          <w:szCs w:val="28"/>
          <w:lang w:val="es-ES"/>
        </w:rPr>
        <w:t xml:space="preserve">, es necesario precisar que de manera previa a </w:t>
      </w:r>
      <w:r w:rsidR="00317261">
        <w:rPr>
          <w:rFonts w:ascii="Arial Narrow" w:hAnsi="Arial Narrow" w:cs="Arial"/>
          <w:sz w:val="28"/>
          <w:szCs w:val="28"/>
          <w:lang w:val="es-ES"/>
        </w:rPr>
        <w:t xml:space="preserve">la </w:t>
      </w:r>
      <w:r w:rsidR="00317261">
        <w:rPr>
          <w:rFonts w:ascii="Arial Narrow" w:hAnsi="Arial Narrow" w:cs="Arial"/>
          <w:sz w:val="28"/>
          <w:szCs w:val="28"/>
          <w:lang w:val="es-ES"/>
        </w:rPr>
        <w:lastRenderedPageBreak/>
        <w:t>imposición de esa medida</w:t>
      </w:r>
      <w:r w:rsidR="00955CE0">
        <w:rPr>
          <w:rFonts w:ascii="Arial Narrow" w:hAnsi="Arial Narrow" w:cs="Arial"/>
          <w:sz w:val="28"/>
          <w:szCs w:val="28"/>
          <w:lang w:val="es-ES"/>
        </w:rPr>
        <w:t xml:space="preserve">, se requiere que la entidad de seguridad social </w:t>
      </w:r>
      <w:r w:rsidR="00317261">
        <w:rPr>
          <w:rFonts w:ascii="Arial Narrow" w:hAnsi="Arial Narrow" w:cs="Arial"/>
          <w:sz w:val="28"/>
          <w:szCs w:val="28"/>
          <w:lang w:val="es-ES"/>
        </w:rPr>
        <w:t xml:space="preserve">le </w:t>
      </w:r>
      <w:r w:rsidR="00955CE0">
        <w:rPr>
          <w:rFonts w:ascii="Arial Narrow" w:hAnsi="Arial Narrow" w:cs="Arial"/>
          <w:sz w:val="28"/>
          <w:szCs w:val="28"/>
          <w:lang w:val="es-ES"/>
        </w:rPr>
        <w:t xml:space="preserve">informe tanto al Consorcio Prosperar como al </w:t>
      </w:r>
      <w:r w:rsidR="00653773">
        <w:rPr>
          <w:rFonts w:ascii="Arial Narrow" w:hAnsi="Arial Narrow" w:cs="Arial"/>
          <w:sz w:val="28"/>
          <w:szCs w:val="28"/>
          <w:lang w:val="es-ES"/>
        </w:rPr>
        <w:t>afiliado</w:t>
      </w:r>
      <w:r w:rsidR="00317261">
        <w:rPr>
          <w:rFonts w:ascii="Arial Narrow" w:hAnsi="Arial Narrow" w:cs="Arial"/>
          <w:sz w:val="28"/>
          <w:szCs w:val="28"/>
          <w:lang w:val="es-ES"/>
        </w:rPr>
        <w:t xml:space="preserve"> </w:t>
      </w:r>
      <w:r w:rsidR="00955CE0">
        <w:rPr>
          <w:rFonts w:ascii="Arial Narrow" w:hAnsi="Arial Narrow" w:cs="Arial"/>
          <w:sz w:val="28"/>
          <w:szCs w:val="28"/>
          <w:lang w:val="es-ES"/>
        </w:rPr>
        <w:t>sobre la falta de pago</w:t>
      </w:r>
      <w:r w:rsidR="000A3860">
        <w:rPr>
          <w:rFonts w:ascii="Arial Narrow" w:hAnsi="Arial Narrow" w:cs="Arial"/>
          <w:sz w:val="28"/>
          <w:szCs w:val="28"/>
          <w:lang w:val="es-ES"/>
        </w:rPr>
        <w:t xml:space="preserve"> de la fracción </w:t>
      </w:r>
      <w:r w:rsidR="00153050">
        <w:rPr>
          <w:rFonts w:ascii="Arial Narrow" w:hAnsi="Arial Narrow" w:cs="Arial"/>
          <w:sz w:val="28"/>
          <w:szCs w:val="28"/>
          <w:lang w:val="es-ES"/>
        </w:rPr>
        <w:t xml:space="preserve">del aporte </w:t>
      </w:r>
      <w:r w:rsidR="000A3860">
        <w:rPr>
          <w:rFonts w:ascii="Arial Narrow" w:hAnsi="Arial Narrow" w:cs="Arial"/>
          <w:sz w:val="28"/>
          <w:szCs w:val="28"/>
          <w:lang w:val="es-ES"/>
        </w:rPr>
        <w:t>a cargo del beneficiario</w:t>
      </w:r>
      <w:r w:rsidR="00955CE0">
        <w:rPr>
          <w:rFonts w:ascii="Arial Narrow" w:hAnsi="Arial Narrow" w:cs="Arial"/>
          <w:sz w:val="28"/>
          <w:szCs w:val="28"/>
          <w:lang w:val="es-ES"/>
        </w:rPr>
        <w:t>, a efectos de</w:t>
      </w:r>
      <w:r w:rsidR="000A3860">
        <w:rPr>
          <w:rFonts w:ascii="Arial Narrow" w:hAnsi="Arial Narrow" w:cs="Arial"/>
          <w:sz w:val="28"/>
          <w:szCs w:val="28"/>
          <w:lang w:val="es-ES"/>
        </w:rPr>
        <w:t xml:space="preserve"> que éste </w:t>
      </w:r>
      <w:r w:rsidR="00653773">
        <w:rPr>
          <w:rFonts w:ascii="Arial Narrow" w:hAnsi="Arial Narrow" w:cs="Arial"/>
          <w:sz w:val="28"/>
          <w:szCs w:val="28"/>
          <w:lang w:val="es-ES"/>
        </w:rPr>
        <w:t>pueda tomar las medidas necesarias tendientes a evitar que su derecho pensional se vea comprometido</w:t>
      </w:r>
      <w:r w:rsidR="00317261">
        <w:rPr>
          <w:rFonts w:ascii="Arial Narrow" w:hAnsi="Arial Narrow" w:cs="Arial"/>
          <w:sz w:val="28"/>
          <w:szCs w:val="28"/>
          <w:lang w:val="es-ES"/>
        </w:rPr>
        <w:t xml:space="preserve">. </w:t>
      </w:r>
      <w:r w:rsidR="00653773">
        <w:rPr>
          <w:rFonts w:ascii="Arial Narrow" w:hAnsi="Arial Narrow" w:cs="Arial"/>
          <w:sz w:val="28"/>
          <w:szCs w:val="28"/>
          <w:lang w:val="es-ES"/>
        </w:rPr>
        <w:t xml:space="preserve"> </w:t>
      </w:r>
    </w:p>
    <w:p w:rsidR="00317261" w:rsidRPr="00E83C72" w:rsidRDefault="00317261" w:rsidP="00E83C72">
      <w:pPr>
        <w:pStyle w:val="Sansinterligne"/>
      </w:pPr>
    </w:p>
    <w:p w:rsidR="00D36A2B" w:rsidRDefault="00812557" w:rsidP="00317261">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Así lo estableció el órgano de cierre de la especialidad l</w:t>
      </w:r>
      <w:r w:rsidR="00D36A2B">
        <w:rPr>
          <w:rFonts w:ascii="Arial Narrow" w:hAnsi="Arial Narrow" w:cs="Arial"/>
          <w:sz w:val="28"/>
          <w:szCs w:val="28"/>
          <w:lang w:val="es-ES"/>
        </w:rPr>
        <w:t>aboral, en sentencia radicad</w:t>
      </w:r>
      <w:r w:rsidR="00FB691B">
        <w:rPr>
          <w:rFonts w:ascii="Arial Narrow" w:hAnsi="Arial Narrow" w:cs="Arial"/>
          <w:sz w:val="28"/>
          <w:szCs w:val="28"/>
          <w:lang w:val="es-ES"/>
        </w:rPr>
        <w:t>a</w:t>
      </w:r>
      <w:r w:rsidR="00D36A2B">
        <w:rPr>
          <w:rFonts w:ascii="Arial Narrow" w:hAnsi="Arial Narrow" w:cs="Arial"/>
          <w:sz w:val="28"/>
          <w:szCs w:val="28"/>
          <w:lang w:val="es-ES"/>
        </w:rPr>
        <w:t xml:space="preserve"> No. 45639 del </w:t>
      </w:r>
      <w:r w:rsidR="00153050">
        <w:rPr>
          <w:rFonts w:ascii="Arial Narrow" w:hAnsi="Arial Narrow" w:cs="Arial"/>
          <w:sz w:val="28"/>
          <w:szCs w:val="28"/>
          <w:lang w:val="es-ES"/>
        </w:rPr>
        <w:t xml:space="preserve">16 de noviembre de </w:t>
      </w:r>
      <w:r w:rsidR="00D36A2B">
        <w:rPr>
          <w:rFonts w:ascii="Arial Narrow" w:hAnsi="Arial Narrow" w:cs="Arial"/>
          <w:sz w:val="28"/>
          <w:szCs w:val="28"/>
          <w:lang w:val="es-ES"/>
        </w:rPr>
        <w:t xml:space="preserve">2016, </w:t>
      </w:r>
      <w:r w:rsidR="00FB691B">
        <w:rPr>
          <w:rFonts w:ascii="Arial Narrow" w:hAnsi="Arial Narrow" w:cs="Arial"/>
          <w:sz w:val="28"/>
          <w:szCs w:val="28"/>
          <w:lang w:val="es-ES"/>
        </w:rPr>
        <w:t xml:space="preserve">cuando </w:t>
      </w:r>
      <w:r w:rsidR="00D36A2B">
        <w:rPr>
          <w:rFonts w:ascii="Arial Narrow" w:hAnsi="Arial Narrow" w:cs="Arial"/>
          <w:sz w:val="28"/>
          <w:szCs w:val="28"/>
          <w:lang w:val="es-ES"/>
        </w:rPr>
        <w:t xml:space="preserve">puntualizó: </w:t>
      </w:r>
    </w:p>
    <w:p w:rsidR="00E83C72" w:rsidRDefault="00E83C72" w:rsidP="00E83C72">
      <w:pPr>
        <w:pStyle w:val="Sansinterligne"/>
        <w:rPr>
          <w:lang w:val="es-ES"/>
        </w:rPr>
      </w:pPr>
    </w:p>
    <w:p w:rsidR="00902EFE" w:rsidRPr="00E83C72" w:rsidRDefault="00902EFE" w:rsidP="00B25093">
      <w:pPr>
        <w:ind w:left="284"/>
        <w:jc w:val="both"/>
        <w:rPr>
          <w:rFonts w:ascii="Arial Narrow" w:hAnsi="Arial Narrow"/>
          <w:sz w:val="27"/>
          <w:szCs w:val="27"/>
          <w:lang w:val="es-ES"/>
        </w:rPr>
      </w:pPr>
      <w:r w:rsidRPr="00E83C72">
        <w:rPr>
          <w:rFonts w:ascii="Arial Narrow" w:hAnsi="Arial Narrow"/>
          <w:i/>
          <w:iCs/>
          <w:sz w:val="27"/>
          <w:szCs w:val="27"/>
          <w:lang w:val="es-ES"/>
        </w:rPr>
        <w:t>“Según el artículo 24 ibídem, se pierde el derecho al subsidio, cuando se adquiere capacidad para pagar íntegro el aporte, cuando cese la obligación de cotizar, se cumpla el plazo máximo para devengar el subsidio, o se deje de cancelar durante 6 meses el aporte correspondiente, caso en el que «la administradora de pensiones correspondiente, tendrá hasta el último día hábil del sexto mes para comunicar a la entidad administradora del Fondo de Solidaridad Pensional sobre tal situación, con el fin de que esta proceda a suspender su afiliación al programa. En todo caso, la administradora del Fondo de Solidaridad Pensional deberá verificar que no se haya cobrado el subsidio durante este período».</w:t>
      </w:r>
    </w:p>
    <w:p w:rsidR="00902EFE" w:rsidRPr="00E83C72" w:rsidRDefault="00902EFE" w:rsidP="00E83C72">
      <w:pPr>
        <w:pStyle w:val="Sansinterligne"/>
        <w:rPr>
          <w:lang w:val="es-ES"/>
        </w:rPr>
      </w:pPr>
    </w:p>
    <w:p w:rsidR="00902EFE" w:rsidRPr="00E83C72" w:rsidRDefault="00902EFE" w:rsidP="00B25093">
      <w:pPr>
        <w:ind w:left="284"/>
        <w:jc w:val="both"/>
        <w:rPr>
          <w:rFonts w:ascii="Arial Narrow" w:hAnsi="Arial Narrow"/>
          <w:sz w:val="27"/>
          <w:szCs w:val="27"/>
          <w:lang w:val="es-ES"/>
        </w:rPr>
      </w:pPr>
      <w:r w:rsidRPr="00E83C72">
        <w:rPr>
          <w:rFonts w:ascii="Arial Narrow" w:hAnsi="Arial Narrow"/>
          <w:i/>
          <w:iCs/>
          <w:sz w:val="27"/>
          <w:szCs w:val="27"/>
          <w:lang w:val="es-ES"/>
        </w:rPr>
        <w:t xml:space="preserve">Significa lo anterior que ni la suspensión, ni la pérdida del derecho al subsidio operan en forma automática y de pleno derecho, sino que es indispensable que el Instituto informe a PROSPERAR sobre la supuesta falta de pago del demandante de la parte del aporte que le correspondía cancelar. </w:t>
      </w:r>
    </w:p>
    <w:p w:rsidR="00902EFE" w:rsidRPr="00E83C72" w:rsidRDefault="00902EFE" w:rsidP="00E83C72">
      <w:pPr>
        <w:pStyle w:val="Sansinterligne"/>
        <w:rPr>
          <w:lang w:val="es-ES"/>
        </w:rPr>
      </w:pPr>
    </w:p>
    <w:p w:rsidR="00902EFE" w:rsidRPr="00E83C72" w:rsidRDefault="00902EFE" w:rsidP="00B25093">
      <w:pPr>
        <w:ind w:left="284"/>
        <w:jc w:val="both"/>
        <w:rPr>
          <w:rFonts w:ascii="Arial Narrow" w:hAnsi="Arial Narrow"/>
          <w:sz w:val="27"/>
          <w:szCs w:val="27"/>
          <w:lang w:val="es-ES"/>
        </w:rPr>
      </w:pPr>
      <w:r w:rsidRPr="00E83C72">
        <w:rPr>
          <w:rFonts w:ascii="Arial Narrow" w:hAnsi="Arial Narrow"/>
          <w:i/>
          <w:iCs/>
          <w:sz w:val="27"/>
          <w:szCs w:val="27"/>
          <w:lang w:val="es-ES"/>
        </w:rPr>
        <w:t>Para la Sala es claro, especialmente en situaciones que involucran la afectación de un derecho de una connotación esencial como el de acceder a la pensión de una persona de la tercera edad, la necesidad de brindar la posibilidad de ponerse al día en el pago de la fracción de la cotización a su cargo, lo cual impone que la eventual falta de pago sea puesta en conocimiento del interesado para que adopte la conducta que estime pertinente en perspectiva de no comprometer su condición de beneficiario del esquema solidario y no poner en riesgo el acceso a la pensión de vejez. En todo caso, para que ejerza su derecho de contradicción y defensa, que en esta ocasión fue menoscabado por la enjuiciada, en la medida en que no adelantó alguna diligencia para notificar al demandante de la supuesta irregularidad en el pago de sus aportes; es decir, le aplicó una sanción sin enterarlo sobre las razones que la inspiraron.</w:t>
      </w:r>
      <w:r w:rsidR="00CC5F80" w:rsidRPr="00E83C72">
        <w:rPr>
          <w:rFonts w:ascii="Arial Narrow" w:hAnsi="Arial Narrow"/>
          <w:i/>
          <w:iCs/>
          <w:sz w:val="27"/>
          <w:szCs w:val="27"/>
          <w:lang w:val="es-ES"/>
        </w:rPr>
        <w:t>”</w:t>
      </w:r>
    </w:p>
    <w:p w:rsidR="00902EFE" w:rsidRPr="00E83C72" w:rsidRDefault="00902EFE" w:rsidP="00A637D5">
      <w:pPr>
        <w:pStyle w:val="Sansinterligne"/>
        <w:rPr>
          <w:sz w:val="27"/>
          <w:szCs w:val="27"/>
        </w:rPr>
      </w:pPr>
    </w:p>
    <w:p w:rsidR="000F4769" w:rsidRDefault="00A73615" w:rsidP="00B25093">
      <w:pPr>
        <w:spacing w:line="360" w:lineRule="auto"/>
        <w:ind w:firstLine="708"/>
        <w:jc w:val="both"/>
        <w:rPr>
          <w:rFonts w:ascii="Arial Narrow" w:hAnsi="Arial Narrow"/>
          <w:sz w:val="28"/>
          <w:szCs w:val="28"/>
          <w:lang w:val="es-ES"/>
        </w:rPr>
      </w:pPr>
      <w:r>
        <w:rPr>
          <w:rFonts w:ascii="Arial Narrow" w:hAnsi="Arial Narrow"/>
          <w:sz w:val="28"/>
          <w:szCs w:val="28"/>
          <w:lang w:val="es-ES"/>
        </w:rPr>
        <w:t xml:space="preserve">En el sub-lite, </w:t>
      </w:r>
      <w:r w:rsidR="00E66FDC">
        <w:rPr>
          <w:rFonts w:ascii="Arial Narrow" w:hAnsi="Arial Narrow"/>
          <w:sz w:val="28"/>
          <w:szCs w:val="28"/>
          <w:lang w:val="es-ES"/>
        </w:rPr>
        <w:t xml:space="preserve">no </w:t>
      </w:r>
      <w:r w:rsidR="00884400">
        <w:rPr>
          <w:rFonts w:ascii="Arial Narrow" w:hAnsi="Arial Narrow"/>
          <w:sz w:val="28"/>
          <w:szCs w:val="28"/>
          <w:lang w:val="es-ES"/>
        </w:rPr>
        <w:t xml:space="preserve">milita constancia de </w:t>
      </w:r>
      <w:r w:rsidR="003348FE">
        <w:rPr>
          <w:rFonts w:ascii="Arial Narrow" w:hAnsi="Arial Narrow"/>
          <w:sz w:val="28"/>
          <w:szCs w:val="28"/>
          <w:lang w:val="es-ES"/>
        </w:rPr>
        <w:t xml:space="preserve">que </w:t>
      </w:r>
      <w:r w:rsidR="00402933">
        <w:rPr>
          <w:rFonts w:ascii="Arial Narrow" w:hAnsi="Arial Narrow"/>
          <w:sz w:val="28"/>
          <w:szCs w:val="28"/>
          <w:lang w:val="es-ES"/>
        </w:rPr>
        <w:t>dentro del término establecido</w:t>
      </w:r>
      <w:r>
        <w:rPr>
          <w:rFonts w:ascii="Arial Narrow" w:hAnsi="Arial Narrow"/>
          <w:sz w:val="28"/>
          <w:szCs w:val="28"/>
          <w:lang w:val="es-ES"/>
        </w:rPr>
        <w:t xml:space="preserve"> la entidad demandada </w:t>
      </w:r>
      <w:r w:rsidR="00EC3CBD">
        <w:rPr>
          <w:rFonts w:ascii="Arial Narrow" w:hAnsi="Arial Narrow"/>
          <w:sz w:val="28"/>
          <w:szCs w:val="28"/>
          <w:lang w:val="es-ES"/>
        </w:rPr>
        <w:t>h</w:t>
      </w:r>
      <w:r w:rsidR="003B2503">
        <w:rPr>
          <w:rFonts w:ascii="Arial Narrow" w:hAnsi="Arial Narrow"/>
          <w:sz w:val="28"/>
          <w:szCs w:val="28"/>
          <w:lang w:val="es-ES"/>
        </w:rPr>
        <w:t xml:space="preserve">ubiese </w:t>
      </w:r>
      <w:r w:rsidR="00091B28">
        <w:rPr>
          <w:rFonts w:ascii="Arial Narrow" w:hAnsi="Arial Narrow"/>
          <w:sz w:val="28"/>
          <w:szCs w:val="28"/>
          <w:lang w:val="es-ES"/>
        </w:rPr>
        <w:t xml:space="preserve">enterado </w:t>
      </w:r>
      <w:r w:rsidR="000A3860">
        <w:rPr>
          <w:rFonts w:ascii="Arial Narrow" w:hAnsi="Arial Narrow"/>
          <w:sz w:val="28"/>
          <w:szCs w:val="28"/>
          <w:lang w:val="es-ES"/>
        </w:rPr>
        <w:t xml:space="preserve">al Consorcio Prosperar </w:t>
      </w:r>
      <w:r w:rsidR="00091B28">
        <w:rPr>
          <w:rFonts w:ascii="Arial Narrow" w:hAnsi="Arial Narrow"/>
          <w:sz w:val="28"/>
          <w:szCs w:val="28"/>
          <w:lang w:val="es-ES"/>
        </w:rPr>
        <w:t>sobre</w:t>
      </w:r>
      <w:r w:rsidR="005377B2">
        <w:rPr>
          <w:rFonts w:ascii="Arial Narrow" w:hAnsi="Arial Narrow"/>
          <w:sz w:val="28"/>
          <w:szCs w:val="28"/>
          <w:lang w:val="es-ES"/>
        </w:rPr>
        <w:t xml:space="preserve"> la deuda </w:t>
      </w:r>
      <w:r w:rsidR="00745B5F">
        <w:rPr>
          <w:rFonts w:ascii="Arial Narrow" w:hAnsi="Arial Narrow"/>
          <w:sz w:val="28"/>
          <w:szCs w:val="28"/>
          <w:lang w:val="es-ES"/>
        </w:rPr>
        <w:t xml:space="preserve">del </w:t>
      </w:r>
      <w:r w:rsidR="003348FE">
        <w:rPr>
          <w:rFonts w:ascii="Arial Narrow" w:hAnsi="Arial Narrow"/>
          <w:sz w:val="28"/>
          <w:szCs w:val="28"/>
          <w:lang w:val="es-ES"/>
        </w:rPr>
        <w:t>beneficiario</w:t>
      </w:r>
      <w:r w:rsidR="00402933">
        <w:rPr>
          <w:rFonts w:ascii="Arial Narrow" w:hAnsi="Arial Narrow"/>
          <w:sz w:val="28"/>
          <w:szCs w:val="28"/>
          <w:lang w:val="es-ES"/>
        </w:rPr>
        <w:t xml:space="preserve"> del subsidio, </w:t>
      </w:r>
      <w:r w:rsidR="005377B2">
        <w:rPr>
          <w:rFonts w:ascii="Arial Narrow" w:hAnsi="Arial Narrow"/>
          <w:sz w:val="28"/>
          <w:szCs w:val="28"/>
          <w:lang w:val="es-ES"/>
        </w:rPr>
        <w:t>y meno</w:t>
      </w:r>
      <w:r w:rsidR="00745B5F">
        <w:rPr>
          <w:rFonts w:ascii="Arial Narrow" w:hAnsi="Arial Narrow"/>
          <w:sz w:val="28"/>
          <w:szCs w:val="28"/>
          <w:lang w:val="es-ES"/>
        </w:rPr>
        <w:t>s aún</w:t>
      </w:r>
      <w:r w:rsidR="005377B2">
        <w:rPr>
          <w:rFonts w:ascii="Arial Narrow" w:hAnsi="Arial Narrow"/>
          <w:sz w:val="28"/>
          <w:szCs w:val="28"/>
          <w:lang w:val="es-ES"/>
        </w:rPr>
        <w:t xml:space="preserve">, que </w:t>
      </w:r>
      <w:r w:rsidR="00640963">
        <w:rPr>
          <w:rFonts w:ascii="Arial Narrow" w:hAnsi="Arial Narrow"/>
          <w:sz w:val="28"/>
          <w:szCs w:val="28"/>
          <w:lang w:val="es-ES"/>
        </w:rPr>
        <w:t xml:space="preserve">haya informado al demandante </w:t>
      </w:r>
      <w:r w:rsidR="00402933">
        <w:rPr>
          <w:rFonts w:ascii="Arial Narrow" w:hAnsi="Arial Narrow"/>
          <w:sz w:val="28"/>
          <w:szCs w:val="28"/>
          <w:lang w:val="es-ES"/>
        </w:rPr>
        <w:t xml:space="preserve">acerca </w:t>
      </w:r>
      <w:r w:rsidR="00640963">
        <w:rPr>
          <w:rFonts w:ascii="Arial Narrow" w:hAnsi="Arial Narrow"/>
          <w:sz w:val="28"/>
          <w:szCs w:val="28"/>
          <w:lang w:val="es-ES"/>
        </w:rPr>
        <w:t>de</w:t>
      </w:r>
      <w:r w:rsidR="002457E7">
        <w:rPr>
          <w:rFonts w:ascii="Arial Narrow" w:hAnsi="Arial Narrow"/>
          <w:sz w:val="28"/>
          <w:szCs w:val="28"/>
          <w:lang w:val="es-ES"/>
        </w:rPr>
        <w:t xml:space="preserve"> esa </w:t>
      </w:r>
      <w:r w:rsidR="00640963">
        <w:rPr>
          <w:rFonts w:ascii="Arial Narrow" w:hAnsi="Arial Narrow"/>
          <w:sz w:val="28"/>
          <w:szCs w:val="28"/>
          <w:lang w:val="es-ES"/>
        </w:rPr>
        <w:t>situación</w:t>
      </w:r>
      <w:r w:rsidR="00402933">
        <w:rPr>
          <w:rFonts w:ascii="Arial Narrow" w:hAnsi="Arial Narrow"/>
          <w:sz w:val="28"/>
          <w:szCs w:val="28"/>
          <w:lang w:val="es-ES"/>
        </w:rPr>
        <w:t>, en aras de que é</w:t>
      </w:r>
      <w:r w:rsidR="002457E7">
        <w:rPr>
          <w:rFonts w:ascii="Arial Narrow" w:hAnsi="Arial Narrow"/>
          <w:sz w:val="28"/>
          <w:szCs w:val="28"/>
          <w:lang w:val="es-ES"/>
        </w:rPr>
        <w:t>ste se pusiera al día en el pago</w:t>
      </w:r>
      <w:r w:rsidR="00402933">
        <w:rPr>
          <w:rFonts w:ascii="Arial Narrow" w:hAnsi="Arial Narrow"/>
          <w:sz w:val="28"/>
          <w:szCs w:val="28"/>
          <w:lang w:val="es-ES"/>
        </w:rPr>
        <w:t xml:space="preserve"> de los aportes</w:t>
      </w:r>
      <w:r w:rsidR="004805B8">
        <w:rPr>
          <w:rFonts w:ascii="Arial Narrow" w:hAnsi="Arial Narrow"/>
          <w:sz w:val="28"/>
          <w:szCs w:val="28"/>
          <w:lang w:val="es-ES"/>
        </w:rPr>
        <w:t xml:space="preserve"> que presuntamente </w:t>
      </w:r>
      <w:r w:rsidR="00091B28">
        <w:rPr>
          <w:rFonts w:ascii="Arial Narrow" w:hAnsi="Arial Narrow"/>
          <w:sz w:val="28"/>
          <w:szCs w:val="28"/>
          <w:lang w:val="es-ES"/>
        </w:rPr>
        <w:t xml:space="preserve">se reportaban en </w:t>
      </w:r>
      <w:r w:rsidR="00402933">
        <w:rPr>
          <w:rFonts w:ascii="Arial Narrow" w:hAnsi="Arial Narrow"/>
          <w:sz w:val="28"/>
          <w:szCs w:val="28"/>
          <w:lang w:val="es-ES"/>
        </w:rPr>
        <w:t>mora</w:t>
      </w:r>
      <w:r w:rsidR="002457E7">
        <w:rPr>
          <w:rFonts w:ascii="Arial Narrow" w:hAnsi="Arial Narrow"/>
          <w:sz w:val="28"/>
          <w:szCs w:val="28"/>
          <w:lang w:val="es-ES"/>
        </w:rPr>
        <w:t xml:space="preserve">.  </w:t>
      </w:r>
      <w:r w:rsidR="00AD3411">
        <w:rPr>
          <w:rFonts w:ascii="Arial Narrow" w:hAnsi="Arial Narrow"/>
          <w:sz w:val="28"/>
          <w:szCs w:val="28"/>
          <w:lang w:val="es-ES"/>
        </w:rPr>
        <w:t xml:space="preserve">Prueba de ello, es </w:t>
      </w:r>
      <w:r w:rsidR="00955651">
        <w:rPr>
          <w:rFonts w:ascii="Arial Narrow" w:hAnsi="Arial Narrow"/>
          <w:sz w:val="28"/>
          <w:szCs w:val="28"/>
          <w:lang w:val="es-ES"/>
        </w:rPr>
        <w:t xml:space="preserve">que </w:t>
      </w:r>
      <w:r w:rsidR="002B7BFA">
        <w:rPr>
          <w:rFonts w:ascii="Arial Narrow" w:hAnsi="Arial Narrow"/>
          <w:sz w:val="28"/>
          <w:szCs w:val="28"/>
          <w:lang w:val="es-ES"/>
        </w:rPr>
        <w:t xml:space="preserve">la historia laboral </w:t>
      </w:r>
      <w:r w:rsidR="00091B28">
        <w:rPr>
          <w:rFonts w:ascii="Arial Narrow" w:hAnsi="Arial Narrow"/>
          <w:sz w:val="28"/>
          <w:szCs w:val="28"/>
          <w:lang w:val="es-ES"/>
        </w:rPr>
        <w:t>registra</w:t>
      </w:r>
      <w:r w:rsidR="002B7BFA">
        <w:rPr>
          <w:rFonts w:ascii="Arial Narrow" w:hAnsi="Arial Narrow"/>
          <w:sz w:val="28"/>
          <w:szCs w:val="28"/>
          <w:lang w:val="es-ES"/>
        </w:rPr>
        <w:t xml:space="preserve"> válidamente las cotizaciones efectuadas en l</w:t>
      </w:r>
      <w:r w:rsidR="00955651">
        <w:rPr>
          <w:rFonts w:ascii="Arial Narrow" w:hAnsi="Arial Narrow"/>
          <w:sz w:val="28"/>
          <w:szCs w:val="28"/>
          <w:lang w:val="es-ES"/>
        </w:rPr>
        <w:t xml:space="preserve">os meses de febrero, marzo y abril de 2003, </w:t>
      </w:r>
      <w:r w:rsidR="002B7BFA">
        <w:rPr>
          <w:rFonts w:ascii="Arial Narrow" w:hAnsi="Arial Narrow"/>
          <w:sz w:val="28"/>
          <w:szCs w:val="28"/>
          <w:lang w:val="es-ES"/>
        </w:rPr>
        <w:t xml:space="preserve">es decir, con posterioridad a los ciclos </w:t>
      </w:r>
      <w:r w:rsidR="00715EC4">
        <w:rPr>
          <w:rFonts w:ascii="Arial Narrow" w:hAnsi="Arial Narrow"/>
          <w:sz w:val="28"/>
          <w:szCs w:val="28"/>
          <w:lang w:val="es-ES"/>
        </w:rPr>
        <w:t xml:space="preserve">de la presunta deuda, </w:t>
      </w:r>
      <w:r w:rsidR="004805B8">
        <w:rPr>
          <w:rFonts w:ascii="Arial Narrow" w:hAnsi="Arial Narrow"/>
          <w:sz w:val="28"/>
          <w:szCs w:val="28"/>
          <w:lang w:val="es-ES"/>
        </w:rPr>
        <w:t>y que el actor contin</w:t>
      </w:r>
      <w:r w:rsidR="00091B28">
        <w:rPr>
          <w:rFonts w:ascii="Arial Narrow" w:hAnsi="Arial Narrow"/>
          <w:sz w:val="28"/>
          <w:szCs w:val="28"/>
          <w:lang w:val="es-ES"/>
        </w:rPr>
        <w:t xml:space="preserve">uó </w:t>
      </w:r>
      <w:r w:rsidR="002B7BFA">
        <w:rPr>
          <w:rFonts w:ascii="Arial Narrow" w:hAnsi="Arial Narrow"/>
          <w:sz w:val="28"/>
          <w:szCs w:val="28"/>
          <w:lang w:val="es-ES"/>
        </w:rPr>
        <w:t xml:space="preserve">efectuando </w:t>
      </w:r>
      <w:r w:rsidR="004805B8">
        <w:rPr>
          <w:rFonts w:ascii="Arial Narrow" w:hAnsi="Arial Narrow"/>
          <w:sz w:val="28"/>
          <w:szCs w:val="28"/>
          <w:lang w:val="es-ES"/>
        </w:rPr>
        <w:t>de manera consecutiva e</w:t>
      </w:r>
      <w:r w:rsidR="002B7BFA">
        <w:rPr>
          <w:rFonts w:ascii="Arial Narrow" w:hAnsi="Arial Narrow"/>
          <w:sz w:val="28"/>
          <w:szCs w:val="28"/>
          <w:lang w:val="es-ES"/>
        </w:rPr>
        <w:t>l pago de</w:t>
      </w:r>
      <w:r w:rsidR="00091B28">
        <w:rPr>
          <w:rFonts w:ascii="Arial Narrow" w:hAnsi="Arial Narrow"/>
          <w:sz w:val="28"/>
          <w:szCs w:val="28"/>
          <w:lang w:val="es-ES"/>
        </w:rPr>
        <w:t xml:space="preserve"> los aportes que le </w:t>
      </w:r>
      <w:r w:rsidR="00091B28">
        <w:rPr>
          <w:rFonts w:ascii="Arial Narrow" w:hAnsi="Arial Narrow"/>
          <w:sz w:val="28"/>
          <w:szCs w:val="28"/>
          <w:lang w:val="es-ES"/>
        </w:rPr>
        <w:lastRenderedPageBreak/>
        <w:t>correspondían h</w:t>
      </w:r>
      <w:r w:rsidR="002B7BFA">
        <w:rPr>
          <w:rFonts w:ascii="Arial Narrow" w:hAnsi="Arial Narrow"/>
          <w:sz w:val="28"/>
          <w:szCs w:val="28"/>
          <w:lang w:val="es-ES"/>
        </w:rPr>
        <w:t xml:space="preserve">asta el mes de febrero de 2004, </w:t>
      </w:r>
      <w:r w:rsidR="00091B28">
        <w:rPr>
          <w:rFonts w:ascii="Arial Narrow" w:hAnsi="Arial Narrow"/>
          <w:sz w:val="28"/>
          <w:szCs w:val="28"/>
          <w:lang w:val="es-ES"/>
        </w:rPr>
        <w:t xml:space="preserve">pese a que la medida sancionatoria </w:t>
      </w:r>
      <w:r w:rsidR="007A5E46">
        <w:rPr>
          <w:rFonts w:ascii="Arial Narrow" w:hAnsi="Arial Narrow"/>
          <w:sz w:val="28"/>
          <w:szCs w:val="28"/>
          <w:lang w:val="es-ES"/>
        </w:rPr>
        <w:t>surtió ef</w:t>
      </w:r>
      <w:r w:rsidR="00FD086A">
        <w:rPr>
          <w:rFonts w:ascii="Arial Narrow" w:hAnsi="Arial Narrow"/>
          <w:sz w:val="28"/>
          <w:szCs w:val="28"/>
          <w:lang w:val="es-ES"/>
        </w:rPr>
        <w:t>ectos a partir de mayo de 2003</w:t>
      </w:r>
      <w:r w:rsidR="009B777C">
        <w:rPr>
          <w:rFonts w:ascii="Arial Narrow" w:hAnsi="Arial Narrow"/>
          <w:sz w:val="28"/>
          <w:szCs w:val="28"/>
          <w:lang w:val="es-ES"/>
        </w:rPr>
        <w:t>.</w:t>
      </w:r>
    </w:p>
    <w:p w:rsidR="004805B8" w:rsidRDefault="004805B8" w:rsidP="00A73615">
      <w:pPr>
        <w:pStyle w:val="Sansinterligne"/>
        <w:rPr>
          <w:lang w:val="es-ES"/>
        </w:rPr>
      </w:pPr>
    </w:p>
    <w:p w:rsidR="004805B8" w:rsidRDefault="004805B8" w:rsidP="00B25093">
      <w:pPr>
        <w:spacing w:line="360" w:lineRule="auto"/>
        <w:ind w:firstLine="708"/>
        <w:jc w:val="both"/>
        <w:rPr>
          <w:rFonts w:ascii="Arial Narrow" w:hAnsi="Arial Narrow"/>
          <w:sz w:val="28"/>
          <w:szCs w:val="28"/>
          <w:lang w:val="es-ES"/>
        </w:rPr>
      </w:pPr>
      <w:r>
        <w:rPr>
          <w:rFonts w:ascii="Arial Narrow" w:hAnsi="Arial Narrow"/>
          <w:sz w:val="28"/>
          <w:szCs w:val="28"/>
          <w:lang w:val="es-ES"/>
        </w:rPr>
        <w:t xml:space="preserve">En ese orden, </w:t>
      </w:r>
      <w:r w:rsidR="00A73615">
        <w:rPr>
          <w:rFonts w:ascii="Arial Narrow" w:hAnsi="Arial Narrow"/>
          <w:sz w:val="28"/>
          <w:szCs w:val="28"/>
          <w:lang w:val="es-ES"/>
        </w:rPr>
        <w:t xml:space="preserve">al no haberse adelantado el </w:t>
      </w:r>
      <w:r w:rsidR="007A5E46">
        <w:rPr>
          <w:rFonts w:ascii="Arial Narrow" w:hAnsi="Arial Narrow"/>
          <w:sz w:val="28"/>
          <w:szCs w:val="28"/>
          <w:lang w:val="es-ES"/>
        </w:rPr>
        <w:t>trámite</w:t>
      </w:r>
      <w:r w:rsidR="0004005D">
        <w:rPr>
          <w:rFonts w:ascii="Arial Narrow" w:hAnsi="Arial Narrow"/>
          <w:sz w:val="28"/>
          <w:szCs w:val="28"/>
          <w:lang w:val="es-ES"/>
        </w:rPr>
        <w:t xml:space="preserve"> respectivo por parte de la entidad ad</w:t>
      </w:r>
      <w:r w:rsidR="001428C1">
        <w:rPr>
          <w:rFonts w:ascii="Arial Narrow" w:hAnsi="Arial Narrow"/>
          <w:sz w:val="28"/>
          <w:szCs w:val="28"/>
          <w:lang w:val="es-ES"/>
        </w:rPr>
        <w:t>ministradora de pensiones,</w:t>
      </w:r>
      <w:r w:rsidR="009B777C">
        <w:rPr>
          <w:rFonts w:ascii="Arial Narrow" w:hAnsi="Arial Narrow"/>
          <w:sz w:val="28"/>
          <w:szCs w:val="28"/>
          <w:lang w:val="es-ES"/>
        </w:rPr>
        <w:t xml:space="preserve"> no es posible desconocer el tiempo cotizado por </w:t>
      </w:r>
      <w:r w:rsidR="00535821">
        <w:rPr>
          <w:rFonts w:ascii="Arial Narrow" w:hAnsi="Arial Narrow"/>
          <w:sz w:val="28"/>
          <w:szCs w:val="28"/>
          <w:lang w:val="es-ES"/>
        </w:rPr>
        <w:t xml:space="preserve">el demandante, razón por la que se computarán en el haber de aportes a pensión </w:t>
      </w:r>
      <w:r w:rsidR="007A5E46">
        <w:rPr>
          <w:rFonts w:ascii="Arial Narrow" w:hAnsi="Arial Narrow"/>
          <w:sz w:val="28"/>
          <w:szCs w:val="28"/>
          <w:lang w:val="es-ES"/>
        </w:rPr>
        <w:t>los ciclos que</w:t>
      </w:r>
      <w:r w:rsidR="00F64987">
        <w:rPr>
          <w:rFonts w:ascii="Arial Narrow" w:hAnsi="Arial Narrow"/>
          <w:sz w:val="28"/>
          <w:szCs w:val="28"/>
          <w:lang w:val="es-ES"/>
        </w:rPr>
        <w:t xml:space="preserve"> </w:t>
      </w:r>
      <w:r w:rsidR="007A5E46">
        <w:rPr>
          <w:rFonts w:ascii="Arial Narrow" w:hAnsi="Arial Narrow"/>
          <w:sz w:val="28"/>
          <w:szCs w:val="28"/>
          <w:lang w:val="es-ES"/>
        </w:rPr>
        <w:t>re</w:t>
      </w:r>
      <w:r w:rsidR="00F64987">
        <w:rPr>
          <w:rFonts w:ascii="Arial Narrow" w:hAnsi="Arial Narrow"/>
          <w:sz w:val="28"/>
          <w:szCs w:val="28"/>
          <w:lang w:val="es-ES"/>
        </w:rPr>
        <w:t xml:space="preserve">gistran </w:t>
      </w:r>
      <w:r w:rsidR="007A5E46">
        <w:rPr>
          <w:rFonts w:ascii="Arial Narrow" w:hAnsi="Arial Narrow"/>
          <w:sz w:val="28"/>
          <w:szCs w:val="28"/>
          <w:lang w:val="es-ES"/>
        </w:rPr>
        <w:t>deuda por no pago de</w:t>
      </w:r>
      <w:r w:rsidR="007F4141">
        <w:rPr>
          <w:rFonts w:ascii="Arial Narrow" w:hAnsi="Arial Narrow"/>
          <w:sz w:val="28"/>
          <w:szCs w:val="28"/>
          <w:lang w:val="es-ES"/>
        </w:rPr>
        <w:t xml:space="preserve">l subsidio por el Estado, que </w:t>
      </w:r>
      <w:r w:rsidR="001B0000">
        <w:rPr>
          <w:rFonts w:ascii="Arial Narrow" w:hAnsi="Arial Narrow"/>
          <w:sz w:val="28"/>
          <w:szCs w:val="28"/>
          <w:lang w:val="es-ES"/>
        </w:rPr>
        <w:t xml:space="preserve">comprenden los ciclos de mayo, junio, julio, agosto, septiembre </w:t>
      </w:r>
      <w:r w:rsidR="00711D3C">
        <w:rPr>
          <w:rFonts w:ascii="Arial Narrow" w:hAnsi="Arial Narrow"/>
          <w:sz w:val="28"/>
          <w:szCs w:val="28"/>
          <w:lang w:val="es-ES"/>
        </w:rPr>
        <w:t xml:space="preserve">y diciembre </w:t>
      </w:r>
      <w:r w:rsidR="001B0000">
        <w:rPr>
          <w:rFonts w:ascii="Arial Narrow" w:hAnsi="Arial Narrow"/>
          <w:sz w:val="28"/>
          <w:szCs w:val="28"/>
          <w:lang w:val="es-ES"/>
        </w:rPr>
        <w:t xml:space="preserve">de 2003 y enero y febrero de </w:t>
      </w:r>
      <w:r w:rsidR="007F4141">
        <w:rPr>
          <w:rFonts w:ascii="Arial Narrow" w:hAnsi="Arial Narrow"/>
          <w:sz w:val="28"/>
          <w:szCs w:val="28"/>
          <w:lang w:val="es-ES"/>
        </w:rPr>
        <w:t>2004,</w:t>
      </w:r>
      <w:r w:rsidR="004E0475">
        <w:rPr>
          <w:rFonts w:ascii="Arial Narrow" w:hAnsi="Arial Narrow"/>
          <w:sz w:val="28"/>
          <w:szCs w:val="28"/>
          <w:lang w:val="es-ES"/>
        </w:rPr>
        <w:t xml:space="preserve"> para un total de </w:t>
      </w:r>
      <w:r w:rsidR="001B0000">
        <w:rPr>
          <w:rFonts w:ascii="Arial Narrow" w:hAnsi="Arial Narrow"/>
          <w:sz w:val="28"/>
          <w:szCs w:val="28"/>
          <w:lang w:val="es-ES"/>
        </w:rPr>
        <w:t>34.</w:t>
      </w:r>
      <w:r w:rsidR="00711D3C">
        <w:rPr>
          <w:rFonts w:ascii="Arial Narrow" w:hAnsi="Arial Narrow"/>
          <w:sz w:val="28"/>
          <w:szCs w:val="28"/>
          <w:lang w:val="es-ES"/>
        </w:rPr>
        <w:t>29</w:t>
      </w:r>
      <w:r w:rsidR="001B0000">
        <w:rPr>
          <w:rFonts w:ascii="Arial Narrow" w:hAnsi="Arial Narrow"/>
          <w:sz w:val="28"/>
          <w:szCs w:val="28"/>
          <w:lang w:val="es-ES"/>
        </w:rPr>
        <w:t xml:space="preserve"> semanas.</w:t>
      </w:r>
    </w:p>
    <w:p w:rsidR="00B57506" w:rsidRPr="007C30C4" w:rsidRDefault="00B57506" w:rsidP="007C30C4">
      <w:pPr>
        <w:pStyle w:val="Sansinterligne"/>
      </w:pPr>
    </w:p>
    <w:p w:rsidR="001F2ECA" w:rsidRDefault="00EF3C32" w:rsidP="00B25093">
      <w:pPr>
        <w:spacing w:line="360" w:lineRule="auto"/>
        <w:ind w:firstLine="708"/>
        <w:jc w:val="both"/>
        <w:rPr>
          <w:rFonts w:ascii="Arial Narrow" w:hAnsi="Arial Narrow"/>
          <w:sz w:val="28"/>
          <w:szCs w:val="28"/>
          <w:lang w:val="es-ES"/>
        </w:rPr>
      </w:pPr>
      <w:r>
        <w:rPr>
          <w:rFonts w:ascii="Arial Narrow" w:hAnsi="Arial Narrow"/>
          <w:sz w:val="28"/>
          <w:szCs w:val="28"/>
          <w:lang w:val="es-ES"/>
        </w:rPr>
        <w:t xml:space="preserve">En ese orden, de la sumatoria de los guarismos antes referidos se obtiene que el demandante sufragó un total de </w:t>
      </w:r>
      <w:r w:rsidR="00406A30">
        <w:rPr>
          <w:rFonts w:ascii="Arial Narrow" w:hAnsi="Arial Narrow"/>
          <w:sz w:val="28"/>
          <w:szCs w:val="28"/>
          <w:lang w:val="es-ES"/>
        </w:rPr>
        <w:t>1.</w:t>
      </w:r>
      <w:r w:rsidR="00717412">
        <w:rPr>
          <w:rFonts w:ascii="Arial Narrow" w:hAnsi="Arial Narrow"/>
          <w:sz w:val="28"/>
          <w:szCs w:val="28"/>
          <w:lang w:val="es-ES"/>
        </w:rPr>
        <w:t>0</w:t>
      </w:r>
      <w:r w:rsidR="00406A30">
        <w:rPr>
          <w:rFonts w:ascii="Arial Narrow" w:hAnsi="Arial Narrow"/>
          <w:sz w:val="28"/>
          <w:szCs w:val="28"/>
          <w:lang w:val="es-ES"/>
        </w:rPr>
        <w:t>12,</w:t>
      </w:r>
      <w:r w:rsidR="00711D3C">
        <w:rPr>
          <w:rFonts w:ascii="Arial Narrow" w:hAnsi="Arial Narrow"/>
          <w:sz w:val="28"/>
          <w:szCs w:val="28"/>
          <w:lang w:val="es-ES"/>
        </w:rPr>
        <w:t>47</w:t>
      </w:r>
      <w:r w:rsidR="00406A30">
        <w:rPr>
          <w:rFonts w:ascii="Arial Narrow" w:hAnsi="Arial Narrow"/>
          <w:sz w:val="28"/>
          <w:szCs w:val="28"/>
          <w:lang w:val="es-ES"/>
        </w:rPr>
        <w:t xml:space="preserve"> semanas de aportes al sistema</w:t>
      </w:r>
      <w:r w:rsidR="004E0475">
        <w:rPr>
          <w:rFonts w:ascii="Arial Narrow" w:hAnsi="Arial Narrow"/>
          <w:sz w:val="28"/>
          <w:szCs w:val="28"/>
          <w:lang w:val="es-ES"/>
        </w:rPr>
        <w:t xml:space="preserve"> desde el 5 de abril de 1971 al 31 de marzo de 2013</w:t>
      </w:r>
      <w:r w:rsidR="00406A30">
        <w:rPr>
          <w:rFonts w:ascii="Arial Narrow" w:hAnsi="Arial Narrow"/>
          <w:sz w:val="28"/>
          <w:szCs w:val="28"/>
          <w:lang w:val="es-ES"/>
        </w:rPr>
        <w:t xml:space="preserve">, las cuales resultan suficientes para acceder </w:t>
      </w:r>
      <w:r w:rsidR="00717412">
        <w:rPr>
          <w:rFonts w:ascii="Arial Narrow" w:hAnsi="Arial Narrow"/>
          <w:sz w:val="28"/>
          <w:szCs w:val="28"/>
          <w:lang w:val="es-ES"/>
        </w:rPr>
        <w:t>al derecho pensional pretendido, razón por la que habrá que revocar la sentencia consultada, para en su lugar condenar a la entidad demandada al p</w:t>
      </w:r>
      <w:r w:rsidR="004E0475">
        <w:rPr>
          <w:rFonts w:ascii="Arial Narrow" w:hAnsi="Arial Narrow"/>
          <w:sz w:val="28"/>
          <w:szCs w:val="28"/>
          <w:lang w:val="es-ES"/>
        </w:rPr>
        <w:t xml:space="preserve">ago de la prestación pensional </w:t>
      </w:r>
      <w:r w:rsidR="007C30C4">
        <w:rPr>
          <w:rFonts w:ascii="Arial Narrow" w:hAnsi="Arial Narrow"/>
          <w:sz w:val="28"/>
          <w:szCs w:val="28"/>
          <w:lang w:val="es-ES"/>
        </w:rPr>
        <w:t>reclamada</w:t>
      </w:r>
      <w:r w:rsidR="004E0475">
        <w:rPr>
          <w:rFonts w:ascii="Arial Narrow" w:hAnsi="Arial Narrow"/>
          <w:sz w:val="28"/>
          <w:szCs w:val="28"/>
          <w:lang w:val="es-ES"/>
        </w:rPr>
        <w:t>.</w:t>
      </w:r>
    </w:p>
    <w:p w:rsidR="00717412" w:rsidRPr="007C30C4" w:rsidRDefault="00717412" w:rsidP="007C30C4">
      <w:pPr>
        <w:pStyle w:val="Sansinterligne"/>
      </w:pPr>
    </w:p>
    <w:p w:rsidR="009B4928" w:rsidRDefault="00717412" w:rsidP="00B25093">
      <w:pPr>
        <w:spacing w:line="360" w:lineRule="auto"/>
        <w:ind w:firstLine="708"/>
        <w:jc w:val="both"/>
        <w:rPr>
          <w:rFonts w:ascii="Arial Narrow" w:hAnsi="Arial Narrow"/>
          <w:sz w:val="28"/>
          <w:szCs w:val="28"/>
          <w:lang w:val="es-ES"/>
        </w:rPr>
      </w:pPr>
      <w:r>
        <w:rPr>
          <w:rFonts w:ascii="Arial Narrow" w:hAnsi="Arial Narrow"/>
          <w:sz w:val="28"/>
          <w:szCs w:val="28"/>
          <w:lang w:val="es-ES"/>
        </w:rPr>
        <w:t xml:space="preserve">Tal reconocimiento procede a partir del </w:t>
      </w:r>
      <w:r w:rsidR="00CF3295">
        <w:rPr>
          <w:rFonts w:ascii="Arial Narrow" w:hAnsi="Arial Narrow"/>
          <w:sz w:val="28"/>
          <w:szCs w:val="28"/>
          <w:lang w:val="es-ES"/>
        </w:rPr>
        <w:t xml:space="preserve">1º de abril de 2013, fecha en </w:t>
      </w:r>
      <w:r w:rsidR="00F556FB">
        <w:rPr>
          <w:rFonts w:ascii="Arial Narrow" w:hAnsi="Arial Narrow"/>
          <w:sz w:val="28"/>
          <w:szCs w:val="28"/>
          <w:lang w:val="es-ES"/>
        </w:rPr>
        <w:t xml:space="preserve">que operó la desafiliación al sistema, en la medida en que la </w:t>
      </w:r>
      <w:r w:rsidR="009B4928">
        <w:rPr>
          <w:rFonts w:ascii="Arial Narrow" w:hAnsi="Arial Narrow"/>
          <w:sz w:val="28"/>
          <w:szCs w:val="28"/>
          <w:lang w:val="es-ES"/>
        </w:rPr>
        <w:t>última cotización</w:t>
      </w:r>
      <w:r w:rsidR="00F556FB">
        <w:rPr>
          <w:rFonts w:ascii="Arial Narrow" w:hAnsi="Arial Narrow"/>
          <w:sz w:val="28"/>
          <w:szCs w:val="28"/>
          <w:lang w:val="es-ES"/>
        </w:rPr>
        <w:t xml:space="preserve"> data del </w:t>
      </w:r>
      <w:r w:rsidR="009B4928">
        <w:rPr>
          <w:rFonts w:ascii="Arial Narrow" w:hAnsi="Arial Narrow"/>
          <w:sz w:val="28"/>
          <w:szCs w:val="28"/>
          <w:lang w:val="es-ES"/>
        </w:rPr>
        <w:t>31 de marzo de 2013 y la solicitud de pensión</w:t>
      </w:r>
      <w:r w:rsidR="007C30C4">
        <w:rPr>
          <w:rFonts w:ascii="Arial Narrow" w:hAnsi="Arial Narrow"/>
          <w:sz w:val="28"/>
          <w:szCs w:val="28"/>
          <w:lang w:val="es-ES"/>
        </w:rPr>
        <w:t xml:space="preserve"> se</w:t>
      </w:r>
      <w:r w:rsidR="009B4928">
        <w:rPr>
          <w:rFonts w:ascii="Arial Narrow" w:hAnsi="Arial Narrow"/>
          <w:sz w:val="28"/>
          <w:szCs w:val="28"/>
          <w:lang w:val="es-ES"/>
        </w:rPr>
        <w:t xml:space="preserve"> elevó el 5 de abril de ese mismo año, (ver fl.78).</w:t>
      </w:r>
      <w:r w:rsidR="00F556FB">
        <w:rPr>
          <w:rFonts w:ascii="Arial Narrow" w:hAnsi="Arial Narrow"/>
          <w:sz w:val="28"/>
          <w:szCs w:val="28"/>
          <w:lang w:val="es-ES"/>
        </w:rPr>
        <w:t xml:space="preserve"> El monto de la mesada pensional será de $ 589.500, esto es, el equivalente al salario mínimo legal vigente para el año 2013, habida c</w:t>
      </w:r>
      <w:r w:rsidR="00DF0C2C">
        <w:rPr>
          <w:rFonts w:ascii="Arial Narrow" w:hAnsi="Arial Narrow"/>
          <w:sz w:val="28"/>
          <w:szCs w:val="28"/>
          <w:lang w:val="es-ES"/>
        </w:rPr>
        <w:t xml:space="preserve">uenta </w:t>
      </w:r>
      <w:r w:rsidR="00F556FB">
        <w:rPr>
          <w:rFonts w:ascii="Arial Narrow" w:hAnsi="Arial Narrow"/>
          <w:sz w:val="28"/>
          <w:szCs w:val="28"/>
          <w:lang w:val="es-ES"/>
        </w:rPr>
        <w:t xml:space="preserve">que al efectuar los cálculos respectivos con </w:t>
      </w:r>
      <w:r w:rsidR="001F7AE3">
        <w:rPr>
          <w:rFonts w:ascii="Arial Narrow" w:hAnsi="Arial Narrow"/>
          <w:sz w:val="28"/>
          <w:szCs w:val="28"/>
          <w:lang w:val="es-ES"/>
        </w:rPr>
        <w:t>el promedio de los salarios devengados en los últimos diez años, conforme lo manda el artículo 21 de la Ley 100/93, se obtiene un monto inferior</w:t>
      </w:r>
      <w:r w:rsidR="00025CB2">
        <w:rPr>
          <w:rFonts w:ascii="Arial Narrow" w:hAnsi="Arial Narrow"/>
          <w:sz w:val="28"/>
          <w:szCs w:val="28"/>
          <w:lang w:val="es-ES"/>
        </w:rPr>
        <w:t xml:space="preserve"> al mínimo. </w:t>
      </w:r>
      <w:r w:rsidR="001F7AE3">
        <w:rPr>
          <w:rFonts w:ascii="Arial Narrow" w:hAnsi="Arial Narrow"/>
          <w:sz w:val="28"/>
          <w:szCs w:val="28"/>
          <w:lang w:val="es-ES"/>
        </w:rPr>
        <w:t>Ver cuadro anexo.</w:t>
      </w:r>
    </w:p>
    <w:p w:rsidR="00025CB2" w:rsidRPr="007C30C4" w:rsidRDefault="00025CB2" w:rsidP="007C30C4">
      <w:pPr>
        <w:pStyle w:val="Sansinterligne"/>
      </w:pPr>
    </w:p>
    <w:p w:rsidR="00717412" w:rsidRDefault="0023040D" w:rsidP="0023040D">
      <w:pPr>
        <w:spacing w:line="360" w:lineRule="auto"/>
        <w:ind w:firstLine="708"/>
        <w:jc w:val="both"/>
        <w:rPr>
          <w:rFonts w:ascii="Arial Narrow" w:hAnsi="Arial Narrow" w:cs="Tahoma"/>
          <w:sz w:val="28"/>
          <w:szCs w:val="28"/>
        </w:rPr>
      </w:pPr>
      <w:r>
        <w:rPr>
          <w:rFonts w:ascii="Arial Narrow" w:hAnsi="Arial Narrow"/>
          <w:sz w:val="28"/>
          <w:szCs w:val="28"/>
          <w:lang w:val="es-ES"/>
        </w:rPr>
        <w:t xml:space="preserve">Se reconocerán 13 mesadas anuales, puesto que </w:t>
      </w:r>
      <w:r w:rsidR="00717412">
        <w:rPr>
          <w:rFonts w:ascii="Arial Narrow" w:hAnsi="Arial Narrow" w:cs="Tahoma"/>
          <w:sz w:val="28"/>
          <w:szCs w:val="28"/>
        </w:rPr>
        <w:t xml:space="preserve">la </w:t>
      </w:r>
      <w:proofErr w:type="spellStart"/>
      <w:r w:rsidR="00717412">
        <w:rPr>
          <w:rFonts w:ascii="Arial Narrow" w:hAnsi="Arial Narrow" w:cs="Tahoma"/>
          <w:sz w:val="28"/>
          <w:szCs w:val="28"/>
        </w:rPr>
        <w:t>causación</w:t>
      </w:r>
      <w:proofErr w:type="spellEnd"/>
      <w:r w:rsidR="00717412">
        <w:rPr>
          <w:rFonts w:ascii="Arial Narrow" w:hAnsi="Arial Narrow" w:cs="Tahoma"/>
          <w:sz w:val="28"/>
          <w:szCs w:val="28"/>
        </w:rPr>
        <w:t xml:space="preserve"> de la pensión se dio con posterioridad al </w:t>
      </w:r>
      <w:r w:rsidR="00C82618">
        <w:rPr>
          <w:rFonts w:ascii="Arial Narrow" w:hAnsi="Arial Narrow" w:cs="Tahoma"/>
          <w:sz w:val="28"/>
          <w:szCs w:val="28"/>
        </w:rPr>
        <w:t>31 de julio de 2011 (inciso 8º del artículo 1º del A</w:t>
      </w:r>
      <w:r w:rsidR="007C30C4">
        <w:rPr>
          <w:rFonts w:ascii="Arial Narrow" w:hAnsi="Arial Narrow" w:cs="Tahoma"/>
          <w:sz w:val="28"/>
          <w:szCs w:val="28"/>
        </w:rPr>
        <w:t>.L</w:t>
      </w:r>
      <w:r w:rsidR="00C82618">
        <w:rPr>
          <w:rFonts w:ascii="Arial Narrow" w:hAnsi="Arial Narrow" w:cs="Tahoma"/>
          <w:sz w:val="28"/>
          <w:szCs w:val="28"/>
        </w:rPr>
        <w:t xml:space="preserve"> 01/05).</w:t>
      </w:r>
    </w:p>
    <w:p w:rsidR="0023040D" w:rsidRPr="007C30C4" w:rsidRDefault="0023040D" w:rsidP="007C30C4">
      <w:pPr>
        <w:pStyle w:val="Sansinterligne"/>
      </w:pPr>
    </w:p>
    <w:p w:rsidR="00C82618" w:rsidRDefault="00C82618" w:rsidP="00C82618">
      <w:pPr>
        <w:spacing w:line="360" w:lineRule="auto"/>
        <w:ind w:firstLine="858"/>
        <w:jc w:val="both"/>
        <w:rPr>
          <w:rFonts w:ascii="Arial Narrow" w:hAnsi="Arial Narrow"/>
          <w:sz w:val="28"/>
          <w:szCs w:val="28"/>
        </w:rPr>
      </w:pPr>
      <w:r>
        <w:rPr>
          <w:rFonts w:ascii="Arial Narrow" w:hAnsi="Arial Narrow"/>
          <w:sz w:val="28"/>
          <w:szCs w:val="28"/>
        </w:rPr>
        <w:t>No sale avante la excepción de prescripción propuesta por la entidad demandada, como quiera que en los términos del artículo 151 del C.P.T y S.S.</w:t>
      </w:r>
      <w:r w:rsidR="00DE71DC">
        <w:rPr>
          <w:rFonts w:ascii="Arial Narrow" w:hAnsi="Arial Narrow"/>
          <w:sz w:val="28"/>
          <w:szCs w:val="28"/>
        </w:rPr>
        <w:t xml:space="preserve"> y 488 del C.S.T</w:t>
      </w:r>
      <w:r>
        <w:rPr>
          <w:rFonts w:ascii="Arial Narrow" w:hAnsi="Arial Narrow"/>
          <w:sz w:val="28"/>
          <w:szCs w:val="28"/>
        </w:rPr>
        <w:t xml:space="preserve">, no trascurrió el término legal de tres años entre la exigibilidad del derecho pensional y la interposición de esta acción judicial, </w:t>
      </w:r>
      <w:r w:rsidR="00DE71DC">
        <w:rPr>
          <w:rFonts w:ascii="Arial Narrow" w:hAnsi="Arial Narrow"/>
          <w:sz w:val="28"/>
          <w:szCs w:val="28"/>
        </w:rPr>
        <w:t>que tuvo lu</w:t>
      </w:r>
      <w:r w:rsidR="007C30C4">
        <w:rPr>
          <w:rFonts w:ascii="Arial Narrow" w:hAnsi="Arial Narrow"/>
          <w:sz w:val="28"/>
          <w:szCs w:val="28"/>
        </w:rPr>
        <w:t xml:space="preserve">gar el </w:t>
      </w:r>
      <w:r w:rsidR="00DE71DC">
        <w:rPr>
          <w:rFonts w:ascii="Arial Narrow" w:hAnsi="Arial Narrow"/>
          <w:sz w:val="28"/>
          <w:szCs w:val="28"/>
        </w:rPr>
        <w:t>20 de febrero de 2013</w:t>
      </w:r>
      <w:r>
        <w:rPr>
          <w:rFonts w:ascii="Arial Narrow" w:hAnsi="Arial Narrow"/>
          <w:sz w:val="28"/>
          <w:szCs w:val="28"/>
        </w:rPr>
        <w:t>, según se colige del folio</w:t>
      </w:r>
      <w:r w:rsidR="00DE71DC">
        <w:rPr>
          <w:rFonts w:ascii="Arial Narrow" w:hAnsi="Arial Narrow"/>
          <w:sz w:val="28"/>
          <w:szCs w:val="28"/>
        </w:rPr>
        <w:t xml:space="preserve"> 8</w:t>
      </w:r>
      <w:r>
        <w:rPr>
          <w:rFonts w:ascii="Arial Narrow" w:hAnsi="Arial Narrow"/>
          <w:sz w:val="28"/>
          <w:szCs w:val="28"/>
        </w:rPr>
        <w:t>.</w:t>
      </w:r>
    </w:p>
    <w:p w:rsidR="00DE71DC" w:rsidRDefault="00DE71DC" w:rsidP="007C30C4">
      <w:pPr>
        <w:pStyle w:val="Sansinterligne"/>
      </w:pPr>
    </w:p>
    <w:p w:rsidR="00DE71DC" w:rsidRDefault="00DE71DC" w:rsidP="00C82618">
      <w:pPr>
        <w:spacing w:line="360" w:lineRule="auto"/>
        <w:ind w:firstLine="858"/>
        <w:jc w:val="both"/>
        <w:rPr>
          <w:rFonts w:ascii="Arial Narrow" w:hAnsi="Arial Narrow"/>
          <w:sz w:val="28"/>
          <w:szCs w:val="28"/>
        </w:rPr>
      </w:pPr>
      <w:r>
        <w:rPr>
          <w:rFonts w:ascii="Arial Narrow" w:hAnsi="Arial Narrow"/>
          <w:sz w:val="28"/>
          <w:szCs w:val="28"/>
        </w:rPr>
        <w:t>Así las cosas, el valor del retroactivo pensional causado desde el 1º de abril de 2013 al 30 de abril de 2017, asciende a $</w:t>
      </w:r>
      <w:r w:rsidR="00DF0C2C">
        <w:rPr>
          <w:rFonts w:ascii="Arial Narrow" w:hAnsi="Arial Narrow"/>
          <w:sz w:val="28"/>
          <w:szCs w:val="28"/>
        </w:rPr>
        <w:t>34`193.320</w:t>
      </w:r>
      <w:r>
        <w:rPr>
          <w:rFonts w:ascii="Arial Narrow" w:hAnsi="Arial Narrow"/>
          <w:sz w:val="28"/>
          <w:szCs w:val="28"/>
        </w:rPr>
        <w:t xml:space="preserve">, conforme se ilustra en el cuadro que se pone de presente a los asistentes y hará parte integrante del acta final que se suscriba de esta diligencia. </w:t>
      </w:r>
    </w:p>
    <w:p w:rsidR="00A70D08" w:rsidRPr="00A70D08" w:rsidRDefault="00A70D08" w:rsidP="00A70D08">
      <w:pPr>
        <w:autoSpaceDE w:val="0"/>
        <w:autoSpaceDN w:val="0"/>
        <w:adjustRightInd w:val="0"/>
        <w:spacing w:line="360" w:lineRule="auto"/>
        <w:ind w:firstLine="851"/>
        <w:jc w:val="both"/>
        <w:rPr>
          <w:rFonts w:ascii="Arial Narrow" w:hAnsi="Arial Narrow" w:cs="Arial"/>
          <w:sz w:val="28"/>
          <w:szCs w:val="28"/>
          <w:lang w:val="es-ES"/>
        </w:rPr>
      </w:pPr>
      <w:r w:rsidRPr="00A70D08">
        <w:rPr>
          <w:rFonts w:ascii="Arial Narrow" w:hAnsi="Arial Narrow" w:cs="Arial"/>
          <w:sz w:val="28"/>
          <w:szCs w:val="28"/>
          <w:lang w:val="es-ES"/>
        </w:rPr>
        <w:t xml:space="preserve">Frente al tema de los intereses moratorios, el artículo 141 de la Ley 100 de 1993, dispone que: </w:t>
      </w:r>
      <w:r w:rsidRPr="00A70D08">
        <w:rPr>
          <w:rFonts w:ascii="Arial Narrow" w:hAnsi="Arial Narrow" w:cs="Arial"/>
          <w:i/>
          <w:sz w:val="28"/>
          <w:szCs w:val="28"/>
          <w:lang w:val="es-ES"/>
        </w:rPr>
        <w:t>“…en caso de mora en el pago de las mesadas pensionales de que trata esta ley, la entidad correspondiente reconocerá y pagará al pensionado, además de la obligación a su cargo y sobre el importe de ella, la tasa máxima de interés moratorio vigente en el momento en que se efectúe el pago”</w:t>
      </w:r>
      <w:r w:rsidRPr="00A70D08">
        <w:rPr>
          <w:rFonts w:ascii="Arial Narrow" w:hAnsi="Arial Narrow" w:cs="Arial"/>
          <w:sz w:val="28"/>
          <w:szCs w:val="28"/>
          <w:lang w:val="es-ES"/>
        </w:rPr>
        <w:t xml:space="preserve"> </w:t>
      </w:r>
    </w:p>
    <w:p w:rsidR="00A70D08" w:rsidRPr="00A70D08" w:rsidRDefault="00A70D08" w:rsidP="00A70D08">
      <w:pPr>
        <w:pStyle w:val="Sansinterligne"/>
        <w:rPr>
          <w:lang w:val="es-ES"/>
        </w:rPr>
      </w:pPr>
    </w:p>
    <w:p w:rsidR="00A70D08" w:rsidRPr="00A70D08" w:rsidRDefault="00A70D08" w:rsidP="00A70D08">
      <w:pPr>
        <w:autoSpaceDE w:val="0"/>
        <w:autoSpaceDN w:val="0"/>
        <w:adjustRightInd w:val="0"/>
        <w:spacing w:line="360" w:lineRule="auto"/>
        <w:ind w:firstLine="851"/>
        <w:jc w:val="both"/>
        <w:rPr>
          <w:rFonts w:ascii="Arial Narrow" w:hAnsi="Arial Narrow" w:cs="Arial"/>
          <w:sz w:val="28"/>
          <w:szCs w:val="28"/>
          <w:lang w:val="es-ES"/>
        </w:rPr>
      </w:pPr>
      <w:r w:rsidRPr="00A70D08">
        <w:rPr>
          <w:rFonts w:ascii="Arial Narrow" w:hAnsi="Arial Narrow" w:cs="Arial"/>
          <w:sz w:val="28"/>
          <w:szCs w:val="28"/>
          <w:lang w:val="es-ES"/>
        </w:rPr>
        <w:t>De la norma glosada, se desprende claramente que se castig</w:t>
      </w:r>
      <w:r>
        <w:rPr>
          <w:rFonts w:ascii="Arial Narrow" w:hAnsi="Arial Narrow" w:cs="Arial"/>
          <w:sz w:val="28"/>
          <w:szCs w:val="28"/>
          <w:lang w:val="es-ES"/>
        </w:rPr>
        <w:t xml:space="preserve">a con estos réditos, la </w:t>
      </w:r>
      <w:r w:rsidRPr="00A70D08">
        <w:rPr>
          <w:rFonts w:ascii="Arial Narrow" w:hAnsi="Arial Narrow" w:cs="Arial"/>
          <w:sz w:val="28"/>
          <w:szCs w:val="28"/>
          <w:lang w:val="es-ES"/>
        </w:rPr>
        <w:t xml:space="preserve">tardanza en el pago de las mesadas pensionales, por lo que es un paso obligatorio para resolver el litigio determinar a partir de qué momento hay tardanza en el pago de las mismas. </w:t>
      </w:r>
      <w:r w:rsidRPr="00A70D08">
        <w:rPr>
          <w:rFonts w:ascii="Arial Narrow" w:hAnsi="Arial Narrow" w:cs="Arial"/>
          <w:sz w:val="28"/>
          <w:szCs w:val="28"/>
          <w:lang w:val="es-CO"/>
        </w:rPr>
        <w:t xml:space="preserve">Para tal fin </w:t>
      </w:r>
      <w:r w:rsidRPr="00A70D08">
        <w:rPr>
          <w:rFonts w:ascii="Arial Narrow" w:hAnsi="Arial Narrow" w:cs="Arial"/>
          <w:sz w:val="28"/>
          <w:szCs w:val="28"/>
          <w:lang w:val="es-ES"/>
        </w:rPr>
        <w:t>es indispensable determinar los plazos con que cuentan los fondos de pensiones para iniciar a pagar una prestación. Tal plazo se encuentra establecido en la Ley 700 de 2001, artículo 4º, que reza:</w:t>
      </w:r>
    </w:p>
    <w:p w:rsidR="00A70D08" w:rsidRPr="00B57506" w:rsidRDefault="00A70D08" w:rsidP="00B57506">
      <w:pPr>
        <w:pStyle w:val="Sansinterligne"/>
      </w:pPr>
    </w:p>
    <w:p w:rsidR="00A70D08" w:rsidRPr="00A70D08" w:rsidRDefault="00A70D08" w:rsidP="00B57506">
      <w:pPr>
        <w:autoSpaceDE w:val="0"/>
        <w:autoSpaceDN w:val="0"/>
        <w:adjustRightInd w:val="0"/>
        <w:ind w:left="284" w:right="193" w:firstLine="851"/>
        <w:jc w:val="both"/>
        <w:rPr>
          <w:rFonts w:ascii="Arial Narrow" w:hAnsi="Arial Narrow" w:cs="Arial"/>
          <w:i/>
          <w:sz w:val="28"/>
          <w:szCs w:val="28"/>
          <w:lang w:val="es-ES"/>
        </w:rPr>
      </w:pPr>
      <w:r w:rsidRPr="00A70D08">
        <w:rPr>
          <w:rFonts w:ascii="Arial Narrow" w:hAnsi="Arial Narrow" w:cs="Arial"/>
          <w:i/>
          <w:sz w:val="28"/>
          <w:szCs w:val="28"/>
          <w:lang w:val="es-ES"/>
        </w:rPr>
        <w:t>“A partir de la vigencia de la presente ley, los operadores públicos y privados del sistema general de pensiones y cesantías, que tengan a su cargo el reconocimiento del derecho pensional, tendrán un plazo no mayor de seis (6) meses a partir del momento en que se eleve la solicitud de reconocimiento por parte del interesado para adelantar los trámites necesarios tendientes al pago de las mesadas correspondientes”.</w:t>
      </w:r>
    </w:p>
    <w:p w:rsidR="00A70D08" w:rsidRPr="00A70D08" w:rsidRDefault="00A70D08" w:rsidP="00B57506">
      <w:pPr>
        <w:pStyle w:val="Sansinterligne"/>
        <w:spacing w:line="276" w:lineRule="auto"/>
        <w:rPr>
          <w:lang w:val="es-ES"/>
        </w:rPr>
      </w:pPr>
    </w:p>
    <w:p w:rsidR="00A70D08" w:rsidRPr="00A70D08" w:rsidRDefault="00A70D08" w:rsidP="00A70D08">
      <w:pPr>
        <w:autoSpaceDE w:val="0"/>
        <w:autoSpaceDN w:val="0"/>
        <w:adjustRightInd w:val="0"/>
        <w:spacing w:line="360" w:lineRule="auto"/>
        <w:ind w:firstLine="851"/>
        <w:jc w:val="both"/>
        <w:rPr>
          <w:rFonts w:ascii="Arial Narrow" w:hAnsi="Arial Narrow" w:cs="Arial"/>
          <w:sz w:val="28"/>
          <w:szCs w:val="28"/>
          <w:lang w:val="es-ES"/>
        </w:rPr>
      </w:pPr>
      <w:r w:rsidRPr="00A70D08">
        <w:rPr>
          <w:rFonts w:ascii="Arial Narrow" w:hAnsi="Arial Narrow" w:cs="Arial"/>
          <w:sz w:val="28"/>
          <w:szCs w:val="28"/>
          <w:lang w:val="es-ES"/>
        </w:rPr>
        <w:t>Así las cosas, se pregonará tardanza en el pago de las mesadas pensionales que contempla esta norma, cuando la persona haya solicitado la pensión y, teniendo derecho a ella, hayan pasado más de seis meses sin que se inicie el pago de la misma.</w:t>
      </w:r>
    </w:p>
    <w:p w:rsidR="00DF0C2C" w:rsidRPr="00A70D08" w:rsidRDefault="00DF0C2C" w:rsidP="00A70D08">
      <w:pPr>
        <w:pStyle w:val="Sansinterligne"/>
      </w:pPr>
    </w:p>
    <w:p w:rsidR="00A70D08" w:rsidRDefault="00A70D08" w:rsidP="00A70D08">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el caso puntual, el demandante e</w:t>
      </w:r>
      <w:r w:rsidRPr="00A70D08">
        <w:rPr>
          <w:rFonts w:ascii="Arial Narrow" w:hAnsi="Arial Narrow" w:cs="Arial"/>
          <w:sz w:val="28"/>
          <w:szCs w:val="28"/>
          <w:lang w:val="es-ES"/>
        </w:rPr>
        <w:t xml:space="preserve">levó solicitud de reconocimiento pensional el </w:t>
      </w:r>
      <w:r>
        <w:rPr>
          <w:rFonts w:ascii="Arial Narrow" w:hAnsi="Arial Narrow" w:cs="Arial"/>
          <w:sz w:val="28"/>
          <w:szCs w:val="28"/>
          <w:lang w:val="es-ES"/>
        </w:rPr>
        <w:t>5 de abril de 2013</w:t>
      </w:r>
      <w:r w:rsidRPr="00A70D08">
        <w:rPr>
          <w:rFonts w:ascii="Arial Narrow" w:hAnsi="Arial Narrow" w:cs="Arial"/>
          <w:sz w:val="28"/>
          <w:szCs w:val="28"/>
          <w:lang w:val="es-ES"/>
        </w:rPr>
        <w:t xml:space="preserve"> –fl.</w:t>
      </w:r>
      <w:r>
        <w:rPr>
          <w:rFonts w:ascii="Arial Narrow" w:hAnsi="Arial Narrow" w:cs="Arial"/>
          <w:sz w:val="28"/>
          <w:szCs w:val="28"/>
          <w:lang w:val="es-ES"/>
        </w:rPr>
        <w:t>78</w:t>
      </w:r>
      <w:r w:rsidRPr="00A70D08">
        <w:rPr>
          <w:rFonts w:ascii="Arial Narrow" w:hAnsi="Arial Narrow" w:cs="Arial"/>
          <w:sz w:val="28"/>
          <w:szCs w:val="28"/>
          <w:lang w:val="es-ES"/>
        </w:rPr>
        <w:t>-,</w:t>
      </w:r>
      <w:r>
        <w:rPr>
          <w:rFonts w:ascii="Arial Narrow" w:hAnsi="Arial Narrow" w:cs="Arial"/>
          <w:sz w:val="28"/>
          <w:szCs w:val="28"/>
          <w:lang w:val="es-ES"/>
        </w:rPr>
        <w:t xml:space="preserve"> de modo que, los intereses moratorios se generan a partir del </w:t>
      </w:r>
      <w:r w:rsidR="002A43FC">
        <w:rPr>
          <w:rFonts w:ascii="Arial Narrow" w:hAnsi="Arial Narrow" w:cs="Arial"/>
          <w:sz w:val="28"/>
          <w:szCs w:val="28"/>
          <w:lang w:val="es-ES"/>
        </w:rPr>
        <w:t xml:space="preserve">5 de octubre de ese mismo año, es decir, vencido el término legal con que contaba la entidad para resolver la solicitud e iniciar el pago de la prestación. </w:t>
      </w:r>
    </w:p>
    <w:p w:rsidR="002F6988" w:rsidRDefault="002F6988" w:rsidP="00A05687">
      <w:pPr>
        <w:pStyle w:val="Sansinterligne"/>
        <w:spacing w:line="276" w:lineRule="auto"/>
        <w:rPr>
          <w:lang w:val="es-ES"/>
        </w:rPr>
      </w:pPr>
    </w:p>
    <w:p w:rsidR="00A05687" w:rsidRDefault="008E558D" w:rsidP="00A05687">
      <w:pPr>
        <w:spacing w:line="360" w:lineRule="auto"/>
        <w:ind w:firstLine="708"/>
        <w:jc w:val="both"/>
        <w:rPr>
          <w:rFonts w:ascii="Arial Narrow" w:hAnsi="Arial Narrow" w:cs="Arial"/>
          <w:sz w:val="28"/>
          <w:szCs w:val="28"/>
        </w:rPr>
      </w:pPr>
      <w:r>
        <w:rPr>
          <w:rFonts w:ascii="Arial Narrow" w:hAnsi="Arial Narrow" w:cs="Arial"/>
          <w:sz w:val="28"/>
          <w:szCs w:val="28"/>
          <w:lang w:val="es-ES"/>
        </w:rPr>
        <w:lastRenderedPageBreak/>
        <w:t xml:space="preserve">En </w:t>
      </w:r>
      <w:r w:rsidR="002F6988">
        <w:rPr>
          <w:rFonts w:ascii="Arial Narrow" w:hAnsi="Arial Narrow" w:cs="Arial"/>
          <w:sz w:val="28"/>
          <w:szCs w:val="28"/>
          <w:lang w:val="es-ES"/>
        </w:rPr>
        <w:t xml:space="preserve">cuanto a la petición encaminada a obtener la indexación de las condenas, cabe recordar que </w:t>
      </w:r>
      <w:r w:rsidR="000522D6">
        <w:rPr>
          <w:rFonts w:ascii="Arial Narrow" w:hAnsi="Arial Narrow" w:cs="Arial"/>
          <w:sz w:val="28"/>
          <w:szCs w:val="28"/>
          <w:lang w:val="es-ES"/>
        </w:rPr>
        <w:t xml:space="preserve">la misma es incompatible con el pago de intereses moratorios, por cuanto </w:t>
      </w:r>
      <w:r w:rsidR="000522D6" w:rsidRPr="00A379BF">
        <w:rPr>
          <w:rFonts w:ascii="Arial Narrow" w:hAnsi="Arial Narrow" w:cs="Arial"/>
          <w:sz w:val="28"/>
          <w:szCs w:val="28"/>
        </w:rPr>
        <w:t xml:space="preserve">éste último rubro contiene el componente inflacionario que afecta el poder adquisitivo del dinero, es decir, incluye la indexación, de modo que la actualización </w:t>
      </w:r>
      <w:r w:rsidR="000522D6">
        <w:rPr>
          <w:rFonts w:ascii="Arial Narrow" w:hAnsi="Arial Narrow" w:cs="Arial"/>
          <w:sz w:val="28"/>
          <w:szCs w:val="28"/>
        </w:rPr>
        <w:t xml:space="preserve">de las condenas </w:t>
      </w:r>
      <w:r w:rsidR="000522D6" w:rsidRPr="00A379BF">
        <w:rPr>
          <w:rFonts w:ascii="Arial Narrow" w:hAnsi="Arial Narrow" w:cs="Arial"/>
          <w:sz w:val="28"/>
          <w:szCs w:val="28"/>
        </w:rPr>
        <w:t xml:space="preserve">implicaría </w:t>
      </w:r>
      <w:r w:rsidR="000522D6">
        <w:rPr>
          <w:rFonts w:ascii="Arial Narrow" w:hAnsi="Arial Narrow" w:cs="Arial"/>
          <w:sz w:val="28"/>
          <w:szCs w:val="28"/>
        </w:rPr>
        <w:t xml:space="preserve">calcular doblemente los efectos inflacionarios, </w:t>
      </w:r>
      <w:r w:rsidR="000522D6" w:rsidRPr="00A379BF">
        <w:rPr>
          <w:rFonts w:ascii="Arial Narrow" w:hAnsi="Arial Narrow" w:cs="Tahoma"/>
          <w:sz w:val="28"/>
          <w:szCs w:val="28"/>
        </w:rPr>
        <w:t xml:space="preserve">tal </w:t>
      </w:r>
      <w:r w:rsidR="000522D6">
        <w:rPr>
          <w:rFonts w:ascii="Arial Narrow" w:hAnsi="Arial Narrow" w:cs="Tahoma"/>
          <w:sz w:val="28"/>
          <w:szCs w:val="28"/>
        </w:rPr>
        <w:t xml:space="preserve">como </w:t>
      </w:r>
      <w:r w:rsidR="000522D6" w:rsidRPr="00A379BF">
        <w:rPr>
          <w:rFonts w:ascii="Arial Narrow" w:hAnsi="Arial Narrow" w:cs="Tahoma"/>
          <w:sz w:val="28"/>
          <w:szCs w:val="28"/>
        </w:rPr>
        <w:t xml:space="preserve">lo ha precisado el órgano de cierre de la especialidad laboral, </w:t>
      </w:r>
      <w:r w:rsidR="00A05687">
        <w:rPr>
          <w:rFonts w:ascii="Arial Narrow" w:hAnsi="Arial Narrow" w:cs="Tahoma"/>
          <w:sz w:val="28"/>
          <w:szCs w:val="28"/>
        </w:rPr>
        <w:t xml:space="preserve">en sentencia </w:t>
      </w:r>
      <w:r w:rsidR="00A05687" w:rsidRPr="00A379BF">
        <w:rPr>
          <w:rFonts w:ascii="Arial Narrow" w:hAnsi="Arial Narrow" w:cs="Arial"/>
          <w:sz w:val="28"/>
          <w:szCs w:val="28"/>
        </w:rPr>
        <w:t xml:space="preserve">del 27 de agosto de 2014, radicación 42.343, SL 16440. </w:t>
      </w:r>
    </w:p>
    <w:p w:rsidR="00A05687" w:rsidRDefault="00A05687" w:rsidP="00A05687">
      <w:pPr>
        <w:spacing w:line="360" w:lineRule="auto"/>
        <w:ind w:firstLine="708"/>
        <w:jc w:val="both"/>
        <w:rPr>
          <w:rFonts w:ascii="Arial Narrow" w:hAnsi="Arial Narrow" w:cs="Arial"/>
          <w:sz w:val="28"/>
          <w:szCs w:val="28"/>
        </w:rPr>
      </w:pPr>
      <w:r>
        <w:rPr>
          <w:rFonts w:ascii="Arial Narrow" w:hAnsi="Arial Narrow" w:cs="Arial"/>
          <w:sz w:val="28"/>
          <w:szCs w:val="28"/>
        </w:rPr>
        <w:t>Por ende, no se accederá a la indexación pretendida.</w:t>
      </w:r>
    </w:p>
    <w:p w:rsidR="008E558D" w:rsidRPr="00C93858" w:rsidRDefault="008E558D" w:rsidP="008E558D">
      <w:pPr>
        <w:pStyle w:val="Sansinterligne"/>
      </w:pPr>
    </w:p>
    <w:p w:rsidR="008E558D" w:rsidRDefault="008E558D" w:rsidP="008E558D">
      <w:pPr>
        <w:pStyle w:val="Sansinterligne"/>
        <w:spacing w:line="360" w:lineRule="auto"/>
        <w:ind w:firstLine="708"/>
        <w:jc w:val="both"/>
        <w:rPr>
          <w:rFonts w:ascii="Arial Narrow" w:hAnsi="Arial Narrow"/>
          <w:sz w:val="28"/>
          <w:szCs w:val="28"/>
        </w:rPr>
      </w:pPr>
      <w:r>
        <w:rPr>
          <w:rFonts w:ascii="Arial Narrow" w:hAnsi="Arial Narrow"/>
          <w:sz w:val="28"/>
          <w:szCs w:val="28"/>
        </w:rPr>
        <w:t xml:space="preserve">Por último, se autoriza </w:t>
      </w:r>
      <w:r w:rsidRPr="00DE5426">
        <w:rPr>
          <w:rFonts w:ascii="Arial Narrow" w:hAnsi="Arial Narrow"/>
          <w:sz w:val="28"/>
          <w:szCs w:val="28"/>
        </w:rPr>
        <w:t xml:space="preserve">a </w:t>
      </w:r>
      <w:proofErr w:type="spellStart"/>
      <w:r w:rsidRPr="00DE5426">
        <w:rPr>
          <w:rFonts w:ascii="Arial Narrow" w:hAnsi="Arial Narrow"/>
          <w:sz w:val="28"/>
          <w:szCs w:val="28"/>
        </w:rPr>
        <w:t>Colpensiones</w:t>
      </w:r>
      <w:proofErr w:type="spellEnd"/>
      <w:r w:rsidRPr="00DE5426">
        <w:rPr>
          <w:rFonts w:ascii="Arial Narrow" w:hAnsi="Arial Narrow"/>
          <w:sz w:val="28"/>
          <w:szCs w:val="28"/>
        </w:rPr>
        <w:t xml:space="preserve"> </w:t>
      </w:r>
      <w:r>
        <w:rPr>
          <w:rFonts w:ascii="Arial Narrow" w:hAnsi="Arial Narrow"/>
          <w:sz w:val="28"/>
          <w:szCs w:val="28"/>
        </w:rPr>
        <w:t xml:space="preserve">a descontar del valor del retroactivo, </w:t>
      </w:r>
      <w:r w:rsidRPr="00DE5426">
        <w:rPr>
          <w:rFonts w:ascii="Arial Narrow" w:hAnsi="Arial Narrow"/>
          <w:sz w:val="28"/>
          <w:szCs w:val="28"/>
        </w:rPr>
        <w:t>los aportes con destino al sistema general de seguridad social en salud.</w:t>
      </w:r>
      <w:r>
        <w:rPr>
          <w:rFonts w:ascii="Arial Narrow" w:hAnsi="Arial Narrow"/>
          <w:sz w:val="28"/>
          <w:szCs w:val="28"/>
        </w:rPr>
        <w:t xml:space="preserve"> </w:t>
      </w:r>
    </w:p>
    <w:p w:rsidR="000522D6" w:rsidRPr="000522D6" w:rsidRDefault="000522D6" w:rsidP="008E558D">
      <w:pPr>
        <w:pStyle w:val="Sansinterligne"/>
        <w:rPr>
          <w:lang w:val="es-ES"/>
        </w:rPr>
      </w:pPr>
    </w:p>
    <w:p w:rsidR="00217967" w:rsidRPr="009D005E" w:rsidRDefault="00217967" w:rsidP="00217967">
      <w:pPr>
        <w:autoSpaceDE w:val="0"/>
        <w:autoSpaceDN w:val="0"/>
        <w:adjustRightInd w:val="0"/>
        <w:spacing w:line="360" w:lineRule="auto"/>
        <w:ind w:firstLine="851"/>
        <w:jc w:val="both"/>
        <w:rPr>
          <w:rFonts w:ascii="Arial Narrow" w:hAnsi="Arial Narrow" w:cs="Arial"/>
          <w:sz w:val="28"/>
          <w:szCs w:val="28"/>
          <w:lang w:val="es-ES"/>
        </w:rPr>
      </w:pPr>
      <w:r w:rsidRPr="009D005E">
        <w:rPr>
          <w:rFonts w:ascii="Arial Narrow" w:hAnsi="Arial Narrow" w:cs="Arial"/>
          <w:sz w:val="28"/>
          <w:szCs w:val="28"/>
          <w:lang w:val="es-ES"/>
        </w:rPr>
        <w:t xml:space="preserve">Dicho esto, se impone concluir la </w:t>
      </w:r>
      <w:r w:rsidR="00A05687">
        <w:rPr>
          <w:rFonts w:ascii="Arial Narrow" w:hAnsi="Arial Narrow" w:cs="Arial"/>
          <w:sz w:val="28"/>
          <w:szCs w:val="28"/>
          <w:lang w:val="es-ES"/>
        </w:rPr>
        <w:t>revocatoria d</w:t>
      </w:r>
      <w:r w:rsidRPr="009D005E">
        <w:rPr>
          <w:rFonts w:ascii="Arial Narrow" w:hAnsi="Arial Narrow" w:cs="Arial"/>
          <w:sz w:val="28"/>
          <w:szCs w:val="28"/>
          <w:lang w:val="es-ES"/>
        </w:rPr>
        <w:t xml:space="preserve">e la decisión consultada. </w:t>
      </w:r>
    </w:p>
    <w:p w:rsidR="00217967" w:rsidRPr="009D005E" w:rsidRDefault="00217967" w:rsidP="00A05687">
      <w:pPr>
        <w:pStyle w:val="Sansinterligne"/>
        <w:rPr>
          <w:lang w:val="es-ES"/>
        </w:rPr>
      </w:pPr>
    </w:p>
    <w:p w:rsidR="00217967" w:rsidRPr="006F66B8" w:rsidRDefault="001A6176" w:rsidP="00217967">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Costas en ambas instancias a cargo de la entidad demandada. </w:t>
      </w:r>
    </w:p>
    <w:p w:rsidR="00217967" w:rsidRPr="009D005E" w:rsidRDefault="00217967" w:rsidP="00765A6C">
      <w:pPr>
        <w:pStyle w:val="Sansinterligne"/>
        <w:rPr>
          <w:shd w:val="clear" w:color="auto" w:fill="FFFFFF"/>
          <w:lang w:val="es-ES"/>
        </w:rPr>
      </w:pPr>
    </w:p>
    <w:p w:rsidR="00217967" w:rsidRPr="006F66B8" w:rsidRDefault="00217967" w:rsidP="00217967">
      <w:pPr>
        <w:pStyle w:val="Prrafodelista1"/>
        <w:spacing w:after="0" w:line="360" w:lineRule="auto"/>
        <w:ind w:left="0" w:firstLine="900"/>
        <w:jc w:val="both"/>
        <w:rPr>
          <w:rFonts w:ascii="Arial Narrow" w:hAnsi="Arial Narrow" w:cs="Tahoma"/>
          <w:sz w:val="28"/>
          <w:szCs w:val="28"/>
        </w:rPr>
      </w:pPr>
      <w:r w:rsidRPr="009D005E">
        <w:rPr>
          <w:rFonts w:ascii="Arial Narrow" w:hAnsi="Arial Narrow" w:cs="Tahoma"/>
          <w:sz w:val="28"/>
          <w:szCs w:val="28"/>
        </w:rPr>
        <w:t xml:space="preserve">En mérito de lo </w:t>
      </w:r>
      <w:r w:rsidRPr="006F66B8">
        <w:rPr>
          <w:rFonts w:ascii="Arial Narrow" w:hAnsi="Arial Narrow" w:cs="Tahoma"/>
          <w:sz w:val="28"/>
          <w:szCs w:val="28"/>
        </w:rPr>
        <w:t>expuesto, el Tribunal Superior del Distrito Judicial de Pereira, Sala Laboral, administrando justicia en nombre de la República y por autoridad de la ley,</w:t>
      </w:r>
    </w:p>
    <w:p w:rsidR="00217967" w:rsidRPr="006F66B8" w:rsidRDefault="00217967" w:rsidP="006F66B8">
      <w:pPr>
        <w:pStyle w:val="Sansinterligne"/>
      </w:pPr>
    </w:p>
    <w:p w:rsidR="00217967" w:rsidRPr="006F66B8" w:rsidRDefault="00217967" w:rsidP="00217967">
      <w:pPr>
        <w:spacing w:line="360" w:lineRule="auto"/>
        <w:jc w:val="center"/>
        <w:rPr>
          <w:rFonts w:ascii="Arial Narrow" w:hAnsi="Arial Narrow" w:cs="Tahoma"/>
          <w:sz w:val="28"/>
          <w:szCs w:val="28"/>
        </w:rPr>
      </w:pPr>
      <w:r w:rsidRPr="006F66B8">
        <w:rPr>
          <w:rFonts w:ascii="Arial Narrow" w:hAnsi="Arial Narrow" w:cs="Tahoma"/>
          <w:sz w:val="28"/>
          <w:szCs w:val="28"/>
        </w:rPr>
        <w:t>FALLA</w:t>
      </w:r>
    </w:p>
    <w:p w:rsidR="00217967" w:rsidRPr="006F66B8" w:rsidRDefault="00217967" w:rsidP="00B57506">
      <w:pPr>
        <w:pStyle w:val="Sansinterligne"/>
        <w:spacing w:line="276" w:lineRule="auto"/>
      </w:pPr>
    </w:p>
    <w:p w:rsidR="00217967" w:rsidRDefault="00984E5E" w:rsidP="00984E5E">
      <w:pPr>
        <w:tabs>
          <w:tab w:val="left" w:pos="-720"/>
        </w:tabs>
        <w:suppressAutoHyphens/>
        <w:spacing w:line="336" w:lineRule="auto"/>
        <w:ind w:right="28"/>
        <w:jc w:val="both"/>
        <w:rPr>
          <w:rFonts w:ascii="Arial Narrow" w:hAnsi="Arial Narrow" w:cs="Tahoma"/>
          <w:spacing w:val="-2"/>
          <w:sz w:val="28"/>
          <w:szCs w:val="28"/>
        </w:rPr>
      </w:pPr>
      <w:r>
        <w:rPr>
          <w:rFonts w:ascii="Arial Narrow" w:hAnsi="Arial Narrow" w:cs="Tahoma"/>
          <w:spacing w:val="-2"/>
          <w:sz w:val="28"/>
          <w:szCs w:val="28"/>
        </w:rPr>
        <w:tab/>
      </w:r>
      <w:r w:rsidR="006F66B8" w:rsidRPr="00984E5E">
        <w:rPr>
          <w:rFonts w:ascii="Arial Narrow" w:hAnsi="Arial Narrow" w:cs="Tahoma"/>
          <w:spacing w:val="-2"/>
          <w:sz w:val="28"/>
          <w:szCs w:val="28"/>
        </w:rPr>
        <w:t>Revocar la sentencia proferida el 21 de abril de 2016 por el Juzgado Quinto Laboral del Circuito de Pereira</w:t>
      </w:r>
      <w:r w:rsidR="00217967" w:rsidRPr="00984E5E">
        <w:rPr>
          <w:rFonts w:ascii="Arial Narrow" w:hAnsi="Arial Narrow" w:cs="Tahoma"/>
          <w:spacing w:val="-2"/>
          <w:sz w:val="28"/>
          <w:szCs w:val="28"/>
        </w:rPr>
        <w:t>, dent</w:t>
      </w:r>
      <w:r w:rsidR="006F66B8" w:rsidRPr="00984E5E">
        <w:rPr>
          <w:rFonts w:ascii="Arial Narrow" w:hAnsi="Arial Narrow" w:cs="Tahoma"/>
          <w:spacing w:val="-2"/>
          <w:sz w:val="28"/>
          <w:szCs w:val="28"/>
        </w:rPr>
        <w:t xml:space="preserve">ro del proceso de la referencia, para en su lugar: </w:t>
      </w:r>
    </w:p>
    <w:p w:rsidR="00984E5E" w:rsidRPr="00984E5E" w:rsidRDefault="00984E5E" w:rsidP="00984E5E">
      <w:pPr>
        <w:pStyle w:val="Sansinterligne"/>
      </w:pPr>
    </w:p>
    <w:p w:rsidR="00984E5E" w:rsidRDefault="00984E5E" w:rsidP="00984E5E">
      <w:pPr>
        <w:pStyle w:val="Paragraphedeliste"/>
        <w:numPr>
          <w:ilvl w:val="0"/>
          <w:numId w:val="2"/>
        </w:numPr>
        <w:tabs>
          <w:tab w:val="left" w:pos="-720"/>
        </w:tabs>
        <w:suppressAutoHyphens/>
        <w:spacing w:line="336" w:lineRule="auto"/>
        <w:ind w:left="0" w:right="28" w:firstLine="709"/>
        <w:jc w:val="both"/>
        <w:rPr>
          <w:rFonts w:ascii="Arial Narrow" w:hAnsi="Arial Narrow" w:cs="Tahoma"/>
          <w:spacing w:val="-2"/>
          <w:sz w:val="28"/>
          <w:szCs w:val="28"/>
        </w:rPr>
      </w:pPr>
      <w:r>
        <w:rPr>
          <w:rFonts w:ascii="Arial Narrow" w:hAnsi="Arial Narrow" w:cs="Tahoma"/>
          <w:spacing w:val="-2"/>
          <w:sz w:val="28"/>
          <w:szCs w:val="28"/>
        </w:rPr>
        <w:t xml:space="preserve">Declarar que el señor Ismael Olmedo Jiménez Ramos </w:t>
      </w:r>
      <w:r w:rsidRPr="00AB3E89">
        <w:rPr>
          <w:rFonts w:ascii="Arial Narrow" w:hAnsi="Arial Narrow" w:cs="Tahoma"/>
          <w:spacing w:val="-2"/>
          <w:sz w:val="28"/>
          <w:szCs w:val="28"/>
        </w:rPr>
        <w:t>Leal</w:t>
      </w:r>
      <w:r>
        <w:rPr>
          <w:rFonts w:ascii="Arial Narrow" w:hAnsi="Arial Narrow" w:cs="Tahoma"/>
          <w:spacing w:val="-2"/>
          <w:sz w:val="28"/>
          <w:szCs w:val="28"/>
        </w:rPr>
        <w:t xml:space="preserve"> es beneficiario del régimen de transición consagrado en el artículo 36 de la Ley 100 de 1993</w:t>
      </w:r>
      <w:r w:rsidR="00E21D36">
        <w:rPr>
          <w:rFonts w:ascii="Arial Narrow" w:hAnsi="Arial Narrow" w:cs="Tahoma"/>
          <w:spacing w:val="-2"/>
          <w:sz w:val="28"/>
          <w:szCs w:val="28"/>
        </w:rPr>
        <w:t xml:space="preserve">, y tiene derecho al reconocimiento de la pensión de vejez con fundamento en el Acuerdo 049/90, aprobado por el Decreto 758 del mismo año. </w:t>
      </w:r>
      <w:r>
        <w:rPr>
          <w:rFonts w:ascii="Arial Narrow" w:hAnsi="Arial Narrow" w:cs="Tahoma"/>
          <w:spacing w:val="-2"/>
          <w:sz w:val="28"/>
          <w:szCs w:val="28"/>
        </w:rPr>
        <w:t xml:space="preserve"> </w:t>
      </w:r>
    </w:p>
    <w:p w:rsidR="00984E5E" w:rsidRPr="00984E5E" w:rsidRDefault="00984E5E" w:rsidP="00984E5E">
      <w:pPr>
        <w:pStyle w:val="Sansinterligne"/>
      </w:pPr>
    </w:p>
    <w:p w:rsidR="00984E5E" w:rsidRDefault="00984E5E" w:rsidP="00984E5E">
      <w:pPr>
        <w:pStyle w:val="Paragraphedeliste"/>
        <w:numPr>
          <w:ilvl w:val="0"/>
          <w:numId w:val="2"/>
        </w:numPr>
        <w:tabs>
          <w:tab w:val="left" w:pos="-720"/>
        </w:tabs>
        <w:suppressAutoHyphens/>
        <w:spacing w:line="336" w:lineRule="auto"/>
        <w:ind w:left="0" w:right="28" w:firstLine="709"/>
        <w:jc w:val="both"/>
        <w:rPr>
          <w:rFonts w:ascii="Arial Narrow" w:hAnsi="Arial Narrow" w:cs="Tahoma"/>
          <w:spacing w:val="-2"/>
          <w:sz w:val="28"/>
          <w:szCs w:val="28"/>
        </w:rPr>
      </w:pPr>
      <w:r w:rsidRPr="00984E5E">
        <w:rPr>
          <w:rFonts w:ascii="Arial Narrow" w:hAnsi="Arial Narrow" w:cs="Tahoma"/>
          <w:spacing w:val="-2"/>
          <w:sz w:val="28"/>
          <w:szCs w:val="28"/>
        </w:rPr>
        <w:t xml:space="preserve">  C</w:t>
      </w:r>
      <w:r w:rsidR="00E21D36">
        <w:rPr>
          <w:rFonts w:ascii="Arial Narrow" w:hAnsi="Arial Narrow" w:cs="Tahoma"/>
          <w:spacing w:val="-2"/>
          <w:sz w:val="28"/>
          <w:szCs w:val="28"/>
        </w:rPr>
        <w:t>omo consecuencia de lo anterior, C</w:t>
      </w:r>
      <w:r w:rsidRPr="00984E5E">
        <w:rPr>
          <w:rFonts w:ascii="Arial Narrow" w:hAnsi="Arial Narrow" w:cs="Tahoma"/>
          <w:spacing w:val="-2"/>
          <w:sz w:val="28"/>
          <w:szCs w:val="28"/>
        </w:rPr>
        <w:t xml:space="preserve">ondenar a la Administradora Colombiana de Pensiones </w:t>
      </w:r>
      <w:proofErr w:type="spellStart"/>
      <w:r w:rsidRPr="00984E5E">
        <w:rPr>
          <w:rFonts w:ascii="Arial Narrow" w:hAnsi="Arial Narrow" w:cs="Tahoma"/>
          <w:spacing w:val="-2"/>
          <w:sz w:val="28"/>
          <w:szCs w:val="28"/>
        </w:rPr>
        <w:t>Colpensiones</w:t>
      </w:r>
      <w:proofErr w:type="spellEnd"/>
      <w:r w:rsidRPr="00984E5E">
        <w:rPr>
          <w:rFonts w:ascii="Arial Narrow" w:hAnsi="Arial Narrow" w:cs="Tahoma"/>
          <w:spacing w:val="-2"/>
          <w:sz w:val="28"/>
          <w:szCs w:val="28"/>
        </w:rPr>
        <w:t xml:space="preserve"> a reconocer y pagar en favor de Ismael Olmedo Jiménez Ramos la pensión de vejez, </w:t>
      </w:r>
      <w:r>
        <w:rPr>
          <w:rFonts w:ascii="Arial Narrow" w:hAnsi="Arial Narrow" w:cs="Tahoma"/>
          <w:spacing w:val="-2"/>
          <w:sz w:val="28"/>
          <w:szCs w:val="28"/>
        </w:rPr>
        <w:t xml:space="preserve">a partir del 1º de abril de 2013, en cuantía de un salario mínimo legal mensual vigente y por 13 mesadas anuales. </w:t>
      </w:r>
    </w:p>
    <w:p w:rsidR="00984E5E" w:rsidRPr="00984E5E" w:rsidRDefault="00984E5E" w:rsidP="00984E5E">
      <w:pPr>
        <w:pStyle w:val="Paragraphedeliste"/>
        <w:rPr>
          <w:rFonts w:ascii="Arial Narrow" w:hAnsi="Arial Narrow" w:cs="Tahoma"/>
          <w:spacing w:val="-2"/>
          <w:sz w:val="28"/>
          <w:szCs w:val="28"/>
        </w:rPr>
      </w:pPr>
    </w:p>
    <w:p w:rsidR="00984E5E" w:rsidRDefault="00984E5E" w:rsidP="00984E5E">
      <w:pPr>
        <w:pStyle w:val="Paragraphedeliste"/>
        <w:numPr>
          <w:ilvl w:val="0"/>
          <w:numId w:val="2"/>
        </w:numPr>
        <w:tabs>
          <w:tab w:val="left" w:pos="-720"/>
        </w:tabs>
        <w:suppressAutoHyphens/>
        <w:spacing w:line="336" w:lineRule="auto"/>
        <w:ind w:left="0" w:right="28" w:firstLine="709"/>
        <w:jc w:val="both"/>
        <w:rPr>
          <w:rFonts w:ascii="Arial Narrow" w:hAnsi="Arial Narrow" w:cs="Tahoma"/>
          <w:spacing w:val="-2"/>
          <w:sz w:val="28"/>
          <w:szCs w:val="28"/>
        </w:rPr>
      </w:pPr>
      <w:r>
        <w:rPr>
          <w:rFonts w:ascii="Arial Narrow" w:hAnsi="Arial Narrow" w:cs="Tahoma"/>
          <w:spacing w:val="-2"/>
          <w:sz w:val="28"/>
          <w:szCs w:val="28"/>
        </w:rPr>
        <w:lastRenderedPageBreak/>
        <w:t xml:space="preserve">Condenar </w:t>
      </w:r>
      <w:r w:rsidRPr="00984E5E">
        <w:rPr>
          <w:rFonts w:ascii="Arial Narrow" w:hAnsi="Arial Narrow" w:cs="Tahoma"/>
          <w:spacing w:val="-2"/>
          <w:sz w:val="28"/>
          <w:szCs w:val="28"/>
        </w:rPr>
        <w:t xml:space="preserve">a la Administradora Colombiana de Pensiones </w:t>
      </w:r>
      <w:proofErr w:type="spellStart"/>
      <w:r w:rsidRPr="00984E5E">
        <w:rPr>
          <w:rFonts w:ascii="Arial Narrow" w:hAnsi="Arial Narrow" w:cs="Tahoma"/>
          <w:spacing w:val="-2"/>
          <w:sz w:val="28"/>
          <w:szCs w:val="28"/>
        </w:rPr>
        <w:t>Colpensiones</w:t>
      </w:r>
      <w:proofErr w:type="spellEnd"/>
      <w:r w:rsidRPr="00984E5E">
        <w:rPr>
          <w:rFonts w:ascii="Arial Narrow" w:hAnsi="Arial Narrow" w:cs="Tahoma"/>
          <w:spacing w:val="-2"/>
          <w:sz w:val="28"/>
          <w:szCs w:val="28"/>
        </w:rPr>
        <w:t xml:space="preserve"> a reconocer y pagar en favor de Ismael Olmedo Jiménez Ramos</w:t>
      </w:r>
      <w:r w:rsidR="007A76C4">
        <w:rPr>
          <w:rFonts w:ascii="Arial Narrow" w:hAnsi="Arial Narrow" w:cs="Tahoma"/>
          <w:spacing w:val="-2"/>
          <w:sz w:val="28"/>
          <w:szCs w:val="28"/>
        </w:rPr>
        <w:t>, la suma de $</w:t>
      </w:r>
      <w:r w:rsidR="007A76C4">
        <w:rPr>
          <w:rFonts w:ascii="Arial Narrow" w:hAnsi="Arial Narrow"/>
          <w:sz w:val="28"/>
          <w:szCs w:val="28"/>
        </w:rPr>
        <w:t>34`193.320</w:t>
      </w:r>
      <w:r w:rsidR="007A76C4">
        <w:rPr>
          <w:rFonts w:ascii="Arial Narrow" w:hAnsi="Arial Narrow" w:cs="Tahoma"/>
          <w:spacing w:val="-2"/>
          <w:sz w:val="28"/>
          <w:szCs w:val="28"/>
        </w:rPr>
        <w:t xml:space="preserve"> a título de retroactivo pensional causado entre el 1º de abril de 2013 y el 30 de abril de 2017, sin perjuicio de que se siga generando hasta su solución.</w:t>
      </w:r>
    </w:p>
    <w:p w:rsidR="00AD4A8E" w:rsidRPr="00AD4A8E" w:rsidRDefault="00AD4A8E" w:rsidP="00AD4A8E">
      <w:pPr>
        <w:pStyle w:val="Paragraphedeliste"/>
        <w:rPr>
          <w:rFonts w:ascii="Arial Narrow" w:hAnsi="Arial Narrow" w:cs="Tahoma"/>
          <w:spacing w:val="-2"/>
          <w:sz w:val="28"/>
          <w:szCs w:val="28"/>
        </w:rPr>
      </w:pPr>
    </w:p>
    <w:p w:rsidR="00AD4A8E" w:rsidRDefault="00AD4A8E" w:rsidP="00984E5E">
      <w:pPr>
        <w:pStyle w:val="Paragraphedeliste"/>
        <w:numPr>
          <w:ilvl w:val="0"/>
          <w:numId w:val="2"/>
        </w:numPr>
        <w:tabs>
          <w:tab w:val="left" w:pos="-720"/>
        </w:tabs>
        <w:suppressAutoHyphens/>
        <w:spacing w:line="336" w:lineRule="auto"/>
        <w:ind w:left="0" w:right="28" w:firstLine="709"/>
        <w:jc w:val="both"/>
        <w:rPr>
          <w:rFonts w:ascii="Arial Narrow" w:hAnsi="Arial Narrow" w:cs="Tahoma"/>
          <w:spacing w:val="-2"/>
          <w:sz w:val="28"/>
          <w:szCs w:val="28"/>
        </w:rPr>
      </w:pPr>
      <w:r>
        <w:rPr>
          <w:rFonts w:ascii="Arial Narrow" w:hAnsi="Arial Narrow" w:cs="Tahoma"/>
          <w:spacing w:val="-2"/>
          <w:sz w:val="28"/>
          <w:szCs w:val="28"/>
        </w:rPr>
        <w:t xml:space="preserve">Condenar </w:t>
      </w:r>
      <w:r w:rsidRPr="00984E5E">
        <w:rPr>
          <w:rFonts w:ascii="Arial Narrow" w:hAnsi="Arial Narrow" w:cs="Tahoma"/>
          <w:spacing w:val="-2"/>
          <w:sz w:val="28"/>
          <w:szCs w:val="28"/>
        </w:rPr>
        <w:t xml:space="preserve">a la Administradora Colombiana de Pensiones </w:t>
      </w:r>
      <w:proofErr w:type="spellStart"/>
      <w:r w:rsidRPr="00984E5E">
        <w:rPr>
          <w:rFonts w:ascii="Arial Narrow" w:hAnsi="Arial Narrow" w:cs="Tahoma"/>
          <w:spacing w:val="-2"/>
          <w:sz w:val="28"/>
          <w:szCs w:val="28"/>
        </w:rPr>
        <w:t>Colpensiones</w:t>
      </w:r>
      <w:proofErr w:type="spellEnd"/>
      <w:r w:rsidRPr="00984E5E">
        <w:rPr>
          <w:rFonts w:ascii="Arial Narrow" w:hAnsi="Arial Narrow" w:cs="Tahoma"/>
          <w:spacing w:val="-2"/>
          <w:sz w:val="28"/>
          <w:szCs w:val="28"/>
        </w:rPr>
        <w:t xml:space="preserve"> a pagar en favor de Ismael Olmedo Jiménez Ramos</w:t>
      </w:r>
      <w:r>
        <w:rPr>
          <w:rFonts w:ascii="Arial Narrow" w:hAnsi="Arial Narrow" w:cs="Tahoma"/>
          <w:spacing w:val="-2"/>
          <w:sz w:val="28"/>
          <w:szCs w:val="28"/>
        </w:rPr>
        <w:t xml:space="preserve"> los intereses moratorios de que trata el artículo 141 de la Ley 100/93, a partir del 5 de octubre de 2013 y hasta que se haga efectivo el pago total de la obligación.</w:t>
      </w:r>
    </w:p>
    <w:p w:rsidR="00B57506" w:rsidRPr="00B57506" w:rsidRDefault="00B57506" w:rsidP="00B57506">
      <w:pPr>
        <w:tabs>
          <w:tab w:val="left" w:pos="-720"/>
        </w:tabs>
        <w:suppressAutoHyphens/>
        <w:spacing w:line="336" w:lineRule="auto"/>
        <w:ind w:right="28"/>
        <w:jc w:val="both"/>
        <w:rPr>
          <w:rFonts w:ascii="Arial Narrow" w:hAnsi="Arial Narrow" w:cs="Tahoma"/>
          <w:spacing w:val="-2"/>
          <w:sz w:val="28"/>
          <w:szCs w:val="28"/>
        </w:rPr>
      </w:pPr>
    </w:p>
    <w:p w:rsidR="003E1CFC" w:rsidRDefault="003E1CFC" w:rsidP="00984E5E">
      <w:pPr>
        <w:pStyle w:val="Paragraphedeliste"/>
        <w:numPr>
          <w:ilvl w:val="0"/>
          <w:numId w:val="2"/>
        </w:numPr>
        <w:tabs>
          <w:tab w:val="left" w:pos="-720"/>
        </w:tabs>
        <w:suppressAutoHyphens/>
        <w:spacing w:line="336" w:lineRule="auto"/>
        <w:ind w:left="0" w:right="28" w:firstLine="709"/>
        <w:jc w:val="both"/>
        <w:rPr>
          <w:rFonts w:ascii="Arial Narrow" w:hAnsi="Arial Narrow" w:cs="Tahoma"/>
          <w:spacing w:val="-2"/>
          <w:sz w:val="28"/>
          <w:szCs w:val="28"/>
        </w:rPr>
      </w:pPr>
      <w:r>
        <w:rPr>
          <w:rFonts w:ascii="Arial Narrow" w:hAnsi="Arial Narrow" w:cs="Tahoma"/>
          <w:spacing w:val="-2"/>
          <w:sz w:val="28"/>
          <w:szCs w:val="28"/>
        </w:rPr>
        <w:t xml:space="preserve">Negar las demás pretensiones de la demanda. </w:t>
      </w:r>
    </w:p>
    <w:p w:rsidR="008E558D" w:rsidRPr="008E558D" w:rsidRDefault="008E558D" w:rsidP="008E558D">
      <w:pPr>
        <w:pStyle w:val="Paragraphedeliste"/>
        <w:rPr>
          <w:rFonts w:ascii="Arial Narrow" w:hAnsi="Arial Narrow" w:cs="Tahoma"/>
          <w:spacing w:val="-2"/>
          <w:sz w:val="28"/>
          <w:szCs w:val="28"/>
        </w:rPr>
      </w:pPr>
    </w:p>
    <w:p w:rsidR="008E558D" w:rsidRPr="00AB3E89" w:rsidRDefault="008E558D" w:rsidP="008E558D">
      <w:pPr>
        <w:numPr>
          <w:ilvl w:val="0"/>
          <w:numId w:val="2"/>
        </w:numPr>
        <w:tabs>
          <w:tab w:val="left" w:pos="-720"/>
        </w:tabs>
        <w:suppressAutoHyphens/>
        <w:spacing w:line="336" w:lineRule="auto"/>
        <w:ind w:left="0" w:right="28" w:firstLine="709"/>
        <w:jc w:val="both"/>
        <w:rPr>
          <w:rFonts w:ascii="Arial Narrow" w:hAnsi="Arial Narrow" w:cs="Tahoma"/>
          <w:spacing w:val="-2"/>
          <w:sz w:val="28"/>
          <w:szCs w:val="28"/>
        </w:rPr>
      </w:pPr>
      <w:r w:rsidRPr="00AB3E89">
        <w:rPr>
          <w:rFonts w:ascii="Arial Narrow" w:hAnsi="Arial Narrow" w:cs="Tahoma"/>
          <w:spacing w:val="-2"/>
          <w:sz w:val="28"/>
          <w:szCs w:val="28"/>
        </w:rPr>
        <w:t xml:space="preserve">Autorizar a </w:t>
      </w:r>
      <w:proofErr w:type="spellStart"/>
      <w:r w:rsidRPr="00AB3E89">
        <w:rPr>
          <w:rFonts w:ascii="Arial Narrow" w:hAnsi="Arial Narrow" w:cs="Tahoma"/>
          <w:spacing w:val="-2"/>
          <w:sz w:val="28"/>
          <w:szCs w:val="28"/>
        </w:rPr>
        <w:t>Colpensiones</w:t>
      </w:r>
      <w:proofErr w:type="spellEnd"/>
      <w:r w:rsidRPr="00AB3E89">
        <w:rPr>
          <w:rFonts w:ascii="Arial Narrow" w:hAnsi="Arial Narrow" w:cs="Tahoma"/>
          <w:spacing w:val="-2"/>
          <w:sz w:val="28"/>
          <w:szCs w:val="28"/>
        </w:rPr>
        <w:t xml:space="preserve"> </w:t>
      </w:r>
      <w:r w:rsidRPr="00AB3E89">
        <w:rPr>
          <w:rFonts w:ascii="Arial Narrow" w:hAnsi="Arial Narrow"/>
          <w:sz w:val="28"/>
          <w:szCs w:val="28"/>
        </w:rPr>
        <w:t xml:space="preserve">a descontar del valor del retroactivo reconocido, los aportes con destino al sistema general de seguridad social en salud. </w:t>
      </w:r>
    </w:p>
    <w:p w:rsidR="003E1CFC" w:rsidRPr="003E1CFC" w:rsidRDefault="003E1CFC" w:rsidP="003E1CFC">
      <w:pPr>
        <w:pStyle w:val="Paragraphedeliste"/>
        <w:rPr>
          <w:rFonts w:ascii="Arial Narrow" w:hAnsi="Arial Narrow" w:cs="Tahoma"/>
          <w:spacing w:val="-2"/>
          <w:sz w:val="28"/>
          <w:szCs w:val="28"/>
        </w:rPr>
      </w:pPr>
    </w:p>
    <w:p w:rsidR="003E1CFC" w:rsidRDefault="003E1CFC" w:rsidP="00984E5E">
      <w:pPr>
        <w:pStyle w:val="Paragraphedeliste"/>
        <w:numPr>
          <w:ilvl w:val="0"/>
          <w:numId w:val="2"/>
        </w:numPr>
        <w:tabs>
          <w:tab w:val="left" w:pos="-720"/>
        </w:tabs>
        <w:suppressAutoHyphens/>
        <w:spacing w:line="336" w:lineRule="auto"/>
        <w:ind w:left="0" w:right="28" w:firstLine="709"/>
        <w:jc w:val="both"/>
        <w:rPr>
          <w:rFonts w:ascii="Arial Narrow" w:hAnsi="Arial Narrow" w:cs="Tahoma"/>
          <w:spacing w:val="-2"/>
          <w:sz w:val="28"/>
          <w:szCs w:val="28"/>
        </w:rPr>
      </w:pPr>
      <w:r>
        <w:rPr>
          <w:rFonts w:ascii="Arial Narrow" w:hAnsi="Arial Narrow" w:cs="Tahoma"/>
          <w:spacing w:val="-2"/>
          <w:sz w:val="28"/>
          <w:szCs w:val="28"/>
        </w:rPr>
        <w:t xml:space="preserve">Declarar no prosperas las excepciones </w:t>
      </w:r>
      <w:r w:rsidR="008E558D">
        <w:rPr>
          <w:rFonts w:ascii="Arial Narrow" w:hAnsi="Arial Narrow" w:cs="Tahoma"/>
          <w:spacing w:val="-2"/>
          <w:sz w:val="28"/>
          <w:szCs w:val="28"/>
        </w:rPr>
        <w:t xml:space="preserve">de fondo </w:t>
      </w:r>
      <w:r>
        <w:rPr>
          <w:rFonts w:ascii="Arial Narrow" w:hAnsi="Arial Narrow" w:cs="Tahoma"/>
          <w:spacing w:val="-2"/>
          <w:sz w:val="28"/>
          <w:szCs w:val="28"/>
        </w:rPr>
        <w:t>propuestas por la entidad demandada.</w:t>
      </w:r>
    </w:p>
    <w:p w:rsidR="008E558D" w:rsidRPr="008E558D" w:rsidRDefault="008E558D" w:rsidP="008E558D">
      <w:pPr>
        <w:pStyle w:val="Sansinterligne"/>
      </w:pPr>
    </w:p>
    <w:p w:rsidR="001A6176" w:rsidRPr="006F66B8" w:rsidRDefault="008E558D" w:rsidP="001A6176">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Tahoma"/>
          <w:sz w:val="28"/>
          <w:szCs w:val="28"/>
        </w:rPr>
        <w:t>8</w:t>
      </w:r>
      <w:r w:rsidR="00217967" w:rsidRPr="006F66B8">
        <w:rPr>
          <w:rFonts w:ascii="Arial Narrow" w:hAnsi="Arial Narrow" w:cs="Tahoma"/>
          <w:sz w:val="28"/>
          <w:szCs w:val="28"/>
        </w:rPr>
        <w:t>.</w:t>
      </w:r>
      <w:r w:rsidR="00F62681">
        <w:rPr>
          <w:rFonts w:ascii="Arial Narrow" w:hAnsi="Arial Narrow" w:cs="Tahoma"/>
          <w:sz w:val="28"/>
          <w:szCs w:val="28"/>
        </w:rPr>
        <w:t xml:space="preserve"> </w:t>
      </w:r>
      <w:r w:rsidR="001A6176">
        <w:rPr>
          <w:rFonts w:ascii="Arial Narrow" w:hAnsi="Arial Narrow" w:cs="Arial"/>
          <w:sz w:val="28"/>
          <w:szCs w:val="28"/>
          <w:lang w:val="es-ES"/>
        </w:rPr>
        <w:t xml:space="preserve">Costas en ambas instancias a cargo de la entidad demandada. </w:t>
      </w:r>
    </w:p>
    <w:p w:rsidR="00217967" w:rsidRPr="006F66B8" w:rsidRDefault="00217967" w:rsidP="001A6176">
      <w:pPr>
        <w:autoSpaceDE w:val="0"/>
        <w:autoSpaceDN w:val="0"/>
        <w:adjustRightInd w:val="0"/>
        <w:spacing w:line="360" w:lineRule="auto"/>
        <w:ind w:firstLine="709"/>
        <w:jc w:val="both"/>
        <w:rPr>
          <w:rFonts w:ascii="Arial Narrow" w:hAnsi="Arial Narrow" w:cs="Tahoma"/>
          <w:sz w:val="28"/>
          <w:szCs w:val="28"/>
        </w:rPr>
      </w:pPr>
    </w:p>
    <w:p w:rsidR="00217967" w:rsidRPr="006F66B8" w:rsidRDefault="00217967" w:rsidP="00217967">
      <w:pPr>
        <w:spacing w:line="360" w:lineRule="auto"/>
        <w:ind w:firstLine="900"/>
        <w:jc w:val="both"/>
        <w:rPr>
          <w:rFonts w:ascii="Arial Narrow" w:hAnsi="Arial Narrow" w:cs="Tahoma"/>
          <w:bCs/>
          <w:iCs/>
          <w:sz w:val="28"/>
          <w:szCs w:val="28"/>
          <w:lang w:val="es-ES"/>
        </w:rPr>
      </w:pPr>
      <w:r w:rsidRPr="006F66B8">
        <w:rPr>
          <w:rFonts w:ascii="Arial Narrow" w:hAnsi="Arial Narrow" w:cs="Tahoma"/>
          <w:bCs/>
          <w:iCs/>
          <w:sz w:val="28"/>
          <w:szCs w:val="28"/>
          <w:lang w:val="es-ES"/>
        </w:rPr>
        <w:t>NOTIFÍQUESE, CÚMPLASE Y DEVUÉLVASE.</w:t>
      </w:r>
    </w:p>
    <w:p w:rsidR="00217967" w:rsidRPr="006F66B8" w:rsidRDefault="00217967" w:rsidP="00217967">
      <w:pPr>
        <w:spacing w:line="360" w:lineRule="auto"/>
        <w:ind w:firstLine="900"/>
        <w:jc w:val="both"/>
        <w:rPr>
          <w:rFonts w:ascii="Arial Narrow" w:hAnsi="Arial Narrow" w:cs="Tahoma"/>
          <w:bCs/>
          <w:iCs/>
          <w:sz w:val="28"/>
          <w:szCs w:val="28"/>
          <w:lang w:val="es-ES"/>
        </w:rPr>
      </w:pPr>
      <w:r w:rsidRPr="006F66B8">
        <w:rPr>
          <w:rFonts w:ascii="Arial Narrow" w:hAnsi="Arial Narrow" w:cs="Tahoma"/>
          <w:bCs/>
          <w:iCs/>
          <w:sz w:val="28"/>
          <w:szCs w:val="28"/>
          <w:lang w:val="es-ES"/>
        </w:rPr>
        <w:t xml:space="preserve">La anterior decisión queda notificada en </w:t>
      </w:r>
      <w:r w:rsidRPr="006F66B8">
        <w:rPr>
          <w:rFonts w:ascii="Arial Narrow" w:hAnsi="Arial Narrow" w:cs="Tahoma"/>
          <w:bCs/>
          <w:iCs/>
          <w:sz w:val="28"/>
          <w:szCs w:val="28"/>
          <w:u w:val="single"/>
          <w:lang w:val="es-ES"/>
        </w:rPr>
        <w:t>estrados.</w:t>
      </w:r>
    </w:p>
    <w:p w:rsidR="00217967" w:rsidRPr="006F66B8" w:rsidRDefault="00217967" w:rsidP="00217967">
      <w:pPr>
        <w:spacing w:line="360" w:lineRule="auto"/>
        <w:ind w:firstLine="900"/>
        <w:jc w:val="both"/>
        <w:rPr>
          <w:rFonts w:ascii="Arial Narrow" w:hAnsi="Arial Narrow" w:cs="Tahoma"/>
          <w:bCs/>
          <w:iCs/>
          <w:sz w:val="28"/>
          <w:szCs w:val="28"/>
          <w:lang w:val="es-ES"/>
        </w:rPr>
      </w:pPr>
    </w:p>
    <w:p w:rsidR="00217967" w:rsidRPr="006F66B8" w:rsidRDefault="006F66B8" w:rsidP="00217967">
      <w:pPr>
        <w:spacing w:line="360" w:lineRule="auto"/>
        <w:ind w:firstLine="900"/>
        <w:jc w:val="both"/>
        <w:rPr>
          <w:rFonts w:ascii="Arial Narrow" w:hAnsi="Arial Narrow" w:cs="Tahoma"/>
          <w:bCs/>
          <w:iCs/>
          <w:sz w:val="28"/>
          <w:szCs w:val="28"/>
          <w:lang w:val="es-ES"/>
        </w:rPr>
      </w:pPr>
      <w:r>
        <w:rPr>
          <w:rFonts w:ascii="Arial Narrow" w:hAnsi="Arial Narrow" w:cs="Tahoma"/>
          <w:bCs/>
          <w:iCs/>
          <w:sz w:val="28"/>
          <w:szCs w:val="28"/>
          <w:lang w:val="es-ES"/>
        </w:rPr>
        <w:t>El Magistrado Ponente</w:t>
      </w:r>
      <w:r w:rsidR="00217967" w:rsidRPr="006F66B8">
        <w:rPr>
          <w:rFonts w:ascii="Arial Narrow" w:hAnsi="Arial Narrow" w:cs="Tahoma"/>
          <w:bCs/>
          <w:iCs/>
          <w:sz w:val="28"/>
          <w:szCs w:val="28"/>
          <w:lang w:val="es-ES"/>
        </w:rPr>
        <w:t>,</w:t>
      </w:r>
    </w:p>
    <w:p w:rsidR="00217967" w:rsidRPr="006F66B8" w:rsidRDefault="00217967" w:rsidP="00217967">
      <w:pPr>
        <w:tabs>
          <w:tab w:val="center" w:pos="4420"/>
          <w:tab w:val="left" w:pos="7815"/>
        </w:tabs>
        <w:spacing w:line="360" w:lineRule="auto"/>
        <w:rPr>
          <w:rFonts w:ascii="Arial Narrow" w:hAnsi="Arial Narrow" w:cs="Tahoma"/>
          <w:bCs/>
          <w:iCs/>
          <w:sz w:val="28"/>
          <w:szCs w:val="28"/>
          <w:lang w:val="es-ES"/>
        </w:rPr>
      </w:pPr>
      <w:r w:rsidRPr="006F66B8">
        <w:rPr>
          <w:rFonts w:ascii="Arial Narrow" w:hAnsi="Arial Narrow" w:cs="Tahoma"/>
          <w:bCs/>
          <w:iCs/>
          <w:sz w:val="28"/>
          <w:szCs w:val="28"/>
          <w:lang w:val="es-ES"/>
        </w:rPr>
        <w:tab/>
      </w:r>
    </w:p>
    <w:p w:rsidR="00217967" w:rsidRPr="006F66B8" w:rsidRDefault="00217967" w:rsidP="00217967">
      <w:pPr>
        <w:tabs>
          <w:tab w:val="center" w:pos="4420"/>
          <w:tab w:val="left" w:pos="7815"/>
        </w:tabs>
        <w:spacing w:line="360" w:lineRule="auto"/>
        <w:rPr>
          <w:rFonts w:ascii="Arial Narrow" w:hAnsi="Arial Narrow" w:cs="Tahoma"/>
          <w:bCs/>
          <w:iCs/>
          <w:sz w:val="28"/>
          <w:szCs w:val="28"/>
          <w:lang w:val="es-ES"/>
        </w:rPr>
      </w:pPr>
    </w:p>
    <w:p w:rsidR="00217967" w:rsidRDefault="00217967" w:rsidP="00217967">
      <w:pPr>
        <w:tabs>
          <w:tab w:val="center" w:pos="4420"/>
          <w:tab w:val="left" w:pos="7815"/>
        </w:tabs>
        <w:spacing w:line="360" w:lineRule="auto"/>
        <w:jc w:val="center"/>
        <w:rPr>
          <w:rFonts w:ascii="Arial Narrow" w:hAnsi="Arial Narrow" w:cs="Tahoma"/>
          <w:bCs/>
          <w:iCs/>
          <w:sz w:val="28"/>
          <w:szCs w:val="28"/>
          <w:lang w:val="es-ES"/>
        </w:rPr>
      </w:pPr>
      <w:r w:rsidRPr="006F66B8">
        <w:rPr>
          <w:rFonts w:ascii="Arial Narrow" w:hAnsi="Arial Narrow" w:cs="Tahoma"/>
          <w:bCs/>
          <w:iCs/>
          <w:sz w:val="28"/>
          <w:szCs w:val="28"/>
          <w:lang w:val="es-ES"/>
        </w:rPr>
        <w:t>FRANCISCO JAVIER TAMAYO TABARES</w:t>
      </w:r>
    </w:p>
    <w:p w:rsidR="006F66B8" w:rsidRDefault="006F66B8" w:rsidP="00217967">
      <w:pPr>
        <w:tabs>
          <w:tab w:val="center" w:pos="4420"/>
          <w:tab w:val="left" w:pos="7815"/>
        </w:tabs>
        <w:spacing w:line="360" w:lineRule="auto"/>
        <w:jc w:val="center"/>
        <w:rPr>
          <w:rFonts w:ascii="Arial Narrow" w:hAnsi="Arial Narrow" w:cs="Tahoma"/>
          <w:bCs/>
          <w:iCs/>
          <w:sz w:val="28"/>
          <w:szCs w:val="28"/>
          <w:lang w:val="es-ES"/>
        </w:rPr>
      </w:pPr>
    </w:p>
    <w:p w:rsidR="006F66B8" w:rsidRDefault="006F66B8" w:rsidP="00217967">
      <w:pPr>
        <w:tabs>
          <w:tab w:val="center" w:pos="4420"/>
          <w:tab w:val="left" w:pos="7815"/>
        </w:tabs>
        <w:spacing w:line="360" w:lineRule="auto"/>
        <w:jc w:val="center"/>
        <w:rPr>
          <w:rFonts w:ascii="Arial Narrow" w:hAnsi="Arial Narrow" w:cs="Tahoma"/>
          <w:bCs/>
          <w:iCs/>
          <w:sz w:val="28"/>
          <w:szCs w:val="28"/>
          <w:lang w:val="es-ES"/>
        </w:rPr>
      </w:pPr>
    </w:p>
    <w:p w:rsidR="006F66B8" w:rsidRPr="006F66B8" w:rsidRDefault="006F66B8" w:rsidP="006F66B8">
      <w:pPr>
        <w:tabs>
          <w:tab w:val="center" w:pos="4420"/>
          <w:tab w:val="left" w:pos="7815"/>
        </w:tabs>
        <w:spacing w:line="360" w:lineRule="auto"/>
        <w:rPr>
          <w:rFonts w:ascii="Arial Narrow" w:hAnsi="Arial Narrow" w:cs="Tahoma"/>
          <w:bCs/>
          <w:iCs/>
          <w:sz w:val="28"/>
          <w:szCs w:val="28"/>
          <w:lang w:val="es-ES"/>
        </w:rPr>
      </w:pPr>
      <w:r>
        <w:rPr>
          <w:rFonts w:ascii="Arial Narrow" w:hAnsi="Arial Narrow" w:cs="Tahoma"/>
          <w:bCs/>
          <w:iCs/>
          <w:sz w:val="28"/>
          <w:szCs w:val="28"/>
          <w:lang w:val="es-ES"/>
        </w:rPr>
        <w:t>Las Magistradas</w:t>
      </w:r>
    </w:p>
    <w:p w:rsidR="00217967" w:rsidRPr="006F66B8" w:rsidRDefault="00217967" w:rsidP="00217967">
      <w:pPr>
        <w:spacing w:line="360" w:lineRule="auto"/>
        <w:jc w:val="both"/>
        <w:rPr>
          <w:rFonts w:ascii="Arial Narrow" w:hAnsi="Arial Narrow" w:cs="Tahoma"/>
          <w:bCs/>
          <w:iCs/>
          <w:sz w:val="28"/>
          <w:szCs w:val="28"/>
          <w:lang w:val="es-ES"/>
        </w:rPr>
      </w:pPr>
    </w:p>
    <w:p w:rsidR="00217967" w:rsidRPr="006F66B8" w:rsidRDefault="00217967" w:rsidP="00217967">
      <w:pPr>
        <w:spacing w:line="360" w:lineRule="auto"/>
        <w:jc w:val="both"/>
        <w:rPr>
          <w:rFonts w:ascii="Arial Narrow" w:hAnsi="Arial Narrow" w:cs="Tahoma"/>
          <w:bCs/>
          <w:iCs/>
          <w:sz w:val="28"/>
          <w:szCs w:val="28"/>
          <w:lang w:val="es-ES"/>
        </w:rPr>
      </w:pPr>
    </w:p>
    <w:p w:rsidR="006F66B8" w:rsidRDefault="00217967" w:rsidP="006F66B8">
      <w:pPr>
        <w:jc w:val="both"/>
        <w:rPr>
          <w:rFonts w:ascii="Arial Narrow" w:hAnsi="Arial Narrow" w:cs="Tahoma"/>
          <w:bCs/>
          <w:iCs/>
          <w:sz w:val="28"/>
          <w:szCs w:val="28"/>
          <w:lang w:val="es-ES"/>
        </w:rPr>
      </w:pPr>
      <w:r w:rsidRPr="006F66B8">
        <w:rPr>
          <w:rFonts w:ascii="Arial Narrow" w:hAnsi="Arial Narrow" w:cs="Tahoma"/>
          <w:bCs/>
          <w:iCs/>
          <w:sz w:val="28"/>
          <w:szCs w:val="28"/>
          <w:lang w:val="es-ES"/>
        </w:rPr>
        <w:t>OLGA LUCIA HOYOS SEPULVEDA</w:t>
      </w:r>
      <w:r w:rsidRPr="006F66B8">
        <w:rPr>
          <w:rFonts w:ascii="Arial Narrow" w:hAnsi="Arial Narrow" w:cs="Tahoma"/>
          <w:sz w:val="28"/>
          <w:szCs w:val="28"/>
          <w:lang w:val="es-ES"/>
        </w:rPr>
        <w:t xml:space="preserve"> </w:t>
      </w:r>
      <w:r w:rsidRPr="006F66B8">
        <w:rPr>
          <w:rFonts w:ascii="Arial Narrow" w:hAnsi="Arial Narrow" w:cs="Tahoma"/>
          <w:sz w:val="28"/>
          <w:szCs w:val="28"/>
          <w:lang w:val="es-ES"/>
        </w:rPr>
        <w:tab/>
      </w:r>
      <w:r w:rsidRPr="006F66B8">
        <w:rPr>
          <w:rFonts w:ascii="Arial Narrow" w:hAnsi="Arial Narrow" w:cs="Tahoma"/>
          <w:sz w:val="28"/>
          <w:szCs w:val="28"/>
          <w:lang w:val="es-ES"/>
        </w:rPr>
        <w:tab/>
      </w:r>
      <w:r w:rsidRPr="006F66B8">
        <w:rPr>
          <w:rFonts w:ascii="Arial Narrow" w:hAnsi="Arial Narrow" w:cs="Tahoma"/>
          <w:bCs/>
          <w:iCs/>
          <w:sz w:val="28"/>
          <w:szCs w:val="28"/>
          <w:lang w:val="es-ES"/>
        </w:rPr>
        <w:t xml:space="preserve">ANA LUCÍA CAICEDO CALDERÓN </w:t>
      </w:r>
      <w:r w:rsidRPr="006F66B8">
        <w:rPr>
          <w:rFonts w:ascii="Arial Narrow" w:hAnsi="Arial Narrow" w:cs="Tahoma"/>
          <w:bCs/>
          <w:iCs/>
          <w:sz w:val="28"/>
          <w:szCs w:val="28"/>
          <w:lang w:val="es-ES"/>
        </w:rPr>
        <w:tab/>
      </w:r>
      <w:r w:rsidRPr="006F66B8">
        <w:rPr>
          <w:rFonts w:ascii="Arial Narrow" w:hAnsi="Arial Narrow" w:cs="Tahoma"/>
          <w:sz w:val="28"/>
          <w:szCs w:val="28"/>
          <w:lang w:val="es-ES"/>
        </w:rPr>
        <w:t xml:space="preserve"> </w:t>
      </w:r>
      <w:r w:rsidRPr="006F66B8">
        <w:rPr>
          <w:rFonts w:ascii="Arial Narrow" w:hAnsi="Arial Narrow" w:cs="Tahoma"/>
          <w:bCs/>
          <w:iCs/>
          <w:sz w:val="28"/>
          <w:szCs w:val="28"/>
          <w:lang w:val="es-ES"/>
        </w:rPr>
        <w:t xml:space="preserve">                                                </w:t>
      </w:r>
    </w:p>
    <w:p w:rsidR="006F66B8" w:rsidRDefault="006F66B8" w:rsidP="006F66B8">
      <w:pPr>
        <w:jc w:val="both"/>
        <w:rPr>
          <w:rFonts w:ascii="Arial Narrow" w:hAnsi="Arial Narrow" w:cs="Tahoma"/>
          <w:bCs/>
          <w:iCs/>
          <w:sz w:val="28"/>
          <w:szCs w:val="28"/>
          <w:lang w:val="es-ES"/>
        </w:rPr>
      </w:pPr>
    </w:p>
    <w:p w:rsidR="00C35CA1" w:rsidRDefault="00C35CA1" w:rsidP="006F66B8">
      <w:pPr>
        <w:rPr>
          <w:sz w:val="28"/>
          <w:szCs w:val="28"/>
        </w:rPr>
      </w:pPr>
    </w:p>
    <w:p w:rsidR="00D61DDB" w:rsidRDefault="00D61DDB" w:rsidP="006F66B8">
      <w:pPr>
        <w:rPr>
          <w:sz w:val="28"/>
          <w:szCs w:val="28"/>
        </w:rPr>
      </w:pPr>
    </w:p>
    <w:p w:rsidR="00D61DDB" w:rsidRDefault="00D61DDB" w:rsidP="006F66B8">
      <w:pPr>
        <w:rPr>
          <w:sz w:val="28"/>
          <w:szCs w:val="28"/>
        </w:rPr>
      </w:pPr>
    </w:p>
    <w:p w:rsidR="00D61DDB" w:rsidRDefault="00D61DDB" w:rsidP="006F66B8">
      <w:pPr>
        <w:rPr>
          <w:sz w:val="28"/>
          <w:szCs w:val="28"/>
        </w:rPr>
      </w:pPr>
    </w:p>
    <w:p w:rsidR="00D61DDB" w:rsidRDefault="00D61DDB" w:rsidP="006F66B8">
      <w:pPr>
        <w:rPr>
          <w:sz w:val="28"/>
          <w:szCs w:val="28"/>
        </w:rPr>
      </w:pPr>
    </w:p>
    <w:p w:rsidR="00D61DDB" w:rsidRDefault="00D61DDB" w:rsidP="006F66B8">
      <w:pPr>
        <w:rPr>
          <w:sz w:val="28"/>
          <w:szCs w:val="28"/>
        </w:rPr>
      </w:pPr>
    </w:p>
    <w:p w:rsidR="00D61DDB" w:rsidRDefault="00D61DDB" w:rsidP="006F66B8">
      <w:pPr>
        <w:rPr>
          <w:sz w:val="28"/>
          <w:szCs w:val="28"/>
        </w:rPr>
      </w:pPr>
    </w:p>
    <w:p w:rsidR="00D61DDB" w:rsidRDefault="00D61DDB" w:rsidP="006F66B8">
      <w:pPr>
        <w:rPr>
          <w:sz w:val="28"/>
          <w:szCs w:val="28"/>
        </w:rPr>
      </w:pPr>
    </w:p>
    <w:p w:rsidR="00D61DDB" w:rsidRDefault="00D61DDB" w:rsidP="006F66B8">
      <w:pPr>
        <w:rPr>
          <w:sz w:val="28"/>
          <w:szCs w:val="28"/>
        </w:rPr>
      </w:pPr>
    </w:p>
    <w:p w:rsidR="00D61DDB" w:rsidRDefault="00D61DDB" w:rsidP="006F66B8">
      <w:pPr>
        <w:rPr>
          <w:sz w:val="28"/>
          <w:szCs w:val="28"/>
        </w:rPr>
      </w:pPr>
    </w:p>
    <w:p w:rsidR="00D61DDB" w:rsidRDefault="00D61DDB" w:rsidP="006F66B8">
      <w:pPr>
        <w:rPr>
          <w:sz w:val="28"/>
          <w:szCs w:val="28"/>
        </w:rPr>
      </w:pPr>
    </w:p>
    <w:p w:rsidR="00D61DDB" w:rsidRDefault="00D61DDB" w:rsidP="006F66B8">
      <w:pPr>
        <w:rPr>
          <w:sz w:val="28"/>
          <w:szCs w:val="28"/>
        </w:rPr>
      </w:pPr>
    </w:p>
    <w:p w:rsidR="00D61DDB" w:rsidRPr="00D9717C" w:rsidRDefault="00D9717C" w:rsidP="00D9717C">
      <w:pPr>
        <w:jc w:val="center"/>
        <w:rPr>
          <w:rFonts w:ascii="Arial Narrow" w:hAnsi="Arial Narrow"/>
          <w:b/>
          <w:sz w:val="28"/>
          <w:szCs w:val="28"/>
        </w:rPr>
      </w:pPr>
      <w:r w:rsidRPr="00D9717C">
        <w:rPr>
          <w:rFonts w:ascii="Arial Narrow" w:hAnsi="Arial Narrow"/>
          <w:b/>
          <w:sz w:val="28"/>
          <w:szCs w:val="28"/>
        </w:rPr>
        <w:t>LIQUIDACIÓN DE IBL</w:t>
      </w:r>
    </w:p>
    <w:p w:rsidR="00D9717C" w:rsidRDefault="00D9717C" w:rsidP="006F66B8">
      <w:pPr>
        <w:rPr>
          <w:sz w:val="28"/>
          <w:szCs w:val="28"/>
        </w:rPr>
      </w:pPr>
    </w:p>
    <w:tbl>
      <w:tblPr>
        <w:tblW w:w="9406" w:type="dxa"/>
        <w:tblInd w:w="-597" w:type="dxa"/>
        <w:tblCellMar>
          <w:left w:w="70" w:type="dxa"/>
          <w:right w:w="70" w:type="dxa"/>
        </w:tblCellMar>
        <w:tblLook w:val="04A0" w:firstRow="1" w:lastRow="0" w:firstColumn="1" w:lastColumn="0" w:noHBand="0" w:noVBand="1"/>
      </w:tblPr>
      <w:tblGrid>
        <w:gridCol w:w="1144"/>
        <w:gridCol w:w="851"/>
        <w:gridCol w:w="860"/>
        <w:gridCol w:w="688"/>
        <w:gridCol w:w="965"/>
        <w:gridCol w:w="257"/>
        <w:gridCol w:w="1566"/>
        <w:gridCol w:w="743"/>
        <w:gridCol w:w="743"/>
        <w:gridCol w:w="1589"/>
      </w:tblGrid>
      <w:tr w:rsidR="00D61DDB" w:rsidRPr="00D61DDB" w:rsidTr="00D61DDB">
        <w:trPr>
          <w:trHeight w:val="660"/>
        </w:trPr>
        <w:tc>
          <w:tcPr>
            <w:tcW w:w="1144" w:type="dxa"/>
            <w:tcBorders>
              <w:top w:val="single" w:sz="8" w:space="0" w:color="auto"/>
              <w:left w:val="single" w:sz="8" w:space="0" w:color="auto"/>
              <w:bottom w:val="single" w:sz="8" w:space="0" w:color="auto"/>
              <w:right w:val="nil"/>
            </w:tcBorders>
            <w:shd w:val="clear" w:color="000000" w:fill="FFFF99"/>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DEMANDANTE</w:t>
            </w:r>
          </w:p>
        </w:tc>
        <w:tc>
          <w:tcPr>
            <w:tcW w:w="3364" w:type="dxa"/>
            <w:gridSpan w:val="4"/>
            <w:tcBorders>
              <w:top w:val="single" w:sz="8" w:space="0" w:color="auto"/>
              <w:left w:val="nil"/>
              <w:bottom w:val="single" w:sz="8" w:space="0" w:color="auto"/>
              <w:right w:val="single" w:sz="8" w:space="0" w:color="000000"/>
            </w:tcBorders>
            <w:shd w:val="clear" w:color="000000" w:fill="FFFF99"/>
            <w:vAlign w:val="center"/>
            <w:hideMark/>
          </w:tcPr>
          <w:p w:rsidR="00D61DDB" w:rsidRPr="00D61DDB" w:rsidRDefault="00D61DDB" w:rsidP="00D61DDB">
            <w:pPr>
              <w:jc w:val="center"/>
              <w:rPr>
                <w:rFonts w:ascii="Calibri" w:hAnsi="Calibri"/>
                <w:b/>
                <w:bCs/>
                <w:i/>
                <w:iCs/>
                <w:color w:val="000000"/>
                <w:sz w:val="22"/>
                <w:szCs w:val="22"/>
                <w:lang w:val="es-ES"/>
              </w:rPr>
            </w:pPr>
            <w:r w:rsidRPr="00D61DDB">
              <w:rPr>
                <w:rFonts w:ascii="Calibri" w:hAnsi="Calibri"/>
                <w:b/>
                <w:bCs/>
                <w:i/>
                <w:iCs/>
                <w:color w:val="000000"/>
                <w:sz w:val="22"/>
                <w:szCs w:val="22"/>
                <w:lang w:val="es-ES"/>
              </w:rPr>
              <w:t xml:space="preserve">Ismael Olmedo Jiménez Ramos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jc w:val="center"/>
              <w:rPr>
                <w:rFonts w:ascii="Calibri" w:hAnsi="Calibri"/>
                <w:b/>
                <w:bCs/>
                <w:i/>
                <w:iCs/>
                <w:color w:val="000000"/>
                <w:sz w:val="22"/>
                <w:szCs w:val="22"/>
                <w:lang w:val="es-ES"/>
              </w:rPr>
            </w:pPr>
          </w:p>
        </w:tc>
        <w:tc>
          <w:tcPr>
            <w:tcW w:w="1566"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743"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743"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1589"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r>
      <w:tr w:rsidR="00D61DDB" w:rsidRPr="00D61DDB" w:rsidTr="00D61DDB">
        <w:trPr>
          <w:trHeight w:val="225"/>
        </w:trPr>
        <w:tc>
          <w:tcPr>
            <w:tcW w:w="3543" w:type="dxa"/>
            <w:gridSpan w:val="4"/>
            <w:tcBorders>
              <w:top w:val="single" w:sz="8" w:space="0" w:color="auto"/>
              <w:left w:val="single" w:sz="8" w:space="0" w:color="auto"/>
              <w:bottom w:val="single" w:sz="4" w:space="0" w:color="auto"/>
              <w:right w:val="nil"/>
            </w:tcBorders>
            <w:shd w:val="clear" w:color="000000" w:fill="FFFF99"/>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Fecha de nacimiento:</w:t>
            </w:r>
          </w:p>
        </w:tc>
        <w:tc>
          <w:tcPr>
            <w:tcW w:w="965" w:type="dxa"/>
            <w:tcBorders>
              <w:top w:val="nil"/>
              <w:left w:val="nil"/>
              <w:bottom w:val="single" w:sz="4" w:space="0" w:color="auto"/>
              <w:right w:val="single" w:sz="8" w:space="0" w:color="auto"/>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15-mar-51</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jc w:val="center"/>
              <w:rPr>
                <w:rFonts w:ascii="Calibri" w:hAnsi="Calibri"/>
                <w:i/>
                <w:iCs/>
                <w:color w:val="000000"/>
                <w:sz w:val="16"/>
                <w:szCs w:val="16"/>
                <w:lang w:val="es-ES"/>
              </w:rPr>
            </w:pPr>
          </w:p>
        </w:tc>
        <w:tc>
          <w:tcPr>
            <w:tcW w:w="1566"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743"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743"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1589"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r>
      <w:tr w:rsidR="00D61DDB" w:rsidRPr="00D61DDB" w:rsidTr="00D61DDB">
        <w:trPr>
          <w:trHeight w:val="225"/>
        </w:trPr>
        <w:tc>
          <w:tcPr>
            <w:tcW w:w="3543" w:type="dxa"/>
            <w:gridSpan w:val="4"/>
            <w:tcBorders>
              <w:top w:val="single" w:sz="4" w:space="0" w:color="auto"/>
              <w:left w:val="single" w:sz="8" w:space="0" w:color="auto"/>
              <w:bottom w:val="single" w:sz="4" w:space="0" w:color="auto"/>
              <w:right w:val="nil"/>
            </w:tcBorders>
            <w:shd w:val="clear" w:color="000000" w:fill="FFFF99"/>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Fecha reconocimiento pensión:</w:t>
            </w:r>
          </w:p>
        </w:tc>
        <w:tc>
          <w:tcPr>
            <w:tcW w:w="965" w:type="dxa"/>
            <w:tcBorders>
              <w:top w:val="nil"/>
              <w:left w:val="nil"/>
              <w:bottom w:val="single" w:sz="4" w:space="0" w:color="auto"/>
              <w:right w:val="single" w:sz="8" w:space="0" w:color="auto"/>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01/04/2013</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jc w:val="center"/>
              <w:rPr>
                <w:rFonts w:ascii="Calibri" w:hAnsi="Calibri"/>
                <w:i/>
                <w:iCs/>
                <w:color w:val="000000"/>
                <w:sz w:val="16"/>
                <w:szCs w:val="16"/>
                <w:lang w:val="es-ES"/>
              </w:rPr>
            </w:pPr>
          </w:p>
        </w:tc>
        <w:tc>
          <w:tcPr>
            <w:tcW w:w="1566" w:type="dxa"/>
            <w:tcBorders>
              <w:top w:val="nil"/>
              <w:left w:val="nil"/>
              <w:bottom w:val="nil"/>
              <w:right w:val="nil"/>
            </w:tcBorders>
            <w:shd w:val="clear" w:color="auto" w:fill="auto"/>
            <w:noWrap/>
            <w:vAlign w:val="bottom"/>
            <w:hideMark/>
          </w:tcPr>
          <w:p w:rsidR="00D61DDB" w:rsidRPr="00D61DDB" w:rsidRDefault="00D61DDB" w:rsidP="00D61DDB">
            <w:pPr>
              <w:jc w:val="center"/>
              <w:rPr>
                <w:sz w:val="20"/>
                <w:lang w:val="es-ES"/>
              </w:rPr>
            </w:pPr>
          </w:p>
        </w:tc>
        <w:tc>
          <w:tcPr>
            <w:tcW w:w="743"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743"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1589"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r>
      <w:tr w:rsidR="00D61DDB" w:rsidRPr="00D61DDB" w:rsidTr="00D61DDB">
        <w:trPr>
          <w:trHeight w:val="225"/>
        </w:trPr>
        <w:tc>
          <w:tcPr>
            <w:tcW w:w="3543" w:type="dxa"/>
            <w:gridSpan w:val="4"/>
            <w:tcBorders>
              <w:top w:val="single" w:sz="4" w:space="0" w:color="auto"/>
              <w:left w:val="single" w:sz="8" w:space="0" w:color="auto"/>
              <w:bottom w:val="single" w:sz="8" w:space="0" w:color="auto"/>
              <w:right w:val="nil"/>
            </w:tcBorders>
            <w:shd w:val="clear" w:color="000000" w:fill="FFFF99"/>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Total semanas cotizadas:</w:t>
            </w:r>
          </w:p>
        </w:tc>
        <w:tc>
          <w:tcPr>
            <w:tcW w:w="965" w:type="dxa"/>
            <w:tcBorders>
              <w:top w:val="nil"/>
              <w:left w:val="nil"/>
              <w:bottom w:val="single" w:sz="8" w:space="0" w:color="auto"/>
              <w:right w:val="single" w:sz="8" w:space="0" w:color="auto"/>
            </w:tcBorders>
            <w:shd w:val="clear" w:color="auto" w:fill="auto"/>
            <w:noWrap/>
            <w:vAlign w:val="center"/>
            <w:hideMark/>
          </w:tcPr>
          <w:p w:rsidR="00D61DDB" w:rsidRPr="00D61DDB" w:rsidRDefault="00D61DDB" w:rsidP="00D61DDB">
            <w:pPr>
              <w:jc w:val="center"/>
              <w:rPr>
                <w:rFonts w:ascii="Calibri" w:hAnsi="Calibri"/>
                <w:color w:val="000000"/>
                <w:szCs w:val="24"/>
                <w:lang w:val="es-ES"/>
              </w:rPr>
            </w:pPr>
            <w:r w:rsidRPr="00D61DDB">
              <w:rPr>
                <w:rFonts w:ascii="Calibri" w:hAnsi="Calibri"/>
                <w:color w:val="000000"/>
                <w:szCs w:val="24"/>
                <w:lang w:val="es-ES"/>
              </w:rPr>
              <w:t>514,29</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jc w:val="center"/>
              <w:rPr>
                <w:rFonts w:ascii="Calibri" w:hAnsi="Calibri"/>
                <w:color w:val="000000"/>
                <w:szCs w:val="24"/>
                <w:lang w:val="es-ES"/>
              </w:rPr>
            </w:pPr>
          </w:p>
        </w:tc>
        <w:tc>
          <w:tcPr>
            <w:tcW w:w="1566" w:type="dxa"/>
            <w:tcBorders>
              <w:top w:val="single" w:sz="4" w:space="0" w:color="auto"/>
              <w:left w:val="single" w:sz="4" w:space="0" w:color="auto"/>
              <w:bottom w:val="single" w:sz="4" w:space="0" w:color="auto"/>
              <w:right w:val="nil"/>
            </w:tcBorders>
            <w:shd w:val="clear" w:color="000000" w:fill="FFFF99"/>
            <w:noWrap/>
            <w:vAlign w:val="center"/>
            <w:hideMark/>
          </w:tcPr>
          <w:p w:rsidR="00D61DDB" w:rsidRPr="00D61DDB" w:rsidRDefault="00D61DDB" w:rsidP="00D61DDB">
            <w:pPr>
              <w:jc w:val="right"/>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Tasa Ley 100/93: </w:t>
            </w:r>
          </w:p>
        </w:tc>
        <w:tc>
          <w:tcPr>
            <w:tcW w:w="743" w:type="dxa"/>
            <w:tcBorders>
              <w:top w:val="single" w:sz="4" w:space="0" w:color="auto"/>
              <w:left w:val="nil"/>
              <w:bottom w:val="single" w:sz="4" w:space="0" w:color="auto"/>
              <w:right w:val="nil"/>
            </w:tcBorders>
            <w:shd w:val="clear" w:color="auto" w:fill="auto"/>
            <w:noWrap/>
            <w:vAlign w:val="center"/>
            <w:hideMark/>
          </w:tcPr>
          <w:p w:rsidR="00D61DDB" w:rsidRPr="00D61DDB" w:rsidRDefault="00D61DDB" w:rsidP="00D61DDB">
            <w:pPr>
              <w:jc w:val="center"/>
              <w:rPr>
                <w:rFonts w:ascii="Calibri" w:hAnsi="Calibri"/>
                <w:b/>
                <w:bCs/>
                <w:color w:val="000000"/>
                <w:sz w:val="16"/>
                <w:szCs w:val="16"/>
                <w:lang w:val="es-ES"/>
              </w:rPr>
            </w:pPr>
            <w:r w:rsidRPr="00D61DDB">
              <w:rPr>
                <w:rFonts w:ascii="Calibri" w:hAnsi="Calibri"/>
                <w:b/>
                <w:bCs/>
                <w:color w:val="000000"/>
                <w:sz w:val="16"/>
                <w:szCs w:val="16"/>
                <w:lang w:val="es-ES"/>
              </w:rPr>
              <w:t>NO</w:t>
            </w:r>
          </w:p>
        </w:tc>
        <w:tc>
          <w:tcPr>
            <w:tcW w:w="743" w:type="dxa"/>
            <w:tcBorders>
              <w:top w:val="single" w:sz="4" w:space="0" w:color="auto"/>
              <w:left w:val="single" w:sz="4" w:space="0" w:color="808000"/>
              <w:bottom w:val="single" w:sz="4" w:space="0" w:color="auto"/>
              <w:right w:val="nil"/>
            </w:tcBorders>
            <w:shd w:val="clear" w:color="000000" w:fill="FFFF99"/>
            <w:noWrap/>
            <w:vAlign w:val="center"/>
            <w:hideMark/>
          </w:tcPr>
          <w:p w:rsidR="00D61DDB" w:rsidRPr="00D61DDB" w:rsidRDefault="00D61DDB" w:rsidP="00D61DDB">
            <w:pPr>
              <w:jc w:val="center"/>
              <w:rPr>
                <w:rFonts w:ascii="Calibri" w:hAnsi="Calibri"/>
                <w:b/>
                <w:bCs/>
                <w:i/>
                <w:iCs/>
                <w:color w:val="000000"/>
                <w:sz w:val="16"/>
                <w:szCs w:val="16"/>
                <w:lang w:val="es-ES"/>
              </w:rPr>
            </w:pPr>
            <w:r w:rsidRPr="00D61DDB">
              <w:rPr>
                <w:rFonts w:ascii="Calibri" w:hAnsi="Calibri"/>
                <w:b/>
                <w:bCs/>
                <w:i/>
                <w:iCs/>
                <w:color w:val="000000"/>
                <w:sz w:val="16"/>
                <w:szCs w:val="16"/>
                <w:lang w:val="es-ES"/>
              </w:rPr>
              <w:t>75,00%</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D61DDB" w:rsidRPr="00D61DDB" w:rsidRDefault="00D61DDB" w:rsidP="00D61DDB">
            <w:pPr>
              <w:rPr>
                <w:rFonts w:ascii="Calibri" w:hAnsi="Calibri"/>
                <w:i/>
                <w:iCs/>
                <w:color w:val="000000"/>
                <w:szCs w:val="24"/>
                <w:lang w:val="es-ES"/>
              </w:rPr>
            </w:pPr>
            <w:bookmarkStart w:id="1" w:name="RANGE!J5"/>
            <w:r w:rsidRPr="00D61DDB">
              <w:rPr>
                <w:rFonts w:ascii="Calibri" w:hAnsi="Calibri"/>
                <w:i/>
                <w:iCs/>
                <w:color w:val="000000"/>
                <w:szCs w:val="24"/>
                <w:lang w:val="es-ES"/>
              </w:rPr>
              <w:t> </w:t>
            </w:r>
            <w:bookmarkEnd w:id="1"/>
          </w:p>
        </w:tc>
      </w:tr>
      <w:tr w:rsidR="00D61DDB" w:rsidRPr="00D61DDB" w:rsidTr="00D61DDB">
        <w:trPr>
          <w:trHeight w:val="45"/>
        </w:trPr>
        <w:tc>
          <w:tcPr>
            <w:tcW w:w="1144"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Cs w:val="24"/>
                <w:lang w:val="es-ES"/>
              </w:rPr>
            </w:pPr>
          </w:p>
        </w:tc>
        <w:tc>
          <w:tcPr>
            <w:tcW w:w="851"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860"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688"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965"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1566" w:type="dxa"/>
            <w:tcBorders>
              <w:top w:val="nil"/>
              <w:left w:val="single" w:sz="4" w:space="0" w:color="auto"/>
              <w:bottom w:val="nil"/>
              <w:right w:val="nil"/>
            </w:tcBorders>
            <w:shd w:val="clear" w:color="auto" w:fill="auto"/>
            <w:noWrap/>
            <w:vAlign w:val="bottom"/>
            <w:hideMark/>
          </w:tcPr>
          <w:p w:rsidR="00D61DDB" w:rsidRPr="00D61DDB" w:rsidRDefault="00D61DDB" w:rsidP="00D61DDB">
            <w:pPr>
              <w:rPr>
                <w:rFonts w:ascii="Calibri" w:hAnsi="Calibri"/>
                <w:i/>
                <w:iCs/>
                <w:color w:val="000000"/>
                <w:szCs w:val="24"/>
                <w:lang w:val="es-ES"/>
              </w:rPr>
            </w:pPr>
            <w:r w:rsidRPr="00D61DDB">
              <w:rPr>
                <w:rFonts w:ascii="Calibri" w:hAnsi="Calibri"/>
                <w:i/>
                <w:iCs/>
                <w:color w:val="000000"/>
                <w:szCs w:val="24"/>
                <w:lang w:val="es-ES"/>
              </w:rPr>
              <w:t> </w:t>
            </w:r>
          </w:p>
        </w:tc>
        <w:tc>
          <w:tcPr>
            <w:tcW w:w="743"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Cs w:val="24"/>
                <w:lang w:val="es-ES"/>
              </w:rPr>
            </w:pPr>
          </w:p>
        </w:tc>
        <w:tc>
          <w:tcPr>
            <w:tcW w:w="743"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1589" w:type="dxa"/>
            <w:tcBorders>
              <w:top w:val="nil"/>
              <w:left w:val="nil"/>
              <w:bottom w:val="nil"/>
              <w:right w:val="single" w:sz="4" w:space="0" w:color="auto"/>
            </w:tcBorders>
            <w:shd w:val="clear" w:color="auto" w:fill="auto"/>
            <w:noWrap/>
            <w:vAlign w:val="bottom"/>
            <w:hideMark/>
          </w:tcPr>
          <w:p w:rsidR="00D61DDB" w:rsidRPr="00D61DDB" w:rsidRDefault="00D61DDB" w:rsidP="00D61DDB">
            <w:pPr>
              <w:rPr>
                <w:rFonts w:ascii="Calibri" w:hAnsi="Calibri"/>
                <w:i/>
                <w:iCs/>
                <w:color w:val="000000"/>
                <w:szCs w:val="24"/>
                <w:lang w:val="es-ES"/>
              </w:rPr>
            </w:pPr>
            <w:r w:rsidRPr="00D61DDB">
              <w:rPr>
                <w:rFonts w:ascii="Calibri" w:hAnsi="Calibri"/>
                <w:i/>
                <w:iCs/>
                <w:color w:val="000000"/>
                <w:szCs w:val="24"/>
                <w:lang w:val="es-ES"/>
              </w:rPr>
              <w:t> </w:t>
            </w:r>
          </w:p>
        </w:tc>
      </w:tr>
      <w:tr w:rsidR="00D61DDB" w:rsidRPr="00D61DDB" w:rsidTr="00D61DDB">
        <w:trPr>
          <w:trHeight w:val="435"/>
        </w:trPr>
        <w:tc>
          <w:tcPr>
            <w:tcW w:w="4508" w:type="dxa"/>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rsidR="00D61DDB" w:rsidRPr="00D61DDB" w:rsidRDefault="00D61DDB" w:rsidP="00D61DDB">
            <w:pPr>
              <w:jc w:val="center"/>
              <w:rPr>
                <w:rFonts w:ascii="Calibri" w:hAnsi="Calibri"/>
                <w:b/>
                <w:bCs/>
                <w:i/>
                <w:iCs/>
                <w:color w:val="000000"/>
                <w:sz w:val="16"/>
                <w:szCs w:val="16"/>
                <w:lang w:val="es-ES"/>
              </w:rPr>
            </w:pPr>
            <w:r w:rsidRPr="00D61DDB">
              <w:rPr>
                <w:rFonts w:ascii="Calibri" w:hAnsi="Calibri"/>
                <w:b/>
                <w:bCs/>
                <w:i/>
                <w:iCs/>
                <w:color w:val="000000"/>
                <w:sz w:val="16"/>
                <w:szCs w:val="16"/>
                <w:lang w:val="es-ES"/>
              </w:rPr>
              <w:t>HISTORIA LABORAL DEL AFILIADO</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jc w:val="center"/>
              <w:rPr>
                <w:rFonts w:ascii="Calibri" w:hAnsi="Calibri"/>
                <w:b/>
                <w:bCs/>
                <w:i/>
                <w:iCs/>
                <w:color w:val="000000"/>
                <w:sz w:val="16"/>
                <w:szCs w:val="16"/>
                <w:lang w:val="es-ES"/>
              </w:rPr>
            </w:pPr>
          </w:p>
        </w:tc>
        <w:tc>
          <w:tcPr>
            <w:tcW w:w="1566" w:type="dxa"/>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rsidR="00D61DDB" w:rsidRPr="00D61DDB" w:rsidRDefault="00D61DDB" w:rsidP="00D61DDB">
            <w:pPr>
              <w:jc w:val="center"/>
              <w:rPr>
                <w:rFonts w:ascii="Calibri" w:hAnsi="Calibri"/>
                <w:b/>
                <w:bCs/>
                <w:i/>
                <w:iCs/>
                <w:color w:val="000000"/>
                <w:sz w:val="16"/>
                <w:szCs w:val="16"/>
                <w:lang w:val="es-ES"/>
              </w:rPr>
            </w:pPr>
            <w:r w:rsidRPr="00D61DDB">
              <w:rPr>
                <w:rFonts w:ascii="Calibri" w:hAnsi="Calibri"/>
                <w:b/>
                <w:bCs/>
                <w:i/>
                <w:iCs/>
                <w:color w:val="000000"/>
                <w:sz w:val="16"/>
                <w:szCs w:val="16"/>
                <w:lang w:val="es-ES"/>
              </w:rPr>
              <w:t>Ingreso Base de cotización actualizado</w:t>
            </w:r>
          </w:p>
        </w:tc>
        <w:tc>
          <w:tcPr>
            <w:tcW w:w="1486" w:type="dxa"/>
            <w:gridSpan w:val="2"/>
            <w:tcBorders>
              <w:top w:val="single" w:sz="4" w:space="0" w:color="auto"/>
              <w:left w:val="nil"/>
              <w:bottom w:val="single" w:sz="4" w:space="0" w:color="808000"/>
              <w:right w:val="nil"/>
            </w:tcBorders>
            <w:shd w:val="clear" w:color="000000" w:fill="FFFF99"/>
            <w:vAlign w:val="center"/>
            <w:hideMark/>
          </w:tcPr>
          <w:p w:rsidR="00D61DDB" w:rsidRPr="00D61DDB" w:rsidRDefault="00D61DDB" w:rsidP="00D61DDB">
            <w:pPr>
              <w:jc w:val="cente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IPC </w:t>
            </w:r>
            <w:proofErr w:type="spellStart"/>
            <w:r w:rsidRPr="00D61DDB">
              <w:rPr>
                <w:rFonts w:ascii="Calibri" w:hAnsi="Calibri"/>
                <w:b/>
                <w:bCs/>
                <w:i/>
                <w:iCs/>
                <w:color w:val="000000"/>
                <w:sz w:val="16"/>
                <w:szCs w:val="16"/>
                <w:lang w:val="es-ES"/>
              </w:rPr>
              <w:t>Dane</w:t>
            </w:r>
            <w:proofErr w:type="spellEnd"/>
            <w:r w:rsidRPr="00D61DDB">
              <w:rPr>
                <w:rFonts w:ascii="Calibri" w:hAnsi="Calibri"/>
                <w:b/>
                <w:bCs/>
                <w:i/>
                <w:iCs/>
                <w:color w:val="000000"/>
                <w:sz w:val="16"/>
                <w:szCs w:val="16"/>
                <w:lang w:val="es-ES"/>
              </w:rPr>
              <w:t xml:space="preserve">                                    (serie de empalme)</w:t>
            </w:r>
          </w:p>
        </w:tc>
        <w:tc>
          <w:tcPr>
            <w:tcW w:w="1589" w:type="dxa"/>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D61DDB" w:rsidRPr="00D61DDB" w:rsidRDefault="00D61DDB" w:rsidP="00D61DDB">
            <w:pPr>
              <w:jc w:val="center"/>
              <w:rPr>
                <w:rFonts w:ascii="Calibri" w:hAnsi="Calibri"/>
                <w:b/>
                <w:bCs/>
                <w:i/>
                <w:iCs/>
                <w:color w:val="000000"/>
                <w:sz w:val="20"/>
                <w:lang w:val="es-ES"/>
              </w:rPr>
            </w:pPr>
            <w:r w:rsidRPr="00D61DDB">
              <w:rPr>
                <w:rFonts w:ascii="Calibri" w:hAnsi="Calibri"/>
                <w:b/>
                <w:bCs/>
                <w:i/>
                <w:iCs/>
                <w:color w:val="000000"/>
                <w:sz w:val="20"/>
                <w:lang w:val="es-ES"/>
              </w:rPr>
              <w:t>Promedio Salarial        (</w:t>
            </w:r>
            <w:proofErr w:type="spellStart"/>
            <w:r w:rsidRPr="00D61DDB">
              <w:rPr>
                <w:rFonts w:ascii="Calibri" w:hAnsi="Calibri"/>
                <w:b/>
                <w:bCs/>
                <w:i/>
                <w:iCs/>
                <w:color w:val="000000"/>
                <w:sz w:val="20"/>
                <w:lang w:val="es-ES"/>
              </w:rPr>
              <w:t>Dias</w:t>
            </w:r>
            <w:proofErr w:type="spellEnd"/>
            <w:r w:rsidRPr="00D61DDB">
              <w:rPr>
                <w:rFonts w:ascii="Calibri" w:hAnsi="Calibri"/>
                <w:b/>
                <w:bCs/>
                <w:i/>
                <w:iCs/>
                <w:color w:val="000000"/>
                <w:sz w:val="20"/>
                <w:lang w:val="es-ES"/>
              </w:rPr>
              <w:t xml:space="preserve"> x </w:t>
            </w:r>
            <w:proofErr w:type="spellStart"/>
            <w:r w:rsidRPr="00D61DDB">
              <w:rPr>
                <w:rFonts w:ascii="Calibri" w:hAnsi="Calibri"/>
                <w:b/>
                <w:bCs/>
                <w:i/>
                <w:iCs/>
                <w:color w:val="000000"/>
                <w:sz w:val="20"/>
                <w:lang w:val="es-ES"/>
              </w:rPr>
              <w:t>IBC</w:t>
            </w:r>
            <w:proofErr w:type="spellEnd"/>
            <w:r w:rsidRPr="00D61DDB">
              <w:rPr>
                <w:rFonts w:ascii="Calibri" w:hAnsi="Calibri"/>
                <w:b/>
                <w:bCs/>
                <w:i/>
                <w:iCs/>
                <w:color w:val="000000"/>
                <w:sz w:val="20"/>
                <w:lang w:val="es-ES"/>
              </w:rPr>
              <w:t xml:space="preserve"> actualizado/total </w:t>
            </w:r>
            <w:proofErr w:type="spellStart"/>
            <w:r w:rsidRPr="00D61DDB">
              <w:rPr>
                <w:rFonts w:ascii="Calibri" w:hAnsi="Calibri"/>
                <w:b/>
                <w:bCs/>
                <w:i/>
                <w:iCs/>
                <w:color w:val="000000"/>
                <w:sz w:val="20"/>
                <w:lang w:val="es-ES"/>
              </w:rPr>
              <w:t>dias</w:t>
            </w:r>
            <w:proofErr w:type="spellEnd"/>
            <w:r w:rsidRPr="00D61DDB">
              <w:rPr>
                <w:rFonts w:ascii="Calibri" w:hAnsi="Calibri"/>
                <w:b/>
                <w:bCs/>
                <w:i/>
                <w:iCs/>
                <w:color w:val="000000"/>
                <w:sz w:val="20"/>
                <w:lang w:val="es-ES"/>
              </w:rPr>
              <w:t>)</w:t>
            </w:r>
          </w:p>
        </w:tc>
      </w:tr>
      <w:tr w:rsidR="00D61DDB" w:rsidRPr="00D61DDB" w:rsidTr="00D61DDB">
        <w:trPr>
          <w:trHeight w:val="315"/>
        </w:trPr>
        <w:tc>
          <w:tcPr>
            <w:tcW w:w="2855" w:type="dxa"/>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D61DDB" w:rsidRPr="00D61DDB" w:rsidRDefault="00D61DDB" w:rsidP="00D61DDB">
            <w:pPr>
              <w:jc w:val="center"/>
              <w:rPr>
                <w:rFonts w:ascii="Calibri" w:hAnsi="Calibri"/>
                <w:b/>
                <w:bCs/>
                <w:i/>
                <w:iCs/>
                <w:color w:val="000000"/>
                <w:sz w:val="16"/>
                <w:szCs w:val="16"/>
                <w:lang w:val="es-ES"/>
              </w:rPr>
            </w:pPr>
            <w:r w:rsidRPr="00D61DDB">
              <w:rPr>
                <w:rFonts w:ascii="Calibri" w:hAnsi="Calibri"/>
                <w:b/>
                <w:bCs/>
                <w:i/>
                <w:iCs/>
                <w:color w:val="000000"/>
                <w:sz w:val="16"/>
                <w:szCs w:val="16"/>
                <w:lang w:val="es-ES"/>
              </w:rPr>
              <w:t>Fechas de aporte</w:t>
            </w:r>
          </w:p>
        </w:tc>
        <w:tc>
          <w:tcPr>
            <w:tcW w:w="688"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D61DDB" w:rsidRPr="00D61DDB" w:rsidRDefault="00D61DDB" w:rsidP="00D61DDB">
            <w:pPr>
              <w:jc w:val="center"/>
              <w:rPr>
                <w:rFonts w:ascii="Calibri" w:hAnsi="Calibri"/>
                <w:b/>
                <w:bCs/>
                <w:i/>
                <w:iCs/>
                <w:color w:val="000000"/>
                <w:sz w:val="16"/>
                <w:szCs w:val="16"/>
                <w:lang w:val="es-ES"/>
              </w:rPr>
            </w:pPr>
            <w:r w:rsidRPr="00D61DDB">
              <w:rPr>
                <w:rFonts w:ascii="Calibri" w:hAnsi="Calibri"/>
                <w:b/>
                <w:bCs/>
                <w:i/>
                <w:iCs/>
                <w:color w:val="000000"/>
                <w:sz w:val="16"/>
                <w:szCs w:val="16"/>
                <w:lang w:val="es-ES"/>
              </w:rPr>
              <w:t>Número de días</w:t>
            </w:r>
          </w:p>
        </w:tc>
        <w:tc>
          <w:tcPr>
            <w:tcW w:w="965"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D61DDB" w:rsidRPr="00D61DDB" w:rsidRDefault="00D61DDB" w:rsidP="00D61DDB">
            <w:pPr>
              <w:jc w:val="center"/>
              <w:rPr>
                <w:rFonts w:ascii="Calibri" w:hAnsi="Calibri"/>
                <w:b/>
                <w:bCs/>
                <w:i/>
                <w:iCs/>
                <w:color w:val="000000"/>
                <w:sz w:val="16"/>
                <w:szCs w:val="16"/>
                <w:lang w:val="es-ES"/>
              </w:rPr>
            </w:pPr>
            <w:r w:rsidRPr="00D61DDB">
              <w:rPr>
                <w:rFonts w:ascii="Calibri" w:hAnsi="Calibri"/>
                <w:b/>
                <w:bCs/>
                <w:i/>
                <w:iCs/>
                <w:color w:val="000000"/>
                <w:sz w:val="16"/>
                <w:szCs w:val="16"/>
                <w:lang w:val="es-ES"/>
              </w:rPr>
              <w:t>Ingreso Base de Cotización</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jc w:val="center"/>
              <w:rPr>
                <w:rFonts w:ascii="Calibri" w:hAnsi="Calibri"/>
                <w:b/>
                <w:bCs/>
                <w:i/>
                <w:iCs/>
                <w:color w:val="000000"/>
                <w:sz w:val="16"/>
                <w:szCs w:val="16"/>
                <w:lang w:val="es-ES"/>
              </w:rPr>
            </w:pPr>
          </w:p>
        </w:tc>
        <w:tc>
          <w:tcPr>
            <w:tcW w:w="1566" w:type="dxa"/>
            <w:vMerge/>
            <w:tcBorders>
              <w:top w:val="single" w:sz="4" w:space="0" w:color="auto"/>
              <w:left w:val="single" w:sz="4" w:space="0" w:color="auto"/>
              <w:bottom w:val="single" w:sz="8" w:space="0" w:color="000000"/>
              <w:right w:val="single" w:sz="4" w:space="0" w:color="808000"/>
            </w:tcBorders>
            <w:vAlign w:val="center"/>
            <w:hideMark/>
          </w:tcPr>
          <w:p w:rsidR="00D61DDB" w:rsidRPr="00D61DDB" w:rsidRDefault="00D61DDB" w:rsidP="00D61DDB">
            <w:pPr>
              <w:rPr>
                <w:rFonts w:ascii="Calibri" w:hAnsi="Calibri"/>
                <w:b/>
                <w:bCs/>
                <w:i/>
                <w:iCs/>
                <w:color w:val="000000"/>
                <w:sz w:val="16"/>
                <w:szCs w:val="16"/>
                <w:lang w:val="es-ES"/>
              </w:rPr>
            </w:pPr>
          </w:p>
        </w:tc>
        <w:tc>
          <w:tcPr>
            <w:tcW w:w="743"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D61DDB" w:rsidRPr="00D61DDB" w:rsidRDefault="00D61DDB" w:rsidP="00D61DDB">
            <w:pPr>
              <w:jc w:val="center"/>
              <w:rPr>
                <w:rFonts w:ascii="Calibri" w:hAnsi="Calibri"/>
                <w:b/>
                <w:bCs/>
                <w:i/>
                <w:iCs/>
                <w:color w:val="000000"/>
                <w:sz w:val="16"/>
                <w:szCs w:val="16"/>
                <w:lang w:val="es-ES"/>
              </w:rPr>
            </w:pPr>
            <w:r w:rsidRPr="00D61DDB">
              <w:rPr>
                <w:rFonts w:ascii="Calibri" w:hAnsi="Calibri"/>
                <w:b/>
                <w:bCs/>
                <w:i/>
                <w:iCs/>
                <w:color w:val="000000"/>
                <w:sz w:val="16"/>
                <w:szCs w:val="16"/>
                <w:lang w:val="es-ES"/>
              </w:rPr>
              <w:t>IPC Final</w:t>
            </w:r>
          </w:p>
        </w:tc>
        <w:tc>
          <w:tcPr>
            <w:tcW w:w="743"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D61DDB" w:rsidRPr="00D61DDB" w:rsidRDefault="00D61DDB" w:rsidP="00D61DDB">
            <w:pPr>
              <w:jc w:val="center"/>
              <w:rPr>
                <w:rFonts w:ascii="Calibri" w:hAnsi="Calibri"/>
                <w:b/>
                <w:bCs/>
                <w:i/>
                <w:iCs/>
                <w:color w:val="000000"/>
                <w:sz w:val="16"/>
                <w:szCs w:val="16"/>
                <w:lang w:val="es-ES"/>
              </w:rPr>
            </w:pPr>
            <w:r w:rsidRPr="00D61DDB">
              <w:rPr>
                <w:rFonts w:ascii="Calibri" w:hAnsi="Calibri"/>
                <w:b/>
                <w:bCs/>
                <w:i/>
                <w:iCs/>
                <w:color w:val="000000"/>
                <w:sz w:val="16"/>
                <w:szCs w:val="16"/>
                <w:lang w:val="es-ES"/>
              </w:rPr>
              <w:t>IPC Inicial</w:t>
            </w:r>
          </w:p>
        </w:tc>
        <w:tc>
          <w:tcPr>
            <w:tcW w:w="1589" w:type="dxa"/>
            <w:vMerge/>
            <w:tcBorders>
              <w:top w:val="single" w:sz="4" w:space="0" w:color="auto"/>
              <w:left w:val="single" w:sz="4" w:space="0" w:color="808000"/>
              <w:bottom w:val="single" w:sz="8" w:space="0" w:color="000000"/>
              <w:right w:val="single" w:sz="4" w:space="0" w:color="auto"/>
            </w:tcBorders>
            <w:vAlign w:val="center"/>
            <w:hideMark/>
          </w:tcPr>
          <w:p w:rsidR="00D61DDB" w:rsidRPr="00D61DDB" w:rsidRDefault="00D61DDB" w:rsidP="00D61DDB">
            <w:pPr>
              <w:rPr>
                <w:rFonts w:ascii="Calibri" w:hAnsi="Calibri"/>
                <w:b/>
                <w:bCs/>
                <w:i/>
                <w:iCs/>
                <w:color w:val="000000"/>
                <w:sz w:val="20"/>
                <w:lang w:val="es-ES"/>
              </w:rPr>
            </w:pPr>
          </w:p>
        </w:tc>
      </w:tr>
      <w:tr w:rsidR="00D61DDB" w:rsidRPr="00D61DDB" w:rsidTr="00D61DDB">
        <w:trPr>
          <w:trHeight w:val="495"/>
        </w:trPr>
        <w:tc>
          <w:tcPr>
            <w:tcW w:w="1144" w:type="dxa"/>
            <w:tcBorders>
              <w:top w:val="nil"/>
              <w:left w:val="single" w:sz="8" w:space="0" w:color="auto"/>
              <w:bottom w:val="single" w:sz="8" w:space="0" w:color="auto"/>
              <w:right w:val="single" w:sz="4" w:space="0" w:color="808000"/>
            </w:tcBorders>
            <w:shd w:val="clear" w:color="000000" w:fill="FFFF99"/>
            <w:noWrap/>
            <w:vAlign w:val="center"/>
            <w:hideMark/>
          </w:tcPr>
          <w:p w:rsidR="00D61DDB" w:rsidRPr="00D61DDB" w:rsidRDefault="00D61DDB" w:rsidP="00D61DDB">
            <w:pPr>
              <w:jc w:val="center"/>
              <w:rPr>
                <w:rFonts w:ascii="Calibri" w:hAnsi="Calibri"/>
                <w:b/>
                <w:bCs/>
                <w:i/>
                <w:iCs/>
                <w:color w:val="000000"/>
                <w:sz w:val="16"/>
                <w:szCs w:val="16"/>
                <w:lang w:val="es-ES"/>
              </w:rPr>
            </w:pPr>
            <w:r w:rsidRPr="00D61DDB">
              <w:rPr>
                <w:rFonts w:ascii="Calibri" w:hAnsi="Calibri"/>
                <w:b/>
                <w:bCs/>
                <w:i/>
                <w:iCs/>
                <w:color w:val="000000"/>
                <w:sz w:val="16"/>
                <w:szCs w:val="16"/>
                <w:lang w:val="es-ES"/>
              </w:rPr>
              <w:t>Empleador</w:t>
            </w:r>
          </w:p>
        </w:tc>
        <w:tc>
          <w:tcPr>
            <w:tcW w:w="851" w:type="dxa"/>
            <w:tcBorders>
              <w:top w:val="nil"/>
              <w:left w:val="nil"/>
              <w:bottom w:val="single" w:sz="8" w:space="0" w:color="auto"/>
              <w:right w:val="single" w:sz="4" w:space="0" w:color="808000"/>
            </w:tcBorders>
            <w:shd w:val="clear" w:color="000000" w:fill="FFFF99"/>
            <w:noWrap/>
            <w:vAlign w:val="center"/>
            <w:hideMark/>
          </w:tcPr>
          <w:p w:rsidR="00D61DDB" w:rsidRPr="00D61DDB" w:rsidRDefault="00D61DDB" w:rsidP="00D61DDB">
            <w:pPr>
              <w:jc w:val="center"/>
              <w:rPr>
                <w:rFonts w:ascii="Calibri" w:hAnsi="Calibri"/>
                <w:b/>
                <w:bCs/>
                <w:i/>
                <w:iCs/>
                <w:color w:val="000000"/>
                <w:sz w:val="16"/>
                <w:szCs w:val="16"/>
                <w:lang w:val="es-ES"/>
              </w:rPr>
            </w:pPr>
            <w:r w:rsidRPr="00D61DDB">
              <w:rPr>
                <w:rFonts w:ascii="Calibri" w:hAnsi="Calibri"/>
                <w:b/>
                <w:bCs/>
                <w:i/>
                <w:iCs/>
                <w:color w:val="000000"/>
                <w:sz w:val="16"/>
                <w:szCs w:val="16"/>
                <w:lang w:val="es-ES"/>
              </w:rPr>
              <w:t>Desde</w:t>
            </w:r>
          </w:p>
        </w:tc>
        <w:tc>
          <w:tcPr>
            <w:tcW w:w="860" w:type="dxa"/>
            <w:tcBorders>
              <w:top w:val="nil"/>
              <w:left w:val="nil"/>
              <w:bottom w:val="single" w:sz="8" w:space="0" w:color="auto"/>
              <w:right w:val="single" w:sz="4" w:space="0" w:color="808000"/>
            </w:tcBorders>
            <w:shd w:val="clear" w:color="000000" w:fill="FFFF99"/>
            <w:noWrap/>
            <w:vAlign w:val="center"/>
            <w:hideMark/>
          </w:tcPr>
          <w:p w:rsidR="00D61DDB" w:rsidRPr="00D61DDB" w:rsidRDefault="00D61DDB" w:rsidP="00D61DDB">
            <w:pPr>
              <w:jc w:val="center"/>
              <w:rPr>
                <w:rFonts w:ascii="Calibri" w:hAnsi="Calibri"/>
                <w:b/>
                <w:bCs/>
                <w:i/>
                <w:iCs/>
                <w:color w:val="000000"/>
                <w:sz w:val="16"/>
                <w:szCs w:val="16"/>
                <w:lang w:val="es-ES"/>
              </w:rPr>
            </w:pPr>
            <w:r w:rsidRPr="00D61DDB">
              <w:rPr>
                <w:rFonts w:ascii="Calibri" w:hAnsi="Calibri"/>
                <w:b/>
                <w:bCs/>
                <w:i/>
                <w:iCs/>
                <w:color w:val="000000"/>
                <w:sz w:val="16"/>
                <w:szCs w:val="16"/>
                <w:lang w:val="es-ES"/>
              </w:rPr>
              <w:t>Hasta</w:t>
            </w:r>
          </w:p>
        </w:tc>
        <w:tc>
          <w:tcPr>
            <w:tcW w:w="688" w:type="dxa"/>
            <w:vMerge/>
            <w:tcBorders>
              <w:top w:val="nil"/>
              <w:left w:val="single" w:sz="4" w:space="0" w:color="808000"/>
              <w:bottom w:val="single" w:sz="8" w:space="0" w:color="000000"/>
              <w:right w:val="single" w:sz="4" w:space="0" w:color="808000"/>
            </w:tcBorders>
            <w:vAlign w:val="center"/>
            <w:hideMark/>
          </w:tcPr>
          <w:p w:rsidR="00D61DDB" w:rsidRPr="00D61DDB" w:rsidRDefault="00D61DDB" w:rsidP="00D61DDB">
            <w:pPr>
              <w:rPr>
                <w:rFonts w:ascii="Calibri" w:hAnsi="Calibri"/>
                <w:b/>
                <w:bCs/>
                <w:i/>
                <w:iCs/>
                <w:color w:val="000000"/>
                <w:sz w:val="16"/>
                <w:szCs w:val="16"/>
                <w:lang w:val="es-ES"/>
              </w:rPr>
            </w:pPr>
          </w:p>
        </w:tc>
        <w:tc>
          <w:tcPr>
            <w:tcW w:w="965" w:type="dxa"/>
            <w:vMerge/>
            <w:tcBorders>
              <w:top w:val="nil"/>
              <w:left w:val="single" w:sz="4" w:space="0" w:color="808000"/>
              <w:bottom w:val="single" w:sz="8" w:space="0" w:color="000000"/>
              <w:right w:val="single" w:sz="8" w:space="0" w:color="auto"/>
            </w:tcBorders>
            <w:vAlign w:val="center"/>
            <w:hideMark/>
          </w:tcPr>
          <w:p w:rsidR="00D61DDB" w:rsidRPr="00D61DDB" w:rsidRDefault="00D61DDB" w:rsidP="00D61DDB">
            <w:pPr>
              <w:rPr>
                <w:rFonts w:ascii="Calibri" w:hAnsi="Calibri"/>
                <w:b/>
                <w:bCs/>
                <w:i/>
                <w:iCs/>
                <w:color w:val="000000"/>
                <w:sz w:val="16"/>
                <w:szCs w:val="16"/>
                <w:lang w:val="es-ES"/>
              </w:rPr>
            </w:pPr>
          </w:p>
        </w:tc>
        <w:tc>
          <w:tcPr>
            <w:tcW w:w="257" w:type="dxa"/>
            <w:tcBorders>
              <w:top w:val="nil"/>
              <w:left w:val="nil"/>
              <w:bottom w:val="nil"/>
              <w:right w:val="nil"/>
            </w:tcBorders>
            <w:shd w:val="clear" w:color="auto" w:fill="auto"/>
            <w:noWrap/>
            <w:vAlign w:val="bottom"/>
            <w:hideMark/>
          </w:tcPr>
          <w:p w:rsidR="00D61DDB" w:rsidRPr="00D61DDB" w:rsidRDefault="00D61DDB" w:rsidP="00D61DDB">
            <w:pPr>
              <w:jc w:val="center"/>
              <w:rPr>
                <w:rFonts w:ascii="Calibri" w:hAnsi="Calibri"/>
                <w:b/>
                <w:bCs/>
                <w:i/>
                <w:iCs/>
                <w:color w:val="000000"/>
                <w:sz w:val="16"/>
                <w:szCs w:val="16"/>
                <w:lang w:val="es-ES"/>
              </w:rPr>
            </w:pPr>
          </w:p>
        </w:tc>
        <w:tc>
          <w:tcPr>
            <w:tcW w:w="1566" w:type="dxa"/>
            <w:vMerge/>
            <w:tcBorders>
              <w:top w:val="single" w:sz="4" w:space="0" w:color="auto"/>
              <w:left w:val="single" w:sz="4" w:space="0" w:color="auto"/>
              <w:bottom w:val="single" w:sz="8" w:space="0" w:color="000000"/>
              <w:right w:val="single" w:sz="4" w:space="0" w:color="808000"/>
            </w:tcBorders>
            <w:vAlign w:val="center"/>
            <w:hideMark/>
          </w:tcPr>
          <w:p w:rsidR="00D61DDB" w:rsidRPr="00D61DDB" w:rsidRDefault="00D61DDB" w:rsidP="00D61DDB">
            <w:pPr>
              <w:rPr>
                <w:rFonts w:ascii="Calibri" w:hAnsi="Calibri"/>
                <w:b/>
                <w:bCs/>
                <w:i/>
                <w:iCs/>
                <w:color w:val="000000"/>
                <w:sz w:val="16"/>
                <w:szCs w:val="16"/>
                <w:lang w:val="es-ES"/>
              </w:rPr>
            </w:pPr>
          </w:p>
        </w:tc>
        <w:tc>
          <w:tcPr>
            <w:tcW w:w="743" w:type="dxa"/>
            <w:vMerge/>
            <w:tcBorders>
              <w:top w:val="nil"/>
              <w:left w:val="single" w:sz="4" w:space="0" w:color="808000"/>
              <w:bottom w:val="single" w:sz="8" w:space="0" w:color="000000"/>
              <w:right w:val="single" w:sz="4" w:space="0" w:color="808000"/>
            </w:tcBorders>
            <w:vAlign w:val="center"/>
            <w:hideMark/>
          </w:tcPr>
          <w:p w:rsidR="00D61DDB" w:rsidRPr="00D61DDB" w:rsidRDefault="00D61DDB" w:rsidP="00D61DDB">
            <w:pPr>
              <w:rPr>
                <w:rFonts w:ascii="Calibri" w:hAnsi="Calibri"/>
                <w:b/>
                <w:bCs/>
                <w:i/>
                <w:iCs/>
                <w:color w:val="000000"/>
                <w:sz w:val="16"/>
                <w:szCs w:val="16"/>
                <w:lang w:val="es-ES"/>
              </w:rPr>
            </w:pPr>
          </w:p>
        </w:tc>
        <w:tc>
          <w:tcPr>
            <w:tcW w:w="743" w:type="dxa"/>
            <w:vMerge/>
            <w:tcBorders>
              <w:top w:val="nil"/>
              <w:left w:val="single" w:sz="4" w:space="0" w:color="808000"/>
              <w:bottom w:val="single" w:sz="8" w:space="0" w:color="000000"/>
              <w:right w:val="single" w:sz="4" w:space="0" w:color="808000"/>
            </w:tcBorders>
            <w:vAlign w:val="center"/>
            <w:hideMark/>
          </w:tcPr>
          <w:p w:rsidR="00D61DDB" w:rsidRPr="00D61DDB" w:rsidRDefault="00D61DDB" w:rsidP="00D61DDB">
            <w:pPr>
              <w:rPr>
                <w:rFonts w:ascii="Calibri" w:hAnsi="Calibri"/>
                <w:b/>
                <w:bCs/>
                <w:i/>
                <w:iCs/>
                <w:color w:val="000000"/>
                <w:sz w:val="16"/>
                <w:szCs w:val="16"/>
                <w:lang w:val="es-ES"/>
              </w:rPr>
            </w:pPr>
          </w:p>
        </w:tc>
        <w:tc>
          <w:tcPr>
            <w:tcW w:w="1589" w:type="dxa"/>
            <w:vMerge/>
            <w:tcBorders>
              <w:top w:val="single" w:sz="4" w:space="0" w:color="auto"/>
              <w:left w:val="single" w:sz="4" w:space="0" w:color="808000"/>
              <w:bottom w:val="single" w:sz="8" w:space="0" w:color="000000"/>
              <w:right w:val="single" w:sz="4" w:space="0" w:color="auto"/>
            </w:tcBorders>
            <w:vAlign w:val="center"/>
            <w:hideMark/>
          </w:tcPr>
          <w:p w:rsidR="00D61DDB" w:rsidRPr="00D61DDB" w:rsidRDefault="00D61DDB" w:rsidP="00D61DDB">
            <w:pPr>
              <w:rPr>
                <w:rFonts w:ascii="Calibri" w:hAnsi="Calibri"/>
                <w:b/>
                <w:bCs/>
                <w:i/>
                <w:iCs/>
                <w:color w:val="000000"/>
                <w:sz w:val="20"/>
                <w:lang w:val="es-ES"/>
              </w:rPr>
            </w:pPr>
          </w:p>
        </w:tc>
      </w:tr>
      <w:tr w:rsidR="00D61DDB" w:rsidRPr="00D61DDB" w:rsidTr="00D61DDB">
        <w:trPr>
          <w:trHeight w:val="315"/>
        </w:trPr>
        <w:tc>
          <w:tcPr>
            <w:tcW w:w="1144" w:type="dxa"/>
            <w:tcBorders>
              <w:top w:val="single" w:sz="4" w:space="0" w:color="808000"/>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single" w:sz="4" w:space="0" w:color="808000"/>
              <w:left w:val="single" w:sz="4" w:space="0" w:color="808000"/>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03-oct-86</w:t>
            </w:r>
          </w:p>
        </w:tc>
        <w:tc>
          <w:tcPr>
            <w:tcW w:w="860" w:type="dxa"/>
            <w:tcBorders>
              <w:top w:val="single" w:sz="4" w:space="0" w:color="808000"/>
              <w:left w:val="single" w:sz="4" w:space="0" w:color="808000"/>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31-dic-86</w:t>
            </w:r>
          </w:p>
        </w:tc>
        <w:tc>
          <w:tcPr>
            <w:tcW w:w="68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90</w:t>
            </w:r>
          </w:p>
        </w:tc>
        <w:tc>
          <w:tcPr>
            <w:tcW w:w="965" w:type="dxa"/>
            <w:tcBorders>
              <w:top w:val="single" w:sz="4" w:space="0" w:color="808000"/>
              <w:left w:val="single" w:sz="4" w:space="0" w:color="808000"/>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14.609,00 </w:t>
            </w:r>
          </w:p>
        </w:tc>
        <w:tc>
          <w:tcPr>
            <w:tcW w:w="257" w:type="dxa"/>
            <w:tcBorders>
              <w:top w:val="single" w:sz="4" w:space="0" w:color="808000"/>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single" w:sz="4" w:space="0" w:color="808000"/>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478.176,53 </w:t>
            </w:r>
          </w:p>
        </w:tc>
        <w:tc>
          <w:tcPr>
            <w:tcW w:w="743" w:type="dxa"/>
            <w:tcBorders>
              <w:top w:val="single" w:sz="4" w:space="0" w:color="808000"/>
              <w:left w:val="single" w:sz="4" w:space="0" w:color="000000"/>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single" w:sz="4" w:space="0" w:color="808000"/>
              <w:left w:val="single" w:sz="4" w:space="0" w:color="000000"/>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3,42 </w:t>
            </w:r>
          </w:p>
        </w:tc>
        <w:tc>
          <w:tcPr>
            <w:tcW w:w="1589" w:type="dxa"/>
            <w:tcBorders>
              <w:top w:val="single" w:sz="4" w:space="0" w:color="808000"/>
              <w:left w:val="single" w:sz="4" w:space="0" w:color="000000"/>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11.954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01-ene-87</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30-sep-87</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273</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14.610,00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395.388,62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4,13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29.984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01-oct-87</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14-oct-87</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14</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21.420,00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579.686,81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4,13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2.254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25-nov-87</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31-dic-87</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37</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21.420,00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579.686,81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4,13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5.958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01-ene-88</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20-ene-88</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20</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21.420,00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467.407,78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5,12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2.597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21-ene-88</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06-jul-88</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168</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30.150,00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657.905,90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5,12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30.702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24-jul-89</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31-dic-89</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161</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41.040,00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698.959,38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6,57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31.259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01-ene-90</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31-dic-90</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365</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89.070,00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1.202.768,56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8,28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Pr>
                <w:rFonts w:ascii="Calibri" w:hAnsi="Calibri"/>
                <w:i/>
                <w:iCs/>
                <w:color w:val="000000"/>
                <w:sz w:val="16"/>
                <w:szCs w:val="16"/>
                <w:lang w:val="es-ES"/>
              </w:rPr>
              <w:t>1</w:t>
            </w:r>
            <w:r w:rsidRPr="00D61DDB">
              <w:rPr>
                <w:rFonts w:ascii="Calibri" w:hAnsi="Calibri"/>
                <w:i/>
                <w:iCs/>
                <w:color w:val="000000"/>
                <w:sz w:val="16"/>
                <w:szCs w:val="16"/>
                <w:lang w:val="es-ES"/>
              </w:rPr>
              <w:t xml:space="preserve">21.947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01-ene-91</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31-dic-91</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365</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89.070,00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908.657,08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10,96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92.128 </w:t>
            </w:r>
          </w:p>
        </w:tc>
      </w:tr>
      <w:tr w:rsidR="00D61DDB" w:rsidRPr="00D61DDB" w:rsidTr="00D61DDB">
        <w:trPr>
          <w:trHeight w:val="315"/>
        </w:trPr>
        <w:tc>
          <w:tcPr>
            <w:tcW w:w="1144" w:type="dxa"/>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single" w:sz="4" w:space="0" w:color="808000"/>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01-ene-92</w:t>
            </w:r>
          </w:p>
        </w:tc>
        <w:tc>
          <w:tcPr>
            <w:tcW w:w="860" w:type="dxa"/>
            <w:tcBorders>
              <w:top w:val="single" w:sz="4" w:space="0" w:color="808000"/>
              <w:left w:val="nil"/>
              <w:bottom w:val="single" w:sz="4" w:space="0" w:color="808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31-dic-92</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366</w:t>
            </w:r>
          </w:p>
        </w:tc>
        <w:tc>
          <w:tcPr>
            <w:tcW w:w="965" w:type="dxa"/>
            <w:tcBorders>
              <w:top w:val="single" w:sz="4" w:space="0" w:color="808000"/>
              <w:left w:val="nil"/>
              <w:bottom w:val="single" w:sz="4" w:space="0" w:color="808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111.000,00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892.875,48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13,90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90.776 </w:t>
            </w:r>
          </w:p>
        </w:tc>
      </w:tr>
      <w:tr w:rsidR="00D61DDB" w:rsidRPr="00D61DDB" w:rsidTr="00D61DDB">
        <w:trPr>
          <w:trHeight w:val="315"/>
        </w:trPr>
        <w:tc>
          <w:tcPr>
            <w:tcW w:w="1144" w:type="dxa"/>
            <w:tcBorders>
              <w:top w:val="nil"/>
              <w:left w:val="single" w:sz="8" w:space="0" w:color="auto"/>
              <w:bottom w:val="single" w:sz="4" w:space="0" w:color="808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01-ene-93</w:t>
            </w:r>
          </w:p>
        </w:tc>
        <w:tc>
          <w:tcPr>
            <w:tcW w:w="860"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31-mar-93</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90</w:t>
            </w:r>
          </w:p>
        </w:tc>
        <w:tc>
          <w:tcPr>
            <w:tcW w:w="965" w:type="dxa"/>
            <w:tcBorders>
              <w:top w:val="nil"/>
              <w:left w:val="nil"/>
              <w:bottom w:val="single" w:sz="4" w:space="0" w:color="808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111.000,00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713.536,60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17,40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17.838 </w:t>
            </w:r>
          </w:p>
        </w:tc>
      </w:tr>
      <w:tr w:rsidR="00D61DDB" w:rsidRPr="00D61DDB" w:rsidTr="00D61DDB">
        <w:trPr>
          <w:trHeight w:val="315"/>
        </w:trPr>
        <w:tc>
          <w:tcPr>
            <w:tcW w:w="1144" w:type="dxa"/>
            <w:tcBorders>
              <w:top w:val="nil"/>
              <w:left w:val="single" w:sz="8" w:space="0" w:color="auto"/>
              <w:bottom w:val="single" w:sz="4" w:space="0" w:color="808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01-abr-93</w:t>
            </w:r>
          </w:p>
        </w:tc>
        <w:tc>
          <w:tcPr>
            <w:tcW w:w="860"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30-sep-93</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183</w:t>
            </w:r>
          </w:p>
        </w:tc>
        <w:tc>
          <w:tcPr>
            <w:tcW w:w="965" w:type="dxa"/>
            <w:tcBorders>
              <w:top w:val="nil"/>
              <w:left w:val="nil"/>
              <w:bottom w:val="single" w:sz="4" w:space="0" w:color="808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181.050,00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1.163.836,04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17,40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59.162 </w:t>
            </w:r>
          </w:p>
        </w:tc>
      </w:tr>
      <w:tr w:rsidR="00D61DDB" w:rsidRPr="00D61DDB" w:rsidTr="00D61DDB">
        <w:trPr>
          <w:trHeight w:val="315"/>
        </w:trPr>
        <w:tc>
          <w:tcPr>
            <w:tcW w:w="1144" w:type="dxa"/>
            <w:tcBorders>
              <w:top w:val="nil"/>
              <w:left w:val="single" w:sz="8" w:space="0" w:color="auto"/>
              <w:bottom w:val="single" w:sz="4" w:space="0" w:color="808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01-oct-93</w:t>
            </w:r>
          </w:p>
        </w:tc>
        <w:tc>
          <w:tcPr>
            <w:tcW w:w="860"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22-nov-93</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53</w:t>
            </w:r>
          </w:p>
        </w:tc>
        <w:tc>
          <w:tcPr>
            <w:tcW w:w="965" w:type="dxa"/>
            <w:tcBorders>
              <w:top w:val="nil"/>
              <w:left w:val="nil"/>
              <w:bottom w:val="single" w:sz="4" w:space="0" w:color="808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197.910,00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1.272.216,47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17,40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18.730 </w:t>
            </w:r>
          </w:p>
        </w:tc>
      </w:tr>
      <w:tr w:rsidR="00D61DDB" w:rsidRPr="00D61DDB" w:rsidTr="00D61DDB">
        <w:trPr>
          <w:trHeight w:val="315"/>
        </w:trPr>
        <w:tc>
          <w:tcPr>
            <w:tcW w:w="1144" w:type="dxa"/>
            <w:tcBorders>
              <w:top w:val="nil"/>
              <w:left w:val="single" w:sz="8" w:space="0" w:color="auto"/>
              <w:bottom w:val="single" w:sz="4" w:space="0" w:color="808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01-ene-98</w:t>
            </w:r>
          </w:p>
        </w:tc>
        <w:tc>
          <w:tcPr>
            <w:tcW w:w="860"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31-ene-98</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2</w:t>
            </w:r>
          </w:p>
        </w:tc>
        <w:tc>
          <w:tcPr>
            <w:tcW w:w="965" w:type="dxa"/>
            <w:tcBorders>
              <w:top w:val="nil"/>
              <w:left w:val="nil"/>
              <w:bottom w:val="single" w:sz="4" w:space="0" w:color="808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33.000,00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82.522,34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44,72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46 </w:t>
            </w:r>
          </w:p>
        </w:tc>
      </w:tr>
      <w:tr w:rsidR="00D61DDB" w:rsidRPr="00D61DDB" w:rsidTr="00D61DDB">
        <w:trPr>
          <w:trHeight w:val="315"/>
        </w:trPr>
        <w:tc>
          <w:tcPr>
            <w:tcW w:w="1144" w:type="dxa"/>
            <w:tcBorders>
              <w:top w:val="nil"/>
              <w:left w:val="single" w:sz="8" w:space="0" w:color="auto"/>
              <w:bottom w:val="single" w:sz="4" w:space="0" w:color="808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01-jun-98</w:t>
            </w:r>
          </w:p>
        </w:tc>
        <w:tc>
          <w:tcPr>
            <w:tcW w:w="860"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30-jun-98</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30</w:t>
            </w:r>
          </w:p>
        </w:tc>
        <w:tc>
          <w:tcPr>
            <w:tcW w:w="965" w:type="dxa"/>
            <w:tcBorders>
              <w:top w:val="nil"/>
              <w:left w:val="nil"/>
              <w:bottom w:val="single" w:sz="4" w:space="0" w:color="808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191.667,00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479.297,26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44,72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3.994 </w:t>
            </w:r>
          </w:p>
        </w:tc>
      </w:tr>
      <w:tr w:rsidR="00D61DDB" w:rsidRPr="00D61DDB" w:rsidTr="00D61DDB">
        <w:trPr>
          <w:trHeight w:val="315"/>
        </w:trPr>
        <w:tc>
          <w:tcPr>
            <w:tcW w:w="1144" w:type="dxa"/>
            <w:tcBorders>
              <w:top w:val="nil"/>
              <w:left w:val="single" w:sz="8" w:space="0" w:color="auto"/>
              <w:bottom w:val="single" w:sz="4" w:space="0" w:color="808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01-jul-98</w:t>
            </w:r>
          </w:p>
        </w:tc>
        <w:tc>
          <w:tcPr>
            <w:tcW w:w="860"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31-jul-98</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30</w:t>
            </w:r>
          </w:p>
        </w:tc>
        <w:tc>
          <w:tcPr>
            <w:tcW w:w="965" w:type="dxa"/>
            <w:tcBorders>
              <w:top w:val="nil"/>
              <w:left w:val="nil"/>
              <w:bottom w:val="single" w:sz="4" w:space="0" w:color="808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225.000,00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562.652,33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44,72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4.689 </w:t>
            </w:r>
          </w:p>
        </w:tc>
      </w:tr>
      <w:tr w:rsidR="00D61DDB" w:rsidRPr="00D61DDB" w:rsidTr="00D61DDB">
        <w:trPr>
          <w:trHeight w:val="315"/>
        </w:trPr>
        <w:tc>
          <w:tcPr>
            <w:tcW w:w="1144" w:type="dxa"/>
            <w:tcBorders>
              <w:top w:val="nil"/>
              <w:left w:val="single" w:sz="8" w:space="0" w:color="auto"/>
              <w:bottom w:val="single" w:sz="4" w:space="0" w:color="808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01-ago-98</w:t>
            </w:r>
          </w:p>
        </w:tc>
        <w:tc>
          <w:tcPr>
            <w:tcW w:w="860"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31-ago-98</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30</w:t>
            </w:r>
          </w:p>
        </w:tc>
        <w:tc>
          <w:tcPr>
            <w:tcW w:w="965" w:type="dxa"/>
            <w:tcBorders>
              <w:top w:val="nil"/>
              <w:left w:val="nil"/>
              <w:bottom w:val="single" w:sz="4" w:space="0" w:color="808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250.000,00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625.169,26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44,72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5.210 </w:t>
            </w:r>
          </w:p>
        </w:tc>
      </w:tr>
      <w:tr w:rsidR="00D61DDB" w:rsidRPr="00D61DDB" w:rsidTr="00D61DDB">
        <w:trPr>
          <w:trHeight w:val="315"/>
        </w:trPr>
        <w:tc>
          <w:tcPr>
            <w:tcW w:w="1144" w:type="dxa"/>
            <w:tcBorders>
              <w:top w:val="nil"/>
              <w:left w:val="single" w:sz="8" w:space="0" w:color="auto"/>
              <w:bottom w:val="single" w:sz="4" w:space="0" w:color="808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01-sep-98</w:t>
            </w:r>
          </w:p>
        </w:tc>
        <w:tc>
          <w:tcPr>
            <w:tcW w:w="860"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30-sep-98</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30</w:t>
            </w:r>
          </w:p>
        </w:tc>
        <w:tc>
          <w:tcPr>
            <w:tcW w:w="965" w:type="dxa"/>
            <w:tcBorders>
              <w:top w:val="nil"/>
              <w:left w:val="nil"/>
              <w:bottom w:val="single" w:sz="4" w:space="0" w:color="808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225.000,00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562.652,33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44,72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4.689 </w:t>
            </w:r>
          </w:p>
        </w:tc>
      </w:tr>
      <w:tr w:rsidR="00D61DDB" w:rsidRPr="00D61DDB" w:rsidTr="00D61DDB">
        <w:trPr>
          <w:trHeight w:val="315"/>
        </w:trPr>
        <w:tc>
          <w:tcPr>
            <w:tcW w:w="1144" w:type="dxa"/>
            <w:tcBorders>
              <w:top w:val="single" w:sz="4" w:space="0" w:color="000000"/>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01-oct-98</w:t>
            </w:r>
          </w:p>
        </w:tc>
        <w:tc>
          <w:tcPr>
            <w:tcW w:w="860"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31-oct-98</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30</w:t>
            </w:r>
          </w:p>
        </w:tc>
        <w:tc>
          <w:tcPr>
            <w:tcW w:w="965" w:type="dxa"/>
            <w:tcBorders>
              <w:top w:val="nil"/>
              <w:left w:val="nil"/>
              <w:bottom w:val="single" w:sz="4" w:space="0" w:color="808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258.000,00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645.174,67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44,72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5.376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lastRenderedPageBreak/>
              <w:t> </w:t>
            </w:r>
          </w:p>
        </w:tc>
        <w:tc>
          <w:tcPr>
            <w:tcW w:w="851" w:type="dxa"/>
            <w:tcBorders>
              <w:top w:val="single" w:sz="4" w:space="0" w:color="000000"/>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01-nov-98</w:t>
            </w:r>
          </w:p>
        </w:tc>
        <w:tc>
          <w:tcPr>
            <w:tcW w:w="860" w:type="dxa"/>
            <w:tcBorders>
              <w:top w:val="single" w:sz="4" w:space="0" w:color="000000"/>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30-nov-98</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30</w:t>
            </w:r>
          </w:p>
        </w:tc>
        <w:tc>
          <w:tcPr>
            <w:tcW w:w="965" w:type="dxa"/>
            <w:tcBorders>
              <w:top w:val="nil"/>
              <w:left w:val="nil"/>
              <w:bottom w:val="single" w:sz="4" w:space="0" w:color="808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328.000,00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820.222,07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44,72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6.835 </w:t>
            </w:r>
          </w:p>
        </w:tc>
      </w:tr>
      <w:tr w:rsidR="00D61DDB" w:rsidRPr="00D61DDB" w:rsidTr="00D61DDB">
        <w:trPr>
          <w:trHeight w:val="315"/>
        </w:trPr>
        <w:tc>
          <w:tcPr>
            <w:tcW w:w="1144" w:type="dxa"/>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single" w:sz="4" w:space="0" w:color="808000"/>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01-dic-98</w:t>
            </w:r>
          </w:p>
        </w:tc>
        <w:tc>
          <w:tcPr>
            <w:tcW w:w="860" w:type="dxa"/>
            <w:tcBorders>
              <w:top w:val="single" w:sz="4" w:space="0" w:color="808000"/>
              <w:left w:val="nil"/>
              <w:bottom w:val="single" w:sz="4" w:space="0" w:color="808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31-dic-98</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30</w:t>
            </w:r>
          </w:p>
        </w:tc>
        <w:tc>
          <w:tcPr>
            <w:tcW w:w="965" w:type="dxa"/>
            <w:tcBorders>
              <w:top w:val="nil"/>
              <w:left w:val="nil"/>
              <w:bottom w:val="single" w:sz="4" w:space="0" w:color="808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307.000,00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767.707,85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44,72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6.398 </w:t>
            </w:r>
          </w:p>
        </w:tc>
      </w:tr>
      <w:tr w:rsidR="00D61DDB" w:rsidRPr="00D61DDB" w:rsidTr="00D61DDB">
        <w:trPr>
          <w:trHeight w:val="315"/>
        </w:trPr>
        <w:tc>
          <w:tcPr>
            <w:tcW w:w="1144" w:type="dxa"/>
            <w:tcBorders>
              <w:top w:val="nil"/>
              <w:left w:val="single" w:sz="8" w:space="0" w:color="auto"/>
              <w:bottom w:val="single" w:sz="4" w:space="0" w:color="808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01-ago-02</w:t>
            </w:r>
          </w:p>
        </w:tc>
        <w:tc>
          <w:tcPr>
            <w:tcW w:w="860"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31-oct-02</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90</w:t>
            </w:r>
          </w:p>
        </w:tc>
        <w:tc>
          <w:tcPr>
            <w:tcW w:w="965" w:type="dxa"/>
            <w:tcBorders>
              <w:top w:val="nil"/>
              <w:left w:val="nil"/>
              <w:bottom w:val="single" w:sz="4" w:space="0" w:color="808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309.000,00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517.802,12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66,73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12.945 </w:t>
            </w:r>
          </w:p>
        </w:tc>
      </w:tr>
      <w:tr w:rsidR="00D61DDB" w:rsidRPr="00D61DDB" w:rsidTr="00D61DDB">
        <w:trPr>
          <w:trHeight w:val="315"/>
        </w:trPr>
        <w:tc>
          <w:tcPr>
            <w:tcW w:w="1144" w:type="dxa"/>
            <w:tcBorders>
              <w:top w:val="nil"/>
              <w:left w:val="single" w:sz="8" w:space="0" w:color="auto"/>
              <w:bottom w:val="single" w:sz="4" w:space="0" w:color="808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01-feb-03</w:t>
            </w:r>
          </w:p>
        </w:tc>
        <w:tc>
          <w:tcPr>
            <w:tcW w:w="860"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30-sep-03</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240</w:t>
            </w:r>
          </w:p>
        </w:tc>
        <w:tc>
          <w:tcPr>
            <w:tcW w:w="965" w:type="dxa"/>
            <w:tcBorders>
              <w:top w:val="nil"/>
              <w:left w:val="nil"/>
              <w:bottom w:val="single" w:sz="4" w:space="0" w:color="808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332.000,00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519.982,80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71,40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34.666 </w:t>
            </w:r>
          </w:p>
        </w:tc>
      </w:tr>
      <w:tr w:rsidR="00D61DDB" w:rsidRPr="00D61DDB" w:rsidTr="00D61DDB">
        <w:trPr>
          <w:trHeight w:val="315"/>
        </w:trPr>
        <w:tc>
          <w:tcPr>
            <w:tcW w:w="1144" w:type="dxa"/>
            <w:tcBorders>
              <w:top w:val="nil"/>
              <w:left w:val="single" w:sz="8" w:space="0" w:color="auto"/>
              <w:bottom w:val="single" w:sz="4" w:space="0" w:color="808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01-ene-06</w:t>
            </w:r>
          </w:p>
        </w:tc>
        <w:tc>
          <w:tcPr>
            <w:tcW w:w="860"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31-ene-06</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1</w:t>
            </w:r>
          </w:p>
        </w:tc>
        <w:tc>
          <w:tcPr>
            <w:tcW w:w="965" w:type="dxa"/>
            <w:tcBorders>
              <w:top w:val="nil"/>
              <w:left w:val="nil"/>
              <w:bottom w:val="single" w:sz="4" w:space="0" w:color="808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13.600,00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18.082,04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84,10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5 </w:t>
            </w:r>
          </w:p>
        </w:tc>
      </w:tr>
      <w:tr w:rsidR="00D61DDB" w:rsidRPr="00D61DDB" w:rsidTr="00D61DDB">
        <w:trPr>
          <w:trHeight w:val="315"/>
        </w:trPr>
        <w:tc>
          <w:tcPr>
            <w:tcW w:w="1144" w:type="dxa"/>
            <w:tcBorders>
              <w:top w:val="single" w:sz="4" w:space="0" w:color="000000"/>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single" w:sz="4" w:space="0" w:color="000000"/>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01-oct-06</w:t>
            </w:r>
          </w:p>
        </w:tc>
        <w:tc>
          <w:tcPr>
            <w:tcW w:w="860" w:type="dxa"/>
            <w:tcBorders>
              <w:top w:val="single" w:sz="4" w:space="0" w:color="000000"/>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31-oct-06</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30</w:t>
            </w:r>
          </w:p>
        </w:tc>
        <w:tc>
          <w:tcPr>
            <w:tcW w:w="965" w:type="dxa"/>
            <w:tcBorders>
              <w:top w:val="single" w:sz="4" w:space="0" w:color="000000"/>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408.000,00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542.461,14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84,10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4.521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01-dic-06</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31-dic-06</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30</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408.000,00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542.461,14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84,10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4.521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01-oct-07</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31-oct-07</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1</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14.456,00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18.396,37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87,87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5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01-nov-07</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30-nov-07</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1</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14.000,00 </w:t>
            </w: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17.816,07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87,87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5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01-jun-08</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30-jun-08</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30</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415.350,00 </w:t>
            </w:r>
          </w:p>
        </w:tc>
        <w:tc>
          <w:tcPr>
            <w:tcW w:w="257" w:type="dxa"/>
            <w:tcBorders>
              <w:top w:val="nil"/>
              <w:left w:val="nil"/>
              <w:bottom w:val="nil"/>
              <w:right w:val="nil"/>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500.089,35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92,87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4.167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01-oct-09</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30-nov-09</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60</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500.000,00 </w:t>
            </w:r>
          </w:p>
        </w:tc>
        <w:tc>
          <w:tcPr>
            <w:tcW w:w="257" w:type="dxa"/>
            <w:tcBorders>
              <w:top w:val="nil"/>
              <w:left w:val="nil"/>
              <w:bottom w:val="nil"/>
              <w:right w:val="nil"/>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559.100,00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100,00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9.318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01-abr-11</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31-dic-11</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270</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535.600,00 </w:t>
            </w:r>
          </w:p>
        </w:tc>
        <w:tc>
          <w:tcPr>
            <w:tcW w:w="257" w:type="dxa"/>
            <w:tcBorders>
              <w:top w:val="nil"/>
              <w:left w:val="nil"/>
              <w:bottom w:val="nil"/>
              <w:right w:val="nil"/>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569.106,59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105,24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42.683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01-feb-12</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30-sep-12</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240</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566.700,00 </w:t>
            </w:r>
          </w:p>
        </w:tc>
        <w:tc>
          <w:tcPr>
            <w:tcW w:w="257" w:type="dxa"/>
            <w:tcBorders>
              <w:top w:val="nil"/>
              <w:left w:val="nil"/>
              <w:bottom w:val="nil"/>
              <w:right w:val="nil"/>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580.509,29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109,16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38.701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01-ene-12</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31-ene-12</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30</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535.600,00 </w:t>
            </w:r>
          </w:p>
        </w:tc>
        <w:tc>
          <w:tcPr>
            <w:tcW w:w="257" w:type="dxa"/>
            <w:tcBorders>
              <w:top w:val="nil"/>
              <w:left w:val="nil"/>
              <w:bottom w:val="nil"/>
              <w:right w:val="nil"/>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548.651,45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109,16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4.572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01-oct-12</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31-dic-12</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90</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566.700,00 </w:t>
            </w:r>
          </w:p>
        </w:tc>
        <w:tc>
          <w:tcPr>
            <w:tcW w:w="257" w:type="dxa"/>
            <w:tcBorders>
              <w:top w:val="nil"/>
              <w:left w:val="nil"/>
              <w:bottom w:val="nil"/>
              <w:right w:val="nil"/>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580.509,29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109,16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14.513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01-ene-13</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31-ene-13</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30</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566.700,00 </w:t>
            </w:r>
          </w:p>
        </w:tc>
        <w:tc>
          <w:tcPr>
            <w:tcW w:w="257" w:type="dxa"/>
            <w:tcBorders>
              <w:top w:val="nil"/>
              <w:left w:val="nil"/>
              <w:bottom w:val="nil"/>
              <w:right w:val="nil"/>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566.700,00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4.723 </w:t>
            </w:r>
          </w:p>
        </w:tc>
      </w:tr>
      <w:tr w:rsidR="00D61DDB" w:rsidRPr="00D61DDB" w:rsidTr="00D61DDB">
        <w:trPr>
          <w:trHeight w:val="315"/>
        </w:trPr>
        <w:tc>
          <w:tcPr>
            <w:tcW w:w="1144" w:type="dxa"/>
            <w:tcBorders>
              <w:top w:val="nil"/>
              <w:left w:val="single" w:sz="8" w:space="0" w:color="auto"/>
              <w:bottom w:val="single" w:sz="4" w:space="0" w:color="000000"/>
              <w:right w:val="single" w:sz="4" w:space="0" w:color="808000"/>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w:t>
            </w:r>
          </w:p>
        </w:tc>
        <w:tc>
          <w:tcPr>
            <w:tcW w:w="851"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01-feb-13</w:t>
            </w:r>
          </w:p>
        </w:tc>
        <w:tc>
          <w:tcPr>
            <w:tcW w:w="860" w:type="dxa"/>
            <w:tcBorders>
              <w:top w:val="nil"/>
              <w:left w:val="nil"/>
              <w:bottom w:val="single" w:sz="4" w:space="0" w:color="000000"/>
              <w:right w:val="single" w:sz="4" w:space="0" w:color="808000"/>
            </w:tcBorders>
            <w:shd w:val="clear" w:color="auto" w:fill="auto"/>
            <w:noWrap/>
            <w:vAlign w:val="center"/>
            <w:hideMark/>
          </w:tcPr>
          <w:p w:rsidR="00D61DDB" w:rsidRPr="00D61DDB" w:rsidRDefault="00D61DDB" w:rsidP="00D61DDB">
            <w:pPr>
              <w:jc w:val="right"/>
              <w:rPr>
                <w:rFonts w:ascii="Calibri" w:hAnsi="Calibri"/>
                <w:i/>
                <w:iCs/>
                <w:color w:val="000000"/>
                <w:sz w:val="16"/>
                <w:szCs w:val="16"/>
                <w:lang w:val="es-ES"/>
              </w:rPr>
            </w:pPr>
            <w:r w:rsidRPr="00D61DDB">
              <w:rPr>
                <w:rFonts w:ascii="Calibri" w:hAnsi="Calibri"/>
                <w:i/>
                <w:iCs/>
                <w:color w:val="000000"/>
                <w:sz w:val="16"/>
                <w:szCs w:val="16"/>
                <w:lang w:val="es-ES"/>
              </w:rPr>
              <w:t>31-mar-13</w:t>
            </w:r>
          </w:p>
        </w:tc>
        <w:tc>
          <w:tcPr>
            <w:tcW w:w="688" w:type="dxa"/>
            <w:tcBorders>
              <w:top w:val="nil"/>
              <w:left w:val="nil"/>
              <w:bottom w:val="single" w:sz="4" w:space="0" w:color="808000"/>
              <w:right w:val="single" w:sz="4" w:space="0" w:color="808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60</w:t>
            </w:r>
          </w:p>
        </w:tc>
        <w:tc>
          <w:tcPr>
            <w:tcW w:w="965" w:type="dxa"/>
            <w:tcBorders>
              <w:top w:val="nil"/>
              <w:left w:val="nil"/>
              <w:bottom w:val="single" w:sz="4" w:space="0" w:color="000000"/>
              <w:right w:val="single" w:sz="8"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589.500,00 </w:t>
            </w:r>
          </w:p>
        </w:tc>
        <w:tc>
          <w:tcPr>
            <w:tcW w:w="257" w:type="dxa"/>
            <w:tcBorders>
              <w:top w:val="nil"/>
              <w:left w:val="nil"/>
              <w:bottom w:val="nil"/>
              <w:right w:val="nil"/>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p>
        </w:tc>
        <w:tc>
          <w:tcPr>
            <w:tcW w:w="1566" w:type="dxa"/>
            <w:tcBorders>
              <w:top w:val="nil"/>
              <w:left w:val="single" w:sz="4" w:space="0" w:color="auto"/>
              <w:bottom w:val="single" w:sz="4" w:space="0" w:color="808000"/>
              <w:right w:val="single" w:sz="4" w:space="0" w:color="000000"/>
            </w:tcBorders>
            <w:shd w:val="clear" w:color="000000" w:fill="FFFF99"/>
            <w:noWrap/>
            <w:vAlign w:val="center"/>
            <w:hideMark/>
          </w:tcPr>
          <w:p w:rsidR="00D61DDB" w:rsidRPr="00D61DDB" w:rsidRDefault="00D61DDB" w:rsidP="00D61DDB">
            <w:pPr>
              <w:rPr>
                <w:rFonts w:ascii="Calibri" w:hAnsi="Calibri"/>
                <w:b/>
                <w:bCs/>
                <w:i/>
                <w:iCs/>
                <w:color w:val="000000"/>
                <w:sz w:val="16"/>
                <w:szCs w:val="16"/>
                <w:lang w:val="es-ES"/>
              </w:rPr>
            </w:pPr>
            <w:r w:rsidRPr="00D61DDB">
              <w:rPr>
                <w:rFonts w:ascii="Calibri" w:hAnsi="Calibri"/>
                <w:b/>
                <w:bCs/>
                <w:i/>
                <w:iCs/>
                <w:color w:val="000000"/>
                <w:sz w:val="16"/>
                <w:szCs w:val="16"/>
                <w:lang w:val="es-ES"/>
              </w:rPr>
              <w:t xml:space="preserve">                        589.500,00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743" w:type="dxa"/>
            <w:tcBorders>
              <w:top w:val="nil"/>
              <w:left w:val="nil"/>
              <w:bottom w:val="single" w:sz="4" w:space="0" w:color="808000"/>
              <w:right w:val="single" w:sz="4" w:space="0" w:color="000000"/>
            </w:tcBorders>
            <w:shd w:val="clear" w:color="auto" w:fill="auto"/>
            <w:noWrap/>
            <w:vAlign w:val="center"/>
            <w:hideMark/>
          </w:tcPr>
          <w:p w:rsidR="00D61DDB" w:rsidRPr="00D61DDB" w:rsidRDefault="00D61DDB" w:rsidP="00D61DDB">
            <w:pPr>
              <w:jc w:val="center"/>
              <w:rPr>
                <w:rFonts w:ascii="Calibri" w:hAnsi="Calibri"/>
                <w:i/>
                <w:iCs/>
                <w:color w:val="000000"/>
                <w:sz w:val="16"/>
                <w:szCs w:val="16"/>
                <w:lang w:val="es-ES"/>
              </w:rPr>
            </w:pPr>
            <w:r w:rsidRPr="00D61DDB">
              <w:rPr>
                <w:rFonts w:ascii="Calibri" w:hAnsi="Calibri"/>
                <w:i/>
                <w:iCs/>
                <w:color w:val="000000"/>
                <w:sz w:val="16"/>
                <w:szCs w:val="16"/>
                <w:lang w:val="es-ES"/>
              </w:rPr>
              <w:t xml:space="preserve">     111,82 </w:t>
            </w:r>
          </w:p>
        </w:tc>
        <w:tc>
          <w:tcPr>
            <w:tcW w:w="1589" w:type="dxa"/>
            <w:tcBorders>
              <w:top w:val="nil"/>
              <w:left w:val="nil"/>
              <w:bottom w:val="single" w:sz="4" w:space="0" w:color="808000"/>
              <w:right w:val="single" w:sz="4" w:space="0" w:color="auto"/>
            </w:tcBorders>
            <w:shd w:val="clear" w:color="auto" w:fill="auto"/>
            <w:noWrap/>
            <w:vAlign w:val="center"/>
            <w:hideMark/>
          </w:tcPr>
          <w:p w:rsidR="00D61DDB" w:rsidRPr="00D61DDB" w:rsidRDefault="00D61DDB" w:rsidP="00D61DDB">
            <w:pPr>
              <w:rPr>
                <w:rFonts w:ascii="Calibri" w:hAnsi="Calibri"/>
                <w:i/>
                <w:iCs/>
                <w:color w:val="000000"/>
                <w:sz w:val="16"/>
                <w:szCs w:val="16"/>
                <w:lang w:val="es-ES"/>
              </w:rPr>
            </w:pPr>
            <w:r w:rsidRPr="00D61DDB">
              <w:rPr>
                <w:rFonts w:ascii="Calibri" w:hAnsi="Calibri"/>
                <w:i/>
                <w:iCs/>
                <w:color w:val="000000"/>
                <w:sz w:val="16"/>
                <w:szCs w:val="16"/>
                <w:lang w:val="es-ES"/>
              </w:rPr>
              <w:t xml:space="preserve">                               9.825 </w:t>
            </w:r>
          </w:p>
        </w:tc>
      </w:tr>
      <w:tr w:rsidR="00D61DDB" w:rsidRPr="00D61DDB" w:rsidTr="00D61DDB">
        <w:trPr>
          <w:trHeight w:val="315"/>
        </w:trPr>
        <w:tc>
          <w:tcPr>
            <w:tcW w:w="1144" w:type="dxa"/>
            <w:tcBorders>
              <w:top w:val="nil"/>
              <w:left w:val="nil"/>
              <w:bottom w:val="nil"/>
              <w:right w:val="nil"/>
            </w:tcBorders>
            <w:shd w:val="clear" w:color="auto" w:fill="auto"/>
            <w:noWrap/>
            <w:vAlign w:val="bottom"/>
            <w:hideMark/>
          </w:tcPr>
          <w:p w:rsidR="00D61DDB" w:rsidRPr="00D61DDB" w:rsidRDefault="00D61DDB" w:rsidP="00D61DDB">
            <w:pPr>
              <w:rPr>
                <w:rFonts w:ascii="Calibri" w:hAnsi="Calibri"/>
                <w:i/>
                <w:iCs/>
                <w:color w:val="000000"/>
                <w:sz w:val="16"/>
                <w:szCs w:val="16"/>
                <w:lang w:val="es-ES"/>
              </w:rPr>
            </w:pPr>
          </w:p>
        </w:tc>
        <w:tc>
          <w:tcPr>
            <w:tcW w:w="851"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860"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688"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965"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1566"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743"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743"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1589"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r>
      <w:tr w:rsidR="00D61DDB" w:rsidRPr="00D61DDB" w:rsidTr="00D61DDB">
        <w:trPr>
          <w:trHeight w:val="315"/>
        </w:trPr>
        <w:tc>
          <w:tcPr>
            <w:tcW w:w="2855" w:type="dxa"/>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D61DDB" w:rsidRPr="00D61DDB" w:rsidRDefault="00D61DDB" w:rsidP="00D61DDB">
            <w:pPr>
              <w:jc w:val="center"/>
              <w:rPr>
                <w:rFonts w:ascii="Calibri" w:hAnsi="Calibri"/>
                <w:b/>
                <w:bCs/>
                <w:i/>
                <w:iCs/>
                <w:color w:val="000000"/>
                <w:sz w:val="16"/>
                <w:szCs w:val="16"/>
                <w:lang w:val="es-ES"/>
              </w:rPr>
            </w:pPr>
            <w:r w:rsidRPr="00D61DDB">
              <w:rPr>
                <w:rFonts w:ascii="Calibri" w:hAnsi="Calibri"/>
                <w:b/>
                <w:bCs/>
                <w:i/>
                <w:iCs/>
                <w:color w:val="000000"/>
                <w:sz w:val="16"/>
                <w:szCs w:val="16"/>
                <w:lang w:val="es-ES"/>
              </w:rPr>
              <w:t>TOTAL DIAS</w:t>
            </w:r>
          </w:p>
        </w:tc>
        <w:tc>
          <w:tcPr>
            <w:tcW w:w="688" w:type="dxa"/>
            <w:tcBorders>
              <w:top w:val="single" w:sz="4" w:space="0" w:color="333300"/>
              <w:left w:val="nil"/>
              <w:bottom w:val="single" w:sz="4" w:space="0" w:color="333300"/>
              <w:right w:val="single" w:sz="4" w:space="0" w:color="333300"/>
            </w:tcBorders>
            <w:shd w:val="clear" w:color="000000" w:fill="FFFF99"/>
            <w:noWrap/>
            <w:vAlign w:val="center"/>
            <w:hideMark/>
          </w:tcPr>
          <w:p w:rsidR="00D61DDB" w:rsidRPr="00D61DDB" w:rsidRDefault="00D61DDB" w:rsidP="00D61DDB">
            <w:pPr>
              <w:jc w:val="center"/>
              <w:rPr>
                <w:rFonts w:ascii="Calibri" w:hAnsi="Calibri"/>
                <w:color w:val="000000"/>
                <w:szCs w:val="24"/>
                <w:lang w:val="es-ES"/>
              </w:rPr>
            </w:pPr>
            <w:r w:rsidRPr="00D61DDB">
              <w:rPr>
                <w:rFonts w:ascii="Calibri" w:hAnsi="Calibri"/>
                <w:color w:val="000000"/>
                <w:szCs w:val="24"/>
                <w:lang w:val="es-ES"/>
              </w:rPr>
              <w:t>3.600</w:t>
            </w:r>
          </w:p>
        </w:tc>
        <w:tc>
          <w:tcPr>
            <w:tcW w:w="965" w:type="dxa"/>
            <w:tcBorders>
              <w:top w:val="nil"/>
              <w:left w:val="nil"/>
              <w:bottom w:val="nil"/>
              <w:right w:val="nil"/>
            </w:tcBorders>
            <w:shd w:val="clear" w:color="auto" w:fill="auto"/>
            <w:noWrap/>
            <w:vAlign w:val="bottom"/>
            <w:hideMark/>
          </w:tcPr>
          <w:p w:rsidR="00D61DDB" w:rsidRPr="00D61DDB" w:rsidRDefault="00D61DDB" w:rsidP="00D61DDB">
            <w:pPr>
              <w:jc w:val="center"/>
              <w:rPr>
                <w:rFonts w:ascii="Calibri" w:hAnsi="Calibri"/>
                <w:color w:val="000000"/>
                <w:szCs w:val="24"/>
                <w:lang w:val="es-ES"/>
              </w:rPr>
            </w:pP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1566"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1486"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D61DDB" w:rsidRPr="00D61DDB" w:rsidRDefault="00D61DDB" w:rsidP="00D61DDB">
            <w:pPr>
              <w:jc w:val="center"/>
              <w:rPr>
                <w:rFonts w:ascii="Calibri" w:hAnsi="Calibri"/>
                <w:b/>
                <w:bCs/>
                <w:i/>
                <w:iCs/>
                <w:color w:val="000000"/>
                <w:sz w:val="16"/>
                <w:szCs w:val="16"/>
                <w:lang w:val="es-ES"/>
              </w:rPr>
            </w:pPr>
            <w:r w:rsidRPr="00D61DDB">
              <w:rPr>
                <w:rFonts w:ascii="Calibri" w:hAnsi="Calibri"/>
                <w:b/>
                <w:bCs/>
                <w:i/>
                <w:iCs/>
                <w:color w:val="000000"/>
                <w:sz w:val="16"/>
                <w:szCs w:val="16"/>
                <w:lang w:val="es-ES"/>
              </w:rPr>
              <w:t>IBL</w:t>
            </w:r>
          </w:p>
        </w:tc>
        <w:tc>
          <w:tcPr>
            <w:tcW w:w="1589" w:type="dxa"/>
            <w:tcBorders>
              <w:top w:val="single" w:sz="4" w:space="0" w:color="333300"/>
              <w:left w:val="nil"/>
              <w:bottom w:val="single" w:sz="4" w:space="0" w:color="333300"/>
              <w:right w:val="single" w:sz="4" w:space="0" w:color="333300"/>
            </w:tcBorders>
            <w:shd w:val="clear" w:color="000000" w:fill="FFFF99"/>
            <w:noWrap/>
            <w:vAlign w:val="center"/>
            <w:hideMark/>
          </w:tcPr>
          <w:p w:rsidR="00D61DDB" w:rsidRPr="00D61DDB" w:rsidRDefault="00D61DDB" w:rsidP="00D61DDB">
            <w:pPr>
              <w:jc w:val="center"/>
              <w:rPr>
                <w:rFonts w:ascii="Calibri" w:hAnsi="Calibri"/>
                <w:color w:val="000000"/>
                <w:szCs w:val="24"/>
                <w:lang w:val="es-ES"/>
              </w:rPr>
            </w:pPr>
            <w:r w:rsidRPr="00D61DDB">
              <w:rPr>
                <w:rFonts w:ascii="Calibri" w:hAnsi="Calibri"/>
                <w:color w:val="000000"/>
                <w:szCs w:val="24"/>
                <w:lang w:val="es-ES"/>
              </w:rPr>
              <w:t xml:space="preserve">         737.694 </w:t>
            </w:r>
          </w:p>
        </w:tc>
      </w:tr>
      <w:tr w:rsidR="00D61DDB" w:rsidRPr="00D61DDB" w:rsidTr="00D61DDB">
        <w:trPr>
          <w:trHeight w:val="315"/>
        </w:trPr>
        <w:tc>
          <w:tcPr>
            <w:tcW w:w="1144" w:type="dxa"/>
            <w:tcBorders>
              <w:top w:val="nil"/>
              <w:left w:val="nil"/>
              <w:bottom w:val="nil"/>
              <w:right w:val="nil"/>
            </w:tcBorders>
            <w:shd w:val="clear" w:color="auto" w:fill="auto"/>
            <w:noWrap/>
            <w:vAlign w:val="bottom"/>
            <w:hideMark/>
          </w:tcPr>
          <w:p w:rsidR="00D61DDB" w:rsidRPr="00D61DDB" w:rsidRDefault="00D61DDB" w:rsidP="00D61DDB">
            <w:pPr>
              <w:jc w:val="center"/>
              <w:rPr>
                <w:rFonts w:ascii="Calibri" w:hAnsi="Calibri"/>
                <w:color w:val="000000"/>
                <w:szCs w:val="24"/>
                <w:lang w:val="es-ES"/>
              </w:rPr>
            </w:pPr>
          </w:p>
        </w:tc>
        <w:tc>
          <w:tcPr>
            <w:tcW w:w="851"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860"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688"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965"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1566"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743"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743"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1589"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r>
      <w:tr w:rsidR="00D61DDB" w:rsidRPr="00D61DDB" w:rsidTr="00D61DDB">
        <w:trPr>
          <w:trHeight w:val="315"/>
        </w:trPr>
        <w:tc>
          <w:tcPr>
            <w:tcW w:w="1144"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851"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860"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688"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965"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257"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1566" w:type="dxa"/>
            <w:tcBorders>
              <w:top w:val="nil"/>
              <w:left w:val="nil"/>
              <w:bottom w:val="nil"/>
              <w:right w:val="nil"/>
            </w:tcBorders>
            <w:shd w:val="clear" w:color="auto" w:fill="auto"/>
            <w:noWrap/>
            <w:vAlign w:val="bottom"/>
            <w:hideMark/>
          </w:tcPr>
          <w:p w:rsidR="00D61DDB" w:rsidRPr="00D61DDB" w:rsidRDefault="00D61DDB" w:rsidP="00D61DDB">
            <w:pPr>
              <w:rPr>
                <w:sz w:val="20"/>
                <w:lang w:val="es-ES"/>
              </w:rPr>
            </w:pPr>
          </w:p>
        </w:tc>
        <w:tc>
          <w:tcPr>
            <w:tcW w:w="1486"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D61DDB" w:rsidRPr="00D61DDB" w:rsidRDefault="00D61DDB" w:rsidP="00D61DDB">
            <w:pPr>
              <w:jc w:val="center"/>
              <w:rPr>
                <w:rFonts w:ascii="Calibri" w:hAnsi="Calibri"/>
                <w:b/>
                <w:bCs/>
                <w:i/>
                <w:iCs/>
                <w:color w:val="000000"/>
                <w:sz w:val="16"/>
                <w:szCs w:val="16"/>
                <w:lang w:val="es-ES"/>
              </w:rPr>
            </w:pPr>
            <w:r w:rsidRPr="00D61DDB">
              <w:rPr>
                <w:rFonts w:ascii="Calibri" w:hAnsi="Calibri"/>
                <w:b/>
                <w:bCs/>
                <w:i/>
                <w:iCs/>
                <w:color w:val="000000"/>
                <w:sz w:val="16"/>
                <w:szCs w:val="16"/>
                <w:lang w:val="es-ES"/>
              </w:rPr>
              <w:t>Mesada</w:t>
            </w:r>
          </w:p>
        </w:tc>
        <w:tc>
          <w:tcPr>
            <w:tcW w:w="1589" w:type="dxa"/>
            <w:tcBorders>
              <w:top w:val="single" w:sz="4" w:space="0" w:color="333300"/>
              <w:left w:val="nil"/>
              <w:bottom w:val="single" w:sz="4" w:space="0" w:color="333300"/>
              <w:right w:val="single" w:sz="4" w:space="0" w:color="333300"/>
            </w:tcBorders>
            <w:shd w:val="clear" w:color="000000" w:fill="FFFF99"/>
            <w:noWrap/>
            <w:vAlign w:val="center"/>
            <w:hideMark/>
          </w:tcPr>
          <w:p w:rsidR="00D61DDB" w:rsidRPr="00D61DDB" w:rsidRDefault="00D61DDB" w:rsidP="00D61DDB">
            <w:pPr>
              <w:jc w:val="center"/>
              <w:rPr>
                <w:rFonts w:ascii="Calibri" w:hAnsi="Calibri"/>
                <w:b/>
                <w:bCs/>
                <w:i/>
                <w:iCs/>
                <w:color w:val="000000"/>
                <w:sz w:val="20"/>
                <w:lang w:val="es-ES"/>
              </w:rPr>
            </w:pPr>
            <w:r w:rsidRPr="00D61DDB">
              <w:rPr>
                <w:rFonts w:ascii="Calibri" w:hAnsi="Calibri"/>
                <w:b/>
                <w:bCs/>
                <w:i/>
                <w:iCs/>
                <w:color w:val="000000"/>
                <w:sz w:val="20"/>
                <w:lang w:val="es-ES"/>
              </w:rPr>
              <w:t xml:space="preserve">              553.270 </w:t>
            </w:r>
          </w:p>
        </w:tc>
      </w:tr>
    </w:tbl>
    <w:p w:rsidR="00D61DDB" w:rsidRDefault="00D61DDB" w:rsidP="006F66B8">
      <w:pPr>
        <w:rPr>
          <w:sz w:val="28"/>
          <w:szCs w:val="28"/>
        </w:rPr>
      </w:pPr>
    </w:p>
    <w:p w:rsidR="00D61DDB" w:rsidRDefault="00D61DDB" w:rsidP="006F66B8">
      <w:pPr>
        <w:rPr>
          <w:sz w:val="28"/>
          <w:szCs w:val="28"/>
        </w:rPr>
      </w:pPr>
    </w:p>
    <w:p w:rsidR="00D61DDB" w:rsidRDefault="00D61DDB" w:rsidP="006F66B8">
      <w:pPr>
        <w:rPr>
          <w:sz w:val="28"/>
          <w:szCs w:val="28"/>
        </w:rPr>
      </w:pPr>
    </w:p>
    <w:p w:rsidR="00D61DDB" w:rsidRPr="00D9717C" w:rsidRDefault="00D61DDB" w:rsidP="00D9717C">
      <w:pPr>
        <w:jc w:val="center"/>
        <w:rPr>
          <w:rFonts w:ascii="Arial Narrow" w:hAnsi="Arial Narrow"/>
          <w:b/>
          <w:sz w:val="28"/>
          <w:szCs w:val="28"/>
        </w:rPr>
      </w:pPr>
    </w:p>
    <w:p w:rsidR="00D61DDB" w:rsidRPr="00D9717C" w:rsidRDefault="00D9717C" w:rsidP="00D9717C">
      <w:pPr>
        <w:jc w:val="center"/>
        <w:rPr>
          <w:rFonts w:ascii="Arial Narrow" w:hAnsi="Arial Narrow"/>
          <w:b/>
          <w:sz w:val="28"/>
          <w:szCs w:val="28"/>
        </w:rPr>
      </w:pPr>
      <w:r w:rsidRPr="00D9717C">
        <w:rPr>
          <w:rFonts w:ascii="Arial Narrow" w:hAnsi="Arial Narrow"/>
          <w:b/>
          <w:sz w:val="28"/>
          <w:szCs w:val="28"/>
        </w:rPr>
        <w:t>RETROACTIVO PENSIONAL</w:t>
      </w:r>
    </w:p>
    <w:p w:rsidR="00D9717C" w:rsidRDefault="00D9717C" w:rsidP="006F66B8">
      <w:pPr>
        <w:rPr>
          <w:sz w:val="28"/>
          <w:szCs w:val="28"/>
        </w:rPr>
      </w:pPr>
    </w:p>
    <w:p w:rsidR="00D61DDB" w:rsidRDefault="00D61DDB" w:rsidP="006F66B8">
      <w:pPr>
        <w:rPr>
          <w:sz w:val="28"/>
          <w:szCs w:val="28"/>
        </w:rPr>
      </w:pPr>
    </w:p>
    <w:tbl>
      <w:tblPr>
        <w:tblW w:w="5380" w:type="dxa"/>
        <w:tblInd w:w="2122" w:type="dxa"/>
        <w:tblCellMar>
          <w:left w:w="70" w:type="dxa"/>
          <w:right w:w="70" w:type="dxa"/>
        </w:tblCellMar>
        <w:tblLook w:val="04A0" w:firstRow="1" w:lastRow="0" w:firstColumn="1" w:lastColumn="0" w:noHBand="0" w:noVBand="1"/>
      </w:tblPr>
      <w:tblGrid>
        <w:gridCol w:w="1220"/>
        <w:gridCol w:w="1200"/>
        <w:gridCol w:w="1500"/>
        <w:gridCol w:w="1460"/>
      </w:tblGrid>
      <w:tr w:rsidR="00D9717C" w:rsidRPr="00D9717C" w:rsidTr="00D9717C">
        <w:trPr>
          <w:trHeight w:val="51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b/>
                <w:bCs/>
                <w:color w:val="000000"/>
                <w:sz w:val="20"/>
                <w:lang w:val="es-ES"/>
              </w:rPr>
            </w:pPr>
            <w:r w:rsidRPr="00D9717C">
              <w:rPr>
                <w:rFonts w:ascii="Arial Narrow" w:hAnsi="Arial Narrow"/>
                <w:b/>
                <w:bCs/>
                <w:color w:val="000000"/>
                <w:sz w:val="20"/>
                <w:lang w:val="es-ES"/>
              </w:rPr>
              <w:t xml:space="preserve">AÑO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b/>
                <w:bCs/>
                <w:color w:val="000000"/>
                <w:sz w:val="20"/>
                <w:lang w:val="es-ES"/>
              </w:rPr>
            </w:pPr>
            <w:r w:rsidRPr="00D9717C">
              <w:rPr>
                <w:rFonts w:ascii="Arial Narrow" w:hAnsi="Arial Narrow"/>
                <w:b/>
                <w:bCs/>
                <w:color w:val="000000"/>
                <w:sz w:val="20"/>
                <w:lang w:val="es-ES"/>
              </w:rPr>
              <w:t xml:space="preserve">VALOR DE LA MESADA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b/>
                <w:bCs/>
                <w:color w:val="000000"/>
                <w:sz w:val="20"/>
                <w:lang w:val="es-ES"/>
              </w:rPr>
            </w:pPr>
            <w:r w:rsidRPr="00D9717C">
              <w:rPr>
                <w:rFonts w:ascii="Arial Narrow" w:hAnsi="Arial Narrow"/>
                <w:b/>
                <w:bCs/>
                <w:color w:val="000000"/>
                <w:sz w:val="20"/>
                <w:lang w:val="es-ES"/>
              </w:rPr>
              <w:t>No. MESADAS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b/>
                <w:bCs/>
                <w:color w:val="000000"/>
                <w:sz w:val="20"/>
                <w:lang w:val="es-ES"/>
              </w:rPr>
            </w:pPr>
            <w:r w:rsidRPr="00D9717C">
              <w:rPr>
                <w:rFonts w:ascii="Arial Narrow" w:hAnsi="Arial Narrow"/>
                <w:b/>
                <w:bCs/>
                <w:color w:val="000000"/>
                <w:sz w:val="20"/>
                <w:lang w:val="es-ES"/>
              </w:rPr>
              <w:t xml:space="preserve">TOTAL </w:t>
            </w:r>
          </w:p>
        </w:tc>
      </w:tr>
      <w:tr w:rsidR="00D9717C" w:rsidRPr="00D9717C" w:rsidTr="00D9717C">
        <w:trPr>
          <w:trHeight w:val="3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2013</w:t>
            </w:r>
          </w:p>
        </w:tc>
        <w:tc>
          <w:tcPr>
            <w:tcW w:w="1200" w:type="dxa"/>
            <w:tcBorders>
              <w:top w:val="nil"/>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$589.500</w:t>
            </w:r>
          </w:p>
        </w:tc>
        <w:tc>
          <w:tcPr>
            <w:tcW w:w="1500" w:type="dxa"/>
            <w:tcBorders>
              <w:top w:val="nil"/>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10</w:t>
            </w:r>
          </w:p>
        </w:tc>
        <w:tc>
          <w:tcPr>
            <w:tcW w:w="1460" w:type="dxa"/>
            <w:tcBorders>
              <w:top w:val="nil"/>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$5.895.000</w:t>
            </w:r>
          </w:p>
        </w:tc>
      </w:tr>
      <w:tr w:rsidR="00D9717C" w:rsidRPr="00D9717C" w:rsidTr="00D9717C">
        <w:trPr>
          <w:trHeight w:val="3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2014</w:t>
            </w:r>
          </w:p>
        </w:tc>
        <w:tc>
          <w:tcPr>
            <w:tcW w:w="1200" w:type="dxa"/>
            <w:tcBorders>
              <w:top w:val="nil"/>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$616.000</w:t>
            </w:r>
          </w:p>
        </w:tc>
        <w:tc>
          <w:tcPr>
            <w:tcW w:w="1500" w:type="dxa"/>
            <w:tcBorders>
              <w:top w:val="nil"/>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13</w:t>
            </w:r>
          </w:p>
        </w:tc>
        <w:tc>
          <w:tcPr>
            <w:tcW w:w="1460" w:type="dxa"/>
            <w:tcBorders>
              <w:top w:val="nil"/>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$8.008.000</w:t>
            </w:r>
          </w:p>
        </w:tc>
      </w:tr>
      <w:tr w:rsidR="00D9717C" w:rsidRPr="00D9717C" w:rsidTr="00D9717C">
        <w:trPr>
          <w:trHeight w:val="3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2015</w:t>
            </w:r>
          </w:p>
        </w:tc>
        <w:tc>
          <w:tcPr>
            <w:tcW w:w="1200" w:type="dxa"/>
            <w:tcBorders>
              <w:top w:val="nil"/>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$644.350</w:t>
            </w:r>
          </w:p>
        </w:tc>
        <w:tc>
          <w:tcPr>
            <w:tcW w:w="1500" w:type="dxa"/>
            <w:tcBorders>
              <w:top w:val="nil"/>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13</w:t>
            </w:r>
          </w:p>
        </w:tc>
        <w:tc>
          <w:tcPr>
            <w:tcW w:w="1460" w:type="dxa"/>
            <w:tcBorders>
              <w:top w:val="nil"/>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$8.376.550</w:t>
            </w:r>
          </w:p>
        </w:tc>
      </w:tr>
      <w:tr w:rsidR="00D9717C" w:rsidRPr="00D9717C" w:rsidTr="00D9717C">
        <w:trPr>
          <w:trHeight w:val="3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2016</w:t>
            </w:r>
          </w:p>
        </w:tc>
        <w:tc>
          <w:tcPr>
            <w:tcW w:w="1200" w:type="dxa"/>
            <w:tcBorders>
              <w:top w:val="nil"/>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$689.454</w:t>
            </w:r>
          </w:p>
        </w:tc>
        <w:tc>
          <w:tcPr>
            <w:tcW w:w="1500" w:type="dxa"/>
            <w:tcBorders>
              <w:top w:val="nil"/>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13</w:t>
            </w:r>
          </w:p>
        </w:tc>
        <w:tc>
          <w:tcPr>
            <w:tcW w:w="1460" w:type="dxa"/>
            <w:tcBorders>
              <w:top w:val="nil"/>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$8.962.902</w:t>
            </w:r>
          </w:p>
        </w:tc>
      </w:tr>
      <w:tr w:rsidR="00D9717C" w:rsidRPr="00D9717C" w:rsidTr="00D9717C">
        <w:trPr>
          <w:trHeight w:val="3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2017</w:t>
            </w:r>
          </w:p>
        </w:tc>
        <w:tc>
          <w:tcPr>
            <w:tcW w:w="1200" w:type="dxa"/>
            <w:tcBorders>
              <w:top w:val="nil"/>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$737.717</w:t>
            </w:r>
          </w:p>
        </w:tc>
        <w:tc>
          <w:tcPr>
            <w:tcW w:w="1500" w:type="dxa"/>
            <w:tcBorders>
              <w:top w:val="nil"/>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4</w:t>
            </w:r>
          </w:p>
        </w:tc>
        <w:tc>
          <w:tcPr>
            <w:tcW w:w="1460" w:type="dxa"/>
            <w:tcBorders>
              <w:top w:val="nil"/>
              <w:left w:val="nil"/>
              <w:bottom w:val="single" w:sz="4" w:space="0" w:color="auto"/>
              <w:right w:val="single" w:sz="4" w:space="0" w:color="auto"/>
            </w:tcBorders>
            <w:shd w:val="clear" w:color="auto" w:fill="auto"/>
            <w:vAlign w:val="center"/>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$2.950.868</w:t>
            </w:r>
          </w:p>
        </w:tc>
      </w:tr>
      <w:tr w:rsidR="00D9717C" w:rsidRPr="00D9717C" w:rsidTr="00D9717C">
        <w:trPr>
          <w:trHeight w:val="330"/>
        </w:trPr>
        <w:tc>
          <w:tcPr>
            <w:tcW w:w="3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 xml:space="preserve">TOTAL </w:t>
            </w:r>
          </w:p>
        </w:tc>
        <w:tc>
          <w:tcPr>
            <w:tcW w:w="1460" w:type="dxa"/>
            <w:tcBorders>
              <w:top w:val="nil"/>
              <w:left w:val="nil"/>
              <w:bottom w:val="single" w:sz="4" w:space="0" w:color="auto"/>
              <w:right w:val="single" w:sz="4" w:space="0" w:color="auto"/>
            </w:tcBorders>
            <w:shd w:val="clear" w:color="auto" w:fill="auto"/>
            <w:noWrap/>
            <w:vAlign w:val="bottom"/>
            <w:hideMark/>
          </w:tcPr>
          <w:p w:rsidR="00D9717C" w:rsidRPr="00D9717C" w:rsidRDefault="00D9717C" w:rsidP="00D9717C">
            <w:pPr>
              <w:jc w:val="center"/>
              <w:rPr>
                <w:rFonts w:ascii="Arial Narrow" w:hAnsi="Arial Narrow"/>
                <w:color w:val="000000"/>
                <w:sz w:val="22"/>
                <w:szCs w:val="22"/>
                <w:lang w:val="es-ES"/>
              </w:rPr>
            </w:pPr>
            <w:r w:rsidRPr="00D9717C">
              <w:rPr>
                <w:rFonts w:ascii="Arial Narrow" w:hAnsi="Arial Narrow"/>
                <w:color w:val="000000"/>
                <w:sz w:val="22"/>
                <w:szCs w:val="22"/>
                <w:lang w:val="es-ES"/>
              </w:rPr>
              <w:t>$34.193.320</w:t>
            </w:r>
          </w:p>
        </w:tc>
      </w:tr>
    </w:tbl>
    <w:p w:rsidR="00D61DDB" w:rsidRPr="006F66B8" w:rsidRDefault="00D61DDB" w:rsidP="006F66B8">
      <w:pPr>
        <w:rPr>
          <w:sz w:val="28"/>
          <w:szCs w:val="28"/>
        </w:rPr>
      </w:pPr>
    </w:p>
    <w:sectPr w:rsidR="00D61DDB" w:rsidRPr="006F66B8" w:rsidSect="007C30C4">
      <w:headerReference w:type="default" r:id="rId8"/>
      <w:footerReference w:type="even" r:id="rId9"/>
      <w:footerReference w:type="default" r:id="rId10"/>
      <w:pgSz w:w="12242" w:h="18722" w:code="14"/>
      <w:pgMar w:top="1547"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04" w:rsidRDefault="00586504" w:rsidP="00217967">
      <w:r>
        <w:separator/>
      </w:r>
    </w:p>
  </w:endnote>
  <w:endnote w:type="continuationSeparator" w:id="0">
    <w:p w:rsidR="00586504" w:rsidRDefault="00586504" w:rsidP="0021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43" w:rsidRDefault="00080F43" w:rsidP="00786C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80F43" w:rsidRDefault="00080F43" w:rsidP="00786CB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43" w:rsidRDefault="00080F43" w:rsidP="00786C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E218A">
      <w:rPr>
        <w:rStyle w:val="Numrodepage"/>
        <w:noProof/>
      </w:rPr>
      <w:t>1</w:t>
    </w:r>
    <w:r>
      <w:rPr>
        <w:rStyle w:val="Numrodepage"/>
      </w:rPr>
      <w:fldChar w:fldCharType="end"/>
    </w:r>
  </w:p>
  <w:p w:rsidR="00080F43" w:rsidRDefault="00080F43" w:rsidP="00786CB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04" w:rsidRDefault="00586504" w:rsidP="00217967">
      <w:r>
        <w:separator/>
      </w:r>
    </w:p>
  </w:footnote>
  <w:footnote w:type="continuationSeparator" w:id="0">
    <w:p w:rsidR="00586504" w:rsidRDefault="00586504" w:rsidP="00217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43" w:rsidRPr="005F2576" w:rsidRDefault="00080F43" w:rsidP="00786CB2">
    <w:pPr>
      <w:jc w:val="both"/>
      <w:rPr>
        <w:rFonts w:ascii="Arial Narrow" w:hAnsi="Arial Narrow" w:cs="Arial"/>
        <w:bCs/>
        <w:sz w:val="20"/>
      </w:rPr>
    </w:pPr>
    <w:r w:rsidRPr="005F2576">
      <w:rPr>
        <w:rFonts w:ascii="Arial Narrow" w:hAnsi="Arial Narrow" w:cs="Arial"/>
        <w:bCs/>
        <w:sz w:val="20"/>
      </w:rPr>
      <w:t>Radicación No: 66001-31-05-005-2015-00097-01</w:t>
    </w:r>
  </w:p>
  <w:p w:rsidR="00080F43" w:rsidRPr="005F2576" w:rsidRDefault="00080F43" w:rsidP="00786CB2">
    <w:pPr>
      <w:jc w:val="both"/>
      <w:rPr>
        <w:rFonts w:ascii="Arial Narrow" w:hAnsi="Arial Narrow" w:cs="Arial"/>
        <w:bCs/>
        <w:sz w:val="20"/>
      </w:rPr>
    </w:pPr>
    <w:r w:rsidRPr="005F2576">
      <w:rPr>
        <w:rFonts w:ascii="Arial Narrow" w:hAnsi="Arial Narrow" w:cs="Arial"/>
        <w:bCs/>
        <w:sz w:val="20"/>
      </w:rPr>
      <w:t xml:space="preserve">Ismael Olmedo Jiménez Ramos vs </w:t>
    </w:r>
    <w:proofErr w:type="spellStart"/>
    <w:r w:rsidRPr="005F2576">
      <w:rPr>
        <w:rFonts w:ascii="Arial Narrow" w:hAnsi="Arial Narrow" w:cs="Arial"/>
        <w:bCs/>
        <w:sz w:val="20"/>
      </w:rPr>
      <w:t>Colpensiones</w:t>
    </w:r>
    <w:proofErr w:type="spellEnd"/>
  </w:p>
  <w:p w:rsidR="00080F43" w:rsidRPr="00041201" w:rsidRDefault="00080F43">
    <w:pPr>
      <w:pStyle w:val="En-tte"/>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0D3F"/>
    <w:multiLevelType w:val="hybridMultilevel"/>
    <w:tmpl w:val="FB269EE0"/>
    <w:lvl w:ilvl="0" w:tplc="1C16E954">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2475589"/>
    <w:multiLevelType w:val="hybridMultilevel"/>
    <w:tmpl w:val="472A74F6"/>
    <w:lvl w:ilvl="0" w:tplc="98F69BCA">
      <w:start w:val="1"/>
      <w:numFmt w:val="decimal"/>
      <w:lvlText w:val="%1."/>
      <w:lvlJc w:val="left"/>
      <w:pPr>
        <w:ind w:left="4330" w:hanging="360"/>
      </w:pPr>
      <w:rPr>
        <w:rFonts w:ascii="Arial Narrow" w:eastAsia="Times New Roman" w:hAnsi="Arial Narrow" w:cs="Tahoma"/>
        <w:b w:val="0"/>
      </w:rPr>
    </w:lvl>
    <w:lvl w:ilvl="1" w:tplc="0C0A0019">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2">
    <w:nsid w:val="53F408B0"/>
    <w:multiLevelType w:val="hybridMultilevel"/>
    <w:tmpl w:val="041ACC4A"/>
    <w:lvl w:ilvl="0" w:tplc="77EACF44">
      <w:start w:val="1"/>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67"/>
    <w:rsid w:val="00025CB2"/>
    <w:rsid w:val="0004005D"/>
    <w:rsid w:val="0004295B"/>
    <w:rsid w:val="00047B28"/>
    <w:rsid w:val="00047C82"/>
    <w:rsid w:val="000522D6"/>
    <w:rsid w:val="00080F43"/>
    <w:rsid w:val="00091B28"/>
    <w:rsid w:val="000A1228"/>
    <w:rsid w:val="000A2003"/>
    <w:rsid w:val="000A3860"/>
    <w:rsid w:val="000A4261"/>
    <w:rsid w:val="000F4769"/>
    <w:rsid w:val="001033E2"/>
    <w:rsid w:val="00113B60"/>
    <w:rsid w:val="00134860"/>
    <w:rsid w:val="001428C1"/>
    <w:rsid w:val="001446B0"/>
    <w:rsid w:val="00153050"/>
    <w:rsid w:val="0015647A"/>
    <w:rsid w:val="001A6176"/>
    <w:rsid w:val="001B0000"/>
    <w:rsid w:val="001E61AE"/>
    <w:rsid w:val="001F2ECA"/>
    <w:rsid w:val="001F7AE3"/>
    <w:rsid w:val="002000A8"/>
    <w:rsid w:val="00202A2C"/>
    <w:rsid w:val="00217967"/>
    <w:rsid w:val="0023040D"/>
    <w:rsid w:val="00242B4D"/>
    <w:rsid w:val="002457E7"/>
    <w:rsid w:val="00295D6F"/>
    <w:rsid w:val="002A1400"/>
    <w:rsid w:val="002A43FC"/>
    <w:rsid w:val="002B7BFA"/>
    <w:rsid w:val="002D31B9"/>
    <w:rsid w:val="002F6988"/>
    <w:rsid w:val="002F7B58"/>
    <w:rsid w:val="00317261"/>
    <w:rsid w:val="003348FE"/>
    <w:rsid w:val="0034012A"/>
    <w:rsid w:val="003761E9"/>
    <w:rsid w:val="00390BF7"/>
    <w:rsid w:val="003974EF"/>
    <w:rsid w:val="003B2503"/>
    <w:rsid w:val="003B3FDA"/>
    <w:rsid w:val="003E1CFC"/>
    <w:rsid w:val="00402933"/>
    <w:rsid w:val="004056E9"/>
    <w:rsid w:val="00406A30"/>
    <w:rsid w:val="00411AB7"/>
    <w:rsid w:val="0041234E"/>
    <w:rsid w:val="00416071"/>
    <w:rsid w:val="00427F25"/>
    <w:rsid w:val="00432953"/>
    <w:rsid w:val="00436560"/>
    <w:rsid w:val="00451E4C"/>
    <w:rsid w:val="004631B5"/>
    <w:rsid w:val="004805B8"/>
    <w:rsid w:val="004815A4"/>
    <w:rsid w:val="00482F7E"/>
    <w:rsid w:val="004A5622"/>
    <w:rsid w:val="004B7875"/>
    <w:rsid w:val="004E0261"/>
    <w:rsid w:val="004E032D"/>
    <w:rsid w:val="004E0475"/>
    <w:rsid w:val="00535821"/>
    <w:rsid w:val="005377B2"/>
    <w:rsid w:val="00537B4B"/>
    <w:rsid w:val="00551D4F"/>
    <w:rsid w:val="00575DAA"/>
    <w:rsid w:val="00585ACD"/>
    <w:rsid w:val="00586504"/>
    <w:rsid w:val="0059446E"/>
    <w:rsid w:val="005B6375"/>
    <w:rsid w:val="005B6448"/>
    <w:rsid w:val="005C5EE0"/>
    <w:rsid w:val="005F2576"/>
    <w:rsid w:val="006208CA"/>
    <w:rsid w:val="0063721A"/>
    <w:rsid w:val="00640963"/>
    <w:rsid w:val="00642CDB"/>
    <w:rsid w:val="006435AE"/>
    <w:rsid w:val="00653773"/>
    <w:rsid w:val="00662E46"/>
    <w:rsid w:val="00663B60"/>
    <w:rsid w:val="00670553"/>
    <w:rsid w:val="00676798"/>
    <w:rsid w:val="00683F28"/>
    <w:rsid w:val="006C081A"/>
    <w:rsid w:val="006C7B9B"/>
    <w:rsid w:val="006F66B8"/>
    <w:rsid w:val="00711D3C"/>
    <w:rsid w:val="00715EC4"/>
    <w:rsid w:val="00717412"/>
    <w:rsid w:val="00735B58"/>
    <w:rsid w:val="00745B5F"/>
    <w:rsid w:val="007606DF"/>
    <w:rsid w:val="00765A6C"/>
    <w:rsid w:val="00786CB2"/>
    <w:rsid w:val="007A5E46"/>
    <w:rsid w:val="007A6DA6"/>
    <w:rsid w:val="007A76C4"/>
    <w:rsid w:val="007B28F3"/>
    <w:rsid w:val="007C30C4"/>
    <w:rsid w:val="007D08C6"/>
    <w:rsid w:val="007E0B27"/>
    <w:rsid w:val="007F4141"/>
    <w:rsid w:val="00812557"/>
    <w:rsid w:val="008234BB"/>
    <w:rsid w:val="00827674"/>
    <w:rsid w:val="0084426B"/>
    <w:rsid w:val="00846238"/>
    <w:rsid w:val="008548E0"/>
    <w:rsid w:val="00865314"/>
    <w:rsid w:val="00884400"/>
    <w:rsid w:val="0089068B"/>
    <w:rsid w:val="008952B2"/>
    <w:rsid w:val="00895E6F"/>
    <w:rsid w:val="008E558D"/>
    <w:rsid w:val="009012A8"/>
    <w:rsid w:val="00902EFE"/>
    <w:rsid w:val="00910BA0"/>
    <w:rsid w:val="00925AAC"/>
    <w:rsid w:val="009311E8"/>
    <w:rsid w:val="00955651"/>
    <w:rsid w:val="00955CE0"/>
    <w:rsid w:val="009742B3"/>
    <w:rsid w:val="00984E5E"/>
    <w:rsid w:val="009B2B1A"/>
    <w:rsid w:val="009B3754"/>
    <w:rsid w:val="009B4928"/>
    <w:rsid w:val="009B777C"/>
    <w:rsid w:val="009D005E"/>
    <w:rsid w:val="009F0916"/>
    <w:rsid w:val="009F1122"/>
    <w:rsid w:val="00A05687"/>
    <w:rsid w:val="00A23DBA"/>
    <w:rsid w:val="00A250E0"/>
    <w:rsid w:val="00A637D5"/>
    <w:rsid w:val="00A70D08"/>
    <w:rsid w:val="00A73615"/>
    <w:rsid w:val="00A75F49"/>
    <w:rsid w:val="00A97750"/>
    <w:rsid w:val="00AA1F95"/>
    <w:rsid w:val="00AA7D0B"/>
    <w:rsid w:val="00AB0CA3"/>
    <w:rsid w:val="00AB4237"/>
    <w:rsid w:val="00AB5E74"/>
    <w:rsid w:val="00AD3411"/>
    <w:rsid w:val="00AD4607"/>
    <w:rsid w:val="00AD4A8E"/>
    <w:rsid w:val="00B054C4"/>
    <w:rsid w:val="00B06649"/>
    <w:rsid w:val="00B10BD6"/>
    <w:rsid w:val="00B25093"/>
    <w:rsid w:val="00B342CB"/>
    <w:rsid w:val="00B57506"/>
    <w:rsid w:val="00B738E0"/>
    <w:rsid w:val="00BA3DE3"/>
    <w:rsid w:val="00BB5116"/>
    <w:rsid w:val="00BE7032"/>
    <w:rsid w:val="00BF49AF"/>
    <w:rsid w:val="00C22942"/>
    <w:rsid w:val="00C24B8E"/>
    <w:rsid w:val="00C35CA1"/>
    <w:rsid w:val="00C35E01"/>
    <w:rsid w:val="00C568DB"/>
    <w:rsid w:val="00C6139E"/>
    <w:rsid w:val="00C74754"/>
    <w:rsid w:val="00C75853"/>
    <w:rsid w:val="00C8111D"/>
    <w:rsid w:val="00C82618"/>
    <w:rsid w:val="00C95652"/>
    <w:rsid w:val="00CB49C6"/>
    <w:rsid w:val="00CC5F80"/>
    <w:rsid w:val="00CE218A"/>
    <w:rsid w:val="00CF3295"/>
    <w:rsid w:val="00D11E37"/>
    <w:rsid w:val="00D23961"/>
    <w:rsid w:val="00D30607"/>
    <w:rsid w:val="00D3428B"/>
    <w:rsid w:val="00D36A2B"/>
    <w:rsid w:val="00D61DDB"/>
    <w:rsid w:val="00D6578A"/>
    <w:rsid w:val="00D9717C"/>
    <w:rsid w:val="00DA635F"/>
    <w:rsid w:val="00DB3CBD"/>
    <w:rsid w:val="00DC1C47"/>
    <w:rsid w:val="00DD4EA7"/>
    <w:rsid w:val="00DD7B10"/>
    <w:rsid w:val="00DE71DC"/>
    <w:rsid w:val="00DF0C2C"/>
    <w:rsid w:val="00E20D5A"/>
    <w:rsid w:val="00E21D36"/>
    <w:rsid w:val="00E2798B"/>
    <w:rsid w:val="00E558FE"/>
    <w:rsid w:val="00E66FDC"/>
    <w:rsid w:val="00E74918"/>
    <w:rsid w:val="00E83C72"/>
    <w:rsid w:val="00E9464C"/>
    <w:rsid w:val="00EB466B"/>
    <w:rsid w:val="00EB5BCF"/>
    <w:rsid w:val="00EB6B76"/>
    <w:rsid w:val="00EC3CBD"/>
    <w:rsid w:val="00EC4CE4"/>
    <w:rsid w:val="00ED2D26"/>
    <w:rsid w:val="00ED50D5"/>
    <w:rsid w:val="00EE6668"/>
    <w:rsid w:val="00EF3C32"/>
    <w:rsid w:val="00F151CE"/>
    <w:rsid w:val="00F25DC6"/>
    <w:rsid w:val="00F43B32"/>
    <w:rsid w:val="00F5282F"/>
    <w:rsid w:val="00F556FB"/>
    <w:rsid w:val="00F55C23"/>
    <w:rsid w:val="00F62681"/>
    <w:rsid w:val="00F64987"/>
    <w:rsid w:val="00F710BC"/>
    <w:rsid w:val="00F91AA1"/>
    <w:rsid w:val="00FB691B"/>
    <w:rsid w:val="00FD086A"/>
    <w:rsid w:val="00FE09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17967"/>
    <w:rPr>
      <w:rFonts w:ascii="Arial" w:hAnsi="Arial" w:cs="Arial"/>
      <w:sz w:val="24"/>
      <w:lang w:val="es-ES_tradnl" w:eastAsia="es-ES"/>
    </w:rPr>
  </w:style>
  <w:style w:type="paragraph" w:styleId="Corpsdetexte">
    <w:name w:val="Body Text"/>
    <w:basedOn w:val="Normal"/>
    <w:link w:val="CorpsdetexteCar"/>
    <w:rsid w:val="002179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179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17967"/>
    <w:pPr>
      <w:tabs>
        <w:tab w:val="center" w:pos="4252"/>
        <w:tab w:val="right" w:pos="8504"/>
      </w:tabs>
    </w:pPr>
  </w:style>
  <w:style w:type="character" w:customStyle="1" w:styleId="PieddepageCar">
    <w:name w:val="Pied de page Car"/>
    <w:basedOn w:val="Policepardfaut"/>
    <w:link w:val="Pieddepage"/>
    <w:rsid w:val="002179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217967"/>
  </w:style>
  <w:style w:type="paragraph" w:styleId="En-tte">
    <w:name w:val="header"/>
    <w:basedOn w:val="Normal"/>
    <w:link w:val="En-tteCar"/>
    <w:rsid w:val="00217967"/>
    <w:pPr>
      <w:tabs>
        <w:tab w:val="center" w:pos="4252"/>
        <w:tab w:val="right" w:pos="8504"/>
      </w:tabs>
    </w:pPr>
  </w:style>
  <w:style w:type="character" w:customStyle="1" w:styleId="En-tteCar">
    <w:name w:val="En-tête Car"/>
    <w:basedOn w:val="Policepardfaut"/>
    <w:link w:val="En-tte"/>
    <w:rsid w:val="002179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217967"/>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17967"/>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2D3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17967"/>
    <w:rPr>
      <w:rFonts w:ascii="Arial" w:hAnsi="Arial" w:cs="Arial"/>
      <w:sz w:val="24"/>
      <w:lang w:val="es-ES_tradnl" w:eastAsia="es-ES"/>
    </w:rPr>
  </w:style>
  <w:style w:type="paragraph" w:styleId="Corpsdetexte">
    <w:name w:val="Body Text"/>
    <w:basedOn w:val="Normal"/>
    <w:link w:val="CorpsdetexteCar"/>
    <w:rsid w:val="002179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179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17967"/>
    <w:pPr>
      <w:tabs>
        <w:tab w:val="center" w:pos="4252"/>
        <w:tab w:val="right" w:pos="8504"/>
      </w:tabs>
    </w:pPr>
  </w:style>
  <w:style w:type="character" w:customStyle="1" w:styleId="PieddepageCar">
    <w:name w:val="Pied de page Car"/>
    <w:basedOn w:val="Policepardfaut"/>
    <w:link w:val="Pieddepage"/>
    <w:rsid w:val="002179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217967"/>
  </w:style>
  <w:style w:type="paragraph" w:styleId="En-tte">
    <w:name w:val="header"/>
    <w:basedOn w:val="Normal"/>
    <w:link w:val="En-tteCar"/>
    <w:rsid w:val="00217967"/>
    <w:pPr>
      <w:tabs>
        <w:tab w:val="center" w:pos="4252"/>
        <w:tab w:val="right" w:pos="8504"/>
      </w:tabs>
    </w:pPr>
  </w:style>
  <w:style w:type="character" w:customStyle="1" w:styleId="En-tteCar">
    <w:name w:val="En-tête Car"/>
    <w:basedOn w:val="Policepardfaut"/>
    <w:link w:val="En-tte"/>
    <w:rsid w:val="002179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217967"/>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17967"/>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2D3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297">
      <w:bodyDiv w:val="1"/>
      <w:marLeft w:val="0"/>
      <w:marRight w:val="0"/>
      <w:marTop w:val="0"/>
      <w:marBottom w:val="0"/>
      <w:divBdr>
        <w:top w:val="none" w:sz="0" w:space="0" w:color="auto"/>
        <w:left w:val="none" w:sz="0" w:space="0" w:color="auto"/>
        <w:bottom w:val="none" w:sz="0" w:space="0" w:color="auto"/>
        <w:right w:val="none" w:sz="0" w:space="0" w:color="auto"/>
      </w:divBdr>
    </w:div>
    <w:div w:id="2782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12</Pages>
  <Words>4442</Words>
  <Characters>24431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140</cp:revision>
  <dcterms:created xsi:type="dcterms:W3CDTF">2017-04-24T18:13:00Z</dcterms:created>
  <dcterms:modified xsi:type="dcterms:W3CDTF">2017-06-29T13:52:00Z</dcterms:modified>
</cp:coreProperties>
</file>