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F6" w:rsidRDefault="00A60FF6" w:rsidP="00A60FF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A60FF6" w:rsidRDefault="00A60FF6" w:rsidP="00A60FF6">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A60FF6" w:rsidRPr="00A60FF6" w:rsidRDefault="00A60FF6" w:rsidP="007577C2">
      <w:pPr>
        <w:spacing w:line="360" w:lineRule="auto"/>
        <w:jc w:val="both"/>
        <w:rPr>
          <w:rFonts w:ascii="Arial Narrow" w:hAnsi="Arial Narrow" w:cs="Arial"/>
          <w:bCs/>
          <w:i/>
          <w:iCs/>
          <w:sz w:val="16"/>
          <w:szCs w:val="16"/>
          <w:u w:val="single"/>
        </w:rPr>
      </w:pPr>
    </w:p>
    <w:p w:rsidR="007577C2" w:rsidRPr="000A22FA" w:rsidRDefault="007577C2" w:rsidP="007577C2">
      <w:pPr>
        <w:spacing w:line="360" w:lineRule="auto"/>
        <w:jc w:val="both"/>
        <w:rPr>
          <w:rFonts w:ascii="Arial Narrow" w:hAnsi="Arial Narrow" w:cs="Arial"/>
          <w:bCs/>
          <w:i/>
          <w:iCs/>
          <w:sz w:val="36"/>
          <w:szCs w:val="36"/>
          <w:u w:val="single"/>
        </w:rPr>
      </w:pPr>
      <w:r w:rsidRPr="000A22FA">
        <w:rPr>
          <w:rFonts w:ascii="Arial Narrow" w:hAnsi="Arial Narrow" w:cs="Arial"/>
          <w:bCs/>
          <w:i/>
          <w:iCs/>
          <w:sz w:val="36"/>
          <w:szCs w:val="36"/>
          <w:u w:val="single"/>
        </w:rPr>
        <w:t>ORALIDAD</w:t>
      </w:r>
    </w:p>
    <w:p w:rsidR="007577C2" w:rsidRPr="008D0DA1" w:rsidRDefault="007577C2" w:rsidP="007577C2">
      <w:pPr>
        <w:jc w:val="both"/>
        <w:rPr>
          <w:rFonts w:ascii="Arial Narrow" w:hAnsi="Arial Narrow" w:cs="Arial"/>
          <w:sz w:val="16"/>
          <w:szCs w:val="16"/>
        </w:rPr>
      </w:pPr>
      <w:r w:rsidRPr="008D0DA1">
        <w:rPr>
          <w:rFonts w:ascii="Arial Narrow" w:hAnsi="Arial Narrow" w:cs="Arial"/>
          <w:b/>
          <w:sz w:val="16"/>
          <w:szCs w:val="16"/>
        </w:rPr>
        <w:t>Providencia</w:t>
      </w:r>
      <w:r w:rsidRPr="008D0DA1">
        <w:rPr>
          <w:rFonts w:ascii="Arial Narrow" w:hAnsi="Arial Narrow" w:cs="Arial"/>
          <w:sz w:val="16"/>
          <w:szCs w:val="16"/>
        </w:rPr>
        <w:t>:</w:t>
      </w:r>
      <w:r w:rsidRPr="008D0DA1">
        <w:rPr>
          <w:rFonts w:ascii="Arial Narrow" w:hAnsi="Arial Narrow" w:cs="Arial"/>
          <w:sz w:val="16"/>
          <w:szCs w:val="16"/>
        </w:rPr>
        <w:tab/>
      </w:r>
      <w:r w:rsidRPr="008D0DA1">
        <w:rPr>
          <w:rFonts w:ascii="Arial Narrow" w:hAnsi="Arial Narrow" w:cs="Arial"/>
          <w:sz w:val="16"/>
          <w:szCs w:val="16"/>
        </w:rPr>
        <w:tab/>
        <w:t>Sentencia de Segunda Instancia, jueves</w:t>
      </w:r>
      <w:r>
        <w:rPr>
          <w:rFonts w:ascii="Arial Narrow" w:hAnsi="Arial Narrow" w:cs="Arial"/>
          <w:sz w:val="16"/>
          <w:szCs w:val="16"/>
        </w:rPr>
        <w:t xml:space="preserve"> 25 de mayo de 2017</w:t>
      </w:r>
    </w:p>
    <w:p w:rsidR="00A60FF6" w:rsidRPr="008D0DA1" w:rsidRDefault="00A60FF6" w:rsidP="00A60FF6">
      <w:pPr>
        <w:jc w:val="both"/>
        <w:rPr>
          <w:rFonts w:ascii="Arial Narrow" w:hAnsi="Arial Narrow" w:cs="Arial"/>
          <w:iCs/>
          <w:sz w:val="16"/>
          <w:szCs w:val="16"/>
        </w:rPr>
      </w:pPr>
      <w:r w:rsidRPr="008D0DA1">
        <w:rPr>
          <w:rFonts w:ascii="Arial Narrow" w:hAnsi="Arial Narrow" w:cs="Arial"/>
          <w:b/>
          <w:bCs/>
          <w:iCs/>
          <w:sz w:val="16"/>
          <w:szCs w:val="16"/>
        </w:rPr>
        <w:t>Proceso</w:t>
      </w:r>
      <w:r w:rsidRPr="008D0DA1">
        <w:rPr>
          <w:rFonts w:ascii="Arial Narrow" w:hAnsi="Arial Narrow" w:cs="Arial"/>
          <w:bCs/>
          <w:iCs/>
          <w:sz w:val="16"/>
          <w:szCs w:val="16"/>
        </w:rPr>
        <w:t>:</w:t>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iCs/>
          <w:sz w:val="16"/>
          <w:szCs w:val="16"/>
        </w:rPr>
        <w:t>Ordinario Laboral</w:t>
      </w:r>
      <w:r>
        <w:rPr>
          <w:rFonts w:ascii="Arial Narrow" w:hAnsi="Arial Narrow" w:cs="Arial"/>
          <w:iCs/>
          <w:sz w:val="16"/>
          <w:szCs w:val="16"/>
        </w:rPr>
        <w:t xml:space="preserve"> – Revoca decisión del a quo y accede a las pretensiones</w:t>
      </w:r>
      <w:bookmarkStart w:id="0" w:name="_GoBack"/>
      <w:bookmarkEnd w:id="0"/>
    </w:p>
    <w:p w:rsidR="007577C2" w:rsidRPr="008D0DA1" w:rsidRDefault="007577C2" w:rsidP="007577C2">
      <w:pPr>
        <w:jc w:val="both"/>
        <w:rPr>
          <w:rFonts w:ascii="Arial Narrow" w:hAnsi="Arial Narrow" w:cs="Arial"/>
          <w:bCs/>
          <w:iCs/>
          <w:sz w:val="16"/>
          <w:szCs w:val="16"/>
        </w:rPr>
      </w:pPr>
      <w:r w:rsidRPr="008D0DA1">
        <w:rPr>
          <w:rFonts w:ascii="Arial Narrow" w:hAnsi="Arial Narrow" w:cs="Arial"/>
          <w:b/>
          <w:bCs/>
          <w:sz w:val="16"/>
          <w:szCs w:val="16"/>
        </w:rPr>
        <w:t>Radicación No</w:t>
      </w:r>
      <w:r w:rsidRPr="008D0DA1">
        <w:rPr>
          <w:rFonts w:ascii="Arial Narrow" w:hAnsi="Arial Narrow" w:cs="Arial"/>
          <w:bCs/>
          <w:sz w:val="16"/>
          <w:szCs w:val="16"/>
        </w:rPr>
        <w:t>:</w:t>
      </w:r>
      <w:r w:rsidRPr="008D0DA1">
        <w:rPr>
          <w:rFonts w:ascii="Arial Narrow" w:hAnsi="Arial Narrow" w:cs="Arial"/>
          <w:b/>
          <w:bCs/>
          <w:sz w:val="16"/>
          <w:szCs w:val="16"/>
        </w:rPr>
        <w:tab/>
      </w:r>
      <w:r w:rsidRPr="008D0DA1">
        <w:rPr>
          <w:rFonts w:ascii="Arial Narrow" w:hAnsi="Arial Narrow" w:cs="Arial"/>
          <w:b/>
          <w:bCs/>
          <w:sz w:val="16"/>
          <w:szCs w:val="16"/>
        </w:rPr>
        <w:tab/>
      </w:r>
      <w:r w:rsidRPr="008D0DA1">
        <w:rPr>
          <w:rFonts w:ascii="Arial Narrow" w:hAnsi="Arial Narrow" w:cs="Arial"/>
          <w:bCs/>
          <w:sz w:val="16"/>
          <w:szCs w:val="16"/>
        </w:rPr>
        <w:t>66001-31-05-002-201</w:t>
      </w:r>
      <w:r>
        <w:rPr>
          <w:rFonts w:ascii="Arial Narrow" w:hAnsi="Arial Narrow" w:cs="Arial"/>
          <w:bCs/>
          <w:sz w:val="16"/>
          <w:szCs w:val="16"/>
        </w:rPr>
        <w:t>4</w:t>
      </w:r>
      <w:r w:rsidR="001A0CAA">
        <w:rPr>
          <w:rFonts w:ascii="Arial Narrow" w:hAnsi="Arial Narrow" w:cs="Arial"/>
          <w:bCs/>
          <w:sz w:val="16"/>
          <w:szCs w:val="16"/>
        </w:rPr>
        <w:t>-00653-01</w:t>
      </w:r>
    </w:p>
    <w:p w:rsidR="007577C2" w:rsidRPr="008D0DA1" w:rsidRDefault="007577C2" w:rsidP="007577C2">
      <w:pPr>
        <w:ind w:firstLine="6"/>
        <w:jc w:val="both"/>
        <w:rPr>
          <w:rFonts w:ascii="Arial Narrow" w:hAnsi="Arial Narrow" w:cs="Arial"/>
          <w:iCs/>
          <w:sz w:val="16"/>
          <w:szCs w:val="16"/>
        </w:rPr>
      </w:pPr>
      <w:r w:rsidRPr="008D0DA1">
        <w:rPr>
          <w:rFonts w:ascii="Arial Narrow" w:hAnsi="Arial Narrow" w:cs="Arial"/>
          <w:b/>
          <w:iCs/>
          <w:sz w:val="16"/>
          <w:szCs w:val="16"/>
        </w:rPr>
        <w:t>Demandante</w:t>
      </w:r>
      <w:r w:rsidRPr="008D0DA1">
        <w:rPr>
          <w:rFonts w:ascii="Arial Narrow" w:hAnsi="Arial Narrow" w:cs="Arial"/>
          <w:iCs/>
          <w:sz w:val="16"/>
          <w:szCs w:val="16"/>
        </w:rPr>
        <w:t xml:space="preserve">:     </w:t>
      </w:r>
      <w:r w:rsidRPr="008D0DA1">
        <w:rPr>
          <w:rFonts w:ascii="Arial Narrow" w:hAnsi="Arial Narrow" w:cs="Arial"/>
          <w:iCs/>
          <w:sz w:val="16"/>
          <w:szCs w:val="16"/>
        </w:rPr>
        <w:tab/>
      </w:r>
      <w:r w:rsidRPr="008D0DA1">
        <w:rPr>
          <w:rFonts w:ascii="Arial Narrow" w:hAnsi="Arial Narrow" w:cs="Arial"/>
          <w:iCs/>
          <w:sz w:val="16"/>
          <w:szCs w:val="16"/>
        </w:rPr>
        <w:tab/>
      </w:r>
      <w:r w:rsidR="001A0CAA">
        <w:rPr>
          <w:rFonts w:ascii="Arial Narrow" w:hAnsi="Arial Narrow" w:cs="Arial"/>
          <w:iCs/>
          <w:sz w:val="16"/>
          <w:szCs w:val="16"/>
        </w:rPr>
        <w:t xml:space="preserve">Lucila Salas de Rodríguez </w:t>
      </w:r>
      <w:r w:rsidRPr="008D0DA1">
        <w:rPr>
          <w:rFonts w:ascii="Arial Narrow" w:hAnsi="Arial Narrow" w:cs="Arial"/>
          <w:iCs/>
          <w:sz w:val="16"/>
          <w:szCs w:val="16"/>
        </w:rPr>
        <w:t xml:space="preserve">    </w:t>
      </w:r>
    </w:p>
    <w:p w:rsidR="007577C2" w:rsidRPr="008D0DA1" w:rsidRDefault="007577C2" w:rsidP="007577C2">
      <w:pPr>
        <w:ind w:firstLine="6"/>
        <w:jc w:val="both"/>
        <w:rPr>
          <w:rFonts w:ascii="Arial Narrow" w:hAnsi="Arial Narrow" w:cs="Arial"/>
          <w:bCs/>
          <w:sz w:val="16"/>
          <w:szCs w:val="16"/>
        </w:rPr>
      </w:pPr>
      <w:r w:rsidRPr="008D0DA1">
        <w:rPr>
          <w:rFonts w:ascii="Arial Narrow" w:hAnsi="Arial Narrow" w:cs="Arial"/>
          <w:b/>
          <w:bCs/>
          <w:sz w:val="16"/>
          <w:szCs w:val="16"/>
        </w:rPr>
        <w:t>Demandado:</w:t>
      </w:r>
      <w:r w:rsidRPr="008D0DA1">
        <w:rPr>
          <w:rFonts w:ascii="Arial Narrow" w:hAnsi="Arial Narrow" w:cs="Arial"/>
          <w:bCs/>
          <w:sz w:val="16"/>
          <w:szCs w:val="16"/>
        </w:rPr>
        <w:tab/>
      </w:r>
      <w:r w:rsidRPr="008D0DA1">
        <w:rPr>
          <w:rFonts w:ascii="Arial Narrow" w:hAnsi="Arial Narrow" w:cs="Arial"/>
          <w:bCs/>
          <w:sz w:val="16"/>
          <w:szCs w:val="16"/>
        </w:rPr>
        <w:tab/>
      </w:r>
      <w:proofErr w:type="spellStart"/>
      <w:r w:rsidRPr="008D0DA1">
        <w:rPr>
          <w:rFonts w:ascii="Arial Narrow" w:hAnsi="Arial Narrow" w:cs="Arial"/>
          <w:bCs/>
          <w:sz w:val="16"/>
          <w:szCs w:val="16"/>
        </w:rPr>
        <w:t>Colpensiones</w:t>
      </w:r>
      <w:proofErr w:type="spellEnd"/>
    </w:p>
    <w:p w:rsidR="007577C2" w:rsidRPr="008D0DA1" w:rsidRDefault="007577C2" w:rsidP="007577C2">
      <w:pPr>
        <w:jc w:val="both"/>
        <w:rPr>
          <w:rFonts w:ascii="Arial Narrow" w:hAnsi="Arial Narrow" w:cs="Arial"/>
          <w:sz w:val="16"/>
          <w:szCs w:val="16"/>
        </w:rPr>
      </w:pPr>
      <w:r w:rsidRPr="008D0DA1">
        <w:rPr>
          <w:rFonts w:ascii="Arial Narrow" w:hAnsi="Arial Narrow" w:cs="Arial"/>
          <w:b/>
          <w:sz w:val="16"/>
          <w:szCs w:val="16"/>
        </w:rPr>
        <w:t>Juzgado de origen</w:t>
      </w:r>
      <w:r w:rsidRPr="008D0DA1">
        <w:rPr>
          <w:rFonts w:ascii="Arial Narrow" w:hAnsi="Arial Narrow" w:cs="Arial"/>
          <w:sz w:val="16"/>
          <w:szCs w:val="16"/>
        </w:rPr>
        <w:t xml:space="preserve">:    </w:t>
      </w:r>
      <w:r>
        <w:rPr>
          <w:rFonts w:ascii="Arial Narrow" w:hAnsi="Arial Narrow" w:cs="Arial"/>
          <w:sz w:val="16"/>
          <w:szCs w:val="16"/>
        </w:rPr>
        <w:tab/>
      </w:r>
      <w:r w:rsidRPr="008D0DA1">
        <w:rPr>
          <w:rFonts w:ascii="Arial Narrow" w:hAnsi="Arial Narrow" w:cs="Arial"/>
          <w:sz w:val="16"/>
          <w:szCs w:val="16"/>
        </w:rPr>
        <w:t xml:space="preserve"> </w:t>
      </w:r>
      <w:r w:rsidRPr="008D0DA1">
        <w:rPr>
          <w:rFonts w:ascii="Arial Narrow" w:hAnsi="Arial Narrow" w:cs="Arial"/>
          <w:sz w:val="16"/>
          <w:szCs w:val="16"/>
        </w:rPr>
        <w:tab/>
        <w:t>Segundo Laboral del Circuito de Pereira.</w:t>
      </w:r>
    </w:p>
    <w:p w:rsidR="007577C2" w:rsidRPr="008D0DA1" w:rsidRDefault="007577C2" w:rsidP="007577C2">
      <w:pPr>
        <w:jc w:val="both"/>
        <w:rPr>
          <w:rFonts w:ascii="Arial Narrow" w:hAnsi="Arial Narrow" w:cs="Arial"/>
          <w:b/>
          <w:iCs/>
          <w:sz w:val="16"/>
          <w:szCs w:val="16"/>
        </w:rPr>
      </w:pPr>
      <w:r w:rsidRPr="008D0DA1">
        <w:rPr>
          <w:rFonts w:ascii="Arial Narrow" w:hAnsi="Arial Narrow" w:cs="Arial"/>
          <w:b/>
          <w:iCs/>
          <w:sz w:val="16"/>
          <w:szCs w:val="16"/>
        </w:rPr>
        <w:t xml:space="preserve">Magistrado Ponente:     </w:t>
      </w:r>
      <w:r w:rsidRPr="008D0DA1">
        <w:rPr>
          <w:rFonts w:ascii="Arial Narrow" w:hAnsi="Arial Narrow" w:cs="Arial"/>
          <w:b/>
          <w:iCs/>
          <w:sz w:val="16"/>
          <w:szCs w:val="16"/>
        </w:rPr>
        <w:tab/>
      </w:r>
      <w:r w:rsidRPr="008D0DA1">
        <w:rPr>
          <w:rFonts w:ascii="Arial Narrow" w:hAnsi="Arial Narrow" w:cs="Arial"/>
          <w:iCs/>
          <w:sz w:val="16"/>
          <w:szCs w:val="16"/>
        </w:rPr>
        <w:t>Francisco Javier Tamayo Tabares.</w:t>
      </w:r>
    </w:p>
    <w:p w:rsidR="00A60FF6" w:rsidRDefault="00A60FF6" w:rsidP="00CE5398">
      <w:pPr>
        <w:ind w:left="2124" w:hanging="2124"/>
        <w:jc w:val="both"/>
        <w:rPr>
          <w:rFonts w:ascii="Arial Narrow" w:hAnsi="Arial Narrow" w:cs="Arial"/>
          <w:b/>
          <w:bCs/>
          <w:sz w:val="16"/>
          <w:szCs w:val="16"/>
        </w:rPr>
      </w:pPr>
    </w:p>
    <w:p w:rsidR="00CE5398" w:rsidRPr="00936C25" w:rsidRDefault="007577C2" w:rsidP="00CE5398">
      <w:pPr>
        <w:ind w:left="2124" w:hanging="2124"/>
        <w:jc w:val="both"/>
        <w:rPr>
          <w:rFonts w:ascii="Arial Narrow" w:hAnsi="Arial Narrow"/>
          <w:sz w:val="18"/>
          <w:szCs w:val="18"/>
          <w:lang w:val="es-CO" w:eastAsia="es-CO"/>
        </w:rPr>
      </w:pPr>
      <w:r w:rsidRPr="008D0DA1">
        <w:rPr>
          <w:rFonts w:ascii="Arial Narrow" w:hAnsi="Arial Narrow" w:cs="Arial"/>
          <w:b/>
          <w:bCs/>
          <w:sz w:val="16"/>
          <w:szCs w:val="16"/>
        </w:rPr>
        <w:t xml:space="preserve">Tema a tratar: </w:t>
      </w:r>
      <w:r w:rsidRPr="008D0DA1">
        <w:rPr>
          <w:rFonts w:ascii="Arial Narrow" w:hAnsi="Arial Narrow" w:cs="Arial"/>
          <w:b/>
          <w:bCs/>
          <w:sz w:val="16"/>
          <w:szCs w:val="16"/>
        </w:rPr>
        <w:tab/>
      </w:r>
      <w:r w:rsidR="00A60FF6" w:rsidRPr="00936C25">
        <w:rPr>
          <w:rFonts w:ascii="Arial Narrow" w:hAnsi="Arial Narrow"/>
          <w:b/>
          <w:sz w:val="18"/>
          <w:szCs w:val="18"/>
        </w:rPr>
        <w:t>CÁLCULO DEL INGRESO BASE DE LIQUIDACIÓN CON FUNDAMENTO EN EL ACUERDO 049 DE 1990</w:t>
      </w:r>
      <w:r w:rsidR="00CE5398" w:rsidRPr="00936C25">
        <w:rPr>
          <w:rFonts w:ascii="Arial Narrow" w:hAnsi="Arial Narrow"/>
          <w:b/>
          <w:sz w:val="18"/>
          <w:szCs w:val="18"/>
        </w:rPr>
        <w:t xml:space="preserve">: </w:t>
      </w:r>
      <w:r w:rsidR="00CE5398" w:rsidRPr="00936C25">
        <w:rPr>
          <w:rFonts w:ascii="Arial Narrow" w:hAnsi="Arial Narrow"/>
          <w:sz w:val="18"/>
          <w:szCs w:val="18"/>
        </w:rPr>
        <w:t>establece el</w:t>
      </w:r>
      <w:r w:rsidR="00CE5398">
        <w:rPr>
          <w:rFonts w:ascii="Arial Narrow" w:hAnsi="Arial Narrow"/>
          <w:sz w:val="18"/>
          <w:szCs w:val="18"/>
        </w:rPr>
        <w:t xml:space="preserve"> </w:t>
      </w:r>
      <w:r w:rsidR="00CE5398" w:rsidRPr="00936C25">
        <w:rPr>
          <w:rFonts w:ascii="Arial Narrow" w:hAnsi="Arial Narrow" w:cs="Arial"/>
          <w:bCs/>
          <w:sz w:val="18"/>
          <w:szCs w:val="18"/>
        </w:rPr>
        <w:t>parágrafo 1º del artículo 20 del Acuerdo 049 de 1990, aprobado por el Decreto 758 del mismo año que  e</w:t>
      </w:r>
      <w:r w:rsidR="00CE5398" w:rsidRPr="00936C25">
        <w:rPr>
          <w:rFonts w:ascii="Arial Narrow" w:hAnsi="Arial Narrow"/>
          <w:sz w:val="18"/>
          <w:szCs w:val="18"/>
        </w:rPr>
        <w:t>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p w:rsidR="007577C2" w:rsidRPr="008D0DA1" w:rsidRDefault="007577C2" w:rsidP="00CE5398">
      <w:pPr>
        <w:autoSpaceDE w:val="0"/>
        <w:autoSpaceDN w:val="0"/>
        <w:adjustRightInd w:val="0"/>
        <w:ind w:left="2124" w:hanging="2124"/>
        <w:jc w:val="both"/>
        <w:rPr>
          <w:rFonts w:ascii="Arial Narrow" w:hAnsi="Arial Narrow" w:cs="Tahoma"/>
          <w:sz w:val="16"/>
          <w:szCs w:val="16"/>
          <w:highlight w:val="yellow"/>
        </w:rPr>
      </w:pPr>
    </w:p>
    <w:p w:rsidR="001A0CAA" w:rsidRDefault="001A0CAA" w:rsidP="007577C2">
      <w:pPr>
        <w:pStyle w:val="Sansinterligne"/>
        <w:rPr>
          <w:rFonts w:ascii="Arial Narrow" w:hAnsi="Arial Narrow" w:cs="Arial"/>
          <w:b/>
          <w:sz w:val="29"/>
          <w:szCs w:val="29"/>
          <w:u w:val="single"/>
        </w:rPr>
      </w:pPr>
    </w:p>
    <w:p w:rsidR="007577C2" w:rsidRPr="000A22FA" w:rsidRDefault="007577C2" w:rsidP="007577C2">
      <w:pPr>
        <w:pStyle w:val="Sansinterligne"/>
        <w:rPr>
          <w:rFonts w:ascii="Arial Narrow" w:hAnsi="Arial Narrow" w:cs="Arial"/>
          <w:sz w:val="29"/>
          <w:szCs w:val="29"/>
        </w:rPr>
      </w:pPr>
      <w:r w:rsidRPr="000A22FA">
        <w:rPr>
          <w:rFonts w:ascii="Arial Narrow" w:hAnsi="Arial Narrow" w:cs="Arial"/>
          <w:sz w:val="29"/>
          <w:szCs w:val="29"/>
          <w:u w:val="single"/>
        </w:rPr>
        <w:t>AUDIENCIA PÚBLICA</w:t>
      </w:r>
      <w:r w:rsidRPr="000A22FA">
        <w:rPr>
          <w:rFonts w:ascii="Arial Narrow" w:hAnsi="Arial Narrow" w:cs="Arial"/>
          <w:sz w:val="29"/>
          <w:szCs w:val="29"/>
        </w:rPr>
        <w:t>:</w:t>
      </w:r>
    </w:p>
    <w:p w:rsidR="007577C2" w:rsidRPr="00BD51DF" w:rsidRDefault="007577C2" w:rsidP="007577C2">
      <w:pPr>
        <w:pStyle w:val="Sansinterligne"/>
      </w:pPr>
    </w:p>
    <w:p w:rsidR="007577C2" w:rsidRPr="00CE5398" w:rsidRDefault="007577C2" w:rsidP="00CE5398">
      <w:pPr>
        <w:pStyle w:val="Sansinterligne"/>
        <w:rPr>
          <w:rFonts w:eastAsia="Calibri"/>
        </w:rPr>
      </w:pPr>
    </w:p>
    <w:p w:rsidR="007577C2" w:rsidRPr="000A22FA" w:rsidRDefault="007577C2" w:rsidP="007577C2">
      <w:pPr>
        <w:spacing w:line="360" w:lineRule="auto"/>
        <w:ind w:firstLine="851"/>
        <w:jc w:val="both"/>
        <w:rPr>
          <w:rFonts w:ascii="Arial Narrow" w:hAnsi="Arial Narrow" w:cs="Arial"/>
          <w:bCs/>
          <w:iCs/>
          <w:sz w:val="28"/>
          <w:szCs w:val="28"/>
        </w:rPr>
      </w:pPr>
      <w:r w:rsidRPr="00A071CD">
        <w:rPr>
          <w:rFonts w:ascii="Arial Narrow" w:eastAsia="Calibri" w:hAnsi="Arial Narrow" w:cs="Arial"/>
          <w:sz w:val="28"/>
          <w:szCs w:val="28"/>
          <w:lang w:val="es-CO" w:eastAsia="en-US"/>
        </w:rPr>
        <w:t>En Pereira, a lo</w:t>
      </w:r>
      <w:r>
        <w:rPr>
          <w:rFonts w:ascii="Arial Narrow" w:eastAsia="Calibri" w:hAnsi="Arial Narrow" w:cs="Arial"/>
          <w:sz w:val="28"/>
          <w:szCs w:val="28"/>
          <w:lang w:val="es-CO" w:eastAsia="en-US"/>
        </w:rPr>
        <w:t xml:space="preserve">s </w:t>
      </w:r>
      <w:r w:rsidR="001A0CAA">
        <w:rPr>
          <w:rFonts w:ascii="Arial Narrow" w:eastAsia="Calibri" w:hAnsi="Arial Narrow" w:cs="Arial"/>
          <w:sz w:val="28"/>
          <w:szCs w:val="28"/>
          <w:lang w:val="es-CO" w:eastAsia="en-US"/>
        </w:rPr>
        <w:t>veinticinco (25)</w:t>
      </w:r>
      <w:r>
        <w:rPr>
          <w:rFonts w:ascii="Arial Narrow" w:eastAsia="Calibri" w:hAnsi="Arial Narrow" w:cs="Arial"/>
          <w:sz w:val="28"/>
          <w:szCs w:val="28"/>
          <w:lang w:val="es-CO" w:eastAsia="en-US"/>
        </w:rPr>
        <w:t xml:space="preserve"> días del mes de</w:t>
      </w:r>
      <w:r w:rsidR="001A0CAA">
        <w:rPr>
          <w:rFonts w:ascii="Arial Narrow" w:eastAsia="Calibri" w:hAnsi="Arial Narrow" w:cs="Arial"/>
          <w:sz w:val="28"/>
          <w:szCs w:val="28"/>
          <w:lang w:val="es-CO" w:eastAsia="en-US"/>
        </w:rPr>
        <w:t xml:space="preserve"> mayo de dos</w:t>
      </w:r>
      <w:r>
        <w:rPr>
          <w:rFonts w:ascii="Arial Narrow" w:eastAsia="Calibri" w:hAnsi="Arial Narrow" w:cs="Arial"/>
          <w:sz w:val="28"/>
          <w:szCs w:val="28"/>
          <w:lang w:val="es-CO" w:eastAsia="en-US"/>
        </w:rPr>
        <w:t xml:space="preserve"> mil diecisiete </w:t>
      </w:r>
      <w:r w:rsidRPr="00A071CD">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071CD">
        <w:rPr>
          <w:rFonts w:ascii="Arial Narrow" w:eastAsia="Calibri" w:hAnsi="Arial Narrow" w:cs="Arial"/>
          <w:sz w:val="28"/>
          <w:szCs w:val="28"/>
          <w:lang w:val="es-CO" w:eastAsia="en-US"/>
        </w:rPr>
        <w:t>), siendo las</w:t>
      </w:r>
      <w:r w:rsidR="001A0CAA">
        <w:rPr>
          <w:rFonts w:ascii="Arial Narrow" w:eastAsia="Calibri" w:hAnsi="Arial Narrow" w:cs="Arial"/>
          <w:sz w:val="28"/>
          <w:szCs w:val="28"/>
          <w:lang w:val="es-CO" w:eastAsia="en-US"/>
        </w:rPr>
        <w:t xml:space="preserve"> diez y treinta </w:t>
      </w:r>
      <w:r>
        <w:rPr>
          <w:rFonts w:ascii="Arial Narrow" w:eastAsia="Calibri" w:hAnsi="Arial Narrow" w:cs="Arial"/>
          <w:sz w:val="28"/>
          <w:szCs w:val="28"/>
          <w:lang w:val="es-CO" w:eastAsia="en-US"/>
        </w:rPr>
        <w:t xml:space="preserve">minutos de la mañana </w:t>
      </w:r>
      <w:r w:rsidRPr="00A071CD">
        <w:rPr>
          <w:rFonts w:ascii="Arial Narrow" w:eastAsia="Calibri" w:hAnsi="Arial Narrow" w:cs="Arial"/>
          <w:sz w:val="28"/>
          <w:szCs w:val="28"/>
          <w:lang w:val="es-CO" w:eastAsia="en-US"/>
        </w:rPr>
        <w:t>(</w:t>
      </w:r>
      <w:r w:rsidR="001A0CAA">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:30 a.m.</w:t>
      </w:r>
      <w:r w:rsidRPr="00A071CD">
        <w:rPr>
          <w:rFonts w:ascii="Arial Narrow" w:eastAsia="Calibri" w:hAnsi="Arial Narrow" w:cs="Arial"/>
          <w:sz w:val="28"/>
          <w:szCs w:val="28"/>
          <w:lang w:val="es-CO" w:eastAsia="en-US"/>
        </w:rPr>
        <w:t xml:space="preserve">), </w:t>
      </w:r>
      <w:r w:rsidRPr="00A071CD">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 magistrado de</w:t>
      </w:r>
      <w:r w:rsidRPr="00A071CD">
        <w:rPr>
          <w:rFonts w:ascii="Arial Narrow" w:hAnsi="Arial Narrow" w:cs="Tahoma"/>
          <w:bCs/>
          <w:color w:val="000000"/>
          <w:sz w:val="28"/>
          <w:szCs w:val="28"/>
          <w:lang w:eastAsia="es-CO"/>
        </w:rPr>
        <w:t xml:space="preserve"> la Sala Laboral del Tribunal Superior de Pereira, el ponente declara abierto el acto, que tiene por objeto resolver el grado jurisdiccional de consulta ordenado frente a la </w:t>
      </w:r>
      <w:r w:rsidRPr="00A071CD">
        <w:rPr>
          <w:rFonts w:ascii="Arial Narrow" w:hAnsi="Arial Narrow" w:cs="Arial"/>
          <w:sz w:val="28"/>
          <w:szCs w:val="28"/>
        </w:rPr>
        <w:t xml:space="preserve">sentencia proferida el </w:t>
      </w:r>
      <w:r w:rsidR="001A0CAA">
        <w:rPr>
          <w:rFonts w:ascii="Arial Narrow" w:hAnsi="Arial Narrow" w:cs="Arial"/>
          <w:sz w:val="28"/>
          <w:szCs w:val="28"/>
        </w:rPr>
        <w:t>3 de junio de 2</w:t>
      </w:r>
      <w:r>
        <w:rPr>
          <w:rFonts w:ascii="Arial Narrow" w:hAnsi="Arial Narrow" w:cs="Arial"/>
          <w:sz w:val="28"/>
          <w:szCs w:val="28"/>
        </w:rPr>
        <w:t xml:space="preserve">016 </w:t>
      </w:r>
      <w:r w:rsidRPr="00A071CD">
        <w:rPr>
          <w:rFonts w:ascii="Arial Narrow" w:hAnsi="Arial Narrow" w:cs="Arial"/>
          <w:sz w:val="28"/>
          <w:szCs w:val="28"/>
        </w:rPr>
        <w:t>por el Juzgado</w:t>
      </w:r>
      <w:r>
        <w:rPr>
          <w:rFonts w:ascii="Arial Narrow" w:hAnsi="Arial Narrow" w:cs="Arial"/>
          <w:sz w:val="28"/>
          <w:szCs w:val="28"/>
        </w:rPr>
        <w:t xml:space="preserve"> Segundo </w:t>
      </w:r>
      <w:r w:rsidRPr="00A071CD">
        <w:rPr>
          <w:rFonts w:ascii="Arial Narrow" w:hAnsi="Arial Narrow" w:cs="Arial"/>
          <w:sz w:val="28"/>
          <w:szCs w:val="28"/>
        </w:rPr>
        <w:t xml:space="preserve">Laboral del Circuito de Pereira, dentro del proceso ordinario laboral promovido por </w:t>
      </w:r>
      <w:r w:rsidR="001A0CAA" w:rsidRPr="000A22FA">
        <w:rPr>
          <w:rFonts w:ascii="Arial Narrow" w:hAnsi="Arial Narrow" w:cs="Arial"/>
          <w:i/>
          <w:sz w:val="28"/>
          <w:szCs w:val="28"/>
        </w:rPr>
        <w:t xml:space="preserve">Lucila Salas de Rodríguez </w:t>
      </w:r>
      <w:r w:rsidRPr="000A22FA">
        <w:rPr>
          <w:rFonts w:ascii="Arial Narrow" w:hAnsi="Arial Narrow" w:cs="Arial"/>
          <w:sz w:val="28"/>
          <w:szCs w:val="28"/>
        </w:rPr>
        <w:t xml:space="preserve">contra la </w:t>
      </w:r>
      <w:r w:rsidRPr="000A22FA">
        <w:rPr>
          <w:rFonts w:ascii="Arial Narrow" w:hAnsi="Arial Narrow" w:cs="Arial"/>
          <w:i/>
          <w:sz w:val="28"/>
          <w:szCs w:val="28"/>
        </w:rPr>
        <w:t xml:space="preserve">Administradora Colombiana de Pensiones </w:t>
      </w:r>
      <w:proofErr w:type="spellStart"/>
      <w:r w:rsidRPr="000A22FA">
        <w:rPr>
          <w:rFonts w:ascii="Arial Narrow" w:hAnsi="Arial Narrow" w:cs="Arial"/>
          <w:bCs/>
          <w:i/>
          <w:sz w:val="28"/>
          <w:szCs w:val="28"/>
        </w:rPr>
        <w:t>Colpensiones</w:t>
      </w:r>
      <w:proofErr w:type="spellEnd"/>
      <w:r w:rsidRPr="000A22FA">
        <w:rPr>
          <w:rFonts w:ascii="Arial Narrow" w:hAnsi="Arial Narrow" w:cs="Arial"/>
          <w:bCs/>
          <w:i/>
          <w:iCs/>
          <w:sz w:val="28"/>
          <w:szCs w:val="28"/>
        </w:rPr>
        <w:t>.</w:t>
      </w:r>
    </w:p>
    <w:p w:rsidR="007577C2" w:rsidRPr="00A071CD" w:rsidRDefault="007577C2" w:rsidP="007577C2">
      <w:pPr>
        <w:pStyle w:val="Sansinterligne"/>
        <w:rPr>
          <w:sz w:val="28"/>
          <w:szCs w:val="28"/>
        </w:rPr>
      </w:pPr>
    </w:p>
    <w:p w:rsidR="007577C2" w:rsidRPr="000A22FA" w:rsidRDefault="007577C2" w:rsidP="007577C2">
      <w:pPr>
        <w:shd w:val="clear" w:color="auto" w:fill="FFFFFF"/>
        <w:spacing w:line="360" w:lineRule="atLeast"/>
        <w:ind w:firstLine="708"/>
        <w:jc w:val="both"/>
        <w:rPr>
          <w:rFonts w:ascii="Arial Narrow" w:hAnsi="Arial Narrow" w:cs="Tahoma"/>
          <w:bCs/>
          <w:color w:val="000000"/>
          <w:sz w:val="28"/>
          <w:szCs w:val="28"/>
          <w:lang w:eastAsia="es-CO"/>
        </w:rPr>
      </w:pPr>
      <w:r w:rsidRPr="000A22FA">
        <w:rPr>
          <w:rFonts w:ascii="Arial Narrow" w:hAnsi="Arial Narrow" w:cs="Tahoma"/>
          <w:bCs/>
          <w:color w:val="000000"/>
          <w:sz w:val="28"/>
          <w:szCs w:val="28"/>
          <w:lang w:eastAsia="es-CO"/>
        </w:rPr>
        <w:t>IDENTIFICACIÓN DE LOS PRESENTES:</w:t>
      </w:r>
    </w:p>
    <w:p w:rsidR="007577C2" w:rsidRPr="00CE5398" w:rsidRDefault="007577C2" w:rsidP="00CE5398">
      <w:pPr>
        <w:pStyle w:val="Sansinterligne"/>
      </w:pPr>
    </w:p>
    <w:p w:rsidR="007577C2" w:rsidRPr="000231B1" w:rsidRDefault="007577C2" w:rsidP="000231B1">
      <w:pPr>
        <w:pStyle w:val="Paragraphedeliste"/>
        <w:numPr>
          <w:ilvl w:val="0"/>
          <w:numId w:val="4"/>
        </w:numPr>
        <w:spacing w:line="360" w:lineRule="auto"/>
        <w:rPr>
          <w:rFonts w:ascii="Arial Narrow" w:hAnsi="Arial Narrow" w:cs="Tahoma"/>
          <w:i/>
          <w:sz w:val="28"/>
          <w:szCs w:val="28"/>
        </w:rPr>
      </w:pPr>
      <w:r w:rsidRPr="000231B1">
        <w:rPr>
          <w:rFonts w:ascii="Arial Narrow" w:hAnsi="Arial Narrow" w:cs="Tahoma"/>
          <w:i/>
          <w:sz w:val="28"/>
          <w:szCs w:val="28"/>
        </w:rPr>
        <w:t>INTRODUCCIÓN</w:t>
      </w:r>
    </w:p>
    <w:p w:rsidR="007577C2" w:rsidRPr="00A071CD" w:rsidRDefault="007577C2" w:rsidP="007577C2">
      <w:pPr>
        <w:pStyle w:val="Sansinterligne"/>
        <w:rPr>
          <w:sz w:val="28"/>
          <w:szCs w:val="28"/>
        </w:rPr>
      </w:pPr>
    </w:p>
    <w:p w:rsidR="007577C2" w:rsidRDefault="000064B0" w:rsidP="001A0CAA">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7577C2">
        <w:rPr>
          <w:rFonts w:ascii="Arial Narrow" w:hAnsi="Arial Narrow" w:cs="Tahoma"/>
          <w:sz w:val="28"/>
          <w:szCs w:val="28"/>
        </w:rPr>
        <w:t xml:space="preserve">demandante pretende que se declare que </w:t>
      </w:r>
      <w:r w:rsidR="001A0CAA">
        <w:rPr>
          <w:rFonts w:ascii="Arial Narrow" w:hAnsi="Arial Narrow" w:cs="Tahoma"/>
          <w:sz w:val="28"/>
          <w:szCs w:val="28"/>
        </w:rPr>
        <w:t xml:space="preserve">tiene derecho a la reliquidación de la pensión de vejez, con base en el promedio de las últimas cien semanas cotizadas, y en consecuencia, se condene a la entidad convocada a juicio, a pagar el reajuste pensional causado desde el 30 de marzo de 1994 y hasta cuando se efectúe el pago, junto con la indexación de las condenas y las costas del proceso.  </w:t>
      </w:r>
    </w:p>
    <w:p w:rsidR="001A0CAA" w:rsidRDefault="001A0CAA" w:rsidP="000A22FA">
      <w:pPr>
        <w:pStyle w:val="Sansinterligne"/>
      </w:pPr>
    </w:p>
    <w:p w:rsidR="001A0CAA" w:rsidRDefault="007577C2" w:rsidP="007577C2">
      <w:pPr>
        <w:shd w:val="clear" w:color="auto" w:fill="FFFFFF"/>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Como fundamento de las preinsertas súplicas expuso</w:t>
      </w:r>
      <w:r>
        <w:rPr>
          <w:rFonts w:ascii="Arial Narrow" w:hAnsi="Arial Narrow" w:cs="Tahoma"/>
          <w:color w:val="000000"/>
          <w:sz w:val="28"/>
          <w:szCs w:val="28"/>
          <w:lang w:eastAsia="es-CO"/>
        </w:rPr>
        <w:t xml:space="preserve"> que </w:t>
      </w:r>
      <w:r w:rsidR="001A0CAA">
        <w:rPr>
          <w:rFonts w:ascii="Arial Narrow" w:hAnsi="Arial Narrow" w:cs="Tahoma"/>
          <w:color w:val="000000"/>
          <w:sz w:val="28"/>
          <w:szCs w:val="28"/>
          <w:lang w:eastAsia="es-CO"/>
        </w:rPr>
        <w:t xml:space="preserve">mediante resolución No. 001475 de 1994, el Instituto de Seguros Sociales le reconoció la pensión de vejez, a partir del 30 de marzo de ese año y en cuantía de $ 109.039, calculada con base en un IBL de $139.793 al cual se le aplicó una tasa de remplazo </w:t>
      </w:r>
      <w:r w:rsidR="001A0CAA">
        <w:rPr>
          <w:rFonts w:ascii="Arial Narrow" w:hAnsi="Arial Narrow" w:cs="Tahoma"/>
          <w:color w:val="000000"/>
          <w:sz w:val="28"/>
          <w:szCs w:val="28"/>
          <w:lang w:eastAsia="es-CO"/>
        </w:rPr>
        <w:lastRenderedPageBreak/>
        <w:t xml:space="preserve">del 78% por contar con 1.071 semanas. Aduce que contra dicho acto administrativo presentó reclamación el 19 de noviembre de 2013, en aras de que se revisara la cantidad de semanas efectivamente cotizadas, y se </w:t>
      </w:r>
      <w:proofErr w:type="spellStart"/>
      <w:r w:rsidR="001A0CAA">
        <w:rPr>
          <w:rFonts w:ascii="Arial Narrow" w:hAnsi="Arial Narrow" w:cs="Tahoma"/>
          <w:color w:val="000000"/>
          <w:sz w:val="28"/>
          <w:szCs w:val="28"/>
          <w:lang w:eastAsia="es-CO"/>
        </w:rPr>
        <w:t>reliquidara</w:t>
      </w:r>
      <w:proofErr w:type="spellEnd"/>
      <w:r w:rsidR="001A0CAA">
        <w:rPr>
          <w:rFonts w:ascii="Arial Narrow" w:hAnsi="Arial Narrow" w:cs="Tahoma"/>
          <w:color w:val="000000"/>
          <w:sz w:val="28"/>
          <w:szCs w:val="28"/>
          <w:lang w:eastAsia="es-CO"/>
        </w:rPr>
        <w:t xml:space="preserve"> nuevamente la prestación, en aplicación </w:t>
      </w:r>
      <w:r w:rsidR="009E7400">
        <w:rPr>
          <w:rFonts w:ascii="Arial Narrow" w:hAnsi="Arial Narrow" w:cs="Tahoma"/>
          <w:color w:val="000000"/>
          <w:sz w:val="28"/>
          <w:szCs w:val="28"/>
          <w:lang w:eastAsia="es-CO"/>
        </w:rPr>
        <w:t>del principio de favorabilidad, sin embargo, la entidad accionada confirmó</w:t>
      </w:r>
      <w:r w:rsidR="00D85486">
        <w:rPr>
          <w:rFonts w:ascii="Arial Narrow" w:hAnsi="Arial Narrow" w:cs="Tahoma"/>
          <w:color w:val="000000"/>
          <w:sz w:val="28"/>
          <w:szCs w:val="28"/>
          <w:lang w:eastAsia="es-CO"/>
        </w:rPr>
        <w:t xml:space="preserve"> </w:t>
      </w:r>
      <w:r w:rsidR="009E7400">
        <w:rPr>
          <w:rFonts w:ascii="Arial Narrow" w:hAnsi="Arial Narrow" w:cs="Tahoma"/>
          <w:color w:val="000000"/>
          <w:sz w:val="28"/>
          <w:szCs w:val="28"/>
          <w:lang w:eastAsia="es-CO"/>
        </w:rPr>
        <w:t>la decisión</w:t>
      </w:r>
      <w:r w:rsidR="00D85486">
        <w:rPr>
          <w:rFonts w:ascii="Arial Narrow" w:hAnsi="Arial Narrow" w:cs="Tahoma"/>
          <w:color w:val="000000"/>
          <w:sz w:val="28"/>
          <w:szCs w:val="28"/>
          <w:lang w:eastAsia="es-CO"/>
        </w:rPr>
        <w:t xml:space="preserve"> inicial</w:t>
      </w:r>
      <w:r w:rsidR="009E7400">
        <w:rPr>
          <w:rFonts w:ascii="Arial Narrow" w:hAnsi="Arial Narrow" w:cs="Tahoma"/>
          <w:color w:val="000000"/>
          <w:sz w:val="28"/>
          <w:szCs w:val="28"/>
          <w:lang w:eastAsia="es-CO"/>
        </w:rPr>
        <w:t xml:space="preserve"> mediante resolución GNR de 2014.</w:t>
      </w:r>
    </w:p>
    <w:p w:rsidR="007577C2" w:rsidRDefault="007577C2" w:rsidP="007577C2">
      <w:pPr>
        <w:pStyle w:val="Sansinterligne"/>
        <w:rPr>
          <w:lang w:eastAsia="es-CO"/>
        </w:rPr>
      </w:pPr>
    </w:p>
    <w:p w:rsidR="007577C2" w:rsidRPr="00A071CD" w:rsidRDefault="00D85486" w:rsidP="007577C2">
      <w:pPr>
        <w:spacing w:line="360" w:lineRule="auto"/>
        <w:ind w:firstLine="708"/>
        <w:jc w:val="both"/>
        <w:rPr>
          <w:rFonts w:ascii="Arial Narrow" w:hAnsi="Arial Narrow" w:cs="Tahoma"/>
          <w:sz w:val="28"/>
          <w:szCs w:val="28"/>
        </w:rPr>
      </w:pPr>
      <w:r>
        <w:rPr>
          <w:rFonts w:ascii="Arial Narrow" w:hAnsi="Arial Narrow" w:cs="Tahoma"/>
          <w:sz w:val="28"/>
          <w:szCs w:val="28"/>
        </w:rPr>
        <w:t xml:space="preserve">Trabada la </w:t>
      </w:r>
      <w:proofErr w:type="spellStart"/>
      <w:r>
        <w:rPr>
          <w:rFonts w:ascii="Arial Narrow" w:hAnsi="Arial Narrow" w:cs="Tahoma"/>
          <w:sz w:val="28"/>
          <w:szCs w:val="28"/>
        </w:rPr>
        <w:t>litis</w:t>
      </w:r>
      <w:proofErr w:type="spellEnd"/>
      <w:r>
        <w:rPr>
          <w:rFonts w:ascii="Arial Narrow" w:hAnsi="Arial Narrow" w:cs="Tahoma"/>
          <w:sz w:val="28"/>
          <w:szCs w:val="28"/>
        </w:rPr>
        <w:t xml:space="preserve">, la </w:t>
      </w:r>
      <w:r w:rsidR="007577C2" w:rsidRPr="00D85486">
        <w:rPr>
          <w:rFonts w:ascii="Arial Narrow" w:hAnsi="Arial Narrow" w:cs="Tahoma"/>
          <w:sz w:val="28"/>
          <w:szCs w:val="28"/>
        </w:rPr>
        <w:t xml:space="preserve">Administradora Colombiana de Pensiones </w:t>
      </w:r>
      <w:proofErr w:type="spellStart"/>
      <w:r w:rsidR="007577C2" w:rsidRPr="00D85486">
        <w:rPr>
          <w:rFonts w:ascii="Arial Narrow" w:hAnsi="Arial Narrow" w:cs="Tahoma"/>
          <w:sz w:val="28"/>
          <w:szCs w:val="28"/>
        </w:rPr>
        <w:t>Colpensiones</w:t>
      </w:r>
      <w:proofErr w:type="spellEnd"/>
      <w:r w:rsidRPr="00D85486">
        <w:rPr>
          <w:rFonts w:ascii="Arial Narrow" w:hAnsi="Arial Narrow" w:cs="Tahoma"/>
          <w:sz w:val="28"/>
          <w:szCs w:val="28"/>
        </w:rPr>
        <w:t xml:space="preserve"> allegó respuesta a la demanda, en la que aceptó los hechos y se opuso a las prosperidad de las pretensiones, por considerar que </w:t>
      </w:r>
      <w:r>
        <w:rPr>
          <w:rFonts w:ascii="Arial Narrow" w:hAnsi="Arial Narrow" w:cs="Tahoma"/>
          <w:sz w:val="28"/>
          <w:szCs w:val="28"/>
        </w:rPr>
        <w:t xml:space="preserve">la liquidación efectuada por la entidad </w:t>
      </w:r>
      <w:r w:rsidR="009104D0">
        <w:rPr>
          <w:rFonts w:ascii="Arial Narrow" w:hAnsi="Arial Narrow" w:cs="Tahoma"/>
          <w:sz w:val="28"/>
          <w:szCs w:val="28"/>
        </w:rPr>
        <w:t xml:space="preserve">se encuentra conforme a derecho, </w:t>
      </w:r>
      <w:r>
        <w:rPr>
          <w:rFonts w:ascii="Arial Narrow" w:hAnsi="Arial Narrow" w:cs="Tahoma"/>
          <w:sz w:val="28"/>
          <w:szCs w:val="28"/>
        </w:rPr>
        <w:t>y que una vez se realizó la reliquidación, no se encontraron diferencias por cancelar</w:t>
      </w:r>
      <w:r w:rsidR="009104D0">
        <w:rPr>
          <w:rFonts w:ascii="Arial Narrow" w:hAnsi="Arial Narrow" w:cs="Tahoma"/>
          <w:sz w:val="28"/>
          <w:szCs w:val="28"/>
        </w:rPr>
        <w:t xml:space="preserve"> en favor de la actora</w:t>
      </w:r>
      <w:r>
        <w:rPr>
          <w:rFonts w:ascii="Arial Narrow" w:hAnsi="Arial Narrow" w:cs="Tahoma"/>
          <w:sz w:val="28"/>
          <w:szCs w:val="28"/>
        </w:rPr>
        <w:t xml:space="preserve">. </w:t>
      </w:r>
      <w:r w:rsidR="007577C2">
        <w:rPr>
          <w:rFonts w:ascii="Arial Narrow" w:hAnsi="Arial Narrow" w:cs="Tahoma"/>
          <w:sz w:val="28"/>
          <w:szCs w:val="28"/>
        </w:rPr>
        <w:t>En su defensa, propuso</w:t>
      </w:r>
      <w:r>
        <w:rPr>
          <w:rFonts w:ascii="Arial Narrow" w:hAnsi="Arial Narrow" w:cs="Tahoma"/>
          <w:sz w:val="28"/>
          <w:szCs w:val="28"/>
        </w:rPr>
        <w:t xml:space="preserve"> la excepción de “Prescripción”.</w:t>
      </w:r>
    </w:p>
    <w:p w:rsidR="007577C2" w:rsidRPr="00A071CD" w:rsidRDefault="007577C2" w:rsidP="007577C2">
      <w:pPr>
        <w:pStyle w:val="Sansinterligne"/>
      </w:pPr>
    </w:p>
    <w:p w:rsidR="000A67B1" w:rsidRDefault="007577C2" w:rsidP="007577C2">
      <w:pPr>
        <w:spacing w:line="360" w:lineRule="auto"/>
        <w:ind w:firstLine="900"/>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 xml:space="preserve">El Juzgado </w:t>
      </w:r>
      <w:r>
        <w:rPr>
          <w:rFonts w:ascii="Arial Narrow" w:hAnsi="Arial Narrow" w:cs="Tahoma"/>
          <w:color w:val="000000"/>
          <w:sz w:val="28"/>
          <w:szCs w:val="28"/>
          <w:lang w:eastAsia="es-CO"/>
        </w:rPr>
        <w:t xml:space="preserve">Segundo </w:t>
      </w:r>
      <w:r w:rsidRPr="00A071CD">
        <w:rPr>
          <w:rFonts w:ascii="Arial Narrow" w:hAnsi="Arial Narrow" w:cs="Tahoma"/>
          <w:color w:val="000000"/>
          <w:sz w:val="28"/>
          <w:szCs w:val="28"/>
          <w:lang w:eastAsia="es-CO"/>
        </w:rPr>
        <w:t xml:space="preserve">Laboral del Circuito de Pereira </w:t>
      </w:r>
      <w:r w:rsidR="009104D0">
        <w:rPr>
          <w:rFonts w:ascii="Arial Narrow" w:hAnsi="Arial Narrow" w:cs="Tahoma"/>
          <w:color w:val="000000"/>
          <w:sz w:val="28"/>
          <w:szCs w:val="28"/>
          <w:lang w:eastAsia="es-CO"/>
        </w:rPr>
        <w:t>mediante fallo del 3 de junio de 2016, absolvió a la dem</w:t>
      </w:r>
      <w:r w:rsidR="000A67B1">
        <w:rPr>
          <w:rFonts w:ascii="Arial Narrow" w:hAnsi="Arial Narrow" w:cs="Tahoma"/>
          <w:color w:val="000000"/>
          <w:sz w:val="28"/>
          <w:szCs w:val="28"/>
          <w:lang w:eastAsia="es-CO"/>
        </w:rPr>
        <w:t>andada de todas las pretensiones</w:t>
      </w:r>
      <w:r w:rsidR="009104D0">
        <w:rPr>
          <w:rFonts w:ascii="Arial Narrow" w:hAnsi="Arial Narrow" w:cs="Tahoma"/>
          <w:color w:val="000000"/>
          <w:sz w:val="28"/>
          <w:szCs w:val="28"/>
          <w:lang w:eastAsia="es-CO"/>
        </w:rPr>
        <w:t xml:space="preserve"> y condenó en costas a la parte vencida en un 100 %. En motiva, la a-quo </w:t>
      </w:r>
      <w:r w:rsidR="000A67B1">
        <w:rPr>
          <w:rFonts w:ascii="Arial Narrow" w:hAnsi="Arial Narrow" w:cs="Tahoma"/>
          <w:color w:val="000000"/>
          <w:sz w:val="28"/>
          <w:szCs w:val="28"/>
          <w:lang w:eastAsia="es-CO"/>
        </w:rPr>
        <w:t xml:space="preserve">luego de </w:t>
      </w:r>
      <w:r w:rsidR="00CD3D37">
        <w:rPr>
          <w:rFonts w:ascii="Arial Narrow" w:hAnsi="Arial Narrow" w:cs="Tahoma"/>
          <w:color w:val="000000"/>
          <w:sz w:val="28"/>
          <w:szCs w:val="28"/>
          <w:lang w:eastAsia="es-CO"/>
        </w:rPr>
        <w:t xml:space="preserve">calcular la primera mesada pensional en cuantía de $100.462, </w:t>
      </w:r>
      <w:r w:rsidR="00FE0273">
        <w:rPr>
          <w:rFonts w:ascii="Arial Narrow" w:hAnsi="Arial Narrow" w:cs="Tahoma"/>
          <w:color w:val="000000"/>
          <w:sz w:val="28"/>
          <w:szCs w:val="28"/>
          <w:lang w:eastAsia="es-CO"/>
        </w:rPr>
        <w:t xml:space="preserve">con </w:t>
      </w:r>
      <w:r w:rsidR="00CD3D37">
        <w:rPr>
          <w:rFonts w:ascii="Arial Narrow" w:hAnsi="Arial Narrow" w:cs="Tahoma"/>
          <w:color w:val="000000"/>
          <w:sz w:val="28"/>
          <w:szCs w:val="28"/>
          <w:lang w:eastAsia="es-CO"/>
        </w:rPr>
        <w:t xml:space="preserve">un salario base de </w:t>
      </w:r>
      <w:r w:rsidR="00FE0273">
        <w:rPr>
          <w:rFonts w:ascii="Arial Narrow" w:hAnsi="Arial Narrow" w:cs="Tahoma"/>
          <w:color w:val="000000"/>
          <w:sz w:val="28"/>
          <w:szCs w:val="28"/>
          <w:lang w:eastAsia="es-CO"/>
        </w:rPr>
        <w:t xml:space="preserve">141.495 al que </w:t>
      </w:r>
      <w:r w:rsidR="00CD3D37">
        <w:rPr>
          <w:rFonts w:ascii="Arial Narrow" w:hAnsi="Arial Narrow" w:cs="Tahoma"/>
          <w:color w:val="000000"/>
          <w:sz w:val="28"/>
          <w:szCs w:val="28"/>
          <w:lang w:eastAsia="es-CO"/>
        </w:rPr>
        <w:t xml:space="preserve">aplicó </w:t>
      </w:r>
      <w:r w:rsidR="00FE0273">
        <w:rPr>
          <w:rFonts w:ascii="Arial Narrow" w:hAnsi="Arial Narrow" w:cs="Tahoma"/>
          <w:color w:val="000000"/>
          <w:sz w:val="28"/>
          <w:szCs w:val="28"/>
          <w:lang w:eastAsia="es-CO"/>
        </w:rPr>
        <w:t xml:space="preserve">el 71% como tasa de remplazo, </w:t>
      </w:r>
      <w:r w:rsidR="000A67B1">
        <w:rPr>
          <w:rFonts w:ascii="Arial Narrow" w:hAnsi="Arial Narrow" w:cs="Tahoma"/>
          <w:color w:val="000000"/>
          <w:sz w:val="28"/>
          <w:szCs w:val="28"/>
          <w:lang w:eastAsia="es-CO"/>
        </w:rPr>
        <w:t>concluyó que el valor de la mesada reconocida por el antiguo ISS</w:t>
      </w:r>
      <w:r w:rsidR="00CD3D37">
        <w:rPr>
          <w:rFonts w:ascii="Arial Narrow" w:hAnsi="Arial Narrow" w:cs="Tahoma"/>
          <w:color w:val="000000"/>
          <w:sz w:val="28"/>
          <w:szCs w:val="28"/>
          <w:lang w:eastAsia="es-CO"/>
        </w:rPr>
        <w:t>, en cuantía de $ 109</w:t>
      </w:r>
      <w:r w:rsidR="008C6A63">
        <w:rPr>
          <w:rFonts w:ascii="Arial Narrow" w:hAnsi="Arial Narrow" w:cs="Tahoma"/>
          <w:color w:val="000000"/>
          <w:sz w:val="28"/>
          <w:szCs w:val="28"/>
          <w:lang w:eastAsia="es-CO"/>
        </w:rPr>
        <w:t xml:space="preserve">.039, </w:t>
      </w:r>
      <w:r w:rsidR="000A67B1">
        <w:rPr>
          <w:rFonts w:ascii="Arial Narrow" w:hAnsi="Arial Narrow" w:cs="Tahoma"/>
          <w:color w:val="000000"/>
          <w:sz w:val="28"/>
          <w:szCs w:val="28"/>
          <w:lang w:eastAsia="es-CO"/>
        </w:rPr>
        <w:t xml:space="preserve">resultaba más favorable a </w:t>
      </w:r>
      <w:r w:rsidR="00CD3D37">
        <w:rPr>
          <w:rFonts w:ascii="Arial Narrow" w:hAnsi="Arial Narrow" w:cs="Tahoma"/>
          <w:color w:val="000000"/>
          <w:sz w:val="28"/>
          <w:szCs w:val="28"/>
          <w:lang w:eastAsia="es-CO"/>
        </w:rPr>
        <w:t>los</w:t>
      </w:r>
      <w:r w:rsidR="000A67B1">
        <w:rPr>
          <w:rFonts w:ascii="Arial Narrow" w:hAnsi="Arial Narrow" w:cs="Tahoma"/>
          <w:color w:val="000000"/>
          <w:sz w:val="28"/>
          <w:szCs w:val="28"/>
          <w:lang w:eastAsia="es-CO"/>
        </w:rPr>
        <w:t xml:space="preserve"> intereses del peticionario.  </w:t>
      </w:r>
    </w:p>
    <w:p w:rsidR="007577C2" w:rsidRPr="000A22FA" w:rsidRDefault="007577C2" w:rsidP="000A22FA">
      <w:pPr>
        <w:pStyle w:val="Sansinterligne"/>
      </w:pPr>
    </w:p>
    <w:p w:rsidR="007577C2" w:rsidRPr="00A071CD" w:rsidRDefault="007577C2" w:rsidP="007577C2">
      <w:pPr>
        <w:shd w:val="clear" w:color="auto" w:fill="FFFFFF"/>
        <w:spacing w:line="360" w:lineRule="auto"/>
        <w:ind w:firstLine="851"/>
        <w:jc w:val="both"/>
        <w:rPr>
          <w:rFonts w:ascii="Arial Narrow" w:hAnsi="Arial Narrow" w:cs="Tahoma"/>
          <w:iCs/>
          <w:color w:val="000000"/>
          <w:sz w:val="28"/>
          <w:szCs w:val="28"/>
          <w:lang w:val="es-MX" w:eastAsia="es-CO"/>
        </w:rPr>
      </w:pPr>
      <w:r w:rsidRPr="00A071CD">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7577C2" w:rsidRPr="001E229B" w:rsidRDefault="007577C2" w:rsidP="001E229B">
      <w:pPr>
        <w:pStyle w:val="Sansinterligne"/>
      </w:pPr>
    </w:p>
    <w:p w:rsidR="007577C2" w:rsidRPr="00CE5398" w:rsidRDefault="007577C2" w:rsidP="007577C2">
      <w:pPr>
        <w:shd w:val="clear" w:color="auto" w:fill="FFFFFF"/>
        <w:tabs>
          <w:tab w:val="left" w:pos="5197"/>
        </w:tabs>
        <w:spacing w:line="360" w:lineRule="auto"/>
        <w:ind w:firstLine="851"/>
        <w:jc w:val="both"/>
        <w:rPr>
          <w:rFonts w:ascii="Arial Narrow" w:hAnsi="Arial Narrow" w:cs="Tahoma"/>
          <w:i/>
          <w:sz w:val="28"/>
          <w:szCs w:val="28"/>
        </w:rPr>
      </w:pPr>
      <w:r w:rsidRPr="00CE5398">
        <w:rPr>
          <w:rFonts w:ascii="Arial Narrow" w:hAnsi="Arial Narrow" w:cs="Tahoma"/>
          <w:i/>
          <w:sz w:val="28"/>
          <w:szCs w:val="28"/>
        </w:rPr>
        <w:t>Del problema jurídico.</w:t>
      </w:r>
    </w:p>
    <w:p w:rsidR="007577C2" w:rsidRPr="00CE5398" w:rsidRDefault="007577C2" w:rsidP="007577C2">
      <w:pPr>
        <w:pStyle w:val="Sansinterligne"/>
      </w:pPr>
    </w:p>
    <w:p w:rsidR="007577C2" w:rsidRPr="00CE5398" w:rsidRDefault="007577C2" w:rsidP="007577C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E5398">
        <w:rPr>
          <w:rFonts w:ascii="Arial Narrow" w:hAnsi="Arial Narrow" w:cs="Tahoma"/>
          <w:color w:val="000000"/>
          <w:sz w:val="28"/>
          <w:szCs w:val="28"/>
          <w:lang w:eastAsia="es-CO"/>
        </w:rPr>
        <w:t>Visto el recuento anterior, la Sala formula el problema jurídico en los siguientes términos:</w:t>
      </w:r>
    </w:p>
    <w:p w:rsidR="00EC515A" w:rsidRPr="00CE5398" w:rsidRDefault="00EC515A" w:rsidP="00CE5398">
      <w:pPr>
        <w:pStyle w:val="Sansinterligne"/>
      </w:pPr>
    </w:p>
    <w:p w:rsidR="00EC515A" w:rsidRPr="00CE5398" w:rsidRDefault="007577C2" w:rsidP="007577C2">
      <w:pPr>
        <w:tabs>
          <w:tab w:val="left" w:pos="0"/>
          <w:tab w:val="left" w:pos="8647"/>
        </w:tabs>
        <w:suppressAutoHyphens/>
        <w:spacing w:line="360" w:lineRule="auto"/>
        <w:ind w:firstLine="900"/>
        <w:jc w:val="both"/>
        <w:rPr>
          <w:rFonts w:ascii="Arial Narrow" w:hAnsi="Arial Narrow" w:cs="Tahoma"/>
          <w:i/>
          <w:sz w:val="28"/>
          <w:szCs w:val="28"/>
        </w:rPr>
      </w:pPr>
      <w:r w:rsidRPr="00CE5398">
        <w:rPr>
          <w:rFonts w:ascii="Arial Narrow" w:hAnsi="Arial Narrow" w:cs="Tahoma"/>
          <w:i/>
          <w:sz w:val="28"/>
          <w:szCs w:val="28"/>
        </w:rPr>
        <w:t>¿</w:t>
      </w:r>
      <w:r w:rsidR="00EC515A" w:rsidRPr="00CE5398">
        <w:rPr>
          <w:rFonts w:ascii="Arial Narrow" w:hAnsi="Arial Narrow" w:cs="Tahoma"/>
          <w:i/>
          <w:sz w:val="28"/>
          <w:szCs w:val="28"/>
        </w:rPr>
        <w:t xml:space="preserve">Hay lugar a </w:t>
      </w:r>
      <w:r w:rsidR="00042ADF" w:rsidRPr="00CE5398">
        <w:rPr>
          <w:rFonts w:ascii="Arial Narrow" w:hAnsi="Arial Narrow" w:cs="Tahoma"/>
          <w:i/>
          <w:sz w:val="28"/>
          <w:szCs w:val="28"/>
        </w:rPr>
        <w:t xml:space="preserve">reajustar el </w:t>
      </w:r>
      <w:r w:rsidR="000064B0">
        <w:rPr>
          <w:rFonts w:ascii="Arial Narrow" w:hAnsi="Arial Narrow" w:cs="Tahoma"/>
          <w:i/>
          <w:sz w:val="28"/>
          <w:szCs w:val="28"/>
        </w:rPr>
        <w:t>valor de la mesada pensional de la actora</w:t>
      </w:r>
      <w:r w:rsidR="00EC515A" w:rsidRPr="00CE5398">
        <w:rPr>
          <w:rFonts w:ascii="Arial Narrow" w:hAnsi="Arial Narrow" w:cs="Tahoma"/>
          <w:i/>
          <w:sz w:val="28"/>
          <w:szCs w:val="28"/>
        </w:rPr>
        <w:t>?</w:t>
      </w:r>
    </w:p>
    <w:p w:rsidR="007577C2" w:rsidRPr="00CE5398" w:rsidRDefault="007577C2" w:rsidP="00EC515A">
      <w:pPr>
        <w:pStyle w:val="Sansinterligne"/>
        <w:spacing w:line="276" w:lineRule="auto"/>
      </w:pPr>
    </w:p>
    <w:p w:rsidR="007577C2" w:rsidRPr="00CE5398" w:rsidRDefault="007577C2" w:rsidP="007577C2">
      <w:pPr>
        <w:tabs>
          <w:tab w:val="left" w:pos="0"/>
          <w:tab w:val="left" w:pos="8647"/>
        </w:tabs>
        <w:suppressAutoHyphens/>
        <w:spacing w:line="360" w:lineRule="auto"/>
        <w:ind w:firstLine="900"/>
        <w:jc w:val="both"/>
        <w:rPr>
          <w:rFonts w:ascii="Arial Narrow" w:hAnsi="Arial Narrow" w:cs="Tahoma"/>
          <w:sz w:val="28"/>
          <w:szCs w:val="28"/>
        </w:rPr>
      </w:pPr>
      <w:r w:rsidRPr="00CE5398">
        <w:rPr>
          <w:rFonts w:ascii="Arial Narrow" w:hAnsi="Arial Narrow" w:cs="Tahoma"/>
          <w:i/>
          <w:sz w:val="28"/>
          <w:szCs w:val="28"/>
        </w:rPr>
        <w:t>Alegatos en esta instancia</w:t>
      </w:r>
      <w:r w:rsidRPr="00CE5398">
        <w:rPr>
          <w:rFonts w:ascii="Arial Narrow" w:hAnsi="Arial Narrow" w:cs="Tahoma"/>
          <w:sz w:val="28"/>
          <w:szCs w:val="28"/>
        </w:rPr>
        <w:t>:</w:t>
      </w:r>
    </w:p>
    <w:p w:rsidR="007577C2" w:rsidRPr="00EC515A" w:rsidRDefault="007577C2" w:rsidP="00EC515A">
      <w:pPr>
        <w:pStyle w:val="Sansinterligne"/>
      </w:pPr>
    </w:p>
    <w:p w:rsidR="007577C2" w:rsidRPr="00A071CD" w:rsidRDefault="007577C2" w:rsidP="007577C2">
      <w:pPr>
        <w:pStyle w:val="Sansinterligne"/>
        <w:spacing w:line="360" w:lineRule="auto"/>
        <w:ind w:firstLine="708"/>
        <w:jc w:val="both"/>
        <w:rPr>
          <w:rFonts w:ascii="Arial Narrow" w:hAnsi="Arial Narrow"/>
          <w:sz w:val="28"/>
          <w:szCs w:val="28"/>
        </w:rPr>
      </w:pPr>
      <w:r w:rsidRPr="00A071CD">
        <w:rPr>
          <w:rFonts w:ascii="Arial Narrow" w:hAnsi="Arial Narrow"/>
          <w:sz w:val="28"/>
          <w:szCs w:val="28"/>
        </w:rPr>
        <w:t xml:space="preserve">En este estado de la diligencia y antes de que la Colegiatura, de respuesta al problema jurídico planteado, se corre traslado por el término de 8 minutos, a cada uno </w:t>
      </w:r>
      <w:r w:rsidRPr="00A071CD">
        <w:rPr>
          <w:rFonts w:ascii="Arial Narrow" w:hAnsi="Arial Narrow"/>
          <w:sz w:val="28"/>
          <w:szCs w:val="28"/>
        </w:rPr>
        <w:lastRenderedPageBreak/>
        <w:t>de los voceros judiciales de las pa</w:t>
      </w:r>
      <w:r w:rsidR="005C691B">
        <w:rPr>
          <w:rFonts w:ascii="Arial Narrow" w:hAnsi="Arial Narrow"/>
          <w:sz w:val="28"/>
          <w:szCs w:val="28"/>
        </w:rPr>
        <w:t xml:space="preserve">rtes asistentes a la audiencia. </w:t>
      </w:r>
      <w:r w:rsidRPr="00A071CD">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7577C2" w:rsidRPr="000231B1" w:rsidRDefault="000231B1" w:rsidP="007577C2">
      <w:pPr>
        <w:pStyle w:val="Sansinterligne"/>
        <w:spacing w:line="360" w:lineRule="auto"/>
        <w:ind w:firstLine="708"/>
        <w:jc w:val="both"/>
        <w:rPr>
          <w:rFonts w:ascii="Arial Narrow" w:hAnsi="Arial Narrow"/>
          <w:sz w:val="28"/>
          <w:szCs w:val="28"/>
        </w:rPr>
      </w:pPr>
      <w:r w:rsidRPr="000231B1">
        <w:rPr>
          <w:rFonts w:ascii="Arial Narrow" w:hAnsi="Arial Narrow"/>
          <w:sz w:val="28"/>
          <w:szCs w:val="28"/>
        </w:rPr>
        <w:t>I</w:t>
      </w:r>
      <w:r w:rsidR="007577C2" w:rsidRPr="000231B1">
        <w:rPr>
          <w:rFonts w:ascii="Arial Narrow" w:hAnsi="Arial Narrow"/>
          <w:sz w:val="28"/>
          <w:szCs w:val="28"/>
        </w:rPr>
        <w:t>I. CONSIDERACIONES:</w:t>
      </w:r>
    </w:p>
    <w:p w:rsidR="007577C2" w:rsidRPr="000231B1" w:rsidRDefault="007577C2" w:rsidP="000231B1">
      <w:pPr>
        <w:pStyle w:val="Sansinterligne"/>
      </w:pPr>
    </w:p>
    <w:p w:rsidR="00FC621E" w:rsidRDefault="00FC621E" w:rsidP="00FC621E">
      <w:pPr>
        <w:pStyle w:val="Sansinterligne"/>
        <w:spacing w:line="360" w:lineRule="auto"/>
        <w:ind w:firstLine="708"/>
        <w:jc w:val="both"/>
        <w:rPr>
          <w:rFonts w:ascii="Arial Narrow" w:hAnsi="Arial Narrow"/>
          <w:sz w:val="28"/>
          <w:szCs w:val="28"/>
        </w:rPr>
      </w:pPr>
      <w:r w:rsidRPr="00497631">
        <w:rPr>
          <w:rFonts w:ascii="Arial Narrow" w:hAnsi="Arial Narrow"/>
          <w:sz w:val="28"/>
          <w:szCs w:val="28"/>
        </w:rPr>
        <w:t>No es objeto de controversia que el Instituto de Seguros Sociales, mediante la Resolución No.001475 de 1994, le reconoció a</w:t>
      </w:r>
      <w:r w:rsidR="006725E7">
        <w:rPr>
          <w:rFonts w:ascii="Arial Narrow" w:hAnsi="Arial Narrow"/>
          <w:sz w:val="28"/>
          <w:szCs w:val="28"/>
        </w:rPr>
        <w:t xml:space="preserve"> la </w:t>
      </w:r>
      <w:r w:rsidRPr="00497631">
        <w:rPr>
          <w:rFonts w:ascii="Arial Narrow" w:hAnsi="Arial Narrow"/>
          <w:sz w:val="28"/>
          <w:szCs w:val="28"/>
        </w:rPr>
        <w:t xml:space="preserve">demandante la pensión de vejez a partir del 30 de marzo de 1994, en cuantía de 109.039, calculada sobre un salario mensual base de $139.793,36, al que aplicó una tasa de remplazo del 78 % </w:t>
      </w:r>
      <w:r w:rsidR="00497631" w:rsidRPr="00497631">
        <w:rPr>
          <w:rFonts w:ascii="Arial Narrow" w:hAnsi="Arial Narrow"/>
          <w:sz w:val="28"/>
          <w:szCs w:val="28"/>
        </w:rPr>
        <w:t>por</w:t>
      </w:r>
      <w:r w:rsidR="00302F11">
        <w:rPr>
          <w:rFonts w:ascii="Arial Narrow" w:hAnsi="Arial Narrow"/>
          <w:sz w:val="28"/>
          <w:szCs w:val="28"/>
        </w:rPr>
        <w:t xml:space="preserve"> tener 1.071 semanas cotizadas. Así se colige de </w:t>
      </w:r>
      <w:r w:rsidR="001E2984">
        <w:rPr>
          <w:rFonts w:ascii="Arial Narrow" w:hAnsi="Arial Narrow"/>
          <w:sz w:val="28"/>
          <w:szCs w:val="28"/>
        </w:rPr>
        <w:t>los documentos que reposan en el expediente administrativo allegado en medio magn</w:t>
      </w:r>
      <w:r w:rsidR="0012605D">
        <w:rPr>
          <w:rFonts w:ascii="Arial Narrow" w:hAnsi="Arial Narrow"/>
          <w:sz w:val="28"/>
          <w:szCs w:val="28"/>
        </w:rPr>
        <w:t xml:space="preserve">ético por la entidad </w:t>
      </w:r>
      <w:r w:rsidR="00BA2139">
        <w:rPr>
          <w:rFonts w:ascii="Arial Narrow" w:hAnsi="Arial Narrow"/>
          <w:sz w:val="28"/>
          <w:szCs w:val="28"/>
        </w:rPr>
        <w:t>demandada</w:t>
      </w:r>
      <w:r w:rsidR="0012605D">
        <w:rPr>
          <w:rFonts w:ascii="Arial Narrow" w:hAnsi="Arial Narrow"/>
          <w:sz w:val="28"/>
          <w:szCs w:val="28"/>
        </w:rPr>
        <w:t xml:space="preserve">, </w:t>
      </w:r>
      <w:r w:rsidR="00BA2139">
        <w:rPr>
          <w:rFonts w:ascii="Arial Narrow" w:hAnsi="Arial Narrow"/>
          <w:sz w:val="28"/>
          <w:szCs w:val="28"/>
        </w:rPr>
        <w:t xml:space="preserve">los cuales </w:t>
      </w:r>
      <w:r w:rsidR="0012605D">
        <w:rPr>
          <w:rFonts w:ascii="Arial Narrow" w:hAnsi="Arial Narrow"/>
          <w:sz w:val="28"/>
          <w:szCs w:val="28"/>
        </w:rPr>
        <w:t>al tenor de lo preceptuado en los artículos 55 de la Ley 1437 de 2011 y 244 del C.G.P., tienen plena validez.</w:t>
      </w:r>
    </w:p>
    <w:p w:rsidR="00497631" w:rsidRPr="000231B1" w:rsidRDefault="00497631" w:rsidP="000231B1">
      <w:pPr>
        <w:pStyle w:val="Sansinterligne"/>
      </w:pPr>
    </w:p>
    <w:p w:rsidR="00FC621E" w:rsidRDefault="00FC621E" w:rsidP="00497631">
      <w:pPr>
        <w:pStyle w:val="Sansinterligne"/>
        <w:spacing w:line="360" w:lineRule="auto"/>
        <w:ind w:firstLine="567"/>
        <w:jc w:val="both"/>
        <w:rPr>
          <w:rFonts w:ascii="Arial Narrow" w:hAnsi="Arial Narrow" w:cs="Arial"/>
          <w:sz w:val="28"/>
          <w:szCs w:val="28"/>
        </w:rPr>
      </w:pPr>
      <w:r w:rsidRPr="007E7E41">
        <w:rPr>
          <w:rFonts w:ascii="Arial Narrow" w:hAnsi="Arial Narrow"/>
          <w:sz w:val="28"/>
          <w:szCs w:val="28"/>
        </w:rPr>
        <w:t xml:space="preserve">Igualmente, </w:t>
      </w:r>
      <w:r w:rsidR="00F92D46">
        <w:rPr>
          <w:rFonts w:ascii="Arial Narrow" w:hAnsi="Arial Narrow"/>
          <w:sz w:val="28"/>
          <w:szCs w:val="28"/>
        </w:rPr>
        <w:t xml:space="preserve">no se discute </w:t>
      </w:r>
      <w:r w:rsidRPr="007E7E41">
        <w:rPr>
          <w:rFonts w:ascii="Arial Narrow" w:hAnsi="Arial Narrow"/>
          <w:sz w:val="28"/>
          <w:szCs w:val="28"/>
        </w:rPr>
        <w:t xml:space="preserve">que el </w:t>
      </w:r>
      <w:r w:rsidR="00BA2139">
        <w:rPr>
          <w:rFonts w:ascii="Arial Narrow" w:hAnsi="Arial Narrow"/>
          <w:sz w:val="28"/>
          <w:szCs w:val="28"/>
        </w:rPr>
        <w:t xml:space="preserve">salario base </w:t>
      </w:r>
      <w:r w:rsidRPr="007E7E41">
        <w:rPr>
          <w:rFonts w:ascii="Arial Narrow" w:hAnsi="Arial Narrow" w:cs="Arial"/>
          <w:sz w:val="28"/>
          <w:szCs w:val="28"/>
        </w:rPr>
        <w:t xml:space="preserve">se calculó tomando las últimas 100 semanas de cotización, en </w:t>
      </w:r>
      <w:r>
        <w:rPr>
          <w:rFonts w:ascii="Arial Narrow" w:hAnsi="Arial Narrow" w:cs="Arial"/>
          <w:sz w:val="28"/>
          <w:szCs w:val="28"/>
        </w:rPr>
        <w:t xml:space="preserve">aplicación de </w:t>
      </w:r>
      <w:r w:rsidRPr="00FF6533">
        <w:rPr>
          <w:rFonts w:ascii="Arial Narrow" w:hAnsi="Arial Narrow" w:cs="Arial"/>
          <w:sz w:val="28"/>
          <w:szCs w:val="28"/>
        </w:rPr>
        <w:t xml:space="preserve">la fórmula establecida en el </w:t>
      </w:r>
      <w:r>
        <w:rPr>
          <w:rFonts w:ascii="Arial Narrow" w:hAnsi="Arial Narrow" w:cs="Arial"/>
          <w:sz w:val="28"/>
          <w:szCs w:val="28"/>
        </w:rPr>
        <w:t xml:space="preserve">parágrafo 1º del </w:t>
      </w:r>
      <w:r w:rsidRPr="00FF6533">
        <w:rPr>
          <w:rFonts w:ascii="Arial Narrow" w:hAnsi="Arial Narrow" w:cs="Arial"/>
          <w:sz w:val="28"/>
          <w:szCs w:val="28"/>
        </w:rPr>
        <w:t>artíc</w:t>
      </w:r>
      <w:r>
        <w:rPr>
          <w:rFonts w:ascii="Arial Narrow" w:hAnsi="Arial Narrow" w:cs="Arial"/>
          <w:sz w:val="28"/>
          <w:szCs w:val="28"/>
        </w:rPr>
        <w:t xml:space="preserve">ulo 20 del Acuerdo 049 de 1990, cuyo contenido literal es el siguiente: </w:t>
      </w:r>
    </w:p>
    <w:p w:rsidR="00FC621E" w:rsidRPr="00B54115" w:rsidRDefault="00FC621E" w:rsidP="00FC621E">
      <w:pPr>
        <w:pStyle w:val="Sansinterligne"/>
      </w:pPr>
    </w:p>
    <w:p w:rsidR="00FC621E" w:rsidRPr="008F3579" w:rsidRDefault="00FC621E" w:rsidP="000231B1">
      <w:pPr>
        <w:pStyle w:val="Sansinterligne"/>
        <w:ind w:left="426" w:right="476"/>
        <w:jc w:val="both"/>
        <w:rPr>
          <w:rFonts w:ascii="Arial Narrow" w:hAnsi="Arial Narrow"/>
          <w:i/>
          <w:sz w:val="28"/>
          <w:szCs w:val="28"/>
        </w:rPr>
      </w:pPr>
      <w:r w:rsidRPr="00991F81">
        <w:rPr>
          <w:rFonts w:ascii="Arial Narrow" w:hAnsi="Arial Narrow" w:cs="Arial"/>
          <w:bCs/>
          <w:i/>
          <w:sz w:val="28"/>
          <w:szCs w:val="28"/>
        </w:rPr>
        <w:t>“Parágrafo 1º: e</w:t>
      </w:r>
      <w:r w:rsidRPr="00991F81">
        <w:rPr>
          <w:rFonts w:ascii="Arial Narrow" w:hAnsi="Arial Narrow"/>
          <w:i/>
          <w:sz w:val="28"/>
          <w:szCs w:val="28"/>
        </w:rPr>
        <w:t>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p w:rsidR="000231B1" w:rsidRDefault="000231B1" w:rsidP="000231B1">
      <w:pPr>
        <w:pStyle w:val="Textoindependiente33"/>
        <w:rPr>
          <w:rFonts w:ascii="Times New Roman" w:hAnsi="Times New Roman"/>
        </w:rPr>
      </w:pPr>
    </w:p>
    <w:p w:rsidR="007577C2" w:rsidRPr="00E96259" w:rsidRDefault="007577C2" w:rsidP="000231B1">
      <w:pPr>
        <w:pStyle w:val="Textoindependiente33"/>
        <w:ind w:firstLine="708"/>
        <w:rPr>
          <w:rFonts w:ascii="Arial Narrow" w:hAnsi="Arial Narrow" w:cs="Arial"/>
          <w:sz w:val="28"/>
          <w:szCs w:val="28"/>
        </w:rPr>
      </w:pPr>
      <w:r w:rsidRPr="005137AD">
        <w:rPr>
          <w:rFonts w:ascii="Arial Narrow" w:hAnsi="Arial Narrow" w:cs="Arial"/>
          <w:sz w:val="28"/>
          <w:szCs w:val="28"/>
        </w:rPr>
        <w:t xml:space="preserve">La discusión radica </w:t>
      </w:r>
      <w:r>
        <w:rPr>
          <w:rFonts w:ascii="Arial Narrow" w:hAnsi="Arial Narrow" w:cs="Arial"/>
          <w:sz w:val="28"/>
          <w:szCs w:val="28"/>
        </w:rPr>
        <w:t xml:space="preserve">entonces </w:t>
      </w:r>
      <w:r w:rsidRPr="005137AD">
        <w:rPr>
          <w:rFonts w:ascii="Arial Narrow" w:hAnsi="Arial Narrow" w:cs="Arial"/>
          <w:sz w:val="28"/>
          <w:szCs w:val="28"/>
        </w:rPr>
        <w:t xml:space="preserve">en determinar </w:t>
      </w:r>
      <w:r w:rsidR="00BA2139">
        <w:rPr>
          <w:rFonts w:ascii="Arial Narrow" w:hAnsi="Arial Narrow" w:cs="Arial"/>
          <w:sz w:val="28"/>
          <w:szCs w:val="28"/>
        </w:rPr>
        <w:t xml:space="preserve">si </w:t>
      </w:r>
      <w:r w:rsidR="00CE577C">
        <w:rPr>
          <w:rFonts w:ascii="Arial Narrow" w:hAnsi="Arial Narrow" w:cs="Arial"/>
          <w:sz w:val="28"/>
          <w:szCs w:val="28"/>
        </w:rPr>
        <w:t>el valor</w:t>
      </w:r>
      <w:r w:rsidR="00404889">
        <w:rPr>
          <w:rFonts w:ascii="Arial Narrow" w:hAnsi="Arial Narrow" w:cs="Arial"/>
          <w:sz w:val="28"/>
          <w:szCs w:val="28"/>
        </w:rPr>
        <w:t xml:space="preserve"> de la mesada pensional reconocida </w:t>
      </w:r>
      <w:r w:rsidR="00CE577C">
        <w:rPr>
          <w:rFonts w:ascii="Arial Narrow" w:hAnsi="Arial Narrow" w:cs="Arial"/>
          <w:sz w:val="28"/>
          <w:szCs w:val="28"/>
        </w:rPr>
        <w:t xml:space="preserve">por el extinto Instituto de Seguros Sociales se ajusta </w:t>
      </w:r>
      <w:r w:rsidR="00404889">
        <w:rPr>
          <w:rFonts w:ascii="Arial Narrow" w:hAnsi="Arial Narrow" w:cs="Arial"/>
          <w:sz w:val="28"/>
          <w:szCs w:val="28"/>
        </w:rPr>
        <w:t>a derecho</w:t>
      </w:r>
      <w:r w:rsidR="00CE577C">
        <w:rPr>
          <w:rFonts w:ascii="Arial Narrow" w:hAnsi="Arial Narrow" w:cs="Arial"/>
          <w:sz w:val="28"/>
          <w:szCs w:val="28"/>
        </w:rPr>
        <w:t xml:space="preserve">, o si </w:t>
      </w:r>
      <w:r w:rsidR="00404889">
        <w:rPr>
          <w:rFonts w:ascii="Arial Narrow" w:hAnsi="Arial Narrow" w:cs="Arial"/>
          <w:sz w:val="28"/>
          <w:szCs w:val="28"/>
        </w:rPr>
        <w:t xml:space="preserve">por el contrario </w:t>
      </w:r>
      <w:r w:rsidR="00DB62B7">
        <w:rPr>
          <w:rFonts w:ascii="Arial Narrow" w:hAnsi="Arial Narrow" w:cs="Arial"/>
          <w:sz w:val="28"/>
          <w:szCs w:val="28"/>
        </w:rPr>
        <w:t xml:space="preserve">hay lugar a reconocerle a la actora </w:t>
      </w:r>
      <w:r w:rsidR="00CE577C">
        <w:rPr>
          <w:rFonts w:ascii="Arial Narrow" w:hAnsi="Arial Narrow" w:cs="Arial"/>
          <w:sz w:val="28"/>
          <w:szCs w:val="28"/>
        </w:rPr>
        <w:t xml:space="preserve">un </w:t>
      </w:r>
      <w:r w:rsidR="00EB420B">
        <w:rPr>
          <w:rFonts w:ascii="Arial Narrow" w:hAnsi="Arial Narrow" w:cs="Arial"/>
          <w:sz w:val="28"/>
          <w:szCs w:val="28"/>
        </w:rPr>
        <w:t>monto superior</w:t>
      </w:r>
      <w:r w:rsidR="00CE577C">
        <w:rPr>
          <w:rFonts w:ascii="Arial Narrow" w:hAnsi="Arial Narrow" w:cs="Arial"/>
          <w:sz w:val="28"/>
          <w:szCs w:val="28"/>
        </w:rPr>
        <w:t>.</w:t>
      </w:r>
    </w:p>
    <w:p w:rsidR="007577C2" w:rsidRDefault="007577C2" w:rsidP="00AE49F2">
      <w:pPr>
        <w:pStyle w:val="Sansinterligne"/>
      </w:pPr>
    </w:p>
    <w:p w:rsidR="006725E7" w:rsidRDefault="006725E7" w:rsidP="006725E7">
      <w:pPr>
        <w:spacing w:line="360" w:lineRule="auto"/>
        <w:ind w:firstLine="708"/>
        <w:jc w:val="both"/>
        <w:rPr>
          <w:rFonts w:ascii="Arial Narrow" w:hAnsi="Arial Narrow" w:cs="Arial"/>
          <w:sz w:val="28"/>
          <w:szCs w:val="28"/>
        </w:rPr>
      </w:pPr>
      <w:r w:rsidRPr="005568C0">
        <w:rPr>
          <w:rFonts w:ascii="Arial Narrow" w:hAnsi="Arial Narrow" w:cs="Arial"/>
          <w:bCs/>
          <w:sz w:val="28"/>
          <w:szCs w:val="28"/>
        </w:rPr>
        <w:t xml:space="preserve">Efectuadas las operaciones del caso, </w:t>
      </w:r>
      <w:r>
        <w:rPr>
          <w:rFonts w:ascii="Arial Narrow" w:hAnsi="Arial Narrow" w:cs="Arial"/>
          <w:bCs/>
          <w:sz w:val="28"/>
          <w:szCs w:val="28"/>
        </w:rPr>
        <w:t xml:space="preserve">se tiene que </w:t>
      </w:r>
      <w:r w:rsidRPr="005568C0">
        <w:rPr>
          <w:rFonts w:ascii="Arial Narrow" w:hAnsi="Arial Narrow" w:cs="Arial"/>
          <w:bCs/>
          <w:sz w:val="28"/>
          <w:szCs w:val="28"/>
        </w:rPr>
        <w:t xml:space="preserve">la sumatoria de los salarios semanales devengados por </w:t>
      </w:r>
      <w:r>
        <w:rPr>
          <w:rFonts w:ascii="Arial Narrow" w:hAnsi="Arial Narrow" w:cs="Arial"/>
          <w:bCs/>
          <w:sz w:val="28"/>
          <w:szCs w:val="28"/>
        </w:rPr>
        <w:t xml:space="preserve">la actora </w:t>
      </w:r>
      <w:r w:rsidRPr="005568C0">
        <w:rPr>
          <w:rFonts w:ascii="Arial Narrow" w:hAnsi="Arial Narrow" w:cs="Arial"/>
          <w:bCs/>
          <w:sz w:val="28"/>
          <w:szCs w:val="28"/>
        </w:rPr>
        <w:t>en las últimas cien semanas de cotización asciende a  $</w:t>
      </w:r>
      <w:r w:rsidR="00042ADF">
        <w:rPr>
          <w:rFonts w:ascii="Arial Narrow" w:hAnsi="Arial Narrow" w:cs="Arial"/>
          <w:bCs/>
          <w:sz w:val="28"/>
          <w:szCs w:val="28"/>
        </w:rPr>
        <w:t>3`272.316</w:t>
      </w:r>
      <w:r w:rsidRPr="005568C0">
        <w:rPr>
          <w:rFonts w:ascii="Arial Narrow" w:hAnsi="Arial Narrow" w:cs="Arial"/>
          <w:sz w:val="28"/>
          <w:szCs w:val="28"/>
        </w:rPr>
        <w:t>, conforme se ilustra en el cuadro que se pone de presente a los asistentes y que hará parte del acta final que se levante con ocasión de esta diligencia</w:t>
      </w:r>
      <w:r>
        <w:rPr>
          <w:rFonts w:ascii="Arial Narrow" w:hAnsi="Arial Narrow" w:cs="Arial"/>
          <w:sz w:val="28"/>
          <w:szCs w:val="28"/>
        </w:rPr>
        <w:t xml:space="preserve">. </w:t>
      </w:r>
    </w:p>
    <w:p w:rsidR="006725E7" w:rsidRPr="000231B1" w:rsidRDefault="006725E7" w:rsidP="000231B1">
      <w:pPr>
        <w:pStyle w:val="Sansinterligne"/>
      </w:pPr>
    </w:p>
    <w:p w:rsidR="0022178B" w:rsidRDefault="00DB62B7" w:rsidP="00DB62B7">
      <w:pPr>
        <w:spacing w:line="360" w:lineRule="auto"/>
        <w:ind w:firstLine="708"/>
        <w:jc w:val="both"/>
        <w:rPr>
          <w:rFonts w:ascii="Arial Narrow" w:hAnsi="Arial Narrow"/>
          <w:sz w:val="28"/>
          <w:szCs w:val="28"/>
        </w:rPr>
      </w:pPr>
      <w:r w:rsidRPr="00C36FE2">
        <w:rPr>
          <w:rFonts w:ascii="Arial Narrow" w:hAnsi="Arial Narrow" w:cs="Arial"/>
          <w:sz w:val="28"/>
          <w:szCs w:val="28"/>
        </w:rPr>
        <w:t xml:space="preserve">Ahora, al multiplicar la centésima parte de dicho valor por el factor 4.33, se obtiene </w:t>
      </w:r>
      <w:r w:rsidRPr="001571F5">
        <w:rPr>
          <w:rFonts w:ascii="Arial Narrow" w:hAnsi="Arial Narrow" w:cs="Arial"/>
          <w:sz w:val="28"/>
          <w:szCs w:val="28"/>
        </w:rPr>
        <w:t>un Salario base de liquidación de $ 1</w:t>
      </w:r>
      <w:r w:rsidR="00042ADF" w:rsidRPr="001571F5">
        <w:rPr>
          <w:rFonts w:ascii="Arial Narrow" w:hAnsi="Arial Narrow" w:cs="Arial"/>
          <w:sz w:val="28"/>
          <w:szCs w:val="28"/>
        </w:rPr>
        <w:t>41.691</w:t>
      </w:r>
      <w:r w:rsidRPr="001571F5">
        <w:rPr>
          <w:rFonts w:ascii="Arial Narrow" w:hAnsi="Arial Narrow"/>
          <w:sz w:val="28"/>
          <w:szCs w:val="28"/>
          <w:lang w:val="es-CO" w:eastAsia="es-CO"/>
        </w:rPr>
        <w:t>, que al aplicársele la tasa remplazo del 78</w:t>
      </w:r>
      <w:r w:rsidR="00EA3427" w:rsidRPr="001571F5">
        <w:rPr>
          <w:rFonts w:ascii="Arial Narrow" w:hAnsi="Arial Narrow"/>
          <w:sz w:val="28"/>
          <w:szCs w:val="28"/>
          <w:lang w:val="es-CO" w:eastAsia="es-CO"/>
        </w:rPr>
        <w:t xml:space="preserve"> %, </w:t>
      </w:r>
      <w:r w:rsidRPr="001571F5">
        <w:rPr>
          <w:rFonts w:ascii="Arial Narrow" w:hAnsi="Arial Narrow"/>
          <w:sz w:val="28"/>
          <w:szCs w:val="28"/>
          <w:lang w:val="es-CO" w:eastAsia="es-CO"/>
        </w:rPr>
        <w:t>arroja una primera mesada pensional de $</w:t>
      </w:r>
      <w:r w:rsidR="00EA3427" w:rsidRPr="001571F5">
        <w:rPr>
          <w:rFonts w:ascii="Arial Narrow" w:hAnsi="Arial Narrow"/>
          <w:sz w:val="28"/>
          <w:szCs w:val="28"/>
          <w:lang w:val="es-CO" w:eastAsia="es-CO"/>
        </w:rPr>
        <w:t>110.519</w:t>
      </w:r>
      <w:r w:rsidRPr="001571F5">
        <w:rPr>
          <w:rFonts w:ascii="Arial Narrow" w:hAnsi="Arial Narrow"/>
          <w:sz w:val="28"/>
          <w:szCs w:val="28"/>
          <w:lang w:val="es-CO" w:eastAsia="es-CO"/>
        </w:rPr>
        <w:t xml:space="preserve">, </w:t>
      </w:r>
      <w:r w:rsidR="00C53FDD" w:rsidRPr="001571F5">
        <w:rPr>
          <w:rFonts w:ascii="Arial Narrow" w:hAnsi="Arial Narrow"/>
          <w:sz w:val="28"/>
          <w:szCs w:val="28"/>
          <w:lang w:val="es-CO" w:eastAsia="es-CO"/>
        </w:rPr>
        <w:t xml:space="preserve">guarismo que resulta superior </w:t>
      </w:r>
      <w:r w:rsidR="00EA3427" w:rsidRPr="001571F5">
        <w:rPr>
          <w:rFonts w:ascii="Arial Narrow" w:hAnsi="Arial Narrow"/>
          <w:sz w:val="28"/>
          <w:szCs w:val="28"/>
          <w:lang w:val="es-CO" w:eastAsia="es-CO"/>
        </w:rPr>
        <w:t>al calculado por la entidad de seguridad social en cuantía de $</w:t>
      </w:r>
      <w:r w:rsidR="00EA3427" w:rsidRPr="001571F5">
        <w:rPr>
          <w:rFonts w:ascii="Arial Narrow" w:hAnsi="Arial Narrow"/>
          <w:sz w:val="28"/>
          <w:szCs w:val="28"/>
        </w:rPr>
        <w:t>109.</w:t>
      </w:r>
      <w:r w:rsidR="00C53FDD" w:rsidRPr="001571F5">
        <w:rPr>
          <w:rFonts w:ascii="Arial Narrow" w:hAnsi="Arial Narrow"/>
          <w:sz w:val="28"/>
          <w:szCs w:val="28"/>
        </w:rPr>
        <w:t>039</w:t>
      </w:r>
      <w:r w:rsidR="00BD1DF4">
        <w:rPr>
          <w:rFonts w:ascii="Arial Narrow" w:hAnsi="Arial Narrow"/>
          <w:sz w:val="28"/>
          <w:szCs w:val="28"/>
        </w:rPr>
        <w:t xml:space="preserve">. </w:t>
      </w:r>
    </w:p>
    <w:p w:rsidR="00CE5398" w:rsidRDefault="00CE5398" w:rsidP="00CE5398">
      <w:pPr>
        <w:pStyle w:val="Sansinterligne"/>
      </w:pPr>
    </w:p>
    <w:p w:rsidR="00556667" w:rsidRDefault="0022178B" w:rsidP="00DB62B7">
      <w:pPr>
        <w:spacing w:line="360" w:lineRule="auto"/>
        <w:ind w:firstLine="708"/>
        <w:jc w:val="both"/>
        <w:rPr>
          <w:rFonts w:ascii="Arial Narrow" w:hAnsi="Arial Narrow"/>
          <w:sz w:val="28"/>
          <w:szCs w:val="28"/>
        </w:rPr>
      </w:pPr>
      <w:r>
        <w:rPr>
          <w:rFonts w:ascii="Arial Narrow" w:hAnsi="Arial Narrow"/>
          <w:sz w:val="28"/>
          <w:szCs w:val="28"/>
        </w:rPr>
        <w:t>En ese orden</w:t>
      </w:r>
      <w:r w:rsidR="00E5771B">
        <w:rPr>
          <w:rFonts w:ascii="Arial Narrow" w:hAnsi="Arial Narrow"/>
          <w:sz w:val="28"/>
          <w:szCs w:val="28"/>
        </w:rPr>
        <w:t xml:space="preserve"> de ideas</w:t>
      </w:r>
      <w:r>
        <w:rPr>
          <w:rFonts w:ascii="Arial Narrow" w:hAnsi="Arial Narrow"/>
          <w:sz w:val="28"/>
          <w:szCs w:val="28"/>
        </w:rPr>
        <w:t xml:space="preserve">, </w:t>
      </w:r>
      <w:r w:rsidR="00BD1DF4">
        <w:rPr>
          <w:rFonts w:ascii="Arial Narrow" w:hAnsi="Arial Narrow"/>
          <w:sz w:val="28"/>
          <w:szCs w:val="28"/>
        </w:rPr>
        <w:t>se equivocó la sentenciadora de primer grado al</w:t>
      </w:r>
      <w:r w:rsidR="00193318">
        <w:rPr>
          <w:rFonts w:ascii="Arial Narrow" w:hAnsi="Arial Narrow"/>
          <w:sz w:val="28"/>
          <w:szCs w:val="28"/>
        </w:rPr>
        <w:t xml:space="preserve"> no haber establecido</w:t>
      </w:r>
      <w:r w:rsidR="0081096C">
        <w:rPr>
          <w:rFonts w:ascii="Arial Narrow" w:hAnsi="Arial Narrow"/>
          <w:sz w:val="28"/>
          <w:szCs w:val="28"/>
        </w:rPr>
        <w:t xml:space="preserve"> que el valor de la primera mesada </w:t>
      </w:r>
      <w:r w:rsidR="005B5BEA">
        <w:rPr>
          <w:rFonts w:ascii="Arial Narrow" w:hAnsi="Arial Narrow"/>
          <w:sz w:val="28"/>
          <w:szCs w:val="28"/>
        </w:rPr>
        <w:t xml:space="preserve">pensional que le correspondía a la actora </w:t>
      </w:r>
      <w:r w:rsidR="0081096C">
        <w:rPr>
          <w:rFonts w:ascii="Arial Narrow" w:hAnsi="Arial Narrow"/>
          <w:sz w:val="28"/>
          <w:szCs w:val="28"/>
        </w:rPr>
        <w:t xml:space="preserve"> era superior a la reconocida por el extinto ISS</w:t>
      </w:r>
      <w:r w:rsidR="00193318">
        <w:rPr>
          <w:rFonts w:ascii="Arial Narrow" w:hAnsi="Arial Narrow"/>
          <w:sz w:val="28"/>
          <w:szCs w:val="28"/>
        </w:rPr>
        <w:t xml:space="preserve">; ese desatino fue consecuencia de la aplicación errónea de la tasa de remplazo, pues </w:t>
      </w:r>
      <w:r w:rsidR="0081096C">
        <w:rPr>
          <w:rFonts w:ascii="Arial Narrow" w:hAnsi="Arial Narrow"/>
          <w:sz w:val="28"/>
          <w:szCs w:val="28"/>
        </w:rPr>
        <w:t>tomó en cuenta</w:t>
      </w:r>
      <w:r w:rsidR="00193318">
        <w:rPr>
          <w:rFonts w:ascii="Arial Narrow" w:hAnsi="Arial Narrow"/>
          <w:sz w:val="28"/>
          <w:szCs w:val="28"/>
        </w:rPr>
        <w:t xml:space="preserve"> el 71 %, cuando </w:t>
      </w:r>
      <w:r w:rsidR="0081096C">
        <w:rPr>
          <w:rFonts w:ascii="Arial Narrow" w:hAnsi="Arial Narrow"/>
          <w:sz w:val="28"/>
          <w:szCs w:val="28"/>
        </w:rPr>
        <w:t xml:space="preserve">lo cierto es que </w:t>
      </w:r>
      <w:r w:rsidR="00193318">
        <w:rPr>
          <w:rFonts w:ascii="Arial Narrow" w:hAnsi="Arial Narrow"/>
          <w:sz w:val="28"/>
          <w:szCs w:val="28"/>
        </w:rPr>
        <w:t>correspond</w:t>
      </w:r>
      <w:r w:rsidR="0081096C">
        <w:rPr>
          <w:rFonts w:ascii="Arial Narrow" w:hAnsi="Arial Narrow"/>
          <w:sz w:val="28"/>
          <w:szCs w:val="28"/>
        </w:rPr>
        <w:t>ía el 78 %</w:t>
      </w:r>
      <w:r w:rsidR="00193318">
        <w:rPr>
          <w:rFonts w:ascii="Arial Narrow" w:hAnsi="Arial Narrow"/>
          <w:sz w:val="28"/>
          <w:szCs w:val="28"/>
        </w:rPr>
        <w:t xml:space="preserve">, </w:t>
      </w:r>
      <w:r w:rsidR="00050577">
        <w:rPr>
          <w:rFonts w:ascii="Arial Narrow" w:hAnsi="Arial Narrow"/>
          <w:sz w:val="28"/>
          <w:szCs w:val="28"/>
        </w:rPr>
        <w:t>por haber cotizado válidamente un total de 1.</w:t>
      </w:r>
      <w:r w:rsidR="005B5BEA">
        <w:rPr>
          <w:rFonts w:ascii="Arial Narrow" w:hAnsi="Arial Narrow"/>
          <w:sz w:val="28"/>
          <w:szCs w:val="28"/>
        </w:rPr>
        <w:t>0</w:t>
      </w:r>
      <w:r w:rsidR="00050577">
        <w:rPr>
          <w:rFonts w:ascii="Arial Narrow" w:hAnsi="Arial Narrow"/>
          <w:sz w:val="28"/>
          <w:szCs w:val="28"/>
        </w:rPr>
        <w:t xml:space="preserve">71 semanas de aportes al sistema, </w:t>
      </w:r>
      <w:r w:rsidR="00193318">
        <w:rPr>
          <w:rFonts w:ascii="Arial Narrow" w:hAnsi="Arial Narrow"/>
          <w:sz w:val="28"/>
          <w:szCs w:val="28"/>
        </w:rPr>
        <w:t xml:space="preserve">como concretamente lo indicó la entidad en los documentos obrantes en el expediente administrativo. </w:t>
      </w:r>
    </w:p>
    <w:p w:rsidR="00493769" w:rsidRDefault="00493769" w:rsidP="0082485F">
      <w:pPr>
        <w:pStyle w:val="Sansinterligne"/>
      </w:pPr>
    </w:p>
    <w:p w:rsidR="00493769" w:rsidRDefault="00493769" w:rsidP="00DB62B7">
      <w:pPr>
        <w:spacing w:line="360" w:lineRule="auto"/>
        <w:ind w:firstLine="708"/>
        <w:jc w:val="both"/>
        <w:rPr>
          <w:rFonts w:ascii="Arial Narrow" w:hAnsi="Arial Narrow"/>
          <w:sz w:val="28"/>
          <w:szCs w:val="28"/>
        </w:rPr>
      </w:pPr>
      <w:r>
        <w:rPr>
          <w:rFonts w:ascii="Arial Narrow" w:hAnsi="Arial Narrow"/>
          <w:sz w:val="28"/>
          <w:szCs w:val="28"/>
        </w:rPr>
        <w:t>Por ende, se revocará la decisión de primer grado</w:t>
      </w:r>
      <w:r w:rsidR="00E5771B">
        <w:rPr>
          <w:rFonts w:ascii="Arial Narrow" w:hAnsi="Arial Narrow"/>
          <w:sz w:val="28"/>
          <w:szCs w:val="28"/>
        </w:rPr>
        <w:t>, objeto de consulta, para en su lugar, declara</w:t>
      </w:r>
      <w:r w:rsidR="00F44C8F">
        <w:rPr>
          <w:rFonts w:ascii="Arial Narrow" w:hAnsi="Arial Narrow"/>
          <w:sz w:val="28"/>
          <w:szCs w:val="28"/>
        </w:rPr>
        <w:t>r</w:t>
      </w:r>
      <w:r w:rsidR="00E5771B">
        <w:rPr>
          <w:rFonts w:ascii="Arial Narrow" w:hAnsi="Arial Narrow"/>
          <w:sz w:val="28"/>
          <w:szCs w:val="28"/>
        </w:rPr>
        <w:t xml:space="preserve"> que </w:t>
      </w:r>
      <w:r w:rsidR="005B5BEA">
        <w:rPr>
          <w:rFonts w:ascii="Arial Narrow" w:hAnsi="Arial Narrow"/>
          <w:sz w:val="28"/>
          <w:szCs w:val="28"/>
        </w:rPr>
        <w:t>la</w:t>
      </w:r>
      <w:r w:rsidR="00E5771B">
        <w:rPr>
          <w:rFonts w:ascii="Arial Narrow" w:hAnsi="Arial Narrow"/>
          <w:sz w:val="28"/>
          <w:szCs w:val="28"/>
        </w:rPr>
        <w:t xml:space="preserve"> demandante tiene derecho a la reliquidación o reajuste de la primera mes</w:t>
      </w:r>
      <w:r w:rsidR="007750B8">
        <w:rPr>
          <w:rFonts w:ascii="Arial Narrow" w:hAnsi="Arial Narrow"/>
          <w:sz w:val="28"/>
          <w:szCs w:val="28"/>
        </w:rPr>
        <w:t>ada pensional en los términos antes señalados.</w:t>
      </w:r>
    </w:p>
    <w:p w:rsidR="0082485F" w:rsidRDefault="0082485F" w:rsidP="00E5771B">
      <w:pPr>
        <w:pStyle w:val="Sansinterligne"/>
      </w:pPr>
    </w:p>
    <w:p w:rsidR="00E5771B" w:rsidRDefault="0082485F" w:rsidP="00E5771B">
      <w:pPr>
        <w:spacing w:line="360" w:lineRule="auto"/>
        <w:ind w:firstLine="708"/>
        <w:jc w:val="both"/>
        <w:rPr>
          <w:rFonts w:ascii="Arial Narrow" w:hAnsi="Arial Narrow" w:cs="Arial Narrow"/>
          <w:sz w:val="28"/>
          <w:szCs w:val="28"/>
        </w:rPr>
      </w:pPr>
      <w:r>
        <w:rPr>
          <w:rFonts w:ascii="Arial Narrow" w:hAnsi="Arial Narrow"/>
          <w:sz w:val="28"/>
          <w:szCs w:val="28"/>
        </w:rPr>
        <w:t xml:space="preserve">No obstante, no puede pasarse por alto que la excepción de prescripción propuesta por la entidad demandada, está llamada a prosperar, </w:t>
      </w:r>
      <w:r w:rsidR="00E5771B">
        <w:rPr>
          <w:rFonts w:ascii="Arial Narrow" w:hAnsi="Arial Narrow"/>
          <w:sz w:val="28"/>
          <w:szCs w:val="28"/>
        </w:rPr>
        <w:t xml:space="preserve">pues si bien la misma no opera frente al derecho en sí a la reliquidación o reajuste de la prestación, </w:t>
      </w:r>
      <w:r w:rsidR="00E5771B">
        <w:rPr>
          <w:rFonts w:ascii="Arial Narrow" w:hAnsi="Arial Narrow" w:cs="Arial Narrow"/>
          <w:sz w:val="28"/>
          <w:szCs w:val="28"/>
        </w:rPr>
        <w:t xml:space="preserve">si </w:t>
      </w:r>
      <w:r w:rsidR="00E5771B" w:rsidRPr="00303308">
        <w:rPr>
          <w:rFonts w:ascii="Arial Narrow" w:hAnsi="Arial Narrow" w:cs="Arial Narrow"/>
          <w:sz w:val="28"/>
          <w:szCs w:val="28"/>
        </w:rPr>
        <w:t>recae so</w:t>
      </w:r>
      <w:r w:rsidR="00E5771B">
        <w:rPr>
          <w:rFonts w:ascii="Arial Narrow" w:hAnsi="Arial Narrow" w:cs="Arial Narrow"/>
          <w:sz w:val="28"/>
          <w:szCs w:val="28"/>
        </w:rPr>
        <w:t xml:space="preserve">bre las diferencias pensionales que </w:t>
      </w:r>
      <w:r w:rsidR="000734B3">
        <w:rPr>
          <w:rFonts w:ascii="Arial Narrow" w:hAnsi="Arial Narrow" w:cs="Arial Narrow"/>
          <w:sz w:val="28"/>
          <w:szCs w:val="28"/>
        </w:rPr>
        <w:t>se generen con ocasión de ella.</w:t>
      </w:r>
      <w:r w:rsidR="00E5771B">
        <w:rPr>
          <w:rFonts w:ascii="Arial Narrow" w:hAnsi="Arial Narrow" w:cs="Arial Narrow"/>
          <w:sz w:val="28"/>
          <w:szCs w:val="28"/>
        </w:rPr>
        <w:t xml:space="preserve"> </w:t>
      </w:r>
    </w:p>
    <w:p w:rsidR="00E5771B" w:rsidRPr="000231B1" w:rsidRDefault="00E5771B" w:rsidP="000231B1">
      <w:pPr>
        <w:pStyle w:val="Sansinterligne"/>
      </w:pPr>
    </w:p>
    <w:p w:rsidR="007D12D7" w:rsidRDefault="007D12D7" w:rsidP="007D12D7">
      <w:pPr>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En ese orden de ideas, se encuentra que la demandante interrumpió el término de prescripción de las diferencias pensionales generadas entre el valor de la mesada reconocida por la entidad y la acá liquidada, el 19 de noviembre de 2013 cuando elevó ante </w:t>
      </w:r>
      <w:proofErr w:type="spellStart"/>
      <w:r>
        <w:rPr>
          <w:rFonts w:ascii="Arial Narrow" w:hAnsi="Arial Narrow" w:cs="Arial Narrow"/>
          <w:sz w:val="28"/>
          <w:szCs w:val="28"/>
        </w:rPr>
        <w:t>Colpensiones</w:t>
      </w:r>
      <w:proofErr w:type="spellEnd"/>
      <w:r>
        <w:rPr>
          <w:rFonts w:ascii="Arial Narrow" w:hAnsi="Arial Narrow" w:cs="Arial Narrow"/>
          <w:sz w:val="28"/>
          <w:szCs w:val="28"/>
        </w:rPr>
        <w:t xml:space="preserve"> la solicitud de reliquidación de su pensión de vejez. Dicho término se reanudó a partir del 25 de junio de 2014, calenda en que la entidad le notificó a la actora el acto administrativo que resolvió desfavorablemente su solicitud de reliquidación, según se colige del folio 15, sin que al tenor de los artículos 151 del C.P.T y S.S y 488 del C.S.T, hubiese transcurrido el término legal de tres años para la interposición de la acción judicial, pues ésta fue instaurada el 30 de septiembre de 2014, ver fl.10.</w:t>
      </w:r>
    </w:p>
    <w:p w:rsidR="007D12D7" w:rsidRDefault="007D12D7" w:rsidP="007D12D7">
      <w:pPr>
        <w:pStyle w:val="Sansinterligne"/>
      </w:pPr>
    </w:p>
    <w:p w:rsidR="007D12D7" w:rsidRDefault="007D12D7" w:rsidP="007D12D7">
      <w:pPr>
        <w:spacing w:line="360" w:lineRule="auto"/>
        <w:ind w:firstLine="708"/>
        <w:jc w:val="both"/>
        <w:rPr>
          <w:rFonts w:ascii="Arial Narrow" w:hAnsi="Arial Narrow"/>
          <w:sz w:val="28"/>
          <w:szCs w:val="28"/>
        </w:rPr>
      </w:pPr>
      <w:r>
        <w:rPr>
          <w:rFonts w:ascii="Arial Narrow" w:hAnsi="Arial Narrow"/>
          <w:sz w:val="28"/>
          <w:szCs w:val="28"/>
        </w:rPr>
        <w:t>Luego entonces, las diferencias pensionales causadas con antelación al 19 de noviembre de 2010, quedan cubiertas por el fenómeno prescriptivo, por lo que así se declarará.</w:t>
      </w:r>
    </w:p>
    <w:p w:rsidR="007D12D7" w:rsidRDefault="007D12D7" w:rsidP="007D12D7">
      <w:pPr>
        <w:pStyle w:val="Sansinterligne"/>
      </w:pPr>
    </w:p>
    <w:p w:rsidR="007D12D7" w:rsidRDefault="007D12D7" w:rsidP="007D12D7">
      <w:pPr>
        <w:spacing w:line="360" w:lineRule="auto"/>
        <w:ind w:firstLine="708"/>
        <w:jc w:val="both"/>
        <w:rPr>
          <w:rFonts w:ascii="Arial Narrow" w:hAnsi="Arial Narrow"/>
          <w:sz w:val="28"/>
          <w:szCs w:val="28"/>
        </w:rPr>
      </w:pPr>
      <w:r>
        <w:rPr>
          <w:rFonts w:ascii="Arial Narrow" w:hAnsi="Arial Narrow"/>
          <w:sz w:val="28"/>
          <w:szCs w:val="28"/>
        </w:rPr>
        <w:t>En ese sentido, el valor de la diferencia pensional causada entre el 19 de noviembre de 2010 y el 31 de diciembre de 2011, pues con posterioridad a esa calenda la mesada se reajustó al salario mínimo legal mensual vigente, se obtiene un monto de $118.067.</w:t>
      </w:r>
    </w:p>
    <w:p w:rsidR="007D12D7" w:rsidRPr="000231B1" w:rsidRDefault="007D12D7" w:rsidP="007D12D7">
      <w:pPr>
        <w:pStyle w:val="Sansinterligne"/>
      </w:pPr>
    </w:p>
    <w:p w:rsidR="007D12D7" w:rsidRPr="00831501" w:rsidRDefault="007D12D7" w:rsidP="007D12D7">
      <w:pPr>
        <w:spacing w:line="360" w:lineRule="auto"/>
        <w:ind w:firstLine="708"/>
        <w:jc w:val="both"/>
        <w:rPr>
          <w:rFonts w:ascii="Arial Narrow" w:hAnsi="Arial Narrow"/>
          <w:color w:val="FF0000"/>
          <w:sz w:val="28"/>
          <w:szCs w:val="28"/>
        </w:rPr>
      </w:pPr>
      <w:r w:rsidRPr="00831501">
        <w:rPr>
          <w:rFonts w:ascii="Arial Narrow" w:hAnsi="Arial Narrow"/>
          <w:sz w:val="28"/>
          <w:szCs w:val="28"/>
        </w:rPr>
        <w:t xml:space="preserve">En lo referente a la indexación, </w:t>
      </w:r>
      <w:r w:rsidRPr="00831501">
        <w:rPr>
          <w:rFonts w:ascii="Arial Narrow" w:hAnsi="Arial Narrow" w:cs="Arial Narrow"/>
          <w:color w:val="000000"/>
          <w:sz w:val="28"/>
          <w:szCs w:val="28"/>
        </w:rPr>
        <w:t xml:space="preserve">habrá que decir </w:t>
      </w:r>
      <w:r w:rsidRPr="00831501">
        <w:rPr>
          <w:rFonts w:ascii="Arial Narrow" w:hAnsi="Arial Narrow"/>
          <w:iCs/>
          <w:sz w:val="28"/>
          <w:szCs w:val="28"/>
          <w:lang w:val="es-ES"/>
        </w:rPr>
        <w:t xml:space="preserve">que es procedente, en la medida en que permite aminorar los efectos negativos que causa la inflación económica al valor nominal con el transcurso del tiempo. </w:t>
      </w:r>
      <w:r>
        <w:rPr>
          <w:rFonts w:ascii="Arial Narrow" w:hAnsi="Arial Narrow"/>
          <w:iCs/>
          <w:sz w:val="28"/>
          <w:szCs w:val="28"/>
          <w:lang w:val="es-ES"/>
        </w:rPr>
        <w:t>Así pues, e</w:t>
      </w:r>
      <w:r w:rsidRPr="00831501">
        <w:rPr>
          <w:rFonts w:ascii="Arial Narrow" w:hAnsi="Arial Narrow"/>
          <w:iCs/>
          <w:sz w:val="28"/>
          <w:szCs w:val="28"/>
          <w:lang w:val="es-ES"/>
        </w:rPr>
        <w:t xml:space="preserve">l valor de la indexación generada hasta la fecha de emisión de esta sentencia, </w:t>
      </w:r>
      <w:r>
        <w:rPr>
          <w:rFonts w:ascii="Arial Narrow" w:hAnsi="Arial Narrow"/>
          <w:iCs/>
          <w:sz w:val="28"/>
          <w:szCs w:val="28"/>
          <w:lang w:val="es-ES"/>
        </w:rPr>
        <w:t xml:space="preserve">asciende </w:t>
      </w:r>
      <w:r w:rsidRPr="00831501">
        <w:rPr>
          <w:rFonts w:ascii="Arial Narrow" w:hAnsi="Arial Narrow"/>
          <w:iCs/>
          <w:sz w:val="28"/>
          <w:szCs w:val="28"/>
          <w:lang w:val="es-ES"/>
        </w:rPr>
        <w:t xml:space="preserve">a </w:t>
      </w:r>
      <w:r w:rsidRPr="00831501">
        <w:rPr>
          <w:rFonts w:ascii="Arial Narrow" w:hAnsi="Arial Narrow"/>
          <w:sz w:val="28"/>
          <w:szCs w:val="28"/>
        </w:rPr>
        <w:t>$</w:t>
      </w:r>
      <w:r>
        <w:rPr>
          <w:rFonts w:ascii="Arial Narrow" w:hAnsi="Arial Narrow"/>
          <w:sz w:val="28"/>
          <w:szCs w:val="28"/>
        </w:rPr>
        <w:t>36.741.</w:t>
      </w:r>
    </w:p>
    <w:p w:rsidR="007577C2" w:rsidRPr="005A4C99" w:rsidRDefault="007577C2" w:rsidP="005A4C99">
      <w:pPr>
        <w:pStyle w:val="Sansinterligne"/>
      </w:pPr>
    </w:p>
    <w:p w:rsidR="007577C2" w:rsidRPr="00A071CD" w:rsidRDefault="00240294" w:rsidP="007577C2">
      <w:pPr>
        <w:spacing w:line="360" w:lineRule="auto"/>
        <w:ind w:firstLine="858"/>
        <w:jc w:val="both"/>
        <w:rPr>
          <w:rFonts w:ascii="Arial Narrow" w:hAnsi="Arial Narrow" w:cs="Arial"/>
          <w:iCs/>
          <w:sz w:val="28"/>
          <w:szCs w:val="28"/>
          <w:lang w:val="es-ES"/>
        </w:rPr>
      </w:pPr>
      <w:r>
        <w:rPr>
          <w:rFonts w:ascii="Arial Narrow" w:hAnsi="Arial Narrow" w:cs="Arial"/>
          <w:iCs/>
          <w:sz w:val="28"/>
          <w:szCs w:val="28"/>
          <w:lang w:val="es-ES"/>
        </w:rPr>
        <w:t>Costas en ambas instancias a cargo</w:t>
      </w:r>
      <w:r w:rsidR="00F44C8F">
        <w:rPr>
          <w:rFonts w:ascii="Arial Narrow" w:hAnsi="Arial Narrow" w:cs="Arial"/>
          <w:iCs/>
          <w:sz w:val="28"/>
          <w:szCs w:val="28"/>
          <w:lang w:val="es-ES"/>
        </w:rPr>
        <w:t xml:space="preserve"> de </w:t>
      </w:r>
      <w:proofErr w:type="spellStart"/>
      <w:r w:rsidR="00F44C8F">
        <w:rPr>
          <w:rFonts w:ascii="Arial Narrow" w:hAnsi="Arial Narrow" w:cs="Arial"/>
          <w:iCs/>
          <w:sz w:val="28"/>
          <w:szCs w:val="28"/>
          <w:lang w:val="es-ES"/>
        </w:rPr>
        <w:t>Colpensiones</w:t>
      </w:r>
      <w:proofErr w:type="spellEnd"/>
      <w:r w:rsidR="00F44C8F">
        <w:rPr>
          <w:rFonts w:ascii="Arial Narrow" w:hAnsi="Arial Narrow" w:cs="Arial"/>
          <w:iCs/>
          <w:sz w:val="28"/>
          <w:szCs w:val="28"/>
          <w:lang w:val="es-ES"/>
        </w:rPr>
        <w:t xml:space="preserve"> y en favor de la actora</w:t>
      </w:r>
      <w:r w:rsidR="007577C2" w:rsidRPr="00A071CD">
        <w:rPr>
          <w:rFonts w:ascii="Arial Narrow" w:hAnsi="Arial Narrow" w:cs="Arial"/>
          <w:iCs/>
          <w:sz w:val="28"/>
          <w:szCs w:val="28"/>
          <w:lang w:val="es-ES"/>
        </w:rPr>
        <w:t>.</w:t>
      </w:r>
    </w:p>
    <w:p w:rsidR="007577C2" w:rsidRPr="00A071CD" w:rsidRDefault="007577C2" w:rsidP="007577C2">
      <w:pPr>
        <w:pStyle w:val="Sansinterligne"/>
        <w:rPr>
          <w:sz w:val="28"/>
          <w:szCs w:val="28"/>
        </w:rPr>
      </w:pPr>
    </w:p>
    <w:p w:rsidR="007577C2" w:rsidRPr="00A071CD" w:rsidRDefault="007577C2" w:rsidP="007577C2">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w:t>
      </w:r>
      <w:r w:rsidRPr="00537FE9">
        <w:rPr>
          <w:rFonts w:ascii="Arial Narrow" w:hAnsi="Arial Narrow"/>
          <w:sz w:val="28"/>
          <w:szCs w:val="28"/>
        </w:rPr>
        <w:t xml:space="preserve">mérito de lo expuesto, el </w:t>
      </w:r>
      <w:r w:rsidRPr="00537FE9">
        <w:rPr>
          <w:rFonts w:ascii="Arial Narrow" w:hAnsi="Arial Narrow"/>
          <w:i/>
          <w:sz w:val="28"/>
          <w:szCs w:val="28"/>
        </w:rPr>
        <w:t>H. Tribunal Superior del Distrito Judicial de Pereira - Risaralda, Sala Laboral,</w:t>
      </w:r>
      <w:r w:rsidRPr="00537FE9">
        <w:rPr>
          <w:rFonts w:ascii="Arial Narrow" w:hAnsi="Arial Narrow"/>
          <w:sz w:val="28"/>
          <w:szCs w:val="28"/>
        </w:rPr>
        <w:t xml:space="preserve"> administrando justicia en nombre de la República y por autoridad de la ley,</w:t>
      </w:r>
    </w:p>
    <w:p w:rsidR="00831501" w:rsidRPr="00CE5398" w:rsidRDefault="00831501" w:rsidP="00CE5398">
      <w:pPr>
        <w:pStyle w:val="Sansinterligne"/>
      </w:pPr>
    </w:p>
    <w:p w:rsidR="007577C2" w:rsidRPr="00537FE9" w:rsidRDefault="007577C2" w:rsidP="007577C2">
      <w:pPr>
        <w:spacing w:line="360" w:lineRule="auto"/>
        <w:jc w:val="center"/>
        <w:rPr>
          <w:rFonts w:ascii="Arial Narrow" w:hAnsi="Arial Narrow" w:cs="Arial"/>
          <w:i/>
          <w:sz w:val="28"/>
          <w:szCs w:val="28"/>
        </w:rPr>
      </w:pPr>
      <w:r w:rsidRPr="00537FE9">
        <w:rPr>
          <w:rFonts w:ascii="Arial Narrow" w:hAnsi="Arial Narrow" w:cs="Arial"/>
          <w:i/>
          <w:sz w:val="28"/>
          <w:szCs w:val="28"/>
        </w:rPr>
        <w:t>FALLA</w:t>
      </w:r>
    </w:p>
    <w:p w:rsidR="007577C2" w:rsidRPr="00CE5398" w:rsidRDefault="007577C2" w:rsidP="00CE5398">
      <w:pPr>
        <w:pStyle w:val="Sansinterligne"/>
      </w:pPr>
    </w:p>
    <w:p w:rsidR="005A4C99" w:rsidRDefault="00831501" w:rsidP="005A4C99">
      <w:pPr>
        <w:autoSpaceDE w:val="0"/>
        <w:autoSpaceDN w:val="0"/>
        <w:adjustRightInd w:val="0"/>
        <w:spacing w:line="360" w:lineRule="auto"/>
        <w:ind w:firstLine="708"/>
        <w:jc w:val="both"/>
        <w:rPr>
          <w:sz w:val="28"/>
          <w:szCs w:val="28"/>
          <w:lang w:val="es-ES"/>
        </w:rPr>
      </w:pPr>
      <w:r w:rsidRPr="00537FE9">
        <w:rPr>
          <w:rFonts w:ascii="Arial Narrow" w:hAnsi="Arial Narrow" w:cs="Arial"/>
          <w:i/>
          <w:sz w:val="28"/>
          <w:szCs w:val="28"/>
          <w:lang w:val="es-ES"/>
        </w:rPr>
        <w:t>Revoca</w:t>
      </w:r>
      <w:r>
        <w:rPr>
          <w:rFonts w:ascii="Arial Narrow" w:hAnsi="Arial Narrow" w:cs="Arial"/>
          <w:b/>
          <w:i/>
          <w:sz w:val="28"/>
          <w:szCs w:val="28"/>
          <w:lang w:val="es-ES"/>
        </w:rPr>
        <w:t xml:space="preserve"> </w:t>
      </w:r>
      <w:r w:rsidRPr="005A4C99">
        <w:rPr>
          <w:rFonts w:ascii="Arial Narrow" w:hAnsi="Arial Narrow" w:cs="Arial"/>
          <w:sz w:val="28"/>
          <w:szCs w:val="28"/>
          <w:lang w:val="es-ES"/>
        </w:rPr>
        <w:t xml:space="preserve">la sentencia proferida </w:t>
      </w:r>
      <w:r w:rsidR="005A4C99">
        <w:rPr>
          <w:rFonts w:ascii="Arial Narrow" w:hAnsi="Arial Narrow" w:cs="Arial"/>
          <w:sz w:val="28"/>
          <w:szCs w:val="28"/>
          <w:lang w:val="es-ES"/>
        </w:rPr>
        <w:t xml:space="preserve">el 3 de junio de 2016 por el </w:t>
      </w:r>
      <w:r w:rsidR="005A4C99">
        <w:rPr>
          <w:rFonts w:ascii="Arial Narrow" w:hAnsi="Arial Narrow" w:cs="Arial"/>
          <w:sz w:val="28"/>
          <w:szCs w:val="28"/>
        </w:rPr>
        <w:t xml:space="preserve">Juzgado Segundo </w:t>
      </w:r>
      <w:r w:rsidR="007577C2" w:rsidRPr="00C75732">
        <w:rPr>
          <w:rFonts w:ascii="Arial Narrow" w:hAnsi="Arial Narrow" w:cs="Arial"/>
          <w:sz w:val="28"/>
          <w:szCs w:val="28"/>
        </w:rPr>
        <w:t xml:space="preserve">Laboral del Circuito de Pereira, dentro del proceso ordinario laboral de </w:t>
      </w:r>
      <w:r w:rsidR="005A4C99">
        <w:rPr>
          <w:rFonts w:ascii="Arial Narrow" w:hAnsi="Arial Narrow" w:cs="Arial"/>
          <w:sz w:val="28"/>
          <w:szCs w:val="28"/>
        </w:rPr>
        <w:t xml:space="preserve">la referencia, </w:t>
      </w:r>
      <w:r w:rsidR="00062E70">
        <w:rPr>
          <w:rFonts w:ascii="Arial Narrow" w:hAnsi="Arial Narrow" w:cs="Arial"/>
          <w:sz w:val="28"/>
          <w:szCs w:val="28"/>
        </w:rPr>
        <w:t xml:space="preserve">y en </w:t>
      </w:r>
      <w:r w:rsidR="005A4C99">
        <w:rPr>
          <w:rFonts w:ascii="Arial Narrow" w:hAnsi="Arial Narrow" w:cs="Arial"/>
          <w:sz w:val="28"/>
          <w:szCs w:val="28"/>
        </w:rPr>
        <w:t xml:space="preserve">su lugar: </w:t>
      </w:r>
    </w:p>
    <w:p w:rsidR="005A4C99" w:rsidRPr="00CE5398" w:rsidRDefault="005A4C99" w:rsidP="00CE5398">
      <w:pPr>
        <w:pStyle w:val="Sansinterligne"/>
      </w:pPr>
    </w:p>
    <w:p w:rsidR="006B193F" w:rsidRPr="00EB6C7E" w:rsidRDefault="006B193F" w:rsidP="006B193F">
      <w:pPr>
        <w:pStyle w:val="Paragraphedeliste"/>
        <w:numPr>
          <w:ilvl w:val="0"/>
          <w:numId w:val="1"/>
        </w:numPr>
        <w:autoSpaceDE w:val="0"/>
        <w:autoSpaceDN w:val="0"/>
        <w:adjustRightInd w:val="0"/>
        <w:spacing w:line="360" w:lineRule="auto"/>
        <w:ind w:left="0" w:firstLine="709"/>
        <w:jc w:val="both"/>
        <w:rPr>
          <w:sz w:val="28"/>
          <w:szCs w:val="28"/>
          <w:lang w:val="es-ES"/>
        </w:rPr>
      </w:pPr>
      <w:r w:rsidRPr="00537FE9">
        <w:rPr>
          <w:rFonts w:ascii="Arial Narrow" w:hAnsi="Arial Narrow" w:cs="Arial"/>
          <w:i/>
          <w:sz w:val="28"/>
          <w:szCs w:val="28"/>
        </w:rPr>
        <w:t>Declara</w:t>
      </w:r>
      <w:r w:rsidR="005A4C99">
        <w:rPr>
          <w:rFonts w:ascii="Arial Narrow" w:hAnsi="Arial Narrow" w:cs="Arial"/>
          <w:b/>
          <w:i/>
          <w:sz w:val="28"/>
          <w:szCs w:val="28"/>
        </w:rPr>
        <w:t xml:space="preserve"> </w:t>
      </w:r>
      <w:r w:rsidR="005A4C99" w:rsidRPr="00EB6C7E">
        <w:rPr>
          <w:rFonts w:ascii="Arial Narrow" w:hAnsi="Arial Narrow" w:cs="Arial"/>
          <w:sz w:val="28"/>
          <w:szCs w:val="28"/>
        </w:rPr>
        <w:t xml:space="preserve">que la señora Lucila Salas de Rodríguez tiene derecho </w:t>
      </w:r>
      <w:r w:rsidRPr="00EB6C7E">
        <w:rPr>
          <w:rFonts w:ascii="Arial Narrow" w:hAnsi="Arial Narrow" w:cs="Arial"/>
          <w:sz w:val="28"/>
          <w:szCs w:val="28"/>
        </w:rPr>
        <w:t xml:space="preserve">a que la Administradora Colombiana de Pensiones </w:t>
      </w:r>
      <w:proofErr w:type="spellStart"/>
      <w:r w:rsidRPr="00EB6C7E">
        <w:rPr>
          <w:rFonts w:ascii="Arial Narrow" w:hAnsi="Arial Narrow" w:cs="Arial"/>
          <w:sz w:val="28"/>
          <w:szCs w:val="28"/>
        </w:rPr>
        <w:t>Colpensiones</w:t>
      </w:r>
      <w:proofErr w:type="spellEnd"/>
      <w:r w:rsidRPr="00EB6C7E">
        <w:rPr>
          <w:rFonts w:ascii="Arial Narrow" w:hAnsi="Arial Narrow" w:cs="Arial"/>
          <w:sz w:val="28"/>
          <w:szCs w:val="28"/>
        </w:rPr>
        <w:t>,</w:t>
      </w:r>
      <w:r w:rsidR="00EB6C7E">
        <w:rPr>
          <w:rFonts w:ascii="Arial Narrow" w:hAnsi="Arial Narrow" w:cs="Arial"/>
          <w:sz w:val="28"/>
          <w:szCs w:val="28"/>
        </w:rPr>
        <w:t xml:space="preserve"> le </w:t>
      </w:r>
      <w:proofErr w:type="spellStart"/>
      <w:r w:rsidR="00EB6C7E">
        <w:rPr>
          <w:rFonts w:ascii="Arial Narrow" w:hAnsi="Arial Narrow" w:cs="Arial"/>
          <w:sz w:val="28"/>
          <w:szCs w:val="28"/>
        </w:rPr>
        <w:t>reliquide</w:t>
      </w:r>
      <w:proofErr w:type="spellEnd"/>
      <w:r w:rsidR="002C6021">
        <w:rPr>
          <w:rFonts w:ascii="Arial Narrow" w:hAnsi="Arial Narrow" w:cs="Arial"/>
          <w:sz w:val="28"/>
          <w:szCs w:val="28"/>
        </w:rPr>
        <w:t xml:space="preserve"> </w:t>
      </w:r>
      <w:r w:rsidR="00EB6C7E">
        <w:rPr>
          <w:rFonts w:ascii="Arial Narrow" w:hAnsi="Arial Narrow" w:cs="Arial"/>
          <w:sz w:val="28"/>
          <w:szCs w:val="28"/>
        </w:rPr>
        <w:t>l</w:t>
      </w:r>
      <w:r w:rsidRPr="00EB6C7E">
        <w:rPr>
          <w:rFonts w:ascii="Arial Narrow" w:hAnsi="Arial Narrow" w:cs="Arial"/>
          <w:sz w:val="28"/>
          <w:szCs w:val="28"/>
        </w:rPr>
        <w:t xml:space="preserve">a pensión de vejez </w:t>
      </w:r>
      <w:r w:rsidR="00CD3C4F" w:rsidRPr="00EB6C7E">
        <w:rPr>
          <w:rFonts w:ascii="Arial Narrow" w:hAnsi="Arial Narrow" w:cs="Arial"/>
          <w:sz w:val="28"/>
          <w:szCs w:val="28"/>
        </w:rPr>
        <w:t xml:space="preserve">que le fue </w:t>
      </w:r>
      <w:r w:rsidRPr="00EB6C7E">
        <w:rPr>
          <w:rFonts w:ascii="Arial Narrow" w:hAnsi="Arial Narrow" w:cs="Arial"/>
          <w:sz w:val="28"/>
          <w:szCs w:val="28"/>
        </w:rPr>
        <w:t>reconocida mediante Resolución No. 001475 de 1994</w:t>
      </w:r>
      <w:r w:rsidR="00CD3C4F" w:rsidRPr="00EB6C7E">
        <w:rPr>
          <w:rFonts w:ascii="Arial Narrow" w:hAnsi="Arial Narrow" w:cs="Arial"/>
          <w:sz w:val="28"/>
          <w:szCs w:val="28"/>
        </w:rPr>
        <w:t xml:space="preserve">, </w:t>
      </w:r>
      <w:r w:rsidR="00D56B43" w:rsidRPr="00EB6C7E">
        <w:rPr>
          <w:rFonts w:ascii="Arial Narrow" w:hAnsi="Arial Narrow" w:cs="Arial"/>
          <w:sz w:val="28"/>
          <w:szCs w:val="28"/>
        </w:rPr>
        <w:t>tomando en cuenta</w:t>
      </w:r>
      <w:r w:rsidR="00CD3C4F" w:rsidRPr="00EB6C7E">
        <w:rPr>
          <w:rFonts w:ascii="Arial Narrow" w:hAnsi="Arial Narrow" w:cs="Arial"/>
          <w:sz w:val="28"/>
          <w:szCs w:val="28"/>
        </w:rPr>
        <w:t xml:space="preserve"> </w:t>
      </w:r>
      <w:r w:rsidR="00537FE9">
        <w:rPr>
          <w:rFonts w:ascii="Arial Narrow" w:hAnsi="Arial Narrow" w:cs="Arial"/>
          <w:sz w:val="28"/>
          <w:szCs w:val="28"/>
        </w:rPr>
        <w:t xml:space="preserve">para el efecto </w:t>
      </w:r>
      <w:r w:rsidR="00062E70" w:rsidRPr="00EB6C7E">
        <w:rPr>
          <w:rFonts w:ascii="Arial Narrow" w:hAnsi="Arial Narrow" w:cs="Arial"/>
          <w:sz w:val="28"/>
          <w:szCs w:val="28"/>
        </w:rPr>
        <w:t xml:space="preserve">un salario base de $141.691, que al aplicarle </w:t>
      </w:r>
      <w:r w:rsidR="002C6021">
        <w:rPr>
          <w:rFonts w:ascii="Arial Narrow" w:hAnsi="Arial Narrow" w:cs="Arial"/>
          <w:sz w:val="28"/>
          <w:szCs w:val="28"/>
        </w:rPr>
        <w:t xml:space="preserve">la </w:t>
      </w:r>
      <w:r w:rsidR="00062E70" w:rsidRPr="00EB6C7E">
        <w:rPr>
          <w:rFonts w:ascii="Arial Narrow" w:hAnsi="Arial Narrow" w:cs="Arial"/>
          <w:sz w:val="28"/>
          <w:szCs w:val="28"/>
        </w:rPr>
        <w:t>tasa de remplazo del 78 %, arroja una primera mesada de $110.519.</w:t>
      </w:r>
    </w:p>
    <w:p w:rsidR="006B193F" w:rsidRPr="00537FE9" w:rsidRDefault="006B193F" w:rsidP="00537FE9">
      <w:pPr>
        <w:pStyle w:val="Sansinterligne"/>
      </w:pPr>
    </w:p>
    <w:p w:rsidR="00EB6C7E" w:rsidRDefault="00EB6C7E" w:rsidP="002C6021">
      <w:pPr>
        <w:pStyle w:val="Paragraphedeliste"/>
        <w:numPr>
          <w:ilvl w:val="0"/>
          <w:numId w:val="1"/>
        </w:numPr>
        <w:autoSpaceDE w:val="0"/>
        <w:autoSpaceDN w:val="0"/>
        <w:adjustRightInd w:val="0"/>
        <w:spacing w:line="360" w:lineRule="auto"/>
        <w:ind w:left="284" w:firstLine="425"/>
        <w:jc w:val="both"/>
        <w:rPr>
          <w:rFonts w:ascii="Arial Narrow" w:hAnsi="Arial Narrow"/>
          <w:sz w:val="28"/>
          <w:szCs w:val="28"/>
          <w:lang w:val="es-ES"/>
        </w:rPr>
      </w:pPr>
      <w:r w:rsidRPr="002C6021">
        <w:rPr>
          <w:rFonts w:ascii="Arial Narrow" w:hAnsi="Arial Narrow"/>
          <w:sz w:val="28"/>
          <w:szCs w:val="28"/>
          <w:lang w:val="es-ES"/>
        </w:rPr>
        <w:t xml:space="preserve">Declarar parcialmente probada la excepción de prescripción respecto de las diferencias </w:t>
      </w:r>
      <w:r w:rsidR="00B7107C">
        <w:rPr>
          <w:rFonts w:ascii="Arial Narrow" w:hAnsi="Arial Narrow"/>
          <w:sz w:val="28"/>
          <w:szCs w:val="28"/>
          <w:lang w:val="es-ES"/>
        </w:rPr>
        <w:t>generadas con ocasión del r</w:t>
      </w:r>
      <w:r w:rsidR="009E4E06">
        <w:rPr>
          <w:rFonts w:ascii="Arial Narrow" w:hAnsi="Arial Narrow"/>
          <w:sz w:val="28"/>
          <w:szCs w:val="28"/>
          <w:lang w:val="es-ES"/>
        </w:rPr>
        <w:t>eajuste</w:t>
      </w:r>
      <w:r w:rsidR="00B7107C">
        <w:rPr>
          <w:rFonts w:ascii="Arial Narrow" w:hAnsi="Arial Narrow"/>
          <w:sz w:val="28"/>
          <w:szCs w:val="28"/>
          <w:lang w:val="es-ES"/>
        </w:rPr>
        <w:t xml:space="preserve"> pensional</w:t>
      </w:r>
      <w:r w:rsidR="009E4E06">
        <w:rPr>
          <w:rFonts w:ascii="Arial Narrow" w:hAnsi="Arial Narrow"/>
          <w:sz w:val="28"/>
          <w:szCs w:val="28"/>
          <w:lang w:val="es-ES"/>
        </w:rPr>
        <w:t>, c</w:t>
      </w:r>
      <w:r w:rsidRPr="002C6021">
        <w:rPr>
          <w:rFonts w:ascii="Arial Narrow" w:hAnsi="Arial Narrow"/>
          <w:sz w:val="28"/>
          <w:szCs w:val="28"/>
          <w:lang w:val="es-ES"/>
        </w:rPr>
        <w:t xml:space="preserve">ausadas con antelación al </w:t>
      </w:r>
      <w:r w:rsidR="007D12D7">
        <w:rPr>
          <w:rFonts w:ascii="Arial Narrow" w:hAnsi="Arial Narrow"/>
          <w:sz w:val="28"/>
          <w:szCs w:val="28"/>
          <w:lang w:val="es-ES"/>
        </w:rPr>
        <w:t xml:space="preserve">19 de noviembre de 2010. </w:t>
      </w:r>
    </w:p>
    <w:p w:rsidR="002C6021" w:rsidRPr="002C6021" w:rsidRDefault="002C6021" w:rsidP="00537FE9">
      <w:pPr>
        <w:pStyle w:val="Sansinterligne"/>
        <w:rPr>
          <w:lang w:val="es-ES"/>
        </w:rPr>
      </w:pPr>
    </w:p>
    <w:p w:rsidR="002C6021" w:rsidRPr="009B47AF" w:rsidRDefault="002C6021" w:rsidP="007D12D7">
      <w:pPr>
        <w:spacing w:line="360" w:lineRule="auto"/>
        <w:ind w:firstLine="708"/>
        <w:jc w:val="both"/>
        <w:rPr>
          <w:rFonts w:ascii="Arial Narrow" w:hAnsi="Arial Narrow"/>
          <w:sz w:val="28"/>
          <w:szCs w:val="28"/>
          <w:lang w:val="es-ES"/>
        </w:rPr>
      </w:pPr>
      <w:r w:rsidRPr="009B47AF">
        <w:rPr>
          <w:rFonts w:ascii="Arial Narrow" w:hAnsi="Arial Narrow"/>
          <w:sz w:val="28"/>
          <w:szCs w:val="28"/>
          <w:lang w:val="es-ES"/>
        </w:rPr>
        <w:t xml:space="preserve">Condenar a la Administradora Colombiana de Pensiones </w:t>
      </w:r>
      <w:proofErr w:type="spellStart"/>
      <w:r w:rsidRPr="009B47AF">
        <w:rPr>
          <w:rFonts w:ascii="Arial Narrow" w:hAnsi="Arial Narrow"/>
          <w:sz w:val="28"/>
          <w:szCs w:val="28"/>
          <w:lang w:val="es-ES"/>
        </w:rPr>
        <w:t>Colpensiones</w:t>
      </w:r>
      <w:proofErr w:type="spellEnd"/>
      <w:r w:rsidRPr="009B47AF">
        <w:rPr>
          <w:rFonts w:ascii="Arial Narrow" w:hAnsi="Arial Narrow"/>
          <w:sz w:val="28"/>
          <w:szCs w:val="28"/>
          <w:lang w:val="es-ES"/>
        </w:rPr>
        <w:t xml:space="preserve"> a cancelar </w:t>
      </w:r>
      <w:r w:rsidR="009E4E06">
        <w:rPr>
          <w:rFonts w:ascii="Arial Narrow" w:hAnsi="Arial Narrow"/>
          <w:sz w:val="28"/>
          <w:szCs w:val="28"/>
          <w:lang w:val="es-ES"/>
        </w:rPr>
        <w:t xml:space="preserve">la suma de </w:t>
      </w:r>
      <w:r w:rsidR="007D12D7">
        <w:rPr>
          <w:rFonts w:ascii="Arial Narrow" w:hAnsi="Arial Narrow"/>
          <w:sz w:val="28"/>
          <w:szCs w:val="28"/>
        </w:rPr>
        <w:t>$118.067.</w:t>
      </w:r>
      <w:r w:rsidR="009E4E06">
        <w:rPr>
          <w:rFonts w:ascii="Arial Narrow" w:hAnsi="Arial Narrow"/>
          <w:sz w:val="28"/>
          <w:szCs w:val="28"/>
          <w:lang w:val="es-ES"/>
        </w:rPr>
        <w:t xml:space="preserve">a título de </w:t>
      </w:r>
      <w:r w:rsidRPr="009B47AF">
        <w:rPr>
          <w:rFonts w:ascii="Arial Narrow" w:hAnsi="Arial Narrow"/>
          <w:sz w:val="28"/>
          <w:szCs w:val="28"/>
          <w:lang w:val="es-ES"/>
        </w:rPr>
        <w:t xml:space="preserve">reajuste pensional causado entre el </w:t>
      </w:r>
      <w:r w:rsidR="007D12D7">
        <w:rPr>
          <w:rFonts w:ascii="Arial Narrow" w:hAnsi="Arial Narrow"/>
          <w:sz w:val="28"/>
          <w:szCs w:val="28"/>
          <w:lang w:val="es-ES"/>
        </w:rPr>
        <w:t>19 de noviembre de 2010</w:t>
      </w:r>
      <w:r w:rsidRPr="009B47AF">
        <w:rPr>
          <w:rFonts w:ascii="Arial Narrow" w:hAnsi="Arial Narrow"/>
          <w:sz w:val="28"/>
          <w:szCs w:val="28"/>
          <w:lang w:val="es-ES"/>
        </w:rPr>
        <w:t xml:space="preserve"> y 31 de diciembre de 2011, cuyo </w:t>
      </w:r>
      <w:r w:rsidR="009D0A26">
        <w:rPr>
          <w:rFonts w:ascii="Arial Narrow" w:hAnsi="Arial Narrow"/>
          <w:sz w:val="28"/>
          <w:szCs w:val="28"/>
          <w:lang w:val="es-ES"/>
        </w:rPr>
        <w:t xml:space="preserve">indexación </w:t>
      </w:r>
      <w:r w:rsidRPr="009B47AF">
        <w:rPr>
          <w:rFonts w:ascii="Arial Narrow" w:hAnsi="Arial Narrow"/>
          <w:sz w:val="28"/>
          <w:szCs w:val="28"/>
          <w:lang w:val="es-ES"/>
        </w:rPr>
        <w:t xml:space="preserve">a la fecha de la sentencia asciende a $ </w:t>
      </w:r>
      <w:r w:rsidR="009B47AF" w:rsidRPr="009B47AF">
        <w:rPr>
          <w:rFonts w:ascii="Arial Narrow" w:hAnsi="Arial Narrow"/>
          <w:sz w:val="28"/>
          <w:szCs w:val="28"/>
          <w:lang w:val="es-ES"/>
        </w:rPr>
        <w:t>3</w:t>
      </w:r>
      <w:r w:rsidR="009D0A26">
        <w:rPr>
          <w:rFonts w:ascii="Arial Narrow" w:hAnsi="Arial Narrow"/>
          <w:sz w:val="28"/>
          <w:szCs w:val="28"/>
          <w:lang w:val="es-ES"/>
        </w:rPr>
        <w:t>6.741</w:t>
      </w:r>
      <w:r w:rsidR="009B47AF">
        <w:rPr>
          <w:rFonts w:ascii="Arial Narrow" w:hAnsi="Arial Narrow"/>
          <w:sz w:val="28"/>
          <w:szCs w:val="28"/>
          <w:lang w:val="es-ES"/>
        </w:rPr>
        <w:t>. S</w:t>
      </w:r>
      <w:r w:rsidR="009B47AF" w:rsidRPr="009B47AF">
        <w:rPr>
          <w:rFonts w:ascii="Arial Narrow" w:hAnsi="Arial Narrow"/>
          <w:sz w:val="28"/>
          <w:szCs w:val="28"/>
          <w:lang w:val="es-ES"/>
        </w:rPr>
        <w:t xml:space="preserve">e advierte que </w:t>
      </w:r>
      <w:r w:rsidR="009B47AF">
        <w:rPr>
          <w:rFonts w:ascii="Arial Narrow" w:hAnsi="Arial Narrow"/>
          <w:sz w:val="28"/>
          <w:szCs w:val="28"/>
          <w:lang w:val="es-ES"/>
        </w:rPr>
        <w:t xml:space="preserve">con posterioridad al </w:t>
      </w:r>
      <w:r w:rsidR="009E4E06">
        <w:rPr>
          <w:rFonts w:ascii="Arial Narrow" w:hAnsi="Arial Narrow"/>
          <w:sz w:val="28"/>
          <w:szCs w:val="28"/>
          <w:lang w:val="es-ES"/>
        </w:rPr>
        <w:t xml:space="preserve">año </w:t>
      </w:r>
      <w:r w:rsidR="009B47AF">
        <w:rPr>
          <w:rFonts w:ascii="Arial Narrow" w:hAnsi="Arial Narrow"/>
          <w:sz w:val="28"/>
          <w:szCs w:val="28"/>
          <w:lang w:val="es-ES"/>
        </w:rPr>
        <w:t xml:space="preserve">2011 no surgen diferencias en favor del actor, como quiera que la mesada pensional </w:t>
      </w:r>
      <w:r w:rsidR="009E4E06">
        <w:rPr>
          <w:rFonts w:ascii="Arial Narrow" w:hAnsi="Arial Narrow"/>
          <w:sz w:val="28"/>
          <w:szCs w:val="28"/>
          <w:lang w:val="es-ES"/>
        </w:rPr>
        <w:t xml:space="preserve">fue reajustada </w:t>
      </w:r>
      <w:r w:rsidR="009B47AF">
        <w:rPr>
          <w:rFonts w:ascii="Arial Narrow" w:hAnsi="Arial Narrow"/>
          <w:sz w:val="28"/>
          <w:szCs w:val="28"/>
          <w:lang w:val="es-ES"/>
        </w:rPr>
        <w:t>al salario mínimo legal mensual vigente.</w:t>
      </w:r>
    </w:p>
    <w:p w:rsidR="007577C2" w:rsidRDefault="007577C2" w:rsidP="007577C2">
      <w:pPr>
        <w:pStyle w:val="Sansinterligne"/>
        <w:rPr>
          <w:lang w:val="es-ES"/>
        </w:rPr>
      </w:pPr>
    </w:p>
    <w:p w:rsidR="00C44409" w:rsidRPr="00C44409" w:rsidRDefault="00C44409" w:rsidP="00C44409">
      <w:pPr>
        <w:pStyle w:val="Paragraphedeliste"/>
        <w:numPr>
          <w:ilvl w:val="0"/>
          <w:numId w:val="1"/>
        </w:numPr>
        <w:spacing w:line="360" w:lineRule="auto"/>
        <w:ind w:left="426" w:firstLine="425"/>
        <w:jc w:val="both"/>
        <w:rPr>
          <w:rFonts w:ascii="Arial Narrow" w:hAnsi="Arial Narrow" w:cs="Arial"/>
          <w:iCs/>
          <w:sz w:val="28"/>
          <w:szCs w:val="28"/>
          <w:lang w:val="es-ES"/>
        </w:rPr>
      </w:pPr>
      <w:r w:rsidRPr="00C44409">
        <w:rPr>
          <w:rFonts w:ascii="Arial Narrow" w:hAnsi="Arial Narrow" w:cs="Arial"/>
          <w:iCs/>
          <w:sz w:val="28"/>
          <w:szCs w:val="28"/>
          <w:lang w:val="es-ES"/>
        </w:rPr>
        <w:t xml:space="preserve">Costas en ambas instancias a cargo de </w:t>
      </w:r>
      <w:proofErr w:type="spellStart"/>
      <w:r w:rsidRPr="00C44409">
        <w:rPr>
          <w:rFonts w:ascii="Arial Narrow" w:hAnsi="Arial Narrow" w:cs="Arial"/>
          <w:iCs/>
          <w:sz w:val="28"/>
          <w:szCs w:val="28"/>
          <w:lang w:val="es-ES"/>
        </w:rPr>
        <w:t>Colpensiones</w:t>
      </w:r>
      <w:proofErr w:type="spellEnd"/>
      <w:r w:rsidRPr="00C44409">
        <w:rPr>
          <w:rFonts w:ascii="Arial Narrow" w:hAnsi="Arial Narrow" w:cs="Arial"/>
          <w:iCs/>
          <w:sz w:val="28"/>
          <w:szCs w:val="28"/>
          <w:lang w:val="es-ES"/>
        </w:rPr>
        <w:t xml:space="preserve"> y en favor del actor.</w:t>
      </w:r>
    </w:p>
    <w:p w:rsidR="007577C2" w:rsidRPr="00B7107C" w:rsidRDefault="007577C2" w:rsidP="00C44409">
      <w:pPr>
        <w:rPr>
          <w:rFonts w:ascii="Arial Narrow" w:hAnsi="Arial Narrow" w:cs="Arial"/>
          <w:sz w:val="28"/>
          <w:szCs w:val="28"/>
          <w:lang w:val="es-ES"/>
        </w:rPr>
      </w:pPr>
    </w:p>
    <w:p w:rsidR="007577C2" w:rsidRDefault="007577C2" w:rsidP="007577C2">
      <w:pPr>
        <w:spacing w:line="360" w:lineRule="auto"/>
        <w:ind w:firstLine="900"/>
        <w:jc w:val="both"/>
        <w:rPr>
          <w:rFonts w:ascii="Arial Narrow" w:hAnsi="Arial Narrow" w:cs="Microsoft Sans Serif"/>
          <w:bCs/>
          <w:i/>
          <w:iCs/>
          <w:sz w:val="28"/>
          <w:szCs w:val="28"/>
          <w:lang w:val="es-ES"/>
        </w:rPr>
      </w:pPr>
      <w:r w:rsidRPr="00B7107C">
        <w:rPr>
          <w:rFonts w:ascii="Arial Narrow" w:hAnsi="Arial Narrow" w:cs="Microsoft Sans Serif"/>
          <w:bCs/>
          <w:i/>
          <w:iCs/>
          <w:sz w:val="28"/>
          <w:szCs w:val="28"/>
          <w:lang w:val="es-ES"/>
        </w:rPr>
        <w:t>NOTIFÍQUESE, CÚMPLASE Y DEVUÉLVASE.</w:t>
      </w:r>
    </w:p>
    <w:p w:rsidR="00CE5398" w:rsidRPr="00B7107C" w:rsidRDefault="00CE5398" w:rsidP="00CE5398">
      <w:pPr>
        <w:pStyle w:val="Sansinterligne"/>
        <w:rPr>
          <w:lang w:val="es-ES"/>
        </w:rPr>
      </w:pPr>
    </w:p>
    <w:p w:rsidR="007577C2" w:rsidRPr="00B7107C" w:rsidRDefault="007577C2" w:rsidP="007577C2">
      <w:pPr>
        <w:spacing w:line="360" w:lineRule="auto"/>
        <w:ind w:firstLine="900"/>
        <w:jc w:val="both"/>
        <w:rPr>
          <w:rFonts w:ascii="Arial Narrow" w:hAnsi="Arial Narrow" w:cs="Microsoft Sans Serif"/>
          <w:bCs/>
          <w:iCs/>
          <w:sz w:val="28"/>
          <w:szCs w:val="28"/>
          <w:lang w:val="es-ES"/>
        </w:rPr>
      </w:pPr>
      <w:r w:rsidRPr="00B7107C">
        <w:rPr>
          <w:rFonts w:ascii="Arial Narrow" w:hAnsi="Arial Narrow" w:cs="Microsoft Sans Serif"/>
          <w:bCs/>
          <w:iCs/>
          <w:sz w:val="28"/>
          <w:szCs w:val="28"/>
          <w:lang w:val="es-ES"/>
        </w:rPr>
        <w:t xml:space="preserve">La anterior decisión queda notificada </w:t>
      </w:r>
      <w:r w:rsidRPr="00B7107C">
        <w:rPr>
          <w:rFonts w:ascii="Arial Narrow" w:hAnsi="Arial Narrow" w:cs="Microsoft Sans Serif"/>
          <w:bCs/>
          <w:i/>
          <w:iCs/>
          <w:sz w:val="28"/>
          <w:szCs w:val="28"/>
          <w:lang w:val="es-ES"/>
        </w:rPr>
        <w:t>en estrados.</w:t>
      </w:r>
    </w:p>
    <w:p w:rsidR="007577C2" w:rsidRPr="00B7107C" w:rsidRDefault="007577C2" w:rsidP="007577C2">
      <w:pPr>
        <w:spacing w:line="480" w:lineRule="auto"/>
        <w:ind w:firstLine="900"/>
        <w:jc w:val="both"/>
        <w:rPr>
          <w:rFonts w:ascii="Arial Narrow" w:hAnsi="Arial Narrow" w:cs="Microsoft Sans Serif"/>
          <w:bCs/>
          <w:iCs/>
          <w:sz w:val="28"/>
          <w:szCs w:val="28"/>
          <w:lang w:val="es-ES"/>
        </w:rPr>
      </w:pPr>
    </w:p>
    <w:p w:rsidR="007577C2" w:rsidRPr="00B7107C" w:rsidRDefault="007577C2" w:rsidP="007577C2">
      <w:pPr>
        <w:spacing w:line="360" w:lineRule="auto"/>
        <w:ind w:firstLine="900"/>
        <w:jc w:val="both"/>
        <w:rPr>
          <w:rFonts w:ascii="Arial Narrow" w:hAnsi="Arial Narrow" w:cs="Microsoft Sans Serif"/>
          <w:bCs/>
          <w:iCs/>
          <w:sz w:val="28"/>
          <w:szCs w:val="28"/>
          <w:lang w:val="es-ES"/>
        </w:rPr>
      </w:pPr>
    </w:p>
    <w:p w:rsidR="007577C2" w:rsidRPr="00B7107C" w:rsidRDefault="007577C2" w:rsidP="007577C2">
      <w:pPr>
        <w:pStyle w:val="Sansinterligne"/>
        <w:jc w:val="center"/>
        <w:rPr>
          <w:rFonts w:ascii="Arial Narrow" w:hAnsi="Arial Narrow"/>
          <w:sz w:val="28"/>
          <w:szCs w:val="28"/>
          <w:lang w:val="es-ES"/>
        </w:rPr>
      </w:pPr>
    </w:p>
    <w:p w:rsidR="007577C2" w:rsidRPr="00B7107C" w:rsidRDefault="007577C2" w:rsidP="007577C2">
      <w:pPr>
        <w:pStyle w:val="Sansinterligne"/>
        <w:jc w:val="center"/>
        <w:rPr>
          <w:rFonts w:ascii="Arial Narrow" w:hAnsi="Arial Narrow"/>
          <w:sz w:val="28"/>
          <w:szCs w:val="28"/>
          <w:lang w:val="es-ES"/>
        </w:rPr>
      </w:pPr>
      <w:r w:rsidRPr="00B7107C">
        <w:rPr>
          <w:rFonts w:ascii="Arial Narrow" w:hAnsi="Arial Narrow"/>
          <w:sz w:val="28"/>
          <w:szCs w:val="28"/>
          <w:lang w:val="es-ES"/>
        </w:rPr>
        <w:t>FRANCISCO JAVIER TAMAYO TABARES</w:t>
      </w:r>
    </w:p>
    <w:p w:rsidR="007577C2" w:rsidRPr="00B7107C" w:rsidRDefault="007577C2" w:rsidP="007577C2">
      <w:pPr>
        <w:pStyle w:val="Sansinterligne"/>
        <w:jc w:val="center"/>
        <w:rPr>
          <w:rFonts w:ascii="Arial Narrow" w:hAnsi="Arial Narrow"/>
          <w:sz w:val="28"/>
          <w:szCs w:val="28"/>
          <w:lang w:val="es-ES"/>
        </w:rPr>
      </w:pPr>
      <w:r w:rsidRPr="00B7107C">
        <w:rPr>
          <w:rFonts w:ascii="Arial Narrow" w:hAnsi="Arial Narrow"/>
          <w:sz w:val="28"/>
          <w:szCs w:val="28"/>
          <w:lang w:val="es-ES"/>
        </w:rPr>
        <w:t>Magistrado Ponente</w:t>
      </w:r>
    </w:p>
    <w:p w:rsidR="007577C2" w:rsidRPr="00B7107C" w:rsidRDefault="007577C2" w:rsidP="007577C2">
      <w:pPr>
        <w:pStyle w:val="Sansinterligne"/>
        <w:jc w:val="center"/>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r w:rsidRPr="00B7107C">
        <w:rPr>
          <w:rFonts w:ascii="Arial Narrow" w:hAnsi="Arial Narrow"/>
          <w:sz w:val="28"/>
          <w:szCs w:val="28"/>
          <w:lang w:val="es-ES"/>
        </w:rPr>
        <w:t xml:space="preserve">ANA LUCÍA CAICEDO CALDERÓN                 </w:t>
      </w:r>
      <w:r w:rsidR="00C44409" w:rsidRPr="00B7107C">
        <w:rPr>
          <w:rFonts w:ascii="Arial Narrow" w:hAnsi="Arial Narrow"/>
          <w:sz w:val="28"/>
          <w:szCs w:val="28"/>
          <w:lang w:val="es-ES"/>
        </w:rPr>
        <w:t>OLGA LUCÍA HOYOS SEPÚLVEDA</w:t>
      </w:r>
    </w:p>
    <w:p w:rsidR="007577C2" w:rsidRPr="00B7107C" w:rsidRDefault="007577C2" w:rsidP="007577C2">
      <w:pPr>
        <w:pStyle w:val="Sansinterligne"/>
        <w:rPr>
          <w:rFonts w:ascii="Arial Narrow" w:hAnsi="Arial Narrow"/>
          <w:sz w:val="28"/>
          <w:szCs w:val="28"/>
          <w:lang w:val="es-ES"/>
        </w:rPr>
      </w:pPr>
      <w:r w:rsidRPr="00B7107C">
        <w:rPr>
          <w:rFonts w:ascii="Arial Narrow" w:hAnsi="Arial Narrow"/>
          <w:sz w:val="28"/>
          <w:szCs w:val="28"/>
          <w:lang w:val="es-ES"/>
        </w:rPr>
        <w:t xml:space="preserve">                    Magistrada </w:t>
      </w:r>
      <w:r w:rsidRPr="00B7107C">
        <w:rPr>
          <w:rFonts w:ascii="Arial Narrow" w:hAnsi="Arial Narrow"/>
          <w:sz w:val="28"/>
          <w:szCs w:val="28"/>
          <w:lang w:val="es-ES"/>
        </w:rPr>
        <w:tab/>
      </w:r>
      <w:r w:rsidRPr="00B7107C">
        <w:rPr>
          <w:rFonts w:ascii="Arial Narrow" w:hAnsi="Arial Narrow"/>
          <w:sz w:val="28"/>
          <w:szCs w:val="28"/>
          <w:lang w:val="es-ES"/>
        </w:rPr>
        <w:tab/>
      </w:r>
      <w:r w:rsidRPr="00B7107C">
        <w:rPr>
          <w:rFonts w:ascii="Arial Narrow" w:hAnsi="Arial Narrow"/>
          <w:sz w:val="28"/>
          <w:szCs w:val="28"/>
          <w:lang w:val="es-ES"/>
        </w:rPr>
        <w:tab/>
      </w:r>
      <w:r w:rsidRPr="00B7107C">
        <w:rPr>
          <w:rFonts w:ascii="Arial Narrow" w:hAnsi="Arial Narrow"/>
          <w:sz w:val="28"/>
          <w:szCs w:val="28"/>
          <w:lang w:val="es-ES"/>
        </w:rPr>
        <w:tab/>
      </w:r>
      <w:r w:rsidR="00C44409" w:rsidRPr="00B7107C">
        <w:rPr>
          <w:rFonts w:ascii="Arial Narrow" w:hAnsi="Arial Narrow"/>
          <w:sz w:val="28"/>
          <w:szCs w:val="28"/>
          <w:lang w:val="es-ES"/>
        </w:rPr>
        <w:t xml:space="preserve">                 </w:t>
      </w:r>
      <w:proofErr w:type="spellStart"/>
      <w:r w:rsidR="00C44409" w:rsidRPr="00B7107C">
        <w:rPr>
          <w:rFonts w:ascii="Arial Narrow" w:hAnsi="Arial Narrow"/>
          <w:sz w:val="28"/>
          <w:szCs w:val="28"/>
          <w:lang w:val="es-ES"/>
        </w:rPr>
        <w:t>Magistrada</w:t>
      </w:r>
      <w:proofErr w:type="spellEnd"/>
    </w:p>
    <w:p w:rsidR="007577C2" w:rsidRPr="00B7107C" w:rsidRDefault="007577C2" w:rsidP="007577C2">
      <w:pPr>
        <w:pStyle w:val="Sansinterligne"/>
        <w:rPr>
          <w:rFonts w:ascii="Arial Narrow" w:hAnsi="Arial Narrow"/>
          <w:sz w:val="28"/>
          <w:szCs w:val="28"/>
          <w:lang w:val="es-ES"/>
        </w:rPr>
      </w:pPr>
      <w:r w:rsidRPr="00B7107C">
        <w:rPr>
          <w:rFonts w:ascii="Arial Narrow" w:hAnsi="Arial Narrow"/>
          <w:sz w:val="28"/>
          <w:szCs w:val="28"/>
          <w:lang w:val="es-ES"/>
        </w:rPr>
        <w:tab/>
      </w:r>
      <w:r w:rsidRPr="00B7107C">
        <w:rPr>
          <w:rFonts w:ascii="Arial Narrow" w:hAnsi="Arial Narrow"/>
          <w:sz w:val="28"/>
          <w:szCs w:val="28"/>
          <w:lang w:val="es-ES"/>
        </w:rPr>
        <w:tab/>
      </w:r>
      <w:r w:rsidRPr="00B7107C">
        <w:rPr>
          <w:rFonts w:ascii="Arial Narrow" w:hAnsi="Arial Narrow"/>
          <w:sz w:val="28"/>
          <w:szCs w:val="28"/>
          <w:lang w:val="es-ES"/>
        </w:rPr>
        <w:tab/>
      </w: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7577C2" w:rsidP="007577C2">
      <w:pPr>
        <w:pStyle w:val="Sansinterligne"/>
        <w:rPr>
          <w:rFonts w:ascii="Arial Narrow" w:hAnsi="Arial Narrow"/>
          <w:sz w:val="28"/>
          <w:szCs w:val="28"/>
          <w:lang w:val="es-ES"/>
        </w:rPr>
      </w:pPr>
    </w:p>
    <w:p w:rsidR="007577C2" w:rsidRPr="00B7107C" w:rsidRDefault="00C44409" w:rsidP="007577C2">
      <w:pPr>
        <w:pStyle w:val="Sansinterligne"/>
        <w:ind w:left="2832"/>
        <w:rPr>
          <w:rFonts w:ascii="Arial Narrow" w:hAnsi="Arial Narrow"/>
          <w:sz w:val="28"/>
          <w:szCs w:val="28"/>
          <w:lang w:val="es-ES"/>
        </w:rPr>
      </w:pPr>
      <w:r w:rsidRPr="00B7107C">
        <w:rPr>
          <w:rFonts w:ascii="Arial Narrow" w:hAnsi="Arial Narrow"/>
          <w:sz w:val="28"/>
          <w:szCs w:val="28"/>
          <w:lang w:val="es-ES"/>
        </w:rPr>
        <w:t xml:space="preserve">Alonso Gaviria Ocampo </w:t>
      </w:r>
    </w:p>
    <w:p w:rsidR="007577C2" w:rsidRPr="00B7107C" w:rsidRDefault="007577C2" w:rsidP="007577C2">
      <w:pPr>
        <w:spacing w:line="360" w:lineRule="auto"/>
        <w:ind w:firstLine="900"/>
        <w:rPr>
          <w:rFonts w:ascii="Arial Narrow" w:hAnsi="Arial Narrow" w:cs="Microsoft Sans Serif"/>
          <w:iCs/>
          <w:sz w:val="28"/>
          <w:szCs w:val="28"/>
          <w:lang w:val="es-ES"/>
        </w:rPr>
      </w:pPr>
      <w:r w:rsidRPr="00B7107C">
        <w:rPr>
          <w:rFonts w:ascii="Arial Narrow" w:hAnsi="Arial Narrow" w:cs="Microsoft Sans Serif"/>
          <w:iCs/>
          <w:sz w:val="28"/>
          <w:szCs w:val="28"/>
          <w:lang w:val="es-ES"/>
        </w:rPr>
        <w:t xml:space="preserve">                                            </w:t>
      </w:r>
      <w:r w:rsidR="003D7AEB" w:rsidRPr="00B7107C">
        <w:rPr>
          <w:rFonts w:ascii="Arial Narrow" w:hAnsi="Arial Narrow" w:cs="Microsoft Sans Serif"/>
          <w:iCs/>
          <w:sz w:val="28"/>
          <w:szCs w:val="28"/>
          <w:lang w:val="es-ES"/>
        </w:rPr>
        <w:t>Secretario</w:t>
      </w:r>
    </w:p>
    <w:p w:rsidR="007577C2" w:rsidRPr="00B7107C" w:rsidRDefault="007577C2" w:rsidP="007577C2">
      <w:pPr>
        <w:rPr>
          <w:sz w:val="28"/>
          <w:szCs w:val="28"/>
        </w:rPr>
      </w:pPr>
    </w:p>
    <w:p w:rsidR="007577C2" w:rsidRPr="00B7107C"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7577C2" w:rsidRDefault="007577C2" w:rsidP="007577C2">
      <w:pPr>
        <w:rPr>
          <w:sz w:val="28"/>
          <w:szCs w:val="28"/>
        </w:rPr>
      </w:pPr>
    </w:p>
    <w:p w:rsidR="000231B1" w:rsidRDefault="000231B1" w:rsidP="007577C2">
      <w:pPr>
        <w:rPr>
          <w:sz w:val="28"/>
          <w:szCs w:val="28"/>
        </w:rPr>
      </w:pPr>
    </w:p>
    <w:p w:rsidR="00CE5398" w:rsidRDefault="00CE5398" w:rsidP="007577C2">
      <w:pPr>
        <w:rPr>
          <w:sz w:val="28"/>
          <w:szCs w:val="28"/>
        </w:rPr>
      </w:pPr>
    </w:p>
    <w:p w:rsidR="00CE5398" w:rsidRDefault="00CE5398" w:rsidP="007577C2">
      <w:pPr>
        <w:rPr>
          <w:sz w:val="28"/>
          <w:szCs w:val="28"/>
        </w:rPr>
      </w:pPr>
    </w:p>
    <w:p w:rsidR="00CE5398" w:rsidRDefault="00CE5398"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0231B1" w:rsidRDefault="000231B1" w:rsidP="007577C2">
      <w:pPr>
        <w:rPr>
          <w:sz w:val="28"/>
          <w:szCs w:val="28"/>
        </w:rPr>
      </w:pPr>
    </w:p>
    <w:p w:rsidR="007577C2" w:rsidRDefault="007577C2" w:rsidP="007577C2">
      <w:pPr>
        <w:rPr>
          <w:sz w:val="28"/>
          <w:szCs w:val="28"/>
        </w:rPr>
      </w:pPr>
    </w:p>
    <w:p w:rsidR="00C62051" w:rsidRPr="00F71EE9" w:rsidRDefault="00C62051" w:rsidP="001124F2">
      <w:pPr>
        <w:jc w:val="center"/>
        <w:rPr>
          <w:rFonts w:ascii="Arial Narrow" w:hAnsi="Arial Narrow"/>
          <w:b/>
          <w:sz w:val="28"/>
          <w:szCs w:val="28"/>
        </w:rPr>
      </w:pPr>
      <w:r w:rsidRPr="00F71EE9">
        <w:rPr>
          <w:rFonts w:ascii="Arial Narrow" w:hAnsi="Arial Narrow"/>
          <w:b/>
          <w:sz w:val="28"/>
          <w:szCs w:val="28"/>
        </w:rPr>
        <w:t>ANEXOS</w:t>
      </w:r>
    </w:p>
    <w:p w:rsidR="00C62051" w:rsidRPr="00F71EE9" w:rsidRDefault="00C62051" w:rsidP="007577C2">
      <w:pPr>
        <w:rPr>
          <w:rFonts w:ascii="Arial Narrow" w:hAnsi="Arial Narrow"/>
          <w:sz w:val="28"/>
          <w:szCs w:val="28"/>
        </w:rPr>
      </w:pPr>
    </w:p>
    <w:p w:rsidR="00C62051" w:rsidRPr="00FB4373" w:rsidRDefault="00C62051" w:rsidP="00FB4373">
      <w:pPr>
        <w:pStyle w:val="Paragraphedeliste"/>
        <w:numPr>
          <w:ilvl w:val="0"/>
          <w:numId w:val="6"/>
        </w:numPr>
        <w:rPr>
          <w:rFonts w:ascii="Arial Narrow" w:hAnsi="Arial Narrow"/>
          <w:sz w:val="28"/>
          <w:szCs w:val="28"/>
        </w:rPr>
      </w:pPr>
      <w:r w:rsidRPr="00FB4373">
        <w:rPr>
          <w:rFonts w:ascii="Arial Narrow" w:hAnsi="Arial Narrow"/>
          <w:sz w:val="28"/>
          <w:szCs w:val="28"/>
        </w:rPr>
        <w:t xml:space="preserve">Liquidación de la primera mesada pensional </w:t>
      </w:r>
    </w:p>
    <w:p w:rsidR="00FC5616" w:rsidRDefault="00FC5616" w:rsidP="007577C2">
      <w:pPr>
        <w:rPr>
          <w:sz w:val="28"/>
          <w:szCs w:val="28"/>
        </w:rPr>
      </w:pPr>
    </w:p>
    <w:tbl>
      <w:tblPr>
        <w:tblW w:w="9232" w:type="dxa"/>
        <w:tblInd w:w="-182" w:type="dxa"/>
        <w:tblLayout w:type="fixed"/>
        <w:tblCellMar>
          <w:left w:w="70" w:type="dxa"/>
          <w:right w:w="70" w:type="dxa"/>
        </w:tblCellMar>
        <w:tblLook w:val="04A0" w:firstRow="1" w:lastRow="0" w:firstColumn="1" w:lastColumn="0" w:noHBand="0" w:noVBand="1"/>
      </w:tblPr>
      <w:tblGrid>
        <w:gridCol w:w="861"/>
        <w:gridCol w:w="861"/>
        <w:gridCol w:w="860"/>
        <w:gridCol w:w="560"/>
        <w:gridCol w:w="912"/>
        <w:gridCol w:w="348"/>
        <w:gridCol w:w="1035"/>
        <w:gridCol w:w="1168"/>
        <w:gridCol w:w="1048"/>
        <w:gridCol w:w="1579"/>
      </w:tblGrid>
      <w:tr w:rsidR="008D534B" w:rsidRPr="00FC5616" w:rsidTr="008D534B">
        <w:trPr>
          <w:trHeight w:val="600"/>
        </w:trPr>
        <w:tc>
          <w:tcPr>
            <w:tcW w:w="861" w:type="dxa"/>
            <w:tcBorders>
              <w:top w:val="single" w:sz="8" w:space="0" w:color="auto"/>
              <w:left w:val="single" w:sz="8" w:space="0" w:color="auto"/>
              <w:bottom w:val="single" w:sz="8" w:space="0" w:color="auto"/>
              <w:right w:val="nil"/>
            </w:tcBorders>
            <w:shd w:val="clear" w:color="000000" w:fill="FFFF99"/>
            <w:vAlign w:val="center"/>
            <w:hideMark/>
          </w:tcPr>
          <w:p w:rsidR="00FC5616" w:rsidRPr="00FC5616" w:rsidRDefault="00FC5616" w:rsidP="00FC5616">
            <w:pPr>
              <w:rPr>
                <w:rFonts w:ascii="Calibri" w:hAnsi="Calibri"/>
                <w:b/>
                <w:bCs/>
                <w:i/>
                <w:iCs/>
                <w:color w:val="000000"/>
                <w:sz w:val="16"/>
                <w:szCs w:val="16"/>
                <w:lang w:val="es-ES"/>
              </w:rPr>
            </w:pPr>
            <w:r w:rsidRPr="00FC5616">
              <w:rPr>
                <w:rFonts w:ascii="Calibri" w:hAnsi="Calibri"/>
                <w:b/>
                <w:bCs/>
                <w:i/>
                <w:iCs/>
                <w:color w:val="000000"/>
                <w:sz w:val="16"/>
                <w:szCs w:val="16"/>
                <w:lang w:val="es-ES"/>
              </w:rPr>
              <w:t>DEMANDANTE</w:t>
            </w:r>
          </w:p>
        </w:tc>
        <w:tc>
          <w:tcPr>
            <w:tcW w:w="3193" w:type="dxa"/>
            <w:gridSpan w:val="4"/>
            <w:tcBorders>
              <w:top w:val="single" w:sz="8" w:space="0" w:color="auto"/>
              <w:left w:val="nil"/>
              <w:bottom w:val="single" w:sz="8" w:space="0" w:color="auto"/>
              <w:right w:val="single" w:sz="8" w:space="0" w:color="000000"/>
            </w:tcBorders>
            <w:shd w:val="clear" w:color="000000" w:fill="FFFF99"/>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Lucila Salas de Rodríguez</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1035"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16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579"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r>
      <w:tr w:rsidR="00FC5616" w:rsidRPr="00FC5616" w:rsidTr="008D534B">
        <w:trPr>
          <w:trHeight w:val="225"/>
        </w:trPr>
        <w:tc>
          <w:tcPr>
            <w:tcW w:w="3142" w:type="dxa"/>
            <w:gridSpan w:val="4"/>
            <w:tcBorders>
              <w:top w:val="single" w:sz="8" w:space="0" w:color="auto"/>
              <w:left w:val="single" w:sz="8" w:space="0" w:color="auto"/>
              <w:bottom w:val="single" w:sz="4" w:space="0" w:color="auto"/>
              <w:right w:val="nil"/>
            </w:tcBorders>
            <w:shd w:val="clear" w:color="000000" w:fill="FFFF99"/>
            <w:vAlign w:val="center"/>
            <w:hideMark/>
          </w:tcPr>
          <w:p w:rsidR="00FC5616" w:rsidRPr="00FC5616" w:rsidRDefault="00FC5616" w:rsidP="00FC5616">
            <w:pPr>
              <w:rPr>
                <w:rFonts w:ascii="Calibri" w:hAnsi="Calibri"/>
                <w:b/>
                <w:bCs/>
                <w:i/>
                <w:iCs/>
                <w:color w:val="000000"/>
                <w:sz w:val="16"/>
                <w:szCs w:val="16"/>
                <w:lang w:val="es-ES"/>
              </w:rPr>
            </w:pPr>
            <w:r w:rsidRPr="00FC5616">
              <w:rPr>
                <w:rFonts w:ascii="Calibri" w:hAnsi="Calibri"/>
                <w:b/>
                <w:bCs/>
                <w:i/>
                <w:iCs/>
                <w:color w:val="000000"/>
                <w:sz w:val="16"/>
                <w:szCs w:val="16"/>
                <w:lang w:val="es-ES"/>
              </w:rPr>
              <w:t>Fecha de nacimiento:</w:t>
            </w:r>
          </w:p>
        </w:tc>
        <w:tc>
          <w:tcPr>
            <w:tcW w:w="912" w:type="dxa"/>
            <w:tcBorders>
              <w:top w:val="nil"/>
              <w:left w:val="nil"/>
              <w:bottom w:val="single" w:sz="4" w:space="0" w:color="auto"/>
              <w:right w:val="single" w:sz="8" w:space="0" w:color="auto"/>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27-oct-38</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i/>
                <w:iCs/>
                <w:color w:val="000000"/>
                <w:sz w:val="16"/>
                <w:szCs w:val="16"/>
                <w:lang w:val="es-ES"/>
              </w:rPr>
            </w:pPr>
          </w:p>
        </w:tc>
        <w:tc>
          <w:tcPr>
            <w:tcW w:w="1035"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16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579"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r>
      <w:tr w:rsidR="00FC5616" w:rsidRPr="00FC5616" w:rsidTr="008D534B">
        <w:trPr>
          <w:trHeight w:val="225"/>
        </w:trPr>
        <w:tc>
          <w:tcPr>
            <w:tcW w:w="3142" w:type="dxa"/>
            <w:gridSpan w:val="4"/>
            <w:tcBorders>
              <w:top w:val="single" w:sz="4" w:space="0" w:color="auto"/>
              <w:left w:val="single" w:sz="8" w:space="0" w:color="auto"/>
              <w:bottom w:val="single" w:sz="4" w:space="0" w:color="auto"/>
              <w:right w:val="nil"/>
            </w:tcBorders>
            <w:shd w:val="clear" w:color="000000" w:fill="FFFF99"/>
            <w:vAlign w:val="center"/>
            <w:hideMark/>
          </w:tcPr>
          <w:p w:rsidR="00FC5616" w:rsidRPr="00FC5616" w:rsidRDefault="00FC5616" w:rsidP="00FC5616">
            <w:pPr>
              <w:rPr>
                <w:rFonts w:ascii="Calibri" w:hAnsi="Calibri"/>
                <w:b/>
                <w:bCs/>
                <w:i/>
                <w:iCs/>
                <w:color w:val="000000"/>
                <w:sz w:val="16"/>
                <w:szCs w:val="16"/>
                <w:lang w:val="es-ES"/>
              </w:rPr>
            </w:pPr>
            <w:r w:rsidRPr="00FC5616">
              <w:rPr>
                <w:rFonts w:ascii="Calibri" w:hAnsi="Calibri"/>
                <w:b/>
                <w:bCs/>
                <w:i/>
                <w:iCs/>
                <w:color w:val="000000"/>
                <w:sz w:val="16"/>
                <w:szCs w:val="16"/>
                <w:lang w:val="es-ES"/>
              </w:rPr>
              <w:t>Fecha reconocimiento pensión:</w:t>
            </w:r>
          </w:p>
        </w:tc>
        <w:tc>
          <w:tcPr>
            <w:tcW w:w="912" w:type="dxa"/>
            <w:tcBorders>
              <w:top w:val="nil"/>
              <w:left w:val="nil"/>
              <w:bottom w:val="single" w:sz="4" w:space="0" w:color="auto"/>
              <w:right w:val="single" w:sz="8" w:space="0" w:color="auto"/>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i/>
                <w:iCs/>
                <w:color w:val="000000"/>
                <w:sz w:val="16"/>
                <w:szCs w:val="16"/>
                <w:lang w:val="es-ES"/>
              </w:rPr>
            </w:pPr>
          </w:p>
        </w:tc>
        <w:tc>
          <w:tcPr>
            <w:tcW w:w="1035" w:type="dxa"/>
            <w:tcBorders>
              <w:top w:val="nil"/>
              <w:left w:val="nil"/>
              <w:bottom w:val="nil"/>
              <w:right w:val="nil"/>
            </w:tcBorders>
            <w:shd w:val="clear" w:color="auto" w:fill="auto"/>
            <w:noWrap/>
            <w:vAlign w:val="bottom"/>
            <w:hideMark/>
          </w:tcPr>
          <w:p w:rsidR="00FC5616" w:rsidRPr="00FC5616" w:rsidRDefault="00FC5616" w:rsidP="00FC5616">
            <w:pPr>
              <w:jc w:val="center"/>
              <w:rPr>
                <w:sz w:val="20"/>
                <w:lang w:val="es-ES"/>
              </w:rPr>
            </w:pPr>
          </w:p>
        </w:tc>
        <w:tc>
          <w:tcPr>
            <w:tcW w:w="116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579"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r>
      <w:tr w:rsidR="00FC5616" w:rsidRPr="00FC5616" w:rsidTr="008D534B">
        <w:trPr>
          <w:trHeight w:val="225"/>
        </w:trPr>
        <w:tc>
          <w:tcPr>
            <w:tcW w:w="3142" w:type="dxa"/>
            <w:gridSpan w:val="4"/>
            <w:tcBorders>
              <w:top w:val="single" w:sz="4" w:space="0" w:color="auto"/>
              <w:left w:val="single" w:sz="8" w:space="0" w:color="auto"/>
              <w:bottom w:val="single" w:sz="8" w:space="0" w:color="auto"/>
              <w:right w:val="nil"/>
            </w:tcBorders>
            <w:shd w:val="clear" w:color="000000" w:fill="FFFF99"/>
            <w:vAlign w:val="center"/>
            <w:hideMark/>
          </w:tcPr>
          <w:p w:rsidR="00FC5616" w:rsidRPr="00FC5616" w:rsidRDefault="00FC5616" w:rsidP="00FC5616">
            <w:pPr>
              <w:rPr>
                <w:rFonts w:ascii="Calibri" w:hAnsi="Calibri"/>
                <w:b/>
                <w:bCs/>
                <w:i/>
                <w:iCs/>
                <w:color w:val="000000"/>
                <w:sz w:val="16"/>
                <w:szCs w:val="16"/>
                <w:lang w:val="es-ES"/>
              </w:rPr>
            </w:pPr>
            <w:r w:rsidRPr="00FC5616">
              <w:rPr>
                <w:rFonts w:ascii="Calibri" w:hAnsi="Calibri"/>
                <w:b/>
                <w:bCs/>
                <w:i/>
                <w:iCs/>
                <w:color w:val="000000"/>
                <w:sz w:val="16"/>
                <w:szCs w:val="16"/>
                <w:lang w:val="es-ES"/>
              </w:rPr>
              <w:t>Total semanas cotizadas:</w:t>
            </w:r>
          </w:p>
        </w:tc>
        <w:tc>
          <w:tcPr>
            <w:tcW w:w="912" w:type="dxa"/>
            <w:tcBorders>
              <w:top w:val="nil"/>
              <w:left w:val="nil"/>
              <w:bottom w:val="single" w:sz="8" w:space="0" w:color="auto"/>
              <w:right w:val="single" w:sz="8" w:space="0" w:color="auto"/>
            </w:tcBorders>
            <w:shd w:val="clear" w:color="auto" w:fill="auto"/>
            <w:noWrap/>
            <w:vAlign w:val="center"/>
            <w:hideMark/>
          </w:tcPr>
          <w:p w:rsidR="00FC5616" w:rsidRPr="00FC5616" w:rsidRDefault="00FC5616" w:rsidP="00FC5616">
            <w:pPr>
              <w:jc w:val="center"/>
              <w:rPr>
                <w:rFonts w:ascii="Calibri" w:hAnsi="Calibri"/>
                <w:color w:val="000000"/>
                <w:szCs w:val="24"/>
                <w:lang w:val="es-ES"/>
              </w:rPr>
            </w:pPr>
            <w:r w:rsidRPr="00FC5616">
              <w:rPr>
                <w:rFonts w:ascii="Calibri" w:hAnsi="Calibri"/>
                <w:color w:val="000000"/>
                <w:szCs w:val="24"/>
                <w:lang w:val="es-ES"/>
              </w:rPr>
              <w:t>100,00</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color w:val="000000"/>
                <w:szCs w:val="24"/>
                <w:lang w:val="es-ES"/>
              </w:rPr>
            </w:pPr>
          </w:p>
        </w:tc>
        <w:tc>
          <w:tcPr>
            <w:tcW w:w="1035"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16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579"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r>
      <w:tr w:rsidR="008D534B" w:rsidRPr="00FC5616" w:rsidTr="008D534B">
        <w:trPr>
          <w:trHeight w:val="45"/>
        </w:trPr>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5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912"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35"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16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048"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1579"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r>
      <w:tr w:rsidR="00FC5616" w:rsidRPr="00FC5616" w:rsidTr="008D534B">
        <w:trPr>
          <w:trHeight w:val="435"/>
        </w:trPr>
        <w:tc>
          <w:tcPr>
            <w:tcW w:w="4054"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HISTORIA LABORAL DEL AFILIADO</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1035"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FC5616" w:rsidRPr="00FC5616" w:rsidRDefault="00FC5616" w:rsidP="00FC5616">
            <w:pPr>
              <w:jc w:val="center"/>
              <w:rPr>
                <w:rFonts w:ascii="Calibri" w:hAnsi="Calibri"/>
                <w:b/>
                <w:bCs/>
                <w:i/>
                <w:iCs/>
                <w:color w:val="000000"/>
                <w:sz w:val="20"/>
                <w:lang w:val="es-ES"/>
              </w:rPr>
            </w:pPr>
            <w:r w:rsidRPr="00FC5616">
              <w:rPr>
                <w:rFonts w:ascii="Calibri" w:hAnsi="Calibri"/>
                <w:b/>
                <w:bCs/>
                <w:i/>
                <w:iCs/>
                <w:color w:val="000000"/>
                <w:sz w:val="20"/>
                <w:lang w:val="es-ES"/>
              </w:rPr>
              <w:t>conversión de  días a semanas</w:t>
            </w:r>
          </w:p>
        </w:tc>
        <w:tc>
          <w:tcPr>
            <w:tcW w:w="1168"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FC5616" w:rsidRPr="00FC5616" w:rsidRDefault="00FC5616" w:rsidP="00FC5616">
            <w:pPr>
              <w:jc w:val="center"/>
              <w:rPr>
                <w:rFonts w:ascii="Calibri" w:hAnsi="Calibri"/>
                <w:b/>
                <w:bCs/>
                <w:i/>
                <w:iCs/>
                <w:color w:val="000000"/>
                <w:sz w:val="20"/>
                <w:lang w:val="es-ES"/>
              </w:rPr>
            </w:pPr>
            <w:r w:rsidRPr="00FC5616">
              <w:rPr>
                <w:rFonts w:ascii="Calibri" w:hAnsi="Calibri"/>
                <w:b/>
                <w:bCs/>
                <w:i/>
                <w:iCs/>
                <w:color w:val="000000"/>
                <w:sz w:val="20"/>
                <w:lang w:val="es-ES"/>
              </w:rPr>
              <w:t>conversión Ingreso base de Cotización Diario</w:t>
            </w:r>
          </w:p>
        </w:tc>
        <w:tc>
          <w:tcPr>
            <w:tcW w:w="1048"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FC5616" w:rsidRPr="00FC5616" w:rsidRDefault="00FC5616" w:rsidP="00FC5616">
            <w:pPr>
              <w:jc w:val="center"/>
              <w:rPr>
                <w:rFonts w:ascii="Calibri" w:hAnsi="Calibri"/>
                <w:b/>
                <w:bCs/>
                <w:i/>
                <w:iCs/>
                <w:color w:val="000000"/>
                <w:sz w:val="20"/>
                <w:lang w:val="es-ES"/>
              </w:rPr>
            </w:pPr>
            <w:r w:rsidRPr="00FC5616">
              <w:rPr>
                <w:rFonts w:ascii="Calibri" w:hAnsi="Calibri"/>
                <w:b/>
                <w:bCs/>
                <w:i/>
                <w:iCs/>
                <w:color w:val="000000"/>
                <w:sz w:val="20"/>
                <w:lang w:val="es-ES"/>
              </w:rPr>
              <w:t>conversión Ingreso base de Cotización semanal</w:t>
            </w:r>
          </w:p>
        </w:tc>
        <w:tc>
          <w:tcPr>
            <w:tcW w:w="157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FC5616" w:rsidRPr="00FC5616" w:rsidRDefault="00FC5616" w:rsidP="00FC5616">
            <w:pPr>
              <w:jc w:val="center"/>
              <w:rPr>
                <w:rFonts w:ascii="Calibri" w:hAnsi="Calibri"/>
                <w:b/>
                <w:bCs/>
                <w:i/>
                <w:iCs/>
                <w:color w:val="000000"/>
                <w:sz w:val="20"/>
                <w:lang w:val="es-ES"/>
              </w:rPr>
            </w:pPr>
            <w:r w:rsidRPr="00FC5616">
              <w:rPr>
                <w:rFonts w:ascii="Calibri" w:hAnsi="Calibri"/>
                <w:b/>
                <w:bCs/>
                <w:i/>
                <w:iCs/>
                <w:color w:val="000000"/>
                <w:sz w:val="20"/>
                <w:lang w:val="es-ES"/>
              </w:rPr>
              <w:t>Total salario base por semanas</w:t>
            </w:r>
          </w:p>
        </w:tc>
      </w:tr>
      <w:tr w:rsidR="00FC5616" w:rsidRPr="00FC5616" w:rsidTr="008D534B">
        <w:trPr>
          <w:trHeight w:val="315"/>
        </w:trPr>
        <w:tc>
          <w:tcPr>
            <w:tcW w:w="2582"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Fechas de aporte</w:t>
            </w:r>
          </w:p>
        </w:tc>
        <w:tc>
          <w:tcPr>
            <w:tcW w:w="56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Número de días</w:t>
            </w:r>
          </w:p>
        </w:tc>
        <w:tc>
          <w:tcPr>
            <w:tcW w:w="912"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Ingreso Base de Cotización</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1035" w:type="dxa"/>
            <w:vMerge/>
            <w:tcBorders>
              <w:top w:val="single" w:sz="4" w:space="0" w:color="auto"/>
              <w:left w:val="single" w:sz="4" w:space="0" w:color="808000"/>
              <w:bottom w:val="single" w:sz="8"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168" w:type="dxa"/>
            <w:vMerge/>
            <w:tcBorders>
              <w:top w:val="single" w:sz="4" w:space="0" w:color="auto"/>
              <w:left w:val="single" w:sz="4" w:space="0" w:color="auto"/>
              <w:bottom w:val="single" w:sz="4"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579" w:type="dxa"/>
            <w:vMerge/>
            <w:tcBorders>
              <w:top w:val="single" w:sz="4" w:space="0" w:color="auto"/>
              <w:left w:val="single" w:sz="4" w:space="0" w:color="808000"/>
              <w:bottom w:val="single" w:sz="8"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r>
      <w:tr w:rsidR="00C62051" w:rsidRPr="00FC5616" w:rsidTr="008D534B">
        <w:trPr>
          <w:trHeight w:val="705"/>
        </w:trPr>
        <w:tc>
          <w:tcPr>
            <w:tcW w:w="861" w:type="dxa"/>
            <w:tcBorders>
              <w:top w:val="nil"/>
              <w:left w:val="single" w:sz="8" w:space="0" w:color="auto"/>
              <w:bottom w:val="single" w:sz="8" w:space="0" w:color="auto"/>
              <w:right w:val="single" w:sz="4" w:space="0" w:color="8080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Empleador</w:t>
            </w:r>
          </w:p>
        </w:tc>
        <w:tc>
          <w:tcPr>
            <w:tcW w:w="861" w:type="dxa"/>
            <w:tcBorders>
              <w:top w:val="nil"/>
              <w:left w:val="nil"/>
              <w:bottom w:val="single" w:sz="8" w:space="0" w:color="auto"/>
              <w:right w:val="single" w:sz="4" w:space="0" w:color="8080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Desde</w:t>
            </w:r>
          </w:p>
        </w:tc>
        <w:tc>
          <w:tcPr>
            <w:tcW w:w="860" w:type="dxa"/>
            <w:tcBorders>
              <w:top w:val="nil"/>
              <w:left w:val="nil"/>
              <w:bottom w:val="single" w:sz="8" w:space="0" w:color="auto"/>
              <w:right w:val="single" w:sz="4" w:space="0" w:color="8080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Hasta</w:t>
            </w:r>
          </w:p>
        </w:tc>
        <w:tc>
          <w:tcPr>
            <w:tcW w:w="560" w:type="dxa"/>
            <w:vMerge/>
            <w:tcBorders>
              <w:top w:val="nil"/>
              <w:left w:val="single" w:sz="4" w:space="0" w:color="808000"/>
              <w:bottom w:val="single" w:sz="8" w:space="0" w:color="000000"/>
              <w:right w:val="single" w:sz="4" w:space="0" w:color="808000"/>
            </w:tcBorders>
            <w:vAlign w:val="center"/>
            <w:hideMark/>
          </w:tcPr>
          <w:p w:rsidR="00FC5616" w:rsidRPr="00FC5616" w:rsidRDefault="00FC5616" w:rsidP="00FC5616">
            <w:pPr>
              <w:rPr>
                <w:rFonts w:ascii="Calibri" w:hAnsi="Calibri"/>
                <w:b/>
                <w:bCs/>
                <w:i/>
                <w:iCs/>
                <w:color w:val="000000"/>
                <w:sz w:val="16"/>
                <w:szCs w:val="16"/>
                <w:lang w:val="es-ES"/>
              </w:rPr>
            </w:pPr>
          </w:p>
        </w:tc>
        <w:tc>
          <w:tcPr>
            <w:tcW w:w="912" w:type="dxa"/>
            <w:vMerge/>
            <w:tcBorders>
              <w:top w:val="nil"/>
              <w:left w:val="single" w:sz="4" w:space="0" w:color="808000"/>
              <w:bottom w:val="single" w:sz="8" w:space="0" w:color="000000"/>
              <w:right w:val="single" w:sz="8" w:space="0" w:color="auto"/>
            </w:tcBorders>
            <w:vAlign w:val="center"/>
            <w:hideMark/>
          </w:tcPr>
          <w:p w:rsidR="00FC5616" w:rsidRPr="00FC5616" w:rsidRDefault="00FC5616" w:rsidP="00FC5616">
            <w:pPr>
              <w:rPr>
                <w:rFonts w:ascii="Calibri" w:hAnsi="Calibri"/>
                <w:b/>
                <w:bCs/>
                <w:i/>
                <w:iCs/>
                <w:color w:val="000000"/>
                <w:sz w:val="16"/>
                <w:szCs w:val="16"/>
                <w:lang w:val="es-ES"/>
              </w:rPr>
            </w:pPr>
          </w:p>
        </w:tc>
        <w:tc>
          <w:tcPr>
            <w:tcW w:w="348"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1035" w:type="dxa"/>
            <w:vMerge/>
            <w:tcBorders>
              <w:top w:val="single" w:sz="4" w:space="0" w:color="auto"/>
              <w:left w:val="single" w:sz="4" w:space="0" w:color="808000"/>
              <w:bottom w:val="single" w:sz="8"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168" w:type="dxa"/>
            <w:vMerge/>
            <w:tcBorders>
              <w:top w:val="single" w:sz="4" w:space="0" w:color="auto"/>
              <w:left w:val="single" w:sz="4" w:space="0" w:color="auto"/>
              <w:bottom w:val="single" w:sz="4"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c>
          <w:tcPr>
            <w:tcW w:w="1579" w:type="dxa"/>
            <w:vMerge/>
            <w:tcBorders>
              <w:top w:val="single" w:sz="4" w:space="0" w:color="auto"/>
              <w:left w:val="single" w:sz="4" w:space="0" w:color="808000"/>
              <w:bottom w:val="single" w:sz="8" w:space="0" w:color="000000"/>
              <w:right w:val="single" w:sz="4" w:space="0" w:color="auto"/>
            </w:tcBorders>
            <w:vAlign w:val="center"/>
            <w:hideMark/>
          </w:tcPr>
          <w:p w:rsidR="00FC5616" w:rsidRPr="00FC5616" w:rsidRDefault="00FC5616" w:rsidP="00FC5616">
            <w:pPr>
              <w:rPr>
                <w:rFonts w:ascii="Calibri" w:hAnsi="Calibri"/>
                <w:b/>
                <w:bCs/>
                <w:i/>
                <w:iCs/>
                <w:color w:val="000000"/>
                <w:sz w:val="20"/>
                <w:lang w:val="es-ES"/>
              </w:rPr>
            </w:pPr>
          </w:p>
        </w:tc>
      </w:tr>
      <w:tr w:rsidR="008D534B" w:rsidRPr="00FC5616" w:rsidTr="008D534B">
        <w:trPr>
          <w:trHeight w:val="315"/>
        </w:trPr>
        <w:tc>
          <w:tcPr>
            <w:tcW w:w="861"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29-abr-92</w:t>
            </w:r>
          </w:p>
        </w:tc>
        <w:tc>
          <w:tcPr>
            <w:tcW w:w="86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jc w:val="right"/>
              <w:rPr>
                <w:rFonts w:ascii="Calibri" w:hAnsi="Calibri"/>
                <w:i/>
                <w:iCs/>
                <w:color w:val="000000"/>
                <w:sz w:val="16"/>
                <w:szCs w:val="16"/>
                <w:lang w:val="es-ES"/>
              </w:rPr>
            </w:pPr>
            <w:r w:rsidRPr="00FC5616">
              <w:rPr>
                <w:rFonts w:ascii="Calibri" w:hAnsi="Calibri"/>
                <w:i/>
                <w:iCs/>
                <w:color w:val="000000"/>
                <w:sz w:val="16"/>
                <w:szCs w:val="16"/>
                <w:lang w:val="es-ES"/>
              </w:rPr>
              <w:t>31-dic-92</w:t>
            </w:r>
          </w:p>
        </w:tc>
        <w:tc>
          <w:tcPr>
            <w:tcW w:w="56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C62051" w:rsidP="00FC5616">
            <w:pPr>
              <w:jc w:val="center"/>
              <w:rPr>
                <w:rFonts w:ascii="Calibri" w:hAnsi="Calibri"/>
                <w:i/>
                <w:iCs/>
                <w:color w:val="000000"/>
                <w:sz w:val="16"/>
                <w:szCs w:val="16"/>
                <w:lang w:val="es-ES"/>
              </w:rPr>
            </w:pPr>
            <w:r>
              <w:rPr>
                <w:rFonts w:ascii="Calibri" w:hAnsi="Calibri"/>
                <w:i/>
                <w:iCs/>
                <w:color w:val="000000"/>
                <w:sz w:val="16"/>
                <w:szCs w:val="16"/>
                <w:lang w:val="es-ES"/>
              </w:rPr>
              <w:t>245</w:t>
            </w:r>
          </w:p>
        </w:tc>
        <w:tc>
          <w:tcPr>
            <w:tcW w:w="912"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123.210,00 </w:t>
            </w:r>
          </w:p>
        </w:tc>
        <w:tc>
          <w:tcPr>
            <w:tcW w:w="348" w:type="dxa"/>
            <w:tcBorders>
              <w:top w:val="single" w:sz="4" w:space="0" w:color="808000"/>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35,29 </w:t>
            </w:r>
          </w:p>
        </w:tc>
        <w:tc>
          <w:tcPr>
            <w:tcW w:w="1168"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4.107,00 </w:t>
            </w:r>
          </w:p>
        </w:tc>
        <w:tc>
          <w:tcPr>
            <w:tcW w:w="1048"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28.749,00 </w:t>
            </w:r>
          </w:p>
        </w:tc>
        <w:tc>
          <w:tcPr>
            <w:tcW w:w="157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1.014.429,00 </w:t>
            </w:r>
          </w:p>
        </w:tc>
      </w:tr>
      <w:tr w:rsidR="008D534B" w:rsidRPr="00FC5616" w:rsidTr="008D534B">
        <w:trPr>
          <w:trHeight w:val="315"/>
        </w:trPr>
        <w:tc>
          <w:tcPr>
            <w:tcW w:w="861" w:type="dxa"/>
            <w:tcBorders>
              <w:top w:val="nil"/>
              <w:left w:val="single" w:sz="8" w:space="0" w:color="auto"/>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01-ene-93</w:t>
            </w:r>
          </w:p>
        </w:tc>
        <w:tc>
          <w:tcPr>
            <w:tcW w:w="8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right"/>
              <w:rPr>
                <w:rFonts w:ascii="Calibri" w:hAnsi="Calibri"/>
                <w:i/>
                <w:iCs/>
                <w:color w:val="000000"/>
                <w:sz w:val="16"/>
                <w:szCs w:val="16"/>
                <w:lang w:val="es-ES"/>
              </w:rPr>
            </w:pPr>
            <w:r w:rsidRPr="00FC5616">
              <w:rPr>
                <w:rFonts w:ascii="Calibri" w:hAnsi="Calibri"/>
                <w:i/>
                <w:iCs/>
                <w:color w:val="000000"/>
                <w:sz w:val="16"/>
                <w:szCs w:val="16"/>
                <w:lang w:val="es-ES"/>
              </w:rPr>
              <w:t>28-feb-93</w:t>
            </w:r>
          </w:p>
        </w:tc>
        <w:tc>
          <w:tcPr>
            <w:tcW w:w="560" w:type="dxa"/>
            <w:tcBorders>
              <w:top w:val="nil"/>
              <w:left w:val="nil"/>
              <w:bottom w:val="single" w:sz="4" w:space="0" w:color="808000"/>
              <w:right w:val="single" w:sz="4" w:space="0" w:color="808000"/>
            </w:tcBorders>
            <w:shd w:val="clear" w:color="auto" w:fill="auto"/>
            <w:noWrap/>
            <w:vAlign w:val="center"/>
            <w:hideMark/>
          </w:tcPr>
          <w:p w:rsidR="00FC5616" w:rsidRPr="00FC5616" w:rsidRDefault="00C62051" w:rsidP="00FC5616">
            <w:pPr>
              <w:jc w:val="center"/>
              <w:rPr>
                <w:rFonts w:ascii="Calibri" w:hAnsi="Calibri"/>
                <w:i/>
                <w:iCs/>
                <w:color w:val="000000"/>
                <w:sz w:val="16"/>
                <w:szCs w:val="16"/>
                <w:lang w:val="es-ES"/>
              </w:rPr>
            </w:pPr>
            <w:r>
              <w:rPr>
                <w:rFonts w:ascii="Calibri" w:hAnsi="Calibri"/>
                <w:i/>
                <w:iCs/>
                <w:color w:val="000000"/>
                <w:sz w:val="16"/>
                <w:szCs w:val="16"/>
                <w:lang w:val="es-ES"/>
              </w:rPr>
              <w:t>60</w:t>
            </w:r>
          </w:p>
        </w:tc>
        <w:tc>
          <w:tcPr>
            <w:tcW w:w="912" w:type="dxa"/>
            <w:tcBorders>
              <w:top w:val="nil"/>
              <w:left w:val="nil"/>
              <w:bottom w:val="single" w:sz="4" w:space="0" w:color="808000"/>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123.210,00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8,43 </w:t>
            </w:r>
          </w:p>
        </w:tc>
        <w:tc>
          <w:tcPr>
            <w:tcW w:w="116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4.107,00 </w:t>
            </w:r>
          </w:p>
        </w:tc>
        <w:tc>
          <w:tcPr>
            <w:tcW w:w="104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28.749,00 </w:t>
            </w:r>
          </w:p>
        </w:tc>
        <w:tc>
          <w:tcPr>
            <w:tcW w:w="157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242.313,00 </w:t>
            </w:r>
          </w:p>
        </w:tc>
      </w:tr>
      <w:tr w:rsidR="008D534B" w:rsidRPr="00FC5616" w:rsidTr="008D534B">
        <w:trPr>
          <w:trHeight w:val="315"/>
        </w:trPr>
        <w:tc>
          <w:tcPr>
            <w:tcW w:w="861" w:type="dxa"/>
            <w:tcBorders>
              <w:top w:val="nil"/>
              <w:left w:val="single" w:sz="8" w:space="0" w:color="auto"/>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01-mar-93</w:t>
            </w:r>
          </w:p>
        </w:tc>
        <w:tc>
          <w:tcPr>
            <w:tcW w:w="8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right"/>
              <w:rPr>
                <w:rFonts w:ascii="Calibri" w:hAnsi="Calibri"/>
                <w:i/>
                <w:iCs/>
                <w:color w:val="000000"/>
                <w:sz w:val="16"/>
                <w:szCs w:val="16"/>
                <w:lang w:val="es-ES"/>
              </w:rPr>
            </w:pPr>
            <w:r w:rsidRPr="00FC5616">
              <w:rPr>
                <w:rFonts w:ascii="Calibri" w:hAnsi="Calibri"/>
                <w:i/>
                <w:iCs/>
                <w:color w:val="000000"/>
                <w:sz w:val="16"/>
                <w:szCs w:val="16"/>
                <w:lang w:val="es-ES"/>
              </w:rPr>
              <w:t>31-dic-93</w:t>
            </w:r>
          </w:p>
        </w:tc>
        <w:tc>
          <w:tcPr>
            <w:tcW w:w="5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306</w:t>
            </w:r>
          </w:p>
        </w:tc>
        <w:tc>
          <w:tcPr>
            <w:tcW w:w="912" w:type="dxa"/>
            <w:tcBorders>
              <w:top w:val="nil"/>
              <w:left w:val="nil"/>
              <w:bottom w:val="single" w:sz="4" w:space="0" w:color="808000"/>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150.270,00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43,71 </w:t>
            </w:r>
          </w:p>
        </w:tc>
        <w:tc>
          <w:tcPr>
            <w:tcW w:w="116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5.009,00 </w:t>
            </w:r>
          </w:p>
        </w:tc>
        <w:tc>
          <w:tcPr>
            <w:tcW w:w="104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35.063,00 </w:t>
            </w:r>
          </w:p>
        </w:tc>
        <w:tc>
          <w:tcPr>
            <w:tcW w:w="157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1.532.754,00 </w:t>
            </w:r>
          </w:p>
        </w:tc>
      </w:tr>
      <w:tr w:rsidR="008D534B" w:rsidRPr="00FC5616" w:rsidTr="008D534B">
        <w:trPr>
          <w:trHeight w:val="315"/>
        </w:trPr>
        <w:tc>
          <w:tcPr>
            <w:tcW w:w="861" w:type="dxa"/>
            <w:tcBorders>
              <w:top w:val="nil"/>
              <w:left w:val="single" w:sz="8" w:space="0" w:color="auto"/>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01-ene-94</w:t>
            </w:r>
          </w:p>
        </w:tc>
        <w:tc>
          <w:tcPr>
            <w:tcW w:w="8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right"/>
              <w:rPr>
                <w:rFonts w:ascii="Calibri" w:hAnsi="Calibri"/>
                <w:i/>
                <w:iCs/>
                <w:color w:val="000000"/>
                <w:sz w:val="16"/>
                <w:szCs w:val="16"/>
                <w:lang w:val="es-ES"/>
              </w:rPr>
            </w:pPr>
            <w:r w:rsidRPr="00FC5616">
              <w:rPr>
                <w:rFonts w:ascii="Calibri" w:hAnsi="Calibri"/>
                <w:i/>
                <w:iCs/>
                <w:color w:val="000000"/>
                <w:sz w:val="16"/>
                <w:szCs w:val="16"/>
                <w:lang w:val="es-ES"/>
              </w:rPr>
              <w:t>28-feb-94</w:t>
            </w:r>
          </w:p>
        </w:tc>
        <w:tc>
          <w:tcPr>
            <w:tcW w:w="5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59</w:t>
            </w:r>
          </w:p>
        </w:tc>
        <w:tc>
          <w:tcPr>
            <w:tcW w:w="912" w:type="dxa"/>
            <w:tcBorders>
              <w:top w:val="nil"/>
              <w:left w:val="nil"/>
              <w:bottom w:val="single" w:sz="4" w:space="0" w:color="808000"/>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150.270,00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8,43 </w:t>
            </w:r>
          </w:p>
        </w:tc>
        <w:tc>
          <w:tcPr>
            <w:tcW w:w="116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5.009,00 </w:t>
            </w:r>
          </w:p>
        </w:tc>
        <w:tc>
          <w:tcPr>
            <w:tcW w:w="104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35.063,00 </w:t>
            </w:r>
          </w:p>
        </w:tc>
        <w:tc>
          <w:tcPr>
            <w:tcW w:w="157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295.531,00 </w:t>
            </w:r>
          </w:p>
        </w:tc>
      </w:tr>
      <w:tr w:rsidR="008D534B" w:rsidRPr="00FC5616" w:rsidTr="008D534B">
        <w:trPr>
          <w:trHeight w:val="315"/>
        </w:trPr>
        <w:tc>
          <w:tcPr>
            <w:tcW w:w="861" w:type="dxa"/>
            <w:tcBorders>
              <w:top w:val="nil"/>
              <w:left w:val="single" w:sz="8" w:space="0" w:color="auto"/>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01-mar-94</w:t>
            </w:r>
          </w:p>
        </w:tc>
        <w:tc>
          <w:tcPr>
            <w:tcW w:w="860" w:type="dxa"/>
            <w:tcBorders>
              <w:top w:val="nil"/>
              <w:left w:val="nil"/>
              <w:bottom w:val="single" w:sz="4" w:space="0" w:color="808000"/>
              <w:right w:val="single" w:sz="4" w:space="0" w:color="808000"/>
            </w:tcBorders>
            <w:shd w:val="clear" w:color="auto" w:fill="auto"/>
            <w:noWrap/>
            <w:vAlign w:val="center"/>
            <w:hideMark/>
          </w:tcPr>
          <w:p w:rsidR="00FC5616" w:rsidRPr="00FC5616" w:rsidRDefault="00FC5616" w:rsidP="00FC5616">
            <w:pPr>
              <w:jc w:val="right"/>
              <w:rPr>
                <w:rFonts w:ascii="Calibri" w:hAnsi="Calibri"/>
                <w:i/>
                <w:iCs/>
                <w:color w:val="000000"/>
                <w:sz w:val="16"/>
                <w:szCs w:val="16"/>
                <w:lang w:val="es-ES"/>
              </w:rPr>
            </w:pPr>
            <w:r w:rsidRPr="00FC5616">
              <w:rPr>
                <w:rFonts w:ascii="Calibri" w:hAnsi="Calibri"/>
                <w:i/>
                <w:iCs/>
                <w:color w:val="000000"/>
                <w:sz w:val="16"/>
                <w:szCs w:val="16"/>
                <w:lang w:val="es-ES"/>
              </w:rPr>
              <w:t>29-mar-94</w:t>
            </w:r>
          </w:p>
        </w:tc>
        <w:tc>
          <w:tcPr>
            <w:tcW w:w="560" w:type="dxa"/>
            <w:tcBorders>
              <w:top w:val="nil"/>
              <w:left w:val="nil"/>
              <w:bottom w:val="single" w:sz="4" w:space="0" w:color="808000"/>
              <w:right w:val="single" w:sz="4" w:space="0" w:color="808000"/>
            </w:tcBorders>
            <w:shd w:val="clear" w:color="auto" w:fill="auto"/>
            <w:noWrap/>
            <w:vAlign w:val="center"/>
            <w:hideMark/>
          </w:tcPr>
          <w:p w:rsidR="00FC5616" w:rsidRPr="00FC5616" w:rsidRDefault="00C62051" w:rsidP="00FC5616">
            <w:pPr>
              <w:jc w:val="center"/>
              <w:rPr>
                <w:rFonts w:ascii="Calibri" w:hAnsi="Calibri"/>
                <w:i/>
                <w:iCs/>
                <w:color w:val="000000"/>
                <w:sz w:val="16"/>
                <w:szCs w:val="16"/>
                <w:lang w:val="es-ES"/>
              </w:rPr>
            </w:pPr>
            <w:r>
              <w:rPr>
                <w:rFonts w:ascii="Calibri" w:hAnsi="Calibri"/>
                <w:i/>
                <w:iCs/>
                <w:color w:val="000000"/>
                <w:sz w:val="16"/>
                <w:szCs w:val="16"/>
                <w:lang w:val="es-ES"/>
              </w:rPr>
              <w:t>60</w:t>
            </w:r>
          </w:p>
        </w:tc>
        <w:tc>
          <w:tcPr>
            <w:tcW w:w="912" w:type="dxa"/>
            <w:tcBorders>
              <w:top w:val="nil"/>
              <w:left w:val="nil"/>
              <w:bottom w:val="single" w:sz="4" w:space="0" w:color="808000"/>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193.747,00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4,14 </w:t>
            </w:r>
          </w:p>
        </w:tc>
        <w:tc>
          <w:tcPr>
            <w:tcW w:w="116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6.458,23 </w:t>
            </w:r>
          </w:p>
        </w:tc>
        <w:tc>
          <w:tcPr>
            <w:tcW w:w="1048" w:type="dxa"/>
            <w:tcBorders>
              <w:top w:val="nil"/>
              <w:left w:val="single" w:sz="4" w:space="0" w:color="808000"/>
              <w:bottom w:val="single" w:sz="4" w:space="0" w:color="808000"/>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45.207,63 </w:t>
            </w:r>
          </w:p>
        </w:tc>
        <w:tc>
          <w:tcPr>
            <w:tcW w:w="157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187.288,77 </w:t>
            </w:r>
          </w:p>
        </w:tc>
      </w:tr>
      <w:tr w:rsidR="008D534B" w:rsidRPr="00FC5616" w:rsidTr="008D534B">
        <w:trPr>
          <w:trHeight w:val="330"/>
        </w:trPr>
        <w:tc>
          <w:tcPr>
            <w:tcW w:w="861" w:type="dxa"/>
            <w:tcBorders>
              <w:top w:val="nil"/>
              <w:left w:val="single" w:sz="8" w:space="0" w:color="auto"/>
              <w:bottom w:val="nil"/>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1" w:type="dxa"/>
            <w:tcBorders>
              <w:top w:val="nil"/>
              <w:left w:val="nil"/>
              <w:bottom w:val="nil"/>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860" w:type="dxa"/>
            <w:tcBorders>
              <w:top w:val="nil"/>
              <w:left w:val="nil"/>
              <w:bottom w:val="nil"/>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560" w:type="dxa"/>
            <w:tcBorders>
              <w:top w:val="nil"/>
              <w:left w:val="nil"/>
              <w:bottom w:val="nil"/>
              <w:right w:val="single" w:sz="4" w:space="0" w:color="808000"/>
            </w:tcBorders>
            <w:shd w:val="clear" w:color="auto" w:fill="auto"/>
            <w:noWrap/>
            <w:vAlign w:val="center"/>
            <w:hideMark/>
          </w:tcPr>
          <w:p w:rsidR="00FC5616" w:rsidRPr="00FC5616" w:rsidRDefault="00FC5616" w:rsidP="00FC5616">
            <w:pPr>
              <w:jc w:val="cente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912" w:type="dxa"/>
            <w:tcBorders>
              <w:top w:val="nil"/>
              <w:left w:val="nil"/>
              <w:bottom w:val="nil"/>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nil"/>
              <w:left w:val="single" w:sz="4" w:space="0" w:color="808000"/>
              <w:bottom w:val="nil"/>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   </w:t>
            </w:r>
          </w:p>
        </w:tc>
        <w:tc>
          <w:tcPr>
            <w:tcW w:w="1168" w:type="dxa"/>
            <w:tcBorders>
              <w:top w:val="nil"/>
              <w:left w:val="single" w:sz="4" w:space="0" w:color="808000"/>
              <w:bottom w:val="nil"/>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   </w:t>
            </w:r>
          </w:p>
        </w:tc>
        <w:tc>
          <w:tcPr>
            <w:tcW w:w="1048" w:type="dxa"/>
            <w:tcBorders>
              <w:top w:val="nil"/>
              <w:left w:val="single" w:sz="4" w:space="0" w:color="808000"/>
              <w:bottom w:val="nil"/>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   </w:t>
            </w:r>
          </w:p>
        </w:tc>
        <w:tc>
          <w:tcPr>
            <w:tcW w:w="1579" w:type="dxa"/>
            <w:tcBorders>
              <w:top w:val="single" w:sz="4" w:space="0" w:color="808000"/>
              <w:left w:val="single" w:sz="4" w:space="0" w:color="808000"/>
              <w:bottom w:val="nil"/>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   </w:t>
            </w:r>
          </w:p>
        </w:tc>
      </w:tr>
      <w:tr w:rsidR="00C62051" w:rsidRPr="00FC5616" w:rsidTr="008D534B">
        <w:trPr>
          <w:trHeight w:val="330"/>
        </w:trPr>
        <w:tc>
          <w:tcPr>
            <w:tcW w:w="861" w:type="dxa"/>
            <w:tcBorders>
              <w:top w:val="single" w:sz="8" w:space="0" w:color="auto"/>
              <w:left w:val="single" w:sz="8" w:space="0" w:color="auto"/>
              <w:bottom w:val="single" w:sz="8" w:space="0" w:color="auto"/>
              <w:right w:val="single" w:sz="4" w:space="0" w:color="333300"/>
            </w:tcBorders>
            <w:shd w:val="clear" w:color="auto" w:fill="auto"/>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TOTAL DIAS</w:t>
            </w:r>
          </w:p>
        </w:tc>
        <w:tc>
          <w:tcPr>
            <w:tcW w:w="861" w:type="dxa"/>
            <w:tcBorders>
              <w:top w:val="single" w:sz="8" w:space="0" w:color="auto"/>
              <w:left w:val="nil"/>
              <w:bottom w:val="single" w:sz="8" w:space="0" w:color="auto"/>
              <w:right w:val="single" w:sz="4" w:space="0" w:color="333300"/>
            </w:tcBorders>
            <w:shd w:val="clear" w:color="auto" w:fill="auto"/>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 </w:t>
            </w:r>
          </w:p>
        </w:tc>
        <w:tc>
          <w:tcPr>
            <w:tcW w:w="860" w:type="dxa"/>
            <w:tcBorders>
              <w:top w:val="single" w:sz="8" w:space="0" w:color="auto"/>
              <w:left w:val="nil"/>
              <w:bottom w:val="single" w:sz="8" w:space="0" w:color="auto"/>
              <w:right w:val="nil"/>
            </w:tcBorders>
            <w:shd w:val="clear" w:color="auto" w:fill="auto"/>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 </w:t>
            </w:r>
          </w:p>
        </w:tc>
        <w:tc>
          <w:tcPr>
            <w:tcW w:w="560"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FC5616" w:rsidRPr="00FC5616" w:rsidRDefault="00FC5616" w:rsidP="00FC5616">
            <w:pPr>
              <w:jc w:val="center"/>
              <w:rPr>
                <w:rFonts w:ascii="Calibri" w:hAnsi="Calibri"/>
                <w:color w:val="000000"/>
                <w:szCs w:val="24"/>
                <w:lang w:val="es-ES"/>
              </w:rPr>
            </w:pPr>
            <w:r w:rsidRPr="00FC5616">
              <w:rPr>
                <w:rFonts w:ascii="Calibri" w:hAnsi="Calibri"/>
                <w:color w:val="000000"/>
                <w:szCs w:val="24"/>
                <w:lang w:val="es-ES"/>
              </w:rPr>
              <w:t>700</w:t>
            </w:r>
          </w:p>
        </w:tc>
        <w:tc>
          <w:tcPr>
            <w:tcW w:w="912" w:type="dxa"/>
            <w:tcBorders>
              <w:top w:val="single" w:sz="8" w:space="0" w:color="auto"/>
              <w:left w:val="single" w:sz="4" w:space="0" w:color="808000"/>
              <w:bottom w:val="single" w:sz="8" w:space="0" w:color="auto"/>
              <w:right w:val="single" w:sz="8"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348"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1035"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xml:space="preserve">            100,00 </w:t>
            </w:r>
          </w:p>
        </w:tc>
        <w:tc>
          <w:tcPr>
            <w:tcW w:w="1168" w:type="dxa"/>
            <w:tcBorders>
              <w:top w:val="single" w:sz="8" w:space="0" w:color="auto"/>
              <w:left w:val="single" w:sz="4" w:space="0" w:color="808000"/>
              <w:bottom w:val="single" w:sz="8" w:space="0" w:color="auto"/>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1048" w:type="dxa"/>
            <w:tcBorders>
              <w:top w:val="single" w:sz="8" w:space="0" w:color="auto"/>
              <w:left w:val="single" w:sz="4" w:space="0" w:color="808000"/>
              <w:bottom w:val="single" w:sz="8" w:space="0" w:color="auto"/>
              <w:right w:val="single" w:sz="4" w:space="0" w:color="auto"/>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c>
          <w:tcPr>
            <w:tcW w:w="1579" w:type="dxa"/>
            <w:tcBorders>
              <w:top w:val="single" w:sz="8" w:space="0" w:color="auto"/>
              <w:left w:val="single" w:sz="4" w:space="0" w:color="808000"/>
              <w:bottom w:val="single" w:sz="8" w:space="0" w:color="auto"/>
              <w:right w:val="single" w:sz="4" w:space="0" w:color="808000"/>
            </w:tcBorders>
            <w:shd w:val="clear" w:color="auto" w:fill="auto"/>
            <w:noWrap/>
            <w:vAlign w:val="center"/>
            <w:hideMark/>
          </w:tcPr>
          <w:p w:rsidR="00FC5616" w:rsidRPr="00FC5616" w:rsidRDefault="00FC5616" w:rsidP="00FC5616">
            <w:pPr>
              <w:rPr>
                <w:rFonts w:ascii="Calibri" w:hAnsi="Calibri"/>
                <w:i/>
                <w:iCs/>
                <w:color w:val="000000"/>
                <w:sz w:val="16"/>
                <w:szCs w:val="16"/>
                <w:lang w:val="es-ES"/>
              </w:rPr>
            </w:pPr>
            <w:r w:rsidRPr="00FC5616">
              <w:rPr>
                <w:rFonts w:ascii="Calibri" w:hAnsi="Calibri"/>
                <w:i/>
                <w:iCs/>
                <w:color w:val="000000"/>
                <w:sz w:val="16"/>
                <w:szCs w:val="16"/>
                <w:lang w:val="es-ES"/>
              </w:rPr>
              <w:t> </w:t>
            </w:r>
          </w:p>
        </w:tc>
      </w:tr>
      <w:tr w:rsidR="008D534B" w:rsidRPr="00FC5616" w:rsidTr="008D534B">
        <w:trPr>
          <w:trHeight w:val="315"/>
        </w:trPr>
        <w:tc>
          <w:tcPr>
            <w:tcW w:w="861" w:type="dxa"/>
            <w:tcBorders>
              <w:top w:val="nil"/>
              <w:left w:val="nil"/>
              <w:bottom w:val="nil"/>
              <w:right w:val="nil"/>
            </w:tcBorders>
            <w:shd w:val="clear" w:color="auto" w:fill="auto"/>
            <w:noWrap/>
            <w:vAlign w:val="bottom"/>
            <w:hideMark/>
          </w:tcPr>
          <w:p w:rsidR="00FC5616" w:rsidRPr="00FC5616" w:rsidRDefault="00FC5616" w:rsidP="00FC5616">
            <w:pPr>
              <w:rPr>
                <w:rFonts w:ascii="Calibri" w:hAnsi="Calibri"/>
                <w:i/>
                <w:iCs/>
                <w:color w:val="000000"/>
                <w:sz w:val="16"/>
                <w:szCs w:val="16"/>
                <w:lang w:val="es-ES"/>
              </w:rPr>
            </w:pPr>
          </w:p>
        </w:tc>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5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3463" w:type="dxa"/>
            <w:gridSpan w:val="4"/>
            <w:tcBorders>
              <w:top w:val="nil"/>
              <w:left w:val="nil"/>
              <w:bottom w:val="nil"/>
              <w:right w:val="nil"/>
            </w:tcBorders>
            <w:shd w:val="clear" w:color="auto" w:fill="auto"/>
            <w:noWrap/>
            <w:vAlign w:val="center"/>
            <w:hideMark/>
          </w:tcPr>
          <w:p w:rsidR="00FC5616" w:rsidRPr="00FC5616" w:rsidRDefault="00FC5616" w:rsidP="00FC5616">
            <w:pPr>
              <w:jc w:val="right"/>
              <w:rPr>
                <w:rFonts w:ascii="Calibri" w:hAnsi="Calibri"/>
                <w:b/>
                <w:bCs/>
                <w:i/>
                <w:iCs/>
                <w:color w:val="000000"/>
                <w:sz w:val="16"/>
                <w:szCs w:val="16"/>
                <w:lang w:val="es-ES"/>
              </w:rPr>
            </w:pPr>
            <w:r w:rsidRPr="00FC5616">
              <w:rPr>
                <w:rFonts w:ascii="Calibri" w:hAnsi="Calibri"/>
                <w:b/>
                <w:bCs/>
                <w:i/>
                <w:iCs/>
                <w:color w:val="000000"/>
                <w:sz w:val="16"/>
                <w:szCs w:val="16"/>
                <w:lang w:val="es-ES"/>
              </w:rPr>
              <w:t>sumatoria salarios semanales</w:t>
            </w:r>
          </w:p>
        </w:tc>
        <w:tc>
          <w:tcPr>
            <w:tcW w:w="1048" w:type="dxa"/>
            <w:tcBorders>
              <w:top w:val="nil"/>
              <w:left w:val="nil"/>
              <w:bottom w:val="nil"/>
              <w:right w:val="nil"/>
            </w:tcBorders>
            <w:shd w:val="clear" w:color="auto" w:fill="auto"/>
            <w:noWrap/>
            <w:vAlign w:val="bottom"/>
            <w:hideMark/>
          </w:tcPr>
          <w:p w:rsidR="00FC5616" w:rsidRPr="00FC5616" w:rsidRDefault="00FC5616" w:rsidP="00FC5616">
            <w:pPr>
              <w:jc w:val="right"/>
              <w:rPr>
                <w:rFonts w:ascii="Calibri" w:hAnsi="Calibri"/>
                <w:b/>
                <w:bCs/>
                <w:i/>
                <w:iCs/>
                <w:color w:val="000000"/>
                <w:sz w:val="16"/>
                <w:szCs w:val="16"/>
                <w:lang w:val="es-ES"/>
              </w:rPr>
            </w:pPr>
          </w:p>
        </w:tc>
        <w:tc>
          <w:tcPr>
            <w:tcW w:w="1579" w:type="dxa"/>
            <w:tcBorders>
              <w:top w:val="nil"/>
              <w:left w:val="single" w:sz="4" w:space="0" w:color="333300"/>
              <w:bottom w:val="single" w:sz="4" w:space="0" w:color="333300"/>
              <w:right w:val="single" w:sz="4" w:space="0" w:color="333300"/>
            </w:tcBorders>
            <w:shd w:val="clear" w:color="000000" w:fill="FFFF99"/>
            <w:noWrap/>
            <w:vAlign w:val="center"/>
            <w:hideMark/>
          </w:tcPr>
          <w:p w:rsidR="00FC5616" w:rsidRPr="00FC5616" w:rsidRDefault="00FC5616" w:rsidP="00FC5616">
            <w:pPr>
              <w:jc w:val="center"/>
              <w:rPr>
                <w:rFonts w:ascii="Calibri" w:hAnsi="Calibri"/>
                <w:color w:val="000000"/>
                <w:szCs w:val="24"/>
                <w:lang w:val="es-ES"/>
              </w:rPr>
            </w:pPr>
            <w:r w:rsidRPr="00FC5616">
              <w:rPr>
                <w:rFonts w:ascii="Calibri" w:hAnsi="Calibri"/>
                <w:color w:val="000000"/>
                <w:szCs w:val="24"/>
                <w:lang w:val="es-ES"/>
              </w:rPr>
              <w:t xml:space="preserve">       3.272.316 </w:t>
            </w:r>
          </w:p>
        </w:tc>
      </w:tr>
      <w:tr w:rsidR="008D534B" w:rsidRPr="00FC5616" w:rsidTr="008D534B">
        <w:trPr>
          <w:trHeight w:val="315"/>
        </w:trPr>
        <w:tc>
          <w:tcPr>
            <w:tcW w:w="861"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color w:val="000000"/>
                <w:szCs w:val="24"/>
                <w:lang w:val="es-ES"/>
              </w:rPr>
            </w:pPr>
          </w:p>
        </w:tc>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5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3463" w:type="dxa"/>
            <w:gridSpan w:val="4"/>
            <w:tcBorders>
              <w:top w:val="nil"/>
              <w:left w:val="nil"/>
              <w:bottom w:val="nil"/>
              <w:right w:val="nil"/>
            </w:tcBorders>
            <w:shd w:val="clear" w:color="auto" w:fill="auto"/>
            <w:noWrap/>
            <w:vAlign w:val="center"/>
            <w:hideMark/>
          </w:tcPr>
          <w:p w:rsidR="00FC5616" w:rsidRPr="00FC5616" w:rsidRDefault="00FC5616" w:rsidP="00FC5616">
            <w:pPr>
              <w:jc w:val="right"/>
              <w:rPr>
                <w:rFonts w:ascii="Calibri" w:hAnsi="Calibri"/>
                <w:b/>
                <w:bCs/>
                <w:i/>
                <w:iCs/>
                <w:color w:val="000000"/>
                <w:sz w:val="16"/>
                <w:szCs w:val="16"/>
                <w:lang w:val="es-ES"/>
              </w:rPr>
            </w:pPr>
            <w:r w:rsidRPr="00FC5616">
              <w:rPr>
                <w:rFonts w:ascii="Calibri" w:hAnsi="Calibri"/>
                <w:b/>
                <w:bCs/>
                <w:i/>
                <w:iCs/>
                <w:color w:val="000000"/>
                <w:sz w:val="16"/>
                <w:szCs w:val="16"/>
                <w:lang w:val="es-ES"/>
              </w:rPr>
              <w:t>salario base /100</w:t>
            </w:r>
          </w:p>
        </w:tc>
        <w:tc>
          <w:tcPr>
            <w:tcW w:w="1048" w:type="dxa"/>
            <w:tcBorders>
              <w:top w:val="nil"/>
              <w:left w:val="nil"/>
              <w:bottom w:val="nil"/>
              <w:right w:val="nil"/>
            </w:tcBorders>
            <w:shd w:val="clear" w:color="auto" w:fill="auto"/>
            <w:noWrap/>
            <w:vAlign w:val="bottom"/>
            <w:hideMark/>
          </w:tcPr>
          <w:p w:rsidR="00FC5616" w:rsidRPr="00FC5616" w:rsidRDefault="00FC5616" w:rsidP="00FC5616">
            <w:pPr>
              <w:jc w:val="right"/>
              <w:rPr>
                <w:rFonts w:ascii="Calibri" w:hAnsi="Calibri"/>
                <w:b/>
                <w:bCs/>
                <w:i/>
                <w:iCs/>
                <w:color w:val="000000"/>
                <w:sz w:val="16"/>
                <w:szCs w:val="16"/>
                <w:lang w:val="es-ES"/>
              </w:rPr>
            </w:pPr>
          </w:p>
        </w:tc>
        <w:tc>
          <w:tcPr>
            <w:tcW w:w="1579" w:type="dxa"/>
            <w:tcBorders>
              <w:top w:val="nil"/>
              <w:left w:val="single" w:sz="4" w:space="0" w:color="333300"/>
              <w:bottom w:val="single" w:sz="4" w:space="0" w:color="333300"/>
              <w:right w:val="single" w:sz="4" w:space="0" w:color="3333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 xml:space="preserve">                             32.723 </w:t>
            </w:r>
          </w:p>
        </w:tc>
      </w:tr>
      <w:tr w:rsidR="008D534B" w:rsidRPr="00FC5616" w:rsidTr="008D534B">
        <w:trPr>
          <w:trHeight w:val="315"/>
        </w:trPr>
        <w:tc>
          <w:tcPr>
            <w:tcW w:w="861"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5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3463" w:type="dxa"/>
            <w:gridSpan w:val="4"/>
            <w:tcBorders>
              <w:top w:val="nil"/>
              <w:left w:val="nil"/>
              <w:bottom w:val="nil"/>
              <w:right w:val="nil"/>
            </w:tcBorders>
            <w:shd w:val="clear" w:color="auto" w:fill="auto"/>
            <w:noWrap/>
            <w:vAlign w:val="center"/>
            <w:hideMark/>
          </w:tcPr>
          <w:p w:rsidR="00FC5616" w:rsidRPr="00FC5616" w:rsidRDefault="00FC5616" w:rsidP="00FC5616">
            <w:pPr>
              <w:jc w:val="right"/>
              <w:rPr>
                <w:rFonts w:ascii="Calibri" w:hAnsi="Calibri"/>
                <w:b/>
                <w:bCs/>
                <w:i/>
                <w:iCs/>
                <w:color w:val="000000"/>
                <w:sz w:val="16"/>
                <w:szCs w:val="16"/>
                <w:lang w:val="es-ES"/>
              </w:rPr>
            </w:pPr>
            <w:proofErr w:type="spellStart"/>
            <w:r w:rsidRPr="00FC5616">
              <w:rPr>
                <w:rFonts w:ascii="Calibri" w:hAnsi="Calibri"/>
                <w:b/>
                <w:bCs/>
                <w:i/>
                <w:iCs/>
                <w:color w:val="000000"/>
                <w:sz w:val="16"/>
                <w:szCs w:val="16"/>
                <w:lang w:val="es-ES"/>
              </w:rPr>
              <w:t>Vr</w:t>
            </w:r>
            <w:proofErr w:type="spellEnd"/>
            <w:r w:rsidRPr="00FC5616">
              <w:rPr>
                <w:rFonts w:ascii="Calibri" w:hAnsi="Calibri"/>
                <w:b/>
                <w:bCs/>
                <w:i/>
                <w:iCs/>
                <w:color w:val="000000"/>
                <w:sz w:val="16"/>
                <w:szCs w:val="16"/>
                <w:lang w:val="es-ES"/>
              </w:rPr>
              <w:t xml:space="preserve"> semana*factor(4,33)</w:t>
            </w:r>
          </w:p>
        </w:tc>
        <w:tc>
          <w:tcPr>
            <w:tcW w:w="1048" w:type="dxa"/>
            <w:tcBorders>
              <w:top w:val="nil"/>
              <w:left w:val="nil"/>
              <w:bottom w:val="nil"/>
              <w:right w:val="nil"/>
            </w:tcBorders>
            <w:shd w:val="clear" w:color="auto" w:fill="auto"/>
            <w:noWrap/>
            <w:vAlign w:val="bottom"/>
            <w:hideMark/>
          </w:tcPr>
          <w:p w:rsidR="00FC5616" w:rsidRPr="00FC5616" w:rsidRDefault="00FC5616" w:rsidP="00FC5616">
            <w:pPr>
              <w:jc w:val="right"/>
              <w:rPr>
                <w:rFonts w:ascii="Calibri" w:hAnsi="Calibri"/>
                <w:b/>
                <w:bCs/>
                <w:i/>
                <w:iCs/>
                <w:color w:val="000000"/>
                <w:sz w:val="16"/>
                <w:szCs w:val="16"/>
                <w:lang w:val="es-ES"/>
              </w:rPr>
            </w:pPr>
          </w:p>
        </w:tc>
        <w:tc>
          <w:tcPr>
            <w:tcW w:w="1579" w:type="dxa"/>
            <w:tcBorders>
              <w:top w:val="nil"/>
              <w:left w:val="single" w:sz="4" w:space="0" w:color="333300"/>
              <w:bottom w:val="single" w:sz="4" w:space="0" w:color="333300"/>
              <w:right w:val="single" w:sz="4" w:space="0" w:color="3333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 xml:space="preserve">                          141.691 </w:t>
            </w:r>
          </w:p>
        </w:tc>
      </w:tr>
      <w:tr w:rsidR="008D534B" w:rsidRPr="00FC5616" w:rsidTr="008D534B">
        <w:trPr>
          <w:trHeight w:val="315"/>
        </w:trPr>
        <w:tc>
          <w:tcPr>
            <w:tcW w:w="861" w:type="dxa"/>
            <w:tcBorders>
              <w:top w:val="nil"/>
              <w:left w:val="nil"/>
              <w:bottom w:val="nil"/>
              <w:right w:val="nil"/>
            </w:tcBorders>
            <w:shd w:val="clear" w:color="auto" w:fill="auto"/>
            <w:noWrap/>
            <w:vAlign w:val="bottom"/>
            <w:hideMark/>
          </w:tcPr>
          <w:p w:rsidR="00FC5616" w:rsidRPr="00FC5616" w:rsidRDefault="00FC5616" w:rsidP="00FC5616">
            <w:pPr>
              <w:jc w:val="center"/>
              <w:rPr>
                <w:rFonts w:ascii="Calibri" w:hAnsi="Calibri"/>
                <w:b/>
                <w:bCs/>
                <w:i/>
                <w:iCs/>
                <w:color w:val="000000"/>
                <w:sz w:val="16"/>
                <w:szCs w:val="16"/>
                <w:lang w:val="es-ES"/>
              </w:rPr>
            </w:pPr>
          </w:p>
        </w:tc>
        <w:tc>
          <w:tcPr>
            <w:tcW w:w="861"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8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560" w:type="dxa"/>
            <w:tcBorders>
              <w:top w:val="nil"/>
              <w:left w:val="nil"/>
              <w:bottom w:val="nil"/>
              <w:right w:val="nil"/>
            </w:tcBorders>
            <w:shd w:val="clear" w:color="auto" w:fill="auto"/>
            <w:noWrap/>
            <w:vAlign w:val="bottom"/>
            <w:hideMark/>
          </w:tcPr>
          <w:p w:rsidR="00FC5616" w:rsidRPr="00FC5616" w:rsidRDefault="00FC5616" w:rsidP="00FC5616">
            <w:pPr>
              <w:rPr>
                <w:sz w:val="20"/>
                <w:lang w:val="es-ES"/>
              </w:rPr>
            </w:pPr>
          </w:p>
        </w:tc>
        <w:tc>
          <w:tcPr>
            <w:tcW w:w="3463" w:type="dxa"/>
            <w:gridSpan w:val="4"/>
            <w:tcBorders>
              <w:top w:val="nil"/>
              <w:left w:val="nil"/>
              <w:bottom w:val="nil"/>
              <w:right w:val="nil"/>
            </w:tcBorders>
            <w:shd w:val="clear" w:color="auto" w:fill="auto"/>
            <w:noWrap/>
            <w:vAlign w:val="center"/>
            <w:hideMark/>
          </w:tcPr>
          <w:p w:rsidR="00FC5616" w:rsidRPr="00FC5616" w:rsidRDefault="00FC5616" w:rsidP="00FC5616">
            <w:pPr>
              <w:jc w:val="right"/>
              <w:rPr>
                <w:rFonts w:ascii="Calibri" w:hAnsi="Calibri"/>
                <w:b/>
                <w:bCs/>
                <w:i/>
                <w:iCs/>
                <w:color w:val="000000"/>
                <w:sz w:val="16"/>
                <w:szCs w:val="16"/>
                <w:lang w:val="es-ES"/>
              </w:rPr>
            </w:pPr>
            <w:r w:rsidRPr="00FC5616">
              <w:rPr>
                <w:rFonts w:ascii="Calibri" w:hAnsi="Calibri"/>
                <w:b/>
                <w:bCs/>
                <w:i/>
                <w:iCs/>
                <w:color w:val="000000"/>
                <w:sz w:val="16"/>
                <w:szCs w:val="16"/>
                <w:lang w:val="es-ES"/>
              </w:rPr>
              <w:t>valor mesada acuerdo 049 art 20</w:t>
            </w:r>
          </w:p>
        </w:tc>
        <w:tc>
          <w:tcPr>
            <w:tcW w:w="1048" w:type="dxa"/>
            <w:tcBorders>
              <w:top w:val="nil"/>
              <w:left w:val="nil"/>
              <w:bottom w:val="nil"/>
              <w:right w:val="nil"/>
            </w:tcBorders>
            <w:shd w:val="clear" w:color="auto" w:fill="auto"/>
            <w:noWrap/>
            <w:vAlign w:val="bottom"/>
            <w:hideMark/>
          </w:tcPr>
          <w:p w:rsidR="00FC5616" w:rsidRPr="00FC5616" w:rsidRDefault="00FC5616" w:rsidP="00FC5616">
            <w:pPr>
              <w:jc w:val="right"/>
              <w:rPr>
                <w:rFonts w:ascii="Calibri" w:hAnsi="Calibri"/>
                <w:b/>
                <w:bCs/>
                <w:i/>
                <w:iCs/>
                <w:color w:val="000000"/>
                <w:sz w:val="16"/>
                <w:szCs w:val="16"/>
                <w:lang w:val="es-ES"/>
              </w:rPr>
            </w:pPr>
          </w:p>
        </w:tc>
        <w:tc>
          <w:tcPr>
            <w:tcW w:w="1579" w:type="dxa"/>
            <w:tcBorders>
              <w:top w:val="nil"/>
              <w:left w:val="single" w:sz="4" w:space="0" w:color="333300"/>
              <w:bottom w:val="single" w:sz="4" w:space="0" w:color="333300"/>
              <w:right w:val="single" w:sz="4" w:space="0" w:color="333300"/>
            </w:tcBorders>
            <w:shd w:val="clear" w:color="000000" w:fill="FFFF99"/>
            <w:noWrap/>
            <w:vAlign w:val="center"/>
            <w:hideMark/>
          </w:tcPr>
          <w:p w:rsidR="00FC5616" w:rsidRPr="00FC5616" w:rsidRDefault="00FC5616" w:rsidP="00FC5616">
            <w:pPr>
              <w:jc w:val="center"/>
              <w:rPr>
                <w:rFonts w:ascii="Calibri" w:hAnsi="Calibri"/>
                <w:b/>
                <w:bCs/>
                <w:i/>
                <w:iCs/>
                <w:color w:val="000000"/>
                <w:sz w:val="16"/>
                <w:szCs w:val="16"/>
                <w:lang w:val="es-ES"/>
              </w:rPr>
            </w:pPr>
            <w:r w:rsidRPr="00FC5616">
              <w:rPr>
                <w:rFonts w:ascii="Calibri" w:hAnsi="Calibri"/>
                <w:b/>
                <w:bCs/>
                <w:i/>
                <w:iCs/>
                <w:color w:val="000000"/>
                <w:sz w:val="16"/>
                <w:szCs w:val="16"/>
                <w:lang w:val="es-ES"/>
              </w:rPr>
              <w:t xml:space="preserve">                          110.519 </w:t>
            </w:r>
          </w:p>
        </w:tc>
      </w:tr>
    </w:tbl>
    <w:p w:rsidR="00FC5616" w:rsidRDefault="00FC5616" w:rsidP="007577C2">
      <w:pPr>
        <w:rPr>
          <w:sz w:val="28"/>
          <w:szCs w:val="28"/>
        </w:rPr>
      </w:pPr>
    </w:p>
    <w:p w:rsidR="00C62051" w:rsidRDefault="00C62051" w:rsidP="007577C2">
      <w:pPr>
        <w:rPr>
          <w:sz w:val="28"/>
          <w:szCs w:val="28"/>
        </w:rPr>
      </w:pPr>
    </w:p>
    <w:p w:rsidR="00FB4373" w:rsidRDefault="00FB4373" w:rsidP="007577C2">
      <w:pPr>
        <w:rPr>
          <w:sz w:val="28"/>
          <w:szCs w:val="28"/>
        </w:rPr>
      </w:pPr>
    </w:p>
    <w:p w:rsidR="00FB4373" w:rsidRPr="00FB4373" w:rsidRDefault="00FB4373" w:rsidP="00FB4373">
      <w:pPr>
        <w:pStyle w:val="Paragraphedeliste"/>
        <w:numPr>
          <w:ilvl w:val="0"/>
          <w:numId w:val="5"/>
        </w:numPr>
        <w:rPr>
          <w:rFonts w:ascii="Arial Narrow" w:hAnsi="Arial Narrow"/>
          <w:sz w:val="28"/>
          <w:szCs w:val="28"/>
        </w:rPr>
      </w:pPr>
      <w:r w:rsidRPr="00FB4373">
        <w:rPr>
          <w:rFonts w:ascii="Arial Narrow" w:hAnsi="Arial Narrow"/>
          <w:sz w:val="28"/>
          <w:szCs w:val="28"/>
        </w:rPr>
        <w:t>Diferencias pensionales</w:t>
      </w:r>
    </w:p>
    <w:p w:rsidR="00FB4373" w:rsidRDefault="00FB4373" w:rsidP="007577C2">
      <w:pPr>
        <w:rPr>
          <w:sz w:val="28"/>
          <w:szCs w:val="28"/>
        </w:rPr>
      </w:pPr>
    </w:p>
    <w:p w:rsidR="00FB4373" w:rsidRDefault="00FB4373" w:rsidP="007577C2">
      <w:pPr>
        <w:rPr>
          <w:sz w:val="28"/>
          <w:szCs w:val="28"/>
        </w:rPr>
      </w:pPr>
    </w:p>
    <w:tbl>
      <w:tblPr>
        <w:tblW w:w="10243" w:type="dxa"/>
        <w:tblInd w:w="-572" w:type="dxa"/>
        <w:tblCellMar>
          <w:left w:w="70" w:type="dxa"/>
          <w:right w:w="70" w:type="dxa"/>
        </w:tblCellMar>
        <w:tblLook w:val="04A0" w:firstRow="1" w:lastRow="0" w:firstColumn="1" w:lastColumn="0" w:noHBand="0" w:noVBand="1"/>
      </w:tblPr>
      <w:tblGrid>
        <w:gridCol w:w="860"/>
        <w:gridCol w:w="900"/>
        <w:gridCol w:w="920"/>
        <w:gridCol w:w="880"/>
        <w:gridCol w:w="820"/>
        <w:gridCol w:w="1120"/>
        <w:gridCol w:w="1040"/>
        <w:gridCol w:w="800"/>
        <w:gridCol w:w="884"/>
        <w:gridCol w:w="919"/>
        <w:gridCol w:w="1100"/>
      </w:tblGrid>
      <w:tr w:rsidR="009D0A26" w:rsidRPr="009D0A26" w:rsidTr="009D0A26">
        <w:trPr>
          <w:trHeight w:val="495"/>
        </w:trPr>
        <w:tc>
          <w:tcPr>
            <w:tcW w:w="860" w:type="dxa"/>
            <w:tcBorders>
              <w:top w:val="single" w:sz="4" w:space="0" w:color="auto"/>
              <w:left w:val="single" w:sz="4" w:space="0" w:color="auto"/>
              <w:bottom w:val="single" w:sz="4" w:space="0" w:color="auto"/>
              <w:right w:val="single" w:sz="4" w:space="0" w:color="808000"/>
            </w:tcBorders>
            <w:shd w:val="clear" w:color="000000" w:fill="FFFFCC"/>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Fecha Liquida:</w:t>
            </w:r>
          </w:p>
        </w:tc>
        <w:tc>
          <w:tcPr>
            <w:tcW w:w="900" w:type="dxa"/>
            <w:tcBorders>
              <w:top w:val="single" w:sz="4" w:space="0" w:color="auto"/>
              <w:left w:val="nil"/>
              <w:bottom w:val="single" w:sz="4" w:space="0" w:color="auto"/>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30-abr-17</w:t>
            </w:r>
          </w:p>
        </w:tc>
        <w:tc>
          <w:tcPr>
            <w:tcW w:w="920" w:type="dxa"/>
            <w:tcBorders>
              <w:top w:val="single" w:sz="4" w:space="0" w:color="auto"/>
              <w:left w:val="nil"/>
              <w:bottom w:val="single" w:sz="4" w:space="0" w:color="auto"/>
              <w:right w:val="single" w:sz="4" w:space="0" w:color="808000"/>
            </w:tcBorders>
            <w:shd w:val="clear" w:color="000000" w:fill="FFFFCC"/>
            <w:vAlign w:val="center"/>
            <w:hideMark/>
          </w:tcPr>
          <w:p w:rsidR="009D0A26" w:rsidRPr="009D0A26" w:rsidRDefault="009D0A26" w:rsidP="009D0A26">
            <w:pPr>
              <w:jc w:val="center"/>
              <w:rPr>
                <w:rFonts w:ascii="Calibri" w:hAnsi="Calibri"/>
                <w:b/>
                <w:bCs/>
                <w:color w:val="000000"/>
                <w:sz w:val="16"/>
                <w:szCs w:val="16"/>
                <w:lang w:val="es-ES"/>
              </w:rPr>
            </w:pPr>
            <w:proofErr w:type="spellStart"/>
            <w:r w:rsidRPr="009D0A26">
              <w:rPr>
                <w:rFonts w:ascii="Calibri" w:hAnsi="Calibri"/>
                <w:b/>
                <w:bCs/>
                <w:color w:val="000000"/>
                <w:sz w:val="16"/>
                <w:szCs w:val="16"/>
                <w:lang w:val="es-ES"/>
              </w:rPr>
              <w:t>Ipc</w:t>
            </w:r>
            <w:proofErr w:type="spellEnd"/>
            <w:r w:rsidRPr="009D0A26">
              <w:rPr>
                <w:rFonts w:ascii="Calibri" w:hAnsi="Calibri"/>
                <w:b/>
                <w:bCs/>
                <w:color w:val="000000"/>
                <w:sz w:val="16"/>
                <w:szCs w:val="16"/>
                <w:lang w:val="es-ES"/>
              </w:rPr>
              <w:t xml:space="preserve"> (</w:t>
            </w:r>
            <w:proofErr w:type="spellStart"/>
            <w:r w:rsidRPr="009D0A26">
              <w:rPr>
                <w:rFonts w:ascii="Calibri" w:hAnsi="Calibri"/>
                <w:b/>
                <w:bCs/>
                <w:color w:val="000000"/>
                <w:sz w:val="16"/>
                <w:szCs w:val="16"/>
                <w:lang w:val="es-ES"/>
              </w:rPr>
              <w:t>Vf</w:t>
            </w:r>
            <w:proofErr w:type="spellEnd"/>
            <w:r w:rsidRPr="009D0A26">
              <w:rPr>
                <w:rFonts w:ascii="Calibri" w:hAnsi="Calibri"/>
                <w:b/>
                <w:bCs/>
                <w:color w:val="000000"/>
                <w:sz w:val="16"/>
                <w:szCs w:val="16"/>
                <w:lang w:val="es-ES"/>
              </w:rPr>
              <w:t>)</w:t>
            </w:r>
          </w:p>
        </w:tc>
        <w:tc>
          <w:tcPr>
            <w:tcW w:w="880"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137,40 </w:t>
            </w:r>
          </w:p>
        </w:tc>
        <w:tc>
          <w:tcPr>
            <w:tcW w:w="820" w:type="dxa"/>
            <w:tcBorders>
              <w:top w:val="nil"/>
              <w:left w:val="nil"/>
              <w:bottom w:val="nil"/>
              <w:right w:val="nil"/>
            </w:tcBorders>
            <w:shd w:val="clear" w:color="auto" w:fill="auto"/>
            <w:noWrap/>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1993</w:t>
            </w:r>
          </w:p>
        </w:tc>
        <w:tc>
          <w:tcPr>
            <w:tcW w:w="1120" w:type="dxa"/>
            <w:tcBorders>
              <w:top w:val="nil"/>
              <w:left w:val="nil"/>
              <w:bottom w:val="nil"/>
              <w:right w:val="nil"/>
            </w:tcBorders>
            <w:shd w:val="clear" w:color="auto" w:fill="auto"/>
            <w:noWrap/>
            <w:vAlign w:val="bottom"/>
            <w:hideMark/>
          </w:tcPr>
          <w:p w:rsidR="009D0A26" w:rsidRPr="009D0A26" w:rsidRDefault="009D0A26" w:rsidP="009D0A26">
            <w:pPr>
              <w:jc w:val="right"/>
              <w:rPr>
                <w:rFonts w:ascii="Calibri" w:hAnsi="Calibri"/>
                <w:sz w:val="16"/>
                <w:szCs w:val="16"/>
                <w:lang w:val="es-ES"/>
              </w:rPr>
            </w:pPr>
          </w:p>
        </w:tc>
        <w:tc>
          <w:tcPr>
            <w:tcW w:w="104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80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884"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919"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110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r>
      <w:tr w:rsidR="009D0A26" w:rsidRPr="009D0A26" w:rsidTr="009D0A26">
        <w:trPr>
          <w:trHeight w:val="255"/>
        </w:trPr>
        <w:tc>
          <w:tcPr>
            <w:tcW w:w="86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A</w:t>
            </w:r>
          </w:p>
        </w:tc>
        <w:tc>
          <w:tcPr>
            <w:tcW w:w="90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B</w:t>
            </w:r>
          </w:p>
        </w:tc>
        <w:tc>
          <w:tcPr>
            <w:tcW w:w="92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C</w:t>
            </w:r>
          </w:p>
        </w:tc>
        <w:tc>
          <w:tcPr>
            <w:tcW w:w="88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D</w:t>
            </w:r>
          </w:p>
        </w:tc>
        <w:tc>
          <w:tcPr>
            <w:tcW w:w="82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E</w:t>
            </w:r>
          </w:p>
        </w:tc>
        <w:tc>
          <w:tcPr>
            <w:tcW w:w="112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 xml:space="preserve"> F </w:t>
            </w:r>
          </w:p>
        </w:tc>
        <w:tc>
          <w:tcPr>
            <w:tcW w:w="104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G</w:t>
            </w:r>
          </w:p>
        </w:tc>
        <w:tc>
          <w:tcPr>
            <w:tcW w:w="80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p>
        </w:tc>
        <w:tc>
          <w:tcPr>
            <w:tcW w:w="884"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H</w:t>
            </w:r>
          </w:p>
        </w:tc>
        <w:tc>
          <w:tcPr>
            <w:tcW w:w="919"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I</w:t>
            </w:r>
          </w:p>
        </w:tc>
        <w:tc>
          <w:tcPr>
            <w:tcW w:w="1100" w:type="dxa"/>
            <w:tcBorders>
              <w:top w:val="nil"/>
              <w:left w:val="nil"/>
              <w:bottom w:val="nil"/>
              <w:right w:val="nil"/>
            </w:tcBorders>
            <w:shd w:val="clear" w:color="auto" w:fill="auto"/>
            <w:noWrap/>
            <w:vAlign w:val="bottom"/>
            <w:hideMark/>
          </w:tcPr>
          <w:p w:rsidR="009D0A26" w:rsidRPr="009D0A26" w:rsidRDefault="009D0A26" w:rsidP="009D0A26">
            <w:pPr>
              <w:jc w:val="center"/>
              <w:rPr>
                <w:rFonts w:ascii="Calibri" w:hAnsi="Calibri"/>
                <w:color w:val="000080"/>
                <w:sz w:val="16"/>
                <w:szCs w:val="16"/>
                <w:lang w:val="es-ES"/>
              </w:rPr>
            </w:pPr>
            <w:r w:rsidRPr="009D0A26">
              <w:rPr>
                <w:rFonts w:ascii="Calibri" w:hAnsi="Calibri"/>
                <w:color w:val="000080"/>
                <w:sz w:val="16"/>
                <w:szCs w:val="16"/>
                <w:lang w:val="es-ES"/>
              </w:rPr>
              <w:t>k</w:t>
            </w:r>
          </w:p>
        </w:tc>
      </w:tr>
      <w:tr w:rsidR="009D0A26" w:rsidRPr="009D0A26" w:rsidTr="009D0A26">
        <w:trPr>
          <w:trHeight w:val="600"/>
        </w:trPr>
        <w:tc>
          <w:tcPr>
            <w:tcW w:w="860" w:type="dxa"/>
            <w:tcBorders>
              <w:top w:val="single" w:sz="4" w:space="0" w:color="808000"/>
              <w:left w:val="single" w:sz="4" w:space="0" w:color="808000"/>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Año actual</w:t>
            </w:r>
          </w:p>
        </w:tc>
        <w:tc>
          <w:tcPr>
            <w:tcW w:w="90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IPC</w:t>
            </w:r>
            <w:r w:rsidRPr="009D0A26">
              <w:rPr>
                <w:rFonts w:ascii="Calibri" w:hAnsi="Calibri"/>
                <w:b/>
                <w:bCs/>
                <w:sz w:val="16"/>
                <w:szCs w:val="16"/>
                <w:lang w:val="es-ES"/>
              </w:rPr>
              <w:t xml:space="preserve">   (Var. Año anterior)</w:t>
            </w:r>
          </w:p>
        </w:tc>
        <w:tc>
          <w:tcPr>
            <w:tcW w:w="92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Desde</w:t>
            </w:r>
          </w:p>
        </w:tc>
        <w:tc>
          <w:tcPr>
            <w:tcW w:w="88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Hasta</w:t>
            </w:r>
          </w:p>
        </w:tc>
        <w:tc>
          <w:tcPr>
            <w:tcW w:w="82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Causadas</w:t>
            </w:r>
          </w:p>
        </w:tc>
        <w:tc>
          <w:tcPr>
            <w:tcW w:w="112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 xml:space="preserve"> Mesada </w:t>
            </w:r>
            <w:proofErr w:type="spellStart"/>
            <w:r w:rsidRPr="009D0A26">
              <w:rPr>
                <w:rFonts w:ascii="Calibri" w:hAnsi="Calibri"/>
                <w:b/>
                <w:bCs/>
                <w:color w:val="000000"/>
                <w:sz w:val="16"/>
                <w:szCs w:val="16"/>
                <w:lang w:val="es-ES"/>
              </w:rPr>
              <w:t>reliquidada</w:t>
            </w:r>
            <w:proofErr w:type="spellEnd"/>
            <w:r w:rsidRPr="009D0A26">
              <w:rPr>
                <w:rFonts w:ascii="Calibri" w:hAnsi="Calibri"/>
                <w:b/>
                <w:bCs/>
                <w:color w:val="000000"/>
                <w:sz w:val="16"/>
                <w:szCs w:val="16"/>
                <w:lang w:val="es-ES"/>
              </w:rPr>
              <w:t xml:space="preserve"> </w:t>
            </w:r>
          </w:p>
        </w:tc>
        <w:tc>
          <w:tcPr>
            <w:tcW w:w="104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Mesada anterior</w:t>
            </w:r>
          </w:p>
        </w:tc>
        <w:tc>
          <w:tcPr>
            <w:tcW w:w="80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Prescritas</w:t>
            </w:r>
          </w:p>
        </w:tc>
        <w:tc>
          <w:tcPr>
            <w:tcW w:w="884"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 xml:space="preserve"> Diferencias a cancelar </w:t>
            </w:r>
          </w:p>
        </w:tc>
        <w:tc>
          <w:tcPr>
            <w:tcW w:w="919"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 xml:space="preserve">IPC </w:t>
            </w:r>
            <w:proofErr w:type="spellStart"/>
            <w:r w:rsidRPr="009D0A26">
              <w:rPr>
                <w:rFonts w:ascii="Calibri" w:hAnsi="Calibri"/>
                <w:b/>
                <w:bCs/>
                <w:color w:val="000000"/>
                <w:sz w:val="16"/>
                <w:szCs w:val="16"/>
                <w:lang w:val="es-ES"/>
              </w:rPr>
              <w:t>Vo</w:t>
            </w:r>
            <w:proofErr w:type="spellEnd"/>
          </w:p>
        </w:tc>
        <w:tc>
          <w:tcPr>
            <w:tcW w:w="1100" w:type="dxa"/>
            <w:tcBorders>
              <w:top w:val="single" w:sz="4" w:space="0" w:color="808000"/>
              <w:left w:val="nil"/>
              <w:bottom w:val="nil"/>
              <w:right w:val="single" w:sz="4" w:space="0" w:color="808000"/>
            </w:tcBorders>
            <w:shd w:val="clear" w:color="000000" w:fill="FFFF99"/>
            <w:vAlign w:val="center"/>
            <w:hideMark/>
          </w:tcPr>
          <w:p w:rsidR="009D0A26" w:rsidRPr="009D0A26" w:rsidRDefault="009D0A26" w:rsidP="009D0A26">
            <w:pPr>
              <w:jc w:val="center"/>
              <w:rPr>
                <w:rFonts w:ascii="Calibri" w:hAnsi="Calibri"/>
                <w:b/>
                <w:bCs/>
                <w:color w:val="000000"/>
                <w:sz w:val="16"/>
                <w:szCs w:val="16"/>
                <w:lang w:val="es-ES"/>
              </w:rPr>
            </w:pPr>
            <w:r w:rsidRPr="009D0A26">
              <w:rPr>
                <w:rFonts w:ascii="Calibri" w:hAnsi="Calibri"/>
                <w:b/>
                <w:bCs/>
                <w:color w:val="000000"/>
                <w:sz w:val="16"/>
                <w:szCs w:val="16"/>
                <w:lang w:val="es-ES"/>
              </w:rPr>
              <w:t>Diferencias a cancelar indexadas</w:t>
            </w:r>
          </w:p>
        </w:tc>
      </w:tr>
      <w:tr w:rsidR="009D0A26" w:rsidRPr="009D0A26" w:rsidTr="009D0A26">
        <w:trPr>
          <w:trHeight w:val="270"/>
        </w:trPr>
        <w:tc>
          <w:tcPr>
            <w:tcW w:w="86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1994</w:t>
            </w:r>
          </w:p>
        </w:tc>
        <w:tc>
          <w:tcPr>
            <w:tcW w:w="900" w:type="dxa"/>
            <w:tcBorders>
              <w:top w:val="single" w:sz="4" w:space="0" w:color="003366"/>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22,60</w:t>
            </w:r>
          </w:p>
        </w:tc>
        <w:tc>
          <w:tcPr>
            <w:tcW w:w="92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30-mar-94</w:t>
            </w:r>
          </w:p>
        </w:tc>
        <w:tc>
          <w:tcPr>
            <w:tcW w:w="880" w:type="dxa"/>
            <w:tcBorders>
              <w:top w:val="single" w:sz="4" w:space="0" w:color="808000"/>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31-dic-94</w:t>
            </w:r>
          </w:p>
        </w:tc>
        <w:tc>
          <w:tcPr>
            <w:tcW w:w="82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1120" w:type="dxa"/>
            <w:tcBorders>
              <w:top w:val="single" w:sz="4" w:space="0" w:color="003366"/>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110.519 </w:t>
            </w:r>
          </w:p>
        </w:tc>
        <w:tc>
          <w:tcPr>
            <w:tcW w:w="1040" w:type="dxa"/>
            <w:tcBorders>
              <w:top w:val="single" w:sz="4" w:space="0" w:color="003366"/>
              <w:left w:val="nil"/>
              <w:bottom w:val="single" w:sz="4" w:space="0" w:color="003366"/>
              <w:right w:val="single" w:sz="4" w:space="0" w:color="003366"/>
            </w:tcBorders>
            <w:shd w:val="clear" w:color="000000" w:fill="FFFFFF"/>
            <w:noWrap/>
            <w:vAlign w:val="center"/>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109.039 </w:t>
            </w:r>
          </w:p>
        </w:tc>
        <w:tc>
          <w:tcPr>
            <w:tcW w:w="800" w:type="dxa"/>
            <w:tcBorders>
              <w:top w:val="single" w:sz="4" w:space="0" w:color="003366"/>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21,33 </w:t>
            </w:r>
          </w:p>
        </w:tc>
        <w:tc>
          <w:tcPr>
            <w:tcW w:w="1100" w:type="dxa"/>
            <w:tcBorders>
              <w:top w:val="single" w:sz="4" w:space="0" w:color="003366"/>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1995</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22,59</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01-ene-95</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135.485 </w:t>
            </w:r>
          </w:p>
        </w:tc>
        <w:tc>
          <w:tcPr>
            <w:tcW w:w="1040" w:type="dxa"/>
            <w:tcBorders>
              <w:top w:val="nil"/>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133.671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26,15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1996</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19,46</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01-ene-96</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161.851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159.683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31,24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1997</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21,63</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01-ene-97</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196.859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194.223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38,00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1998</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17,68</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01-ene-98</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31-dic-98</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231.664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228.561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44,72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1999</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16,70</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01-ene-99</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31-dic-99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270.352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266.731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52,18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2000</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9,23</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01-ene-00</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31-dic-00</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295.305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291.350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57,00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2001</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8,75</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01-ene-01</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321.145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316.844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61,99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2002</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7,65</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01-ene-02</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345.712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341.082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66,73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2003</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6,99</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01-ene-03</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369.877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364.924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71,40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2004</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6,49</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01-ene-04</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393.883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388.607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76,03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2005</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5,50</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01-ene-05</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415.546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409.981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80,21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2006</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4,85</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01-ene-06</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435.700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429.865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84,10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2007</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4,48</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01-ene-07</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455.219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449.123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87,87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2008</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5,69</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01-ene-08</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31-dic-08</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481.121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474.678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92,87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2009</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7,67</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01-ene-09</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31-dic-09</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518.023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511.085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100,00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2010</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2,00</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01-ene-10</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31-dic-10</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528.384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521.307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11,76</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15.852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102,00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21.353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2011</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3,17</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01-ene-11</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545.140 </w:t>
            </w:r>
          </w:p>
        </w:tc>
        <w:tc>
          <w:tcPr>
            <w:tcW w:w="1040" w:type="dxa"/>
            <w:tcBorders>
              <w:top w:val="single" w:sz="4" w:space="0" w:color="003366"/>
              <w:left w:val="nil"/>
              <w:bottom w:val="nil"/>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537.839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102.215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105,24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133.456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2012</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3,73</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01-ene-12</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566.700 </w:t>
            </w:r>
          </w:p>
        </w:tc>
        <w:tc>
          <w:tcPr>
            <w:tcW w:w="1040" w:type="dxa"/>
            <w:tcBorders>
              <w:top w:val="single" w:sz="4" w:space="0" w:color="003366"/>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566.700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109,16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2013</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2,44</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01-ene-13</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589.500 </w:t>
            </w:r>
          </w:p>
        </w:tc>
        <w:tc>
          <w:tcPr>
            <w:tcW w:w="104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589.500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111,82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2014</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1,94</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01-ene-14</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616.000 </w:t>
            </w:r>
          </w:p>
        </w:tc>
        <w:tc>
          <w:tcPr>
            <w:tcW w:w="104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616.000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113,98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2015</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3,66</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01-ene-15</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644.350 </w:t>
            </w:r>
          </w:p>
        </w:tc>
        <w:tc>
          <w:tcPr>
            <w:tcW w:w="104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644.350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118,15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2016</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6,77</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01-ene-16</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31-dic-16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684.954 </w:t>
            </w:r>
          </w:p>
        </w:tc>
        <w:tc>
          <w:tcPr>
            <w:tcW w:w="104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684.954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126,15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2017</w:t>
            </w:r>
          </w:p>
        </w:tc>
        <w:tc>
          <w:tcPr>
            <w:tcW w:w="900" w:type="dxa"/>
            <w:tcBorders>
              <w:top w:val="nil"/>
              <w:left w:val="nil"/>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0,00</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01-ene-17</w:t>
            </w:r>
          </w:p>
        </w:tc>
        <w:tc>
          <w:tcPr>
            <w:tcW w:w="880" w:type="dxa"/>
            <w:tcBorders>
              <w:top w:val="nil"/>
              <w:left w:val="nil"/>
              <w:bottom w:val="single" w:sz="4" w:space="0" w:color="808000"/>
              <w:right w:val="single" w:sz="4" w:space="0" w:color="808000"/>
            </w:tcBorders>
            <w:shd w:val="clear" w:color="auto" w:fill="auto"/>
            <w:noWrap/>
            <w:vAlign w:val="center"/>
            <w:hideMark/>
          </w:tcPr>
          <w:p w:rsidR="009D0A26" w:rsidRPr="009D0A26" w:rsidRDefault="009D0A26" w:rsidP="009D0A26">
            <w:pPr>
              <w:jc w:val="right"/>
              <w:rPr>
                <w:rFonts w:ascii="Calibri" w:hAnsi="Calibri"/>
                <w:color w:val="000000"/>
                <w:sz w:val="16"/>
                <w:szCs w:val="16"/>
                <w:lang w:val="es-ES"/>
              </w:rPr>
            </w:pPr>
            <w:r w:rsidRPr="009D0A26">
              <w:rPr>
                <w:rFonts w:ascii="Calibri" w:hAnsi="Calibri"/>
                <w:color w:val="000000"/>
                <w:sz w:val="16"/>
                <w:szCs w:val="16"/>
                <w:lang w:val="es-ES"/>
              </w:rPr>
              <w:t>30-abr-17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4,00</w:t>
            </w:r>
          </w:p>
        </w:tc>
        <w:tc>
          <w:tcPr>
            <w:tcW w:w="112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737.717 </w:t>
            </w:r>
          </w:p>
        </w:tc>
        <w:tc>
          <w:tcPr>
            <w:tcW w:w="104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rPr>
                <w:rFonts w:ascii="Calibri" w:hAnsi="Calibri"/>
                <w:sz w:val="16"/>
                <w:szCs w:val="16"/>
                <w:lang w:val="es-ES"/>
              </w:rPr>
            </w:pPr>
            <w:r w:rsidRPr="009D0A26">
              <w:rPr>
                <w:rFonts w:ascii="Calibri" w:hAnsi="Calibri"/>
                <w:sz w:val="16"/>
                <w:szCs w:val="16"/>
                <w:lang w:val="es-ES"/>
              </w:rPr>
              <w:t xml:space="preserve">           737.717 </w:t>
            </w:r>
          </w:p>
        </w:tc>
        <w:tc>
          <w:tcPr>
            <w:tcW w:w="800" w:type="dxa"/>
            <w:tcBorders>
              <w:top w:val="nil"/>
              <w:left w:val="nil"/>
              <w:bottom w:val="single" w:sz="4" w:space="0" w:color="003366"/>
              <w:right w:val="single" w:sz="4" w:space="0" w:color="003366"/>
            </w:tcBorders>
            <w:shd w:val="clear" w:color="000000" w:fill="FFFFFF"/>
            <w:noWrap/>
            <w:vAlign w:val="bottom"/>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w:t>
            </w:r>
          </w:p>
        </w:tc>
        <w:tc>
          <w:tcPr>
            <w:tcW w:w="884" w:type="dxa"/>
            <w:tcBorders>
              <w:top w:val="nil"/>
              <w:left w:val="single" w:sz="4" w:space="0" w:color="808000"/>
              <w:bottom w:val="single" w:sz="4" w:space="0" w:color="808000"/>
              <w:right w:val="single" w:sz="4" w:space="0" w:color="808000"/>
            </w:tcBorders>
            <w:shd w:val="clear" w:color="000000" w:fill="FFFFCC"/>
            <w:noWrap/>
            <w:vAlign w:val="center"/>
            <w:hideMark/>
          </w:tcPr>
          <w:p w:rsidR="009D0A26" w:rsidRPr="009D0A26" w:rsidRDefault="009D0A26" w:rsidP="009D0A26">
            <w:pPr>
              <w:rPr>
                <w:rFonts w:ascii="Calibri" w:hAnsi="Calibri"/>
                <w:color w:val="000000"/>
                <w:sz w:val="16"/>
                <w:szCs w:val="16"/>
                <w:lang w:val="es-ES"/>
              </w:rPr>
            </w:pPr>
            <w:r w:rsidRPr="009D0A26">
              <w:rPr>
                <w:rFonts w:ascii="Calibri" w:hAnsi="Calibri"/>
                <w:color w:val="000000"/>
                <w:sz w:val="16"/>
                <w:szCs w:val="16"/>
                <w:lang w:val="es-ES"/>
              </w:rPr>
              <w:t xml:space="preserve">                    -   </w:t>
            </w:r>
          </w:p>
        </w:tc>
        <w:tc>
          <w:tcPr>
            <w:tcW w:w="919" w:type="dxa"/>
            <w:tcBorders>
              <w:top w:val="nil"/>
              <w:left w:val="nil"/>
              <w:bottom w:val="nil"/>
              <w:right w:val="nil"/>
            </w:tcBorders>
            <w:shd w:val="clear" w:color="000000" w:fill="33CCCC"/>
            <w:vAlign w:val="center"/>
            <w:hideMark/>
          </w:tcPr>
          <w:p w:rsidR="009D0A26" w:rsidRPr="009D0A26" w:rsidRDefault="009D0A26" w:rsidP="009D0A26">
            <w:pPr>
              <w:jc w:val="center"/>
              <w:rPr>
                <w:rFonts w:ascii="Calibri" w:hAnsi="Calibri"/>
                <w:sz w:val="16"/>
                <w:szCs w:val="16"/>
                <w:lang w:val="es-ES"/>
              </w:rPr>
            </w:pPr>
            <w:r w:rsidRPr="009D0A26">
              <w:rPr>
                <w:rFonts w:ascii="Calibri" w:hAnsi="Calibri"/>
                <w:sz w:val="16"/>
                <w:szCs w:val="16"/>
                <w:lang w:val="es-ES"/>
              </w:rPr>
              <w:t xml:space="preserve">        126,15 </w:t>
            </w:r>
          </w:p>
        </w:tc>
        <w:tc>
          <w:tcPr>
            <w:tcW w:w="1100" w:type="dxa"/>
            <w:tcBorders>
              <w:top w:val="nil"/>
              <w:left w:val="nil"/>
              <w:bottom w:val="single" w:sz="4" w:space="0" w:color="003366"/>
              <w:right w:val="single" w:sz="4" w:space="0" w:color="003366"/>
            </w:tcBorders>
            <w:shd w:val="clear" w:color="000000" w:fill="FFFFCC"/>
            <w:vAlign w:val="bottom"/>
            <w:hideMark/>
          </w:tcPr>
          <w:p w:rsidR="009D0A26" w:rsidRPr="009D0A26" w:rsidRDefault="009D0A26" w:rsidP="009D0A26">
            <w:pPr>
              <w:jc w:val="right"/>
              <w:rPr>
                <w:rFonts w:ascii="Calibri" w:hAnsi="Calibri"/>
                <w:sz w:val="16"/>
                <w:szCs w:val="16"/>
                <w:lang w:val="es-ES"/>
              </w:rPr>
            </w:pPr>
            <w:r w:rsidRPr="009D0A26">
              <w:rPr>
                <w:rFonts w:ascii="Calibri" w:hAnsi="Calibri"/>
                <w:sz w:val="16"/>
                <w:szCs w:val="16"/>
                <w:lang w:val="es-ES"/>
              </w:rPr>
              <w:t xml:space="preserve">                             -   </w:t>
            </w:r>
          </w:p>
        </w:tc>
      </w:tr>
      <w:tr w:rsidR="009D0A26" w:rsidRPr="009D0A26" w:rsidTr="009D0A26">
        <w:trPr>
          <w:trHeight w:val="255"/>
        </w:trPr>
        <w:tc>
          <w:tcPr>
            <w:tcW w:w="860" w:type="dxa"/>
            <w:tcBorders>
              <w:top w:val="nil"/>
              <w:left w:val="nil"/>
              <w:bottom w:val="nil"/>
              <w:right w:val="nil"/>
            </w:tcBorders>
            <w:shd w:val="clear" w:color="auto" w:fill="auto"/>
            <w:noWrap/>
            <w:vAlign w:val="bottom"/>
            <w:hideMark/>
          </w:tcPr>
          <w:p w:rsidR="009D0A26" w:rsidRPr="009D0A26" w:rsidRDefault="009D0A26" w:rsidP="009D0A26">
            <w:pPr>
              <w:jc w:val="right"/>
              <w:rPr>
                <w:rFonts w:ascii="Calibri" w:hAnsi="Calibri"/>
                <w:sz w:val="16"/>
                <w:szCs w:val="16"/>
                <w:lang w:val="es-ES"/>
              </w:rPr>
            </w:pPr>
          </w:p>
        </w:tc>
        <w:tc>
          <w:tcPr>
            <w:tcW w:w="90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92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88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820" w:type="dxa"/>
            <w:tcBorders>
              <w:top w:val="nil"/>
              <w:left w:val="nil"/>
              <w:bottom w:val="nil"/>
              <w:right w:val="nil"/>
            </w:tcBorders>
            <w:shd w:val="clear" w:color="auto" w:fill="auto"/>
            <w:noWrap/>
            <w:vAlign w:val="bottom"/>
            <w:hideMark/>
          </w:tcPr>
          <w:p w:rsidR="009D0A26" w:rsidRPr="009D0A26" w:rsidRDefault="009D0A26" w:rsidP="009D0A26">
            <w:pPr>
              <w:rPr>
                <w:sz w:val="20"/>
                <w:lang w:val="es-ES"/>
              </w:rPr>
            </w:pPr>
          </w:p>
        </w:tc>
        <w:tc>
          <w:tcPr>
            <w:tcW w:w="2960" w:type="dxa"/>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9D0A26" w:rsidRPr="009D0A26" w:rsidRDefault="009D0A26" w:rsidP="009D0A26">
            <w:pPr>
              <w:jc w:val="center"/>
              <w:rPr>
                <w:rFonts w:ascii="Calibri" w:hAnsi="Calibri"/>
                <w:b/>
                <w:bCs/>
                <w:sz w:val="16"/>
                <w:szCs w:val="16"/>
                <w:lang w:val="es-ES"/>
              </w:rPr>
            </w:pPr>
            <w:r w:rsidRPr="009D0A26">
              <w:rPr>
                <w:rFonts w:ascii="Calibri" w:hAnsi="Calibri"/>
                <w:b/>
                <w:bCs/>
                <w:sz w:val="16"/>
                <w:szCs w:val="16"/>
                <w:lang w:val="es-ES"/>
              </w:rPr>
              <w:t>Valores a cancelar ===&gt;</w:t>
            </w:r>
          </w:p>
        </w:tc>
        <w:tc>
          <w:tcPr>
            <w:tcW w:w="884" w:type="dxa"/>
            <w:tcBorders>
              <w:top w:val="nil"/>
              <w:left w:val="single" w:sz="4" w:space="0" w:color="808000"/>
              <w:bottom w:val="single" w:sz="4" w:space="0" w:color="808000"/>
              <w:right w:val="single" w:sz="4" w:space="0" w:color="808000"/>
            </w:tcBorders>
            <w:shd w:val="clear" w:color="000000" w:fill="FFFF99"/>
            <w:noWrap/>
            <w:vAlign w:val="center"/>
            <w:hideMark/>
          </w:tcPr>
          <w:p w:rsidR="009D0A26" w:rsidRPr="009D0A26" w:rsidRDefault="009D0A26" w:rsidP="009D0A26">
            <w:pPr>
              <w:rPr>
                <w:rFonts w:ascii="Calibri" w:hAnsi="Calibri"/>
                <w:b/>
                <w:bCs/>
                <w:color w:val="000000"/>
                <w:sz w:val="16"/>
                <w:szCs w:val="16"/>
                <w:lang w:val="es-ES"/>
              </w:rPr>
            </w:pPr>
            <w:r w:rsidRPr="009D0A26">
              <w:rPr>
                <w:rFonts w:ascii="Calibri" w:hAnsi="Calibri"/>
                <w:b/>
                <w:bCs/>
                <w:color w:val="000000"/>
                <w:sz w:val="16"/>
                <w:szCs w:val="16"/>
                <w:lang w:val="es-ES"/>
              </w:rPr>
              <w:t xml:space="preserve">    118.067 </w:t>
            </w:r>
          </w:p>
        </w:tc>
        <w:tc>
          <w:tcPr>
            <w:tcW w:w="919" w:type="dxa"/>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9D0A26" w:rsidRPr="009D0A26" w:rsidRDefault="009D0A26" w:rsidP="009D0A26">
            <w:pPr>
              <w:jc w:val="right"/>
              <w:rPr>
                <w:rFonts w:ascii="Calibri" w:hAnsi="Calibri"/>
                <w:b/>
                <w:bCs/>
                <w:sz w:val="16"/>
                <w:szCs w:val="16"/>
                <w:lang w:val="es-ES"/>
              </w:rPr>
            </w:pPr>
            <w:r w:rsidRPr="009D0A26">
              <w:rPr>
                <w:rFonts w:ascii="Calibri" w:hAnsi="Calibri"/>
                <w:b/>
                <w:bCs/>
                <w:sz w:val="16"/>
                <w:szCs w:val="16"/>
                <w:lang w:val="es-ES"/>
              </w:rPr>
              <w:t>Indexado=&gt;</w:t>
            </w:r>
          </w:p>
        </w:tc>
        <w:tc>
          <w:tcPr>
            <w:tcW w:w="1100" w:type="dxa"/>
            <w:tcBorders>
              <w:top w:val="single" w:sz="4" w:space="0" w:color="808000"/>
              <w:left w:val="nil"/>
              <w:bottom w:val="single" w:sz="4" w:space="0" w:color="808000"/>
              <w:right w:val="single" w:sz="4" w:space="0" w:color="808000"/>
            </w:tcBorders>
            <w:shd w:val="clear" w:color="000000" w:fill="FFFF99"/>
            <w:noWrap/>
            <w:vAlign w:val="center"/>
            <w:hideMark/>
          </w:tcPr>
          <w:p w:rsidR="009D0A26" w:rsidRPr="009D0A26" w:rsidRDefault="009D0A26" w:rsidP="009D0A26">
            <w:pPr>
              <w:rPr>
                <w:rFonts w:ascii="Calibri" w:hAnsi="Calibri"/>
                <w:b/>
                <w:bCs/>
                <w:color w:val="000000"/>
                <w:sz w:val="16"/>
                <w:szCs w:val="16"/>
                <w:lang w:val="es-ES"/>
              </w:rPr>
            </w:pPr>
            <w:r w:rsidRPr="009D0A26">
              <w:rPr>
                <w:rFonts w:ascii="Calibri" w:hAnsi="Calibri"/>
                <w:b/>
                <w:bCs/>
                <w:color w:val="000000"/>
                <w:sz w:val="16"/>
                <w:szCs w:val="16"/>
                <w:lang w:val="es-ES"/>
              </w:rPr>
              <w:t xml:space="preserve">             154.809 </w:t>
            </w:r>
          </w:p>
        </w:tc>
      </w:tr>
    </w:tbl>
    <w:p w:rsidR="000F1FBE" w:rsidRDefault="000F1FBE" w:rsidP="007577C2">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Pr="000F1FBE" w:rsidRDefault="000F1FBE" w:rsidP="000F1FBE">
      <w:pPr>
        <w:rPr>
          <w:sz w:val="28"/>
          <w:szCs w:val="28"/>
        </w:rPr>
      </w:pPr>
    </w:p>
    <w:p w:rsidR="000F1FBE" w:rsidRDefault="000F1FBE" w:rsidP="000F1FBE">
      <w:pPr>
        <w:rPr>
          <w:sz w:val="28"/>
          <w:szCs w:val="28"/>
        </w:rPr>
      </w:pPr>
    </w:p>
    <w:p w:rsidR="00C62051" w:rsidRPr="000F1FBE" w:rsidRDefault="000F1FBE" w:rsidP="000F1FBE">
      <w:pPr>
        <w:tabs>
          <w:tab w:val="left" w:pos="4980"/>
        </w:tabs>
        <w:rPr>
          <w:sz w:val="28"/>
          <w:szCs w:val="28"/>
        </w:rPr>
      </w:pPr>
      <w:r>
        <w:rPr>
          <w:sz w:val="28"/>
          <w:szCs w:val="28"/>
        </w:rPr>
        <w:tab/>
      </w:r>
    </w:p>
    <w:sectPr w:rsidR="00C62051" w:rsidRPr="000F1FBE" w:rsidSect="007577C2">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1E" w:rsidRDefault="007D6B1E" w:rsidP="007577C2">
      <w:r>
        <w:separator/>
      </w:r>
    </w:p>
  </w:endnote>
  <w:endnote w:type="continuationSeparator" w:id="0">
    <w:p w:rsidR="007D6B1E" w:rsidRDefault="007D6B1E" w:rsidP="0075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D7" w:rsidRDefault="007D12D7" w:rsidP="007577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D12D7" w:rsidRDefault="007D12D7" w:rsidP="007577C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D7" w:rsidRDefault="007D12D7" w:rsidP="007577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60FF6">
      <w:rPr>
        <w:rStyle w:val="Numrodepage"/>
        <w:noProof/>
      </w:rPr>
      <w:t>1</w:t>
    </w:r>
    <w:r>
      <w:rPr>
        <w:rStyle w:val="Numrodepage"/>
      </w:rPr>
      <w:fldChar w:fldCharType="end"/>
    </w:r>
  </w:p>
  <w:p w:rsidR="007D12D7" w:rsidRDefault="007D12D7" w:rsidP="007577C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1E" w:rsidRDefault="007D6B1E" w:rsidP="007577C2">
      <w:r>
        <w:separator/>
      </w:r>
    </w:p>
  </w:footnote>
  <w:footnote w:type="continuationSeparator" w:id="0">
    <w:p w:rsidR="007D6B1E" w:rsidRDefault="007D6B1E" w:rsidP="0075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D7" w:rsidRPr="001A0CAA" w:rsidRDefault="007D12D7" w:rsidP="007577C2">
    <w:pPr>
      <w:jc w:val="both"/>
      <w:rPr>
        <w:rFonts w:ascii="Arial Narrow" w:hAnsi="Arial Narrow" w:cs="Arial"/>
        <w:bCs/>
        <w:sz w:val="16"/>
        <w:szCs w:val="16"/>
      </w:rPr>
    </w:pPr>
    <w:r w:rsidRPr="001A0CAA">
      <w:rPr>
        <w:rFonts w:ascii="Arial Narrow" w:hAnsi="Arial Narrow" w:cs="Arial"/>
        <w:bCs/>
        <w:sz w:val="16"/>
        <w:szCs w:val="16"/>
      </w:rPr>
      <w:t>Radicación No: 66001-31-05-002-2014-00653-01</w:t>
    </w:r>
  </w:p>
  <w:p w:rsidR="007D12D7" w:rsidRPr="001A0CAA" w:rsidRDefault="007D12D7" w:rsidP="007577C2">
    <w:pPr>
      <w:jc w:val="both"/>
      <w:rPr>
        <w:rFonts w:ascii="Arial Narrow" w:hAnsi="Arial Narrow" w:cs="Arial"/>
        <w:bCs/>
        <w:iCs/>
        <w:sz w:val="16"/>
        <w:szCs w:val="16"/>
      </w:rPr>
    </w:pPr>
    <w:r w:rsidRPr="001A0CAA">
      <w:rPr>
        <w:rFonts w:ascii="Arial Narrow" w:hAnsi="Arial Narrow" w:cs="Arial"/>
        <w:bCs/>
        <w:sz w:val="16"/>
        <w:szCs w:val="16"/>
      </w:rPr>
      <w:t xml:space="preserve">Lucila Salas de Rodríguez vs </w:t>
    </w:r>
    <w:proofErr w:type="spellStart"/>
    <w:r w:rsidRPr="001A0CAA">
      <w:rPr>
        <w:rFonts w:ascii="Arial Narrow" w:hAnsi="Arial Narrow" w:cs="Arial"/>
        <w:bCs/>
        <w:sz w:val="16"/>
        <w:szCs w:val="16"/>
      </w:rPr>
      <w:t>Colpensiones</w:t>
    </w:r>
    <w:proofErr w:type="spellEnd"/>
  </w:p>
  <w:p w:rsidR="007D12D7" w:rsidRDefault="007D12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19"/>
    <w:multiLevelType w:val="hybridMultilevel"/>
    <w:tmpl w:val="7BBA0192"/>
    <w:lvl w:ilvl="0" w:tplc="BE568CE4">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8C354AB"/>
    <w:multiLevelType w:val="hybridMultilevel"/>
    <w:tmpl w:val="5882FE70"/>
    <w:lvl w:ilvl="0" w:tplc="AA065872">
      <w:start w:val="1"/>
      <w:numFmt w:val="decimal"/>
      <w:lvlText w:val="%1."/>
      <w:lvlJc w:val="left"/>
      <w:pPr>
        <w:ind w:left="1637"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CDE4832"/>
    <w:multiLevelType w:val="hybridMultilevel"/>
    <w:tmpl w:val="8E7A54DA"/>
    <w:lvl w:ilvl="0" w:tplc="94F2905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2EBC296B"/>
    <w:multiLevelType w:val="hybridMultilevel"/>
    <w:tmpl w:val="766EF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nsid w:val="51475B88"/>
    <w:multiLevelType w:val="hybridMultilevel"/>
    <w:tmpl w:val="84FC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C2"/>
    <w:rsid w:val="00000503"/>
    <w:rsid w:val="00006064"/>
    <w:rsid w:val="000064B0"/>
    <w:rsid w:val="0002215F"/>
    <w:rsid w:val="000231B1"/>
    <w:rsid w:val="0004262E"/>
    <w:rsid w:val="00042A91"/>
    <w:rsid w:val="00042ADF"/>
    <w:rsid w:val="00050577"/>
    <w:rsid w:val="00062E70"/>
    <w:rsid w:val="000734B3"/>
    <w:rsid w:val="000A0CE9"/>
    <w:rsid w:val="000A22FA"/>
    <w:rsid w:val="000A544E"/>
    <w:rsid w:val="000A67B1"/>
    <w:rsid w:val="000B5019"/>
    <w:rsid w:val="000F1FBE"/>
    <w:rsid w:val="001124F2"/>
    <w:rsid w:val="00117D6A"/>
    <w:rsid w:val="0012605D"/>
    <w:rsid w:val="001571F5"/>
    <w:rsid w:val="00193318"/>
    <w:rsid w:val="001A0CAA"/>
    <w:rsid w:val="001B7E9D"/>
    <w:rsid w:val="001C0817"/>
    <w:rsid w:val="001D6252"/>
    <w:rsid w:val="001E229B"/>
    <w:rsid w:val="001E2984"/>
    <w:rsid w:val="0022178B"/>
    <w:rsid w:val="00240294"/>
    <w:rsid w:val="002C6021"/>
    <w:rsid w:val="002F1C1D"/>
    <w:rsid w:val="002F3E83"/>
    <w:rsid w:val="00302F11"/>
    <w:rsid w:val="0035660D"/>
    <w:rsid w:val="003B7DF4"/>
    <w:rsid w:val="003D7AEB"/>
    <w:rsid w:val="00404889"/>
    <w:rsid w:val="0045231B"/>
    <w:rsid w:val="00493769"/>
    <w:rsid w:val="00497631"/>
    <w:rsid w:val="004A0C0D"/>
    <w:rsid w:val="004D4F87"/>
    <w:rsid w:val="00534EF9"/>
    <w:rsid w:val="00537FE9"/>
    <w:rsid w:val="00556667"/>
    <w:rsid w:val="005A4C99"/>
    <w:rsid w:val="005B5BEA"/>
    <w:rsid w:val="005C691B"/>
    <w:rsid w:val="005D5759"/>
    <w:rsid w:val="00633B4E"/>
    <w:rsid w:val="006725E7"/>
    <w:rsid w:val="00682651"/>
    <w:rsid w:val="006B1486"/>
    <w:rsid w:val="006B193F"/>
    <w:rsid w:val="006E213D"/>
    <w:rsid w:val="00706CF8"/>
    <w:rsid w:val="007577C2"/>
    <w:rsid w:val="007735FD"/>
    <w:rsid w:val="007750B8"/>
    <w:rsid w:val="007D12D7"/>
    <w:rsid w:val="007D6B1E"/>
    <w:rsid w:val="007E2CFB"/>
    <w:rsid w:val="0081096C"/>
    <w:rsid w:val="0082485F"/>
    <w:rsid w:val="00831501"/>
    <w:rsid w:val="00873A7C"/>
    <w:rsid w:val="008C6A63"/>
    <w:rsid w:val="008D534B"/>
    <w:rsid w:val="008E5DDA"/>
    <w:rsid w:val="009104D0"/>
    <w:rsid w:val="009A4DCB"/>
    <w:rsid w:val="009B2D24"/>
    <w:rsid w:val="009B47AF"/>
    <w:rsid w:val="009D0A26"/>
    <w:rsid w:val="009D4517"/>
    <w:rsid w:val="009E4E06"/>
    <w:rsid w:val="009E7400"/>
    <w:rsid w:val="009F7689"/>
    <w:rsid w:val="00A40281"/>
    <w:rsid w:val="00A60FF6"/>
    <w:rsid w:val="00A847A4"/>
    <w:rsid w:val="00A90B73"/>
    <w:rsid w:val="00AE49F2"/>
    <w:rsid w:val="00B108C6"/>
    <w:rsid w:val="00B31672"/>
    <w:rsid w:val="00B31BB2"/>
    <w:rsid w:val="00B626AA"/>
    <w:rsid w:val="00B7107C"/>
    <w:rsid w:val="00BA2139"/>
    <w:rsid w:val="00BD1DF4"/>
    <w:rsid w:val="00BD2689"/>
    <w:rsid w:val="00C44409"/>
    <w:rsid w:val="00C53FDD"/>
    <w:rsid w:val="00C62051"/>
    <w:rsid w:val="00CC6A6B"/>
    <w:rsid w:val="00CD3C4F"/>
    <w:rsid w:val="00CD3D37"/>
    <w:rsid w:val="00CE5398"/>
    <w:rsid w:val="00CE577C"/>
    <w:rsid w:val="00CE7D0C"/>
    <w:rsid w:val="00D56B43"/>
    <w:rsid w:val="00D85486"/>
    <w:rsid w:val="00DA4369"/>
    <w:rsid w:val="00DB62B7"/>
    <w:rsid w:val="00E5771B"/>
    <w:rsid w:val="00EA3427"/>
    <w:rsid w:val="00EB420B"/>
    <w:rsid w:val="00EB6C7E"/>
    <w:rsid w:val="00EC515A"/>
    <w:rsid w:val="00F44C8F"/>
    <w:rsid w:val="00F57727"/>
    <w:rsid w:val="00F71EE9"/>
    <w:rsid w:val="00F92D46"/>
    <w:rsid w:val="00F930F1"/>
    <w:rsid w:val="00FB4373"/>
    <w:rsid w:val="00FC5616"/>
    <w:rsid w:val="00FC621E"/>
    <w:rsid w:val="00FE0273"/>
    <w:rsid w:val="00FF4A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C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7577C2"/>
    <w:rPr>
      <w:rFonts w:ascii="Arial" w:hAnsi="Arial" w:cs="Arial"/>
      <w:sz w:val="24"/>
      <w:lang w:val="es-ES_tradnl" w:eastAsia="es-ES"/>
    </w:rPr>
  </w:style>
  <w:style w:type="paragraph" w:styleId="Corpsdetexte">
    <w:name w:val="Body Text"/>
    <w:basedOn w:val="Normal"/>
    <w:link w:val="CorpsdetexteCar"/>
    <w:rsid w:val="007577C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7577C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7577C2"/>
    <w:pPr>
      <w:tabs>
        <w:tab w:val="center" w:pos="4252"/>
        <w:tab w:val="right" w:pos="8504"/>
      </w:tabs>
    </w:pPr>
  </w:style>
  <w:style w:type="character" w:customStyle="1" w:styleId="PieddepageCar">
    <w:name w:val="Pied de page Car"/>
    <w:basedOn w:val="Policepardfaut"/>
    <w:link w:val="Pieddepage"/>
    <w:rsid w:val="007577C2"/>
    <w:rPr>
      <w:rFonts w:ascii="Times New Roman" w:eastAsia="Times New Roman" w:hAnsi="Times New Roman" w:cs="Times New Roman"/>
      <w:sz w:val="24"/>
      <w:szCs w:val="20"/>
      <w:lang w:val="es-ES_tradnl" w:eastAsia="es-ES"/>
    </w:rPr>
  </w:style>
  <w:style w:type="character" w:styleId="Numrodepage">
    <w:name w:val="page number"/>
    <w:basedOn w:val="Policepardfaut"/>
    <w:rsid w:val="007577C2"/>
  </w:style>
  <w:style w:type="paragraph" w:styleId="En-tte">
    <w:name w:val="header"/>
    <w:basedOn w:val="Normal"/>
    <w:link w:val="En-tteCar"/>
    <w:rsid w:val="007577C2"/>
    <w:pPr>
      <w:tabs>
        <w:tab w:val="center" w:pos="4252"/>
        <w:tab w:val="right" w:pos="8504"/>
      </w:tabs>
    </w:pPr>
  </w:style>
  <w:style w:type="character" w:customStyle="1" w:styleId="En-tteCar">
    <w:name w:val="En-tête Car"/>
    <w:basedOn w:val="Policepardfaut"/>
    <w:link w:val="En-tte"/>
    <w:rsid w:val="007577C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577C2"/>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7577C2"/>
    <w:pPr>
      <w:ind w:left="708"/>
    </w:pPr>
  </w:style>
  <w:style w:type="paragraph" w:styleId="Sansinterligne">
    <w:name w:val="No Spacing"/>
    <w:uiPriority w:val="1"/>
    <w:qFormat/>
    <w:rsid w:val="007577C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7577C2"/>
    <w:pPr>
      <w:spacing w:line="360" w:lineRule="auto"/>
      <w:jc w:val="both"/>
    </w:pPr>
    <w:rPr>
      <w:rFonts w:ascii="Arial" w:hAnsi="Arial"/>
    </w:rPr>
  </w:style>
  <w:style w:type="paragraph" w:customStyle="1" w:styleId="Prrafodelista2">
    <w:name w:val="Párrafo de lista2"/>
    <w:basedOn w:val="Normal"/>
    <w:rsid w:val="007577C2"/>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757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7C2"/>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E5771B"/>
    <w:pPr>
      <w:widowControl w:val="0"/>
      <w:suppressAutoHyphens/>
      <w:spacing w:line="360" w:lineRule="auto"/>
      <w:jc w:val="both"/>
    </w:pPr>
    <w:rPr>
      <w:rFonts w:ascii="Arial" w:eastAsia="SimSun" w:hAnsi="Arial" w:cs="Arial"/>
      <w:kern w:val="2"/>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C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7577C2"/>
    <w:rPr>
      <w:rFonts w:ascii="Arial" w:hAnsi="Arial" w:cs="Arial"/>
      <w:sz w:val="24"/>
      <w:lang w:val="es-ES_tradnl" w:eastAsia="es-ES"/>
    </w:rPr>
  </w:style>
  <w:style w:type="paragraph" w:styleId="Corpsdetexte">
    <w:name w:val="Body Text"/>
    <w:basedOn w:val="Normal"/>
    <w:link w:val="CorpsdetexteCar"/>
    <w:rsid w:val="007577C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7577C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7577C2"/>
    <w:pPr>
      <w:tabs>
        <w:tab w:val="center" w:pos="4252"/>
        <w:tab w:val="right" w:pos="8504"/>
      </w:tabs>
    </w:pPr>
  </w:style>
  <w:style w:type="character" w:customStyle="1" w:styleId="PieddepageCar">
    <w:name w:val="Pied de page Car"/>
    <w:basedOn w:val="Policepardfaut"/>
    <w:link w:val="Pieddepage"/>
    <w:rsid w:val="007577C2"/>
    <w:rPr>
      <w:rFonts w:ascii="Times New Roman" w:eastAsia="Times New Roman" w:hAnsi="Times New Roman" w:cs="Times New Roman"/>
      <w:sz w:val="24"/>
      <w:szCs w:val="20"/>
      <w:lang w:val="es-ES_tradnl" w:eastAsia="es-ES"/>
    </w:rPr>
  </w:style>
  <w:style w:type="character" w:styleId="Numrodepage">
    <w:name w:val="page number"/>
    <w:basedOn w:val="Policepardfaut"/>
    <w:rsid w:val="007577C2"/>
  </w:style>
  <w:style w:type="paragraph" w:styleId="En-tte">
    <w:name w:val="header"/>
    <w:basedOn w:val="Normal"/>
    <w:link w:val="En-tteCar"/>
    <w:rsid w:val="007577C2"/>
    <w:pPr>
      <w:tabs>
        <w:tab w:val="center" w:pos="4252"/>
        <w:tab w:val="right" w:pos="8504"/>
      </w:tabs>
    </w:pPr>
  </w:style>
  <w:style w:type="character" w:customStyle="1" w:styleId="En-tteCar">
    <w:name w:val="En-tête Car"/>
    <w:basedOn w:val="Policepardfaut"/>
    <w:link w:val="En-tte"/>
    <w:rsid w:val="007577C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577C2"/>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7577C2"/>
    <w:pPr>
      <w:ind w:left="708"/>
    </w:pPr>
  </w:style>
  <w:style w:type="paragraph" w:styleId="Sansinterligne">
    <w:name w:val="No Spacing"/>
    <w:uiPriority w:val="1"/>
    <w:qFormat/>
    <w:rsid w:val="007577C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7577C2"/>
    <w:pPr>
      <w:spacing w:line="360" w:lineRule="auto"/>
      <w:jc w:val="both"/>
    </w:pPr>
    <w:rPr>
      <w:rFonts w:ascii="Arial" w:hAnsi="Arial"/>
    </w:rPr>
  </w:style>
  <w:style w:type="paragraph" w:customStyle="1" w:styleId="Prrafodelista2">
    <w:name w:val="Párrafo de lista2"/>
    <w:basedOn w:val="Normal"/>
    <w:rsid w:val="007577C2"/>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757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7C2"/>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E5771B"/>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2025">
      <w:bodyDiv w:val="1"/>
      <w:marLeft w:val="0"/>
      <w:marRight w:val="0"/>
      <w:marTop w:val="0"/>
      <w:marBottom w:val="0"/>
      <w:divBdr>
        <w:top w:val="none" w:sz="0" w:space="0" w:color="auto"/>
        <w:left w:val="none" w:sz="0" w:space="0" w:color="auto"/>
        <w:bottom w:val="none" w:sz="0" w:space="0" w:color="auto"/>
        <w:right w:val="none" w:sz="0" w:space="0" w:color="auto"/>
      </w:divBdr>
    </w:div>
    <w:div w:id="710109537">
      <w:bodyDiv w:val="1"/>
      <w:marLeft w:val="0"/>
      <w:marRight w:val="0"/>
      <w:marTop w:val="0"/>
      <w:marBottom w:val="0"/>
      <w:divBdr>
        <w:top w:val="none" w:sz="0" w:space="0" w:color="auto"/>
        <w:left w:val="none" w:sz="0" w:space="0" w:color="auto"/>
        <w:bottom w:val="none" w:sz="0" w:space="0" w:color="auto"/>
        <w:right w:val="none" w:sz="0" w:space="0" w:color="auto"/>
      </w:divBdr>
    </w:div>
    <w:div w:id="16679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7</cp:revision>
  <dcterms:created xsi:type="dcterms:W3CDTF">2017-05-10T18:33:00Z</dcterms:created>
  <dcterms:modified xsi:type="dcterms:W3CDTF">2017-06-29T13:50:00Z</dcterms:modified>
</cp:coreProperties>
</file>