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76" w:rsidRDefault="00124A76" w:rsidP="00124A76">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124A76" w:rsidRDefault="00124A76" w:rsidP="0047497A">
      <w:pPr>
        <w:tabs>
          <w:tab w:val="center" w:pos="4419"/>
          <w:tab w:val="right" w:pos="8838"/>
        </w:tabs>
        <w:spacing w:line="360" w:lineRule="auto"/>
        <w:ind w:right="-7"/>
        <w:jc w:val="center"/>
        <w:rPr>
          <w:rFonts w:ascii="Arial Narrow" w:hAnsi="Arial Narrow"/>
          <w:b/>
          <w:sz w:val="28"/>
          <w:szCs w:val="28"/>
          <w:lang w:val="x-none" w:eastAsia="x-none"/>
        </w:rPr>
      </w:pPr>
      <w:bookmarkStart w:id="0" w:name="_GoBack"/>
      <w:bookmarkEnd w:id="0"/>
    </w:p>
    <w:p w:rsidR="00FF7B1B" w:rsidRPr="006C0BF2" w:rsidRDefault="00FF7B1B" w:rsidP="0047497A">
      <w:pPr>
        <w:tabs>
          <w:tab w:val="center" w:pos="4419"/>
          <w:tab w:val="right" w:pos="8838"/>
        </w:tabs>
        <w:spacing w:line="360" w:lineRule="auto"/>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FF7B1B" w:rsidRPr="006C0BF2" w:rsidRDefault="00FF7B1B" w:rsidP="0047497A">
      <w:pPr>
        <w:tabs>
          <w:tab w:val="center" w:pos="4419"/>
          <w:tab w:val="right" w:pos="8838"/>
        </w:tabs>
        <w:spacing w:line="360" w:lineRule="auto"/>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es-CO" w:eastAsia="es-CO"/>
        </w:rPr>
        <w:drawing>
          <wp:inline distT="0" distB="0" distL="0" distR="0" wp14:anchorId="5B995AC6" wp14:editId="253C33CD">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FF7B1B" w:rsidRPr="006C0BF2" w:rsidRDefault="00FF7B1B" w:rsidP="0047497A">
      <w:pPr>
        <w:tabs>
          <w:tab w:val="center" w:pos="4419"/>
          <w:tab w:val="right" w:pos="8838"/>
        </w:tabs>
        <w:spacing w:line="360" w:lineRule="auto"/>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FF7B1B" w:rsidRPr="006C0BF2" w:rsidRDefault="00FF7B1B" w:rsidP="0047497A">
      <w:pPr>
        <w:tabs>
          <w:tab w:val="center" w:pos="4419"/>
          <w:tab w:val="right" w:pos="8838"/>
        </w:tabs>
        <w:spacing w:line="360" w:lineRule="auto"/>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47497A" w:rsidRPr="0047497A" w:rsidRDefault="0047497A" w:rsidP="0047497A">
      <w:pPr>
        <w:pStyle w:val="Sinespaciado"/>
      </w:pPr>
    </w:p>
    <w:p w:rsidR="00FF7B1B" w:rsidRPr="00955DA6" w:rsidRDefault="00FF7B1B" w:rsidP="00FF7B1B">
      <w:pPr>
        <w:jc w:val="both"/>
        <w:rPr>
          <w:rFonts w:ascii="Arial Narrow" w:hAnsi="Arial Narrow" w:cs="Arial"/>
          <w:b/>
          <w:sz w:val="18"/>
          <w:szCs w:val="18"/>
        </w:rPr>
      </w:pPr>
      <w:r w:rsidRPr="00955DA6">
        <w:rPr>
          <w:rFonts w:ascii="Arial Narrow" w:hAnsi="Arial Narrow" w:cs="Arial"/>
          <w:b/>
          <w:sz w:val="18"/>
          <w:szCs w:val="18"/>
        </w:rPr>
        <w:t>Radicación Nro.</w:t>
      </w:r>
      <w:r w:rsidRPr="00955DA6">
        <w:rPr>
          <w:rFonts w:ascii="Arial Narrow" w:hAnsi="Arial Narrow" w:cs="Arial"/>
          <w:sz w:val="18"/>
          <w:szCs w:val="18"/>
        </w:rPr>
        <w:t xml:space="preserve"> </w:t>
      </w:r>
      <w:r w:rsidRPr="00955DA6">
        <w:rPr>
          <w:rFonts w:ascii="Arial Narrow" w:hAnsi="Arial Narrow" w:cs="Arial"/>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66001-31-05-003-2017-00140-01</w:t>
      </w:r>
    </w:p>
    <w:p w:rsidR="00FF7B1B" w:rsidRPr="00955DA6" w:rsidRDefault="00FF7B1B" w:rsidP="00FF7B1B">
      <w:pPr>
        <w:jc w:val="both"/>
        <w:rPr>
          <w:rFonts w:ascii="Arial Narrow" w:hAnsi="Arial Narrow" w:cs="Arial"/>
          <w:b/>
          <w:sz w:val="18"/>
          <w:szCs w:val="18"/>
        </w:rPr>
      </w:pPr>
      <w:r w:rsidRPr="00955DA6">
        <w:rPr>
          <w:rFonts w:ascii="Arial Narrow" w:hAnsi="Arial Narrow" w:cs="Arial"/>
          <w:b/>
          <w:sz w:val="18"/>
          <w:szCs w:val="18"/>
        </w:rPr>
        <w:t>Proceso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t>Incidente de Desacato</w:t>
      </w:r>
    </w:p>
    <w:p w:rsidR="00FF7B1B" w:rsidRPr="00955DA6" w:rsidRDefault="00FF7B1B" w:rsidP="00FF7B1B">
      <w:pPr>
        <w:jc w:val="both"/>
        <w:rPr>
          <w:rFonts w:ascii="Arial Narrow" w:hAnsi="Arial Narrow" w:cs="Arial"/>
          <w:sz w:val="18"/>
          <w:szCs w:val="18"/>
        </w:rPr>
      </w:pPr>
      <w:r w:rsidRPr="00955DA6">
        <w:rPr>
          <w:rFonts w:ascii="Arial Narrow" w:hAnsi="Arial Narrow" w:cs="Arial"/>
          <w:b/>
          <w:sz w:val="18"/>
          <w:szCs w:val="18"/>
        </w:rPr>
        <w:t>Accionante</w:t>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 xml:space="preserve">Martha Lucía Castro Correa en calidad de agente oficiosa de </w:t>
      </w:r>
      <w:r w:rsidR="001322FF">
        <w:rPr>
          <w:rFonts w:ascii="Arial Narrow" w:hAnsi="Arial Narrow" w:cs="Arial"/>
          <w:sz w:val="18"/>
          <w:szCs w:val="18"/>
        </w:rPr>
        <w:t>Andrés Felipe Rueda</w:t>
      </w:r>
      <w:r w:rsidR="002322B9">
        <w:rPr>
          <w:rFonts w:ascii="Arial Narrow" w:hAnsi="Arial Narrow" w:cs="Arial"/>
          <w:sz w:val="18"/>
          <w:szCs w:val="18"/>
        </w:rPr>
        <w:t xml:space="preserve"> Castro </w:t>
      </w:r>
    </w:p>
    <w:p w:rsidR="00FF7B1B" w:rsidRPr="00955DA6" w:rsidRDefault="00FF7B1B" w:rsidP="00FF7B1B">
      <w:pPr>
        <w:ind w:left="708" w:hanging="708"/>
        <w:jc w:val="both"/>
        <w:rPr>
          <w:rFonts w:ascii="Arial Narrow" w:hAnsi="Arial Narrow" w:cs="Arial"/>
          <w:b/>
          <w:sz w:val="18"/>
          <w:szCs w:val="18"/>
          <w:lang w:val="es-CO"/>
        </w:rPr>
      </w:pPr>
      <w:r w:rsidRPr="00955DA6">
        <w:rPr>
          <w:rFonts w:ascii="Arial Narrow" w:hAnsi="Arial Narrow" w:cs="Arial"/>
          <w:b/>
          <w:sz w:val="18"/>
          <w:szCs w:val="18"/>
        </w:rPr>
        <w:t>Accionado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w:t>
      </w:r>
      <w:r w:rsidRPr="00955DA6">
        <w:rPr>
          <w:rFonts w:ascii="Arial Narrow" w:hAnsi="Arial Narrow" w:cs="Arial"/>
          <w:sz w:val="18"/>
          <w:szCs w:val="18"/>
        </w:rPr>
        <w:tab/>
      </w:r>
      <w:r w:rsidR="002322B9">
        <w:rPr>
          <w:rFonts w:ascii="Arial Narrow" w:hAnsi="Arial Narrow" w:cs="Arial"/>
          <w:sz w:val="18"/>
          <w:szCs w:val="18"/>
        </w:rPr>
        <w:t xml:space="preserve">Nueva EPS </w:t>
      </w:r>
      <w:r>
        <w:rPr>
          <w:rFonts w:ascii="Arial Narrow" w:hAnsi="Arial Narrow" w:cs="Arial"/>
          <w:sz w:val="18"/>
          <w:szCs w:val="18"/>
          <w:lang w:val="es-CO"/>
        </w:rPr>
        <w:t xml:space="preserve"> </w:t>
      </w:r>
    </w:p>
    <w:p w:rsidR="00FF7B1B" w:rsidRPr="00955DA6" w:rsidRDefault="00FF7B1B" w:rsidP="00FF7B1B">
      <w:pPr>
        <w:ind w:left="708" w:hanging="708"/>
        <w:jc w:val="both"/>
        <w:rPr>
          <w:rFonts w:ascii="Arial Narrow" w:hAnsi="Arial Narrow" w:cs="Arial"/>
          <w:b/>
          <w:sz w:val="18"/>
          <w:szCs w:val="18"/>
        </w:rPr>
      </w:pPr>
      <w:r w:rsidRPr="00955DA6">
        <w:rPr>
          <w:rFonts w:ascii="Arial Narrow" w:hAnsi="Arial Narrow" w:cs="Arial"/>
          <w:b/>
          <w:sz w:val="18"/>
          <w:szCs w:val="18"/>
        </w:rPr>
        <w:t>Juzgado de origen</w:t>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sidR="002322B9">
        <w:rPr>
          <w:rFonts w:ascii="Arial Narrow" w:hAnsi="Arial Narrow" w:cs="Arial"/>
          <w:sz w:val="18"/>
          <w:szCs w:val="18"/>
        </w:rPr>
        <w:t xml:space="preserve">Tercero </w:t>
      </w:r>
      <w:r>
        <w:rPr>
          <w:rFonts w:ascii="Arial Narrow" w:hAnsi="Arial Narrow" w:cs="Arial"/>
          <w:sz w:val="18"/>
          <w:szCs w:val="18"/>
        </w:rPr>
        <w:t xml:space="preserve">Laboral del Circuito de Pereira </w:t>
      </w:r>
    </w:p>
    <w:p w:rsidR="00FF7B1B" w:rsidRPr="00955DA6" w:rsidRDefault="00FF7B1B" w:rsidP="00FF7B1B">
      <w:pPr>
        <w:jc w:val="both"/>
        <w:rPr>
          <w:rFonts w:ascii="Arial Narrow" w:hAnsi="Arial Narrow" w:cs="Arial"/>
          <w:b/>
          <w:bCs/>
          <w:sz w:val="18"/>
          <w:szCs w:val="18"/>
        </w:rPr>
      </w:pPr>
      <w:r w:rsidRPr="00955DA6">
        <w:rPr>
          <w:rFonts w:ascii="Arial Narrow" w:hAnsi="Arial Narrow" w:cs="Arial"/>
          <w:b/>
          <w:sz w:val="18"/>
          <w:szCs w:val="18"/>
        </w:rPr>
        <w:t>Providencia</w:t>
      </w:r>
      <w:r w:rsidRPr="00955DA6">
        <w:rPr>
          <w:rFonts w:ascii="Arial Narrow" w:hAnsi="Arial Narrow" w:cs="Arial"/>
          <w:b/>
          <w:sz w:val="18"/>
          <w:szCs w:val="18"/>
        </w:rPr>
        <w:tab/>
      </w:r>
      <w:r w:rsidRPr="00955DA6">
        <w:rPr>
          <w:rFonts w:ascii="Arial Narrow" w:hAnsi="Arial Narrow" w:cs="Arial"/>
          <w:sz w:val="18"/>
          <w:szCs w:val="18"/>
        </w:rPr>
        <w:tab/>
        <w:t xml:space="preserve">: </w:t>
      </w:r>
      <w:r w:rsidRPr="00955DA6">
        <w:rPr>
          <w:rFonts w:ascii="Arial Narrow" w:hAnsi="Arial Narrow" w:cs="Arial"/>
          <w:sz w:val="18"/>
          <w:szCs w:val="18"/>
        </w:rPr>
        <w:tab/>
      </w:r>
      <w:r w:rsidRPr="00955DA6">
        <w:rPr>
          <w:rFonts w:ascii="Arial Narrow" w:hAnsi="Arial Narrow" w:cs="Arial"/>
          <w:bCs/>
          <w:sz w:val="18"/>
          <w:szCs w:val="18"/>
        </w:rPr>
        <w:t>Auto de 2ª instancia</w:t>
      </w:r>
    </w:p>
    <w:p w:rsidR="00FF7B1B" w:rsidRPr="000B791F" w:rsidRDefault="00FF7B1B" w:rsidP="00FF7B1B">
      <w:pPr>
        <w:spacing w:line="276" w:lineRule="auto"/>
        <w:ind w:left="2835" w:hanging="2835"/>
        <w:jc w:val="both"/>
        <w:rPr>
          <w:rFonts w:ascii="Arial Narrow" w:hAnsi="Arial Narrow" w:cs="Tahoma"/>
          <w:b/>
          <w:spacing w:val="-2"/>
          <w:sz w:val="18"/>
          <w:szCs w:val="18"/>
          <w:lang w:val="es-ES_tradnl"/>
        </w:rPr>
      </w:pPr>
      <w:r w:rsidRPr="000B791F">
        <w:rPr>
          <w:rFonts w:ascii="Arial Narrow" w:hAnsi="Arial Narrow" w:cs="Arial"/>
          <w:b/>
          <w:bCs/>
          <w:sz w:val="18"/>
          <w:szCs w:val="18"/>
        </w:rPr>
        <w:t>Tema</w:t>
      </w:r>
      <w:r w:rsidRPr="000B791F">
        <w:rPr>
          <w:rFonts w:ascii="Arial Narrow" w:hAnsi="Arial Narrow" w:cs="Arial"/>
          <w:bCs/>
          <w:sz w:val="18"/>
          <w:szCs w:val="18"/>
        </w:rPr>
        <w:t xml:space="preserve">                                          :</w:t>
      </w:r>
      <w:r w:rsidRPr="000B791F">
        <w:rPr>
          <w:rFonts w:ascii="Arial Narrow" w:hAnsi="Arial Narrow" w:cs="Arial"/>
          <w:bCs/>
          <w:sz w:val="18"/>
          <w:szCs w:val="18"/>
        </w:rPr>
        <w:tab/>
      </w:r>
      <w:r w:rsidRPr="000B791F">
        <w:rPr>
          <w:rFonts w:ascii="Arial Narrow" w:hAnsi="Arial Narrow" w:cs="Arial"/>
          <w:b/>
          <w:bCs/>
          <w:sz w:val="18"/>
          <w:szCs w:val="18"/>
        </w:rPr>
        <w:t>Incidente de desacato:</w:t>
      </w:r>
      <w:r w:rsidRPr="000B791F">
        <w:rPr>
          <w:rFonts w:ascii="Arial Narrow" w:hAnsi="Arial Narrow" w:cs="Arial"/>
          <w:bCs/>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FF7B1B" w:rsidRPr="009D2C69" w:rsidRDefault="00FF7B1B" w:rsidP="0047497A">
      <w:pPr>
        <w:tabs>
          <w:tab w:val="left" w:pos="2057"/>
        </w:tabs>
        <w:spacing w:line="276" w:lineRule="auto"/>
        <w:ind w:left="2835" w:hanging="2835"/>
        <w:jc w:val="both"/>
        <w:rPr>
          <w:rFonts w:ascii="Arial Narrow" w:hAnsi="Arial Narrow"/>
          <w:sz w:val="28"/>
          <w:szCs w:val="28"/>
        </w:rPr>
      </w:pPr>
      <w:r w:rsidRPr="009D2C69">
        <w:rPr>
          <w:rFonts w:ascii="Arial Narrow" w:hAnsi="Arial Narrow"/>
          <w:sz w:val="30"/>
          <w:szCs w:val="30"/>
        </w:rPr>
        <w:tab/>
      </w:r>
    </w:p>
    <w:p w:rsidR="00FF7B1B" w:rsidRPr="00A67BBD" w:rsidRDefault="00FF7B1B" w:rsidP="00FF7B1B">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2322B9">
        <w:rPr>
          <w:rFonts w:ascii="Arial Narrow" w:hAnsi="Arial Narrow" w:cs="Arial"/>
          <w:sz w:val="28"/>
          <w:szCs w:val="28"/>
        </w:rPr>
        <w:t xml:space="preserve">diecisiete de julio de dos mil </w:t>
      </w:r>
      <w:r>
        <w:rPr>
          <w:rFonts w:ascii="Arial Narrow" w:hAnsi="Arial Narrow" w:cs="Arial"/>
          <w:sz w:val="28"/>
          <w:szCs w:val="28"/>
        </w:rPr>
        <w:t xml:space="preserve">diecisiete </w:t>
      </w:r>
      <w:r w:rsidRPr="00A67BBD">
        <w:rPr>
          <w:rFonts w:ascii="Arial Narrow" w:hAnsi="Arial Narrow" w:cs="Arial"/>
          <w:sz w:val="28"/>
          <w:szCs w:val="28"/>
        </w:rPr>
        <w:t xml:space="preserve">  </w:t>
      </w:r>
    </w:p>
    <w:p w:rsidR="00FF7B1B" w:rsidRDefault="00FF7B1B" w:rsidP="00FF7B1B">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2322B9">
        <w:rPr>
          <w:rFonts w:ascii="Arial Narrow" w:hAnsi="Arial Narrow" w:cs="Arial"/>
          <w:sz w:val="28"/>
          <w:szCs w:val="28"/>
        </w:rPr>
        <w:t>17 de julio de</w:t>
      </w:r>
      <w:r>
        <w:rPr>
          <w:rFonts w:ascii="Arial Narrow" w:hAnsi="Arial Narrow" w:cs="Arial"/>
          <w:sz w:val="28"/>
          <w:szCs w:val="28"/>
        </w:rPr>
        <w:t xml:space="preserve"> 2017 </w:t>
      </w:r>
    </w:p>
    <w:p w:rsidR="00FF7B1B" w:rsidRPr="0047497A" w:rsidRDefault="00FF7B1B" w:rsidP="0047497A">
      <w:pPr>
        <w:pStyle w:val="Sinespaciado"/>
        <w:spacing w:line="276" w:lineRule="auto"/>
      </w:pPr>
    </w:p>
    <w:p w:rsidR="00FF7B1B" w:rsidRDefault="00FF7B1B" w:rsidP="007823B8">
      <w:pPr>
        <w:pStyle w:val="Textoindependiente"/>
        <w:spacing w:line="360" w:lineRule="auto"/>
        <w:ind w:firstLine="600"/>
        <w:jc w:val="both"/>
        <w:rPr>
          <w:rFonts w:ascii="Arial Narrow" w:hAnsi="Arial Narrow" w:cs="Arial"/>
          <w:sz w:val="28"/>
          <w:szCs w:val="28"/>
          <w:lang w:val="es-CO"/>
        </w:rPr>
      </w:pPr>
      <w:r w:rsidRPr="00A67BBD">
        <w:rPr>
          <w:rFonts w:ascii="Arial Narrow" w:hAnsi="Arial Narrow" w:cs="Arial"/>
          <w:sz w:val="28"/>
          <w:szCs w:val="28"/>
        </w:rPr>
        <w:t>Procede esta Colegiatura a resolver l</w:t>
      </w:r>
      <w:r w:rsidRPr="00345D90">
        <w:rPr>
          <w:rFonts w:ascii="Arial Narrow" w:hAnsi="Arial Narrow" w:cs="Arial"/>
          <w:sz w:val="28"/>
          <w:szCs w:val="28"/>
        </w:rPr>
        <w:t>a consulta de la providencia proferida por el Juzgad</w:t>
      </w:r>
      <w:r>
        <w:rPr>
          <w:rFonts w:ascii="Arial Narrow" w:hAnsi="Arial Narrow" w:cs="Arial"/>
          <w:sz w:val="28"/>
          <w:szCs w:val="28"/>
          <w:lang w:val="es-CO"/>
        </w:rPr>
        <w:t xml:space="preserve">o </w:t>
      </w:r>
      <w:r w:rsidR="007823B8">
        <w:rPr>
          <w:rFonts w:ascii="Arial Narrow" w:hAnsi="Arial Narrow" w:cs="Arial"/>
          <w:sz w:val="28"/>
          <w:szCs w:val="28"/>
          <w:lang w:val="es-CO"/>
        </w:rPr>
        <w:t>Tercero</w:t>
      </w:r>
      <w:r>
        <w:rPr>
          <w:rFonts w:ascii="Arial Narrow" w:hAnsi="Arial Narrow" w:cs="Arial"/>
          <w:sz w:val="28"/>
          <w:szCs w:val="28"/>
          <w:lang w:val="es-CO"/>
        </w:rPr>
        <w:t xml:space="preserve"> Laboral del Circuito de Pereira, </w:t>
      </w:r>
      <w:r w:rsidRPr="00345D90">
        <w:rPr>
          <w:rFonts w:ascii="Arial Narrow" w:hAnsi="Arial Narrow" w:cs="Arial"/>
          <w:sz w:val="28"/>
          <w:szCs w:val="28"/>
        </w:rPr>
        <w:t>el día</w:t>
      </w:r>
      <w:r>
        <w:rPr>
          <w:rFonts w:ascii="Arial Narrow" w:hAnsi="Arial Narrow" w:cs="Arial"/>
          <w:sz w:val="28"/>
          <w:szCs w:val="28"/>
          <w:lang w:val="es-ES"/>
        </w:rPr>
        <w:t xml:space="preserve"> 13 de </w:t>
      </w:r>
      <w:r w:rsidR="007823B8">
        <w:rPr>
          <w:rFonts w:ascii="Arial Narrow" w:hAnsi="Arial Narrow" w:cs="Arial"/>
          <w:sz w:val="28"/>
          <w:szCs w:val="28"/>
          <w:lang w:val="es-ES"/>
        </w:rPr>
        <w:t xml:space="preserve">junio de </w:t>
      </w:r>
      <w:r>
        <w:rPr>
          <w:rFonts w:ascii="Arial Narrow" w:hAnsi="Arial Narrow" w:cs="Arial"/>
          <w:sz w:val="28"/>
          <w:szCs w:val="28"/>
          <w:lang w:val="es-ES"/>
        </w:rPr>
        <w:t>2017</w:t>
      </w:r>
      <w:r w:rsidRPr="00345D90">
        <w:rPr>
          <w:rFonts w:ascii="Arial Narrow" w:hAnsi="Arial Narrow" w:cs="Arial"/>
          <w:sz w:val="28"/>
          <w:szCs w:val="28"/>
        </w:rPr>
        <w:t xml:space="preserve">, dentro del </w:t>
      </w:r>
      <w:r w:rsidR="007823B8">
        <w:rPr>
          <w:rFonts w:ascii="Arial Narrow" w:hAnsi="Arial Narrow" w:cs="Arial"/>
          <w:sz w:val="28"/>
          <w:szCs w:val="28"/>
          <w:lang w:val="es-CO"/>
        </w:rPr>
        <w:t xml:space="preserve"> </w:t>
      </w:r>
      <w:r w:rsidRPr="00345D90">
        <w:rPr>
          <w:rFonts w:ascii="Arial Narrow" w:hAnsi="Arial Narrow" w:cs="Arial"/>
          <w:sz w:val="28"/>
          <w:szCs w:val="28"/>
        </w:rPr>
        <w:t>incidente de desacato tramitado en la acción de tutela que formulara</w:t>
      </w:r>
      <w:r>
        <w:rPr>
          <w:rFonts w:ascii="Arial Narrow" w:hAnsi="Arial Narrow" w:cs="Arial"/>
          <w:sz w:val="28"/>
          <w:szCs w:val="28"/>
          <w:lang w:val="es-ES"/>
        </w:rPr>
        <w:t xml:space="preserve"> </w:t>
      </w:r>
      <w:r w:rsidR="007823B8">
        <w:rPr>
          <w:rFonts w:ascii="Arial Narrow" w:hAnsi="Arial Narrow" w:cs="Arial"/>
          <w:sz w:val="28"/>
          <w:szCs w:val="28"/>
          <w:lang w:val="es-ES"/>
        </w:rPr>
        <w:t>la señora Martha Lucía Castro Correa</w:t>
      </w:r>
      <w:r>
        <w:rPr>
          <w:rFonts w:ascii="Arial Narrow" w:hAnsi="Arial Narrow" w:cs="Arial"/>
          <w:sz w:val="28"/>
          <w:szCs w:val="28"/>
          <w:lang w:val="es-ES"/>
        </w:rPr>
        <w:t>, quien actúa en</w:t>
      </w:r>
      <w:r w:rsidR="007823B8">
        <w:rPr>
          <w:rFonts w:ascii="Arial Narrow" w:hAnsi="Arial Narrow" w:cs="Arial"/>
          <w:sz w:val="28"/>
          <w:szCs w:val="28"/>
          <w:lang w:val="es-ES"/>
        </w:rPr>
        <w:t xml:space="preserve"> calidad de agente oficiosa del joven Andrés Felipe Rueda Castro </w:t>
      </w:r>
      <w:r w:rsidRPr="0038647E">
        <w:rPr>
          <w:rFonts w:ascii="Arial Narrow" w:hAnsi="Arial Narrow" w:cs="Arial"/>
          <w:sz w:val="28"/>
          <w:szCs w:val="28"/>
        </w:rPr>
        <w:t>contra</w:t>
      </w:r>
      <w:r w:rsidR="007823B8">
        <w:rPr>
          <w:rFonts w:ascii="Arial Narrow" w:hAnsi="Arial Narrow" w:cs="Arial"/>
          <w:sz w:val="28"/>
          <w:szCs w:val="28"/>
          <w:lang w:val="es-CO"/>
        </w:rPr>
        <w:t xml:space="preserve"> la Nueva EPS S.A. </w:t>
      </w:r>
    </w:p>
    <w:p w:rsidR="007823B8" w:rsidRPr="0047497A" w:rsidRDefault="007823B8" w:rsidP="0047497A">
      <w:pPr>
        <w:pStyle w:val="Sinespaciado"/>
      </w:pPr>
    </w:p>
    <w:p w:rsidR="00FF7B1B" w:rsidRPr="00345D90" w:rsidRDefault="00FF7B1B" w:rsidP="00FF7B1B">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FF7B1B" w:rsidRPr="0047497A" w:rsidRDefault="00FF7B1B" w:rsidP="0047497A">
      <w:pPr>
        <w:pStyle w:val="Sinespaciado"/>
      </w:pPr>
    </w:p>
    <w:p w:rsidR="00FF7B1B" w:rsidRPr="0038647E" w:rsidRDefault="00FF7B1B" w:rsidP="00FF7B1B">
      <w:pPr>
        <w:pStyle w:val="Textoindependiente"/>
        <w:spacing w:line="360" w:lineRule="auto"/>
        <w:ind w:firstLine="600"/>
        <w:jc w:val="center"/>
        <w:rPr>
          <w:rFonts w:ascii="Arial Narrow" w:hAnsi="Arial Narrow" w:cs="Arial"/>
          <w:i/>
          <w:sz w:val="28"/>
          <w:szCs w:val="28"/>
        </w:rPr>
      </w:pPr>
      <w:r w:rsidRPr="0038647E">
        <w:rPr>
          <w:rFonts w:ascii="Arial Narrow" w:hAnsi="Arial Narrow" w:cs="Arial"/>
          <w:i/>
          <w:sz w:val="28"/>
          <w:szCs w:val="28"/>
        </w:rPr>
        <w:t>AUTO:</w:t>
      </w:r>
    </w:p>
    <w:p w:rsidR="00FF7B1B" w:rsidRPr="0038647E" w:rsidRDefault="00FF7B1B" w:rsidP="00FF7B1B">
      <w:pPr>
        <w:pStyle w:val="Textoindependiente"/>
        <w:spacing w:line="360" w:lineRule="auto"/>
        <w:ind w:firstLine="600"/>
        <w:jc w:val="both"/>
        <w:rPr>
          <w:rFonts w:ascii="Arial Narrow" w:hAnsi="Arial Narrow" w:cs="Arial"/>
          <w:i/>
          <w:sz w:val="28"/>
          <w:szCs w:val="28"/>
        </w:rPr>
      </w:pPr>
      <w:r w:rsidRPr="0038647E">
        <w:rPr>
          <w:rFonts w:ascii="Arial Narrow" w:hAnsi="Arial Narrow" w:cs="Arial"/>
          <w:i/>
          <w:sz w:val="28"/>
          <w:szCs w:val="28"/>
          <w:lang w:val="es-ES"/>
        </w:rPr>
        <w:t xml:space="preserve">I. </w:t>
      </w:r>
      <w:r w:rsidRPr="0038647E">
        <w:rPr>
          <w:rFonts w:ascii="Arial Narrow" w:hAnsi="Arial Narrow" w:cs="Arial"/>
          <w:i/>
          <w:sz w:val="28"/>
          <w:szCs w:val="28"/>
        </w:rPr>
        <w:t>ANTECEDENTES</w:t>
      </w:r>
    </w:p>
    <w:p w:rsidR="00FF7B1B" w:rsidRPr="0047497A" w:rsidRDefault="00FF7B1B" w:rsidP="0047497A">
      <w:pPr>
        <w:pStyle w:val="Sinespaciado"/>
      </w:pPr>
    </w:p>
    <w:p w:rsidR="00FF7B1B" w:rsidRDefault="00FF7B1B" w:rsidP="00FF7B1B">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 xml:space="preserve">El Juzgado </w:t>
      </w:r>
      <w:r w:rsidR="007823B8">
        <w:rPr>
          <w:rFonts w:ascii="Arial Narrow" w:hAnsi="Arial Narrow" w:cs="Arial"/>
          <w:sz w:val="28"/>
          <w:szCs w:val="28"/>
        </w:rPr>
        <w:t>Tercero L</w:t>
      </w:r>
      <w:r>
        <w:rPr>
          <w:rFonts w:ascii="Arial Narrow" w:hAnsi="Arial Narrow" w:cs="Arial"/>
          <w:sz w:val="28"/>
          <w:szCs w:val="28"/>
        </w:rPr>
        <w:t xml:space="preserve">aboral del Circuito de Pereira mediante fallo </w:t>
      </w:r>
      <w:r w:rsidRPr="00345D90">
        <w:rPr>
          <w:rFonts w:ascii="Arial Narrow" w:hAnsi="Arial Narrow" w:cs="Arial"/>
          <w:sz w:val="28"/>
          <w:szCs w:val="28"/>
        </w:rPr>
        <w:t>del</w:t>
      </w:r>
      <w:r w:rsidR="007823B8">
        <w:rPr>
          <w:rFonts w:ascii="Arial Narrow" w:hAnsi="Arial Narrow" w:cs="Arial"/>
          <w:sz w:val="28"/>
          <w:szCs w:val="28"/>
        </w:rPr>
        <w:t xml:space="preserve"> 3 de abril del año en curso</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sidR="007823B8">
        <w:rPr>
          <w:rFonts w:ascii="Arial Narrow" w:hAnsi="Arial Narrow" w:cs="Arial"/>
          <w:sz w:val="28"/>
          <w:szCs w:val="28"/>
        </w:rPr>
        <w:t xml:space="preserve">es a la vida y la salud en condiciones de dignidad de Andrés Felipe Rueda Castro, y en consecuencia, ordenó a </w:t>
      </w:r>
      <w:r w:rsidR="009E07CC">
        <w:rPr>
          <w:rFonts w:ascii="Arial Narrow" w:hAnsi="Arial Narrow" w:cs="Arial"/>
          <w:sz w:val="28"/>
          <w:szCs w:val="28"/>
        </w:rPr>
        <w:lastRenderedPageBreak/>
        <w:t xml:space="preserve">la Nueva EPS S.A., por intermedio del Gerente Regional del Eje Cafetero, Dra. María Lorena Serna Montoya, que en el término de cuarenta y ocho (48) horas siguientes a la notificación </w:t>
      </w:r>
      <w:r w:rsidR="00452D58">
        <w:rPr>
          <w:rFonts w:ascii="Arial Narrow" w:hAnsi="Arial Narrow" w:cs="Arial"/>
          <w:sz w:val="28"/>
          <w:szCs w:val="28"/>
        </w:rPr>
        <w:t>del fallo,</w:t>
      </w:r>
      <w:r w:rsidR="00857DA8">
        <w:rPr>
          <w:rFonts w:ascii="Arial Narrow" w:hAnsi="Arial Narrow" w:cs="Arial"/>
          <w:sz w:val="28"/>
          <w:szCs w:val="28"/>
        </w:rPr>
        <w:t xml:space="preserve"> </w:t>
      </w:r>
      <w:r w:rsidR="00AE271E">
        <w:rPr>
          <w:rFonts w:ascii="Arial Narrow" w:hAnsi="Arial Narrow" w:cs="Arial"/>
          <w:sz w:val="28"/>
          <w:szCs w:val="28"/>
        </w:rPr>
        <w:t>genere la autorización para brindarle a</w:t>
      </w:r>
      <w:r w:rsidR="00857DA8">
        <w:rPr>
          <w:rFonts w:ascii="Arial Narrow" w:hAnsi="Arial Narrow" w:cs="Tahoma"/>
          <w:sz w:val="28"/>
          <w:szCs w:val="28"/>
        </w:rPr>
        <w:t xml:space="preserve">l accionante </w:t>
      </w:r>
      <w:r w:rsidR="009E07CC">
        <w:rPr>
          <w:rFonts w:ascii="Arial Narrow" w:hAnsi="Arial Narrow" w:cs="Arial"/>
          <w:sz w:val="28"/>
          <w:szCs w:val="28"/>
        </w:rPr>
        <w:t xml:space="preserve">la atención domiciliaria de enfermería por 12 horas diarias que requiere y que fue prescrita por su galeno, </w:t>
      </w:r>
      <w:r w:rsidR="004E03B7">
        <w:rPr>
          <w:rFonts w:ascii="Arial Narrow" w:hAnsi="Arial Narrow" w:cs="Arial"/>
          <w:sz w:val="28"/>
          <w:szCs w:val="28"/>
        </w:rPr>
        <w:t>fls.5-6</w:t>
      </w:r>
      <w:r w:rsidR="009E07CC">
        <w:rPr>
          <w:rFonts w:ascii="Arial Narrow" w:hAnsi="Arial Narrow" w:cs="Arial"/>
          <w:sz w:val="28"/>
          <w:szCs w:val="28"/>
        </w:rPr>
        <w:t xml:space="preserve">. </w:t>
      </w:r>
    </w:p>
    <w:p w:rsidR="00FF7B1B" w:rsidRPr="0047497A" w:rsidRDefault="00FF7B1B" w:rsidP="0047497A">
      <w:pPr>
        <w:pStyle w:val="Sinespaciado"/>
      </w:pPr>
    </w:p>
    <w:p w:rsidR="00FF7B1B" w:rsidRDefault="00FF7B1B" w:rsidP="00FF7B1B">
      <w:pPr>
        <w:pStyle w:val="Sinespaciado"/>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t>Por medio de escrito, la agenciada indicó que la EPS accionada se negó a autorizar el servicio médico dom</w:t>
      </w:r>
      <w:r w:rsidR="009E07CC">
        <w:rPr>
          <w:rFonts w:ascii="Arial Narrow" w:hAnsi="Arial Narrow" w:cs="Arial"/>
          <w:sz w:val="28"/>
          <w:szCs w:val="28"/>
          <w:lang w:val="es-CO"/>
        </w:rPr>
        <w:t>iciliario las 24 horas del día.</w:t>
      </w:r>
    </w:p>
    <w:p w:rsidR="00FF7B1B" w:rsidRPr="004E03B7" w:rsidRDefault="00FF7B1B" w:rsidP="004E03B7">
      <w:pPr>
        <w:pStyle w:val="Sinespaciado"/>
      </w:pPr>
    </w:p>
    <w:p w:rsidR="00FF7B1B" w:rsidRDefault="00FF7B1B" w:rsidP="00FF7B1B">
      <w:pPr>
        <w:pStyle w:val="Sinespaciado"/>
        <w:spacing w:line="360" w:lineRule="auto"/>
        <w:ind w:firstLine="600"/>
        <w:jc w:val="both"/>
        <w:rPr>
          <w:rFonts w:ascii="Arial Narrow" w:hAnsi="Arial Narrow" w:cs="Arial"/>
          <w:sz w:val="28"/>
          <w:szCs w:val="28"/>
        </w:rPr>
      </w:pPr>
      <w:r>
        <w:rPr>
          <w:rFonts w:ascii="Arial Narrow" w:hAnsi="Arial Narrow" w:cs="Arial"/>
          <w:sz w:val="28"/>
          <w:szCs w:val="28"/>
        </w:rPr>
        <w:t xml:space="preserve">En consecuencia, se inició el respectivo trámite, el cual culminó con la sanción pecuniaria de cinco (5) SMLMV y privación de la libertad por cinco (5) días, en contra de </w:t>
      </w:r>
      <w:r w:rsidR="00452D58">
        <w:rPr>
          <w:rFonts w:ascii="Arial Narrow" w:hAnsi="Arial Narrow" w:cs="Arial"/>
          <w:sz w:val="28"/>
          <w:szCs w:val="28"/>
        </w:rPr>
        <w:t>María Lorena Serna Montoya y José Fernando Cardona Uribe</w:t>
      </w:r>
      <w:r>
        <w:rPr>
          <w:rFonts w:ascii="Arial Narrow" w:hAnsi="Arial Narrow" w:cs="Arial"/>
          <w:sz w:val="28"/>
          <w:szCs w:val="28"/>
        </w:rPr>
        <w:t>, en</w:t>
      </w:r>
      <w:r w:rsidR="00452D58">
        <w:rPr>
          <w:rFonts w:ascii="Arial Narrow" w:hAnsi="Arial Narrow" w:cs="Arial"/>
          <w:sz w:val="28"/>
          <w:szCs w:val="28"/>
        </w:rPr>
        <w:t xml:space="preserve"> su condición de Gerente del Eje Cafetero y Gerente General de la Nueva E.P.S. S.A., en su orden</w:t>
      </w:r>
      <w:r>
        <w:rPr>
          <w:rFonts w:ascii="Arial Narrow" w:hAnsi="Arial Narrow" w:cs="Arial"/>
          <w:sz w:val="28"/>
          <w:szCs w:val="28"/>
        </w:rPr>
        <w:t xml:space="preserve">. </w:t>
      </w:r>
    </w:p>
    <w:p w:rsidR="00FF7B1B" w:rsidRPr="002F0C25" w:rsidRDefault="00FF7B1B" w:rsidP="0047497A">
      <w:pPr>
        <w:pStyle w:val="Sinespaciado"/>
        <w:spacing w:line="360" w:lineRule="auto"/>
      </w:pPr>
    </w:p>
    <w:p w:rsidR="00FF7B1B" w:rsidRPr="00345D90" w:rsidRDefault="00FF7B1B" w:rsidP="00FF7B1B">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FF7B1B" w:rsidRPr="00345D90" w:rsidRDefault="00FF7B1B" w:rsidP="00FF7B1B">
      <w:pPr>
        <w:pStyle w:val="Sinespaciado"/>
        <w:jc w:val="both"/>
        <w:rPr>
          <w:rFonts w:ascii="Arial Narrow" w:hAnsi="Arial Narrow" w:cs="Arial"/>
          <w:sz w:val="28"/>
          <w:szCs w:val="28"/>
        </w:rPr>
      </w:pPr>
    </w:p>
    <w:p w:rsidR="00FF7B1B" w:rsidRPr="00692DF9" w:rsidRDefault="00FF7B1B" w:rsidP="00FF7B1B">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FF7B1B" w:rsidRPr="00692DF9" w:rsidRDefault="00FF7B1B" w:rsidP="00FF7B1B">
      <w:pPr>
        <w:pStyle w:val="Sinespaciado"/>
        <w:jc w:val="both"/>
        <w:rPr>
          <w:rFonts w:ascii="Arial Narrow" w:hAnsi="Arial Narrow" w:cs="Arial"/>
          <w:sz w:val="28"/>
          <w:szCs w:val="28"/>
        </w:rPr>
      </w:pPr>
    </w:p>
    <w:p w:rsidR="00FF7B1B" w:rsidRPr="00692DF9" w:rsidRDefault="00FF7B1B" w:rsidP="00FF7B1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II- Al revisar la constitucionalidad de la referida disposición legal, pregonó la H. Corte Constitucional:</w:t>
      </w:r>
    </w:p>
    <w:p w:rsidR="00FF7B1B" w:rsidRPr="004E03B7" w:rsidRDefault="00FF7B1B" w:rsidP="004E03B7">
      <w:pPr>
        <w:pStyle w:val="Sinespaciado"/>
      </w:pPr>
    </w:p>
    <w:p w:rsidR="00FF7B1B" w:rsidRPr="00F0344D" w:rsidRDefault="00FF7B1B" w:rsidP="00FF7B1B">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FF7B1B" w:rsidRPr="00F0344D" w:rsidRDefault="00FF7B1B" w:rsidP="00FF7B1B">
      <w:pPr>
        <w:pStyle w:val="Sinespaciado"/>
        <w:jc w:val="both"/>
        <w:rPr>
          <w:rFonts w:ascii="Arial Narrow" w:hAnsi="Arial Narrow" w:cs="Arial"/>
          <w:i/>
        </w:rPr>
      </w:pPr>
    </w:p>
    <w:p w:rsidR="00FF7B1B" w:rsidRPr="00F0344D" w:rsidRDefault="00FF7B1B" w:rsidP="00FF7B1B">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FF7B1B" w:rsidRPr="00F0344D" w:rsidRDefault="00FF7B1B" w:rsidP="00FF7B1B">
      <w:pPr>
        <w:pStyle w:val="Sinespaciado"/>
        <w:jc w:val="both"/>
        <w:rPr>
          <w:rFonts w:ascii="Arial Narrow" w:hAnsi="Arial Narrow" w:cs="Arial"/>
          <w:i/>
          <w:lang w:val="es-ES_tradnl"/>
        </w:rPr>
      </w:pPr>
    </w:p>
    <w:p w:rsidR="00FF7B1B" w:rsidRPr="00F0344D" w:rsidRDefault="00FF7B1B" w:rsidP="00FF7B1B">
      <w:pPr>
        <w:pStyle w:val="Sinespaciado"/>
        <w:jc w:val="both"/>
        <w:rPr>
          <w:rFonts w:ascii="Arial Narrow" w:hAnsi="Arial Narrow" w:cs="Arial"/>
          <w:lang w:val="es-ES_tradnl"/>
        </w:rPr>
      </w:pPr>
      <w:r>
        <w:rPr>
          <w:rFonts w:ascii="Arial Narrow" w:hAnsi="Arial Narrow" w:cs="Arial"/>
          <w:i/>
          <w:lang w:val="es-ES_tradnl"/>
        </w:rPr>
        <w:lastRenderedPageBreak/>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FF7B1B" w:rsidRPr="00F0344D" w:rsidRDefault="00FF7B1B" w:rsidP="00FF7B1B">
      <w:pPr>
        <w:pStyle w:val="Sinespaciado"/>
        <w:spacing w:line="360" w:lineRule="auto"/>
        <w:jc w:val="both"/>
        <w:rPr>
          <w:rFonts w:ascii="Arial Narrow" w:hAnsi="Arial Narrow" w:cs="Arial"/>
        </w:rPr>
      </w:pPr>
    </w:p>
    <w:p w:rsidR="00FF7B1B" w:rsidRPr="00692DF9" w:rsidRDefault="00FF7B1B" w:rsidP="00FF7B1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9725B4">
        <w:rPr>
          <w:rFonts w:ascii="Arial Narrow" w:hAnsi="Arial Narrow" w:cs="Arial"/>
          <w:sz w:val="28"/>
          <w:szCs w:val="28"/>
        </w:rPr>
        <w:t>fallo por parte de la autoridad responsable del agravio a los derechos fundamentales y que autoriza al juez para sancionar por desacato a la persona responsable y eventualmente</w:t>
      </w:r>
      <w:r w:rsidRPr="00692DF9">
        <w:rPr>
          <w:rFonts w:ascii="Arial Narrow" w:hAnsi="Arial Narrow" w:cs="Arial"/>
          <w:sz w:val="28"/>
          <w:szCs w:val="28"/>
        </w:rPr>
        <w:t xml:space="preserve"> cumplidos los supuestos que para ello se señalan en la norma, también al superior de aquella.</w:t>
      </w:r>
    </w:p>
    <w:p w:rsidR="00FF7B1B" w:rsidRPr="00692DF9" w:rsidRDefault="00FF7B1B" w:rsidP="00FF7B1B">
      <w:pPr>
        <w:pStyle w:val="Sinespaciado"/>
        <w:jc w:val="both"/>
        <w:rPr>
          <w:rFonts w:ascii="Arial Narrow" w:hAnsi="Arial Narrow" w:cs="Arial"/>
          <w:sz w:val="28"/>
          <w:szCs w:val="28"/>
        </w:rPr>
      </w:pPr>
    </w:p>
    <w:p w:rsidR="00FF7B1B" w:rsidRPr="00F0344D" w:rsidRDefault="00FF7B1B" w:rsidP="00FF7B1B">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FF7B1B" w:rsidRPr="00692DF9" w:rsidRDefault="00FF7B1B" w:rsidP="00FF7B1B">
      <w:pPr>
        <w:pStyle w:val="Sinespaciado"/>
        <w:jc w:val="both"/>
        <w:rPr>
          <w:rFonts w:ascii="Arial Narrow" w:hAnsi="Arial Narrow" w:cs="Arial"/>
          <w:sz w:val="28"/>
          <w:szCs w:val="28"/>
        </w:rPr>
      </w:pPr>
    </w:p>
    <w:p w:rsidR="00FF7B1B" w:rsidRPr="00692DF9" w:rsidRDefault="00FF7B1B" w:rsidP="00FF7B1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FF7B1B" w:rsidRPr="00692DF9" w:rsidRDefault="00FF7B1B" w:rsidP="00FF7B1B">
      <w:pPr>
        <w:pStyle w:val="Sinespaciado"/>
        <w:jc w:val="both"/>
        <w:rPr>
          <w:rFonts w:ascii="Arial Narrow" w:hAnsi="Arial Narrow" w:cs="Arial"/>
          <w:sz w:val="28"/>
          <w:szCs w:val="28"/>
        </w:rPr>
      </w:pPr>
    </w:p>
    <w:p w:rsidR="00FF7B1B" w:rsidRPr="00692DF9" w:rsidRDefault="00FF7B1B" w:rsidP="00FF7B1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FF7B1B" w:rsidRPr="00692DF9" w:rsidRDefault="00FF7B1B" w:rsidP="00FF7B1B">
      <w:pPr>
        <w:pStyle w:val="Sinespaciado"/>
        <w:jc w:val="both"/>
        <w:rPr>
          <w:rFonts w:ascii="Arial Narrow" w:hAnsi="Arial Narrow" w:cs="Arial"/>
          <w:sz w:val="28"/>
          <w:szCs w:val="28"/>
        </w:rPr>
      </w:pPr>
    </w:p>
    <w:p w:rsidR="00FF7B1B" w:rsidRPr="00692DF9" w:rsidRDefault="00FF7B1B" w:rsidP="00FF7B1B">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FF7B1B" w:rsidRPr="002F0C25" w:rsidRDefault="00FF7B1B" w:rsidP="00FF7B1B">
      <w:pPr>
        <w:pStyle w:val="Sinespaciado"/>
      </w:pPr>
    </w:p>
    <w:p w:rsidR="00FF7B1B" w:rsidRPr="00692DF9" w:rsidRDefault="00FF7B1B" w:rsidP="00FF7B1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w:t>
      </w:r>
      <w:r w:rsidR="00606DD9" w:rsidRPr="00692DF9">
        <w:rPr>
          <w:rFonts w:ascii="Arial Narrow" w:hAnsi="Arial Narrow" w:cs="Arial"/>
          <w:sz w:val="28"/>
          <w:szCs w:val="28"/>
        </w:rPr>
        <w:t xml:space="preserve">- </w:t>
      </w:r>
      <w:r w:rsidR="00606DD9">
        <w:rPr>
          <w:rFonts w:ascii="Arial Narrow" w:hAnsi="Arial Narrow" w:cs="Arial"/>
          <w:sz w:val="28"/>
          <w:szCs w:val="28"/>
        </w:rPr>
        <w:t>En</w:t>
      </w:r>
      <w:r w:rsidRPr="00692DF9">
        <w:rPr>
          <w:rFonts w:ascii="Arial Narrow" w:hAnsi="Arial Narrow" w:cs="Arial"/>
          <w:sz w:val="28"/>
          <w:szCs w:val="28"/>
        </w:rPr>
        <w:t xml:space="preserve"> este marco de ideas, la garantía a un debido proceso, núcleo a su vez de otros derechos fundamentales no menos trascendentales como el de defensa</w:t>
      </w:r>
      <w:r w:rsidR="00606DD9" w:rsidRPr="00692DF9">
        <w:rPr>
          <w:rFonts w:ascii="Arial Narrow" w:hAnsi="Arial Narrow" w:cs="Arial"/>
          <w:sz w:val="28"/>
          <w:szCs w:val="28"/>
        </w:rPr>
        <w:t>, contradicción</w:t>
      </w:r>
      <w:r w:rsidRPr="00692DF9">
        <w:rPr>
          <w:rFonts w:ascii="Arial Narrow" w:hAnsi="Arial Narrow" w:cs="Arial"/>
          <w:sz w:val="28"/>
          <w:szCs w:val="28"/>
        </w:rPr>
        <w:t>,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FF7B1B" w:rsidRPr="005F1C46" w:rsidRDefault="00FF7B1B" w:rsidP="00FF7B1B">
      <w:pPr>
        <w:pStyle w:val="Sinespaciado"/>
      </w:pPr>
    </w:p>
    <w:p w:rsidR="00FF7B1B" w:rsidRPr="00692DF9" w:rsidRDefault="00FF7B1B" w:rsidP="00FF7B1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FF7B1B" w:rsidRPr="005F1C46" w:rsidRDefault="00FF7B1B" w:rsidP="00FF7B1B">
      <w:pPr>
        <w:pStyle w:val="Sinespaciado"/>
      </w:pPr>
    </w:p>
    <w:p w:rsidR="00FF7B1B" w:rsidRPr="00692DF9" w:rsidRDefault="00FF7B1B" w:rsidP="00FF7B1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FF7B1B" w:rsidRPr="00692DF9" w:rsidRDefault="00FF7B1B" w:rsidP="00FF7B1B">
      <w:pPr>
        <w:pStyle w:val="Sinespaciado"/>
        <w:jc w:val="both"/>
        <w:rPr>
          <w:rFonts w:ascii="Arial Narrow" w:hAnsi="Arial Narrow" w:cs="Arial"/>
          <w:sz w:val="28"/>
          <w:szCs w:val="28"/>
        </w:rPr>
      </w:pPr>
    </w:p>
    <w:p w:rsidR="00FF7B1B" w:rsidRPr="00692DF9" w:rsidRDefault="00FF7B1B" w:rsidP="00FF7B1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FF7B1B" w:rsidRPr="005F1C46" w:rsidRDefault="00FF7B1B" w:rsidP="00FF7B1B">
      <w:pPr>
        <w:pStyle w:val="Sinespaciado"/>
      </w:pPr>
    </w:p>
    <w:p w:rsidR="00606DD9" w:rsidRDefault="00FF7B1B" w:rsidP="00606DD9">
      <w:pPr>
        <w:pStyle w:val="Sinespaciado"/>
        <w:spacing w:line="360" w:lineRule="auto"/>
        <w:jc w:val="both"/>
        <w:rPr>
          <w:rFonts w:ascii="Arial Narrow" w:hAnsi="Arial Narrow" w:cs="Arial"/>
          <w:sz w:val="28"/>
          <w:szCs w:val="28"/>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Pr>
          <w:rFonts w:ascii="Arial Narrow" w:hAnsi="Arial Narrow" w:cs="Tahoma"/>
          <w:i/>
          <w:sz w:val="28"/>
          <w:szCs w:val="28"/>
        </w:rPr>
        <w:t xml:space="preserve"> </w:t>
      </w:r>
      <w:r>
        <w:rPr>
          <w:rFonts w:ascii="Arial Narrow" w:hAnsi="Arial Narrow" w:cs="Tahoma"/>
          <w:sz w:val="28"/>
          <w:szCs w:val="28"/>
        </w:rPr>
        <w:t xml:space="preserve">a través de la sentencia de tutela, el Juzgado de primer grado dio una orden clara a la entidad de salud, </w:t>
      </w:r>
      <w:r w:rsidR="00606DD9">
        <w:rPr>
          <w:rFonts w:ascii="Arial Narrow" w:hAnsi="Arial Narrow" w:cs="Tahoma"/>
          <w:sz w:val="28"/>
          <w:szCs w:val="28"/>
        </w:rPr>
        <w:t>de</w:t>
      </w:r>
      <w:r w:rsidR="00B87455">
        <w:rPr>
          <w:rFonts w:ascii="Arial Narrow" w:hAnsi="Arial Narrow" w:cs="Tahoma"/>
          <w:sz w:val="28"/>
          <w:szCs w:val="28"/>
        </w:rPr>
        <w:t xml:space="preserve"> </w:t>
      </w:r>
      <w:r w:rsidR="00972AFB">
        <w:rPr>
          <w:rFonts w:ascii="Arial Narrow" w:hAnsi="Arial Narrow" w:cs="Tahoma"/>
          <w:sz w:val="28"/>
          <w:szCs w:val="28"/>
        </w:rPr>
        <w:t xml:space="preserve">generar la autorización para el suministro </w:t>
      </w:r>
      <w:r w:rsidR="005D1FF1">
        <w:rPr>
          <w:rFonts w:ascii="Arial Narrow" w:hAnsi="Arial Narrow" w:cs="Tahoma"/>
          <w:sz w:val="28"/>
          <w:szCs w:val="28"/>
        </w:rPr>
        <w:t xml:space="preserve">del </w:t>
      </w:r>
      <w:r w:rsidR="005D1FF1">
        <w:rPr>
          <w:rFonts w:ascii="Arial Narrow" w:hAnsi="Arial Narrow" w:cs="Tahoma"/>
          <w:sz w:val="28"/>
          <w:szCs w:val="28"/>
        </w:rPr>
        <w:lastRenderedPageBreak/>
        <w:t>servicio</w:t>
      </w:r>
      <w:r w:rsidR="00507425">
        <w:rPr>
          <w:rFonts w:ascii="Arial Narrow" w:hAnsi="Arial Narrow" w:cs="Tahoma"/>
          <w:sz w:val="28"/>
          <w:szCs w:val="28"/>
        </w:rPr>
        <w:t xml:space="preserve"> </w:t>
      </w:r>
      <w:r w:rsidR="00797C73">
        <w:rPr>
          <w:rFonts w:ascii="Arial Narrow" w:hAnsi="Arial Narrow" w:cs="Tahoma"/>
          <w:sz w:val="28"/>
          <w:szCs w:val="28"/>
        </w:rPr>
        <w:t>de a</w:t>
      </w:r>
      <w:r w:rsidR="00606DD9">
        <w:rPr>
          <w:rFonts w:ascii="Arial Narrow" w:hAnsi="Arial Narrow" w:cs="Arial"/>
          <w:sz w:val="28"/>
          <w:szCs w:val="28"/>
        </w:rPr>
        <w:t>tención</w:t>
      </w:r>
      <w:r w:rsidR="00D633A7">
        <w:rPr>
          <w:rFonts w:ascii="Arial Narrow" w:hAnsi="Arial Narrow" w:cs="Arial"/>
          <w:sz w:val="28"/>
          <w:szCs w:val="28"/>
        </w:rPr>
        <w:t xml:space="preserve"> </w:t>
      </w:r>
      <w:r w:rsidR="00606DD9">
        <w:rPr>
          <w:rFonts w:ascii="Arial Narrow" w:hAnsi="Arial Narrow" w:cs="Arial"/>
          <w:sz w:val="28"/>
          <w:szCs w:val="28"/>
        </w:rPr>
        <w:t xml:space="preserve">domiciliaria de enfermería por 12 horas diarias </w:t>
      </w:r>
      <w:r w:rsidR="00972AFB">
        <w:rPr>
          <w:rFonts w:ascii="Arial Narrow" w:hAnsi="Arial Narrow" w:cs="Arial"/>
          <w:sz w:val="28"/>
          <w:szCs w:val="28"/>
        </w:rPr>
        <w:t>que requiere el accionante y que le fue prescrito por el galeno.</w:t>
      </w:r>
    </w:p>
    <w:p w:rsidR="009F1165" w:rsidRPr="009F1165" w:rsidRDefault="009F1165" w:rsidP="009F1165">
      <w:pPr>
        <w:pStyle w:val="Sinespaciado"/>
      </w:pPr>
    </w:p>
    <w:p w:rsidR="00804C07" w:rsidRDefault="00D633A7" w:rsidP="009F1165">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Conforme a los documentos que se aportaron a la actuación</w:t>
      </w:r>
      <w:r w:rsidR="00CB441C">
        <w:rPr>
          <w:rFonts w:ascii="Arial Narrow" w:hAnsi="Arial Narrow" w:cs="Tahoma"/>
          <w:sz w:val="28"/>
          <w:szCs w:val="28"/>
        </w:rPr>
        <w:t>, se encuentra q</w:t>
      </w:r>
      <w:r>
        <w:rPr>
          <w:rFonts w:ascii="Arial Narrow" w:hAnsi="Arial Narrow" w:cs="Tahoma"/>
          <w:sz w:val="28"/>
          <w:szCs w:val="28"/>
        </w:rPr>
        <w:t xml:space="preserve">ue el </w:t>
      </w:r>
      <w:r w:rsidR="009F1165">
        <w:rPr>
          <w:rFonts w:ascii="Arial Narrow" w:hAnsi="Arial Narrow" w:cs="Tahoma"/>
          <w:sz w:val="28"/>
          <w:szCs w:val="28"/>
        </w:rPr>
        <w:t>trámite incidental se observó respetuoso de las garantías fundamentales de las personas sancionadas, pues</w:t>
      </w:r>
      <w:r>
        <w:rPr>
          <w:rFonts w:ascii="Arial Narrow" w:hAnsi="Arial Narrow" w:cs="Tahoma"/>
          <w:sz w:val="28"/>
          <w:szCs w:val="28"/>
        </w:rPr>
        <w:t xml:space="preserve"> </w:t>
      </w:r>
      <w:r w:rsidR="00CB441C">
        <w:rPr>
          <w:rFonts w:ascii="Arial Narrow" w:hAnsi="Arial Narrow" w:cs="Tahoma"/>
          <w:sz w:val="28"/>
          <w:szCs w:val="28"/>
        </w:rPr>
        <w:t>éstos</w:t>
      </w:r>
      <w:r w:rsidR="009F1165">
        <w:rPr>
          <w:rFonts w:ascii="Arial Narrow" w:hAnsi="Arial Narrow" w:cs="Tahoma"/>
          <w:sz w:val="28"/>
          <w:szCs w:val="28"/>
        </w:rPr>
        <w:t xml:space="preserve"> tuvieron la posibilidad de conocer la orden contenida en el fallo de tutela, de  argüir las exculpativas necesarias, de aportar pruebas y rebatir las esgrimidas y, en general estuvieron debidamente informados de las diferentes decisiones y actuaciones surtidas, además de haberse agotado el trámite preliminar establecido en el canon 27 del Decreto 2591 de 1991, sin </w:t>
      </w:r>
      <w:r w:rsidR="009F1165" w:rsidRPr="00537A24">
        <w:rPr>
          <w:rFonts w:ascii="Arial Narrow" w:hAnsi="Arial Narrow" w:cs="Tahoma"/>
          <w:sz w:val="28"/>
          <w:szCs w:val="28"/>
        </w:rPr>
        <w:t>que a pesar de los diferentes requerimientos</w:t>
      </w:r>
      <w:r w:rsidR="00335877">
        <w:rPr>
          <w:rFonts w:ascii="Arial Narrow" w:hAnsi="Arial Narrow" w:cs="Tahoma"/>
          <w:sz w:val="28"/>
          <w:szCs w:val="28"/>
        </w:rPr>
        <w:t xml:space="preserve">, se lograra </w:t>
      </w:r>
      <w:r w:rsidR="00804C07">
        <w:rPr>
          <w:rFonts w:ascii="Arial Narrow" w:hAnsi="Arial Narrow" w:cs="Tahoma"/>
          <w:sz w:val="28"/>
          <w:szCs w:val="28"/>
        </w:rPr>
        <w:t xml:space="preserve">pronunciamiento </w:t>
      </w:r>
      <w:r w:rsidR="00335877">
        <w:rPr>
          <w:rFonts w:ascii="Arial Narrow" w:hAnsi="Arial Narrow" w:cs="Tahoma"/>
          <w:sz w:val="28"/>
          <w:szCs w:val="28"/>
        </w:rPr>
        <w:t>alguno</w:t>
      </w:r>
      <w:r w:rsidR="00804C07">
        <w:rPr>
          <w:rFonts w:ascii="Arial Narrow" w:hAnsi="Arial Narrow" w:cs="Tahoma"/>
          <w:sz w:val="28"/>
          <w:szCs w:val="28"/>
        </w:rPr>
        <w:t xml:space="preserve">, razón por la que la a-quo consideró </w:t>
      </w:r>
      <w:r w:rsidR="00CB441C">
        <w:rPr>
          <w:rFonts w:ascii="Arial Narrow" w:hAnsi="Arial Narrow" w:cs="Tahoma"/>
          <w:sz w:val="28"/>
          <w:szCs w:val="28"/>
        </w:rPr>
        <w:t xml:space="preserve">que </w:t>
      </w:r>
      <w:r w:rsidR="00804C07">
        <w:rPr>
          <w:rFonts w:ascii="Arial Narrow" w:hAnsi="Arial Narrow" w:cs="Tahoma"/>
          <w:sz w:val="28"/>
          <w:szCs w:val="28"/>
        </w:rPr>
        <w:t xml:space="preserve">era procedente la imposición </w:t>
      </w:r>
      <w:r w:rsidR="00335877">
        <w:rPr>
          <w:rFonts w:ascii="Arial Narrow" w:hAnsi="Arial Narrow" w:cs="Tahoma"/>
          <w:sz w:val="28"/>
          <w:szCs w:val="28"/>
        </w:rPr>
        <w:t xml:space="preserve">de las sanciones </w:t>
      </w:r>
      <w:r w:rsidR="004C7012">
        <w:rPr>
          <w:rFonts w:ascii="Arial Narrow" w:hAnsi="Arial Narrow" w:cs="Tahoma"/>
          <w:sz w:val="28"/>
          <w:szCs w:val="28"/>
        </w:rPr>
        <w:t>de arresto y multa correspondientes</w:t>
      </w:r>
      <w:r w:rsidR="00804C07">
        <w:rPr>
          <w:rFonts w:ascii="Arial Narrow" w:hAnsi="Arial Narrow" w:cs="Tahoma"/>
          <w:sz w:val="28"/>
          <w:szCs w:val="28"/>
        </w:rPr>
        <w:t xml:space="preserve">. </w:t>
      </w:r>
    </w:p>
    <w:p w:rsidR="00804C07" w:rsidRPr="004C7012" w:rsidRDefault="00804C07" w:rsidP="004C7012">
      <w:pPr>
        <w:pStyle w:val="Sinespaciado"/>
      </w:pPr>
    </w:p>
    <w:p w:rsidR="006B77D9" w:rsidRDefault="00EA7CE7" w:rsidP="009F1165">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Ahora bien, p</w:t>
      </w:r>
      <w:r w:rsidR="0047497A">
        <w:rPr>
          <w:rFonts w:ascii="Arial Narrow" w:hAnsi="Arial Narrow" w:cs="Tahoma"/>
          <w:sz w:val="28"/>
          <w:szCs w:val="28"/>
        </w:rPr>
        <w:t>ese a que e</w:t>
      </w:r>
      <w:r w:rsidR="00CB441C">
        <w:rPr>
          <w:rFonts w:ascii="Arial Narrow" w:hAnsi="Arial Narrow" w:cs="Tahoma"/>
          <w:sz w:val="28"/>
          <w:szCs w:val="28"/>
        </w:rPr>
        <w:t>l</w:t>
      </w:r>
      <w:r w:rsidR="00CA380B">
        <w:rPr>
          <w:rFonts w:ascii="Arial Narrow" w:hAnsi="Arial Narrow" w:cs="Tahoma"/>
          <w:sz w:val="28"/>
          <w:szCs w:val="28"/>
        </w:rPr>
        <w:t xml:space="preserve"> día </w:t>
      </w:r>
      <w:r w:rsidR="00CA593A">
        <w:rPr>
          <w:rFonts w:ascii="Arial Narrow" w:hAnsi="Arial Narrow" w:cs="Tahoma"/>
          <w:sz w:val="28"/>
          <w:szCs w:val="28"/>
        </w:rPr>
        <w:t>11 de julio de los corrientes</w:t>
      </w:r>
      <w:r w:rsidR="00CA380B">
        <w:rPr>
          <w:rFonts w:ascii="Arial Narrow" w:hAnsi="Arial Narrow" w:cs="Tahoma"/>
          <w:sz w:val="28"/>
          <w:szCs w:val="28"/>
        </w:rPr>
        <w:t xml:space="preserve"> </w:t>
      </w:r>
      <w:r w:rsidR="004C7012">
        <w:rPr>
          <w:rFonts w:ascii="Arial Narrow" w:hAnsi="Arial Narrow" w:cs="Tahoma"/>
          <w:sz w:val="28"/>
          <w:szCs w:val="28"/>
        </w:rPr>
        <w:t xml:space="preserve">la entidad destinataria </w:t>
      </w:r>
      <w:r w:rsidR="00335877">
        <w:rPr>
          <w:rFonts w:ascii="Arial Narrow" w:hAnsi="Arial Narrow" w:cs="Tahoma"/>
          <w:sz w:val="28"/>
          <w:szCs w:val="28"/>
        </w:rPr>
        <w:t xml:space="preserve">de cumplir </w:t>
      </w:r>
      <w:r w:rsidR="001741E0">
        <w:rPr>
          <w:rFonts w:ascii="Arial Narrow" w:hAnsi="Arial Narrow" w:cs="Tahoma"/>
          <w:sz w:val="28"/>
          <w:szCs w:val="28"/>
        </w:rPr>
        <w:t>la orden</w:t>
      </w:r>
      <w:r>
        <w:rPr>
          <w:rFonts w:ascii="Arial Narrow" w:hAnsi="Arial Narrow" w:cs="Tahoma"/>
          <w:sz w:val="28"/>
          <w:szCs w:val="28"/>
        </w:rPr>
        <w:t xml:space="preserve"> constitucional</w:t>
      </w:r>
      <w:r w:rsidR="002D5C05">
        <w:rPr>
          <w:rFonts w:ascii="Arial Narrow" w:hAnsi="Arial Narrow" w:cs="Tahoma"/>
          <w:sz w:val="28"/>
          <w:szCs w:val="28"/>
        </w:rPr>
        <w:t xml:space="preserve">, </w:t>
      </w:r>
      <w:r w:rsidR="00CA593A">
        <w:rPr>
          <w:rFonts w:ascii="Arial Narrow" w:hAnsi="Arial Narrow" w:cs="Tahoma"/>
          <w:sz w:val="28"/>
          <w:szCs w:val="28"/>
        </w:rPr>
        <w:t xml:space="preserve">allegó </w:t>
      </w:r>
      <w:r w:rsidR="001741E0">
        <w:rPr>
          <w:rFonts w:ascii="Arial Narrow" w:hAnsi="Arial Narrow" w:cs="Tahoma"/>
          <w:sz w:val="28"/>
          <w:szCs w:val="28"/>
        </w:rPr>
        <w:t xml:space="preserve">a la Secretaría de esta Corporación, </w:t>
      </w:r>
      <w:r w:rsidR="001A4845">
        <w:rPr>
          <w:rFonts w:ascii="Arial Narrow" w:hAnsi="Arial Narrow" w:cs="Tahoma"/>
          <w:sz w:val="28"/>
          <w:szCs w:val="28"/>
        </w:rPr>
        <w:t xml:space="preserve">escrito de respuesta </w:t>
      </w:r>
      <w:r w:rsidR="000E5D46">
        <w:rPr>
          <w:rFonts w:ascii="Arial Narrow" w:hAnsi="Arial Narrow" w:cs="Tahoma"/>
          <w:sz w:val="28"/>
          <w:szCs w:val="28"/>
        </w:rPr>
        <w:t>en el que i</w:t>
      </w:r>
      <w:r w:rsidR="00A33981">
        <w:rPr>
          <w:rFonts w:ascii="Arial Narrow" w:hAnsi="Arial Narrow" w:cs="Tahoma"/>
          <w:sz w:val="28"/>
          <w:szCs w:val="28"/>
        </w:rPr>
        <w:t xml:space="preserve">nforma que </w:t>
      </w:r>
      <w:r w:rsidR="00D633A7">
        <w:rPr>
          <w:rFonts w:ascii="Arial Narrow" w:hAnsi="Arial Narrow" w:cs="Tahoma"/>
          <w:sz w:val="28"/>
          <w:szCs w:val="28"/>
        </w:rPr>
        <w:t xml:space="preserve">dio </w:t>
      </w:r>
      <w:r w:rsidR="00A33981">
        <w:rPr>
          <w:rFonts w:ascii="Arial Narrow" w:hAnsi="Arial Narrow" w:cs="Tahoma"/>
          <w:sz w:val="28"/>
          <w:szCs w:val="28"/>
        </w:rPr>
        <w:t>cumplimiento</w:t>
      </w:r>
      <w:r w:rsidR="00CB441C">
        <w:rPr>
          <w:rFonts w:ascii="Arial Narrow" w:hAnsi="Arial Narrow" w:cs="Tahoma"/>
          <w:sz w:val="28"/>
          <w:szCs w:val="28"/>
        </w:rPr>
        <w:t xml:space="preserve"> a</w:t>
      </w:r>
      <w:r w:rsidR="001741E0">
        <w:rPr>
          <w:rFonts w:ascii="Arial Narrow" w:hAnsi="Arial Narrow" w:cs="Tahoma"/>
          <w:sz w:val="28"/>
          <w:szCs w:val="28"/>
        </w:rPr>
        <w:t>l fallo</w:t>
      </w:r>
      <w:r w:rsidR="00A33981">
        <w:rPr>
          <w:rFonts w:ascii="Arial Narrow" w:hAnsi="Arial Narrow" w:cs="Tahoma"/>
          <w:sz w:val="28"/>
          <w:szCs w:val="28"/>
        </w:rPr>
        <w:t xml:space="preserve">, </w:t>
      </w:r>
      <w:r w:rsidR="00660D67">
        <w:rPr>
          <w:rFonts w:ascii="Arial Narrow" w:hAnsi="Arial Narrow" w:cs="Tahoma"/>
          <w:sz w:val="28"/>
          <w:szCs w:val="28"/>
        </w:rPr>
        <w:t xml:space="preserve">pues autorizó el servicio requerido, </w:t>
      </w:r>
      <w:r w:rsidR="00BA67F6">
        <w:rPr>
          <w:rFonts w:ascii="Arial Narrow" w:hAnsi="Arial Narrow" w:cs="Tahoma"/>
          <w:sz w:val="28"/>
          <w:szCs w:val="28"/>
        </w:rPr>
        <w:t xml:space="preserve">la Sala </w:t>
      </w:r>
      <w:r w:rsidR="001741E0">
        <w:rPr>
          <w:rFonts w:ascii="Arial Narrow" w:hAnsi="Arial Narrow" w:cs="Tahoma"/>
          <w:sz w:val="28"/>
          <w:szCs w:val="28"/>
        </w:rPr>
        <w:t xml:space="preserve">considera que aún persiste </w:t>
      </w:r>
      <w:r w:rsidR="00C26D58">
        <w:rPr>
          <w:rFonts w:ascii="Arial Narrow" w:hAnsi="Arial Narrow" w:cs="Tahoma"/>
          <w:sz w:val="28"/>
          <w:szCs w:val="28"/>
        </w:rPr>
        <w:t xml:space="preserve">la </w:t>
      </w:r>
      <w:r w:rsidR="001A4845">
        <w:rPr>
          <w:rFonts w:ascii="Arial Narrow" w:hAnsi="Arial Narrow" w:cs="Tahoma"/>
          <w:sz w:val="28"/>
          <w:szCs w:val="28"/>
        </w:rPr>
        <w:t>inobservancia del mismo</w:t>
      </w:r>
      <w:r w:rsidR="00BA67F6">
        <w:rPr>
          <w:rFonts w:ascii="Arial Narrow" w:hAnsi="Arial Narrow" w:cs="Tahoma"/>
          <w:sz w:val="28"/>
          <w:szCs w:val="28"/>
        </w:rPr>
        <w:t>,</w:t>
      </w:r>
      <w:r w:rsidR="00816075">
        <w:rPr>
          <w:rFonts w:ascii="Arial Narrow" w:hAnsi="Arial Narrow" w:cs="Tahoma"/>
          <w:sz w:val="28"/>
          <w:szCs w:val="28"/>
        </w:rPr>
        <w:t xml:space="preserve"> en tanto que: </w:t>
      </w:r>
    </w:p>
    <w:p w:rsidR="006B77D9" w:rsidRPr="006B77D9" w:rsidRDefault="006B77D9" w:rsidP="00D85EEA">
      <w:pPr>
        <w:pStyle w:val="Sinespaciado"/>
        <w:spacing w:line="360" w:lineRule="auto"/>
      </w:pPr>
    </w:p>
    <w:p w:rsidR="008E587F" w:rsidRPr="00E75508" w:rsidRDefault="005D1FF1" w:rsidP="00FD7888">
      <w:pPr>
        <w:pStyle w:val="Sinespaciado"/>
        <w:numPr>
          <w:ilvl w:val="0"/>
          <w:numId w:val="1"/>
        </w:numPr>
        <w:spacing w:line="360" w:lineRule="auto"/>
        <w:ind w:left="851"/>
        <w:jc w:val="both"/>
      </w:pPr>
      <w:r>
        <w:rPr>
          <w:rFonts w:ascii="Arial Narrow" w:hAnsi="Arial Narrow" w:cs="Tahoma"/>
          <w:sz w:val="28"/>
          <w:szCs w:val="28"/>
        </w:rPr>
        <w:t>A la fecha no se ha llevado a cabo la programación de las visitas</w:t>
      </w:r>
      <w:r w:rsidR="00E75508" w:rsidRPr="00E75508">
        <w:rPr>
          <w:rFonts w:ascii="Arial Narrow" w:hAnsi="Arial Narrow" w:cs="Tahoma"/>
          <w:sz w:val="28"/>
          <w:szCs w:val="28"/>
        </w:rPr>
        <w:t xml:space="preserve"> </w:t>
      </w:r>
      <w:r w:rsidR="00E75508">
        <w:rPr>
          <w:rFonts w:ascii="Arial Narrow" w:hAnsi="Arial Narrow" w:cs="Tahoma"/>
          <w:sz w:val="28"/>
          <w:szCs w:val="28"/>
        </w:rPr>
        <w:t xml:space="preserve">de </w:t>
      </w:r>
      <w:r w:rsidR="00E75508" w:rsidRPr="00E75508">
        <w:rPr>
          <w:rFonts w:ascii="Arial Narrow" w:hAnsi="Arial Narrow" w:cs="Tahoma"/>
          <w:sz w:val="28"/>
          <w:szCs w:val="28"/>
        </w:rPr>
        <w:t xml:space="preserve">atención </w:t>
      </w:r>
      <w:r w:rsidR="009507B3" w:rsidRPr="00E75508">
        <w:rPr>
          <w:rFonts w:ascii="Arial Narrow" w:hAnsi="Arial Narrow" w:cs="Tahoma"/>
          <w:sz w:val="28"/>
          <w:szCs w:val="28"/>
        </w:rPr>
        <w:t>do</w:t>
      </w:r>
      <w:r w:rsidR="006A78BA" w:rsidRPr="00E75508">
        <w:rPr>
          <w:rFonts w:ascii="Arial Narrow" w:hAnsi="Arial Narrow" w:cs="Tahoma"/>
          <w:sz w:val="28"/>
          <w:szCs w:val="28"/>
        </w:rPr>
        <w:t>miciliaria requerida por el paciente con sujeción a lo establecido en el concepto del médico</w:t>
      </w:r>
      <w:r w:rsidR="00DF5B8E" w:rsidRPr="00E75508">
        <w:rPr>
          <w:rFonts w:ascii="Arial Narrow" w:hAnsi="Arial Narrow" w:cs="Tahoma"/>
          <w:sz w:val="28"/>
          <w:szCs w:val="28"/>
        </w:rPr>
        <w:t xml:space="preserve"> tratante, </w:t>
      </w:r>
      <w:r w:rsidR="003B69B9">
        <w:rPr>
          <w:rFonts w:ascii="Arial Narrow" w:hAnsi="Arial Narrow" w:cs="Tahoma"/>
          <w:sz w:val="28"/>
          <w:szCs w:val="28"/>
        </w:rPr>
        <w:t xml:space="preserve">habida cuenta que </w:t>
      </w:r>
      <w:r w:rsidR="00E75508" w:rsidRPr="00E75508">
        <w:rPr>
          <w:rFonts w:ascii="Arial Narrow" w:hAnsi="Arial Narrow" w:cs="Tahoma"/>
          <w:sz w:val="28"/>
          <w:szCs w:val="28"/>
        </w:rPr>
        <w:t xml:space="preserve">se está a la espera de que la IPS Medifarma proceda de conformidad, </w:t>
      </w:r>
      <w:r w:rsidR="006A78BA" w:rsidRPr="00E75508">
        <w:rPr>
          <w:rFonts w:ascii="Arial Narrow" w:hAnsi="Arial Narrow" w:cs="Tahoma"/>
          <w:sz w:val="28"/>
          <w:szCs w:val="28"/>
        </w:rPr>
        <w:t xml:space="preserve">según </w:t>
      </w:r>
      <w:r w:rsidR="00DF5B8E" w:rsidRPr="00E75508">
        <w:rPr>
          <w:rFonts w:ascii="Arial Narrow" w:hAnsi="Arial Narrow" w:cs="Tahoma"/>
          <w:sz w:val="28"/>
          <w:szCs w:val="28"/>
        </w:rPr>
        <w:t xml:space="preserve">información que por vía telefónica suministró </w:t>
      </w:r>
      <w:r w:rsidR="006A78BA" w:rsidRPr="00E75508">
        <w:rPr>
          <w:rFonts w:ascii="Arial Narrow" w:hAnsi="Arial Narrow" w:cs="Tahoma"/>
          <w:sz w:val="28"/>
          <w:szCs w:val="28"/>
        </w:rPr>
        <w:t>la agente oficiosa del accionante</w:t>
      </w:r>
      <w:r w:rsidR="00E75508" w:rsidRPr="00E75508">
        <w:rPr>
          <w:rFonts w:ascii="Arial Narrow" w:hAnsi="Arial Narrow" w:cs="Tahoma"/>
          <w:sz w:val="28"/>
          <w:szCs w:val="28"/>
        </w:rPr>
        <w:t xml:space="preserve"> y de </w:t>
      </w:r>
      <w:r w:rsidR="00E75508">
        <w:rPr>
          <w:rFonts w:ascii="Arial Narrow" w:hAnsi="Arial Narrow" w:cs="Tahoma"/>
          <w:sz w:val="28"/>
          <w:szCs w:val="28"/>
        </w:rPr>
        <w:t>lo cual se deja constancia dentro del expediente.</w:t>
      </w:r>
    </w:p>
    <w:p w:rsidR="00E75508" w:rsidRPr="00E75508" w:rsidRDefault="00E75508" w:rsidP="00E75508">
      <w:pPr>
        <w:pStyle w:val="Sinespaciado"/>
      </w:pPr>
    </w:p>
    <w:p w:rsidR="00FC3E75" w:rsidRDefault="00660D67" w:rsidP="006B77D9">
      <w:pPr>
        <w:pStyle w:val="Sinespaciado"/>
        <w:numPr>
          <w:ilvl w:val="0"/>
          <w:numId w:val="1"/>
        </w:numPr>
        <w:spacing w:line="360" w:lineRule="auto"/>
        <w:ind w:left="851"/>
        <w:jc w:val="both"/>
        <w:rPr>
          <w:rFonts w:ascii="Arial Narrow" w:hAnsi="Arial Narrow" w:cs="Tahoma"/>
          <w:sz w:val="28"/>
          <w:szCs w:val="28"/>
        </w:rPr>
      </w:pPr>
      <w:r>
        <w:rPr>
          <w:rFonts w:ascii="Arial Narrow" w:hAnsi="Arial Narrow" w:cs="Tahoma"/>
          <w:sz w:val="28"/>
          <w:szCs w:val="28"/>
        </w:rPr>
        <w:t xml:space="preserve">Como es sabido, </w:t>
      </w:r>
      <w:r w:rsidR="0093743F">
        <w:rPr>
          <w:rFonts w:ascii="Arial Narrow" w:hAnsi="Arial Narrow" w:cs="Tahoma"/>
          <w:sz w:val="28"/>
          <w:szCs w:val="28"/>
        </w:rPr>
        <w:t xml:space="preserve">la </w:t>
      </w:r>
      <w:r w:rsidR="00A00576">
        <w:rPr>
          <w:rFonts w:ascii="Arial Narrow" w:hAnsi="Arial Narrow" w:cs="Tahoma"/>
          <w:sz w:val="28"/>
          <w:szCs w:val="28"/>
        </w:rPr>
        <w:t xml:space="preserve">mera </w:t>
      </w:r>
      <w:r w:rsidR="0093743F">
        <w:rPr>
          <w:rFonts w:ascii="Arial Narrow" w:hAnsi="Arial Narrow" w:cs="Tahoma"/>
          <w:sz w:val="28"/>
          <w:szCs w:val="28"/>
        </w:rPr>
        <w:t>emisión de la autorización del servicio</w:t>
      </w:r>
      <w:r w:rsidR="00311A2D">
        <w:rPr>
          <w:rFonts w:ascii="Arial Narrow" w:hAnsi="Arial Narrow" w:cs="Tahoma"/>
          <w:sz w:val="28"/>
          <w:szCs w:val="28"/>
        </w:rPr>
        <w:t xml:space="preserve"> médico</w:t>
      </w:r>
      <w:r w:rsidR="0093743F">
        <w:rPr>
          <w:rFonts w:ascii="Arial Narrow" w:hAnsi="Arial Narrow" w:cs="Tahoma"/>
          <w:sz w:val="28"/>
          <w:szCs w:val="28"/>
        </w:rPr>
        <w:t xml:space="preserve"> </w:t>
      </w:r>
      <w:r w:rsidR="009507B3">
        <w:rPr>
          <w:rFonts w:ascii="Arial Narrow" w:hAnsi="Arial Narrow" w:cs="Tahoma"/>
          <w:sz w:val="28"/>
          <w:szCs w:val="28"/>
        </w:rPr>
        <w:t xml:space="preserve">requerido </w:t>
      </w:r>
      <w:r w:rsidR="006B77D9">
        <w:rPr>
          <w:rFonts w:ascii="Arial Narrow" w:hAnsi="Arial Narrow" w:cs="Tahoma"/>
          <w:sz w:val="28"/>
          <w:szCs w:val="28"/>
        </w:rPr>
        <w:t xml:space="preserve">por el paciente </w:t>
      </w:r>
      <w:r w:rsidR="0093743F">
        <w:rPr>
          <w:rFonts w:ascii="Arial Narrow" w:hAnsi="Arial Narrow" w:cs="Tahoma"/>
          <w:sz w:val="28"/>
          <w:szCs w:val="28"/>
        </w:rPr>
        <w:t xml:space="preserve">no </w:t>
      </w:r>
      <w:r w:rsidR="009A40F4">
        <w:rPr>
          <w:rFonts w:ascii="Arial Narrow" w:hAnsi="Arial Narrow" w:cs="Tahoma"/>
          <w:sz w:val="28"/>
          <w:szCs w:val="28"/>
        </w:rPr>
        <w:t>exonera a</w:t>
      </w:r>
      <w:r w:rsidR="0093743F">
        <w:rPr>
          <w:rFonts w:ascii="Arial Narrow" w:hAnsi="Arial Narrow" w:cs="Tahoma"/>
          <w:sz w:val="28"/>
          <w:szCs w:val="28"/>
        </w:rPr>
        <w:t xml:space="preserve"> la Nueva EPS</w:t>
      </w:r>
      <w:r w:rsidR="00311A2D">
        <w:rPr>
          <w:rFonts w:ascii="Arial Narrow" w:hAnsi="Arial Narrow" w:cs="Tahoma"/>
          <w:sz w:val="28"/>
          <w:szCs w:val="28"/>
        </w:rPr>
        <w:t xml:space="preserve"> de </w:t>
      </w:r>
      <w:r w:rsidR="006B77D9">
        <w:rPr>
          <w:rFonts w:ascii="Arial Narrow" w:hAnsi="Arial Narrow" w:cs="Tahoma"/>
          <w:sz w:val="28"/>
          <w:szCs w:val="28"/>
        </w:rPr>
        <w:t xml:space="preserve">sus obligaciones </w:t>
      </w:r>
      <w:r w:rsidR="00311A2D">
        <w:rPr>
          <w:rFonts w:ascii="Arial Narrow" w:hAnsi="Arial Narrow" w:cs="Tahoma"/>
          <w:sz w:val="28"/>
          <w:szCs w:val="28"/>
        </w:rPr>
        <w:t xml:space="preserve">como entidad administradora del servicio público de seguridad social en salud, </w:t>
      </w:r>
      <w:r w:rsidR="000E7F93">
        <w:rPr>
          <w:rFonts w:ascii="Arial Narrow" w:hAnsi="Arial Narrow" w:cs="Tahoma"/>
          <w:sz w:val="28"/>
          <w:szCs w:val="28"/>
        </w:rPr>
        <w:t>pues</w:t>
      </w:r>
      <w:r w:rsidR="0097083B">
        <w:rPr>
          <w:rFonts w:ascii="Arial Narrow" w:hAnsi="Arial Narrow" w:cs="Tahoma"/>
          <w:sz w:val="28"/>
          <w:szCs w:val="28"/>
        </w:rPr>
        <w:t xml:space="preserve"> es ella </w:t>
      </w:r>
      <w:r w:rsidR="000E7F93">
        <w:rPr>
          <w:rFonts w:ascii="Arial Narrow" w:hAnsi="Arial Narrow" w:cs="Tahoma"/>
          <w:sz w:val="28"/>
          <w:szCs w:val="28"/>
        </w:rPr>
        <w:t xml:space="preserve">quien está obligada a </w:t>
      </w:r>
      <w:r w:rsidR="00063C69">
        <w:rPr>
          <w:rFonts w:ascii="Arial Narrow" w:hAnsi="Arial Narrow" w:cs="Tahoma"/>
          <w:sz w:val="28"/>
          <w:szCs w:val="28"/>
        </w:rPr>
        <w:t xml:space="preserve">prestar el </w:t>
      </w:r>
      <w:r w:rsidR="0093743F">
        <w:rPr>
          <w:rFonts w:ascii="Arial Narrow" w:hAnsi="Arial Narrow" w:cs="Tahoma"/>
          <w:sz w:val="28"/>
          <w:szCs w:val="28"/>
        </w:rPr>
        <w:t>servicio en condiciones de ef</w:t>
      </w:r>
      <w:r w:rsidR="009507B3">
        <w:rPr>
          <w:rFonts w:ascii="Arial Narrow" w:hAnsi="Arial Narrow" w:cs="Tahoma"/>
          <w:sz w:val="28"/>
          <w:szCs w:val="28"/>
        </w:rPr>
        <w:t>iciencia, calidad y oportunidad a sus afiliados,</w:t>
      </w:r>
      <w:r w:rsidR="0093743F">
        <w:rPr>
          <w:rFonts w:ascii="Arial Narrow" w:hAnsi="Arial Narrow" w:cs="Tahoma"/>
          <w:sz w:val="28"/>
          <w:szCs w:val="28"/>
        </w:rPr>
        <w:t xml:space="preserve"> </w:t>
      </w:r>
      <w:r w:rsidR="000E7F93">
        <w:rPr>
          <w:rFonts w:ascii="Arial Narrow" w:hAnsi="Arial Narrow" w:cs="Tahoma"/>
          <w:sz w:val="28"/>
          <w:szCs w:val="28"/>
        </w:rPr>
        <w:t>sin que le sea d</w:t>
      </w:r>
      <w:r w:rsidR="0093743F">
        <w:rPr>
          <w:rFonts w:ascii="Arial Narrow" w:hAnsi="Arial Narrow" w:cs="Tahoma"/>
          <w:sz w:val="28"/>
          <w:szCs w:val="28"/>
        </w:rPr>
        <w:t xml:space="preserve">able poner trabas o demorar la prestación </w:t>
      </w:r>
      <w:r w:rsidR="00F22F3E">
        <w:rPr>
          <w:rFonts w:ascii="Arial Narrow" w:hAnsi="Arial Narrow" w:cs="Tahoma"/>
          <w:sz w:val="28"/>
          <w:szCs w:val="28"/>
        </w:rPr>
        <w:t xml:space="preserve">y asistencia directa </w:t>
      </w:r>
      <w:r w:rsidR="0093743F">
        <w:rPr>
          <w:rFonts w:ascii="Arial Narrow" w:hAnsi="Arial Narrow" w:cs="Tahoma"/>
          <w:sz w:val="28"/>
          <w:szCs w:val="28"/>
        </w:rPr>
        <w:t xml:space="preserve">de </w:t>
      </w:r>
      <w:r w:rsidR="00311A2D">
        <w:rPr>
          <w:rFonts w:ascii="Arial Narrow" w:hAnsi="Arial Narrow" w:cs="Tahoma"/>
          <w:sz w:val="28"/>
          <w:szCs w:val="28"/>
        </w:rPr>
        <w:t xml:space="preserve">dichos </w:t>
      </w:r>
      <w:r w:rsidR="0093743F">
        <w:rPr>
          <w:rFonts w:ascii="Arial Narrow" w:hAnsi="Arial Narrow" w:cs="Tahoma"/>
          <w:sz w:val="28"/>
          <w:szCs w:val="28"/>
        </w:rPr>
        <w:t>servicios</w:t>
      </w:r>
      <w:r w:rsidR="00BF3797">
        <w:rPr>
          <w:rFonts w:ascii="Arial Narrow" w:hAnsi="Arial Narrow" w:cs="Tahoma"/>
          <w:sz w:val="28"/>
          <w:szCs w:val="28"/>
        </w:rPr>
        <w:t xml:space="preserve">, </w:t>
      </w:r>
      <w:r w:rsidR="00311A2D">
        <w:rPr>
          <w:rFonts w:ascii="Arial Narrow" w:hAnsi="Arial Narrow" w:cs="Tahoma"/>
          <w:sz w:val="28"/>
          <w:szCs w:val="28"/>
        </w:rPr>
        <w:t>a</w:t>
      </w:r>
      <w:r w:rsidR="0028048A">
        <w:rPr>
          <w:rFonts w:ascii="Arial Narrow" w:hAnsi="Arial Narrow" w:cs="Tahoma"/>
          <w:sz w:val="28"/>
          <w:szCs w:val="28"/>
        </w:rPr>
        <w:t xml:space="preserve">nteponiendo </w:t>
      </w:r>
      <w:r w:rsidR="00F22F3E">
        <w:rPr>
          <w:rFonts w:ascii="Arial Narrow" w:hAnsi="Arial Narrow" w:cs="Tahoma"/>
          <w:sz w:val="28"/>
          <w:szCs w:val="28"/>
        </w:rPr>
        <w:t xml:space="preserve">el agotamiento de trámites administrativos que </w:t>
      </w:r>
      <w:r w:rsidR="00B15DA7">
        <w:rPr>
          <w:rFonts w:ascii="Arial Narrow" w:hAnsi="Arial Narrow" w:cs="Tahoma"/>
          <w:sz w:val="28"/>
          <w:szCs w:val="28"/>
        </w:rPr>
        <w:t xml:space="preserve">perpetúan </w:t>
      </w:r>
      <w:r w:rsidR="00D53871">
        <w:rPr>
          <w:rFonts w:ascii="Arial Narrow" w:hAnsi="Arial Narrow" w:cs="Tahoma"/>
          <w:sz w:val="28"/>
          <w:szCs w:val="28"/>
        </w:rPr>
        <w:t xml:space="preserve">a través del tiempo </w:t>
      </w:r>
      <w:r w:rsidR="00D14BDF">
        <w:rPr>
          <w:rFonts w:ascii="Arial Narrow" w:hAnsi="Arial Narrow" w:cs="Tahoma"/>
          <w:sz w:val="28"/>
          <w:szCs w:val="28"/>
        </w:rPr>
        <w:t>la vulneración de los derechos fundamentales tutelados</w:t>
      </w:r>
      <w:r w:rsidR="007A1B74">
        <w:rPr>
          <w:rFonts w:ascii="Arial Narrow" w:hAnsi="Arial Narrow" w:cs="Tahoma"/>
          <w:sz w:val="28"/>
          <w:szCs w:val="28"/>
        </w:rPr>
        <w:t xml:space="preserve"> de sus afiliados</w:t>
      </w:r>
      <w:r w:rsidR="0097083B">
        <w:rPr>
          <w:rFonts w:ascii="Arial Narrow" w:hAnsi="Arial Narrow" w:cs="Tahoma"/>
          <w:sz w:val="28"/>
          <w:szCs w:val="28"/>
        </w:rPr>
        <w:t xml:space="preserve">, pues, </w:t>
      </w:r>
      <w:r w:rsidR="001A4845">
        <w:rPr>
          <w:rFonts w:ascii="Arial Narrow" w:hAnsi="Arial Narrow" w:cs="Tahoma"/>
          <w:sz w:val="28"/>
          <w:szCs w:val="28"/>
        </w:rPr>
        <w:t xml:space="preserve">ella es </w:t>
      </w:r>
      <w:r w:rsidR="007A1B74">
        <w:rPr>
          <w:rFonts w:ascii="Arial Narrow" w:hAnsi="Arial Narrow" w:cs="Tahoma"/>
          <w:sz w:val="28"/>
          <w:szCs w:val="28"/>
        </w:rPr>
        <w:t>el vértice de garantía de salud, al tenor de lo preceptuado en el</w:t>
      </w:r>
      <w:r w:rsidR="003B69B9">
        <w:rPr>
          <w:rFonts w:ascii="Arial Narrow" w:hAnsi="Arial Narrow" w:cs="Tahoma"/>
          <w:sz w:val="28"/>
          <w:szCs w:val="28"/>
        </w:rPr>
        <w:t xml:space="preserve"> artículo </w:t>
      </w:r>
      <w:r w:rsidR="003B69B9">
        <w:rPr>
          <w:rFonts w:ascii="Arial Narrow" w:hAnsi="Arial Narrow" w:cs="Tahoma"/>
          <w:sz w:val="28"/>
          <w:szCs w:val="28"/>
        </w:rPr>
        <w:lastRenderedPageBreak/>
        <w:t xml:space="preserve">177 de la Ley 100/93, al indicar que es su función básica, organizar y garantizar directa o indirectamente, la prestación de los servicios de salud. </w:t>
      </w:r>
    </w:p>
    <w:p w:rsidR="00E40B69" w:rsidRDefault="00A46DF5" w:rsidP="000B791F">
      <w:pPr>
        <w:pStyle w:val="Sinespaciado"/>
        <w:spacing w:line="360" w:lineRule="auto"/>
        <w:ind w:left="131" w:firstLine="577"/>
        <w:jc w:val="both"/>
        <w:rPr>
          <w:rStyle w:val="FontStyle64"/>
          <w:rFonts w:ascii="Arial Narrow" w:hAnsi="Arial Narrow" w:cs="Arial"/>
          <w:sz w:val="28"/>
          <w:szCs w:val="28"/>
        </w:rPr>
      </w:pPr>
      <w:r>
        <w:rPr>
          <w:rFonts w:ascii="Arial Narrow" w:hAnsi="Arial Narrow" w:cs="Tahoma"/>
          <w:sz w:val="28"/>
          <w:szCs w:val="28"/>
        </w:rPr>
        <w:t xml:space="preserve">Acorde con lo expuesto, </w:t>
      </w:r>
      <w:r w:rsidR="00A144C3">
        <w:rPr>
          <w:rFonts w:ascii="Arial Narrow" w:hAnsi="Arial Narrow" w:cs="Tahoma"/>
          <w:sz w:val="28"/>
          <w:szCs w:val="28"/>
        </w:rPr>
        <w:t xml:space="preserve">ante el cumplimiento parcial de la orden de tutela, la Sala modificará el ordinal 2º de la decisión consultada, para indicar que la sanción </w:t>
      </w:r>
      <w:r w:rsidR="00912164">
        <w:rPr>
          <w:rFonts w:ascii="Arial Narrow" w:hAnsi="Arial Narrow" w:cs="Tahoma"/>
          <w:sz w:val="28"/>
          <w:szCs w:val="28"/>
        </w:rPr>
        <w:t>por desacato corresponde a dos (2) días de arresto y multa de dos (2) salarios mínimos legales mensuales vigentes</w:t>
      </w:r>
      <w:r w:rsidR="00960EB5">
        <w:rPr>
          <w:rFonts w:ascii="Arial Narrow" w:hAnsi="Arial Narrow" w:cs="Tahoma"/>
          <w:sz w:val="28"/>
          <w:szCs w:val="28"/>
        </w:rPr>
        <w:t xml:space="preserve">. </w:t>
      </w:r>
    </w:p>
    <w:p w:rsidR="003B69B9" w:rsidRPr="003B69B9" w:rsidRDefault="003B69B9" w:rsidP="003B69B9">
      <w:pPr>
        <w:pStyle w:val="Sinespaciado"/>
      </w:pPr>
    </w:p>
    <w:p w:rsidR="00FF7B1B" w:rsidRPr="005F1C46" w:rsidRDefault="00FF7B1B" w:rsidP="00FF7B1B">
      <w:pPr>
        <w:pStyle w:val="Sinespaciado"/>
        <w:spacing w:line="360" w:lineRule="auto"/>
        <w:ind w:firstLine="709"/>
        <w:jc w:val="both"/>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FF7B1B" w:rsidRPr="00591D00" w:rsidRDefault="00FF7B1B" w:rsidP="00591D00">
      <w:pPr>
        <w:pStyle w:val="Sinespaciado"/>
      </w:pPr>
    </w:p>
    <w:p w:rsidR="00FF7B1B" w:rsidRPr="009A3671" w:rsidRDefault="00FF7B1B" w:rsidP="00FF7B1B">
      <w:pPr>
        <w:pStyle w:val="Sinespaciado"/>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FF7B1B" w:rsidRPr="002F0C25" w:rsidRDefault="00FF7B1B" w:rsidP="00FF7B1B">
      <w:pPr>
        <w:pStyle w:val="Sinespaciado"/>
      </w:pPr>
    </w:p>
    <w:p w:rsidR="007B3EB1" w:rsidRDefault="00FF7B1B" w:rsidP="007B3EB1">
      <w:pPr>
        <w:pStyle w:val="Sinespaciado"/>
        <w:spacing w:line="360" w:lineRule="auto"/>
        <w:ind w:firstLine="600"/>
        <w:jc w:val="both"/>
        <w:rPr>
          <w:rFonts w:ascii="Arial Narrow" w:hAnsi="Arial Narrow" w:cs="Arial"/>
          <w:sz w:val="28"/>
          <w:szCs w:val="28"/>
        </w:rPr>
      </w:pPr>
      <w:r w:rsidRPr="009A3671">
        <w:rPr>
          <w:rFonts w:ascii="Arial Narrow" w:hAnsi="Arial Narrow" w:cs="Tahoma"/>
          <w:i/>
          <w:sz w:val="28"/>
          <w:szCs w:val="28"/>
        </w:rPr>
        <w:tab/>
        <w:t xml:space="preserve">1º. </w:t>
      </w:r>
      <w:r w:rsidR="00960EB5">
        <w:rPr>
          <w:rFonts w:ascii="Arial Narrow" w:hAnsi="Arial Narrow" w:cs="Tahoma"/>
          <w:i/>
          <w:sz w:val="28"/>
          <w:szCs w:val="28"/>
        </w:rPr>
        <w:t xml:space="preserve">Modifica </w:t>
      </w:r>
      <w:r w:rsidR="00960EB5">
        <w:rPr>
          <w:rFonts w:ascii="Arial Narrow" w:hAnsi="Arial Narrow" w:cs="Tahoma"/>
          <w:sz w:val="28"/>
          <w:szCs w:val="28"/>
        </w:rPr>
        <w:t xml:space="preserve">el ordinal 2º de la providencia proferida el 27 de Junio de 2017 por el Juzgado Tercero Laboral del Circuito de Pereira, en el sentido de indicar que la sanción por desacato </w:t>
      </w:r>
      <w:r w:rsidR="007B3EB1">
        <w:rPr>
          <w:rFonts w:ascii="Arial Narrow" w:hAnsi="Arial Narrow" w:cs="Tahoma"/>
          <w:sz w:val="28"/>
          <w:szCs w:val="28"/>
          <w:lang w:val="es-CO"/>
        </w:rPr>
        <w:t xml:space="preserve">a </w:t>
      </w:r>
      <w:r w:rsidR="007B3EB1">
        <w:rPr>
          <w:rFonts w:ascii="Arial Narrow" w:hAnsi="Arial Narrow" w:cs="Arial"/>
          <w:sz w:val="28"/>
          <w:szCs w:val="28"/>
        </w:rPr>
        <w:t xml:space="preserve">María Lorena Serna Montoya y José Fernando Cardona Uribe, en su condición de Gerente del Eje Cafetero y Gerente General de la </w:t>
      </w:r>
      <w:r w:rsidR="00960EB5">
        <w:rPr>
          <w:rFonts w:ascii="Arial Narrow" w:hAnsi="Arial Narrow" w:cs="Arial"/>
          <w:sz w:val="28"/>
          <w:szCs w:val="28"/>
        </w:rPr>
        <w:t xml:space="preserve">Nueva E.P.S. S.A., en su orden, corresponde a dos (2) días de arresta y multa de dos (2) salarios mínimos legales mensuales vigentes. </w:t>
      </w:r>
    </w:p>
    <w:p w:rsidR="00FF7B1B" w:rsidRPr="00960EB5" w:rsidRDefault="00FF7B1B" w:rsidP="00960EB5">
      <w:pPr>
        <w:pStyle w:val="Sinespaciado"/>
      </w:pPr>
    </w:p>
    <w:p w:rsidR="00960EB5" w:rsidRDefault="00FF7B1B" w:rsidP="00FF7B1B">
      <w:pPr>
        <w:pStyle w:val="Textoindependiente"/>
        <w:spacing w:line="360" w:lineRule="auto"/>
        <w:ind w:firstLine="600"/>
        <w:jc w:val="both"/>
        <w:rPr>
          <w:rFonts w:ascii="Arial Narrow" w:hAnsi="Arial Narrow" w:cs="Tahoma"/>
          <w:sz w:val="28"/>
          <w:szCs w:val="28"/>
          <w:lang w:val="es-CO"/>
        </w:rPr>
      </w:pPr>
      <w:r w:rsidRPr="009A3671">
        <w:rPr>
          <w:rFonts w:ascii="Arial Narrow" w:hAnsi="Arial Narrow" w:cs="Tahoma"/>
          <w:sz w:val="28"/>
          <w:szCs w:val="28"/>
        </w:rPr>
        <w:t xml:space="preserve"> </w:t>
      </w:r>
      <w:r w:rsidRPr="009A3671">
        <w:rPr>
          <w:rFonts w:ascii="Arial Narrow" w:hAnsi="Arial Narrow" w:cs="Tahoma"/>
          <w:i/>
          <w:sz w:val="28"/>
          <w:szCs w:val="28"/>
        </w:rPr>
        <w:tab/>
        <w:t>2º.</w:t>
      </w:r>
      <w:r w:rsidRPr="009A3671">
        <w:rPr>
          <w:rFonts w:ascii="Arial Narrow" w:hAnsi="Arial Narrow" w:cs="Tahoma"/>
          <w:sz w:val="28"/>
          <w:szCs w:val="28"/>
        </w:rPr>
        <w:t xml:space="preserve"> </w:t>
      </w:r>
      <w:r w:rsidR="00960EB5" w:rsidRPr="00960EB5">
        <w:rPr>
          <w:rFonts w:ascii="Arial Narrow" w:hAnsi="Arial Narrow" w:cs="Tahoma"/>
          <w:i/>
          <w:sz w:val="28"/>
          <w:szCs w:val="28"/>
          <w:lang w:val="es-CO"/>
        </w:rPr>
        <w:t>Confirma</w:t>
      </w:r>
      <w:r w:rsidR="00960EB5">
        <w:rPr>
          <w:rFonts w:ascii="Arial Narrow" w:hAnsi="Arial Narrow" w:cs="Tahoma"/>
          <w:sz w:val="28"/>
          <w:szCs w:val="28"/>
          <w:lang w:val="es-CO"/>
        </w:rPr>
        <w:t xml:space="preserve"> todo lo demás. </w:t>
      </w:r>
    </w:p>
    <w:p w:rsidR="00FF7B1B" w:rsidRPr="009A3671" w:rsidRDefault="00960EB5" w:rsidP="00960EB5">
      <w:pPr>
        <w:pStyle w:val="Textoindependiente"/>
        <w:spacing w:line="360" w:lineRule="auto"/>
        <w:ind w:left="284" w:firstLine="425"/>
        <w:jc w:val="both"/>
        <w:rPr>
          <w:rFonts w:ascii="Arial Narrow" w:hAnsi="Arial Narrow" w:cs="Tahoma"/>
          <w:sz w:val="28"/>
          <w:szCs w:val="28"/>
        </w:rPr>
      </w:pPr>
      <w:r w:rsidRPr="00960EB5">
        <w:rPr>
          <w:rFonts w:ascii="Arial Narrow" w:hAnsi="Arial Narrow" w:cs="Tahoma"/>
          <w:i/>
          <w:sz w:val="28"/>
          <w:szCs w:val="28"/>
          <w:lang w:val="es-CO"/>
        </w:rPr>
        <w:t xml:space="preserve">3º. </w:t>
      </w:r>
      <w:r w:rsidR="00FF7B1B" w:rsidRPr="009A3671">
        <w:rPr>
          <w:rFonts w:ascii="Arial Narrow" w:hAnsi="Arial Narrow" w:cs="Tahoma"/>
          <w:i/>
          <w:sz w:val="28"/>
          <w:szCs w:val="28"/>
        </w:rPr>
        <w:t>Comunicar</w:t>
      </w:r>
      <w:r w:rsidR="00FF7B1B" w:rsidRPr="009A3671">
        <w:rPr>
          <w:rFonts w:ascii="Arial Narrow" w:hAnsi="Arial Narrow" w:cs="Tahoma"/>
          <w:sz w:val="28"/>
          <w:szCs w:val="28"/>
        </w:rPr>
        <w:t xml:space="preserve"> a los interesados en la forma prevista por el artículo 32 del Decreto 2591 de 1991.</w:t>
      </w:r>
    </w:p>
    <w:p w:rsidR="00FF7B1B" w:rsidRPr="005F1C46" w:rsidRDefault="00FF7B1B" w:rsidP="00FF7B1B">
      <w:pPr>
        <w:pStyle w:val="Sinespaciado"/>
      </w:pPr>
    </w:p>
    <w:p w:rsidR="00FF7B1B" w:rsidRPr="009A3671" w:rsidRDefault="00FF7B1B" w:rsidP="00FF7B1B">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r>
      <w:r w:rsidR="00960EB5">
        <w:rPr>
          <w:rFonts w:ascii="Arial Narrow" w:hAnsi="Arial Narrow" w:cs="Tahoma"/>
          <w:i/>
          <w:sz w:val="28"/>
          <w:szCs w:val="28"/>
        </w:rPr>
        <w:t>4</w:t>
      </w:r>
      <w:r w:rsidRPr="009A3671">
        <w:rPr>
          <w:rFonts w:ascii="Arial Narrow" w:hAnsi="Arial Narrow" w:cs="Tahoma"/>
          <w:i/>
          <w:sz w:val="28"/>
          <w:szCs w:val="28"/>
        </w:rPr>
        <w:t>º. Devolver</w:t>
      </w:r>
      <w:r w:rsidRPr="009A3671">
        <w:rPr>
          <w:rFonts w:ascii="Arial Narrow" w:hAnsi="Arial Narrow" w:cs="Tahoma"/>
          <w:sz w:val="28"/>
          <w:szCs w:val="28"/>
        </w:rPr>
        <w:t xml:space="preserve"> la actuación al despacho de origen para lo de su cargo.</w:t>
      </w:r>
    </w:p>
    <w:p w:rsidR="00FF7B1B" w:rsidRPr="005F1C46" w:rsidRDefault="00FF7B1B" w:rsidP="00FF7B1B">
      <w:pPr>
        <w:pStyle w:val="Sinespaciado"/>
      </w:pPr>
    </w:p>
    <w:p w:rsidR="00FF7B1B" w:rsidRPr="009A3671" w:rsidRDefault="00FF7B1B" w:rsidP="00FF7B1B">
      <w:pPr>
        <w:pStyle w:val="Sinespaciado"/>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FF7B1B" w:rsidRPr="009A3671" w:rsidRDefault="00FF7B1B" w:rsidP="00FF7B1B">
      <w:pPr>
        <w:pStyle w:val="Sinespaciado"/>
        <w:jc w:val="both"/>
        <w:rPr>
          <w:rFonts w:ascii="Arial Narrow" w:hAnsi="Arial Narrow" w:cs="Arial"/>
          <w:sz w:val="28"/>
          <w:szCs w:val="28"/>
        </w:rPr>
      </w:pPr>
    </w:p>
    <w:p w:rsidR="00FF7B1B" w:rsidRDefault="00FF7B1B" w:rsidP="00FF7B1B">
      <w:pPr>
        <w:pStyle w:val="Sinespaciado"/>
        <w:jc w:val="center"/>
        <w:rPr>
          <w:rFonts w:ascii="Arial Narrow" w:hAnsi="Arial Narrow" w:cs="Arial"/>
          <w:sz w:val="28"/>
          <w:szCs w:val="28"/>
        </w:rPr>
      </w:pPr>
    </w:p>
    <w:p w:rsidR="00FF7B1B" w:rsidRPr="009A3671" w:rsidRDefault="00FF7B1B" w:rsidP="00FF7B1B">
      <w:pPr>
        <w:pStyle w:val="Sinespaciado"/>
        <w:jc w:val="center"/>
        <w:rPr>
          <w:rFonts w:ascii="Arial Narrow" w:hAnsi="Arial Narrow" w:cs="Arial"/>
          <w:sz w:val="28"/>
          <w:szCs w:val="28"/>
        </w:rPr>
      </w:pPr>
    </w:p>
    <w:p w:rsidR="00FF7B1B" w:rsidRPr="009A3671" w:rsidRDefault="00FF7B1B" w:rsidP="00FF7B1B">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FF7B1B" w:rsidRPr="009A3671" w:rsidRDefault="00FF7B1B" w:rsidP="00FF7B1B">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FF7B1B" w:rsidRPr="009A3671" w:rsidRDefault="00FF7B1B" w:rsidP="00FF7B1B">
      <w:pPr>
        <w:pStyle w:val="Sinespaciado"/>
        <w:jc w:val="both"/>
        <w:rPr>
          <w:rFonts w:ascii="Arial Narrow" w:hAnsi="Arial Narrow" w:cs="Arial"/>
          <w:sz w:val="28"/>
          <w:szCs w:val="28"/>
        </w:rPr>
      </w:pPr>
    </w:p>
    <w:p w:rsidR="00FF7B1B" w:rsidRPr="009A3671" w:rsidRDefault="00FF7B1B" w:rsidP="00FF7B1B">
      <w:pPr>
        <w:pStyle w:val="Sinespaciado"/>
        <w:jc w:val="both"/>
        <w:rPr>
          <w:rFonts w:ascii="Arial Narrow" w:hAnsi="Arial Narrow" w:cs="Arial"/>
          <w:sz w:val="28"/>
          <w:szCs w:val="28"/>
        </w:rPr>
      </w:pPr>
    </w:p>
    <w:p w:rsidR="00FF7B1B" w:rsidRPr="009A3671" w:rsidRDefault="00FF7B1B" w:rsidP="00FF7B1B">
      <w:pPr>
        <w:pStyle w:val="Sinespaciado"/>
        <w:jc w:val="both"/>
        <w:rPr>
          <w:rFonts w:ascii="Arial Narrow" w:hAnsi="Arial Narrow" w:cs="Arial"/>
          <w:sz w:val="28"/>
          <w:szCs w:val="28"/>
        </w:rPr>
      </w:pPr>
    </w:p>
    <w:p w:rsidR="00FF7B1B" w:rsidRPr="009A3671" w:rsidRDefault="00FF7B1B" w:rsidP="00FF7B1B">
      <w:pPr>
        <w:pStyle w:val="Sinespaciado"/>
        <w:jc w:val="both"/>
        <w:rPr>
          <w:rFonts w:ascii="Arial Narrow" w:hAnsi="Arial Narrow" w:cs="Arial"/>
          <w:sz w:val="28"/>
          <w:szCs w:val="28"/>
        </w:rPr>
      </w:pPr>
    </w:p>
    <w:p w:rsidR="00FF7B1B" w:rsidRPr="009A3671" w:rsidRDefault="00FF7B1B" w:rsidP="00FF7B1B">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FF7B1B" w:rsidRPr="009A3671" w:rsidRDefault="00FF7B1B" w:rsidP="00FF7B1B">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Magistrada</w:t>
      </w:r>
    </w:p>
    <w:p w:rsidR="00FF7B1B" w:rsidRPr="009A3671" w:rsidRDefault="00FF7B1B" w:rsidP="00FF7B1B">
      <w:pPr>
        <w:pStyle w:val="Sinespaciado"/>
        <w:jc w:val="both"/>
        <w:rPr>
          <w:rFonts w:ascii="Arial Narrow" w:hAnsi="Arial Narrow" w:cs="Arial"/>
          <w:sz w:val="28"/>
          <w:szCs w:val="28"/>
        </w:rPr>
      </w:pPr>
    </w:p>
    <w:p w:rsidR="00FF7B1B" w:rsidRPr="009A3671" w:rsidRDefault="00FF7B1B" w:rsidP="00FF7B1B">
      <w:pPr>
        <w:pStyle w:val="Sinespaciado"/>
        <w:jc w:val="both"/>
        <w:rPr>
          <w:rFonts w:ascii="Arial Narrow" w:hAnsi="Arial Narrow" w:cs="Arial"/>
          <w:sz w:val="28"/>
          <w:szCs w:val="28"/>
        </w:rPr>
      </w:pPr>
    </w:p>
    <w:p w:rsidR="00FF7B1B" w:rsidRPr="009A3671" w:rsidRDefault="00FF7B1B" w:rsidP="00FF7B1B">
      <w:pPr>
        <w:pStyle w:val="Sinespaciado"/>
        <w:jc w:val="center"/>
        <w:rPr>
          <w:rFonts w:ascii="Arial Narrow" w:hAnsi="Arial Narrow" w:cs="Arial"/>
          <w:sz w:val="28"/>
          <w:szCs w:val="28"/>
        </w:rPr>
      </w:pPr>
      <w:r w:rsidRPr="009A3671">
        <w:rPr>
          <w:rFonts w:ascii="Arial Narrow" w:hAnsi="Arial Narrow" w:cs="Arial"/>
          <w:sz w:val="28"/>
          <w:szCs w:val="28"/>
        </w:rPr>
        <w:lastRenderedPageBreak/>
        <w:t xml:space="preserve">Alonso Gaviria Ocampo </w:t>
      </w:r>
    </w:p>
    <w:p w:rsidR="00FF7B1B" w:rsidRDefault="00FF7B1B" w:rsidP="00FF7B1B">
      <w:pPr>
        <w:pStyle w:val="Sinespaciado"/>
        <w:jc w:val="center"/>
      </w:pPr>
      <w:r w:rsidRPr="009A3671">
        <w:rPr>
          <w:rFonts w:ascii="Arial Narrow" w:hAnsi="Arial Narrow" w:cs="Arial"/>
          <w:sz w:val="28"/>
          <w:szCs w:val="28"/>
        </w:rPr>
        <w:t>Secretario</w:t>
      </w:r>
    </w:p>
    <w:sectPr w:rsidR="00FF7B1B" w:rsidSect="002F0C25">
      <w:headerReference w:type="even" r:id="rId8"/>
      <w:headerReference w:type="default" r:id="rId9"/>
      <w:footerReference w:type="default" r:id="rId10"/>
      <w:pgSz w:w="12242" w:h="18722" w:code="119"/>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B1" w:rsidRDefault="00FF31B1" w:rsidP="00FF7B1B">
      <w:r>
        <w:separator/>
      </w:r>
    </w:p>
  </w:endnote>
  <w:endnote w:type="continuationSeparator" w:id="0">
    <w:p w:rsidR="00FF31B1" w:rsidRDefault="00FF31B1" w:rsidP="00FF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9B04F1">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124A76">
      <w:rPr>
        <w:rFonts w:ascii="Arial" w:hAnsi="Arial" w:cs="Arial"/>
        <w:noProof/>
        <w:sz w:val="16"/>
        <w:szCs w:val="16"/>
      </w:rPr>
      <w:t>7</w:t>
    </w:r>
    <w:r w:rsidRPr="00557A1C">
      <w:rPr>
        <w:rFonts w:ascii="Arial" w:hAnsi="Arial" w:cs="Arial"/>
        <w:sz w:val="16"/>
        <w:szCs w:val="16"/>
      </w:rPr>
      <w:fldChar w:fldCharType="end"/>
    </w:r>
  </w:p>
  <w:p w:rsidR="004D57AC" w:rsidRDefault="00124A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B1" w:rsidRDefault="00FF31B1" w:rsidP="00FF7B1B">
      <w:r>
        <w:separator/>
      </w:r>
    </w:p>
  </w:footnote>
  <w:footnote w:type="continuationSeparator" w:id="0">
    <w:p w:rsidR="00FF31B1" w:rsidRDefault="00FF31B1" w:rsidP="00FF7B1B">
      <w:r>
        <w:continuationSeparator/>
      </w:r>
    </w:p>
  </w:footnote>
  <w:footnote w:id="1">
    <w:p w:rsidR="00FF7B1B" w:rsidRPr="00E379EE" w:rsidRDefault="00FF7B1B" w:rsidP="00FF7B1B">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9B04F1"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124A76"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9B04F1"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4A76">
      <w:rPr>
        <w:rStyle w:val="Nmerodepgina"/>
        <w:noProof/>
      </w:rPr>
      <w:t>7</w:t>
    </w:r>
    <w:r>
      <w:rPr>
        <w:rStyle w:val="Nmerodepgina"/>
      </w:rPr>
      <w:fldChar w:fldCharType="end"/>
    </w:r>
  </w:p>
  <w:p w:rsidR="00B502FB" w:rsidRDefault="009B04F1" w:rsidP="00B502FB">
    <w:pPr>
      <w:pStyle w:val="Encabezado"/>
      <w:ind w:right="360"/>
      <w:rPr>
        <w:rFonts w:ascii="Arial Narrow" w:hAnsi="Arial Narrow" w:cs="Arial"/>
        <w:sz w:val="16"/>
        <w:szCs w:val="16"/>
        <w:lang w:val="es-CO"/>
      </w:rPr>
    </w:pPr>
    <w:r w:rsidRPr="0064053E">
      <w:rPr>
        <w:rFonts w:ascii="Arial Narrow" w:hAnsi="Arial Narrow" w:cs="Arial"/>
        <w:sz w:val="16"/>
        <w:szCs w:val="16"/>
      </w:rPr>
      <w:t>Radicado No. 66</w:t>
    </w:r>
    <w:r>
      <w:rPr>
        <w:rFonts w:ascii="Arial Narrow" w:hAnsi="Arial Narrow" w:cs="Arial"/>
        <w:sz w:val="16"/>
        <w:szCs w:val="16"/>
        <w:lang w:val="es-CO"/>
      </w:rPr>
      <w:t>001-31-05-00</w:t>
    </w:r>
    <w:r w:rsidR="00FF7B1B">
      <w:rPr>
        <w:rFonts w:ascii="Arial Narrow" w:hAnsi="Arial Narrow" w:cs="Arial"/>
        <w:sz w:val="16"/>
        <w:szCs w:val="16"/>
        <w:lang w:val="es-CO"/>
      </w:rPr>
      <w:t>3-2017-00140-01</w:t>
    </w:r>
  </w:p>
  <w:p w:rsidR="004D57AC" w:rsidRPr="0064053E" w:rsidRDefault="00FF7B1B" w:rsidP="00B502FB">
    <w:pPr>
      <w:pStyle w:val="Encabezado"/>
      <w:ind w:right="360"/>
    </w:pPr>
    <w:r>
      <w:rPr>
        <w:rFonts w:ascii="Arial Narrow" w:hAnsi="Arial Narrow" w:cs="Arial"/>
        <w:sz w:val="16"/>
        <w:szCs w:val="16"/>
        <w:lang w:val="es-ES"/>
      </w:rPr>
      <w:t xml:space="preserve">Martha Lucía Castro Correa en calidad de agente oficiosa de Andres Felipe Rueda Castro vs. Nueva EPS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872EA"/>
    <w:multiLevelType w:val="hybridMultilevel"/>
    <w:tmpl w:val="81923940"/>
    <w:lvl w:ilvl="0" w:tplc="D7A2FE54">
      <w:start w:val="1"/>
      <w:numFmt w:val="lowerRoman"/>
      <w:lvlText w:val="(%1)"/>
      <w:lvlJc w:val="left"/>
      <w:pPr>
        <w:ind w:left="1429" w:hanging="720"/>
      </w:pPr>
      <w:rPr>
        <w:rFonts w:ascii="Arial Narrow" w:hAnsi="Arial Narrow"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1B"/>
    <w:rsid w:val="00063C69"/>
    <w:rsid w:val="000B3944"/>
    <w:rsid w:val="000B5242"/>
    <w:rsid w:val="000B791F"/>
    <w:rsid w:val="000E5D46"/>
    <w:rsid w:val="000E7F93"/>
    <w:rsid w:val="00124A76"/>
    <w:rsid w:val="001273F9"/>
    <w:rsid w:val="001322FF"/>
    <w:rsid w:val="001741E0"/>
    <w:rsid w:val="001A4845"/>
    <w:rsid w:val="002322B9"/>
    <w:rsid w:val="0028048A"/>
    <w:rsid w:val="002C77BA"/>
    <w:rsid w:val="002D5C05"/>
    <w:rsid w:val="002E03D3"/>
    <w:rsid w:val="00311A2D"/>
    <w:rsid w:val="00335877"/>
    <w:rsid w:val="003B69B9"/>
    <w:rsid w:val="00452D58"/>
    <w:rsid w:val="0047497A"/>
    <w:rsid w:val="004B5FF8"/>
    <w:rsid w:val="004C7012"/>
    <w:rsid w:val="004E03B7"/>
    <w:rsid w:val="00507425"/>
    <w:rsid w:val="00557A26"/>
    <w:rsid w:val="00591D00"/>
    <w:rsid w:val="005D1FF1"/>
    <w:rsid w:val="00606DD9"/>
    <w:rsid w:val="00660D67"/>
    <w:rsid w:val="006A78BA"/>
    <w:rsid w:val="006B77D9"/>
    <w:rsid w:val="006D72BF"/>
    <w:rsid w:val="0074250B"/>
    <w:rsid w:val="007823B8"/>
    <w:rsid w:val="00797C73"/>
    <w:rsid w:val="007A1B74"/>
    <w:rsid w:val="007B3EB1"/>
    <w:rsid w:val="007F1FAB"/>
    <w:rsid w:val="00804C07"/>
    <w:rsid w:val="00816075"/>
    <w:rsid w:val="00857DA8"/>
    <w:rsid w:val="008E587F"/>
    <w:rsid w:val="00912164"/>
    <w:rsid w:val="0093743F"/>
    <w:rsid w:val="009507B3"/>
    <w:rsid w:val="00960EB5"/>
    <w:rsid w:val="0097083B"/>
    <w:rsid w:val="009725B4"/>
    <w:rsid w:val="00972AFB"/>
    <w:rsid w:val="009A40F4"/>
    <w:rsid w:val="009A5AA1"/>
    <w:rsid w:val="009A766E"/>
    <w:rsid w:val="009B04F1"/>
    <w:rsid w:val="009E07CC"/>
    <w:rsid w:val="009F1165"/>
    <w:rsid w:val="00A00576"/>
    <w:rsid w:val="00A144C3"/>
    <w:rsid w:val="00A33981"/>
    <w:rsid w:val="00A46DF5"/>
    <w:rsid w:val="00A96383"/>
    <w:rsid w:val="00AB7CBB"/>
    <w:rsid w:val="00AE271E"/>
    <w:rsid w:val="00B15DA7"/>
    <w:rsid w:val="00B3757A"/>
    <w:rsid w:val="00B46EB0"/>
    <w:rsid w:val="00B87455"/>
    <w:rsid w:val="00BA67F6"/>
    <w:rsid w:val="00BE7032"/>
    <w:rsid w:val="00BF3797"/>
    <w:rsid w:val="00C26D58"/>
    <w:rsid w:val="00C35CA1"/>
    <w:rsid w:val="00C36475"/>
    <w:rsid w:val="00CA380B"/>
    <w:rsid w:val="00CA593A"/>
    <w:rsid w:val="00CB441C"/>
    <w:rsid w:val="00D14BDF"/>
    <w:rsid w:val="00D53871"/>
    <w:rsid w:val="00D633A7"/>
    <w:rsid w:val="00D85EEA"/>
    <w:rsid w:val="00DF5B8E"/>
    <w:rsid w:val="00E40B69"/>
    <w:rsid w:val="00E614FC"/>
    <w:rsid w:val="00E75508"/>
    <w:rsid w:val="00E97A24"/>
    <w:rsid w:val="00EA01BB"/>
    <w:rsid w:val="00EA7CE7"/>
    <w:rsid w:val="00EB6AD3"/>
    <w:rsid w:val="00EC701B"/>
    <w:rsid w:val="00F22F3E"/>
    <w:rsid w:val="00FC3E75"/>
    <w:rsid w:val="00FD066E"/>
    <w:rsid w:val="00FF31B1"/>
    <w:rsid w:val="00FF7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5A9FD2-7BDF-41FD-9049-F218E86E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1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F7B1B"/>
    <w:pPr>
      <w:spacing w:after="120"/>
    </w:pPr>
    <w:rPr>
      <w:lang w:val="x-none"/>
    </w:rPr>
  </w:style>
  <w:style w:type="character" w:customStyle="1" w:styleId="TextoindependienteCar">
    <w:name w:val="Texto independiente Car"/>
    <w:basedOn w:val="Fuentedeprrafopredeter"/>
    <w:link w:val="Textoindependiente"/>
    <w:rsid w:val="00FF7B1B"/>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FF7B1B"/>
    <w:pPr>
      <w:tabs>
        <w:tab w:val="center" w:pos="4252"/>
        <w:tab w:val="right" w:pos="8504"/>
      </w:tabs>
    </w:pPr>
    <w:rPr>
      <w:lang w:val="x-none"/>
    </w:rPr>
  </w:style>
  <w:style w:type="character" w:customStyle="1" w:styleId="EncabezadoCar">
    <w:name w:val="Encabezado Car"/>
    <w:basedOn w:val="Fuentedeprrafopredeter"/>
    <w:link w:val="Encabezado"/>
    <w:rsid w:val="00FF7B1B"/>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FF7B1B"/>
    <w:pPr>
      <w:tabs>
        <w:tab w:val="center" w:pos="4252"/>
        <w:tab w:val="right" w:pos="8504"/>
      </w:tabs>
    </w:pPr>
    <w:rPr>
      <w:lang w:val="x-none"/>
    </w:rPr>
  </w:style>
  <w:style w:type="character" w:customStyle="1" w:styleId="PiedepginaCar">
    <w:name w:val="Pie de página Car"/>
    <w:basedOn w:val="Fuentedeprrafopredeter"/>
    <w:link w:val="Piedepgina"/>
    <w:rsid w:val="00FF7B1B"/>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FF7B1B"/>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FF7B1B"/>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FF7B1B"/>
    <w:rPr>
      <w:rFonts w:ascii="Times New Roman" w:eastAsia="Times New Roman" w:hAnsi="Times New Roman" w:cs="Times New Roman"/>
      <w:sz w:val="20"/>
      <w:szCs w:val="20"/>
      <w:lang w:val="x-none" w:eastAsia="x-none"/>
    </w:rPr>
  </w:style>
  <w:style w:type="character" w:styleId="Refdenotaalpie">
    <w:name w:val="footnote reference"/>
    <w:semiHidden/>
    <w:rsid w:val="00FF7B1B"/>
    <w:rPr>
      <w:vertAlign w:val="superscript"/>
    </w:rPr>
  </w:style>
  <w:style w:type="paragraph" w:styleId="Sinespaciado">
    <w:name w:val="No Spacing"/>
    <w:uiPriority w:val="1"/>
    <w:qFormat/>
    <w:rsid w:val="00FF7B1B"/>
    <w:pPr>
      <w:spacing w:after="0" w:line="240" w:lineRule="auto"/>
    </w:pPr>
    <w:rPr>
      <w:rFonts w:ascii="Times New Roman" w:eastAsia="Times New Roman" w:hAnsi="Times New Roman" w:cs="Times New Roman"/>
      <w:sz w:val="24"/>
      <w:szCs w:val="24"/>
      <w:lang w:eastAsia="es-ES"/>
    </w:rPr>
  </w:style>
  <w:style w:type="character" w:customStyle="1" w:styleId="FontStyle64">
    <w:name w:val="Font Style64"/>
    <w:uiPriority w:val="99"/>
    <w:rsid w:val="009507B3"/>
    <w:rPr>
      <w:rFonts w:ascii="Courier New" w:hAnsi="Courier New" w:cs="Courier New"/>
      <w:sz w:val="22"/>
      <w:szCs w:val="22"/>
    </w:rPr>
  </w:style>
  <w:style w:type="paragraph" w:styleId="Prrafodelista">
    <w:name w:val="List Paragraph"/>
    <w:basedOn w:val="Normal"/>
    <w:uiPriority w:val="34"/>
    <w:qFormat/>
    <w:rsid w:val="000B5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2027</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47</cp:revision>
  <dcterms:created xsi:type="dcterms:W3CDTF">2017-07-17T12:56:00Z</dcterms:created>
  <dcterms:modified xsi:type="dcterms:W3CDTF">2017-09-02T17:18:00Z</dcterms:modified>
</cp:coreProperties>
</file>