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4E" w:rsidRPr="00A817A6" w:rsidRDefault="00EB5C4E" w:rsidP="00EB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</w:t>
      </w:r>
      <w:r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ificado en la Secretaría de la respectiva</w:t>
      </w: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 xml:space="preserve">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:rsidR="00EB5C4E" w:rsidRPr="009275F8" w:rsidRDefault="00EB5C4E" w:rsidP="00EB5C4E">
      <w:pPr>
        <w:pStyle w:val="Sinespaciado"/>
        <w:rPr>
          <w:rFonts w:asciiTheme="minorHAnsi" w:hAnsiTheme="minorHAnsi"/>
          <w:sz w:val="18"/>
          <w:szCs w:val="18"/>
        </w:rPr>
      </w:pPr>
    </w:p>
    <w:p w:rsidR="00D974ED" w:rsidRDefault="00D974ED" w:rsidP="00D974ED">
      <w:pPr>
        <w:rPr>
          <w:rFonts w:ascii="Arial Narrow" w:hAnsi="Arial Narrow" w:cs="Arial"/>
          <w:b/>
          <w:i/>
          <w:sz w:val="28"/>
          <w:szCs w:val="28"/>
          <w:u w:val="single"/>
        </w:rPr>
      </w:pPr>
      <w:bookmarkStart w:id="0" w:name="_GoBack"/>
      <w:bookmarkEnd w:id="0"/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Providencia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49465E">
        <w:rPr>
          <w:rFonts w:ascii="Arial Narrow" w:hAnsi="Arial Narrow" w:cs="Arial"/>
          <w:sz w:val="18"/>
          <w:szCs w:val="18"/>
        </w:rPr>
        <w:t>Auto</w:t>
      </w:r>
      <w:r w:rsidRPr="00150432">
        <w:rPr>
          <w:rFonts w:ascii="Arial Narrow" w:hAnsi="Arial Narrow" w:cs="Arial"/>
          <w:sz w:val="18"/>
          <w:szCs w:val="18"/>
        </w:rPr>
        <w:t xml:space="preserve"> de Segunda Instancia, </w:t>
      </w:r>
      <w:r w:rsidR="0049465E">
        <w:rPr>
          <w:rFonts w:ascii="Arial Narrow" w:hAnsi="Arial Narrow" w:cs="Arial"/>
          <w:sz w:val="18"/>
          <w:szCs w:val="18"/>
        </w:rPr>
        <w:t>Jueves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49465E">
        <w:rPr>
          <w:rFonts w:ascii="Arial Narrow" w:hAnsi="Arial Narrow" w:cs="Arial"/>
          <w:sz w:val="18"/>
          <w:szCs w:val="18"/>
        </w:rPr>
        <w:t>31</w:t>
      </w:r>
      <w:r>
        <w:rPr>
          <w:rFonts w:ascii="Arial Narrow" w:hAnsi="Arial Narrow" w:cs="Arial"/>
          <w:sz w:val="18"/>
          <w:szCs w:val="18"/>
        </w:rPr>
        <w:t xml:space="preserve"> de </w:t>
      </w:r>
      <w:r w:rsidR="0049465E">
        <w:rPr>
          <w:rFonts w:ascii="Arial Narrow" w:hAnsi="Arial Narrow" w:cs="Arial"/>
          <w:sz w:val="18"/>
          <w:szCs w:val="18"/>
        </w:rPr>
        <w:t>agosto</w:t>
      </w:r>
      <w:r>
        <w:rPr>
          <w:rFonts w:ascii="Arial Narrow" w:hAnsi="Arial Narrow" w:cs="Arial"/>
          <w:sz w:val="18"/>
          <w:szCs w:val="18"/>
        </w:rPr>
        <w:t xml:space="preserve"> de 2</w:t>
      </w:r>
      <w:r w:rsidR="00434A0E">
        <w:rPr>
          <w:rFonts w:ascii="Arial Narrow" w:hAnsi="Arial Narrow" w:cs="Arial"/>
          <w:sz w:val="18"/>
          <w:szCs w:val="18"/>
        </w:rPr>
        <w:t>017</w:t>
      </w:r>
    </w:p>
    <w:p w:rsidR="00D974ED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66</w:t>
      </w:r>
      <w:r w:rsidR="0049465E">
        <w:rPr>
          <w:rFonts w:ascii="Arial Narrow" w:hAnsi="Arial Narrow" w:cs="Arial"/>
          <w:bCs/>
          <w:sz w:val="18"/>
          <w:szCs w:val="18"/>
        </w:rPr>
        <w:t>170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31-05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00</w:t>
      </w:r>
      <w:r w:rsidR="0049465E">
        <w:rPr>
          <w:rFonts w:ascii="Arial Narrow" w:hAnsi="Arial Narrow" w:cs="Arial"/>
          <w:bCs/>
          <w:sz w:val="18"/>
          <w:szCs w:val="18"/>
        </w:rPr>
        <w:t>1</w:t>
      </w:r>
      <w:r>
        <w:rPr>
          <w:rFonts w:ascii="Arial Narrow" w:hAnsi="Arial Narrow" w:cs="Arial"/>
          <w:bCs/>
          <w:sz w:val="18"/>
          <w:szCs w:val="18"/>
        </w:rPr>
        <w:t>-201</w:t>
      </w:r>
      <w:r w:rsidR="0049465E">
        <w:rPr>
          <w:rFonts w:ascii="Arial Narrow" w:hAnsi="Arial Narrow" w:cs="Arial"/>
          <w:bCs/>
          <w:sz w:val="18"/>
          <w:szCs w:val="18"/>
        </w:rPr>
        <w:t>1</w:t>
      </w:r>
      <w:r>
        <w:rPr>
          <w:rFonts w:ascii="Arial Narrow" w:hAnsi="Arial Narrow" w:cs="Arial"/>
          <w:bCs/>
          <w:sz w:val="18"/>
          <w:szCs w:val="18"/>
        </w:rPr>
        <w:t>-00</w:t>
      </w:r>
      <w:r w:rsidR="0049465E">
        <w:rPr>
          <w:rFonts w:ascii="Arial Narrow" w:hAnsi="Arial Narrow" w:cs="Arial"/>
          <w:bCs/>
          <w:sz w:val="18"/>
          <w:szCs w:val="18"/>
        </w:rPr>
        <w:t>09</w:t>
      </w:r>
      <w:r w:rsidR="002062C8">
        <w:rPr>
          <w:rFonts w:ascii="Arial Narrow" w:hAnsi="Arial Narrow" w:cs="Arial"/>
          <w:bCs/>
          <w:sz w:val="18"/>
          <w:szCs w:val="18"/>
        </w:rPr>
        <w:t>6</w:t>
      </w:r>
      <w:r>
        <w:rPr>
          <w:rFonts w:ascii="Arial Narrow" w:hAnsi="Arial Narrow" w:cs="Arial"/>
          <w:bCs/>
          <w:sz w:val="18"/>
          <w:szCs w:val="18"/>
        </w:rPr>
        <w:t>-01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P</w:t>
      </w:r>
      <w:r w:rsidRPr="00150432">
        <w:rPr>
          <w:rFonts w:ascii="Arial Narrow" w:hAnsi="Arial Narrow" w:cs="Arial"/>
          <w:b/>
          <w:bCs/>
          <w:iCs/>
          <w:sz w:val="18"/>
          <w:szCs w:val="18"/>
        </w:rPr>
        <w:t>roceso</w:t>
      </w:r>
      <w:r w:rsidRPr="00150432">
        <w:rPr>
          <w:rFonts w:ascii="Arial Narrow" w:hAnsi="Arial Narrow" w:cs="Arial"/>
          <w:bCs/>
          <w:iCs/>
          <w:sz w:val="18"/>
          <w:szCs w:val="18"/>
        </w:rPr>
        <w:t>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iCs/>
          <w:sz w:val="18"/>
          <w:szCs w:val="18"/>
        </w:rPr>
        <w:t>Ordinario Laboral</w:t>
      </w:r>
    </w:p>
    <w:p w:rsidR="00D974ED" w:rsidRPr="005148B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150432">
        <w:rPr>
          <w:rFonts w:ascii="Arial Narrow" w:hAnsi="Arial Narrow" w:cs="Arial"/>
          <w:iCs/>
          <w:sz w:val="18"/>
          <w:szCs w:val="18"/>
        </w:rPr>
        <w:t>:</w:t>
      </w:r>
      <w:r w:rsidRPr="00150432">
        <w:rPr>
          <w:rFonts w:ascii="Arial Narrow" w:hAnsi="Arial Narrow" w:cs="Arial"/>
          <w:iCs/>
          <w:sz w:val="18"/>
          <w:szCs w:val="18"/>
        </w:rPr>
        <w:tab/>
      </w:r>
      <w:r w:rsidR="0049465E">
        <w:rPr>
          <w:rFonts w:ascii="Arial Narrow" w:hAnsi="Arial Narrow" w:cs="Arial"/>
          <w:iCs/>
          <w:sz w:val="18"/>
          <w:szCs w:val="18"/>
        </w:rPr>
        <w:t>Adriana Cardona Vargas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Demandado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="0049465E">
        <w:rPr>
          <w:rFonts w:ascii="Arial Narrow" w:hAnsi="Arial Narrow" w:cs="Arial"/>
          <w:bCs/>
          <w:sz w:val="18"/>
          <w:szCs w:val="18"/>
        </w:rPr>
        <w:t>Gloria Inés Parra Rodríguez y otros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Juzgado de origen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E678AF">
        <w:rPr>
          <w:rFonts w:ascii="Arial Narrow" w:hAnsi="Arial Narrow" w:cs="Arial"/>
          <w:sz w:val="18"/>
          <w:szCs w:val="18"/>
        </w:rPr>
        <w:t>Cuarto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150432">
        <w:rPr>
          <w:rFonts w:ascii="Arial Narrow" w:hAnsi="Arial Narrow" w:cs="Arial"/>
          <w:sz w:val="18"/>
          <w:szCs w:val="18"/>
        </w:rPr>
        <w:t xml:space="preserve">Laboral del Circuito de Pereira 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Magistrado Ponente: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Francisco Javier Tamayo Tabares</w:t>
      </w:r>
    </w:p>
    <w:p w:rsidR="00D974ED" w:rsidRPr="00716352" w:rsidRDefault="00D974ED" w:rsidP="00D974ED">
      <w:pPr>
        <w:pStyle w:val="Textoindependiente32"/>
        <w:spacing w:line="24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D974ED" w:rsidRDefault="00D974ED" w:rsidP="00D974ED">
      <w:pPr>
        <w:pStyle w:val="Sinespaciado"/>
        <w:rPr>
          <w:color w:val="FF0000"/>
        </w:rPr>
      </w:pP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TRIBUNAL SUPERIOR DISTRITO JUDICIAL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 xml:space="preserve">SALA </w:t>
      </w:r>
      <w:r w:rsidR="0049465E">
        <w:rPr>
          <w:rFonts w:ascii="Arial Narrow" w:hAnsi="Arial Narrow"/>
          <w:b/>
          <w:sz w:val="28"/>
        </w:rPr>
        <w:t>UNITARIA</w:t>
      </w:r>
      <w:r w:rsidRPr="00222A68">
        <w:rPr>
          <w:rFonts w:ascii="Arial Narrow" w:hAnsi="Arial Narrow"/>
          <w:b/>
          <w:sz w:val="28"/>
        </w:rPr>
        <w:t xml:space="preserve"> DE </w:t>
      </w:r>
      <w:proofErr w:type="spellStart"/>
      <w:r w:rsidRPr="00222A68">
        <w:rPr>
          <w:rFonts w:ascii="Arial Narrow" w:hAnsi="Arial Narrow"/>
          <w:b/>
          <w:sz w:val="28"/>
        </w:rPr>
        <w:t>DECISION</w:t>
      </w:r>
      <w:proofErr w:type="spellEnd"/>
      <w:r w:rsidRPr="00222A68">
        <w:rPr>
          <w:rFonts w:ascii="Arial Narrow" w:hAnsi="Arial Narrow"/>
          <w:b/>
          <w:sz w:val="28"/>
        </w:rPr>
        <w:t xml:space="preserve"> LABORAL 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PEREIRA</w:t>
      </w:r>
      <w:r w:rsidRPr="00222A68">
        <w:rPr>
          <w:rFonts w:ascii="Arial Narrow" w:hAnsi="Arial Narrow"/>
          <w:b/>
          <w:sz w:val="28"/>
        </w:rPr>
        <w:tab/>
        <w:t>RISARALDA</w:t>
      </w:r>
    </w:p>
    <w:p w:rsidR="00222A68" w:rsidRDefault="00222A68" w:rsidP="00D974ED">
      <w:pPr>
        <w:pStyle w:val="Sinespaciado"/>
        <w:rPr>
          <w:color w:val="FF0000"/>
        </w:rPr>
      </w:pPr>
    </w:p>
    <w:p w:rsidR="00222A68" w:rsidRPr="00716352" w:rsidRDefault="00222A68" w:rsidP="00D974ED">
      <w:pPr>
        <w:pStyle w:val="Sinespaciado"/>
        <w:rPr>
          <w:color w:val="FF0000"/>
        </w:rPr>
      </w:pPr>
    </w:p>
    <w:p w:rsidR="00D974ED" w:rsidRPr="00FE4D11" w:rsidRDefault="00FE4D11" w:rsidP="00D974ED">
      <w:pPr>
        <w:spacing w:line="360" w:lineRule="auto"/>
        <w:ind w:firstLine="708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FE4D11">
        <w:rPr>
          <w:rFonts w:ascii="Arial Narrow" w:hAnsi="Arial Narrow" w:cs="Arial"/>
          <w:b/>
          <w:i/>
          <w:sz w:val="28"/>
          <w:szCs w:val="28"/>
        </w:rPr>
        <w:t>OBJETO</w:t>
      </w:r>
    </w:p>
    <w:p w:rsidR="00D974ED" w:rsidRPr="0010719B" w:rsidRDefault="00D974ED" w:rsidP="00D974ED">
      <w:pPr>
        <w:pStyle w:val="Sinespaciado"/>
      </w:pPr>
    </w:p>
    <w:p w:rsidR="004630E9" w:rsidRDefault="004630E9" w:rsidP="00D974ED">
      <w:pPr>
        <w:spacing w:line="360" w:lineRule="auto"/>
        <w:ind w:firstLine="709"/>
        <w:jc w:val="both"/>
        <w:rPr>
          <w:rFonts w:ascii="Arial Narrow" w:eastAsia="Calibri" w:hAnsi="Arial Narrow" w:cs="Arial"/>
          <w:sz w:val="28"/>
          <w:szCs w:val="28"/>
          <w:lang w:val="es-CO" w:eastAsia="en-US"/>
        </w:rPr>
      </w:pP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Sería del caso entrar a estudiar </w:t>
      </w:r>
      <w:r w:rsidR="00E678AF">
        <w:rPr>
          <w:rFonts w:ascii="Arial Narrow" w:eastAsia="Calibri" w:hAnsi="Arial Narrow" w:cs="Arial"/>
          <w:sz w:val="28"/>
          <w:szCs w:val="28"/>
          <w:lang w:val="es-CO" w:eastAsia="en-US"/>
        </w:rPr>
        <w:t>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n el presente asunto, </w:t>
      </w:r>
      <w:r w:rsidR="0049465E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el grado jurisdiccional de consulta de la 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sentencia dictada por el Juzgado Laboral del Circuito de </w:t>
      </w:r>
      <w:r w:rsidR="0049465E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Dosquebradas 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el </w:t>
      </w:r>
      <w:r w:rsidR="00E678AF">
        <w:rPr>
          <w:rFonts w:ascii="Arial Narrow" w:eastAsia="Calibri" w:hAnsi="Arial Narrow" w:cs="Arial"/>
          <w:sz w:val="28"/>
          <w:szCs w:val="28"/>
          <w:lang w:val="es-CO" w:eastAsia="en-US"/>
        </w:rPr>
        <w:t>1</w:t>
      </w:r>
      <w:r w:rsidR="0049465E">
        <w:rPr>
          <w:rFonts w:ascii="Arial Narrow" w:eastAsia="Calibri" w:hAnsi="Arial Narrow" w:cs="Arial"/>
          <w:sz w:val="28"/>
          <w:szCs w:val="28"/>
          <w:lang w:val="es-CO" w:eastAsia="en-US"/>
        </w:rPr>
        <w:t>4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 </w:t>
      </w:r>
      <w:r w:rsidR="0049465E">
        <w:rPr>
          <w:rFonts w:ascii="Arial Narrow" w:eastAsia="Calibri" w:hAnsi="Arial Narrow" w:cs="Arial"/>
          <w:sz w:val="28"/>
          <w:szCs w:val="28"/>
          <w:lang w:val="es-CO" w:eastAsia="en-US"/>
        </w:rPr>
        <w:t>septiembre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del año anterior, sino fuera porque encuentra esta </w:t>
      </w:r>
      <w:r w:rsidR="0049465E">
        <w:rPr>
          <w:rFonts w:ascii="Arial Narrow" w:eastAsia="Calibri" w:hAnsi="Arial Narrow" w:cs="Arial"/>
          <w:sz w:val="28"/>
          <w:szCs w:val="28"/>
          <w:lang w:val="es-CO" w:eastAsia="en-US"/>
        </w:rPr>
        <w:t>S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ala que existe una nulidad </w:t>
      </w:r>
      <w:proofErr w:type="spellStart"/>
      <w:r>
        <w:rPr>
          <w:rFonts w:ascii="Arial Narrow" w:eastAsia="Calibri" w:hAnsi="Arial Narrow" w:cs="Arial"/>
          <w:sz w:val="28"/>
          <w:szCs w:val="28"/>
          <w:lang w:val="es-CO" w:eastAsia="en-US"/>
        </w:rPr>
        <w:t>insaneable</w:t>
      </w:r>
      <w:proofErr w:type="spellEnd"/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en el presente asunto.</w:t>
      </w:r>
    </w:p>
    <w:p w:rsidR="00D974ED" w:rsidRPr="00432996" w:rsidRDefault="00D974ED" w:rsidP="008D1201">
      <w:pPr>
        <w:pStyle w:val="Sinespaciado"/>
        <w:spacing w:line="276" w:lineRule="auto"/>
        <w:rPr>
          <w:lang w:val="es-CO"/>
        </w:rPr>
      </w:pPr>
    </w:p>
    <w:p w:rsidR="00D974ED" w:rsidRPr="00FE4D11" w:rsidRDefault="00432996" w:rsidP="00FE4D11">
      <w:pPr>
        <w:shd w:val="clear" w:color="auto" w:fill="FFFFFF"/>
        <w:spacing w:line="360" w:lineRule="auto"/>
        <w:ind w:firstLine="709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</w:pPr>
      <w:r w:rsidRPr="00FE4D11"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  <w:t>ANTECEDENTES Y CONSIDERACIONES</w:t>
      </w:r>
    </w:p>
    <w:p w:rsidR="00D974ED" w:rsidRPr="00D974ED" w:rsidRDefault="00D974ED" w:rsidP="00D974ED">
      <w:pPr>
        <w:pStyle w:val="Sinespaciado"/>
      </w:pPr>
    </w:p>
    <w:p w:rsidR="00D974ED" w:rsidRPr="004E4669" w:rsidRDefault="00D974ED" w:rsidP="00D974ED">
      <w:pPr>
        <w:pStyle w:val="Sinespaciado"/>
      </w:pPr>
    </w:p>
    <w:p w:rsidR="00B3453F" w:rsidRDefault="00B3453F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Se persigue en este proceso, por parte del demandante, la declaratoria de un </w:t>
      </w:r>
      <w:proofErr w:type="gramStart"/>
      <w:r>
        <w:rPr>
          <w:rFonts w:ascii="Arial Narrow" w:hAnsi="Arial Narrow" w:cs="Tahoma"/>
          <w:bCs/>
          <w:iCs/>
          <w:sz w:val="28"/>
          <w:szCs w:val="28"/>
        </w:rPr>
        <w:t>contrato</w:t>
      </w:r>
      <w:proofErr w:type="gramEnd"/>
      <w:r>
        <w:rPr>
          <w:rFonts w:ascii="Arial Narrow" w:hAnsi="Arial Narrow" w:cs="Tahoma"/>
          <w:bCs/>
          <w:iCs/>
          <w:sz w:val="28"/>
          <w:szCs w:val="28"/>
        </w:rPr>
        <w:t xml:space="preserve"> de trabajo a término indefinido y el reconocimiento de unas prestaciones e indemnizaciones.</w:t>
      </w:r>
    </w:p>
    <w:p w:rsidR="00B3453F" w:rsidRDefault="00B3453F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042C70" w:rsidRDefault="0049465E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Las pretensiones se dirigen contra </w:t>
      </w:r>
      <w:r w:rsidR="0092639C">
        <w:rPr>
          <w:rFonts w:ascii="Arial Narrow" w:hAnsi="Arial Narrow" w:cs="Tahoma"/>
          <w:bCs/>
          <w:iCs/>
          <w:sz w:val="28"/>
          <w:szCs w:val="28"/>
        </w:rPr>
        <w:t>María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Aurora Duque Ocampo y Camilo Duque Ocampo, fallecido este último, por lo </w:t>
      </w:r>
      <w:r w:rsidR="00042C70">
        <w:rPr>
          <w:rFonts w:ascii="Arial Narrow" w:hAnsi="Arial Narrow" w:cs="Tahoma"/>
          <w:bCs/>
          <w:iCs/>
          <w:sz w:val="28"/>
          <w:szCs w:val="28"/>
        </w:rPr>
        <w:t>que se dirige la acción contra su cónyuge supérstite, 4 herederos determinados y los herederos indeterminados de aquel. Uno de los herederos determinados del señor Duque Ocampo –Gabriel Jaime Duque Franco- también falleció, por lo que se dispuso el emplazamiento de los herederos indeterminados de éste.</w:t>
      </w:r>
    </w:p>
    <w:p w:rsidR="0049465E" w:rsidRDefault="0049465E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042C70" w:rsidRDefault="00042C70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  <w:lang w:val="es-CO"/>
        </w:rPr>
      </w:pPr>
      <w:r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Mediante sentencia del 14 de septiembre de 2016, el a-quo desestimó las pretensiones de la demanda. </w:t>
      </w:r>
    </w:p>
    <w:p w:rsidR="00042C70" w:rsidRDefault="00042C70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  <w:lang w:val="es-CO"/>
        </w:rPr>
      </w:pPr>
    </w:p>
    <w:p w:rsidR="00042C70" w:rsidRDefault="00042C70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  <w:lang w:val="es-CO"/>
        </w:rPr>
      </w:pPr>
      <w:r>
        <w:rPr>
          <w:rFonts w:ascii="Arial Narrow" w:hAnsi="Arial Narrow" w:cs="Tahoma"/>
          <w:bCs/>
          <w:iCs/>
          <w:sz w:val="28"/>
          <w:szCs w:val="28"/>
          <w:lang w:val="es-CO"/>
        </w:rPr>
        <w:lastRenderedPageBreak/>
        <w:t xml:space="preserve">Previo a ello, obran tres emplazamientos: el primero de ellos –visible a folio 75- dirigido a los </w:t>
      </w:r>
      <w:r w:rsidR="0092639C">
        <w:rPr>
          <w:rFonts w:ascii="Arial Narrow" w:hAnsi="Arial Narrow" w:cs="Tahoma"/>
          <w:bCs/>
          <w:iCs/>
          <w:sz w:val="28"/>
          <w:szCs w:val="28"/>
          <w:lang w:val="es-CO"/>
        </w:rPr>
        <w:t>herederos</w:t>
      </w:r>
      <w:r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 indeterminados de Camilo Duque Ocampo, el segundo obrante a folio 183, en el que se emplaza a Gabriel Jaime Duque Franco (y otros) y el tercero (</w:t>
      </w:r>
      <w:proofErr w:type="spellStart"/>
      <w:r>
        <w:rPr>
          <w:rFonts w:ascii="Arial Narrow" w:hAnsi="Arial Narrow" w:cs="Tahoma"/>
          <w:bCs/>
          <w:iCs/>
          <w:sz w:val="28"/>
          <w:szCs w:val="28"/>
          <w:lang w:val="es-CO"/>
        </w:rPr>
        <w:t>fl</w:t>
      </w:r>
      <w:proofErr w:type="spellEnd"/>
      <w:r>
        <w:rPr>
          <w:rFonts w:ascii="Arial Narrow" w:hAnsi="Arial Narrow" w:cs="Tahoma"/>
          <w:bCs/>
          <w:iCs/>
          <w:sz w:val="28"/>
          <w:szCs w:val="28"/>
          <w:lang w:val="es-CO"/>
        </w:rPr>
        <w:t>. 194) en el que se emplaza a Gabriel Jaime Duque Franco y herederos indeterminados.</w:t>
      </w:r>
    </w:p>
    <w:p w:rsidR="00042C70" w:rsidRDefault="00042C70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  <w:lang w:val="es-CO"/>
        </w:rPr>
      </w:pPr>
    </w:p>
    <w:p w:rsidR="002E2182" w:rsidRDefault="00042C70" w:rsidP="00647A99">
      <w:pPr>
        <w:spacing w:line="36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Ha dicho esta Sala en reiteradas ocasiones que los emplazamientos que se efectúen en el proceso laboral, deben cumplir con unas formalidades determinadas en el canon 29 del </w:t>
      </w:r>
      <w:proofErr w:type="spellStart"/>
      <w:r>
        <w:rPr>
          <w:rFonts w:ascii="Arial Narrow" w:hAnsi="Arial Narrow" w:cs="Tahoma"/>
          <w:bCs/>
          <w:iCs/>
          <w:sz w:val="28"/>
          <w:szCs w:val="28"/>
          <w:lang w:val="es-CO"/>
        </w:rPr>
        <w:t>CPLSS</w:t>
      </w:r>
      <w:proofErr w:type="spellEnd"/>
      <w:r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 en concordancia con el canon 318 del </w:t>
      </w:r>
      <w:proofErr w:type="spellStart"/>
      <w:r>
        <w:rPr>
          <w:rFonts w:ascii="Arial Narrow" w:hAnsi="Arial Narrow" w:cs="Tahoma"/>
          <w:bCs/>
          <w:iCs/>
          <w:sz w:val="28"/>
          <w:szCs w:val="28"/>
          <w:lang w:val="es-CO"/>
        </w:rPr>
        <w:t>CPC</w:t>
      </w:r>
      <w:proofErr w:type="spellEnd"/>
      <w:r w:rsidR="00647A99"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 (actual artículo 108 del </w:t>
      </w:r>
      <w:proofErr w:type="spellStart"/>
      <w:r w:rsidR="00647A99">
        <w:rPr>
          <w:rFonts w:ascii="Arial Narrow" w:hAnsi="Arial Narrow" w:cs="Tahoma"/>
          <w:bCs/>
          <w:iCs/>
          <w:sz w:val="28"/>
          <w:szCs w:val="28"/>
          <w:lang w:val="es-CO"/>
        </w:rPr>
        <w:t>CGP</w:t>
      </w:r>
      <w:proofErr w:type="spellEnd"/>
      <w:r w:rsidR="00647A99"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), las cuales son: </w:t>
      </w:r>
      <w:r w:rsidR="002E2182" w:rsidRPr="00DF219D">
        <w:rPr>
          <w:rFonts w:ascii="Arial Narrow" w:hAnsi="Arial Narrow" w:cs="Arial"/>
          <w:sz w:val="28"/>
          <w:szCs w:val="28"/>
        </w:rPr>
        <w:t xml:space="preserve">(i) indicar clase de proceso; (ii) partes que se enfrentan; (iii) autoridad judicial requirente; (iv) anunciación de la persona emplazada y (v) la advertencia de </w:t>
      </w:r>
      <w:r w:rsidR="002E2182">
        <w:rPr>
          <w:rFonts w:ascii="Arial Narrow" w:hAnsi="Arial Narrow" w:cs="Arial"/>
          <w:sz w:val="28"/>
          <w:szCs w:val="28"/>
        </w:rPr>
        <w:t>habérsele designado el</w:t>
      </w:r>
      <w:r w:rsidR="002E2182" w:rsidRPr="00DF219D">
        <w:rPr>
          <w:rFonts w:ascii="Arial Narrow" w:hAnsi="Arial Narrow" w:cs="Arial"/>
          <w:sz w:val="28"/>
          <w:szCs w:val="28"/>
        </w:rPr>
        <w:t xml:space="preserve"> un curador.</w:t>
      </w:r>
    </w:p>
    <w:p w:rsidR="00E678AF" w:rsidRPr="00B3453F" w:rsidRDefault="00F20981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 </w:t>
      </w:r>
      <w:r w:rsidR="00B3453F">
        <w:rPr>
          <w:rFonts w:ascii="Arial Narrow" w:hAnsi="Arial Narrow" w:cs="Tahoma"/>
          <w:bCs/>
          <w:iCs/>
          <w:sz w:val="28"/>
          <w:szCs w:val="28"/>
        </w:rPr>
        <w:t xml:space="preserve"> </w:t>
      </w:r>
    </w:p>
    <w:p w:rsidR="001827A1" w:rsidRDefault="00E678AF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Al analizar </w:t>
      </w:r>
      <w:r w:rsidR="00647A99">
        <w:rPr>
          <w:rFonts w:ascii="Arial Narrow" w:hAnsi="Arial Narrow" w:cs="Tahoma"/>
          <w:bCs/>
          <w:iCs/>
          <w:sz w:val="28"/>
          <w:szCs w:val="28"/>
        </w:rPr>
        <w:t xml:space="preserve">los emplazamientos surtidos no </w:t>
      </w:r>
      <w:r w:rsidR="002E2182">
        <w:rPr>
          <w:rFonts w:ascii="Arial Narrow" w:hAnsi="Arial Narrow" w:cs="Tahoma"/>
          <w:bCs/>
          <w:iCs/>
          <w:sz w:val="28"/>
          <w:szCs w:val="28"/>
        </w:rPr>
        <w:t>cumple</w:t>
      </w:r>
      <w:r w:rsidR="00647A99">
        <w:rPr>
          <w:rFonts w:ascii="Arial Narrow" w:hAnsi="Arial Narrow" w:cs="Tahoma"/>
          <w:bCs/>
          <w:iCs/>
          <w:sz w:val="28"/>
          <w:szCs w:val="28"/>
        </w:rPr>
        <w:t>n</w:t>
      </w:r>
      <w:r w:rsidR="002E2182">
        <w:rPr>
          <w:rFonts w:ascii="Arial Narrow" w:hAnsi="Arial Narrow" w:cs="Tahoma"/>
          <w:bCs/>
          <w:iCs/>
          <w:sz w:val="28"/>
          <w:szCs w:val="28"/>
        </w:rPr>
        <w:t xml:space="preserve"> a plenitud con las exigencias que la legislación impone para tal acto, por lo que no existe garantía absoluta del debido proceso y del derecho de contradicción. En efecto, </w:t>
      </w:r>
      <w:r w:rsidR="00647A99">
        <w:rPr>
          <w:rFonts w:ascii="Arial Narrow" w:hAnsi="Arial Narrow" w:cs="Tahoma"/>
          <w:bCs/>
          <w:iCs/>
          <w:sz w:val="28"/>
          <w:szCs w:val="28"/>
        </w:rPr>
        <w:t xml:space="preserve">los edictos visibles a folio 75 y 183 </w:t>
      </w:r>
      <w:r w:rsidR="002E2182">
        <w:rPr>
          <w:rFonts w:ascii="Arial Narrow" w:hAnsi="Arial Narrow" w:cs="Tahoma"/>
          <w:bCs/>
          <w:iCs/>
          <w:sz w:val="28"/>
          <w:szCs w:val="28"/>
        </w:rPr>
        <w:t>de la actuación, insatisface</w:t>
      </w:r>
      <w:r w:rsidR="00647A99">
        <w:rPr>
          <w:rFonts w:ascii="Arial Narrow" w:hAnsi="Arial Narrow" w:cs="Tahoma"/>
          <w:bCs/>
          <w:iCs/>
          <w:sz w:val="28"/>
          <w:szCs w:val="28"/>
        </w:rPr>
        <w:t>n</w:t>
      </w:r>
      <w:r w:rsidR="002E2182">
        <w:rPr>
          <w:rFonts w:ascii="Arial Narrow" w:hAnsi="Arial Narrow" w:cs="Tahoma"/>
          <w:bCs/>
          <w:iCs/>
          <w:sz w:val="28"/>
          <w:szCs w:val="28"/>
        </w:rPr>
        <w:t xml:space="preserve"> la exigencia de señalar las partes que se enfrentan en el presente litigio</w:t>
      </w:r>
      <w:r>
        <w:rPr>
          <w:rFonts w:ascii="Arial Narrow" w:hAnsi="Arial Narrow" w:cs="Tahoma"/>
          <w:bCs/>
          <w:iCs/>
          <w:sz w:val="28"/>
          <w:szCs w:val="28"/>
        </w:rPr>
        <w:t>,</w:t>
      </w:r>
      <w:r w:rsidR="002E2182">
        <w:rPr>
          <w:rFonts w:ascii="Arial Narrow" w:hAnsi="Arial Narrow" w:cs="Tahoma"/>
          <w:bCs/>
          <w:iCs/>
          <w:sz w:val="28"/>
          <w:szCs w:val="28"/>
        </w:rPr>
        <w:t xml:space="preserve"> pues como demandados no aparecen la totalidad de ellos</w:t>
      </w:r>
      <w:r w:rsidR="001827A1">
        <w:rPr>
          <w:rFonts w:ascii="Arial Narrow" w:hAnsi="Arial Narrow" w:cs="Tahoma"/>
          <w:bCs/>
          <w:iCs/>
          <w:sz w:val="28"/>
          <w:szCs w:val="28"/>
        </w:rPr>
        <w:t xml:space="preserve">, </w:t>
      </w:r>
      <w:r w:rsidR="00647A99">
        <w:rPr>
          <w:rFonts w:ascii="Arial Narrow" w:hAnsi="Arial Narrow" w:cs="Tahoma"/>
          <w:bCs/>
          <w:iCs/>
          <w:sz w:val="28"/>
          <w:szCs w:val="28"/>
        </w:rPr>
        <w:t xml:space="preserve">además tampoco se indica que a los emplazados ya se les designó un curador para la </w:t>
      </w:r>
      <w:proofErr w:type="spellStart"/>
      <w:r w:rsidR="00647A99">
        <w:rPr>
          <w:rFonts w:ascii="Arial Narrow" w:hAnsi="Arial Narrow" w:cs="Tahoma"/>
          <w:bCs/>
          <w:iCs/>
          <w:sz w:val="28"/>
          <w:szCs w:val="28"/>
        </w:rPr>
        <w:t>litis</w:t>
      </w:r>
      <w:proofErr w:type="spellEnd"/>
      <w:r w:rsidR="001827A1">
        <w:rPr>
          <w:rFonts w:ascii="Arial Narrow" w:hAnsi="Arial Narrow" w:cs="Tahoma"/>
          <w:bCs/>
          <w:iCs/>
          <w:sz w:val="28"/>
          <w:szCs w:val="28"/>
        </w:rPr>
        <w:t>.</w:t>
      </w:r>
      <w:r w:rsidR="00647A99">
        <w:rPr>
          <w:rFonts w:ascii="Arial Narrow" w:hAnsi="Arial Narrow" w:cs="Tahoma"/>
          <w:bCs/>
          <w:iCs/>
          <w:sz w:val="28"/>
          <w:szCs w:val="28"/>
        </w:rPr>
        <w:t xml:space="preserve"> Además, en cuanto a los emplazados no se observa una clara designación de a quienes se está convocando al proceso por este medio de publicidad. En cuanto al emplazamiento visible a folio 194, se observa que se incurre en las mismas falencias aunque se enuncia la designación de un curador para la Litis.</w:t>
      </w:r>
      <w:r w:rsidR="001827A1">
        <w:rPr>
          <w:rFonts w:ascii="Arial Narrow" w:hAnsi="Arial Narrow" w:cs="Tahoma"/>
          <w:bCs/>
          <w:iCs/>
          <w:sz w:val="28"/>
          <w:szCs w:val="28"/>
        </w:rPr>
        <w:t xml:space="preserve"> Por lo tanto, se observa </w:t>
      </w:r>
      <w:r w:rsidR="0092639C">
        <w:rPr>
          <w:rFonts w:ascii="Arial Narrow" w:hAnsi="Arial Narrow" w:cs="Tahoma"/>
          <w:bCs/>
          <w:iCs/>
          <w:sz w:val="28"/>
          <w:szCs w:val="28"/>
        </w:rPr>
        <w:t>que no están dados los presupuestos necesarios para dictar providencia de fondo, ante la falta del adecuado emplazamiento.</w:t>
      </w:r>
    </w:p>
    <w:p w:rsidR="00432996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1827A1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>Así las cosas, el trámite adelantado en la primera instancia –necesariamente- deberá anularse, a partir de</w:t>
      </w:r>
      <w:r w:rsidR="009C5A4A">
        <w:rPr>
          <w:rFonts w:ascii="Arial Narrow" w:hAnsi="Arial Narrow" w:cs="Tahoma"/>
          <w:bCs/>
          <w:iCs/>
          <w:sz w:val="28"/>
          <w:szCs w:val="28"/>
        </w:rPr>
        <w:t xml:space="preserve"> la providencia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 </w:t>
      </w:r>
      <w:r w:rsidR="0092639C">
        <w:rPr>
          <w:rFonts w:ascii="Arial Narrow" w:hAnsi="Arial Narrow" w:cs="Tahoma"/>
          <w:bCs/>
          <w:iCs/>
          <w:sz w:val="28"/>
          <w:szCs w:val="28"/>
        </w:rPr>
        <w:t xml:space="preserve">del 09 de septiembre de 2016 </w:t>
      </w:r>
      <w:r w:rsidR="009C5A4A">
        <w:rPr>
          <w:rFonts w:ascii="Arial Narrow" w:hAnsi="Arial Narrow" w:cs="Tahoma"/>
          <w:bCs/>
          <w:iCs/>
          <w:sz w:val="28"/>
          <w:szCs w:val="28"/>
        </w:rPr>
        <w:t xml:space="preserve">que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convocó a las partes a la audiencia de </w:t>
      </w:r>
      <w:r w:rsidR="0092639C">
        <w:rPr>
          <w:rFonts w:ascii="Arial Narrow" w:hAnsi="Arial Narrow" w:cs="Tahoma"/>
          <w:bCs/>
          <w:iCs/>
          <w:sz w:val="28"/>
          <w:szCs w:val="28"/>
        </w:rPr>
        <w:t>juzgamiento</w:t>
      </w:r>
      <w:r>
        <w:rPr>
          <w:rFonts w:ascii="Arial Narrow" w:hAnsi="Arial Narrow" w:cs="Tahoma"/>
          <w:bCs/>
          <w:iCs/>
          <w:sz w:val="28"/>
          <w:szCs w:val="28"/>
        </w:rPr>
        <w:t xml:space="preserve">, para en su lugar, </w:t>
      </w:r>
      <w:r w:rsidR="0092639C">
        <w:rPr>
          <w:rFonts w:ascii="Arial Narrow" w:hAnsi="Arial Narrow" w:cs="Tahoma"/>
          <w:bCs/>
          <w:iCs/>
          <w:sz w:val="28"/>
          <w:szCs w:val="28"/>
        </w:rPr>
        <w:t>el</w:t>
      </w:r>
      <w:r w:rsidR="00FE4D11">
        <w:rPr>
          <w:rFonts w:ascii="Arial Narrow" w:hAnsi="Arial Narrow" w:cs="Tahoma"/>
          <w:bCs/>
          <w:iCs/>
          <w:sz w:val="28"/>
          <w:szCs w:val="28"/>
        </w:rPr>
        <w:t xml:space="preserve"> a-quo disponga </w:t>
      </w:r>
      <w:r w:rsidR="0092639C">
        <w:rPr>
          <w:rFonts w:ascii="Arial Narrow" w:hAnsi="Arial Narrow" w:cs="Tahoma"/>
          <w:bCs/>
          <w:iCs/>
          <w:sz w:val="28"/>
          <w:szCs w:val="28"/>
        </w:rPr>
        <w:t xml:space="preserve">que se rehagan los emplazamientos conforme </w:t>
      </w:r>
      <w:r w:rsidR="001827A1">
        <w:rPr>
          <w:rFonts w:ascii="Arial Narrow" w:hAnsi="Arial Narrow" w:cs="Tahoma"/>
          <w:bCs/>
          <w:iCs/>
          <w:sz w:val="28"/>
          <w:szCs w:val="28"/>
        </w:rPr>
        <w:t xml:space="preserve">a los postulados normativos antes anotados, manteniendo vigencia las pruebas practicadas.  </w:t>
      </w:r>
    </w:p>
    <w:p w:rsidR="00D974ED" w:rsidRPr="009D08B0" w:rsidRDefault="00D974ED" w:rsidP="009D08B0">
      <w:pPr>
        <w:pStyle w:val="Sinespaciado"/>
      </w:pPr>
    </w:p>
    <w:p w:rsidR="00D974ED" w:rsidRPr="00C605CD" w:rsidRDefault="00D974ED" w:rsidP="00D974ED">
      <w:pPr>
        <w:pStyle w:val="Textoindependien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C605CD"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D974ED" w:rsidRPr="004B439F" w:rsidRDefault="00D974ED" w:rsidP="00D974ED">
      <w:pPr>
        <w:pStyle w:val="Sinespaciado"/>
      </w:pPr>
    </w:p>
    <w:p w:rsidR="00D974ED" w:rsidRDefault="00D974ED" w:rsidP="00D974ED">
      <w:pPr>
        <w:pStyle w:val="Prrafodelista1"/>
        <w:spacing w:after="0" w:line="360" w:lineRule="auto"/>
        <w:ind w:left="0" w:firstLine="900"/>
        <w:jc w:val="both"/>
        <w:rPr>
          <w:rFonts w:ascii="Arial Narrow" w:hAnsi="Arial Narrow"/>
          <w:sz w:val="28"/>
          <w:szCs w:val="28"/>
        </w:rPr>
      </w:pPr>
      <w:r w:rsidRPr="00C605CD">
        <w:rPr>
          <w:rFonts w:ascii="Arial Narrow" w:hAnsi="Arial Narrow"/>
          <w:sz w:val="28"/>
          <w:szCs w:val="28"/>
        </w:rPr>
        <w:lastRenderedPageBreak/>
        <w:t xml:space="preserve">En mérito de lo expuesto, el H. Tribunal Superior del Distrito Judicial de Pereira - Risaralda, Sala Laboral, </w:t>
      </w:r>
    </w:p>
    <w:p w:rsidR="009D08B0" w:rsidRPr="009D08B0" w:rsidRDefault="009D08B0" w:rsidP="009D08B0">
      <w:pPr>
        <w:pStyle w:val="Sinespaciado"/>
      </w:pPr>
    </w:p>
    <w:p w:rsidR="00D974ED" w:rsidRDefault="00D974ED" w:rsidP="00D974ED">
      <w:pPr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RESUELVE </w:t>
      </w:r>
    </w:p>
    <w:p w:rsidR="00D974ED" w:rsidRPr="00382614" w:rsidRDefault="00D974ED" w:rsidP="00D974ED">
      <w:pPr>
        <w:pStyle w:val="Sinespaciado"/>
      </w:pPr>
    </w:p>
    <w:p w:rsidR="00D974ED" w:rsidRPr="00312C2D" w:rsidRDefault="00D974ED" w:rsidP="009D08B0">
      <w:pPr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/>
          <w:color w:val="FF0000"/>
          <w:sz w:val="28"/>
          <w:szCs w:val="28"/>
          <w:lang w:val="es-ES"/>
        </w:rPr>
      </w:pPr>
      <w:r>
        <w:rPr>
          <w:rFonts w:ascii="Arial Narrow" w:hAnsi="Arial Narrow" w:cs="Tahoma"/>
          <w:i/>
          <w:sz w:val="28"/>
          <w:szCs w:val="28"/>
          <w:lang w:val="es-CO"/>
        </w:rPr>
        <w:t>Dejar sin efecto</w:t>
      </w:r>
      <w:r>
        <w:rPr>
          <w:rFonts w:ascii="Arial Narrow" w:hAnsi="Arial Narrow" w:cs="Tahoma"/>
          <w:sz w:val="28"/>
          <w:szCs w:val="28"/>
          <w:lang w:val="es-CO"/>
        </w:rPr>
        <w:t xml:space="preserve"> el auto 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del </w:t>
      </w:r>
      <w:r w:rsidR="0092639C">
        <w:rPr>
          <w:rFonts w:ascii="Arial Narrow" w:hAnsi="Arial Narrow" w:cs="Tahoma"/>
          <w:sz w:val="28"/>
          <w:szCs w:val="28"/>
          <w:lang w:val="es-CO"/>
        </w:rPr>
        <w:t>28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92639C">
        <w:rPr>
          <w:rFonts w:ascii="Arial Narrow" w:hAnsi="Arial Narrow" w:cs="Tahoma"/>
          <w:sz w:val="28"/>
          <w:szCs w:val="28"/>
          <w:lang w:val="es-CO"/>
        </w:rPr>
        <w:t>octubre</w:t>
      </w:r>
      <w:r w:rsidR="001827A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2016, dictado por el suscrito ponente, </w:t>
      </w:r>
      <w:r>
        <w:rPr>
          <w:rFonts w:ascii="Arial Narrow" w:hAnsi="Arial Narrow" w:cs="Tahoma"/>
          <w:sz w:val="28"/>
          <w:szCs w:val="28"/>
          <w:lang w:val="es-CO"/>
        </w:rPr>
        <w:t xml:space="preserve">por medio cual se </w:t>
      </w:r>
      <w:r w:rsidR="0092639C">
        <w:rPr>
          <w:rFonts w:ascii="Arial Narrow" w:hAnsi="Arial Narrow" w:cs="Tahoma"/>
          <w:sz w:val="28"/>
          <w:szCs w:val="28"/>
          <w:lang w:val="es-CO"/>
        </w:rPr>
        <w:t>dispuso el traslado a las partes del artículo 40 de la Ley 712 de 2001</w:t>
      </w:r>
      <w:r w:rsidR="001827A1">
        <w:rPr>
          <w:rFonts w:ascii="Arial Narrow" w:hAnsi="Arial Narrow" w:cs="Tahoma"/>
          <w:sz w:val="28"/>
          <w:szCs w:val="28"/>
          <w:lang w:val="es-CO"/>
        </w:rPr>
        <w:t>, así como las providencias posteriores</w:t>
      </w:r>
      <w:r>
        <w:rPr>
          <w:rFonts w:ascii="Arial Narrow" w:hAnsi="Arial Narrow" w:cs="Tahoma"/>
          <w:sz w:val="28"/>
          <w:szCs w:val="28"/>
          <w:lang w:val="es-CO"/>
        </w:rPr>
        <w:t xml:space="preserve">. </w:t>
      </w:r>
    </w:p>
    <w:p w:rsidR="00D974ED" w:rsidRPr="00FE4D11" w:rsidRDefault="00D974ED" w:rsidP="009D08B0">
      <w:pPr>
        <w:pStyle w:val="Sinespaciado"/>
        <w:ind w:firstLine="360"/>
        <w:rPr>
          <w:lang w:val="es-ES"/>
        </w:rPr>
      </w:pPr>
    </w:p>
    <w:p w:rsidR="0092639C" w:rsidRPr="0092639C" w:rsidRDefault="00D974ED" w:rsidP="0092639C">
      <w:pPr>
        <w:pStyle w:val="Prrafodelista"/>
        <w:numPr>
          <w:ilvl w:val="0"/>
          <w:numId w:val="2"/>
        </w:numPr>
        <w:spacing w:line="360" w:lineRule="auto"/>
        <w:ind w:left="0" w:firstLine="426"/>
        <w:jc w:val="both"/>
        <w:rPr>
          <w:rFonts w:ascii="Arial Narrow" w:hAnsi="Arial Narrow" w:cs="Tahoma"/>
          <w:bCs/>
          <w:iCs/>
          <w:sz w:val="28"/>
          <w:szCs w:val="28"/>
        </w:rPr>
      </w:pPr>
      <w:r w:rsidRPr="0092639C">
        <w:rPr>
          <w:rFonts w:ascii="Arial Narrow" w:hAnsi="Arial Narrow" w:cs="Tahoma"/>
          <w:i/>
          <w:sz w:val="28"/>
          <w:szCs w:val="28"/>
          <w:lang w:val="es-CO"/>
        </w:rPr>
        <w:t>Declara</w:t>
      </w:r>
      <w:r w:rsidR="00AB7C96" w:rsidRPr="0092639C">
        <w:rPr>
          <w:rFonts w:ascii="Arial Narrow" w:hAnsi="Arial Narrow" w:cs="Tahoma"/>
          <w:i/>
          <w:sz w:val="28"/>
          <w:szCs w:val="28"/>
          <w:lang w:val="es-CO"/>
        </w:rPr>
        <w:t xml:space="preserve"> </w:t>
      </w:r>
      <w:r w:rsidRPr="0092639C">
        <w:rPr>
          <w:rFonts w:ascii="Arial Narrow" w:hAnsi="Arial Narrow" w:cs="Tahoma"/>
          <w:sz w:val="28"/>
          <w:szCs w:val="28"/>
        </w:rPr>
        <w:t xml:space="preserve">la nulidad de lo actuado a partir del momento en que se citó a las partes para llevar a cabo la audiencia </w:t>
      </w:r>
      <w:r w:rsidR="009C5A4A" w:rsidRPr="0092639C">
        <w:rPr>
          <w:rFonts w:ascii="Arial Narrow" w:hAnsi="Arial Narrow" w:cs="Tahoma"/>
          <w:sz w:val="28"/>
          <w:szCs w:val="28"/>
        </w:rPr>
        <w:t>juzgamiento</w:t>
      </w:r>
      <w:r w:rsidR="00795550" w:rsidRPr="0092639C">
        <w:rPr>
          <w:rFonts w:ascii="Arial Narrow" w:hAnsi="Arial Narrow" w:cs="Tahoma"/>
          <w:sz w:val="28"/>
          <w:szCs w:val="28"/>
          <w:lang w:val="es-CO"/>
        </w:rPr>
        <w:t xml:space="preserve">, para que </w:t>
      </w:r>
      <w:r w:rsidR="0092639C" w:rsidRPr="0092639C">
        <w:rPr>
          <w:rFonts w:ascii="Arial Narrow" w:hAnsi="Arial Narrow"/>
          <w:sz w:val="28"/>
          <w:szCs w:val="28"/>
          <w:lang w:val="es-ES"/>
        </w:rPr>
        <w:t>el</w:t>
      </w:r>
      <w:r w:rsidR="004A701A" w:rsidRPr="0092639C">
        <w:rPr>
          <w:rFonts w:ascii="Arial Narrow" w:hAnsi="Arial Narrow"/>
          <w:sz w:val="28"/>
          <w:szCs w:val="28"/>
          <w:lang w:val="es-ES"/>
        </w:rPr>
        <w:t xml:space="preserve"> </w:t>
      </w:r>
      <w:r w:rsidR="0092639C" w:rsidRPr="0092639C">
        <w:rPr>
          <w:rFonts w:ascii="Arial Narrow" w:hAnsi="Arial Narrow"/>
          <w:sz w:val="28"/>
          <w:szCs w:val="28"/>
          <w:lang w:val="es-ES"/>
        </w:rPr>
        <w:t>J</w:t>
      </w:r>
      <w:r w:rsidR="004A701A" w:rsidRPr="0092639C">
        <w:rPr>
          <w:rFonts w:ascii="Arial Narrow" w:hAnsi="Arial Narrow"/>
          <w:sz w:val="28"/>
          <w:szCs w:val="28"/>
          <w:lang w:val="es-ES"/>
        </w:rPr>
        <w:t xml:space="preserve">uez de conocimiento </w:t>
      </w:r>
      <w:r w:rsidR="0092639C" w:rsidRPr="0092639C">
        <w:rPr>
          <w:rFonts w:ascii="Arial Narrow" w:hAnsi="Arial Narrow" w:cs="Tahoma"/>
          <w:bCs/>
          <w:iCs/>
          <w:sz w:val="28"/>
          <w:szCs w:val="28"/>
        </w:rPr>
        <w:t xml:space="preserve">disponga que se rehagan los emplazamientos conforme a los postulados normativos antes anotados, manteniendo vigencia las pruebas practicadas.  </w:t>
      </w:r>
    </w:p>
    <w:p w:rsidR="00D974ED" w:rsidRPr="0092639C" w:rsidRDefault="00D974ED" w:rsidP="0092639C">
      <w:pPr>
        <w:pStyle w:val="Prrafodelista"/>
        <w:suppressAutoHyphens/>
        <w:spacing w:line="360" w:lineRule="auto"/>
        <w:ind w:left="360"/>
        <w:jc w:val="both"/>
        <w:rPr>
          <w:lang w:val="es-ES"/>
        </w:rPr>
      </w:pPr>
    </w:p>
    <w:p w:rsidR="00D974ED" w:rsidRPr="00993D8D" w:rsidRDefault="00D974ED" w:rsidP="009D08B0">
      <w:pPr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 w:cs="Tahoma"/>
          <w:sz w:val="28"/>
          <w:szCs w:val="28"/>
        </w:rPr>
      </w:pPr>
      <w:r w:rsidRPr="00993D8D">
        <w:rPr>
          <w:rFonts w:ascii="Arial Narrow" w:hAnsi="Arial Narrow" w:cs="Tahoma"/>
          <w:sz w:val="28"/>
          <w:szCs w:val="28"/>
        </w:rPr>
        <w:t>Sin costas.</w:t>
      </w:r>
    </w:p>
    <w:p w:rsidR="00D974ED" w:rsidRPr="00172C80" w:rsidRDefault="00D974ED" w:rsidP="00D974ED">
      <w:pPr>
        <w:pStyle w:val="Sinespaciado"/>
      </w:pPr>
    </w:p>
    <w:p w:rsidR="00D974ED" w:rsidRPr="00172C80" w:rsidRDefault="00D974ED" w:rsidP="00D974ED">
      <w:pPr>
        <w:spacing w:line="360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 en estrados.</w:t>
      </w:r>
    </w:p>
    <w:p w:rsidR="00D974ED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FRANCISCO JAVIER TAMAYO TABARES</w:t>
      </w: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Magistrado</w:t>
      </w:r>
    </w:p>
    <w:p w:rsidR="00D974ED" w:rsidRPr="00172C80" w:rsidRDefault="00D974ED" w:rsidP="00D974ED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p w:rsidR="00D974ED" w:rsidRPr="00F6403D" w:rsidRDefault="00D974ED" w:rsidP="00D974ED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p w:rsidR="00D974ED" w:rsidRPr="00F6403D" w:rsidRDefault="00D974ED" w:rsidP="00D974ED">
      <w:pPr>
        <w:spacing w:line="360" w:lineRule="auto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F6403D" w:rsidRDefault="00D974ED" w:rsidP="00D974ED">
      <w:pPr>
        <w:pStyle w:val="Sinespaciado"/>
        <w:jc w:val="center"/>
        <w:rPr>
          <w:rFonts w:ascii="Arial Narrow" w:hAnsi="Arial Narrow"/>
          <w:sz w:val="28"/>
          <w:szCs w:val="28"/>
          <w:lang w:val="es-ES"/>
        </w:rPr>
      </w:pPr>
    </w:p>
    <w:p w:rsidR="0002215F" w:rsidRPr="00DF0BFA" w:rsidRDefault="0002215F" w:rsidP="00EC703D">
      <w:pPr>
        <w:pStyle w:val="Sinespaciado"/>
        <w:jc w:val="center"/>
        <w:rPr>
          <w:color w:val="FF0000"/>
        </w:rPr>
      </w:pPr>
    </w:p>
    <w:sectPr w:rsidR="0002215F" w:rsidRPr="00DF0BFA" w:rsidSect="00E3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8722" w:code="121"/>
      <w:pgMar w:top="1276" w:right="1701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C6" w:rsidRDefault="006C55C6" w:rsidP="00D974ED">
      <w:r>
        <w:separator/>
      </w:r>
    </w:p>
  </w:endnote>
  <w:endnote w:type="continuationSeparator" w:id="0">
    <w:p w:rsidR="006C55C6" w:rsidRDefault="006C55C6" w:rsidP="00D9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 w:rsidP="00E309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307511"/>
      <w:docPartObj>
        <w:docPartGallery w:val="Page Numbers (Bottom of Page)"/>
        <w:docPartUnique/>
      </w:docPartObj>
    </w:sdtPr>
    <w:sdtEndPr/>
    <w:sdtContent>
      <w:p w:rsidR="001827A1" w:rsidRDefault="001827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4E" w:rsidRPr="00EB5C4E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1827A1" w:rsidRDefault="0018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C6" w:rsidRDefault="006C55C6" w:rsidP="00D974ED">
      <w:r>
        <w:separator/>
      </w:r>
    </w:p>
  </w:footnote>
  <w:footnote w:type="continuationSeparator" w:id="0">
    <w:p w:rsidR="006C55C6" w:rsidRDefault="006C55C6" w:rsidP="00D9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</w:p>
  <w:p w:rsidR="001827A1" w:rsidRPr="00D058DE" w:rsidRDefault="001827A1" w:rsidP="00E309F9">
    <w:pPr>
      <w:pStyle w:val="Ttulo2"/>
      <w:tabs>
        <w:tab w:val="right" w:pos="8931"/>
      </w:tabs>
      <w:ind w:right="-92"/>
      <w:rPr>
        <w:rFonts w:ascii="Arial Narrow" w:hAnsi="Arial Narrow" w:cs="Arial"/>
        <w:bCs/>
        <w:sz w:val="16"/>
        <w:szCs w:val="16"/>
      </w:rPr>
    </w:pPr>
    <w:r w:rsidRPr="00D058DE">
      <w:rPr>
        <w:rFonts w:ascii="Arial Narrow" w:hAnsi="Arial Narrow" w:cs="Arial"/>
        <w:sz w:val="16"/>
        <w:szCs w:val="16"/>
      </w:rPr>
      <w:t xml:space="preserve">Radicación No. </w:t>
    </w:r>
    <w:r>
      <w:rPr>
        <w:rFonts w:ascii="Arial Narrow" w:hAnsi="Arial Narrow" w:cs="Arial"/>
        <w:bCs/>
        <w:sz w:val="16"/>
        <w:szCs w:val="16"/>
      </w:rPr>
      <w:t>66</w:t>
    </w:r>
    <w:r w:rsidR="0049465E">
      <w:rPr>
        <w:rFonts w:ascii="Arial Narrow" w:hAnsi="Arial Narrow" w:cs="Arial"/>
        <w:bCs/>
        <w:sz w:val="16"/>
        <w:szCs w:val="16"/>
      </w:rPr>
      <w:t>170</w:t>
    </w:r>
    <w:r>
      <w:rPr>
        <w:rFonts w:ascii="Arial Narrow" w:hAnsi="Arial Narrow" w:cs="Arial"/>
        <w:bCs/>
        <w:sz w:val="16"/>
        <w:szCs w:val="16"/>
      </w:rPr>
      <w:t>-</w:t>
    </w:r>
    <w:r w:rsidRPr="00D058DE">
      <w:rPr>
        <w:rFonts w:ascii="Arial Narrow" w:hAnsi="Arial Narrow" w:cs="Arial"/>
        <w:bCs/>
        <w:sz w:val="16"/>
        <w:szCs w:val="16"/>
      </w:rPr>
      <w:t>31-05–00</w:t>
    </w:r>
    <w:r w:rsidR="0049465E">
      <w:rPr>
        <w:rFonts w:ascii="Arial Narrow" w:hAnsi="Arial Narrow" w:cs="Arial"/>
        <w:bCs/>
        <w:sz w:val="16"/>
        <w:szCs w:val="16"/>
      </w:rPr>
      <w:t>1</w:t>
    </w:r>
    <w:r>
      <w:rPr>
        <w:rFonts w:ascii="Arial Narrow" w:hAnsi="Arial Narrow" w:cs="Arial"/>
        <w:bCs/>
        <w:sz w:val="16"/>
        <w:szCs w:val="16"/>
      </w:rPr>
      <w:t>-201</w:t>
    </w:r>
    <w:r w:rsidR="0049465E">
      <w:rPr>
        <w:rFonts w:ascii="Arial Narrow" w:hAnsi="Arial Narrow" w:cs="Arial"/>
        <w:bCs/>
        <w:sz w:val="16"/>
        <w:szCs w:val="16"/>
      </w:rPr>
      <w:t>1</w:t>
    </w:r>
    <w:r>
      <w:rPr>
        <w:rFonts w:ascii="Arial Narrow" w:hAnsi="Arial Narrow" w:cs="Arial"/>
        <w:bCs/>
        <w:sz w:val="16"/>
        <w:szCs w:val="16"/>
      </w:rPr>
      <w:t>-00</w:t>
    </w:r>
    <w:r w:rsidR="0049465E">
      <w:rPr>
        <w:rFonts w:ascii="Arial Narrow" w:hAnsi="Arial Narrow" w:cs="Arial"/>
        <w:bCs/>
        <w:sz w:val="16"/>
        <w:szCs w:val="16"/>
      </w:rPr>
      <w:t>09</w:t>
    </w:r>
    <w:r w:rsidR="002062C8">
      <w:rPr>
        <w:rFonts w:ascii="Arial Narrow" w:hAnsi="Arial Narrow" w:cs="Arial"/>
        <w:bCs/>
        <w:sz w:val="16"/>
        <w:szCs w:val="16"/>
      </w:rPr>
      <w:t>6</w:t>
    </w:r>
    <w:r>
      <w:rPr>
        <w:rFonts w:ascii="Arial Narrow" w:hAnsi="Arial Narrow" w:cs="Arial"/>
        <w:bCs/>
        <w:sz w:val="16"/>
        <w:szCs w:val="16"/>
      </w:rPr>
      <w:t>-01</w:t>
    </w:r>
  </w:p>
  <w:p w:rsidR="001827A1" w:rsidRPr="00D058DE" w:rsidRDefault="001827A1" w:rsidP="00E309F9">
    <w:pPr>
      <w:pStyle w:val="Piedepgina"/>
      <w:framePr w:wrap="auto" w:vAnchor="page" w:hAnchor="page" w:x="1699" w:y="1126"/>
      <w:ind w:right="360"/>
    </w:pPr>
  </w:p>
  <w:p w:rsidR="001827A1" w:rsidRPr="00D058DE" w:rsidRDefault="0049465E" w:rsidP="00E309F9">
    <w:pPr>
      <w:rPr>
        <w:rFonts w:ascii="Arial Narrow" w:hAnsi="Arial Narrow" w:cs="Arial"/>
        <w:sz w:val="16"/>
        <w:szCs w:val="16"/>
        <w:lang w:val="es-ES"/>
      </w:rPr>
    </w:pPr>
    <w:r>
      <w:rPr>
        <w:rFonts w:ascii="Arial Narrow" w:hAnsi="Arial Narrow" w:cs="Arial"/>
        <w:sz w:val="16"/>
        <w:szCs w:val="16"/>
        <w:lang w:val="es-ES"/>
      </w:rPr>
      <w:t>Adriana Cardona Vargas</w:t>
    </w:r>
    <w:r w:rsidR="001827A1">
      <w:rPr>
        <w:rFonts w:ascii="Arial Narrow" w:hAnsi="Arial Narrow" w:cs="Arial"/>
        <w:sz w:val="16"/>
        <w:szCs w:val="16"/>
        <w:lang w:val="es-ES"/>
      </w:rPr>
      <w:t xml:space="preserve"> Vs </w:t>
    </w:r>
    <w:r>
      <w:rPr>
        <w:rFonts w:ascii="Arial Narrow" w:hAnsi="Arial Narrow" w:cs="Arial"/>
        <w:sz w:val="16"/>
        <w:szCs w:val="16"/>
        <w:lang w:val="es-ES"/>
      </w:rPr>
      <w:t>Gloria Inés Parra Rodriguez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Pr="006258A8" w:rsidRDefault="001827A1" w:rsidP="00E309F9">
    <w:pPr>
      <w:pStyle w:val="Encabezado"/>
      <w:ind w:right="-59"/>
      <w:rPr>
        <w:rFonts w:ascii="Arial" w:hAnsi="Arial" w:cs="Arial"/>
        <w:i/>
      </w:rPr>
    </w:pPr>
    <w:r w:rsidRPr="006258A8">
      <w:rPr>
        <w:rFonts w:ascii="Arial" w:hAnsi="Arial" w:cs="Arial"/>
        <w:i/>
      </w:rPr>
      <w:t>Radicación No. 66001-31-05-002-2010-00758-01</w:t>
    </w:r>
  </w:p>
  <w:p w:rsidR="001827A1" w:rsidRPr="007D6B28" w:rsidRDefault="001827A1" w:rsidP="00E30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077"/>
    <w:multiLevelType w:val="hybridMultilevel"/>
    <w:tmpl w:val="176CCD84"/>
    <w:lvl w:ilvl="0" w:tplc="B96839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3DA"/>
    <w:multiLevelType w:val="multilevel"/>
    <w:tmpl w:val="2AD0B8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ED"/>
    <w:rsid w:val="0002215F"/>
    <w:rsid w:val="00042C70"/>
    <w:rsid w:val="00047297"/>
    <w:rsid w:val="000D75DE"/>
    <w:rsid w:val="000E45B1"/>
    <w:rsid w:val="000F3E7B"/>
    <w:rsid w:val="0013794D"/>
    <w:rsid w:val="001827A1"/>
    <w:rsid w:val="00195893"/>
    <w:rsid w:val="001E4DBE"/>
    <w:rsid w:val="002062C8"/>
    <w:rsid w:val="00221EF1"/>
    <w:rsid w:val="00222A68"/>
    <w:rsid w:val="002323F5"/>
    <w:rsid w:val="002E2182"/>
    <w:rsid w:val="00384BA7"/>
    <w:rsid w:val="00421482"/>
    <w:rsid w:val="00432996"/>
    <w:rsid w:val="00434A0E"/>
    <w:rsid w:val="00441C9C"/>
    <w:rsid w:val="004630E9"/>
    <w:rsid w:val="0049465E"/>
    <w:rsid w:val="004A0C0D"/>
    <w:rsid w:val="004A701A"/>
    <w:rsid w:val="005148B2"/>
    <w:rsid w:val="005D5759"/>
    <w:rsid w:val="005E1219"/>
    <w:rsid w:val="00603BD6"/>
    <w:rsid w:val="00647A99"/>
    <w:rsid w:val="006C55C6"/>
    <w:rsid w:val="006E213D"/>
    <w:rsid w:val="00702B29"/>
    <w:rsid w:val="007735FD"/>
    <w:rsid w:val="00795550"/>
    <w:rsid w:val="008D1201"/>
    <w:rsid w:val="008D4D9E"/>
    <w:rsid w:val="008E450D"/>
    <w:rsid w:val="0092639C"/>
    <w:rsid w:val="009B2181"/>
    <w:rsid w:val="009C5A4A"/>
    <w:rsid w:val="009D08B0"/>
    <w:rsid w:val="009E778D"/>
    <w:rsid w:val="00AB7C96"/>
    <w:rsid w:val="00B3342A"/>
    <w:rsid w:val="00B3453F"/>
    <w:rsid w:val="00C457F7"/>
    <w:rsid w:val="00C56C9A"/>
    <w:rsid w:val="00D07BBD"/>
    <w:rsid w:val="00D974ED"/>
    <w:rsid w:val="00DC1775"/>
    <w:rsid w:val="00DD1BB9"/>
    <w:rsid w:val="00DD7BAA"/>
    <w:rsid w:val="00DF0BFA"/>
    <w:rsid w:val="00DF59AA"/>
    <w:rsid w:val="00E309F9"/>
    <w:rsid w:val="00E54701"/>
    <w:rsid w:val="00E678AF"/>
    <w:rsid w:val="00EB5C4E"/>
    <w:rsid w:val="00EC703D"/>
    <w:rsid w:val="00F20981"/>
    <w:rsid w:val="00F6403D"/>
    <w:rsid w:val="00FE4D11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CC1933-8619-4AD1-9A32-00253FD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2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974ED"/>
    <w:pPr>
      <w:keepNext/>
      <w:widowControl w:val="0"/>
      <w:outlineLvl w:val="1"/>
    </w:pPr>
    <w:rPr>
      <w:rFonts w:ascii="Bookman Old Style" w:hAnsi="Bookman Old Styl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74ED"/>
    <w:rPr>
      <w:rFonts w:ascii="Bookman Old Style" w:eastAsia="Times New Roman" w:hAnsi="Bookman Old Style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974ED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974ED"/>
  </w:style>
  <w:style w:type="paragraph" w:styleId="Piedepgina">
    <w:name w:val="footer"/>
    <w:basedOn w:val="Normal"/>
    <w:link w:val="PiedepginaCar"/>
    <w:uiPriority w:val="99"/>
    <w:rsid w:val="00D974ED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D97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74ED"/>
    <w:pPr>
      <w:ind w:left="720"/>
      <w:contextualSpacing/>
    </w:pPr>
  </w:style>
  <w:style w:type="paragraph" w:customStyle="1" w:styleId="Textoindependiente32">
    <w:name w:val="Texto independiente 32"/>
    <w:basedOn w:val="Normal"/>
    <w:rsid w:val="00D974E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D974ED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974ED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974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8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8B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2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Lista2">
    <w:name w:val="List 2"/>
    <w:basedOn w:val="Normal"/>
    <w:uiPriority w:val="99"/>
    <w:unhideWhenUsed/>
    <w:rsid w:val="00222A68"/>
    <w:pPr>
      <w:ind w:left="566" w:hanging="283"/>
      <w:contextualSpacing/>
    </w:pPr>
  </w:style>
  <w:style w:type="paragraph" w:customStyle="1" w:styleId="Instruccionesenvocorreo">
    <w:name w:val="Instrucciones envío correo"/>
    <w:basedOn w:val="Normal"/>
    <w:rsid w:val="00222A6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22A68"/>
    <w:pPr>
      <w:ind w:firstLine="36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2A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22A6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EB5C4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juliaabogada2013</dc:creator>
  <cp:lastModifiedBy>Henry Lora Rodriguez</cp:lastModifiedBy>
  <cp:revision>4</cp:revision>
  <cp:lastPrinted>2017-08-30T16:27:00Z</cp:lastPrinted>
  <dcterms:created xsi:type="dcterms:W3CDTF">2017-08-30T15:47:00Z</dcterms:created>
  <dcterms:modified xsi:type="dcterms:W3CDTF">2017-10-09T15:02:00Z</dcterms:modified>
</cp:coreProperties>
</file>