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A9" w:rsidRPr="00A817A6" w:rsidRDefault="006C0CA9" w:rsidP="006C0CA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6C0CA9" w:rsidRPr="009275F8" w:rsidRDefault="006C0CA9" w:rsidP="006C0CA9">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61517B">
        <w:rPr>
          <w:rFonts w:ascii="Arial Narrow" w:hAnsi="Arial Narrow" w:cs="Arial"/>
          <w:i/>
          <w:sz w:val="20"/>
        </w:rPr>
        <w:t>10</w:t>
      </w:r>
      <w:r w:rsidR="00FF75A4">
        <w:rPr>
          <w:rFonts w:ascii="Arial Narrow" w:hAnsi="Arial Narrow" w:cs="Arial"/>
          <w:i/>
          <w:sz w:val="20"/>
        </w:rPr>
        <w:t xml:space="preserve"> de </w:t>
      </w:r>
      <w:r w:rsidR="0061517B">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61517B">
        <w:rPr>
          <w:rFonts w:ascii="Arial Narrow" w:hAnsi="Arial Narrow" w:cs="Arial"/>
          <w:bCs/>
          <w:i/>
          <w:sz w:val="20"/>
        </w:rPr>
        <w:t>4</w:t>
      </w:r>
      <w:r>
        <w:rPr>
          <w:rFonts w:ascii="Arial Narrow" w:hAnsi="Arial Narrow" w:cs="Arial"/>
          <w:bCs/>
          <w:i/>
          <w:sz w:val="20"/>
        </w:rPr>
        <w:t>-201</w:t>
      </w:r>
      <w:r w:rsidR="0061517B">
        <w:rPr>
          <w:rFonts w:ascii="Arial Narrow" w:hAnsi="Arial Narrow" w:cs="Arial"/>
          <w:bCs/>
          <w:i/>
          <w:sz w:val="20"/>
        </w:rPr>
        <w:t>6</w:t>
      </w:r>
      <w:r>
        <w:rPr>
          <w:rFonts w:ascii="Arial Narrow" w:hAnsi="Arial Narrow" w:cs="Arial"/>
          <w:bCs/>
          <w:i/>
          <w:sz w:val="20"/>
        </w:rPr>
        <w:t>-00</w:t>
      </w:r>
      <w:r w:rsidR="0061517B">
        <w:rPr>
          <w:rFonts w:ascii="Arial Narrow" w:hAnsi="Arial Narrow" w:cs="Arial"/>
          <w:bCs/>
          <w:i/>
          <w:sz w:val="20"/>
        </w:rPr>
        <w:t>039</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61517B">
        <w:rPr>
          <w:rFonts w:ascii="Arial Narrow" w:hAnsi="Arial Narrow" w:cs="Arial"/>
          <w:i/>
          <w:iCs/>
          <w:sz w:val="20"/>
        </w:rPr>
        <w:t>Inés Barrios Buitrago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A20DD9">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61517B">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342568"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342568">
        <w:rPr>
          <w:rFonts w:ascii="Arial Narrow" w:hAnsi="Arial Narrow" w:cs="Tahoma"/>
          <w:b/>
          <w:bCs/>
          <w:i/>
          <w:sz w:val="20"/>
          <w:szCs w:val="18"/>
        </w:rPr>
        <w:t xml:space="preserve">Pensión de sobrevivientes. Carga probatoria. </w:t>
      </w:r>
      <w:r w:rsidR="00342568" w:rsidRPr="00342568">
        <w:rPr>
          <w:rFonts w:ascii="Arial Narrow" w:hAnsi="Arial Narrow" w:cs="Tahoma"/>
          <w:bCs/>
          <w:i/>
          <w:sz w:val="20"/>
          <w:szCs w:val="18"/>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F52C50">
        <w:rPr>
          <w:rFonts w:ascii="Arial Narrow" w:eastAsia="Calibri" w:hAnsi="Arial Narrow" w:cs="Arial"/>
          <w:sz w:val="28"/>
          <w:szCs w:val="28"/>
          <w:lang w:val="es-CO" w:eastAsia="en-US"/>
        </w:rPr>
        <w:t>die</w:t>
      </w:r>
      <w:r w:rsidR="0061517B">
        <w:rPr>
          <w:rFonts w:ascii="Arial Narrow" w:eastAsia="Calibri" w:hAnsi="Arial Narrow" w:cs="Arial"/>
          <w:sz w:val="28"/>
          <w:szCs w:val="28"/>
          <w:lang w:val="es-CO" w:eastAsia="en-US"/>
        </w:rPr>
        <w:t>z</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61517B">
        <w:rPr>
          <w:rFonts w:ascii="Arial Narrow" w:eastAsia="Calibri" w:hAnsi="Arial Narrow" w:cs="Arial"/>
          <w:sz w:val="28"/>
          <w:szCs w:val="28"/>
          <w:lang w:val="es-CO" w:eastAsia="en-US"/>
        </w:rPr>
        <w:t>agosto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F3E23">
        <w:rPr>
          <w:rFonts w:ascii="Arial Narrow" w:eastAsia="Calibri" w:hAnsi="Arial Narrow" w:cs="Arial"/>
          <w:sz w:val="28"/>
          <w:szCs w:val="28"/>
          <w:lang w:val="es-CO" w:eastAsia="en-US"/>
        </w:rPr>
        <w:t>siete</w:t>
      </w:r>
      <w:r w:rsidR="00F52C50">
        <w:rPr>
          <w:rFonts w:ascii="Arial Narrow" w:eastAsia="Calibri" w:hAnsi="Arial Narrow" w:cs="Arial"/>
          <w:sz w:val="28"/>
          <w:szCs w:val="28"/>
          <w:lang w:val="es-CO" w:eastAsia="en-US"/>
        </w:rPr>
        <w:t xml:space="preserve"> y treinta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F3E23">
        <w:rPr>
          <w:rFonts w:ascii="Arial Narrow" w:eastAsia="Calibri" w:hAnsi="Arial Narrow" w:cs="Arial"/>
          <w:sz w:val="28"/>
          <w:szCs w:val="28"/>
          <w:lang w:val="es-CO" w:eastAsia="en-US"/>
        </w:rPr>
        <w:t>07</w:t>
      </w:r>
      <w:r w:rsidR="00181D67" w:rsidRPr="00D30FA7">
        <w:rPr>
          <w:rFonts w:ascii="Arial Narrow" w:eastAsia="Calibri" w:hAnsi="Arial Narrow" w:cs="Arial"/>
          <w:sz w:val="28"/>
          <w:szCs w:val="28"/>
          <w:lang w:val="es-CO" w:eastAsia="en-US"/>
        </w:rPr>
        <w:t>:</w:t>
      </w:r>
      <w:r w:rsidR="00F52C50">
        <w:rPr>
          <w:rFonts w:ascii="Arial Narrow" w:eastAsia="Calibri" w:hAnsi="Arial Narrow" w:cs="Arial"/>
          <w:sz w:val="28"/>
          <w:szCs w:val="28"/>
          <w:lang w:val="es-CO" w:eastAsia="en-US"/>
        </w:rPr>
        <w:t>3</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6F3E23">
        <w:rPr>
          <w:rFonts w:ascii="Arial Narrow" w:hAnsi="Arial Narrow" w:cs="Tahoma"/>
          <w:bCs/>
          <w:color w:val="000000"/>
          <w:sz w:val="28"/>
          <w:szCs w:val="28"/>
          <w:lang w:eastAsia="es-CO"/>
        </w:rPr>
        <w:t>de</w:t>
      </w:r>
      <w:r w:rsidR="00A20DD9">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6F3E23">
        <w:rPr>
          <w:rFonts w:ascii="Arial Narrow" w:hAnsi="Arial Narrow" w:cs="Tahoma"/>
          <w:bCs/>
          <w:color w:val="000000"/>
          <w:sz w:val="28"/>
          <w:szCs w:val="28"/>
          <w:lang w:eastAsia="es-CO"/>
        </w:rPr>
        <w:t>24</w:t>
      </w:r>
      <w:r w:rsidR="009C6364">
        <w:rPr>
          <w:rFonts w:ascii="Arial Narrow" w:hAnsi="Arial Narrow" w:cs="Tahoma"/>
          <w:bCs/>
          <w:color w:val="000000"/>
          <w:sz w:val="28"/>
          <w:szCs w:val="28"/>
          <w:lang w:eastAsia="es-CO"/>
        </w:rPr>
        <w:t xml:space="preserve"> de </w:t>
      </w:r>
      <w:r w:rsidR="006F3E23">
        <w:rPr>
          <w:rFonts w:ascii="Arial Narrow" w:hAnsi="Arial Narrow" w:cs="Tahoma"/>
          <w:bCs/>
          <w:color w:val="000000"/>
          <w:sz w:val="28"/>
          <w:szCs w:val="28"/>
          <w:lang w:eastAsia="es-CO"/>
        </w:rPr>
        <w:t>agosto</w:t>
      </w:r>
      <w:r w:rsidR="009C6364">
        <w:rPr>
          <w:rFonts w:ascii="Arial Narrow" w:hAnsi="Arial Narrow" w:cs="Tahoma"/>
          <w:bCs/>
          <w:color w:val="000000"/>
          <w:sz w:val="28"/>
          <w:szCs w:val="28"/>
          <w:lang w:eastAsia="es-CO"/>
        </w:rPr>
        <w:t xml:space="preserve"> de 201</w:t>
      </w:r>
      <w:r w:rsidR="00F52C50">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F3E23">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w:t>
      </w:r>
      <w:proofErr w:type="gramStart"/>
      <w:r w:rsidR="009C6364">
        <w:rPr>
          <w:rFonts w:ascii="Arial Narrow" w:hAnsi="Arial Narrow" w:cs="Tahoma"/>
          <w:bCs/>
          <w:color w:val="000000"/>
          <w:sz w:val="28"/>
          <w:szCs w:val="28"/>
          <w:lang w:eastAsia="es-CO"/>
        </w:rPr>
        <w:t>del</w:t>
      </w:r>
      <w:proofErr w:type="gramEnd"/>
      <w:r w:rsidR="009C6364">
        <w:rPr>
          <w:rFonts w:ascii="Arial Narrow" w:hAnsi="Arial Narrow" w:cs="Tahoma"/>
          <w:bCs/>
          <w:color w:val="000000"/>
          <w:sz w:val="28"/>
          <w:szCs w:val="28"/>
          <w:lang w:eastAsia="es-CO"/>
        </w:rPr>
        <w:t xml:space="preserve">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6F3E23">
        <w:rPr>
          <w:rFonts w:ascii="Arial Narrow" w:hAnsi="Arial Narrow" w:cs="Tahoma"/>
          <w:b/>
          <w:bCs/>
          <w:i/>
          <w:color w:val="000000"/>
          <w:sz w:val="28"/>
          <w:szCs w:val="28"/>
          <w:lang w:eastAsia="es-CO"/>
        </w:rPr>
        <w:t>Inés Barrios Buitrago</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D95679"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la demandante que se</w:t>
      </w:r>
      <w:r w:rsidR="00D95679">
        <w:rPr>
          <w:rFonts w:ascii="Arial Narrow" w:hAnsi="Arial Narrow" w:cs="Tahoma"/>
          <w:sz w:val="28"/>
          <w:szCs w:val="28"/>
        </w:rPr>
        <w:t xml:space="preserve"> le declare como beneficiaria de la</w:t>
      </w:r>
      <w:r w:rsidR="000E6C80">
        <w:rPr>
          <w:rFonts w:ascii="Arial Narrow" w:hAnsi="Arial Narrow" w:cs="Tahoma"/>
          <w:sz w:val="28"/>
          <w:szCs w:val="28"/>
        </w:rPr>
        <w:t xml:space="preserve"> </w:t>
      </w:r>
      <w:r w:rsidR="00D95679">
        <w:rPr>
          <w:rFonts w:ascii="Arial Narrow" w:hAnsi="Arial Narrow" w:cs="Tahoma"/>
          <w:sz w:val="28"/>
          <w:szCs w:val="28"/>
        </w:rPr>
        <w:t xml:space="preserve">pensión de sobrevivientes generada por la muerte del señor </w:t>
      </w:r>
      <w:r w:rsidR="000E6C80">
        <w:rPr>
          <w:rFonts w:ascii="Arial Narrow" w:hAnsi="Arial Narrow" w:cs="Tahoma"/>
          <w:sz w:val="28"/>
          <w:szCs w:val="28"/>
        </w:rPr>
        <w:t xml:space="preserve">Humberto Sánchez </w:t>
      </w:r>
      <w:proofErr w:type="spellStart"/>
      <w:r w:rsidR="000E6C80">
        <w:rPr>
          <w:rFonts w:ascii="Arial Narrow" w:hAnsi="Arial Narrow" w:cs="Tahoma"/>
          <w:sz w:val="28"/>
          <w:szCs w:val="28"/>
        </w:rPr>
        <w:t>Brochero</w:t>
      </w:r>
      <w:proofErr w:type="spellEnd"/>
      <w:r w:rsidR="00D95679">
        <w:rPr>
          <w:rFonts w:ascii="Arial Narrow" w:hAnsi="Arial Narrow" w:cs="Tahoma"/>
          <w:sz w:val="28"/>
          <w:szCs w:val="28"/>
        </w:rPr>
        <w:t xml:space="preserve"> y en consecuencia, pide que se condene a la demandada a reconocer y pagar la misma, desde el 1</w:t>
      </w:r>
      <w:r w:rsidR="004B7AFD">
        <w:rPr>
          <w:rFonts w:ascii="Arial Narrow" w:hAnsi="Arial Narrow" w:cs="Tahoma"/>
          <w:sz w:val="28"/>
          <w:szCs w:val="28"/>
        </w:rPr>
        <w:t>8</w:t>
      </w:r>
      <w:r w:rsidR="00D95679">
        <w:rPr>
          <w:rFonts w:ascii="Arial Narrow" w:hAnsi="Arial Narrow" w:cs="Tahoma"/>
          <w:sz w:val="28"/>
          <w:szCs w:val="28"/>
        </w:rPr>
        <w:t xml:space="preserve"> de </w:t>
      </w:r>
      <w:r w:rsidR="004B7AFD">
        <w:rPr>
          <w:rFonts w:ascii="Arial Narrow" w:hAnsi="Arial Narrow" w:cs="Tahoma"/>
          <w:sz w:val="28"/>
          <w:szCs w:val="28"/>
        </w:rPr>
        <w:t>diciembre</w:t>
      </w:r>
      <w:r w:rsidR="00D95679">
        <w:rPr>
          <w:rFonts w:ascii="Arial Narrow" w:hAnsi="Arial Narrow" w:cs="Tahoma"/>
          <w:sz w:val="28"/>
          <w:szCs w:val="28"/>
        </w:rPr>
        <w:t xml:space="preserve"> de 20</w:t>
      </w:r>
      <w:r w:rsidR="004B7AFD">
        <w:rPr>
          <w:rFonts w:ascii="Arial Narrow" w:hAnsi="Arial Narrow" w:cs="Tahoma"/>
          <w:sz w:val="28"/>
          <w:szCs w:val="28"/>
        </w:rPr>
        <w:t>06</w:t>
      </w:r>
      <w:r w:rsidR="00D95679">
        <w:rPr>
          <w:rFonts w:ascii="Arial Narrow" w:hAnsi="Arial Narrow" w:cs="Tahoma"/>
          <w:sz w:val="28"/>
          <w:szCs w:val="28"/>
        </w:rPr>
        <w:t xml:space="preserve"> </w:t>
      </w:r>
      <w:r w:rsidR="004B7AFD">
        <w:rPr>
          <w:rFonts w:ascii="Arial Narrow" w:hAnsi="Arial Narrow" w:cs="Tahoma"/>
          <w:sz w:val="28"/>
          <w:szCs w:val="28"/>
        </w:rPr>
        <w:t xml:space="preserve">con el correspondiente retroactivo pensional, incluyendo las mesadas adicionales, </w:t>
      </w:r>
      <w:r w:rsidR="00D95679">
        <w:rPr>
          <w:rFonts w:ascii="Arial Narrow" w:hAnsi="Arial Narrow" w:cs="Tahoma"/>
          <w:sz w:val="28"/>
          <w:szCs w:val="28"/>
        </w:rPr>
        <w:t>los réditos moratorios y las costas del proceso.</w:t>
      </w:r>
    </w:p>
    <w:p w:rsidR="00D95679" w:rsidRDefault="00D95679" w:rsidP="00181D67">
      <w:pPr>
        <w:shd w:val="clear" w:color="auto" w:fill="FFFFFF"/>
        <w:spacing w:line="360" w:lineRule="auto"/>
        <w:ind w:firstLine="851"/>
        <w:jc w:val="both"/>
        <w:rPr>
          <w:rFonts w:ascii="Arial Narrow" w:hAnsi="Arial Narrow" w:cs="Tahoma"/>
          <w:sz w:val="28"/>
          <w:szCs w:val="28"/>
        </w:rPr>
      </w:pPr>
    </w:p>
    <w:p w:rsidR="000C6187" w:rsidRDefault="00D9567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w:t>
      </w:r>
      <w:r w:rsidR="000C6187">
        <w:rPr>
          <w:rFonts w:ascii="Arial Narrow" w:hAnsi="Arial Narrow" w:cs="Tahoma"/>
          <w:sz w:val="28"/>
          <w:szCs w:val="28"/>
        </w:rPr>
        <w:t xml:space="preserve"> el señor Humberto Sánchez </w:t>
      </w:r>
      <w:proofErr w:type="spellStart"/>
      <w:r w:rsidR="000C6187">
        <w:rPr>
          <w:rFonts w:ascii="Arial Narrow" w:hAnsi="Arial Narrow" w:cs="Tahoma"/>
          <w:sz w:val="28"/>
          <w:szCs w:val="28"/>
        </w:rPr>
        <w:t>Brochero</w:t>
      </w:r>
      <w:proofErr w:type="spellEnd"/>
      <w:r w:rsidR="000C6187">
        <w:rPr>
          <w:rFonts w:ascii="Arial Narrow" w:hAnsi="Arial Narrow" w:cs="Tahoma"/>
          <w:sz w:val="28"/>
          <w:szCs w:val="28"/>
        </w:rPr>
        <w:t xml:space="preserve"> fue pensionado por el </w:t>
      </w:r>
      <w:proofErr w:type="spellStart"/>
      <w:r w:rsidR="000C6187">
        <w:rPr>
          <w:rFonts w:ascii="Arial Narrow" w:hAnsi="Arial Narrow" w:cs="Tahoma"/>
          <w:sz w:val="28"/>
          <w:szCs w:val="28"/>
        </w:rPr>
        <w:t>ISS</w:t>
      </w:r>
      <w:proofErr w:type="spellEnd"/>
      <w:r w:rsidR="000C6187">
        <w:rPr>
          <w:rFonts w:ascii="Arial Narrow" w:hAnsi="Arial Narrow" w:cs="Tahoma"/>
          <w:sz w:val="28"/>
          <w:szCs w:val="28"/>
        </w:rPr>
        <w:t xml:space="preserve">, </w:t>
      </w:r>
      <w:r>
        <w:rPr>
          <w:rFonts w:ascii="Arial Narrow" w:hAnsi="Arial Narrow" w:cs="Tahoma"/>
          <w:sz w:val="28"/>
          <w:szCs w:val="28"/>
        </w:rPr>
        <w:t xml:space="preserve"> </w:t>
      </w:r>
      <w:r w:rsidR="000C6187">
        <w:rPr>
          <w:rFonts w:ascii="Arial Narrow" w:hAnsi="Arial Narrow" w:cs="Tahoma"/>
          <w:sz w:val="28"/>
          <w:szCs w:val="28"/>
        </w:rPr>
        <w:t>que falleció el 18 de diciembre de 2006, que el causante convivió con la actora desde 1998 inicialmente como compañeros permanentes y posteriormente como cónyuges, hasta el momento del deceso, que el 11 de enero de 2007 solicitó el reconocimiento pensional, que el 24 de marzo de 2015 se negó la prestación al no encontrarse acreditada la convivencia.</w:t>
      </w:r>
    </w:p>
    <w:p w:rsidR="000C6187" w:rsidRDefault="000C6187" w:rsidP="00181D67">
      <w:pPr>
        <w:shd w:val="clear" w:color="auto" w:fill="FFFFFF"/>
        <w:spacing w:line="360" w:lineRule="auto"/>
        <w:ind w:firstLine="851"/>
        <w:jc w:val="both"/>
        <w:rPr>
          <w:rFonts w:ascii="Arial Narrow" w:hAnsi="Arial Narrow" w:cs="Tahoma"/>
          <w:sz w:val="28"/>
          <w:szCs w:val="28"/>
        </w:rPr>
      </w:pPr>
    </w:p>
    <w:p w:rsidR="00FB5F62" w:rsidRDefault="008B621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del caso a la entidad pasiva, la cual allegó respuesta, en la que aceptó la calidad de pensionado del señor Sánchez </w:t>
      </w:r>
      <w:proofErr w:type="spellStart"/>
      <w:r>
        <w:rPr>
          <w:rFonts w:ascii="Arial Narrow" w:hAnsi="Arial Narrow" w:cs="Tahoma"/>
          <w:sz w:val="28"/>
          <w:szCs w:val="28"/>
        </w:rPr>
        <w:t>Brochero</w:t>
      </w:r>
      <w:proofErr w:type="spellEnd"/>
      <w:r>
        <w:rPr>
          <w:rFonts w:ascii="Arial Narrow" w:hAnsi="Arial Narrow" w:cs="Tahoma"/>
          <w:sz w:val="28"/>
          <w:szCs w:val="28"/>
        </w:rPr>
        <w:t xml:space="preserve">, su fecha de fallecimiento, la reclamación elevada y la respuesta negativa de la entidad. Frente al </w:t>
      </w:r>
      <w:r w:rsidR="0002380F">
        <w:rPr>
          <w:rFonts w:ascii="Arial Narrow" w:hAnsi="Arial Narrow" w:cs="Tahoma"/>
          <w:sz w:val="28"/>
          <w:szCs w:val="28"/>
        </w:rPr>
        <w:t xml:space="preserve">hecho de la convivencia indica que no le consta. Se opone a las pretensiones de la demanda y excepciona de fondo “Inexistencia de la obligación”, “Improcedencia de los intereses de mora” y “Prescripción”. </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2E19D4" w:rsidRDefault="00FC7058"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Agotados los ritos procesales, la señora Jueza profirió sentencia en la que</w:t>
      </w:r>
      <w:r w:rsidR="00AD0587">
        <w:rPr>
          <w:rFonts w:ascii="Arial Narrow" w:hAnsi="Arial Narrow" w:cs="Tahoma"/>
          <w:sz w:val="28"/>
          <w:szCs w:val="28"/>
        </w:rPr>
        <w:t xml:space="preserve"> negó las pretensiones de la demanda, al encontrar que de conformidad con las pruebas documentales</w:t>
      </w:r>
      <w:r w:rsidR="009C4F42">
        <w:rPr>
          <w:rFonts w:ascii="Arial Narrow" w:hAnsi="Arial Narrow" w:cs="Tahoma"/>
          <w:sz w:val="28"/>
          <w:szCs w:val="28"/>
        </w:rPr>
        <w:t xml:space="preserve"> y testimoniales aportadas al proceso</w:t>
      </w:r>
      <w:r w:rsidR="00786BDC">
        <w:rPr>
          <w:rFonts w:ascii="Arial Narrow" w:hAnsi="Arial Narrow" w:cs="Tahoma"/>
          <w:sz w:val="28"/>
          <w:szCs w:val="28"/>
        </w:rPr>
        <w:t xml:space="preserve">, la demandante no convivió los últimos 5 años con el señor Sánchez </w:t>
      </w:r>
      <w:proofErr w:type="spellStart"/>
      <w:r w:rsidR="00786BDC">
        <w:rPr>
          <w:rFonts w:ascii="Arial Narrow" w:hAnsi="Arial Narrow" w:cs="Tahoma"/>
          <w:sz w:val="28"/>
          <w:szCs w:val="28"/>
        </w:rPr>
        <w:t>Brochero</w:t>
      </w:r>
      <w:proofErr w:type="spellEnd"/>
      <w:r w:rsidR="00786BDC">
        <w:rPr>
          <w:rFonts w:ascii="Arial Narrow" w:hAnsi="Arial Narrow" w:cs="Tahoma"/>
          <w:sz w:val="28"/>
          <w:szCs w:val="28"/>
        </w:rPr>
        <w:t xml:space="preserve">, que tal convivencia apenas data de principios del años 2005 y el causante falleció en </w:t>
      </w:r>
      <w:r w:rsidR="00A32022">
        <w:rPr>
          <w:rFonts w:ascii="Arial Narrow" w:hAnsi="Arial Narrow" w:cs="Tahoma"/>
          <w:sz w:val="28"/>
          <w:szCs w:val="28"/>
        </w:rPr>
        <w:t xml:space="preserve">diciembre del año 2006, es decir, a lo sumo alcanzó dos años de convivencia. Destaca entre las pruebas documentales la versión que la misma demandante le dio a la entidad de seguridad social </w:t>
      </w:r>
      <w:r w:rsidR="0010743C">
        <w:rPr>
          <w:rFonts w:ascii="Arial Narrow" w:hAnsi="Arial Narrow" w:cs="Tahoma"/>
          <w:sz w:val="28"/>
          <w:szCs w:val="28"/>
        </w:rPr>
        <w:t xml:space="preserve"> en el curso de la investigación administrativa, en la que ella misma aseveró que la convivencia databa de 2005, lo que se ratifica con los recursos que la misma demandante presentó ante la entidad. Respecto a los declarantes, encuentra que </w:t>
      </w:r>
      <w:r w:rsidR="002E19D4">
        <w:rPr>
          <w:rFonts w:ascii="Arial Narrow" w:hAnsi="Arial Narrow" w:cs="Tahoma"/>
          <w:sz w:val="28"/>
          <w:szCs w:val="28"/>
        </w:rPr>
        <w:t xml:space="preserve">su versión es contradictoria y por lo tanto, resultan poco creíbles. </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2E19D4"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CONSULTA</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2E19D4" w:rsidRDefault="002E19D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La decisión judicial no fue apelada y por resultar contraria totalmente a las pretensiones de la actora, se dispuso su consulta en los términos del canon 69 del </w:t>
      </w:r>
      <w:proofErr w:type="spellStart"/>
      <w:r>
        <w:rPr>
          <w:rFonts w:ascii="Arial Narrow" w:hAnsi="Arial Narrow" w:cs="Tahoma"/>
          <w:sz w:val="28"/>
          <w:szCs w:val="28"/>
        </w:rPr>
        <w:t>CPLSS</w:t>
      </w:r>
      <w:proofErr w:type="spellEnd"/>
      <w:r>
        <w:rPr>
          <w:rFonts w:ascii="Arial Narrow" w:hAnsi="Arial Narrow" w:cs="Tahoma"/>
          <w:sz w:val="28"/>
          <w:szCs w:val="28"/>
        </w:rPr>
        <w:t>.</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F154F1">
        <w:rPr>
          <w:rFonts w:ascii="Arial Narrow" w:hAnsi="Arial Narrow" w:cs="Tahoma"/>
          <w:i/>
          <w:color w:val="000000"/>
          <w:sz w:val="28"/>
          <w:szCs w:val="28"/>
          <w:lang w:eastAsia="es-CO"/>
        </w:rPr>
        <w:t xml:space="preserve">Acreditó la señora Barrios Buitrago las condiciones para ser beneficiaria de la pensión de sobrevivientes generada con el deceso del señor Sánchez </w:t>
      </w:r>
      <w:proofErr w:type="spellStart"/>
      <w:r w:rsidR="00F154F1">
        <w:rPr>
          <w:rFonts w:ascii="Arial Narrow" w:hAnsi="Arial Narrow" w:cs="Tahoma"/>
          <w:i/>
          <w:color w:val="000000"/>
          <w:sz w:val="28"/>
          <w:szCs w:val="28"/>
          <w:lang w:eastAsia="es-CO"/>
        </w:rPr>
        <w:t>Brochero</w:t>
      </w:r>
      <w:proofErr w:type="spellEnd"/>
      <w:r w:rsidR="007D7D00">
        <w:rPr>
          <w:rFonts w:ascii="Arial Narrow" w:hAnsi="Arial Narrow" w:cs="Tahoma"/>
          <w:i/>
          <w:color w:val="000000"/>
          <w:sz w:val="28"/>
          <w:szCs w:val="28"/>
          <w:lang w:eastAsia="es-CO"/>
        </w:rPr>
        <w:t>?</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D309A3" w:rsidRDefault="00B4167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se tiene que es un hecho irrebatible en el curso del proceso, la calidad de pensionado que tenía el señor </w:t>
      </w:r>
      <w:r w:rsidR="00F154F1">
        <w:rPr>
          <w:rFonts w:ascii="Arial Narrow" w:hAnsi="Arial Narrow" w:cs="Arial"/>
          <w:sz w:val="28"/>
          <w:szCs w:val="28"/>
          <w:lang w:val="es-ES"/>
        </w:rPr>
        <w:t xml:space="preserve">Humberto Sánchez </w:t>
      </w:r>
      <w:proofErr w:type="spellStart"/>
      <w:r w:rsidR="00F154F1">
        <w:rPr>
          <w:rFonts w:ascii="Arial Narrow" w:hAnsi="Arial Narrow" w:cs="Arial"/>
          <w:sz w:val="28"/>
          <w:szCs w:val="28"/>
          <w:lang w:val="es-ES"/>
        </w:rPr>
        <w:t>Brochero</w:t>
      </w:r>
      <w:proofErr w:type="spellEnd"/>
      <w:r w:rsidR="007D7D00">
        <w:rPr>
          <w:rFonts w:ascii="Arial Narrow" w:hAnsi="Arial Narrow" w:cs="Arial"/>
          <w:sz w:val="28"/>
          <w:szCs w:val="28"/>
          <w:lang w:val="es-ES"/>
        </w:rPr>
        <w:t>, pues así lo aceptó la misma entidad demandada al dar respuesta a la demanda</w:t>
      </w:r>
      <w:r>
        <w:rPr>
          <w:rFonts w:ascii="Arial Narrow" w:hAnsi="Arial Narrow" w:cs="Arial"/>
          <w:sz w:val="28"/>
          <w:szCs w:val="28"/>
          <w:lang w:val="es-ES"/>
        </w:rPr>
        <w:t xml:space="preserve">, </w:t>
      </w:r>
      <w:r w:rsidR="008906B4">
        <w:rPr>
          <w:rFonts w:ascii="Arial Narrow" w:hAnsi="Arial Narrow" w:cs="Arial"/>
          <w:sz w:val="28"/>
          <w:szCs w:val="28"/>
          <w:lang w:val="es-ES"/>
        </w:rPr>
        <w:t>por lo que al tenor del artículo 46 de la Ley 100 de 1993</w:t>
      </w:r>
      <w:r w:rsidR="00D309A3">
        <w:rPr>
          <w:rFonts w:ascii="Arial Narrow" w:hAnsi="Arial Narrow" w:cs="Arial"/>
          <w:sz w:val="28"/>
          <w:szCs w:val="28"/>
          <w:lang w:val="es-ES"/>
        </w:rPr>
        <w:t>, modificada por el artículo 12 de la Ley 797 de 2003, es requisito suficiente para, al momento del deceso, dejar la pensión de sobrevivientes a los beneficiarios que cumplan las condiciones exigidas en la ley.</w:t>
      </w:r>
    </w:p>
    <w:p w:rsidR="00D309A3" w:rsidRDefault="00D309A3" w:rsidP="00505F81">
      <w:pPr>
        <w:spacing w:line="360" w:lineRule="auto"/>
        <w:ind w:firstLine="851"/>
        <w:jc w:val="both"/>
        <w:rPr>
          <w:rFonts w:ascii="Arial Narrow" w:hAnsi="Arial Narrow" w:cs="Arial"/>
          <w:sz w:val="28"/>
          <w:szCs w:val="28"/>
          <w:lang w:val="es-ES"/>
        </w:rPr>
      </w:pPr>
    </w:p>
    <w:p w:rsidR="001D2ABA" w:rsidRDefault="00D309A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Ya en cuanto a la calidad de beneficiaria de la pensión de sobrevivientes, que alega </w:t>
      </w:r>
      <w:r w:rsidR="00F154F1">
        <w:rPr>
          <w:rFonts w:ascii="Arial Narrow" w:hAnsi="Arial Narrow" w:cs="Arial"/>
          <w:sz w:val="28"/>
          <w:szCs w:val="28"/>
          <w:lang w:val="es-ES"/>
        </w:rPr>
        <w:t>la gestora del litigio</w:t>
      </w:r>
      <w:r>
        <w:rPr>
          <w:rFonts w:ascii="Arial Narrow" w:hAnsi="Arial Narrow" w:cs="Arial"/>
          <w:sz w:val="28"/>
          <w:szCs w:val="28"/>
          <w:lang w:val="es-ES"/>
        </w:rPr>
        <w:t>,</w:t>
      </w:r>
      <w:r w:rsidR="00B41679">
        <w:rPr>
          <w:rFonts w:ascii="Arial Narrow" w:hAnsi="Arial Narrow" w:cs="Arial"/>
          <w:sz w:val="28"/>
          <w:szCs w:val="28"/>
          <w:lang w:val="es-ES"/>
        </w:rPr>
        <w:t xml:space="preserve">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421AF7"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7D7D00">
        <w:rPr>
          <w:rFonts w:ascii="Arial Narrow" w:hAnsi="Arial Narrow" w:cs="Arial"/>
          <w:sz w:val="28"/>
          <w:szCs w:val="28"/>
          <w:lang w:val="es-ES"/>
        </w:rPr>
        <w:t xml:space="preserve"> No puede llamarse convivencia a aquella ayuda material o económica que por cualquier circunstancia una persona brinda a otra, pues el concepto de vida en pareja trasciende </w:t>
      </w:r>
      <w:r w:rsidR="007D7D00">
        <w:rPr>
          <w:rFonts w:ascii="Arial Narrow" w:hAnsi="Arial Narrow" w:cs="Arial"/>
          <w:sz w:val="28"/>
          <w:szCs w:val="28"/>
          <w:lang w:val="es-ES"/>
        </w:rPr>
        <w:lastRenderedPageBreak/>
        <w:t>lo meramente económico y engloba conceptos afectivos, espirituales, morales y físicos</w:t>
      </w:r>
      <w:r w:rsidR="00421AF7">
        <w:rPr>
          <w:rFonts w:ascii="Arial Narrow" w:hAnsi="Arial Narrow" w:cs="Arial"/>
          <w:sz w:val="28"/>
          <w:szCs w:val="28"/>
          <w:lang w:val="es-ES"/>
        </w:rPr>
        <w:t>, que ineludiblemente permitan colegir que dos personas hacen o hicieron una vida en común.</w:t>
      </w:r>
    </w:p>
    <w:p w:rsidR="00421AF7" w:rsidRDefault="00421AF7" w:rsidP="00505F81">
      <w:pPr>
        <w:spacing w:line="360" w:lineRule="auto"/>
        <w:ind w:firstLine="851"/>
        <w:jc w:val="both"/>
        <w:rPr>
          <w:rFonts w:ascii="Arial Narrow" w:hAnsi="Arial Narrow" w:cs="Arial"/>
          <w:sz w:val="28"/>
          <w:szCs w:val="28"/>
          <w:lang w:val="es-ES"/>
        </w:rPr>
      </w:pP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4D1CFD" w:rsidRDefault="00421AF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 judice, </w:t>
      </w:r>
      <w:r w:rsidR="00F154F1">
        <w:rPr>
          <w:rFonts w:ascii="Arial Narrow" w:hAnsi="Arial Narrow" w:cs="Arial"/>
          <w:sz w:val="28"/>
          <w:szCs w:val="28"/>
          <w:lang w:val="es-ES"/>
        </w:rPr>
        <w:t>se tiene que la prueba documental aportada, puntualmente el expediente administrativo</w:t>
      </w:r>
      <w:r w:rsidR="0097769E">
        <w:rPr>
          <w:rFonts w:ascii="Arial Narrow" w:hAnsi="Arial Narrow" w:cs="Arial"/>
          <w:sz w:val="28"/>
          <w:szCs w:val="28"/>
          <w:lang w:val="es-ES"/>
        </w:rPr>
        <w:t xml:space="preserve"> allegado por la entidad demandada –</w:t>
      </w:r>
      <w:proofErr w:type="spellStart"/>
      <w:r w:rsidR="0097769E">
        <w:rPr>
          <w:rFonts w:ascii="Arial Narrow" w:hAnsi="Arial Narrow" w:cs="Arial"/>
          <w:sz w:val="28"/>
          <w:szCs w:val="28"/>
          <w:lang w:val="es-ES"/>
        </w:rPr>
        <w:t>fls</w:t>
      </w:r>
      <w:proofErr w:type="spellEnd"/>
      <w:r w:rsidR="0097769E">
        <w:rPr>
          <w:rFonts w:ascii="Arial Narrow" w:hAnsi="Arial Narrow" w:cs="Arial"/>
          <w:sz w:val="28"/>
          <w:szCs w:val="28"/>
          <w:lang w:val="es-ES"/>
        </w:rPr>
        <w:t xml:space="preserve">. 35 a 144-, permite verificar que ante la petición que la actora elevó en el año 2007, el </w:t>
      </w:r>
      <w:proofErr w:type="spellStart"/>
      <w:r w:rsidR="0097769E">
        <w:rPr>
          <w:rFonts w:ascii="Arial Narrow" w:hAnsi="Arial Narrow" w:cs="Arial"/>
          <w:sz w:val="28"/>
          <w:szCs w:val="28"/>
          <w:lang w:val="es-ES"/>
        </w:rPr>
        <w:t>ISS</w:t>
      </w:r>
      <w:proofErr w:type="spellEnd"/>
      <w:r w:rsidR="0097769E">
        <w:rPr>
          <w:rFonts w:ascii="Arial Narrow" w:hAnsi="Arial Narrow" w:cs="Arial"/>
          <w:sz w:val="28"/>
          <w:szCs w:val="28"/>
          <w:lang w:val="es-ES"/>
        </w:rPr>
        <w:t xml:space="preserve"> adelantó una investigación administrativa en la que se le recibió versión a la misma actora –</w:t>
      </w:r>
      <w:proofErr w:type="spellStart"/>
      <w:r w:rsidR="0097769E">
        <w:rPr>
          <w:rFonts w:ascii="Arial Narrow" w:hAnsi="Arial Narrow" w:cs="Arial"/>
          <w:sz w:val="28"/>
          <w:szCs w:val="28"/>
          <w:lang w:val="es-ES"/>
        </w:rPr>
        <w:t>fls</w:t>
      </w:r>
      <w:proofErr w:type="spellEnd"/>
      <w:r w:rsidR="0097769E">
        <w:rPr>
          <w:rFonts w:ascii="Arial Narrow" w:hAnsi="Arial Narrow" w:cs="Arial"/>
          <w:sz w:val="28"/>
          <w:szCs w:val="28"/>
          <w:lang w:val="es-ES"/>
        </w:rPr>
        <w:t xml:space="preserve">. 92 y ss.- en la que indicó que convivió con el señor Sánchez </w:t>
      </w:r>
      <w:proofErr w:type="spellStart"/>
      <w:r w:rsidR="0097769E">
        <w:rPr>
          <w:rFonts w:ascii="Arial Narrow" w:hAnsi="Arial Narrow" w:cs="Arial"/>
          <w:sz w:val="28"/>
          <w:szCs w:val="28"/>
          <w:lang w:val="es-ES"/>
        </w:rPr>
        <w:t>Brochero</w:t>
      </w:r>
      <w:proofErr w:type="spellEnd"/>
      <w:r w:rsidR="0097769E">
        <w:rPr>
          <w:rFonts w:ascii="Arial Narrow" w:hAnsi="Arial Narrow" w:cs="Arial"/>
          <w:sz w:val="28"/>
          <w:szCs w:val="28"/>
          <w:lang w:val="es-ES"/>
        </w:rPr>
        <w:t xml:space="preserve"> desde el mes de enero de 2005 y que posteriormente contrajo nupcias con el referido en diciembre de ese mismo año</w:t>
      </w:r>
      <w:r w:rsidR="004D1CFD">
        <w:rPr>
          <w:rFonts w:ascii="Arial Narrow" w:hAnsi="Arial Narrow" w:cs="Arial"/>
          <w:sz w:val="28"/>
          <w:szCs w:val="28"/>
          <w:lang w:val="es-ES"/>
        </w:rPr>
        <w:t>. Esta inicial versión fue modificada al incoarse los recursos de reposición y apelación</w:t>
      </w:r>
      <w:r w:rsidR="00111B77">
        <w:rPr>
          <w:rFonts w:ascii="Arial Narrow" w:hAnsi="Arial Narrow" w:cs="Arial"/>
          <w:sz w:val="28"/>
          <w:szCs w:val="28"/>
          <w:lang w:val="es-ES"/>
        </w:rPr>
        <w:t xml:space="preserve"> –</w:t>
      </w:r>
      <w:proofErr w:type="spellStart"/>
      <w:r w:rsidR="00111B77">
        <w:rPr>
          <w:rFonts w:ascii="Arial Narrow" w:hAnsi="Arial Narrow" w:cs="Arial"/>
          <w:sz w:val="28"/>
          <w:szCs w:val="28"/>
          <w:lang w:val="es-ES"/>
        </w:rPr>
        <w:t>fl</w:t>
      </w:r>
      <w:proofErr w:type="spellEnd"/>
      <w:r w:rsidR="00111B77">
        <w:rPr>
          <w:rFonts w:ascii="Arial Narrow" w:hAnsi="Arial Narrow" w:cs="Arial"/>
          <w:sz w:val="28"/>
          <w:szCs w:val="28"/>
          <w:lang w:val="es-ES"/>
        </w:rPr>
        <w:t>. 72 vto.-</w:t>
      </w:r>
      <w:r w:rsidR="004D1CFD">
        <w:rPr>
          <w:rFonts w:ascii="Arial Narrow" w:hAnsi="Arial Narrow" w:cs="Arial"/>
          <w:sz w:val="28"/>
          <w:szCs w:val="28"/>
          <w:lang w:val="es-ES"/>
        </w:rPr>
        <w:t>, en los que advierte que convivía de tiempo atrás con el referido señor, pero se habían separado por un lapso de 8 meses y, en diciembre de 2004, se habían reconciliado y convivieron hasta la época del fallecimiento. Finalmente, en el interrogatorio de parte absuelto ante la juzgadora de primer grado, aseveró que la convivencia con el señor Humberto databa de 1998 y que había sido ininterrumpida hasta su deceso.</w:t>
      </w:r>
    </w:p>
    <w:p w:rsidR="004D1CFD" w:rsidRDefault="004D1CFD" w:rsidP="00D309A3">
      <w:pPr>
        <w:spacing w:line="360" w:lineRule="auto"/>
        <w:ind w:firstLine="851"/>
        <w:jc w:val="both"/>
        <w:rPr>
          <w:rFonts w:ascii="Arial Narrow" w:hAnsi="Arial Narrow" w:cs="Arial"/>
          <w:sz w:val="28"/>
          <w:szCs w:val="28"/>
          <w:lang w:val="es-ES"/>
        </w:rPr>
      </w:pPr>
    </w:p>
    <w:p w:rsidR="00111B77" w:rsidRDefault="00111B7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Son evidentes las contradicciones </w:t>
      </w:r>
      <w:r w:rsidR="0008294C">
        <w:rPr>
          <w:rFonts w:ascii="Arial Narrow" w:hAnsi="Arial Narrow" w:cs="Arial"/>
          <w:sz w:val="28"/>
          <w:szCs w:val="28"/>
          <w:lang w:val="es-ES"/>
        </w:rPr>
        <w:t xml:space="preserve">en las </w:t>
      </w:r>
      <w:r>
        <w:rPr>
          <w:rFonts w:ascii="Arial Narrow" w:hAnsi="Arial Narrow" w:cs="Arial"/>
          <w:sz w:val="28"/>
          <w:szCs w:val="28"/>
          <w:lang w:val="es-ES"/>
        </w:rPr>
        <w:t xml:space="preserve">que la misma demandante </w:t>
      </w:r>
      <w:r w:rsidR="0008294C">
        <w:rPr>
          <w:rFonts w:ascii="Arial Narrow" w:hAnsi="Arial Narrow" w:cs="Arial"/>
          <w:sz w:val="28"/>
          <w:szCs w:val="28"/>
          <w:lang w:val="es-ES"/>
        </w:rPr>
        <w:t xml:space="preserve">cayó </w:t>
      </w:r>
      <w:r>
        <w:rPr>
          <w:rFonts w:ascii="Arial Narrow" w:hAnsi="Arial Narrow" w:cs="Arial"/>
          <w:sz w:val="28"/>
          <w:szCs w:val="28"/>
          <w:lang w:val="es-ES"/>
        </w:rPr>
        <w:t xml:space="preserve">tanto </w:t>
      </w:r>
      <w:r w:rsidR="0008294C">
        <w:rPr>
          <w:rFonts w:ascii="Arial Narrow" w:hAnsi="Arial Narrow" w:cs="Arial"/>
          <w:sz w:val="28"/>
          <w:szCs w:val="28"/>
          <w:lang w:val="es-ES"/>
        </w:rPr>
        <w:t>ante el</w:t>
      </w:r>
      <w:r>
        <w:rPr>
          <w:rFonts w:ascii="Arial Narrow" w:hAnsi="Arial Narrow" w:cs="Arial"/>
          <w:sz w:val="28"/>
          <w:szCs w:val="28"/>
          <w:lang w:val="es-ES"/>
        </w:rPr>
        <w:t xml:space="preserve"> ente de seguridad social, como </w:t>
      </w:r>
      <w:r w:rsidR="0008294C">
        <w:rPr>
          <w:rFonts w:ascii="Arial Narrow" w:hAnsi="Arial Narrow" w:cs="Arial"/>
          <w:sz w:val="28"/>
          <w:szCs w:val="28"/>
          <w:lang w:val="es-ES"/>
        </w:rPr>
        <w:t>ante</w:t>
      </w:r>
      <w:r>
        <w:rPr>
          <w:rFonts w:ascii="Arial Narrow" w:hAnsi="Arial Narrow" w:cs="Arial"/>
          <w:sz w:val="28"/>
          <w:szCs w:val="28"/>
          <w:lang w:val="es-ES"/>
        </w:rPr>
        <w:t xml:space="preserve"> la falladora de primer grado, pudiéndose colegir un ajuste en las mismas a medida que iba conociendo la necesidad de acreditar determinado tiempo de convivencia. Y dígase que tal conclusión no varía al verificar los dichos de las testigos traídas por la parte demandante. En efecto, al verificar la deposición de la señora Yolanda Álvarez Sosa, se observa que la misma advera que </w:t>
      </w:r>
      <w:r>
        <w:rPr>
          <w:rFonts w:ascii="Arial Narrow" w:hAnsi="Arial Narrow" w:cs="Arial"/>
          <w:sz w:val="28"/>
          <w:szCs w:val="28"/>
          <w:lang w:val="es-ES"/>
        </w:rPr>
        <w:lastRenderedPageBreak/>
        <w:t>es muy allegada a la demandante, que la conoce hace 30 años y que la considera casi como su segunda madre, mas sin embargo desconoce detalles de tanta relevancia como el número de hijos de ella o sus nombres, quedando claramente en entredicho la proximidad que se alega en la versión. En todo caso, indica que visitaba a la demandante cada mes o mes y medio, quedándose uno o dos días, lo que también pone en evidencia que poco podía conocer de la alegada convivencia, por la poca frecuencia con que veía a la pareja.</w:t>
      </w:r>
    </w:p>
    <w:p w:rsidR="00111B77" w:rsidRDefault="00111B77" w:rsidP="00D309A3">
      <w:pPr>
        <w:spacing w:line="360" w:lineRule="auto"/>
        <w:ind w:firstLine="851"/>
        <w:jc w:val="both"/>
        <w:rPr>
          <w:rFonts w:ascii="Arial Narrow" w:hAnsi="Arial Narrow" w:cs="Arial"/>
          <w:sz w:val="28"/>
          <w:szCs w:val="28"/>
          <w:lang w:val="es-ES"/>
        </w:rPr>
      </w:pPr>
    </w:p>
    <w:p w:rsidR="00342568" w:rsidRDefault="00111B7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 versión de la señora Ana Rosalba Herrera Barrios, hija de la demandante,  </w:t>
      </w:r>
      <w:r w:rsidR="00342568">
        <w:rPr>
          <w:rFonts w:ascii="Arial Narrow" w:hAnsi="Arial Narrow" w:cs="Arial"/>
          <w:sz w:val="28"/>
          <w:szCs w:val="28"/>
          <w:lang w:val="es-ES"/>
        </w:rPr>
        <w:t xml:space="preserve">su versión, a más de resultar parcializada por el parentesco que la ata con la iniciante del litigio, lo que motivo su tacha por el portavoz de </w:t>
      </w:r>
      <w:proofErr w:type="spellStart"/>
      <w:r w:rsidR="00342568">
        <w:rPr>
          <w:rFonts w:ascii="Arial Narrow" w:hAnsi="Arial Narrow" w:cs="Arial"/>
          <w:sz w:val="28"/>
          <w:szCs w:val="28"/>
          <w:lang w:val="es-ES"/>
        </w:rPr>
        <w:t>Colpensiones</w:t>
      </w:r>
      <w:proofErr w:type="spellEnd"/>
      <w:r w:rsidR="00342568">
        <w:rPr>
          <w:rFonts w:ascii="Arial Narrow" w:hAnsi="Arial Narrow" w:cs="Arial"/>
          <w:sz w:val="28"/>
          <w:szCs w:val="28"/>
          <w:lang w:val="es-ES"/>
        </w:rPr>
        <w:t xml:space="preserve">, es evidentemente contradictoria. En efecto, alega con total precisión que su madre convivió con el fallecido Sánchez </w:t>
      </w:r>
      <w:proofErr w:type="spellStart"/>
      <w:r w:rsidR="00342568">
        <w:rPr>
          <w:rFonts w:ascii="Arial Narrow" w:hAnsi="Arial Narrow" w:cs="Arial"/>
          <w:sz w:val="28"/>
          <w:szCs w:val="28"/>
          <w:lang w:val="es-ES"/>
        </w:rPr>
        <w:t>Brochero</w:t>
      </w:r>
      <w:proofErr w:type="spellEnd"/>
      <w:r w:rsidR="00342568">
        <w:rPr>
          <w:rFonts w:ascii="Arial Narrow" w:hAnsi="Arial Narrow" w:cs="Arial"/>
          <w:sz w:val="28"/>
          <w:szCs w:val="28"/>
          <w:lang w:val="es-ES"/>
        </w:rPr>
        <w:t xml:space="preserve"> entre 1999 y la calenda de deceso de este, sin embargo, cuando se le pregunta sobre un hecho que, determinantemente genera fijación en una persona, como lo es el deceso de su progenitor, no recuerda siquiera el año, cuando se trata de un hecho posterior a tal convivencia -2007 como lo relato la actora en su versión al </w:t>
      </w:r>
      <w:proofErr w:type="spellStart"/>
      <w:r w:rsidR="00342568">
        <w:rPr>
          <w:rFonts w:ascii="Arial Narrow" w:hAnsi="Arial Narrow" w:cs="Arial"/>
          <w:sz w:val="28"/>
          <w:szCs w:val="28"/>
          <w:lang w:val="es-ES"/>
        </w:rPr>
        <w:t>ISS</w:t>
      </w:r>
      <w:proofErr w:type="spellEnd"/>
      <w:r w:rsidR="00342568">
        <w:rPr>
          <w:rFonts w:ascii="Arial Narrow" w:hAnsi="Arial Narrow" w:cs="Arial"/>
          <w:sz w:val="28"/>
          <w:szCs w:val="28"/>
          <w:lang w:val="es-ES"/>
        </w:rPr>
        <w:t>-, lo que sin duda genera una incertidumbre de la veracidad de sus dichos.</w:t>
      </w:r>
    </w:p>
    <w:p w:rsidR="00342568" w:rsidRDefault="00342568" w:rsidP="00D309A3">
      <w:pPr>
        <w:spacing w:line="360" w:lineRule="auto"/>
        <w:ind w:firstLine="851"/>
        <w:jc w:val="both"/>
        <w:rPr>
          <w:rFonts w:ascii="Arial Narrow" w:hAnsi="Arial Narrow" w:cs="Arial"/>
          <w:sz w:val="28"/>
          <w:szCs w:val="28"/>
          <w:lang w:val="es-ES"/>
        </w:rPr>
      </w:pPr>
    </w:p>
    <w:p w:rsidR="00342568" w:rsidRDefault="00342568"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tanto, es claro que la parte actora no acreditó la convivencia por el lapso de cinco años, pues las pruebas que trajo para ello, valoradas conforme a los lineamientos del artículo 61 del Estatuto Instrumental Laboral y de la Seguridad Social, no permiten arribar a la hipótesis contemplada por el legislador, lo que conlleva, como lo hizo la a-quo, a negar las pretensiones de la demanda.</w:t>
      </w:r>
    </w:p>
    <w:p w:rsidR="00342568" w:rsidRDefault="00342568" w:rsidP="00D309A3">
      <w:pPr>
        <w:spacing w:line="360" w:lineRule="auto"/>
        <w:ind w:firstLine="851"/>
        <w:jc w:val="both"/>
        <w:rPr>
          <w:rFonts w:ascii="Arial Narrow" w:hAnsi="Arial Narrow" w:cs="Arial"/>
          <w:sz w:val="28"/>
          <w:szCs w:val="28"/>
          <w:lang w:val="es-ES"/>
        </w:rPr>
      </w:pPr>
    </w:p>
    <w:p w:rsidR="00BD5518" w:rsidRDefault="00342568"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sede, por conocerse en consulta.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lastRenderedPageBreak/>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BD5518">
        <w:rPr>
          <w:rFonts w:ascii="Arial Narrow" w:hAnsi="Arial Narrow" w:cs="Arial"/>
          <w:szCs w:val="28"/>
        </w:rPr>
        <w:t>2</w:t>
      </w:r>
      <w:r w:rsidR="00342568">
        <w:rPr>
          <w:rFonts w:ascii="Arial Narrow" w:hAnsi="Arial Narrow" w:cs="Arial"/>
          <w:szCs w:val="28"/>
        </w:rPr>
        <w:t>4</w:t>
      </w:r>
      <w:r w:rsidR="007E480D" w:rsidRPr="00E80808">
        <w:rPr>
          <w:rFonts w:ascii="Arial Narrow" w:hAnsi="Arial Narrow" w:cs="Arial"/>
          <w:szCs w:val="28"/>
        </w:rPr>
        <w:t xml:space="preserve"> de </w:t>
      </w:r>
      <w:r w:rsidR="00342568">
        <w:rPr>
          <w:rFonts w:ascii="Arial Narrow" w:hAnsi="Arial Narrow" w:cs="Arial"/>
          <w:szCs w:val="28"/>
        </w:rPr>
        <w:t>agosto</w:t>
      </w:r>
      <w:r w:rsidR="007E480D" w:rsidRPr="00E80808">
        <w:rPr>
          <w:rFonts w:ascii="Arial Narrow" w:hAnsi="Arial Narrow" w:cs="Arial"/>
          <w:szCs w:val="28"/>
        </w:rPr>
        <w:t xml:space="preserve"> de 201</w:t>
      </w:r>
      <w:r w:rsidR="00BD5518">
        <w:rPr>
          <w:rFonts w:ascii="Arial Narrow" w:hAnsi="Arial Narrow" w:cs="Arial"/>
          <w:szCs w:val="28"/>
        </w:rPr>
        <w:t>6</w:t>
      </w:r>
      <w:r w:rsidR="007E480D" w:rsidRPr="00E80808">
        <w:rPr>
          <w:rFonts w:ascii="Arial Narrow" w:hAnsi="Arial Narrow" w:cs="Arial"/>
          <w:szCs w:val="28"/>
        </w:rPr>
        <w:t xml:space="preserve"> por el Juzgado </w:t>
      </w:r>
      <w:r w:rsidR="00342568">
        <w:rPr>
          <w:rFonts w:ascii="Arial Narrow" w:hAnsi="Arial Narrow" w:cs="Arial"/>
          <w:szCs w:val="28"/>
        </w:rPr>
        <w:t>Cuarto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BD5518">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342568" w:rsidRDefault="0039648B" w:rsidP="007E480D">
      <w:pPr>
        <w:pStyle w:val="Textoindependiente31"/>
        <w:ind w:firstLine="708"/>
        <w:rPr>
          <w:rFonts w:ascii="Arial Narrow" w:hAnsi="Arial Narrow" w:cs="Arial"/>
          <w:bCs/>
          <w:szCs w:val="28"/>
        </w:rPr>
      </w:pPr>
      <w:r>
        <w:rPr>
          <w:rFonts w:ascii="Arial Narrow" w:hAnsi="Arial Narrow" w:cs="Arial"/>
          <w:b/>
          <w:bCs/>
          <w:i/>
          <w:szCs w:val="28"/>
        </w:rPr>
        <w:t xml:space="preserve">2. </w:t>
      </w:r>
      <w:r w:rsidR="00342568">
        <w:rPr>
          <w:rFonts w:ascii="Arial Narrow" w:hAnsi="Arial Narrow" w:cs="Arial"/>
          <w:b/>
          <w:bCs/>
          <w:i/>
          <w:szCs w:val="28"/>
        </w:rPr>
        <w:t>Sin 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en esta instancia</w:t>
      </w:r>
      <w:r w:rsidR="00342568">
        <w:rPr>
          <w:rFonts w:ascii="Arial Narrow" w:hAnsi="Arial Narrow" w:cs="Arial"/>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87" w:rsidRDefault="00C02387" w:rsidP="00181D67">
      <w:r>
        <w:separator/>
      </w:r>
    </w:p>
  </w:endnote>
  <w:endnote w:type="continuationSeparator" w:id="0">
    <w:p w:rsidR="00C02387" w:rsidRDefault="00C02387"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0CA9">
      <w:rPr>
        <w:rStyle w:val="Nmerodepgina"/>
        <w:noProof/>
      </w:rPr>
      <w:t>7</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87" w:rsidRDefault="00C02387" w:rsidP="00181D67">
      <w:r>
        <w:separator/>
      </w:r>
    </w:p>
  </w:footnote>
  <w:footnote w:type="continuationSeparator" w:id="0">
    <w:p w:rsidR="00C02387" w:rsidRDefault="00C02387"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004</w:t>
    </w:r>
    <w:r>
      <w:rPr>
        <w:rFonts w:ascii="Arial" w:hAnsi="Arial" w:cs="Arial"/>
        <w:bCs/>
        <w:i/>
        <w:sz w:val="16"/>
        <w:szCs w:val="16"/>
      </w:rPr>
      <w:t>-201</w:t>
    </w:r>
    <w:r w:rsidR="0061517B">
      <w:rPr>
        <w:rFonts w:ascii="Arial" w:hAnsi="Arial" w:cs="Arial"/>
        <w:bCs/>
        <w:i/>
        <w:sz w:val="16"/>
        <w:szCs w:val="16"/>
      </w:rPr>
      <w:t>6</w:t>
    </w:r>
    <w:r>
      <w:rPr>
        <w:rFonts w:ascii="Arial" w:hAnsi="Arial" w:cs="Arial"/>
        <w:bCs/>
        <w:i/>
        <w:sz w:val="16"/>
        <w:szCs w:val="16"/>
      </w:rPr>
      <w:t>-00</w:t>
    </w:r>
    <w:r w:rsidR="0061517B">
      <w:rPr>
        <w:rFonts w:ascii="Arial" w:hAnsi="Arial" w:cs="Arial"/>
        <w:bCs/>
        <w:i/>
        <w:sz w:val="16"/>
        <w:szCs w:val="16"/>
      </w:rPr>
      <w:t>039</w:t>
    </w:r>
    <w:r>
      <w:rPr>
        <w:rFonts w:ascii="Arial" w:hAnsi="Arial" w:cs="Arial"/>
        <w:bCs/>
        <w:i/>
        <w:sz w:val="16"/>
        <w:szCs w:val="16"/>
      </w:rPr>
      <w:t xml:space="preserve">-01 </w:t>
    </w:r>
  </w:p>
  <w:p w:rsidR="00884093" w:rsidRDefault="0061517B" w:rsidP="00FB2365">
    <w:pPr>
      <w:jc w:val="both"/>
      <w:rPr>
        <w:rFonts w:ascii="Arial" w:hAnsi="Arial" w:cs="Arial"/>
        <w:bCs/>
        <w:i/>
        <w:sz w:val="16"/>
        <w:szCs w:val="16"/>
      </w:rPr>
    </w:pPr>
    <w:r>
      <w:rPr>
        <w:rFonts w:ascii="Arial" w:hAnsi="Arial" w:cs="Arial"/>
        <w:bCs/>
        <w:i/>
        <w:sz w:val="16"/>
        <w:szCs w:val="16"/>
      </w:rPr>
      <w:t xml:space="preserve">Inés Barrios Buitrago </w:t>
    </w:r>
    <w:r w:rsidR="00884093">
      <w:rPr>
        <w:rFonts w:ascii="Arial" w:hAnsi="Arial" w:cs="Arial"/>
        <w:bCs/>
        <w:i/>
        <w:sz w:val="16"/>
        <w:szCs w:val="16"/>
      </w:rPr>
      <w:t xml:space="preserve"> vs </w:t>
    </w:r>
    <w:proofErr w:type="spellStart"/>
    <w:r w:rsidR="00884093">
      <w:rPr>
        <w:rFonts w:ascii="Arial" w:hAnsi="Arial" w:cs="Arial"/>
        <w:bCs/>
        <w:i/>
        <w:sz w:val="16"/>
        <w:szCs w:val="16"/>
      </w:rPr>
      <w:t>Colpensiones</w:t>
    </w:r>
    <w:proofErr w:type="spellEnd"/>
    <w:r>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3ED6"/>
    <w:rsid w:val="000A13F4"/>
    <w:rsid w:val="000A26AC"/>
    <w:rsid w:val="000B2E37"/>
    <w:rsid w:val="000B5AFB"/>
    <w:rsid w:val="000B6979"/>
    <w:rsid w:val="000C0A92"/>
    <w:rsid w:val="000C6187"/>
    <w:rsid w:val="000D6F62"/>
    <w:rsid w:val="000E1BFD"/>
    <w:rsid w:val="000E3687"/>
    <w:rsid w:val="000E6C80"/>
    <w:rsid w:val="000E7F42"/>
    <w:rsid w:val="000F3E39"/>
    <w:rsid w:val="000F604F"/>
    <w:rsid w:val="0010743C"/>
    <w:rsid w:val="00111B77"/>
    <w:rsid w:val="00113DFF"/>
    <w:rsid w:val="00114E6E"/>
    <w:rsid w:val="00122B74"/>
    <w:rsid w:val="0013363D"/>
    <w:rsid w:val="001342E2"/>
    <w:rsid w:val="00143700"/>
    <w:rsid w:val="00151FAB"/>
    <w:rsid w:val="00152252"/>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C1A3A"/>
    <w:rsid w:val="001C7D78"/>
    <w:rsid w:val="001D2ABA"/>
    <w:rsid w:val="001E602F"/>
    <w:rsid w:val="001F70B4"/>
    <w:rsid w:val="0020066B"/>
    <w:rsid w:val="00200D02"/>
    <w:rsid w:val="0020183E"/>
    <w:rsid w:val="00204F66"/>
    <w:rsid w:val="00214F11"/>
    <w:rsid w:val="00217C8B"/>
    <w:rsid w:val="0023419A"/>
    <w:rsid w:val="00241CF7"/>
    <w:rsid w:val="00242152"/>
    <w:rsid w:val="00243D53"/>
    <w:rsid w:val="00245208"/>
    <w:rsid w:val="0025169D"/>
    <w:rsid w:val="002666DD"/>
    <w:rsid w:val="00266B50"/>
    <w:rsid w:val="00270BAE"/>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60979"/>
    <w:rsid w:val="00365ECD"/>
    <w:rsid w:val="003660A2"/>
    <w:rsid w:val="00384FB1"/>
    <w:rsid w:val="00392CBC"/>
    <w:rsid w:val="0039648B"/>
    <w:rsid w:val="003B30B8"/>
    <w:rsid w:val="003B35A1"/>
    <w:rsid w:val="003D2568"/>
    <w:rsid w:val="003D2F2C"/>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3406"/>
    <w:rsid w:val="0049276B"/>
    <w:rsid w:val="004A18E6"/>
    <w:rsid w:val="004A359A"/>
    <w:rsid w:val="004A7539"/>
    <w:rsid w:val="004B3006"/>
    <w:rsid w:val="004B38EA"/>
    <w:rsid w:val="004B6F6B"/>
    <w:rsid w:val="004B7AFD"/>
    <w:rsid w:val="004C37BF"/>
    <w:rsid w:val="004D01C5"/>
    <w:rsid w:val="004D1CFD"/>
    <w:rsid w:val="004D5EFB"/>
    <w:rsid w:val="004D7BE8"/>
    <w:rsid w:val="004E33E6"/>
    <w:rsid w:val="004E464D"/>
    <w:rsid w:val="004F3CC2"/>
    <w:rsid w:val="004F6356"/>
    <w:rsid w:val="005010B3"/>
    <w:rsid w:val="00502503"/>
    <w:rsid w:val="00503569"/>
    <w:rsid w:val="00503737"/>
    <w:rsid w:val="00504363"/>
    <w:rsid w:val="0050557A"/>
    <w:rsid w:val="00505F81"/>
    <w:rsid w:val="00506F32"/>
    <w:rsid w:val="00512EBD"/>
    <w:rsid w:val="00515BDC"/>
    <w:rsid w:val="005165E3"/>
    <w:rsid w:val="00517F92"/>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0CA9"/>
    <w:rsid w:val="006C408E"/>
    <w:rsid w:val="006D765D"/>
    <w:rsid w:val="006E1DE4"/>
    <w:rsid w:val="006E3C7C"/>
    <w:rsid w:val="006E55C7"/>
    <w:rsid w:val="006E56E0"/>
    <w:rsid w:val="006F2FF3"/>
    <w:rsid w:val="006F3382"/>
    <w:rsid w:val="006F3E23"/>
    <w:rsid w:val="0070151B"/>
    <w:rsid w:val="00712B22"/>
    <w:rsid w:val="007170BC"/>
    <w:rsid w:val="00726095"/>
    <w:rsid w:val="007264E4"/>
    <w:rsid w:val="00740103"/>
    <w:rsid w:val="00740681"/>
    <w:rsid w:val="0074280E"/>
    <w:rsid w:val="00745F82"/>
    <w:rsid w:val="007464A2"/>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40BE"/>
    <w:rsid w:val="009A6DEB"/>
    <w:rsid w:val="009B25F5"/>
    <w:rsid w:val="009B52E7"/>
    <w:rsid w:val="009C06AF"/>
    <w:rsid w:val="009C4F42"/>
    <w:rsid w:val="009C6364"/>
    <w:rsid w:val="009D16AB"/>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B0615A"/>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C6A9B"/>
    <w:rsid w:val="00BD418C"/>
    <w:rsid w:val="00BD5518"/>
    <w:rsid w:val="00BE3E90"/>
    <w:rsid w:val="00BE7CCC"/>
    <w:rsid w:val="00BF7955"/>
    <w:rsid w:val="00C00BF3"/>
    <w:rsid w:val="00C01FFD"/>
    <w:rsid w:val="00C02387"/>
    <w:rsid w:val="00C11813"/>
    <w:rsid w:val="00C12862"/>
    <w:rsid w:val="00C1629B"/>
    <w:rsid w:val="00C23D0F"/>
    <w:rsid w:val="00C305BF"/>
    <w:rsid w:val="00C34BB9"/>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30A2"/>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4648"/>
    <w:rsid w:val="00F54D0A"/>
    <w:rsid w:val="00F60732"/>
    <w:rsid w:val="00F63B6C"/>
    <w:rsid w:val="00F6451D"/>
    <w:rsid w:val="00F65645"/>
    <w:rsid w:val="00F662FC"/>
    <w:rsid w:val="00F66E8C"/>
    <w:rsid w:val="00F702BE"/>
    <w:rsid w:val="00F779A6"/>
    <w:rsid w:val="00F81430"/>
    <w:rsid w:val="00F838A0"/>
    <w:rsid w:val="00F84F53"/>
    <w:rsid w:val="00F856EC"/>
    <w:rsid w:val="00F91602"/>
    <w:rsid w:val="00F93BAD"/>
    <w:rsid w:val="00F941C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490D-B732-4CC4-A746-1AA4F6F0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2017-07-28T13:03:00Z</cp:lastPrinted>
  <dcterms:created xsi:type="dcterms:W3CDTF">2017-07-26T19:08:00Z</dcterms:created>
  <dcterms:modified xsi:type="dcterms:W3CDTF">2017-10-09T15:07:00Z</dcterms:modified>
</cp:coreProperties>
</file>