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7E" w:rsidRPr="00A817A6" w:rsidRDefault="008D687E" w:rsidP="008D687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8D687E" w:rsidRPr="009275F8" w:rsidRDefault="008D687E" w:rsidP="008D687E">
      <w:pPr>
        <w:pStyle w:val="Sinespaciado"/>
        <w:rPr>
          <w:sz w:val="18"/>
          <w:szCs w:val="18"/>
        </w:rPr>
      </w:pPr>
    </w:p>
    <w:p w:rsidR="00EB77D8" w:rsidRDefault="00EB77D8" w:rsidP="00EB77D8">
      <w:pPr>
        <w:spacing w:line="360" w:lineRule="auto"/>
        <w:jc w:val="both"/>
        <w:rPr>
          <w:rFonts w:ascii="Arial Narrow" w:hAnsi="Arial Narrow" w:cs="Arial"/>
          <w:bCs/>
          <w:i/>
          <w:iCs/>
          <w:sz w:val="32"/>
          <w:szCs w:val="32"/>
          <w:u w:val="single"/>
        </w:rPr>
      </w:pPr>
      <w:bookmarkStart w:id="0" w:name="_GoBack"/>
      <w:bookmarkEnd w:id="0"/>
      <w:r w:rsidRPr="00AE68C8">
        <w:rPr>
          <w:rFonts w:ascii="Arial Narrow" w:hAnsi="Arial Narrow" w:cs="Arial"/>
          <w:bCs/>
          <w:i/>
          <w:iCs/>
          <w:sz w:val="32"/>
          <w:szCs w:val="32"/>
          <w:u w:val="single"/>
        </w:rPr>
        <w:t>ORALIDAD</w:t>
      </w:r>
    </w:p>
    <w:p w:rsidR="00EB77D8" w:rsidRDefault="00EB77D8" w:rsidP="00EB77D8">
      <w:pPr>
        <w:pStyle w:val="Sinespaciado"/>
      </w:pPr>
    </w:p>
    <w:p w:rsidR="00EB77D8" w:rsidRPr="001A3D6C" w:rsidRDefault="00EB77D8" w:rsidP="00EB77D8">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Sentencia de Segunda Instancia, jueves</w:t>
      </w:r>
      <w:r w:rsidR="00317FEE">
        <w:rPr>
          <w:rFonts w:ascii="Arial Narrow" w:hAnsi="Arial Narrow" w:cs="Arial"/>
          <w:sz w:val="18"/>
          <w:szCs w:val="18"/>
        </w:rPr>
        <w:t xml:space="preserve"> 26 de octubre de 2017</w:t>
      </w:r>
      <w:r w:rsidRPr="001A3D6C">
        <w:rPr>
          <w:rFonts w:ascii="Arial Narrow" w:hAnsi="Arial Narrow" w:cs="Arial"/>
          <w:sz w:val="18"/>
          <w:szCs w:val="18"/>
        </w:rPr>
        <w:t>.</w:t>
      </w:r>
    </w:p>
    <w:p w:rsidR="00EB77D8" w:rsidRDefault="00EB77D8" w:rsidP="00EB77D8">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sidR="00317FEE">
        <w:rPr>
          <w:rFonts w:ascii="Arial Narrow" w:hAnsi="Arial Narrow" w:cs="Arial"/>
          <w:bCs/>
          <w:sz w:val="18"/>
          <w:szCs w:val="18"/>
        </w:rPr>
        <w:t>2-2014-00418-01</w:t>
      </w:r>
    </w:p>
    <w:p w:rsidR="00EB77D8" w:rsidRPr="001A3D6C" w:rsidRDefault="00EB77D8" w:rsidP="00EB77D8">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p>
    <w:p w:rsidR="00EB77D8" w:rsidRPr="001A3D6C" w:rsidRDefault="00EB77D8" w:rsidP="00EB77D8">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sidR="00317FEE">
        <w:rPr>
          <w:rFonts w:ascii="Arial Narrow" w:hAnsi="Arial Narrow" w:cs="Arial"/>
          <w:iCs/>
          <w:sz w:val="18"/>
          <w:szCs w:val="18"/>
        </w:rPr>
        <w:t xml:space="preserve">Martha Cecilia Gutiérrez Mejía </w:t>
      </w:r>
      <w:r>
        <w:rPr>
          <w:rFonts w:ascii="Arial Narrow" w:hAnsi="Arial Narrow" w:cs="Arial"/>
          <w:iCs/>
          <w:sz w:val="18"/>
          <w:szCs w:val="18"/>
        </w:rPr>
        <w:t xml:space="preserve"> </w:t>
      </w:r>
    </w:p>
    <w:p w:rsidR="00EB77D8" w:rsidRPr="002E0A65" w:rsidRDefault="00EB77D8" w:rsidP="00EB77D8">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r>
      <w:proofErr w:type="spellStart"/>
      <w:r w:rsidRPr="001A3D6C">
        <w:rPr>
          <w:rFonts w:ascii="Arial Narrow" w:hAnsi="Arial Narrow" w:cs="Arial"/>
          <w:bCs/>
          <w:sz w:val="18"/>
          <w:szCs w:val="18"/>
        </w:rPr>
        <w:t>Colpensiones</w:t>
      </w:r>
      <w:proofErr w:type="spellEnd"/>
    </w:p>
    <w:p w:rsidR="00EB77D8" w:rsidRPr="002E0A65" w:rsidRDefault="00EB77D8" w:rsidP="00EB77D8">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2E0A65">
        <w:rPr>
          <w:rFonts w:ascii="Arial Narrow" w:hAnsi="Arial Narrow" w:cs="Arial"/>
          <w:sz w:val="18"/>
          <w:szCs w:val="18"/>
        </w:rPr>
        <w:tab/>
      </w:r>
      <w:r w:rsidR="00317FEE">
        <w:rPr>
          <w:rFonts w:ascii="Arial Narrow" w:hAnsi="Arial Narrow" w:cs="Arial"/>
          <w:sz w:val="18"/>
          <w:szCs w:val="18"/>
        </w:rPr>
        <w:t xml:space="preserve">Segundo </w:t>
      </w:r>
      <w:r w:rsidRPr="002E0A65">
        <w:rPr>
          <w:rFonts w:ascii="Arial Narrow" w:hAnsi="Arial Narrow" w:cs="Arial"/>
          <w:sz w:val="18"/>
          <w:szCs w:val="18"/>
        </w:rPr>
        <w:t>Laboral del Circuito de Pereira.</w:t>
      </w:r>
    </w:p>
    <w:p w:rsidR="00EB77D8" w:rsidRPr="002E0A65" w:rsidRDefault="00EB77D8" w:rsidP="00EB77D8">
      <w:pPr>
        <w:jc w:val="both"/>
        <w:rPr>
          <w:rFonts w:ascii="Arial Narrow" w:hAnsi="Arial Narrow" w:cs="Arial"/>
          <w:b/>
          <w:iCs/>
          <w:sz w:val="18"/>
          <w:szCs w:val="18"/>
        </w:rPr>
      </w:pPr>
      <w:r w:rsidRPr="002E0A65">
        <w:rPr>
          <w:rFonts w:ascii="Arial Narrow" w:hAnsi="Arial Narrow" w:cs="Arial"/>
          <w:b/>
          <w:iCs/>
          <w:sz w:val="18"/>
          <w:szCs w:val="18"/>
        </w:rPr>
        <w:t xml:space="preserve">Magistrado Ponente:     </w:t>
      </w:r>
      <w:r w:rsidRPr="002E0A65">
        <w:rPr>
          <w:rFonts w:ascii="Arial Narrow" w:hAnsi="Arial Narrow" w:cs="Arial"/>
          <w:b/>
          <w:iCs/>
          <w:sz w:val="18"/>
          <w:szCs w:val="18"/>
        </w:rPr>
        <w:tab/>
      </w:r>
      <w:r w:rsidRPr="002E0A65">
        <w:rPr>
          <w:rFonts w:ascii="Arial Narrow" w:hAnsi="Arial Narrow" w:cs="Arial"/>
          <w:iCs/>
          <w:sz w:val="18"/>
          <w:szCs w:val="18"/>
        </w:rPr>
        <w:t>Francisco Javier Tamayo Tabares.</w:t>
      </w:r>
    </w:p>
    <w:p w:rsidR="00EB77D8" w:rsidRPr="009D4190" w:rsidRDefault="009D4190" w:rsidP="009D4190">
      <w:pPr>
        <w:autoSpaceDE w:val="0"/>
        <w:autoSpaceDN w:val="0"/>
        <w:adjustRightInd w:val="0"/>
        <w:ind w:left="2124" w:hanging="2124"/>
        <w:jc w:val="both"/>
        <w:rPr>
          <w:rFonts w:ascii="Arial Narrow" w:hAnsi="Arial Narrow" w:cs="Arial"/>
          <w:sz w:val="18"/>
          <w:szCs w:val="18"/>
          <w:lang w:val="es-ES"/>
        </w:rPr>
      </w:pPr>
      <w:r w:rsidRPr="00BD66F8">
        <w:rPr>
          <w:rFonts w:ascii="Arial Narrow" w:hAnsi="Arial Narrow" w:cs="Arial"/>
          <w:b/>
          <w:bCs/>
          <w:sz w:val="18"/>
          <w:szCs w:val="18"/>
        </w:rPr>
        <w:t xml:space="preserve">Tema a tratar: </w:t>
      </w:r>
      <w:r w:rsidRPr="00BD66F8">
        <w:rPr>
          <w:rFonts w:ascii="Arial Narrow" w:hAnsi="Arial Narrow" w:cs="Arial"/>
          <w:b/>
          <w:bCs/>
          <w:sz w:val="16"/>
          <w:szCs w:val="16"/>
        </w:rPr>
        <w:tab/>
      </w:r>
      <w:r w:rsidRPr="002636A0">
        <w:rPr>
          <w:rFonts w:ascii="Arial Narrow" w:hAnsi="Arial Narrow" w:cs="Arial"/>
          <w:b/>
          <w:bCs/>
          <w:sz w:val="16"/>
          <w:szCs w:val="16"/>
        </w:rPr>
        <w:t>R</w:t>
      </w:r>
      <w:r w:rsidRPr="002636A0">
        <w:rPr>
          <w:rFonts w:ascii="Arial Narrow" w:hAnsi="Arial Narrow"/>
          <w:b/>
          <w:sz w:val="16"/>
          <w:szCs w:val="16"/>
        </w:rPr>
        <w:t xml:space="preserve">égimen de transición: </w:t>
      </w:r>
      <w:r w:rsidRPr="002636A0">
        <w:rPr>
          <w:rFonts w:ascii="Arial Narrow" w:hAnsi="Arial Narrow"/>
          <w:sz w:val="16"/>
          <w:szCs w:val="16"/>
        </w:rPr>
        <w:t xml:space="preserve">artículo 36 de la Ley 100/93 estableció dos formas de acceder al régimen de transición, previendo que para quienes al 1º de abril de 1994, entrada en vigencia del sistema general de pensiones, tuvieran 40 </w:t>
      </w:r>
      <w:proofErr w:type="spellStart"/>
      <w:r w:rsidRPr="002636A0">
        <w:rPr>
          <w:rFonts w:ascii="Arial Narrow" w:hAnsi="Arial Narrow"/>
          <w:sz w:val="16"/>
          <w:szCs w:val="16"/>
        </w:rPr>
        <w:t>ó</w:t>
      </w:r>
      <w:proofErr w:type="spellEnd"/>
      <w:r w:rsidRPr="002636A0">
        <w:rPr>
          <w:rFonts w:ascii="Arial Narrow" w:hAnsi="Arial Narrow"/>
          <w:sz w:val="16"/>
          <w:szCs w:val="16"/>
        </w:rPr>
        <w:t xml:space="preserve"> más </w:t>
      </w:r>
      <w:r w:rsidRPr="009D4190">
        <w:rPr>
          <w:rFonts w:ascii="Arial Narrow" w:hAnsi="Arial Narrow"/>
          <w:sz w:val="16"/>
          <w:szCs w:val="16"/>
        </w:rPr>
        <w:t xml:space="preserve">años de edad en el caso de los hombres o 35 años o más en el caso de las mujeres; o 15 </w:t>
      </w:r>
      <w:proofErr w:type="spellStart"/>
      <w:r w:rsidRPr="009D4190">
        <w:rPr>
          <w:rFonts w:ascii="Arial Narrow" w:hAnsi="Arial Narrow"/>
          <w:sz w:val="16"/>
          <w:szCs w:val="16"/>
        </w:rPr>
        <w:t>ó</w:t>
      </w:r>
      <w:proofErr w:type="spellEnd"/>
      <w:r w:rsidRPr="009D4190">
        <w:rPr>
          <w:rFonts w:ascii="Arial Narrow" w:hAnsi="Arial Narrow"/>
          <w:sz w:val="16"/>
          <w:szCs w:val="16"/>
        </w:rPr>
        <w:t xml:space="preserve"> más años de servicios cotizados, podrían alcanzar la pensión de vejez o de jubilación con los requisitos de edad, tiempo de servicios y monto, del régimen que se les venía aplicando con anterioridad a esa fecha. </w:t>
      </w:r>
      <w:r w:rsidR="00EB77D8" w:rsidRPr="009D4190">
        <w:rPr>
          <w:rFonts w:ascii="Arial Narrow" w:hAnsi="Arial Narrow" w:cs="Arial"/>
          <w:b/>
          <w:bCs/>
          <w:sz w:val="16"/>
          <w:szCs w:val="16"/>
        </w:rPr>
        <w:t xml:space="preserve">Pensión de jubilación </w:t>
      </w:r>
      <w:r w:rsidR="00EB77D8" w:rsidRPr="009D4190">
        <w:rPr>
          <w:rFonts w:ascii="Arial Narrow" w:hAnsi="Arial Narrow" w:cs="Tahoma"/>
          <w:iCs/>
          <w:sz w:val="16"/>
          <w:szCs w:val="16"/>
          <w:lang w:val="es-ES"/>
        </w:rPr>
        <w:t>–Ley 33 de 1985</w:t>
      </w:r>
      <w:r w:rsidRPr="009D4190">
        <w:rPr>
          <w:rFonts w:ascii="Arial Narrow" w:hAnsi="Arial Narrow" w:cs="Tahoma"/>
          <w:iCs/>
          <w:sz w:val="16"/>
          <w:szCs w:val="16"/>
          <w:lang w:val="es-ES"/>
        </w:rPr>
        <w:t xml:space="preserve">: </w:t>
      </w:r>
      <w:r w:rsidRPr="009D4190">
        <w:rPr>
          <w:rFonts w:ascii="Arial Narrow" w:hAnsi="Arial Narrow" w:cs="Tahoma"/>
          <w:bCs/>
          <w:iCs/>
          <w:sz w:val="16"/>
          <w:szCs w:val="16"/>
        </w:rPr>
        <w:t>el empleado oficial que sirva o haya servido 20 años continuos o discontinuos al sector público y llegue a la edad de 55 años, tendrá derecho a la pensión de jubilación.</w:t>
      </w:r>
      <w:r w:rsidRPr="009D4190">
        <w:rPr>
          <w:rFonts w:ascii="Arial Narrow" w:hAnsi="Arial Narrow" w:cs="Tahoma"/>
          <w:iCs/>
          <w:sz w:val="16"/>
          <w:szCs w:val="16"/>
          <w:lang w:val="es-ES"/>
        </w:rPr>
        <w:t xml:space="preserve"> </w:t>
      </w:r>
      <w:r w:rsidRPr="009D4190">
        <w:rPr>
          <w:rFonts w:ascii="Arial Narrow" w:hAnsi="Arial Narrow"/>
          <w:b/>
          <w:bCs/>
          <w:sz w:val="16"/>
          <w:szCs w:val="16"/>
        </w:rPr>
        <w:t xml:space="preserve">Cálculo del ingreso Base de Liquidación: </w:t>
      </w:r>
      <w:r w:rsidRPr="009D4190">
        <w:rPr>
          <w:rFonts w:ascii="Arial Narrow" w:hAnsi="Arial Narrow"/>
          <w:sz w:val="16"/>
          <w:szCs w:val="16"/>
        </w:rPr>
        <w:t xml:space="preserve">para quienes les faltare diez (10) o más años, en el artículo 21 de la misma norma, cuyo contenido establece que el </w:t>
      </w:r>
      <w:proofErr w:type="spellStart"/>
      <w:r w:rsidRPr="009D4190">
        <w:rPr>
          <w:rFonts w:ascii="Arial Narrow" w:hAnsi="Arial Narrow"/>
          <w:sz w:val="16"/>
          <w:szCs w:val="16"/>
        </w:rPr>
        <w:t>IBL</w:t>
      </w:r>
      <w:proofErr w:type="spellEnd"/>
      <w:r w:rsidRPr="009D4190">
        <w:rPr>
          <w:rFonts w:ascii="Arial Narrow" w:hAnsi="Arial Narrow"/>
          <w:sz w:val="16"/>
          <w:szCs w:val="16"/>
        </w:rPr>
        <w:t xml:space="preserve"> correspondería al </w:t>
      </w:r>
      <w:r w:rsidRPr="009D4190">
        <w:rPr>
          <w:rFonts w:ascii="Arial Narrow" w:hAnsi="Arial Narrow"/>
          <w:sz w:val="16"/>
          <w:szCs w:val="16"/>
          <w:lang w:eastAsia="en-US"/>
        </w:rPr>
        <w:t>promedio de las sumas sobre las cuales el afiliado haya efectuado sus cotizaciones en los 10 años que anteceden al reconoci</w:t>
      </w:r>
      <w:r w:rsidRPr="009D4190">
        <w:rPr>
          <w:rFonts w:ascii="Arial Narrow" w:hAnsi="Arial Narrow"/>
          <w:sz w:val="16"/>
          <w:szCs w:val="16"/>
        </w:rPr>
        <w:t xml:space="preserve">miento de la prestación, que equivale a 3.600 días. </w:t>
      </w:r>
    </w:p>
    <w:p w:rsidR="00EB77D8" w:rsidRPr="002E0A65" w:rsidRDefault="00EB77D8" w:rsidP="009D4190">
      <w:pPr>
        <w:autoSpaceDE w:val="0"/>
        <w:autoSpaceDN w:val="0"/>
        <w:adjustRightInd w:val="0"/>
        <w:spacing w:line="480" w:lineRule="auto"/>
        <w:ind w:left="2127" w:hanging="2127"/>
        <w:jc w:val="both"/>
        <w:rPr>
          <w:rFonts w:ascii="Arial Narrow" w:hAnsi="Arial Narrow" w:cs="Arial"/>
          <w:bCs/>
          <w:iCs/>
          <w:sz w:val="18"/>
          <w:szCs w:val="18"/>
        </w:rPr>
      </w:pPr>
    </w:p>
    <w:p w:rsidR="00EB77D8" w:rsidRPr="00AE68C8" w:rsidRDefault="00EB77D8" w:rsidP="00EB77D8">
      <w:pPr>
        <w:spacing w:line="360" w:lineRule="auto"/>
        <w:ind w:firstLine="840"/>
        <w:rPr>
          <w:rFonts w:ascii="Arial Narrow" w:hAnsi="Arial Narrow" w:cs="Arial"/>
          <w:sz w:val="28"/>
          <w:szCs w:val="28"/>
        </w:rPr>
      </w:pPr>
      <w:r w:rsidRPr="00AE68C8">
        <w:rPr>
          <w:rFonts w:ascii="Arial Narrow" w:hAnsi="Arial Narrow" w:cs="Arial"/>
          <w:sz w:val="28"/>
          <w:szCs w:val="28"/>
          <w:u w:val="single"/>
        </w:rPr>
        <w:t>AUDIENCIA PÚBLICA</w:t>
      </w:r>
      <w:r w:rsidRPr="00AE68C8">
        <w:rPr>
          <w:rFonts w:ascii="Arial Narrow" w:hAnsi="Arial Narrow" w:cs="Arial"/>
          <w:sz w:val="28"/>
          <w:szCs w:val="28"/>
        </w:rPr>
        <w:t>:</w:t>
      </w:r>
    </w:p>
    <w:p w:rsidR="00EB77D8" w:rsidRPr="003E1902" w:rsidRDefault="00EB77D8" w:rsidP="00EB77D8">
      <w:pPr>
        <w:pStyle w:val="Sinespaciado"/>
      </w:pPr>
    </w:p>
    <w:p w:rsidR="00EB77D8" w:rsidRDefault="00EB77D8" w:rsidP="00EB77D8">
      <w:pPr>
        <w:spacing w:line="360" w:lineRule="auto"/>
        <w:ind w:firstLine="851"/>
        <w:jc w:val="both"/>
        <w:rPr>
          <w:rFonts w:ascii="Arial Narrow" w:hAnsi="Arial Narrow" w:cs="Arial"/>
          <w:i/>
          <w:sz w:val="28"/>
          <w:szCs w:val="28"/>
        </w:rPr>
      </w:pPr>
      <w:r>
        <w:rPr>
          <w:rFonts w:ascii="Arial Narrow" w:eastAsia="Calibri" w:hAnsi="Arial Narrow" w:cs="Arial"/>
          <w:sz w:val="28"/>
          <w:szCs w:val="28"/>
          <w:lang w:val="es-CO" w:eastAsia="en-US"/>
        </w:rPr>
        <w:t>E</w:t>
      </w:r>
      <w:r w:rsidRPr="008105C9">
        <w:rPr>
          <w:rFonts w:ascii="Arial Narrow" w:eastAsia="Calibri" w:hAnsi="Arial Narrow" w:cs="Arial"/>
          <w:sz w:val="28"/>
          <w:szCs w:val="28"/>
          <w:lang w:val="es-CO" w:eastAsia="en-US"/>
        </w:rPr>
        <w:t xml:space="preserve">n Pereira, a los </w:t>
      </w:r>
      <w:r w:rsidR="00317FEE">
        <w:rPr>
          <w:rFonts w:ascii="Arial Narrow" w:eastAsia="Calibri" w:hAnsi="Arial Narrow" w:cs="Arial"/>
          <w:sz w:val="28"/>
          <w:szCs w:val="28"/>
          <w:lang w:val="es-CO" w:eastAsia="en-US"/>
        </w:rPr>
        <w:t xml:space="preserve">veintiséis </w:t>
      </w:r>
      <w:r>
        <w:rPr>
          <w:rFonts w:ascii="Arial Narrow" w:eastAsia="Calibri" w:hAnsi="Arial Narrow" w:cs="Arial"/>
          <w:sz w:val="28"/>
          <w:szCs w:val="28"/>
          <w:lang w:val="es-CO" w:eastAsia="en-US"/>
        </w:rPr>
        <w:t>(2</w:t>
      </w:r>
      <w:r w:rsidR="00317FEE">
        <w:rPr>
          <w:rFonts w:ascii="Arial Narrow" w:eastAsia="Calibri" w:hAnsi="Arial Narrow" w:cs="Arial"/>
          <w:sz w:val="28"/>
          <w:szCs w:val="28"/>
          <w:lang w:val="es-CO" w:eastAsia="en-US"/>
        </w:rPr>
        <w:t>6</w:t>
      </w:r>
      <w:r>
        <w:rPr>
          <w:rFonts w:ascii="Arial Narrow" w:eastAsia="Calibri" w:hAnsi="Arial Narrow" w:cs="Arial"/>
          <w:sz w:val="28"/>
          <w:szCs w:val="28"/>
          <w:lang w:val="es-CO" w:eastAsia="en-US"/>
        </w:rPr>
        <w:t xml:space="preserve">) </w:t>
      </w:r>
      <w:r w:rsidRPr="008105C9">
        <w:rPr>
          <w:rFonts w:ascii="Arial Narrow" w:eastAsia="Calibri" w:hAnsi="Arial Narrow" w:cs="Arial"/>
          <w:sz w:val="28"/>
          <w:szCs w:val="28"/>
          <w:lang w:val="es-CO" w:eastAsia="en-US"/>
        </w:rPr>
        <w:t>días del mes de</w:t>
      </w:r>
      <w:r w:rsidR="00317FEE">
        <w:rPr>
          <w:rFonts w:ascii="Arial Narrow" w:eastAsia="Calibri" w:hAnsi="Arial Narrow" w:cs="Arial"/>
          <w:sz w:val="28"/>
          <w:szCs w:val="28"/>
          <w:lang w:val="es-CO" w:eastAsia="en-US"/>
        </w:rPr>
        <w:t xml:space="preserve"> octubre de dos mil </w:t>
      </w:r>
      <w:r>
        <w:rPr>
          <w:rFonts w:ascii="Arial Narrow" w:eastAsia="Calibri" w:hAnsi="Arial Narrow" w:cs="Arial"/>
          <w:sz w:val="28"/>
          <w:szCs w:val="28"/>
          <w:lang w:val="es-CO" w:eastAsia="en-US"/>
        </w:rPr>
        <w:t>diecisiete (</w:t>
      </w:r>
      <w:r w:rsidRPr="008105C9">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8105C9">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317FEE">
        <w:rPr>
          <w:rFonts w:ascii="Arial Narrow" w:eastAsia="Calibri" w:hAnsi="Arial Narrow" w:cs="Arial"/>
          <w:sz w:val="28"/>
          <w:szCs w:val="28"/>
          <w:lang w:val="es-CO" w:eastAsia="en-US"/>
        </w:rPr>
        <w:t xml:space="preserve">ocho y quince </w:t>
      </w:r>
      <w:r>
        <w:rPr>
          <w:rFonts w:ascii="Arial Narrow" w:eastAsia="Calibri" w:hAnsi="Arial Narrow" w:cs="Arial"/>
          <w:sz w:val="28"/>
          <w:szCs w:val="28"/>
          <w:lang w:val="es-CO" w:eastAsia="en-US"/>
        </w:rPr>
        <w:t>de la mañana (</w:t>
      </w:r>
      <w:r w:rsidR="00317FEE">
        <w:rPr>
          <w:rFonts w:ascii="Arial Narrow" w:eastAsia="Calibri" w:hAnsi="Arial Narrow" w:cs="Arial"/>
          <w:sz w:val="28"/>
          <w:szCs w:val="28"/>
          <w:lang w:val="es-CO" w:eastAsia="en-US"/>
        </w:rPr>
        <w:t>8:15 a.m.</w:t>
      </w:r>
      <w:r w:rsidRPr="008105C9">
        <w:rPr>
          <w:rFonts w:ascii="Arial Narrow" w:eastAsia="Calibri" w:hAnsi="Arial Narrow" w:cs="Arial"/>
          <w:sz w:val="28"/>
          <w:szCs w:val="28"/>
          <w:lang w:val="es-CO" w:eastAsia="en-US"/>
        </w:rPr>
        <w:t xml:space="preserve">), </w:t>
      </w:r>
      <w:r w:rsidRPr="008105C9">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y</w:t>
      </w:r>
      <w:r>
        <w:rPr>
          <w:rFonts w:ascii="Arial Narrow" w:hAnsi="Arial Narrow" w:cs="Tahoma"/>
          <w:bCs/>
          <w:color w:val="000000"/>
          <w:sz w:val="28"/>
          <w:szCs w:val="28"/>
          <w:lang w:eastAsia="es-CO"/>
        </w:rPr>
        <w:t xml:space="preserve"> el suscrito magistrado </w:t>
      </w:r>
      <w:r w:rsidRPr="008105C9">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recurso de apelación interpuesto por el </w:t>
      </w:r>
      <w:r w:rsidR="00317FEE">
        <w:rPr>
          <w:rFonts w:ascii="Arial Narrow" w:hAnsi="Arial Narrow" w:cs="Tahoma"/>
          <w:bCs/>
          <w:color w:val="000000"/>
          <w:sz w:val="28"/>
          <w:szCs w:val="28"/>
          <w:lang w:eastAsia="es-CO"/>
        </w:rPr>
        <w:t xml:space="preserve">Ministerio Publico y el grado jurisdiccional de consulta frente a </w:t>
      </w:r>
      <w:r>
        <w:rPr>
          <w:rFonts w:ascii="Arial Narrow" w:hAnsi="Arial Narrow" w:cs="Tahoma"/>
          <w:bCs/>
          <w:color w:val="000000"/>
          <w:sz w:val="28"/>
          <w:szCs w:val="28"/>
          <w:lang w:eastAsia="es-CO"/>
        </w:rPr>
        <w:t xml:space="preserve">la </w:t>
      </w:r>
      <w:r w:rsidRPr="008105C9">
        <w:rPr>
          <w:rFonts w:ascii="Arial Narrow" w:hAnsi="Arial Narrow" w:cs="Arial"/>
          <w:sz w:val="28"/>
          <w:szCs w:val="28"/>
        </w:rPr>
        <w:t>sentencia proferida el</w:t>
      </w:r>
      <w:r>
        <w:rPr>
          <w:rFonts w:ascii="Arial Narrow" w:hAnsi="Arial Narrow" w:cs="Arial"/>
          <w:sz w:val="28"/>
          <w:szCs w:val="28"/>
        </w:rPr>
        <w:t xml:space="preserve"> </w:t>
      </w:r>
      <w:r w:rsidR="00317FEE">
        <w:rPr>
          <w:rFonts w:ascii="Arial Narrow" w:hAnsi="Arial Narrow" w:cs="Arial"/>
          <w:sz w:val="28"/>
          <w:szCs w:val="28"/>
        </w:rPr>
        <w:t>26 de octubre de 2016</w:t>
      </w:r>
      <w:r>
        <w:rPr>
          <w:rFonts w:ascii="Arial Narrow" w:hAnsi="Arial Narrow" w:cs="Arial"/>
          <w:sz w:val="28"/>
          <w:szCs w:val="28"/>
        </w:rPr>
        <w:t xml:space="preserve"> </w:t>
      </w:r>
      <w:r w:rsidRPr="008105C9">
        <w:rPr>
          <w:rFonts w:ascii="Arial Narrow" w:hAnsi="Arial Narrow" w:cs="Arial"/>
          <w:sz w:val="28"/>
          <w:szCs w:val="28"/>
        </w:rPr>
        <w:t xml:space="preserve">por el Juzgado </w:t>
      </w:r>
      <w:r w:rsidR="00317FEE">
        <w:rPr>
          <w:rFonts w:ascii="Arial Narrow" w:hAnsi="Arial Narrow" w:cs="Arial"/>
          <w:sz w:val="28"/>
          <w:szCs w:val="28"/>
        </w:rPr>
        <w:t xml:space="preserve">Segundo </w:t>
      </w:r>
      <w:r w:rsidRPr="008105C9">
        <w:rPr>
          <w:rFonts w:ascii="Arial Narrow" w:hAnsi="Arial Narrow" w:cs="Arial"/>
          <w:sz w:val="28"/>
          <w:szCs w:val="28"/>
        </w:rPr>
        <w:t xml:space="preserve">Laboral del Circuito de Pereira, dentro del proceso ordinario laboral promovido por </w:t>
      </w:r>
      <w:r w:rsidR="00317FEE">
        <w:rPr>
          <w:rFonts w:ascii="Arial Narrow" w:hAnsi="Arial Narrow" w:cs="Arial"/>
          <w:i/>
          <w:iCs/>
          <w:sz w:val="28"/>
          <w:szCs w:val="28"/>
        </w:rPr>
        <w:t xml:space="preserve">Martha Cecilia Gutiérrez Mejía </w:t>
      </w:r>
      <w:r w:rsidRPr="00F51071">
        <w:rPr>
          <w:rFonts w:ascii="Arial Narrow" w:hAnsi="Arial Narrow" w:cs="Arial"/>
          <w:sz w:val="28"/>
          <w:szCs w:val="28"/>
        </w:rPr>
        <w:t xml:space="preserve">contra la </w:t>
      </w:r>
      <w:r w:rsidRPr="00F51071">
        <w:rPr>
          <w:rFonts w:ascii="Arial Narrow" w:hAnsi="Arial Narrow" w:cs="Arial"/>
          <w:i/>
          <w:sz w:val="28"/>
          <w:szCs w:val="28"/>
        </w:rPr>
        <w:t>Administradora Colomb</w:t>
      </w:r>
      <w:r>
        <w:rPr>
          <w:rFonts w:ascii="Arial Narrow" w:hAnsi="Arial Narrow" w:cs="Arial"/>
          <w:i/>
          <w:sz w:val="28"/>
          <w:szCs w:val="28"/>
        </w:rPr>
        <w:t xml:space="preserve">iana de Pensiones </w:t>
      </w:r>
      <w:proofErr w:type="spellStart"/>
      <w:r>
        <w:rPr>
          <w:rFonts w:ascii="Arial Narrow" w:hAnsi="Arial Narrow" w:cs="Arial"/>
          <w:i/>
          <w:sz w:val="28"/>
          <w:szCs w:val="28"/>
        </w:rPr>
        <w:t>Colpensiones</w:t>
      </w:r>
      <w:proofErr w:type="spellEnd"/>
      <w:r>
        <w:rPr>
          <w:rFonts w:ascii="Arial Narrow" w:hAnsi="Arial Narrow" w:cs="Arial"/>
          <w:i/>
          <w:sz w:val="28"/>
          <w:szCs w:val="28"/>
        </w:rPr>
        <w:t>.</w:t>
      </w:r>
    </w:p>
    <w:p w:rsidR="00EB77D8" w:rsidRPr="009D4190" w:rsidRDefault="00EB77D8" w:rsidP="009D4190">
      <w:pPr>
        <w:pStyle w:val="Sinespaciado"/>
      </w:pPr>
    </w:p>
    <w:p w:rsidR="00EB77D8" w:rsidRPr="00685EF6" w:rsidRDefault="00EB77D8" w:rsidP="00EB77D8">
      <w:pPr>
        <w:spacing w:line="360" w:lineRule="auto"/>
        <w:ind w:firstLine="851"/>
        <w:jc w:val="both"/>
        <w:rPr>
          <w:rFonts w:ascii="Arial Narrow" w:hAnsi="Arial Narrow" w:cs="Arial"/>
          <w:color w:val="FF0000"/>
          <w:sz w:val="28"/>
          <w:szCs w:val="28"/>
        </w:rPr>
      </w:pPr>
      <w:r>
        <w:rPr>
          <w:rFonts w:ascii="Arial Narrow" w:hAnsi="Arial Narrow" w:cs="Arial"/>
          <w:i/>
          <w:sz w:val="28"/>
          <w:szCs w:val="28"/>
        </w:rPr>
        <w:t xml:space="preserve">IDENTIFICACIÓN DE LOS PRESENTES </w:t>
      </w:r>
    </w:p>
    <w:p w:rsidR="00EB77D8" w:rsidRPr="009D4190" w:rsidRDefault="00EB77D8" w:rsidP="009D4190">
      <w:pPr>
        <w:pStyle w:val="Sinespaciado"/>
      </w:pPr>
    </w:p>
    <w:p w:rsidR="00EB77D8" w:rsidRPr="00F51071" w:rsidRDefault="00EB77D8" w:rsidP="00EB77D8">
      <w:pPr>
        <w:pStyle w:val="Prrafodelista"/>
        <w:numPr>
          <w:ilvl w:val="0"/>
          <w:numId w:val="1"/>
        </w:numPr>
        <w:spacing w:line="360" w:lineRule="auto"/>
        <w:rPr>
          <w:rFonts w:ascii="Arial Narrow" w:hAnsi="Arial Narrow" w:cs="Tahoma"/>
          <w:sz w:val="28"/>
          <w:szCs w:val="28"/>
        </w:rPr>
      </w:pPr>
      <w:r w:rsidRPr="00F51071">
        <w:rPr>
          <w:rFonts w:ascii="Arial Narrow" w:hAnsi="Arial Narrow" w:cs="Tahoma"/>
          <w:i/>
          <w:sz w:val="28"/>
          <w:szCs w:val="28"/>
        </w:rPr>
        <w:t>INTRODUCCIÓN</w:t>
      </w:r>
    </w:p>
    <w:p w:rsidR="00EB77D8" w:rsidRPr="00317FEE" w:rsidRDefault="00EB77D8" w:rsidP="00317FEE">
      <w:pPr>
        <w:pStyle w:val="Sinespaciado"/>
      </w:pPr>
    </w:p>
    <w:p w:rsidR="00EB77D8" w:rsidRDefault="00317FEE" w:rsidP="00EB77D8">
      <w:pPr>
        <w:spacing w:line="360" w:lineRule="auto"/>
        <w:ind w:firstLine="900"/>
        <w:jc w:val="both"/>
        <w:rPr>
          <w:rFonts w:ascii="Arial Narrow" w:hAnsi="Arial Narrow" w:cs="Tahoma"/>
          <w:sz w:val="28"/>
          <w:szCs w:val="28"/>
        </w:rPr>
      </w:pPr>
      <w:r>
        <w:rPr>
          <w:rFonts w:ascii="Arial Narrow" w:hAnsi="Arial Narrow" w:cs="Tahoma"/>
          <w:sz w:val="28"/>
          <w:szCs w:val="28"/>
        </w:rPr>
        <w:t>La</w:t>
      </w:r>
      <w:r w:rsidR="00EB77D8">
        <w:rPr>
          <w:rFonts w:ascii="Arial Narrow" w:hAnsi="Arial Narrow" w:cs="Tahoma"/>
          <w:sz w:val="28"/>
          <w:szCs w:val="28"/>
        </w:rPr>
        <w:t xml:space="preserve"> demandante pretende que se declare que </w:t>
      </w:r>
      <w:r w:rsidR="002B2457">
        <w:rPr>
          <w:rFonts w:ascii="Arial Narrow" w:hAnsi="Arial Narrow" w:cs="Tahoma"/>
          <w:sz w:val="28"/>
          <w:szCs w:val="28"/>
        </w:rPr>
        <w:t>tiene derecho a la pensión de vejez con fundamento en la Ley 33 de 1985, y en consecuencia,</w:t>
      </w:r>
      <w:r w:rsidR="00EB77D8">
        <w:rPr>
          <w:rFonts w:ascii="Arial Narrow" w:hAnsi="Arial Narrow" w:cs="Tahoma"/>
          <w:sz w:val="28"/>
          <w:szCs w:val="28"/>
        </w:rPr>
        <w:t xml:space="preserve"> se condene a la entidad demandada a</w:t>
      </w:r>
      <w:r w:rsidR="002B2457">
        <w:rPr>
          <w:rFonts w:ascii="Arial Narrow" w:hAnsi="Arial Narrow" w:cs="Tahoma"/>
          <w:sz w:val="28"/>
          <w:szCs w:val="28"/>
        </w:rPr>
        <w:t xml:space="preserve"> su reconocimiento y pago a partir del 19 de octubre de 2011, junto con el retroactivo pensional, los intereses moratorios de que trata el artículo 141 de la Ley 100/93</w:t>
      </w:r>
      <w:r w:rsidR="001A4975">
        <w:rPr>
          <w:rFonts w:ascii="Arial Narrow" w:hAnsi="Arial Narrow" w:cs="Tahoma"/>
          <w:sz w:val="28"/>
          <w:szCs w:val="28"/>
        </w:rPr>
        <w:t xml:space="preserve">, más las costas del proceso. </w:t>
      </w:r>
    </w:p>
    <w:p w:rsidR="00EB77D8" w:rsidRPr="009D4190" w:rsidRDefault="00EB77D8" w:rsidP="009D4190">
      <w:pPr>
        <w:pStyle w:val="Sinespaciado"/>
      </w:pPr>
    </w:p>
    <w:p w:rsidR="001A4975" w:rsidRDefault="00EB77D8" w:rsidP="00EB77D8">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Como fundamento fáctico de tales pretensiones, indicó que</w:t>
      </w:r>
      <w:r w:rsidR="001A4975">
        <w:rPr>
          <w:rFonts w:ascii="Arial Narrow" w:hAnsi="Arial Narrow" w:cs="Tahoma"/>
          <w:sz w:val="28"/>
          <w:szCs w:val="28"/>
        </w:rPr>
        <w:t xml:space="preserve"> naci</w:t>
      </w:r>
      <w:r w:rsidR="00227F83">
        <w:rPr>
          <w:rFonts w:ascii="Arial Narrow" w:hAnsi="Arial Narrow" w:cs="Tahoma"/>
          <w:sz w:val="28"/>
          <w:szCs w:val="28"/>
        </w:rPr>
        <w:t xml:space="preserve">ó el 19 de octubre de 1956; que prestó sus servicios en el sector público, concretamente, en las Empresas Públicas de Pereira, desde el 7 de julio de 1977 al 31 de marzo de 1998, teniendo como último cargo el de Auxiliar en la Subgerencia de Red; que dicho empleador canceló los aportes para cubrir las contingencias de invalidez, vejez y muerte ante el </w:t>
      </w:r>
      <w:proofErr w:type="spellStart"/>
      <w:r w:rsidR="00227F83">
        <w:rPr>
          <w:rFonts w:ascii="Arial Narrow" w:hAnsi="Arial Narrow" w:cs="Tahoma"/>
          <w:sz w:val="28"/>
          <w:szCs w:val="28"/>
        </w:rPr>
        <w:t>ISS</w:t>
      </w:r>
      <w:proofErr w:type="spellEnd"/>
      <w:r w:rsidR="00227F83">
        <w:rPr>
          <w:rFonts w:ascii="Arial Narrow" w:hAnsi="Arial Narrow" w:cs="Tahoma"/>
          <w:sz w:val="28"/>
          <w:szCs w:val="28"/>
        </w:rPr>
        <w:t xml:space="preserve"> hoy </w:t>
      </w:r>
      <w:proofErr w:type="spellStart"/>
      <w:r w:rsidR="00227F83">
        <w:rPr>
          <w:rFonts w:ascii="Arial Narrow" w:hAnsi="Arial Narrow" w:cs="Tahoma"/>
          <w:sz w:val="28"/>
          <w:szCs w:val="28"/>
        </w:rPr>
        <w:t>Colpensiones</w:t>
      </w:r>
      <w:proofErr w:type="spellEnd"/>
      <w:r w:rsidR="00227F83">
        <w:rPr>
          <w:rFonts w:ascii="Arial Narrow" w:hAnsi="Arial Narrow" w:cs="Tahoma"/>
          <w:sz w:val="28"/>
          <w:szCs w:val="28"/>
        </w:rPr>
        <w:t xml:space="preserve">; </w:t>
      </w:r>
      <w:r w:rsidR="00AA31D0">
        <w:rPr>
          <w:rFonts w:ascii="Arial Narrow" w:hAnsi="Arial Narrow" w:cs="Tahoma"/>
          <w:sz w:val="28"/>
          <w:szCs w:val="28"/>
        </w:rPr>
        <w:t xml:space="preserve">que el 15 de agosto de 2013 solicitó ante la entidad demandada la pensión de vejez, no obstante, le fue negada mediante resolución </w:t>
      </w:r>
      <w:proofErr w:type="spellStart"/>
      <w:r w:rsidR="00AA31D0">
        <w:rPr>
          <w:rFonts w:ascii="Arial Narrow" w:hAnsi="Arial Narrow" w:cs="Tahoma"/>
          <w:sz w:val="28"/>
          <w:szCs w:val="28"/>
        </w:rPr>
        <w:t>GNR</w:t>
      </w:r>
      <w:proofErr w:type="spellEnd"/>
      <w:r w:rsidR="00AA31D0">
        <w:rPr>
          <w:rFonts w:ascii="Arial Narrow" w:hAnsi="Arial Narrow" w:cs="Tahoma"/>
          <w:sz w:val="28"/>
          <w:szCs w:val="28"/>
        </w:rPr>
        <w:t xml:space="preserve"> 207846 de 2013, con el argumento de que acreditaba</w:t>
      </w:r>
      <w:r w:rsidR="002E1392">
        <w:rPr>
          <w:rFonts w:ascii="Arial Narrow" w:hAnsi="Arial Narrow" w:cs="Tahoma"/>
          <w:sz w:val="28"/>
          <w:szCs w:val="28"/>
        </w:rPr>
        <w:t xml:space="preserve"> sólo</w:t>
      </w:r>
      <w:r w:rsidR="00AA31D0">
        <w:rPr>
          <w:rFonts w:ascii="Arial Narrow" w:hAnsi="Arial Narrow" w:cs="Tahoma"/>
          <w:sz w:val="28"/>
          <w:szCs w:val="28"/>
        </w:rPr>
        <w:t xml:space="preserve"> 959 semanas. </w:t>
      </w:r>
    </w:p>
    <w:p w:rsidR="001A4975" w:rsidRPr="009D4190" w:rsidRDefault="001A4975" w:rsidP="009D4190">
      <w:pPr>
        <w:pStyle w:val="Sinespaciado"/>
      </w:pPr>
    </w:p>
    <w:p w:rsidR="00FC318B" w:rsidRDefault="00EB77D8" w:rsidP="00EB77D8">
      <w:pPr>
        <w:spacing w:line="360" w:lineRule="auto"/>
        <w:ind w:firstLine="708"/>
        <w:jc w:val="both"/>
        <w:rPr>
          <w:rFonts w:ascii="Arial Narrow" w:hAnsi="Arial Narrow" w:cs="Arial"/>
          <w:sz w:val="28"/>
          <w:szCs w:val="28"/>
        </w:rPr>
      </w:pPr>
      <w:r>
        <w:rPr>
          <w:rFonts w:ascii="Arial Narrow" w:hAnsi="Arial Narrow" w:cs="Arial"/>
          <w:sz w:val="28"/>
          <w:szCs w:val="28"/>
        </w:rPr>
        <w:t xml:space="preserve">Admitida la demanda se corrió traslado a </w:t>
      </w:r>
      <w:proofErr w:type="spellStart"/>
      <w:r w:rsidRPr="009868D1">
        <w:rPr>
          <w:rFonts w:ascii="Arial Narrow" w:hAnsi="Arial Narrow" w:cs="Arial"/>
          <w:sz w:val="28"/>
          <w:szCs w:val="28"/>
        </w:rPr>
        <w:t>Colpensiones</w:t>
      </w:r>
      <w:proofErr w:type="spellEnd"/>
      <w:r>
        <w:rPr>
          <w:rFonts w:ascii="Arial Narrow" w:hAnsi="Arial Narrow" w:cs="Arial"/>
          <w:b/>
          <w:sz w:val="28"/>
          <w:szCs w:val="28"/>
        </w:rPr>
        <w:t xml:space="preserve">, </w:t>
      </w:r>
      <w:r w:rsidRPr="00881C80">
        <w:rPr>
          <w:rFonts w:ascii="Arial Narrow" w:hAnsi="Arial Narrow" w:cs="Arial"/>
          <w:sz w:val="28"/>
          <w:szCs w:val="28"/>
        </w:rPr>
        <w:t>quien</w:t>
      </w:r>
      <w:r w:rsidR="00AA31D0">
        <w:rPr>
          <w:rFonts w:ascii="Arial Narrow" w:hAnsi="Arial Narrow" w:cs="Arial"/>
          <w:sz w:val="28"/>
          <w:szCs w:val="28"/>
        </w:rPr>
        <w:t xml:space="preserve"> a través de apoderada judicial alleg</w:t>
      </w:r>
      <w:r w:rsidR="002E1392">
        <w:rPr>
          <w:rFonts w:ascii="Arial Narrow" w:hAnsi="Arial Narrow" w:cs="Arial"/>
          <w:sz w:val="28"/>
          <w:szCs w:val="28"/>
        </w:rPr>
        <w:t>ó respuesta, manifestando aceptaci</w:t>
      </w:r>
      <w:r w:rsidR="00FC318B">
        <w:rPr>
          <w:rFonts w:ascii="Arial Narrow" w:hAnsi="Arial Narrow" w:cs="Arial"/>
          <w:sz w:val="28"/>
          <w:szCs w:val="28"/>
        </w:rPr>
        <w:t xml:space="preserve">ón </w:t>
      </w:r>
      <w:r w:rsidR="002E1392">
        <w:rPr>
          <w:rFonts w:ascii="Arial Narrow" w:hAnsi="Arial Narrow" w:cs="Arial"/>
          <w:sz w:val="28"/>
          <w:szCs w:val="28"/>
        </w:rPr>
        <w:t xml:space="preserve">a los hechos de la demanda, </w:t>
      </w:r>
      <w:r w:rsidR="00FC318B">
        <w:rPr>
          <w:rFonts w:ascii="Arial Narrow" w:hAnsi="Arial Narrow" w:cs="Arial"/>
          <w:sz w:val="28"/>
          <w:szCs w:val="28"/>
        </w:rPr>
        <w:t xml:space="preserve">salvo el </w:t>
      </w:r>
      <w:r w:rsidR="002E1392">
        <w:rPr>
          <w:rFonts w:ascii="Arial Narrow" w:hAnsi="Arial Narrow" w:cs="Arial"/>
          <w:sz w:val="28"/>
          <w:szCs w:val="28"/>
        </w:rPr>
        <w:t xml:space="preserve">relacionado con la densidad de semanas cotizadas </w:t>
      </w:r>
      <w:r w:rsidR="00FC318B">
        <w:rPr>
          <w:rFonts w:ascii="Arial Narrow" w:hAnsi="Arial Narrow" w:cs="Arial"/>
          <w:sz w:val="28"/>
          <w:szCs w:val="28"/>
        </w:rPr>
        <w:t xml:space="preserve">al sistema pensional. Se opuso a la prosperidad de las pretensiones y propuso como excepciones de fondo las de “Inexistencia de la obligación demandada”, “Cobro de lo no debido” y “Prescripción”. </w:t>
      </w:r>
    </w:p>
    <w:p w:rsidR="00EB77D8" w:rsidRPr="00842421" w:rsidRDefault="00EB77D8" w:rsidP="00EB77D8">
      <w:pPr>
        <w:pStyle w:val="Sinespaciado"/>
        <w:spacing w:line="360" w:lineRule="auto"/>
      </w:pPr>
    </w:p>
    <w:p w:rsidR="00EB77D8" w:rsidRPr="00881C80" w:rsidRDefault="00EB77D8" w:rsidP="00EB77D8">
      <w:pPr>
        <w:pStyle w:val="Sinespaciado"/>
        <w:spacing w:line="360" w:lineRule="auto"/>
        <w:ind w:firstLine="708"/>
        <w:jc w:val="both"/>
        <w:rPr>
          <w:rFonts w:ascii="Arial Narrow" w:hAnsi="Arial Narrow" w:cs="Arial"/>
          <w:i/>
          <w:sz w:val="28"/>
          <w:szCs w:val="28"/>
        </w:rPr>
      </w:pPr>
      <w:r>
        <w:rPr>
          <w:rFonts w:ascii="Arial Narrow" w:hAnsi="Arial Narrow" w:cs="Arial"/>
          <w:i/>
          <w:sz w:val="28"/>
          <w:szCs w:val="28"/>
        </w:rPr>
        <w:t xml:space="preserve">SENTENCIA DEL JUZGADO </w:t>
      </w:r>
    </w:p>
    <w:p w:rsidR="00EB77D8" w:rsidRPr="009A6E38" w:rsidRDefault="00EB77D8" w:rsidP="00EB77D8">
      <w:pPr>
        <w:pStyle w:val="Sinespaciado"/>
      </w:pPr>
    </w:p>
    <w:p w:rsidR="00FC318B" w:rsidRDefault="00EB77D8" w:rsidP="00EB77D8">
      <w:pPr>
        <w:spacing w:line="360" w:lineRule="auto"/>
        <w:ind w:firstLine="708"/>
        <w:jc w:val="both"/>
        <w:rPr>
          <w:rFonts w:ascii="Arial Narrow" w:hAnsi="Arial Narrow" w:cs="Arial"/>
          <w:sz w:val="28"/>
          <w:szCs w:val="28"/>
        </w:rPr>
      </w:pPr>
      <w:r>
        <w:rPr>
          <w:rFonts w:ascii="Arial Narrow" w:hAnsi="Arial Narrow" w:cs="Arial"/>
          <w:sz w:val="28"/>
          <w:szCs w:val="28"/>
        </w:rPr>
        <w:t>La Jueza del conocimiento</w:t>
      </w:r>
      <w:r w:rsidR="007D2D42">
        <w:rPr>
          <w:rFonts w:ascii="Arial Narrow" w:hAnsi="Arial Narrow" w:cs="Arial"/>
          <w:sz w:val="28"/>
          <w:szCs w:val="28"/>
        </w:rPr>
        <w:t xml:space="preserve"> puso fin a la primera instancia </w:t>
      </w:r>
      <w:r>
        <w:rPr>
          <w:rFonts w:ascii="Arial Narrow" w:hAnsi="Arial Narrow" w:cs="Arial"/>
          <w:sz w:val="28"/>
          <w:szCs w:val="28"/>
        </w:rPr>
        <w:t>mediante fallo del 2</w:t>
      </w:r>
      <w:r w:rsidR="00FC318B">
        <w:rPr>
          <w:rFonts w:ascii="Arial Narrow" w:hAnsi="Arial Narrow" w:cs="Arial"/>
          <w:sz w:val="28"/>
          <w:szCs w:val="28"/>
        </w:rPr>
        <w:t>6 de octubre de 2016</w:t>
      </w:r>
      <w:r w:rsidR="0036718D">
        <w:rPr>
          <w:rFonts w:ascii="Arial Narrow" w:hAnsi="Arial Narrow" w:cs="Arial"/>
          <w:sz w:val="28"/>
          <w:szCs w:val="28"/>
        </w:rPr>
        <w:t xml:space="preserve">, </w:t>
      </w:r>
      <w:r w:rsidR="007D2D42">
        <w:rPr>
          <w:rFonts w:ascii="Arial Narrow" w:hAnsi="Arial Narrow" w:cs="Arial"/>
          <w:sz w:val="28"/>
          <w:szCs w:val="28"/>
        </w:rPr>
        <w:t xml:space="preserve">en el que declaró </w:t>
      </w:r>
      <w:r w:rsidR="0036718D">
        <w:rPr>
          <w:rFonts w:ascii="Arial Narrow" w:hAnsi="Arial Narrow" w:cs="Arial"/>
          <w:sz w:val="28"/>
          <w:szCs w:val="28"/>
        </w:rPr>
        <w:t xml:space="preserve">que la señora Martha Cecilia Gutiérrez Mejía es beneficiaria del régimen de transición previsto en el artículo 36 de la Ley 100 de 1993, por contar con más de 35 años al 1º de abril de 1994, y tener más de 750 semanas al 29 de julio de 2005, fecha de entrada en vigencia del Acto Legislativo 01 de 2005. En consecuencia, condenó a </w:t>
      </w:r>
      <w:proofErr w:type="spellStart"/>
      <w:r w:rsidR="0036718D">
        <w:rPr>
          <w:rFonts w:ascii="Arial Narrow" w:hAnsi="Arial Narrow" w:cs="Arial"/>
          <w:sz w:val="28"/>
          <w:szCs w:val="28"/>
        </w:rPr>
        <w:t>Colpensiones</w:t>
      </w:r>
      <w:proofErr w:type="spellEnd"/>
      <w:r w:rsidR="0036718D">
        <w:rPr>
          <w:rFonts w:ascii="Arial Narrow" w:hAnsi="Arial Narrow" w:cs="Arial"/>
          <w:sz w:val="28"/>
          <w:szCs w:val="28"/>
        </w:rPr>
        <w:t xml:space="preserve"> a reconocer y pagar en favor de la actora la pensión de jubilación contenida en la Ley 33 de 1985, a partir del 19 de octubre de 2011,</w:t>
      </w:r>
      <w:r w:rsidR="00F81B69">
        <w:rPr>
          <w:rFonts w:ascii="Arial Narrow" w:hAnsi="Arial Narrow" w:cs="Arial"/>
          <w:sz w:val="28"/>
          <w:szCs w:val="28"/>
        </w:rPr>
        <w:t xml:space="preserve"> calenda en que alcanzó el requisito de la edad y tenía más de 20 años de servicios al sector público, </w:t>
      </w:r>
      <w:r w:rsidR="007D2D42">
        <w:rPr>
          <w:rFonts w:ascii="Arial Narrow" w:hAnsi="Arial Narrow" w:cs="Arial"/>
          <w:sz w:val="28"/>
          <w:szCs w:val="28"/>
        </w:rPr>
        <w:t>en cuant</w:t>
      </w:r>
      <w:r w:rsidR="00F81B69">
        <w:rPr>
          <w:rFonts w:ascii="Arial Narrow" w:hAnsi="Arial Narrow" w:cs="Arial"/>
          <w:sz w:val="28"/>
          <w:szCs w:val="28"/>
        </w:rPr>
        <w:t xml:space="preserve">ía de 858.524 y </w:t>
      </w:r>
      <w:r w:rsidR="007D2D42">
        <w:rPr>
          <w:rFonts w:ascii="Arial Narrow" w:hAnsi="Arial Narrow" w:cs="Arial"/>
          <w:sz w:val="28"/>
          <w:szCs w:val="28"/>
        </w:rPr>
        <w:t>con derecho a 13 mesadas.</w:t>
      </w:r>
      <w:r w:rsidR="0036718D">
        <w:rPr>
          <w:rFonts w:ascii="Arial Narrow" w:hAnsi="Arial Narrow" w:cs="Arial"/>
          <w:sz w:val="28"/>
          <w:szCs w:val="28"/>
        </w:rPr>
        <w:t xml:space="preserve"> Impuso condena por concepto de retroactivo pensional en la suma de $68</w:t>
      </w:r>
      <w:r w:rsidR="007D2D42">
        <w:rPr>
          <w:rFonts w:ascii="Arial Narrow" w:hAnsi="Arial Narrow" w:cs="Arial"/>
          <w:sz w:val="28"/>
          <w:szCs w:val="28"/>
        </w:rPr>
        <w:t>`482.782.</w:t>
      </w:r>
      <w:r w:rsidR="0036718D">
        <w:rPr>
          <w:rFonts w:ascii="Arial Narrow" w:hAnsi="Arial Narrow" w:cs="Arial"/>
          <w:sz w:val="28"/>
          <w:szCs w:val="28"/>
        </w:rPr>
        <w:t xml:space="preserve"> </w:t>
      </w:r>
      <w:r w:rsidR="00F81B69">
        <w:rPr>
          <w:rFonts w:ascii="Arial Narrow" w:hAnsi="Arial Narrow" w:cs="Arial"/>
          <w:sz w:val="28"/>
          <w:szCs w:val="28"/>
        </w:rPr>
        <w:t xml:space="preserve">Negó el reconocimiento y pago de los intereses de mora y condenó en costas a la parte vencida en juicio en un 80%. </w:t>
      </w:r>
    </w:p>
    <w:p w:rsidR="00EB77D8" w:rsidRDefault="00EB77D8" w:rsidP="00EB77D8">
      <w:pPr>
        <w:pStyle w:val="Sinespaciado"/>
        <w:spacing w:line="360" w:lineRule="auto"/>
      </w:pPr>
    </w:p>
    <w:p w:rsidR="00EB77D8" w:rsidRPr="0098294E" w:rsidRDefault="00EB77D8" w:rsidP="00EB77D8">
      <w:pPr>
        <w:spacing w:line="360" w:lineRule="auto"/>
        <w:ind w:firstLine="708"/>
        <w:jc w:val="both"/>
        <w:rPr>
          <w:rFonts w:ascii="Arial Narrow" w:hAnsi="Arial Narrow" w:cs="Arial"/>
          <w:i/>
          <w:sz w:val="28"/>
          <w:szCs w:val="28"/>
        </w:rPr>
      </w:pPr>
      <w:r w:rsidRPr="0098294E">
        <w:rPr>
          <w:rFonts w:ascii="Arial Narrow" w:hAnsi="Arial Narrow" w:cs="Arial"/>
          <w:i/>
          <w:sz w:val="28"/>
          <w:szCs w:val="28"/>
        </w:rPr>
        <w:t>RECURSO DE APELACIÓN.</w:t>
      </w:r>
    </w:p>
    <w:p w:rsidR="00EB77D8" w:rsidRPr="009D4190" w:rsidRDefault="00EB77D8" w:rsidP="009D4190">
      <w:pPr>
        <w:pStyle w:val="Sinespaciado"/>
      </w:pPr>
    </w:p>
    <w:p w:rsidR="00F81B69" w:rsidRDefault="00F81B69" w:rsidP="00EB77D8">
      <w:pPr>
        <w:spacing w:line="360" w:lineRule="auto"/>
        <w:ind w:firstLine="708"/>
        <w:jc w:val="both"/>
        <w:rPr>
          <w:rFonts w:ascii="Arial Narrow" w:hAnsi="Arial Narrow" w:cs="Arial"/>
          <w:sz w:val="28"/>
          <w:szCs w:val="28"/>
        </w:rPr>
      </w:pPr>
      <w:r>
        <w:rPr>
          <w:rFonts w:ascii="Arial Narrow" w:hAnsi="Arial Narrow" w:cs="Arial"/>
          <w:sz w:val="28"/>
          <w:szCs w:val="28"/>
        </w:rPr>
        <w:lastRenderedPageBreak/>
        <w:t>La agente del Ministerio Publico interpuso el recurso de alzada en orden</w:t>
      </w:r>
      <w:r w:rsidR="004360FE">
        <w:rPr>
          <w:rFonts w:ascii="Arial Narrow" w:hAnsi="Arial Narrow" w:cs="Arial"/>
          <w:sz w:val="28"/>
          <w:szCs w:val="28"/>
        </w:rPr>
        <w:t xml:space="preserve"> </w:t>
      </w:r>
      <w:r w:rsidR="00EF78BE">
        <w:rPr>
          <w:rFonts w:ascii="Arial Narrow" w:hAnsi="Arial Narrow" w:cs="Arial"/>
          <w:sz w:val="28"/>
          <w:szCs w:val="28"/>
        </w:rPr>
        <w:t>a</w:t>
      </w:r>
      <w:r>
        <w:rPr>
          <w:rFonts w:ascii="Arial Narrow" w:hAnsi="Arial Narrow" w:cs="Arial"/>
          <w:sz w:val="28"/>
          <w:szCs w:val="28"/>
        </w:rPr>
        <w:t xml:space="preserve"> que se revise la liquidación del </w:t>
      </w:r>
      <w:proofErr w:type="spellStart"/>
      <w:r>
        <w:rPr>
          <w:rFonts w:ascii="Arial Narrow" w:hAnsi="Arial Narrow" w:cs="Arial"/>
          <w:sz w:val="28"/>
          <w:szCs w:val="28"/>
        </w:rPr>
        <w:t>IBL</w:t>
      </w:r>
      <w:proofErr w:type="spellEnd"/>
      <w:r>
        <w:rPr>
          <w:rFonts w:ascii="Arial Narrow" w:hAnsi="Arial Narrow" w:cs="Arial"/>
          <w:sz w:val="28"/>
          <w:szCs w:val="28"/>
        </w:rPr>
        <w:t xml:space="preserve"> y </w:t>
      </w:r>
      <w:r w:rsidR="004360FE">
        <w:rPr>
          <w:rFonts w:ascii="Arial Narrow" w:hAnsi="Arial Narrow" w:cs="Arial"/>
          <w:sz w:val="28"/>
          <w:szCs w:val="28"/>
        </w:rPr>
        <w:t>d</w:t>
      </w:r>
      <w:r>
        <w:rPr>
          <w:rFonts w:ascii="Arial Narrow" w:hAnsi="Arial Narrow" w:cs="Arial"/>
          <w:sz w:val="28"/>
          <w:szCs w:val="28"/>
        </w:rPr>
        <w:t xml:space="preserve">el retroactivo pensional </w:t>
      </w:r>
      <w:r w:rsidR="004360FE">
        <w:rPr>
          <w:rFonts w:ascii="Arial Narrow" w:hAnsi="Arial Narrow" w:cs="Arial"/>
          <w:sz w:val="28"/>
          <w:szCs w:val="28"/>
        </w:rPr>
        <w:t xml:space="preserve">reconocido </w:t>
      </w:r>
      <w:r w:rsidR="00EF78BE">
        <w:rPr>
          <w:rFonts w:ascii="Arial Narrow" w:hAnsi="Arial Narrow" w:cs="Arial"/>
          <w:sz w:val="28"/>
          <w:szCs w:val="28"/>
        </w:rPr>
        <w:t xml:space="preserve">por el juzgado, pues se incurrió en un error en su cuantificación. </w:t>
      </w:r>
      <w:r w:rsidR="004360FE">
        <w:rPr>
          <w:rFonts w:ascii="Arial Narrow" w:hAnsi="Arial Narrow" w:cs="Arial"/>
          <w:sz w:val="28"/>
          <w:szCs w:val="28"/>
        </w:rPr>
        <w:t xml:space="preserve">Para el efecto, señaló que el Ingreso Base de Liquidación debió calcularse con base en 3.600 días y no con 3.650, y que </w:t>
      </w:r>
      <w:r w:rsidR="00B71728">
        <w:rPr>
          <w:rFonts w:ascii="Arial Narrow" w:hAnsi="Arial Narrow" w:cs="Arial"/>
          <w:sz w:val="28"/>
          <w:szCs w:val="28"/>
        </w:rPr>
        <w:t xml:space="preserve">para </w:t>
      </w:r>
      <w:r w:rsidR="004360FE">
        <w:rPr>
          <w:rFonts w:ascii="Arial Narrow" w:hAnsi="Arial Narrow" w:cs="Arial"/>
          <w:sz w:val="28"/>
          <w:szCs w:val="28"/>
        </w:rPr>
        <w:t xml:space="preserve">el retroactivo pensional </w:t>
      </w:r>
      <w:r w:rsidR="00B71728">
        <w:rPr>
          <w:rFonts w:ascii="Arial Narrow" w:hAnsi="Arial Narrow" w:cs="Arial"/>
          <w:sz w:val="28"/>
          <w:szCs w:val="28"/>
        </w:rPr>
        <w:t>del año 2011, se tomaron e</w:t>
      </w:r>
      <w:r w:rsidR="00EF78BE">
        <w:rPr>
          <w:rFonts w:ascii="Arial Narrow" w:hAnsi="Arial Narrow" w:cs="Arial"/>
          <w:sz w:val="28"/>
          <w:szCs w:val="28"/>
        </w:rPr>
        <w:t xml:space="preserve">n cuenta 13 mesadas anuales, cuando correspondían 2 mesadas y 12 días del mes de octubre. </w:t>
      </w:r>
    </w:p>
    <w:p w:rsidR="00201C2A" w:rsidRPr="00201C2A" w:rsidRDefault="00201C2A" w:rsidP="00201C2A">
      <w:pPr>
        <w:pStyle w:val="Sinespaciado"/>
      </w:pPr>
    </w:p>
    <w:p w:rsidR="00201C2A" w:rsidRPr="00B51C36" w:rsidRDefault="00201C2A" w:rsidP="00201C2A">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De otra parte</w:t>
      </w:r>
      <w:r w:rsidRPr="00EF5B9B">
        <w:rPr>
          <w:rFonts w:ascii="Arial Narrow" w:hAnsi="Arial Narrow" w:cs="Tahoma"/>
          <w:b/>
          <w:sz w:val="28"/>
          <w:szCs w:val="28"/>
        </w:rPr>
        <w:t>,</w:t>
      </w:r>
      <w:r>
        <w:rPr>
          <w:rFonts w:ascii="Arial Narrow" w:hAnsi="Arial Narrow" w:cs="Tahoma"/>
          <w:sz w:val="28"/>
          <w:szCs w:val="28"/>
        </w:rPr>
        <w:t xml:space="preserve"> a</w:t>
      </w:r>
      <w:r w:rsidRPr="00B51C36">
        <w:rPr>
          <w:rFonts w:ascii="Arial Narrow" w:hAnsi="Arial Narrow" w:cs="Tahoma"/>
          <w:sz w:val="28"/>
          <w:szCs w:val="28"/>
        </w:rPr>
        <w:t xml:space="preserve">l tenor de lo establecido en el artículo 69 del Estatuto Procesal del Trabajo y la Seguridad Social, se dispuso igualmente la consulta de la decisión por ser desfavorable a la entidad demandada. </w:t>
      </w:r>
    </w:p>
    <w:p w:rsidR="00143BCD" w:rsidRDefault="00143BCD" w:rsidP="00201C2A">
      <w:pPr>
        <w:pStyle w:val="Sinespaciado"/>
      </w:pPr>
    </w:p>
    <w:p w:rsidR="00EB77D8" w:rsidRDefault="00EB77D8" w:rsidP="00143BCD">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p>
    <w:p w:rsidR="00813B58" w:rsidRPr="00AC06EE" w:rsidRDefault="00813B58" w:rsidP="009D4190">
      <w:pPr>
        <w:ind w:right="618"/>
        <w:jc w:val="both"/>
        <w:rPr>
          <w:rFonts w:ascii="Arial Narrow" w:hAnsi="Arial Narrow"/>
          <w:i/>
          <w:iCs/>
          <w:sz w:val="28"/>
          <w:szCs w:val="28"/>
        </w:rPr>
      </w:pPr>
    </w:p>
    <w:p w:rsidR="00EB77D8" w:rsidRDefault="00813B58" w:rsidP="00332BBA">
      <w:pPr>
        <w:ind w:left="720" w:right="618"/>
        <w:jc w:val="both"/>
        <w:rPr>
          <w:rFonts w:ascii="Arial Narrow" w:hAnsi="Arial Narrow"/>
          <w:i/>
          <w:iCs/>
          <w:sz w:val="28"/>
          <w:szCs w:val="28"/>
        </w:rPr>
      </w:pPr>
      <w:r w:rsidRPr="00AC06EE">
        <w:rPr>
          <w:rFonts w:ascii="Arial Narrow" w:hAnsi="Arial Narrow"/>
          <w:i/>
          <w:iCs/>
          <w:sz w:val="28"/>
          <w:szCs w:val="28"/>
        </w:rPr>
        <w:t>¿</w:t>
      </w:r>
      <w:r w:rsidR="00332BBA" w:rsidRPr="00AC06EE">
        <w:rPr>
          <w:rFonts w:ascii="Arial Narrow" w:hAnsi="Arial Narrow"/>
          <w:i/>
          <w:iCs/>
          <w:sz w:val="28"/>
          <w:szCs w:val="28"/>
        </w:rPr>
        <w:t xml:space="preserve">Reunió la </w:t>
      </w:r>
      <w:r w:rsidRPr="00AC06EE">
        <w:rPr>
          <w:rFonts w:ascii="Arial Narrow" w:hAnsi="Arial Narrow"/>
          <w:i/>
          <w:iCs/>
          <w:sz w:val="28"/>
          <w:szCs w:val="28"/>
        </w:rPr>
        <w:t xml:space="preserve">demandante los requisitos exigidos para reconocer a su favor </w:t>
      </w:r>
      <w:r w:rsidRPr="00332BBA">
        <w:rPr>
          <w:rFonts w:ascii="Arial Narrow" w:hAnsi="Arial Narrow"/>
          <w:i/>
          <w:iCs/>
          <w:sz w:val="28"/>
          <w:szCs w:val="28"/>
        </w:rPr>
        <w:t>la pensión de jubilación dispuesta en la Ley 33 de 1985</w:t>
      </w:r>
      <w:r w:rsidR="00332BBA" w:rsidRPr="00332BBA">
        <w:rPr>
          <w:rFonts w:ascii="Arial Narrow" w:hAnsi="Arial Narrow"/>
          <w:i/>
          <w:iCs/>
          <w:sz w:val="28"/>
          <w:szCs w:val="28"/>
        </w:rPr>
        <w:t>?</w:t>
      </w:r>
    </w:p>
    <w:p w:rsidR="009D4190" w:rsidRDefault="009D4190" w:rsidP="00332BBA">
      <w:pPr>
        <w:ind w:left="720" w:right="618"/>
        <w:jc w:val="both"/>
        <w:rPr>
          <w:rFonts w:ascii="Arial Narrow" w:hAnsi="Arial Narrow"/>
          <w:i/>
          <w:iCs/>
          <w:sz w:val="28"/>
          <w:szCs w:val="28"/>
        </w:rPr>
      </w:pPr>
    </w:p>
    <w:p w:rsidR="009D4190" w:rsidRPr="00AC06EE" w:rsidRDefault="009D4190" w:rsidP="009D4190">
      <w:pPr>
        <w:ind w:left="720" w:right="618"/>
        <w:jc w:val="both"/>
        <w:rPr>
          <w:rFonts w:ascii="Arial Narrow" w:hAnsi="Arial Narrow"/>
          <w:i/>
          <w:iCs/>
          <w:sz w:val="28"/>
          <w:szCs w:val="28"/>
        </w:rPr>
      </w:pPr>
      <w:r w:rsidRPr="00AC06EE">
        <w:rPr>
          <w:rFonts w:ascii="Arial Narrow" w:hAnsi="Arial Narrow"/>
          <w:i/>
          <w:iCs/>
          <w:sz w:val="28"/>
          <w:szCs w:val="28"/>
        </w:rPr>
        <w:t xml:space="preserve">¿Es la Administradora Colombiana de Pensiones la entidad llamada a responder por la pensión de jubilación que reclama la demandante? </w:t>
      </w:r>
    </w:p>
    <w:p w:rsidR="00EB77D8" w:rsidRPr="00332BBA" w:rsidRDefault="00EB77D8" w:rsidP="009D4190">
      <w:pPr>
        <w:pStyle w:val="Sinespaciado"/>
        <w:spacing w:line="360" w:lineRule="auto"/>
        <w:rPr>
          <w:rFonts w:ascii="Arial Narrow" w:hAnsi="Arial Narrow"/>
          <w:sz w:val="28"/>
          <w:szCs w:val="28"/>
        </w:rPr>
      </w:pPr>
    </w:p>
    <w:p w:rsidR="00EB77D8" w:rsidRPr="00332BBA" w:rsidRDefault="00EB77D8" w:rsidP="00EB77D8">
      <w:pPr>
        <w:tabs>
          <w:tab w:val="left" w:pos="0"/>
          <w:tab w:val="left" w:pos="8647"/>
        </w:tabs>
        <w:suppressAutoHyphens/>
        <w:spacing w:line="360" w:lineRule="auto"/>
        <w:ind w:firstLine="900"/>
        <w:jc w:val="both"/>
        <w:rPr>
          <w:rFonts w:ascii="Arial Narrow" w:hAnsi="Arial Narrow" w:cs="Tahoma"/>
          <w:sz w:val="28"/>
          <w:szCs w:val="28"/>
        </w:rPr>
      </w:pPr>
      <w:r w:rsidRPr="00332BBA">
        <w:rPr>
          <w:rFonts w:ascii="Arial Narrow" w:hAnsi="Arial Narrow" w:cs="Tahoma"/>
          <w:b/>
          <w:i/>
          <w:sz w:val="28"/>
          <w:szCs w:val="28"/>
        </w:rPr>
        <w:t>Alegatos en esta instancia</w:t>
      </w:r>
      <w:r w:rsidRPr="00332BBA">
        <w:rPr>
          <w:rFonts w:ascii="Arial Narrow" w:hAnsi="Arial Narrow" w:cs="Tahoma"/>
          <w:sz w:val="28"/>
          <w:szCs w:val="28"/>
        </w:rPr>
        <w:t>:</w:t>
      </w:r>
    </w:p>
    <w:p w:rsidR="00EB77D8" w:rsidRPr="00143BCD" w:rsidRDefault="00EB77D8" w:rsidP="00143BCD">
      <w:pPr>
        <w:pStyle w:val="Sinespaciado"/>
      </w:pPr>
    </w:p>
    <w:p w:rsidR="00EB77D8" w:rsidRPr="00BA04D0" w:rsidRDefault="00EB77D8" w:rsidP="00EB77D8">
      <w:pPr>
        <w:spacing w:line="360" w:lineRule="auto"/>
        <w:ind w:firstLine="851"/>
        <w:jc w:val="both"/>
        <w:rPr>
          <w:rFonts w:ascii="Arial Narrow" w:hAnsi="Arial Narrow" w:cs="Tahoma"/>
          <w:sz w:val="28"/>
          <w:szCs w:val="28"/>
        </w:rPr>
      </w:pPr>
      <w:r w:rsidRPr="00BA04D0">
        <w:rPr>
          <w:rFonts w:ascii="Arial Narrow" w:hAnsi="Arial Narrow" w:cs="Tahoma"/>
          <w:sz w:val="28"/>
          <w:szCs w:val="28"/>
        </w:rPr>
        <w:t>En este estado de la diligencia y antes de que</w:t>
      </w:r>
      <w:r w:rsidR="00332BBA">
        <w:rPr>
          <w:rFonts w:ascii="Arial Narrow" w:hAnsi="Arial Narrow" w:cs="Tahoma"/>
          <w:sz w:val="28"/>
          <w:szCs w:val="28"/>
        </w:rPr>
        <w:t xml:space="preserve"> la Colegiatura, de respuesta a los </w:t>
      </w:r>
      <w:r w:rsidRPr="00BA04D0">
        <w:rPr>
          <w:rFonts w:ascii="Arial Narrow" w:hAnsi="Arial Narrow" w:cs="Tahoma"/>
          <w:sz w:val="28"/>
          <w:szCs w:val="28"/>
        </w:rPr>
        <w:t>problema</w:t>
      </w:r>
      <w:r w:rsidR="00332BBA">
        <w:rPr>
          <w:rFonts w:ascii="Arial Narrow" w:hAnsi="Arial Narrow" w:cs="Tahoma"/>
          <w:sz w:val="28"/>
          <w:szCs w:val="28"/>
        </w:rPr>
        <w:t>s</w:t>
      </w:r>
      <w:r w:rsidRPr="00BA04D0">
        <w:rPr>
          <w:rFonts w:ascii="Arial Narrow" w:hAnsi="Arial Narrow" w:cs="Tahoma"/>
          <w:sz w:val="28"/>
          <w:szCs w:val="28"/>
        </w:rPr>
        <w:t xml:space="preserve"> jurídico</w:t>
      </w:r>
      <w:r w:rsidR="00332BBA">
        <w:rPr>
          <w:rFonts w:ascii="Arial Narrow" w:hAnsi="Arial Narrow" w:cs="Tahoma"/>
          <w:sz w:val="28"/>
          <w:szCs w:val="28"/>
        </w:rPr>
        <w:t>s</w:t>
      </w:r>
      <w:r w:rsidRPr="00BA04D0">
        <w:rPr>
          <w:rFonts w:ascii="Arial Narrow" w:hAnsi="Arial Narrow" w:cs="Tahoma"/>
          <w:sz w:val="28"/>
          <w:szCs w:val="28"/>
        </w:rPr>
        <w:t xml:space="preserve"> planteado</w:t>
      </w:r>
      <w:r w:rsidR="00332BBA">
        <w:rPr>
          <w:rFonts w:ascii="Arial Narrow" w:hAnsi="Arial Narrow" w:cs="Tahoma"/>
          <w:sz w:val="28"/>
          <w:szCs w:val="28"/>
        </w:rPr>
        <w:t>s</w:t>
      </w:r>
      <w:r w:rsidRPr="00BA04D0">
        <w:rPr>
          <w:rFonts w:ascii="Arial Narrow" w:hAnsi="Arial Narrow" w:cs="Tahoma"/>
          <w:sz w:val="28"/>
          <w:szCs w:val="28"/>
        </w:rPr>
        <w:t xml:space="preserve">, con el propósito de desatar el </w:t>
      </w:r>
      <w:r>
        <w:rPr>
          <w:rFonts w:ascii="Arial Narrow" w:hAnsi="Arial Narrow" w:cs="Tahoma"/>
          <w:sz w:val="28"/>
          <w:szCs w:val="28"/>
        </w:rPr>
        <w:t>recurso</w:t>
      </w:r>
      <w:r w:rsidR="00332BBA">
        <w:rPr>
          <w:rFonts w:ascii="Arial Narrow" w:hAnsi="Arial Narrow" w:cs="Tahoma"/>
          <w:sz w:val="28"/>
          <w:szCs w:val="28"/>
        </w:rPr>
        <w:t xml:space="preserve"> y el grado de consulta</w:t>
      </w:r>
      <w:r w:rsidRPr="00BA04D0">
        <w:rPr>
          <w:rFonts w:ascii="Arial Narrow" w:hAnsi="Arial Narrow" w:cs="Tahoma"/>
          <w:sz w:val="28"/>
          <w:szCs w:val="28"/>
        </w:rPr>
        <w:t>, se corre traslado por el término de 8 minutos para alegar, a cada uno de los voceros judiciales de las partes asistentes</w:t>
      </w:r>
      <w:r>
        <w:rPr>
          <w:rFonts w:ascii="Arial Narrow" w:hAnsi="Arial Narrow" w:cs="Tahoma"/>
          <w:sz w:val="28"/>
          <w:szCs w:val="28"/>
        </w:rPr>
        <w:t xml:space="preserve"> a la audiencia, empezando por </w:t>
      </w:r>
      <w:r w:rsidR="00332BBA">
        <w:rPr>
          <w:rFonts w:ascii="Arial Narrow" w:hAnsi="Arial Narrow" w:cs="Tahoma"/>
          <w:sz w:val="28"/>
          <w:szCs w:val="28"/>
        </w:rPr>
        <w:t xml:space="preserve">la entidad </w:t>
      </w:r>
      <w:r>
        <w:rPr>
          <w:rFonts w:ascii="Arial Narrow" w:hAnsi="Arial Narrow" w:cs="Tahoma"/>
          <w:sz w:val="28"/>
          <w:szCs w:val="28"/>
        </w:rPr>
        <w:t>recurrente</w:t>
      </w:r>
      <w:r w:rsidRPr="00BA04D0">
        <w:rPr>
          <w:rFonts w:ascii="Arial Narrow" w:hAnsi="Arial Narrow" w:cs="Tahoma"/>
          <w:sz w:val="28"/>
          <w:szCs w:val="28"/>
        </w:rPr>
        <w:t xml:space="preserve">. Escuchadas las anteriores intervenciones que en síntesis reflejan los mismos puntos debatidos por los integrantes de la Sala, se procede a decidir de fondo, previa las siguientes: </w:t>
      </w:r>
    </w:p>
    <w:p w:rsidR="00EB77D8" w:rsidRPr="00074EE3" w:rsidRDefault="00EB77D8" w:rsidP="00EB77D8">
      <w:pPr>
        <w:pStyle w:val="Sinespaciado"/>
        <w:spacing w:line="360" w:lineRule="auto"/>
      </w:pPr>
    </w:p>
    <w:p w:rsidR="00EB77D8" w:rsidRDefault="00EB77D8" w:rsidP="00EB77D8">
      <w:pPr>
        <w:pStyle w:val="Textoindependiente33"/>
        <w:numPr>
          <w:ilvl w:val="0"/>
          <w:numId w:val="1"/>
        </w:numPr>
        <w:rPr>
          <w:rFonts w:ascii="Arial Narrow" w:hAnsi="Arial Narrow" w:cs="Tahoma"/>
          <w:bCs/>
          <w:i/>
          <w:iCs/>
          <w:sz w:val="28"/>
          <w:szCs w:val="28"/>
        </w:rPr>
      </w:pPr>
      <w:r w:rsidRPr="00BA04D0">
        <w:rPr>
          <w:rFonts w:ascii="Arial Narrow" w:hAnsi="Arial Narrow" w:cs="Tahoma"/>
          <w:bCs/>
          <w:i/>
          <w:iCs/>
          <w:sz w:val="28"/>
          <w:szCs w:val="28"/>
        </w:rPr>
        <w:t>CONSIDERACIONES</w:t>
      </w:r>
    </w:p>
    <w:p w:rsidR="009D4190" w:rsidRDefault="009D4190" w:rsidP="009D4190">
      <w:pPr>
        <w:pStyle w:val="Sinespaciado"/>
      </w:pPr>
    </w:p>
    <w:p w:rsidR="009D4190" w:rsidRDefault="009D4190" w:rsidP="009D4190">
      <w:pPr>
        <w:pStyle w:val="Sinespaciado"/>
        <w:spacing w:line="360" w:lineRule="auto"/>
        <w:ind w:firstLine="708"/>
        <w:jc w:val="both"/>
        <w:rPr>
          <w:rFonts w:ascii="Arial Narrow" w:hAnsi="Arial Narrow"/>
          <w:sz w:val="28"/>
          <w:szCs w:val="28"/>
        </w:rPr>
      </w:pPr>
      <w:r w:rsidRPr="0006758F">
        <w:rPr>
          <w:rFonts w:ascii="Arial Narrow" w:hAnsi="Arial Narrow" w:cs="Arial"/>
          <w:sz w:val="28"/>
          <w:szCs w:val="28"/>
          <w:lang w:val="es-ES"/>
        </w:rPr>
        <w:t xml:space="preserve">Con el advenimiento de la Ley 100 de 1993 y con miras a proteger expectativas legítimas, el legislador estableció un régimen de transición, en virtud del cual, se mantenían vigentes para ciertos grupos, los presupuestos para pensionarse del régimen anterior. </w:t>
      </w:r>
      <w:r w:rsidRPr="0006758F">
        <w:rPr>
          <w:rFonts w:ascii="Arial Narrow" w:hAnsi="Arial Narrow"/>
          <w:sz w:val="28"/>
          <w:szCs w:val="28"/>
        </w:rPr>
        <w:t xml:space="preserve">Es así como el artículo 36 de la citada disposición, estableció dos formas de </w:t>
      </w:r>
      <w:r w:rsidRPr="0006758F">
        <w:rPr>
          <w:rFonts w:ascii="Arial Narrow" w:hAnsi="Arial Narrow"/>
          <w:sz w:val="28"/>
          <w:szCs w:val="28"/>
        </w:rPr>
        <w:lastRenderedPageBreak/>
        <w:t xml:space="preserve">acceder al régimen de transición, previendo que para quienes al 1º de abril de 1994, entrada en vigencia del sistema general de pensiones, tuvieran 40 </w:t>
      </w:r>
      <w:proofErr w:type="spellStart"/>
      <w:r w:rsidRPr="0006758F">
        <w:rPr>
          <w:rFonts w:ascii="Arial Narrow" w:hAnsi="Arial Narrow"/>
          <w:sz w:val="28"/>
          <w:szCs w:val="28"/>
        </w:rPr>
        <w:t>ó</w:t>
      </w:r>
      <w:proofErr w:type="spellEnd"/>
      <w:r w:rsidRPr="0006758F">
        <w:rPr>
          <w:rFonts w:ascii="Arial Narrow" w:hAnsi="Arial Narrow"/>
          <w:sz w:val="28"/>
          <w:szCs w:val="28"/>
        </w:rPr>
        <w:t xml:space="preserve"> más años de edad en el caso de los hombres o 35 años o más en el caso de las mujeres; o 15 </w:t>
      </w:r>
      <w:proofErr w:type="spellStart"/>
      <w:r w:rsidRPr="0006758F">
        <w:rPr>
          <w:rFonts w:ascii="Arial Narrow" w:hAnsi="Arial Narrow"/>
          <w:sz w:val="28"/>
          <w:szCs w:val="28"/>
        </w:rPr>
        <w:t>ó</w:t>
      </w:r>
      <w:proofErr w:type="spellEnd"/>
      <w:r w:rsidRPr="0006758F">
        <w:rPr>
          <w:rFonts w:ascii="Arial Narrow" w:hAnsi="Arial Narrow"/>
          <w:sz w:val="28"/>
          <w:szCs w:val="28"/>
        </w:rPr>
        <w:t xml:space="preserve"> más años de servicios cotizados, podrían alcanzar la pensión de vejez o de jubilación con los requisitos de edad, tiempo de servicios y monto, del régimen que se les venía aplicando con anterioridad a esa fecha.</w:t>
      </w:r>
    </w:p>
    <w:p w:rsidR="00B858BB" w:rsidRDefault="00B858BB" w:rsidP="00B858BB">
      <w:pPr>
        <w:pStyle w:val="Sinespaciado"/>
      </w:pPr>
    </w:p>
    <w:p w:rsidR="00E87DA3" w:rsidRDefault="00EF071B" w:rsidP="00B858BB">
      <w:pPr>
        <w:pStyle w:val="Textoindependiente33"/>
        <w:ind w:firstLine="708"/>
        <w:rPr>
          <w:rFonts w:ascii="Arial Narrow" w:hAnsi="Arial Narrow" w:cs="Tahoma"/>
          <w:bCs/>
          <w:iCs/>
          <w:sz w:val="28"/>
          <w:szCs w:val="28"/>
        </w:rPr>
      </w:pPr>
      <w:r>
        <w:rPr>
          <w:rFonts w:ascii="Arial Narrow" w:hAnsi="Arial Narrow" w:cs="Tahoma"/>
          <w:bCs/>
          <w:iCs/>
          <w:sz w:val="28"/>
          <w:szCs w:val="28"/>
        </w:rPr>
        <w:t xml:space="preserve">En el sub-lite, se tiene que </w:t>
      </w:r>
      <w:r w:rsidR="00E87DA3">
        <w:rPr>
          <w:rFonts w:ascii="Arial Narrow" w:hAnsi="Arial Narrow" w:cs="Tahoma"/>
          <w:bCs/>
          <w:iCs/>
          <w:sz w:val="28"/>
          <w:szCs w:val="28"/>
        </w:rPr>
        <w:t xml:space="preserve">la demandante </w:t>
      </w:r>
      <w:r w:rsidR="00A96509">
        <w:rPr>
          <w:rFonts w:ascii="Arial Narrow" w:hAnsi="Arial Narrow" w:cs="Tahoma"/>
          <w:bCs/>
          <w:iCs/>
          <w:sz w:val="28"/>
          <w:szCs w:val="28"/>
        </w:rPr>
        <w:t xml:space="preserve">es </w:t>
      </w:r>
      <w:r w:rsidR="00E87DA3">
        <w:rPr>
          <w:rFonts w:ascii="Arial Narrow" w:hAnsi="Arial Narrow" w:cs="Tahoma"/>
          <w:bCs/>
          <w:iCs/>
          <w:sz w:val="28"/>
          <w:szCs w:val="28"/>
        </w:rPr>
        <w:t xml:space="preserve">beneficiaria del régimen de transición que consagra el artículo 36 de la Ley 100 de 1993, pues </w:t>
      </w:r>
      <w:r w:rsidR="004312B0">
        <w:rPr>
          <w:rFonts w:ascii="Arial Narrow" w:hAnsi="Arial Narrow" w:cs="Tahoma"/>
          <w:bCs/>
          <w:iCs/>
          <w:sz w:val="28"/>
          <w:szCs w:val="28"/>
        </w:rPr>
        <w:t xml:space="preserve">su natalicio se produjo el 19 de octubre de 1956, y por ende, </w:t>
      </w:r>
      <w:r w:rsidR="00E87DA3">
        <w:rPr>
          <w:rFonts w:ascii="Arial Narrow" w:hAnsi="Arial Narrow" w:cs="Tahoma"/>
          <w:bCs/>
          <w:iCs/>
          <w:sz w:val="28"/>
          <w:szCs w:val="28"/>
        </w:rPr>
        <w:t>al 1º de abril de 1994 contaba con 37 años de edad</w:t>
      </w:r>
      <w:r w:rsidR="00A96509">
        <w:rPr>
          <w:rFonts w:ascii="Arial Narrow" w:hAnsi="Arial Narrow" w:cs="Tahoma"/>
          <w:bCs/>
          <w:iCs/>
          <w:sz w:val="28"/>
          <w:szCs w:val="28"/>
        </w:rPr>
        <w:t xml:space="preserve">, </w:t>
      </w:r>
      <w:r w:rsidR="004312B0">
        <w:rPr>
          <w:rFonts w:ascii="Arial Narrow" w:hAnsi="Arial Narrow" w:cs="Tahoma"/>
          <w:bCs/>
          <w:iCs/>
          <w:sz w:val="28"/>
          <w:szCs w:val="28"/>
        </w:rPr>
        <w:t xml:space="preserve">amén de que tenía </w:t>
      </w:r>
      <w:r w:rsidR="007A2FA7">
        <w:rPr>
          <w:rFonts w:ascii="Arial Narrow" w:hAnsi="Arial Narrow" w:cs="Tahoma"/>
          <w:bCs/>
          <w:iCs/>
          <w:sz w:val="28"/>
          <w:szCs w:val="28"/>
        </w:rPr>
        <w:t xml:space="preserve">más de 15 años de servicios al sector público cotizados al </w:t>
      </w:r>
      <w:proofErr w:type="spellStart"/>
      <w:r w:rsidR="007A2FA7">
        <w:rPr>
          <w:rFonts w:ascii="Arial Narrow" w:hAnsi="Arial Narrow" w:cs="Tahoma"/>
          <w:bCs/>
          <w:iCs/>
          <w:sz w:val="28"/>
          <w:szCs w:val="28"/>
        </w:rPr>
        <w:t>ISS</w:t>
      </w:r>
      <w:proofErr w:type="spellEnd"/>
      <w:r w:rsidR="007A2FA7">
        <w:rPr>
          <w:rFonts w:ascii="Arial Narrow" w:hAnsi="Arial Narrow" w:cs="Tahoma"/>
          <w:bCs/>
          <w:iCs/>
          <w:sz w:val="28"/>
          <w:szCs w:val="28"/>
        </w:rPr>
        <w:t xml:space="preserve">, conforme se extrae de la historia laboral que obra a folio 140, por lo que </w:t>
      </w:r>
      <w:r w:rsidR="00282DE3">
        <w:rPr>
          <w:rFonts w:ascii="Arial Narrow" w:hAnsi="Arial Narrow" w:cs="Tahoma"/>
          <w:bCs/>
          <w:iCs/>
          <w:sz w:val="28"/>
          <w:szCs w:val="28"/>
        </w:rPr>
        <w:t xml:space="preserve">lógicamente también satisface el </w:t>
      </w:r>
      <w:r w:rsidR="007A2FA7">
        <w:rPr>
          <w:rFonts w:ascii="Arial Narrow" w:hAnsi="Arial Narrow" w:cs="Tahoma"/>
          <w:bCs/>
          <w:iCs/>
          <w:sz w:val="28"/>
          <w:szCs w:val="28"/>
        </w:rPr>
        <w:t xml:space="preserve"> presupuesto exigido en el Acto Legislativo 01 de 2005, modificatorio de la Constitución, para</w:t>
      </w:r>
      <w:r w:rsidR="00282DE3">
        <w:rPr>
          <w:rFonts w:ascii="Arial Narrow" w:hAnsi="Arial Narrow" w:cs="Tahoma"/>
          <w:bCs/>
          <w:iCs/>
          <w:sz w:val="28"/>
          <w:szCs w:val="28"/>
        </w:rPr>
        <w:t xml:space="preserve"> la extensión de </w:t>
      </w:r>
      <w:r w:rsidR="007A2FA7">
        <w:rPr>
          <w:rFonts w:ascii="Arial Narrow" w:hAnsi="Arial Narrow" w:cs="Tahoma"/>
          <w:bCs/>
          <w:iCs/>
          <w:sz w:val="28"/>
          <w:szCs w:val="28"/>
        </w:rPr>
        <w:t xml:space="preserve">los beneficios del régimen de transición </w:t>
      </w:r>
      <w:r w:rsidR="00282DE3">
        <w:rPr>
          <w:rFonts w:ascii="Arial Narrow" w:hAnsi="Arial Narrow" w:cs="Tahoma"/>
          <w:bCs/>
          <w:iCs/>
          <w:sz w:val="28"/>
          <w:szCs w:val="28"/>
        </w:rPr>
        <w:t>hasta el 31 de diciembre de 2014</w:t>
      </w:r>
      <w:r w:rsidR="004312B0">
        <w:rPr>
          <w:rFonts w:ascii="Arial Narrow" w:hAnsi="Arial Narrow" w:cs="Tahoma"/>
          <w:bCs/>
          <w:iCs/>
          <w:sz w:val="28"/>
          <w:szCs w:val="28"/>
        </w:rPr>
        <w:t>.</w:t>
      </w:r>
    </w:p>
    <w:p w:rsidR="00E22F66" w:rsidRPr="00443B2D" w:rsidRDefault="00E22F66" w:rsidP="00443B2D">
      <w:pPr>
        <w:pStyle w:val="Sinespaciado"/>
      </w:pPr>
    </w:p>
    <w:p w:rsidR="000C202F" w:rsidRDefault="00E22F66" w:rsidP="00B858BB">
      <w:pPr>
        <w:pStyle w:val="Textoindependiente33"/>
        <w:ind w:firstLine="708"/>
        <w:rPr>
          <w:rFonts w:ascii="Arial Narrow" w:hAnsi="Arial Narrow" w:cs="Tahoma"/>
          <w:bCs/>
          <w:iCs/>
          <w:sz w:val="28"/>
          <w:szCs w:val="28"/>
        </w:rPr>
      </w:pPr>
      <w:r>
        <w:rPr>
          <w:rFonts w:ascii="Arial Narrow" w:hAnsi="Arial Narrow" w:cs="Tahoma"/>
          <w:bCs/>
          <w:iCs/>
          <w:sz w:val="28"/>
          <w:szCs w:val="28"/>
        </w:rPr>
        <w:t>En ese orden</w:t>
      </w:r>
      <w:r w:rsidR="007A2FA7">
        <w:rPr>
          <w:rFonts w:ascii="Arial Narrow" w:hAnsi="Arial Narrow" w:cs="Tahoma"/>
          <w:bCs/>
          <w:iCs/>
          <w:sz w:val="28"/>
          <w:szCs w:val="28"/>
        </w:rPr>
        <w:t xml:space="preserve">, </w:t>
      </w:r>
      <w:r w:rsidR="009E1826">
        <w:rPr>
          <w:rFonts w:ascii="Arial Narrow" w:hAnsi="Arial Narrow" w:cs="Tahoma"/>
          <w:bCs/>
          <w:iCs/>
          <w:sz w:val="28"/>
          <w:szCs w:val="28"/>
        </w:rPr>
        <w:t xml:space="preserve">se peticiona en la demanda la aplicación de la Ley </w:t>
      </w:r>
      <w:r w:rsidR="009321C3">
        <w:rPr>
          <w:rFonts w:ascii="Arial Narrow" w:hAnsi="Arial Narrow" w:cs="Tahoma"/>
          <w:bCs/>
          <w:iCs/>
          <w:sz w:val="28"/>
          <w:szCs w:val="28"/>
        </w:rPr>
        <w:t xml:space="preserve">33 de 1985, </w:t>
      </w:r>
      <w:r w:rsidR="009E1826">
        <w:rPr>
          <w:rFonts w:ascii="Arial Narrow" w:hAnsi="Arial Narrow" w:cs="Tahoma"/>
          <w:bCs/>
          <w:iCs/>
          <w:sz w:val="28"/>
          <w:szCs w:val="28"/>
        </w:rPr>
        <w:t xml:space="preserve">como régimen anterior que venía regulando la </w:t>
      </w:r>
      <w:r w:rsidR="00A97987">
        <w:rPr>
          <w:rFonts w:ascii="Arial Narrow" w:hAnsi="Arial Narrow" w:cs="Tahoma"/>
          <w:bCs/>
          <w:iCs/>
          <w:sz w:val="28"/>
          <w:szCs w:val="28"/>
        </w:rPr>
        <w:t>situación</w:t>
      </w:r>
      <w:r w:rsidR="009E1826">
        <w:rPr>
          <w:rFonts w:ascii="Arial Narrow" w:hAnsi="Arial Narrow" w:cs="Tahoma"/>
          <w:bCs/>
          <w:iCs/>
          <w:sz w:val="28"/>
          <w:szCs w:val="28"/>
        </w:rPr>
        <w:t xml:space="preserve"> pensional de la actora, </w:t>
      </w:r>
      <w:r w:rsidR="009321C3">
        <w:rPr>
          <w:rFonts w:ascii="Arial Narrow" w:hAnsi="Arial Narrow" w:cs="Tahoma"/>
          <w:bCs/>
          <w:iCs/>
          <w:sz w:val="28"/>
          <w:szCs w:val="28"/>
        </w:rPr>
        <w:t>p</w:t>
      </w:r>
      <w:r>
        <w:rPr>
          <w:rFonts w:ascii="Arial Narrow" w:hAnsi="Arial Narrow" w:cs="Tahoma"/>
          <w:bCs/>
          <w:iCs/>
          <w:sz w:val="28"/>
          <w:szCs w:val="28"/>
        </w:rPr>
        <w:t xml:space="preserve">or haber </w:t>
      </w:r>
      <w:r w:rsidR="00B11BC8">
        <w:rPr>
          <w:rFonts w:ascii="Arial Narrow" w:hAnsi="Arial Narrow" w:cs="Tahoma"/>
          <w:bCs/>
          <w:iCs/>
          <w:sz w:val="28"/>
          <w:szCs w:val="28"/>
        </w:rPr>
        <w:t xml:space="preserve">prestado </w:t>
      </w:r>
      <w:r w:rsidR="009E1826">
        <w:rPr>
          <w:rFonts w:ascii="Arial Narrow" w:hAnsi="Arial Narrow" w:cs="Tahoma"/>
          <w:bCs/>
          <w:iCs/>
          <w:sz w:val="28"/>
          <w:szCs w:val="28"/>
        </w:rPr>
        <w:t>hasta el año 98 sus servicios</w:t>
      </w:r>
      <w:r w:rsidR="00282DE3">
        <w:rPr>
          <w:rFonts w:ascii="Arial Narrow" w:hAnsi="Arial Narrow" w:cs="Tahoma"/>
          <w:bCs/>
          <w:iCs/>
          <w:sz w:val="28"/>
          <w:szCs w:val="28"/>
        </w:rPr>
        <w:t xml:space="preserve"> personales </w:t>
      </w:r>
      <w:r w:rsidR="00B11BC8">
        <w:rPr>
          <w:rFonts w:ascii="Arial Narrow" w:hAnsi="Arial Narrow" w:cs="Tahoma"/>
          <w:bCs/>
          <w:iCs/>
          <w:sz w:val="28"/>
          <w:szCs w:val="28"/>
        </w:rPr>
        <w:t xml:space="preserve">en el sector </w:t>
      </w:r>
      <w:r w:rsidR="009E1826">
        <w:rPr>
          <w:rFonts w:ascii="Arial Narrow" w:hAnsi="Arial Narrow" w:cs="Tahoma"/>
          <w:bCs/>
          <w:iCs/>
          <w:sz w:val="28"/>
          <w:szCs w:val="28"/>
        </w:rPr>
        <w:t>público</w:t>
      </w:r>
      <w:r>
        <w:rPr>
          <w:rFonts w:ascii="Arial Narrow" w:hAnsi="Arial Narrow" w:cs="Tahoma"/>
          <w:bCs/>
          <w:iCs/>
          <w:sz w:val="28"/>
          <w:szCs w:val="28"/>
        </w:rPr>
        <w:t>.</w:t>
      </w:r>
      <w:r w:rsidR="000C202F">
        <w:rPr>
          <w:rFonts w:ascii="Arial Narrow" w:hAnsi="Arial Narrow" w:cs="Tahoma"/>
          <w:bCs/>
          <w:iCs/>
          <w:sz w:val="28"/>
          <w:szCs w:val="28"/>
        </w:rPr>
        <w:t xml:space="preserve"> Dicho precepto </w:t>
      </w:r>
      <w:r w:rsidR="00A97987">
        <w:rPr>
          <w:rFonts w:ascii="Arial Narrow" w:hAnsi="Arial Narrow" w:cs="Tahoma"/>
          <w:bCs/>
          <w:iCs/>
          <w:sz w:val="28"/>
          <w:szCs w:val="28"/>
        </w:rPr>
        <w:t xml:space="preserve">normativo </w:t>
      </w:r>
      <w:r w:rsidR="000C202F">
        <w:rPr>
          <w:rFonts w:ascii="Arial Narrow" w:hAnsi="Arial Narrow" w:cs="Tahoma"/>
          <w:bCs/>
          <w:iCs/>
          <w:sz w:val="28"/>
          <w:szCs w:val="28"/>
        </w:rPr>
        <w:t>establece en su artículo 1º que</w:t>
      </w:r>
      <w:r w:rsidR="00BD21D2">
        <w:rPr>
          <w:rFonts w:ascii="Arial Narrow" w:hAnsi="Arial Narrow" w:cs="Tahoma"/>
          <w:bCs/>
          <w:iCs/>
          <w:sz w:val="28"/>
          <w:szCs w:val="28"/>
        </w:rPr>
        <w:t xml:space="preserve"> el empleado oficial que sirva o haya servido 20 años continuos o discontinuos </w:t>
      </w:r>
      <w:r w:rsidR="00A97987">
        <w:rPr>
          <w:rFonts w:ascii="Arial Narrow" w:hAnsi="Arial Narrow" w:cs="Tahoma"/>
          <w:bCs/>
          <w:iCs/>
          <w:sz w:val="28"/>
          <w:szCs w:val="28"/>
        </w:rPr>
        <w:t>a</w:t>
      </w:r>
      <w:r w:rsidR="00E11AC5">
        <w:rPr>
          <w:rFonts w:ascii="Arial Narrow" w:hAnsi="Arial Narrow" w:cs="Tahoma"/>
          <w:bCs/>
          <w:iCs/>
          <w:sz w:val="28"/>
          <w:szCs w:val="28"/>
        </w:rPr>
        <w:t xml:space="preserve">l sector público </w:t>
      </w:r>
      <w:r w:rsidR="00BD21D2">
        <w:rPr>
          <w:rFonts w:ascii="Arial Narrow" w:hAnsi="Arial Narrow" w:cs="Tahoma"/>
          <w:bCs/>
          <w:iCs/>
          <w:sz w:val="28"/>
          <w:szCs w:val="28"/>
        </w:rPr>
        <w:t>y llegue a la edad de 55 años, tendrá derecho a la pensión de jubilación.</w:t>
      </w:r>
    </w:p>
    <w:p w:rsidR="000C202F" w:rsidRPr="000C7A31" w:rsidRDefault="000C202F" w:rsidP="000C7A31">
      <w:pPr>
        <w:pStyle w:val="Sinespaciado"/>
      </w:pPr>
    </w:p>
    <w:p w:rsidR="00525397" w:rsidRDefault="00E11AC5" w:rsidP="000C7A31">
      <w:pPr>
        <w:spacing w:line="360" w:lineRule="auto"/>
        <w:ind w:firstLine="708"/>
        <w:jc w:val="both"/>
        <w:rPr>
          <w:rFonts w:ascii="Arial Narrow" w:hAnsi="Arial Narrow" w:cs="Arial"/>
          <w:sz w:val="28"/>
          <w:szCs w:val="28"/>
        </w:rPr>
      </w:pPr>
      <w:r w:rsidRPr="000C7A31">
        <w:rPr>
          <w:rFonts w:ascii="Arial Narrow" w:hAnsi="Arial Narrow" w:cs="Arial"/>
          <w:sz w:val="28"/>
          <w:szCs w:val="28"/>
        </w:rPr>
        <w:t xml:space="preserve">Respecto a la edad, la demandante </w:t>
      </w:r>
      <w:r w:rsidR="00A97987">
        <w:rPr>
          <w:rFonts w:ascii="Arial Narrow" w:hAnsi="Arial Narrow" w:cs="Arial"/>
          <w:sz w:val="28"/>
          <w:szCs w:val="28"/>
        </w:rPr>
        <w:t xml:space="preserve">la cumplió </w:t>
      </w:r>
      <w:r w:rsidRPr="000C7A31">
        <w:rPr>
          <w:rFonts w:ascii="Arial Narrow" w:hAnsi="Arial Narrow" w:cs="Arial"/>
          <w:sz w:val="28"/>
          <w:szCs w:val="28"/>
        </w:rPr>
        <w:t>el 19 de octubre de 2011,</w:t>
      </w:r>
      <w:r w:rsidR="00A97987">
        <w:rPr>
          <w:rFonts w:ascii="Arial Narrow" w:hAnsi="Arial Narrow" w:cs="Arial"/>
          <w:sz w:val="28"/>
          <w:szCs w:val="28"/>
        </w:rPr>
        <w:t xml:space="preserve"> cuando arribó a 55 años -</w:t>
      </w:r>
      <w:r w:rsidRPr="000C7A31">
        <w:rPr>
          <w:rFonts w:ascii="Arial Narrow" w:hAnsi="Arial Narrow" w:cs="Arial"/>
          <w:sz w:val="28"/>
          <w:szCs w:val="28"/>
        </w:rPr>
        <w:t>folio 19</w:t>
      </w:r>
      <w:r w:rsidR="00A97987">
        <w:rPr>
          <w:rFonts w:ascii="Arial Narrow" w:hAnsi="Arial Narrow" w:cs="Arial"/>
          <w:sz w:val="28"/>
          <w:szCs w:val="28"/>
        </w:rPr>
        <w:t>-</w:t>
      </w:r>
      <w:r w:rsidRPr="000C7A31">
        <w:rPr>
          <w:rFonts w:ascii="Arial Narrow" w:hAnsi="Arial Narrow" w:cs="Arial"/>
          <w:sz w:val="28"/>
          <w:szCs w:val="28"/>
        </w:rPr>
        <w:t xml:space="preserve">. En cuanto al tiempo de servicios, conforme a la información suministrada por la Empresa de Telecomunicaciones de Pereira S.A., y </w:t>
      </w:r>
      <w:r w:rsidR="00A97987">
        <w:rPr>
          <w:rFonts w:ascii="Arial Narrow" w:hAnsi="Arial Narrow" w:cs="Arial"/>
          <w:sz w:val="28"/>
          <w:szCs w:val="28"/>
        </w:rPr>
        <w:t>el reporte de semanas cotizadas en pensiones,</w:t>
      </w:r>
      <w:r w:rsidR="00443B2D">
        <w:rPr>
          <w:rFonts w:ascii="Arial Narrow" w:hAnsi="Arial Narrow" w:cs="Arial"/>
          <w:sz w:val="28"/>
          <w:szCs w:val="28"/>
        </w:rPr>
        <w:t xml:space="preserve"> se tiene que</w:t>
      </w:r>
      <w:r w:rsidR="00A97987">
        <w:rPr>
          <w:rFonts w:ascii="Arial Narrow" w:hAnsi="Arial Narrow" w:cs="Arial"/>
          <w:sz w:val="28"/>
          <w:szCs w:val="28"/>
        </w:rPr>
        <w:t xml:space="preserve"> la demandante prestó sus servicios </w:t>
      </w:r>
      <w:r w:rsidR="00443B2D">
        <w:rPr>
          <w:rFonts w:ascii="Arial Narrow" w:hAnsi="Arial Narrow" w:cs="Arial"/>
          <w:sz w:val="28"/>
          <w:szCs w:val="28"/>
        </w:rPr>
        <w:t xml:space="preserve">personales </w:t>
      </w:r>
      <w:r w:rsidR="00A97987">
        <w:rPr>
          <w:rFonts w:ascii="Arial Narrow" w:hAnsi="Arial Narrow" w:cs="Arial"/>
          <w:sz w:val="28"/>
          <w:szCs w:val="28"/>
        </w:rPr>
        <w:t>en las Empresas Publicas de Pereira, entre e</w:t>
      </w:r>
      <w:r w:rsidR="001F3DB2">
        <w:rPr>
          <w:rFonts w:ascii="Arial Narrow" w:hAnsi="Arial Narrow" w:cs="Arial"/>
          <w:sz w:val="28"/>
          <w:szCs w:val="28"/>
        </w:rPr>
        <w:t xml:space="preserve">l 7 de julio de 1977 y el 31 de marzo de 1998, lo que significa que prestó sus servicios en el sector público durante </w:t>
      </w:r>
      <w:r w:rsidR="00AB6EDB">
        <w:rPr>
          <w:rFonts w:ascii="Arial Narrow" w:hAnsi="Arial Narrow" w:cs="Arial"/>
          <w:sz w:val="28"/>
          <w:szCs w:val="28"/>
        </w:rPr>
        <w:t>7.563 días, que corresponden a 1.081</w:t>
      </w:r>
      <w:r w:rsidR="00AB6EDB" w:rsidRPr="00AB6EDB">
        <w:rPr>
          <w:rFonts w:ascii="Arial Narrow" w:hAnsi="Arial Narrow" w:cs="Arial"/>
          <w:szCs w:val="24"/>
        </w:rPr>
        <w:t>,86</w:t>
      </w:r>
      <w:r w:rsidR="00AB6EDB">
        <w:rPr>
          <w:rFonts w:ascii="Arial Narrow" w:hAnsi="Arial Narrow" w:cs="Arial"/>
          <w:sz w:val="28"/>
          <w:szCs w:val="28"/>
        </w:rPr>
        <w:t xml:space="preserve"> semanas, es decir, 21 años</w:t>
      </w:r>
      <w:r w:rsidR="00525397">
        <w:rPr>
          <w:rFonts w:ascii="Arial Narrow" w:hAnsi="Arial Narrow" w:cs="Arial"/>
          <w:sz w:val="28"/>
          <w:szCs w:val="28"/>
        </w:rPr>
        <w:t xml:space="preserve">. </w:t>
      </w:r>
    </w:p>
    <w:p w:rsidR="00525397" w:rsidRDefault="00525397" w:rsidP="00525397">
      <w:pPr>
        <w:pStyle w:val="Sinespaciado"/>
      </w:pPr>
    </w:p>
    <w:p w:rsidR="00E11AC5" w:rsidRDefault="00525397" w:rsidP="000C7A31">
      <w:pPr>
        <w:spacing w:line="360" w:lineRule="auto"/>
        <w:ind w:firstLine="708"/>
        <w:jc w:val="both"/>
        <w:rPr>
          <w:rFonts w:ascii="Arial Narrow" w:hAnsi="Arial Narrow" w:cs="Arial"/>
          <w:sz w:val="28"/>
          <w:szCs w:val="28"/>
        </w:rPr>
      </w:pPr>
      <w:r w:rsidRPr="0074351A">
        <w:rPr>
          <w:rFonts w:ascii="Arial Narrow" w:hAnsi="Arial Narrow" w:cs="Arial"/>
          <w:sz w:val="28"/>
          <w:szCs w:val="28"/>
        </w:rPr>
        <w:t xml:space="preserve">De suerte que, </w:t>
      </w:r>
      <w:r w:rsidR="00A24077" w:rsidRPr="0074351A">
        <w:rPr>
          <w:rFonts w:ascii="Arial Narrow" w:hAnsi="Arial Narrow" w:cs="Arial"/>
          <w:sz w:val="28"/>
          <w:szCs w:val="28"/>
        </w:rPr>
        <w:t xml:space="preserve">la demandante tiene derecho al reconocimiento </w:t>
      </w:r>
      <w:r w:rsidR="0077051B" w:rsidRPr="0074351A">
        <w:rPr>
          <w:rFonts w:ascii="Arial Narrow" w:hAnsi="Arial Narrow" w:cs="Arial"/>
          <w:sz w:val="28"/>
          <w:szCs w:val="28"/>
        </w:rPr>
        <w:t xml:space="preserve">y pago </w:t>
      </w:r>
      <w:r w:rsidR="00A24077" w:rsidRPr="0074351A">
        <w:rPr>
          <w:rFonts w:ascii="Arial Narrow" w:hAnsi="Arial Narrow" w:cs="Arial"/>
          <w:sz w:val="28"/>
          <w:szCs w:val="28"/>
        </w:rPr>
        <w:t xml:space="preserve">de la pensión de jubilación que reclama, a partir del 19 de octubre de 2011, fecha en que </w:t>
      </w:r>
      <w:r w:rsidR="00A24077" w:rsidRPr="0074351A">
        <w:rPr>
          <w:rFonts w:ascii="Arial Narrow" w:hAnsi="Arial Narrow" w:cs="Arial"/>
          <w:sz w:val="28"/>
          <w:szCs w:val="28"/>
        </w:rPr>
        <w:lastRenderedPageBreak/>
        <w:t xml:space="preserve">reunió la totalidad de los requisitos, con cargo a la </w:t>
      </w:r>
      <w:r w:rsidR="005D4ACC" w:rsidRPr="0074351A">
        <w:rPr>
          <w:rFonts w:ascii="Arial Narrow" w:hAnsi="Arial Narrow" w:cs="Arial"/>
          <w:sz w:val="28"/>
          <w:szCs w:val="28"/>
        </w:rPr>
        <w:t>Administradora Colom</w:t>
      </w:r>
      <w:r w:rsidR="00A24077" w:rsidRPr="0074351A">
        <w:rPr>
          <w:rFonts w:ascii="Arial Narrow" w:hAnsi="Arial Narrow" w:cs="Arial"/>
          <w:sz w:val="28"/>
          <w:szCs w:val="28"/>
        </w:rPr>
        <w:t xml:space="preserve">biana de Pensiones </w:t>
      </w:r>
      <w:proofErr w:type="spellStart"/>
      <w:r w:rsidR="00A24077" w:rsidRPr="0074351A">
        <w:rPr>
          <w:rFonts w:ascii="Arial Narrow" w:hAnsi="Arial Narrow" w:cs="Arial"/>
          <w:sz w:val="28"/>
          <w:szCs w:val="28"/>
        </w:rPr>
        <w:t>Colpensiones</w:t>
      </w:r>
      <w:proofErr w:type="spellEnd"/>
      <w:r w:rsidR="00A24077" w:rsidRPr="0074351A">
        <w:rPr>
          <w:rFonts w:ascii="Arial Narrow" w:hAnsi="Arial Narrow" w:cs="Arial"/>
          <w:sz w:val="28"/>
          <w:szCs w:val="28"/>
        </w:rPr>
        <w:t>,</w:t>
      </w:r>
      <w:r w:rsidR="0074351A" w:rsidRPr="0074351A">
        <w:rPr>
          <w:rFonts w:ascii="Arial Narrow" w:hAnsi="Arial Narrow" w:cs="Arial"/>
          <w:sz w:val="28"/>
          <w:szCs w:val="28"/>
        </w:rPr>
        <w:t xml:space="preserve"> pues al </w:t>
      </w:r>
      <w:r w:rsidR="00A24077" w:rsidRPr="0074351A">
        <w:rPr>
          <w:rFonts w:ascii="Arial Narrow" w:hAnsi="Arial Narrow" w:cs="Arial"/>
          <w:sz w:val="28"/>
          <w:szCs w:val="28"/>
        </w:rPr>
        <w:t xml:space="preserve">tenor de lo preceptuado en el Decreto </w:t>
      </w:r>
      <w:r w:rsidR="0074351A" w:rsidRPr="0074351A">
        <w:rPr>
          <w:rFonts w:ascii="Arial Narrow" w:hAnsi="Arial Narrow" w:cs="Arial"/>
          <w:sz w:val="28"/>
          <w:szCs w:val="28"/>
        </w:rPr>
        <w:t xml:space="preserve">4937 de 2009, </w:t>
      </w:r>
      <w:r w:rsidR="0074351A">
        <w:rPr>
          <w:rFonts w:ascii="Arial Narrow" w:hAnsi="Arial Narrow" w:cs="Arial"/>
          <w:sz w:val="28"/>
          <w:szCs w:val="28"/>
        </w:rPr>
        <w:t xml:space="preserve">dicha </w:t>
      </w:r>
      <w:r w:rsidR="0074351A" w:rsidRPr="0074351A">
        <w:rPr>
          <w:rFonts w:ascii="Arial Narrow" w:hAnsi="Arial Narrow" w:cs="Arial"/>
          <w:sz w:val="28"/>
          <w:szCs w:val="28"/>
        </w:rPr>
        <w:t xml:space="preserve">entidad está facultada para solicitar de la respectiva entidad pública la emisión a su favor del Bono Especial Tipo T, si a él hubiere lugar, con el objeto de financiar la pensión </w:t>
      </w:r>
      <w:r w:rsidR="001A32E1">
        <w:rPr>
          <w:rFonts w:ascii="Arial Narrow" w:hAnsi="Arial Narrow" w:cs="Arial"/>
          <w:sz w:val="28"/>
          <w:szCs w:val="28"/>
        </w:rPr>
        <w:t xml:space="preserve">legal del sector público de la </w:t>
      </w:r>
      <w:r w:rsidR="00282DE3">
        <w:rPr>
          <w:rFonts w:ascii="Arial Narrow" w:hAnsi="Arial Narrow" w:cs="Arial"/>
          <w:sz w:val="28"/>
          <w:szCs w:val="28"/>
        </w:rPr>
        <w:t xml:space="preserve">actora </w:t>
      </w:r>
      <w:r w:rsidR="001A32E1">
        <w:rPr>
          <w:rFonts w:ascii="Arial Narrow" w:hAnsi="Arial Narrow" w:cs="Arial"/>
          <w:sz w:val="28"/>
          <w:szCs w:val="28"/>
        </w:rPr>
        <w:t>por aplicación del régimen de transición.</w:t>
      </w:r>
    </w:p>
    <w:p w:rsidR="007D52FC" w:rsidRDefault="007D52FC" w:rsidP="007D52FC">
      <w:pPr>
        <w:pStyle w:val="Sinespaciado"/>
      </w:pPr>
    </w:p>
    <w:p w:rsidR="00282DE3" w:rsidRPr="007D52FC" w:rsidRDefault="007D52FC" w:rsidP="00A96509">
      <w:pPr>
        <w:spacing w:line="360" w:lineRule="auto"/>
        <w:ind w:firstLine="708"/>
        <w:jc w:val="both"/>
        <w:rPr>
          <w:rFonts w:ascii="Arial Narrow" w:hAnsi="Arial Narrow" w:cs="Arial"/>
          <w:sz w:val="28"/>
          <w:szCs w:val="28"/>
        </w:rPr>
      </w:pPr>
      <w:r>
        <w:rPr>
          <w:rFonts w:ascii="Arial Narrow" w:hAnsi="Arial Narrow" w:cs="Arial"/>
          <w:sz w:val="28"/>
          <w:szCs w:val="28"/>
        </w:rPr>
        <w:t xml:space="preserve">Por consiguiente, se confirmará este punto de la decisión. </w:t>
      </w:r>
      <w:r w:rsidR="00282DE3" w:rsidRPr="007D52FC">
        <w:rPr>
          <w:rFonts w:ascii="Arial Narrow" w:hAnsi="Arial Narrow" w:cs="Arial"/>
          <w:sz w:val="28"/>
          <w:szCs w:val="28"/>
        </w:rPr>
        <w:t xml:space="preserve">Con lo dicho queda resuelto el grado jurisdiccional de consulta </w:t>
      </w:r>
      <w:r w:rsidR="00EF071B" w:rsidRPr="007D52FC">
        <w:rPr>
          <w:rFonts w:ascii="Arial Narrow" w:hAnsi="Arial Narrow" w:cs="Arial"/>
          <w:sz w:val="28"/>
          <w:szCs w:val="28"/>
        </w:rPr>
        <w:t xml:space="preserve">que opera en favor de la entidad de seguridad social demandada. </w:t>
      </w:r>
    </w:p>
    <w:p w:rsidR="00EF071B" w:rsidRPr="007D52FC" w:rsidRDefault="00EF071B" w:rsidP="007D52FC">
      <w:pPr>
        <w:pStyle w:val="Sinespaciado"/>
      </w:pPr>
    </w:p>
    <w:p w:rsidR="00EF071B" w:rsidRDefault="007D52FC" w:rsidP="00A96509">
      <w:pPr>
        <w:spacing w:line="360" w:lineRule="auto"/>
        <w:ind w:firstLine="708"/>
        <w:jc w:val="both"/>
        <w:rPr>
          <w:rFonts w:ascii="Arial Narrow" w:hAnsi="Arial Narrow" w:cs="Arial"/>
          <w:sz w:val="28"/>
          <w:szCs w:val="28"/>
        </w:rPr>
      </w:pPr>
      <w:r>
        <w:rPr>
          <w:rFonts w:ascii="Arial Narrow" w:hAnsi="Arial Narrow" w:cs="Arial"/>
          <w:sz w:val="28"/>
          <w:szCs w:val="28"/>
        </w:rPr>
        <w:t xml:space="preserve">Ahora bien, para los fines del recurso interpuesto </w:t>
      </w:r>
      <w:r w:rsidR="00EF071B" w:rsidRPr="007D52FC">
        <w:rPr>
          <w:rFonts w:ascii="Arial Narrow" w:hAnsi="Arial Narrow" w:cs="Arial"/>
          <w:sz w:val="28"/>
          <w:szCs w:val="28"/>
        </w:rPr>
        <w:t xml:space="preserve">por la Agente del Ministerio </w:t>
      </w:r>
      <w:r w:rsidRPr="007D52FC">
        <w:rPr>
          <w:rFonts w:ascii="Arial Narrow" w:hAnsi="Arial Narrow" w:cs="Arial"/>
          <w:sz w:val="28"/>
          <w:szCs w:val="28"/>
        </w:rPr>
        <w:t>Público</w:t>
      </w:r>
      <w:r w:rsidR="00EF071B" w:rsidRPr="007D52FC">
        <w:rPr>
          <w:rFonts w:ascii="Arial Narrow" w:hAnsi="Arial Narrow" w:cs="Arial"/>
          <w:sz w:val="28"/>
          <w:szCs w:val="28"/>
        </w:rPr>
        <w:t xml:space="preserve">, </w:t>
      </w:r>
      <w:r w:rsidR="00297E88">
        <w:rPr>
          <w:rFonts w:ascii="Arial Narrow" w:hAnsi="Arial Narrow" w:cs="Arial"/>
          <w:sz w:val="28"/>
          <w:szCs w:val="28"/>
        </w:rPr>
        <w:t xml:space="preserve">la Sala dirá que razón le asiste a la recurrente en cuanto afirma que la liquidación del </w:t>
      </w:r>
      <w:proofErr w:type="spellStart"/>
      <w:r w:rsidR="00297E88">
        <w:rPr>
          <w:rFonts w:ascii="Arial Narrow" w:hAnsi="Arial Narrow" w:cs="Arial"/>
          <w:sz w:val="28"/>
          <w:szCs w:val="28"/>
        </w:rPr>
        <w:t>IBL</w:t>
      </w:r>
      <w:proofErr w:type="spellEnd"/>
      <w:r w:rsidR="00297E88">
        <w:rPr>
          <w:rFonts w:ascii="Arial Narrow" w:hAnsi="Arial Narrow" w:cs="Arial"/>
          <w:sz w:val="28"/>
          <w:szCs w:val="28"/>
        </w:rPr>
        <w:t xml:space="preserve"> se debió realizar con 3.600 d</w:t>
      </w:r>
      <w:r w:rsidR="00C67792">
        <w:rPr>
          <w:rFonts w:ascii="Arial Narrow" w:hAnsi="Arial Narrow" w:cs="Arial"/>
          <w:sz w:val="28"/>
          <w:szCs w:val="28"/>
        </w:rPr>
        <w:t xml:space="preserve">ías y no con 3.650, pues conocido es </w:t>
      </w:r>
      <w:r w:rsidR="00297E88">
        <w:rPr>
          <w:rFonts w:ascii="Arial Narrow" w:hAnsi="Arial Narrow" w:cs="Arial"/>
          <w:sz w:val="28"/>
          <w:szCs w:val="28"/>
        </w:rPr>
        <w:t xml:space="preserve">que el equivalente a 10 años efectivamente cotizados representa 3.600 días.  </w:t>
      </w:r>
    </w:p>
    <w:p w:rsidR="009D4190" w:rsidRDefault="009D4190" w:rsidP="009D4190">
      <w:pPr>
        <w:pStyle w:val="Sinespaciado"/>
      </w:pPr>
    </w:p>
    <w:p w:rsidR="0018332A" w:rsidRDefault="00C67792" w:rsidP="00C67792">
      <w:pPr>
        <w:spacing w:line="360" w:lineRule="auto"/>
        <w:ind w:firstLine="708"/>
        <w:jc w:val="both"/>
        <w:rPr>
          <w:rFonts w:ascii="Arial Narrow" w:hAnsi="Arial Narrow" w:cs="Arial"/>
          <w:sz w:val="28"/>
          <w:szCs w:val="28"/>
        </w:rPr>
      </w:pPr>
      <w:r w:rsidRPr="004579A6">
        <w:rPr>
          <w:rFonts w:ascii="Arial Narrow" w:hAnsi="Arial Narrow" w:cs="Arial"/>
          <w:sz w:val="28"/>
          <w:szCs w:val="28"/>
        </w:rPr>
        <w:t xml:space="preserve">Efectuados los cálculos del </w:t>
      </w:r>
      <w:proofErr w:type="spellStart"/>
      <w:r w:rsidRPr="004579A6">
        <w:rPr>
          <w:rFonts w:ascii="Arial Narrow" w:hAnsi="Arial Narrow" w:cs="Arial"/>
          <w:sz w:val="28"/>
          <w:szCs w:val="28"/>
        </w:rPr>
        <w:t>IBL</w:t>
      </w:r>
      <w:proofErr w:type="spellEnd"/>
      <w:r w:rsidRPr="004579A6">
        <w:rPr>
          <w:rFonts w:ascii="Arial Narrow" w:hAnsi="Arial Narrow" w:cs="Arial"/>
          <w:sz w:val="28"/>
          <w:szCs w:val="28"/>
        </w:rPr>
        <w:t xml:space="preserve"> con el promedio de los salarios devengados en los </w:t>
      </w:r>
      <w:r w:rsidR="00A25B00" w:rsidRPr="004579A6">
        <w:rPr>
          <w:rFonts w:ascii="Arial Narrow" w:hAnsi="Arial Narrow" w:cs="Arial"/>
          <w:sz w:val="28"/>
          <w:szCs w:val="28"/>
        </w:rPr>
        <w:t>últimos</w:t>
      </w:r>
      <w:r w:rsidRPr="004579A6">
        <w:rPr>
          <w:rFonts w:ascii="Arial Narrow" w:hAnsi="Arial Narrow" w:cs="Arial"/>
          <w:sz w:val="28"/>
          <w:szCs w:val="28"/>
        </w:rPr>
        <w:t xml:space="preserve"> 10 años efectivos </w:t>
      </w:r>
      <w:r w:rsidR="00297E88" w:rsidRPr="004579A6">
        <w:rPr>
          <w:rFonts w:ascii="Arial Narrow" w:hAnsi="Arial Narrow" w:cs="Arial"/>
          <w:sz w:val="28"/>
          <w:szCs w:val="28"/>
        </w:rPr>
        <w:t xml:space="preserve">de prestación del servicio, </w:t>
      </w:r>
      <w:r w:rsidRPr="004579A6">
        <w:rPr>
          <w:rFonts w:ascii="Arial Narrow" w:hAnsi="Arial Narrow" w:cs="Arial"/>
          <w:sz w:val="28"/>
          <w:szCs w:val="28"/>
        </w:rPr>
        <w:t>se obtiene la suma de $</w:t>
      </w:r>
      <w:r w:rsidR="00DA0F6F" w:rsidRPr="004579A6">
        <w:rPr>
          <w:rFonts w:ascii="Arial Narrow" w:hAnsi="Arial Narrow" w:cs="Arial"/>
          <w:sz w:val="28"/>
          <w:szCs w:val="28"/>
        </w:rPr>
        <w:t>1`143.898</w:t>
      </w:r>
      <w:r w:rsidRPr="004579A6">
        <w:rPr>
          <w:rFonts w:ascii="Arial Narrow" w:hAnsi="Arial Narrow" w:cs="Arial"/>
          <w:sz w:val="28"/>
          <w:szCs w:val="28"/>
        </w:rPr>
        <w:t xml:space="preserve"> </w:t>
      </w:r>
      <w:r w:rsidR="003549B1" w:rsidRPr="004579A6">
        <w:rPr>
          <w:rFonts w:ascii="Arial Narrow" w:hAnsi="Arial Narrow" w:cs="Arial"/>
          <w:sz w:val="28"/>
          <w:szCs w:val="28"/>
        </w:rPr>
        <w:t>que al aplicarle la tasa de remplazo del 75% arroja una mesada pensional para el 2011 de $</w:t>
      </w:r>
      <w:r w:rsidR="00D57D73" w:rsidRPr="004579A6">
        <w:rPr>
          <w:rFonts w:ascii="Arial Narrow" w:hAnsi="Arial Narrow" w:cs="Arial"/>
          <w:sz w:val="28"/>
          <w:szCs w:val="28"/>
        </w:rPr>
        <w:t>857.924, guarismo que resulta ser levemente</w:t>
      </w:r>
      <w:r w:rsidR="004579A6">
        <w:rPr>
          <w:rFonts w:ascii="Arial Narrow" w:hAnsi="Arial Narrow" w:cs="Arial"/>
          <w:sz w:val="28"/>
          <w:szCs w:val="28"/>
        </w:rPr>
        <w:t xml:space="preserve"> inferior al calculado por la a</w:t>
      </w:r>
      <w:r w:rsidR="00D57D73" w:rsidRPr="004579A6">
        <w:rPr>
          <w:rFonts w:ascii="Arial Narrow" w:hAnsi="Arial Narrow" w:cs="Arial"/>
          <w:sz w:val="28"/>
          <w:szCs w:val="28"/>
        </w:rPr>
        <w:t>-quo en cuant</w:t>
      </w:r>
      <w:r w:rsidR="00391F11">
        <w:rPr>
          <w:rFonts w:ascii="Arial Narrow" w:hAnsi="Arial Narrow" w:cs="Arial"/>
          <w:sz w:val="28"/>
          <w:szCs w:val="28"/>
        </w:rPr>
        <w:t>ía de $858.524</w:t>
      </w:r>
      <w:r w:rsidR="00D57D73" w:rsidRPr="004579A6">
        <w:rPr>
          <w:rFonts w:ascii="Arial Narrow" w:hAnsi="Arial Narrow" w:cs="Arial"/>
          <w:sz w:val="28"/>
          <w:szCs w:val="28"/>
        </w:rPr>
        <w:t xml:space="preserve">. </w:t>
      </w:r>
    </w:p>
    <w:p w:rsidR="0018332A" w:rsidRPr="009D4190" w:rsidRDefault="0018332A" w:rsidP="009D4190">
      <w:pPr>
        <w:pStyle w:val="Sinespaciado"/>
      </w:pPr>
    </w:p>
    <w:p w:rsidR="00C67792" w:rsidRPr="004579A6" w:rsidRDefault="00D57D73" w:rsidP="00C67792">
      <w:pPr>
        <w:spacing w:line="360" w:lineRule="auto"/>
        <w:ind w:firstLine="708"/>
        <w:jc w:val="both"/>
        <w:rPr>
          <w:rFonts w:ascii="Arial Narrow" w:hAnsi="Arial Narrow" w:cs="Arial"/>
          <w:iCs/>
          <w:sz w:val="28"/>
          <w:szCs w:val="28"/>
          <w:lang w:val="es-ES"/>
        </w:rPr>
      </w:pPr>
      <w:r w:rsidRPr="004579A6">
        <w:rPr>
          <w:rFonts w:ascii="Arial Narrow" w:hAnsi="Arial Narrow" w:cs="Arial"/>
          <w:iCs/>
          <w:sz w:val="28"/>
          <w:szCs w:val="28"/>
          <w:lang w:val="es-ES"/>
        </w:rPr>
        <w:t xml:space="preserve">Prospera, por ende, este punto de la apelación. </w:t>
      </w:r>
    </w:p>
    <w:p w:rsidR="00D57D73" w:rsidRDefault="00D57D73" w:rsidP="004579A6">
      <w:pPr>
        <w:pStyle w:val="Sinespaciado"/>
        <w:rPr>
          <w:lang w:val="es-ES"/>
        </w:rPr>
      </w:pPr>
    </w:p>
    <w:p w:rsidR="00D57D73" w:rsidRDefault="003312CC" w:rsidP="00C67792">
      <w:pPr>
        <w:spacing w:line="360" w:lineRule="auto"/>
        <w:ind w:firstLine="708"/>
        <w:jc w:val="both"/>
        <w:rPr>
          <w:rFonts w:ascii="Arial Narrow" w:hAnsi="Arial Narrow" w:cs="Arial"/>
          <w:iCs/>
          <w:sz w:val="28"/>
          <w:szCs w:val="28"/>
          <w:lang w:val="es-ES"/>
        </w:rPr>
      </w:pPr>
      <w:r>
        <w:rPr>
          <w:rFonts w:ascii="Arial Narrow" w:hAnsi="Arial Narrow" w:cs="Arial"/>
          <w:iCs/>
          <w:sz w:val="28"/>
          <w:szCs w:val="28"/>
          <w:lang w:val="es-ES"/>
        </w:rPr>
        <w:t xml:space="preserve">En cuanto al número de mesadas, se reconocerán </w:t>
      </w:r>
      <w:r w:rsidR="004579A6">
        <w:rPr>
          <w:rFonts w:ascii="Arial Narrow" w:hAnsi="Arial Narrow" w:cs="Arial"/>
          <w:iCs/>
          <w:sz w:val="28"/>
          <w:szCs w:val="28"/>
          <w:lang w:val="es-ES"/>
        </w:rPr>
        <w:t xml:space="preserve">13 </w:t>
      </w:r>
      <w:r>
        <w:rPr>
          <w:rFonts w:ascii="Arial Narrow" w:hAnsi="Arial Narrow" w:cs="Arial"/>
          <w:iCs/>
          <w:sz w:val="28"/>
          <w:szCs w:val="28"/>
          <w:lang w:val="es-ES"/>
        </w:rPr>
        <w:t>anuales</w:t>
      </w:r>
      <w:r w:rsidR="004579A6">
        <w:rPr>
          <w:rFonts w:ascii="Arial Narrow" w:hAnsi="Arial Narrow" w:cs="Arial"/>
          <w:iCs/>
          <w:sz w:val="28"/>
          <w:szCs w:val="28"/>
          <w:lang w:val="es-ES"/>
        </w:rPr>
        <w:t xml:space="preserve">, </w:t>
      </w:r>
      <w:r>
        <w:rPr>
          <w:rFonts w:ascii="Arial Narrow" w:hAnsi="Arial Narrow" w:cs="Arial"/>
          <w:iCs/>
          <w:sz w:val="28"/>
          <w:szCs w:val="28"/>
          <w:lang w:val="es-ES"/>
        </w:rPr>
        <w:t xml:space="preserve">pues </w:t>
      </w:r>
      <w:r w:rsidR="004579A6">
        <w:rPr>
          <w:rFonts w:ascii="Arial Narrow" w:hAnsi="Arial Narrow" w:cs="Arial"/>
          <w:iCs/>
          <w:sz w:val="28"/>
          <w:szCs w:val="28"/>
          <w:lang w:val="es-ES"/>
        </w:rPr>
        <w:t xml:space="preserve">al tenor de lo establecido en el Acto Legislativo 01 de 2005, la </w:t>
      </w:r>
      <w:proofErr w:type="spellStart"/>
      <w:r w:rsidR="004579A6">
        <w:rPr>
          <w:rFonts w:ascii="Arial Narrow" w:hAnsi="Arial Narrow" w:cs="Arial"/>
          <w:iCs/>
          <w:sz w:val="28"/>
          <w:szCs w:val="28"/>
          <w:lang w:val="es-ES"/>
        </w:rPr>
        <w:t>causación</w:t>
      </w:r>
      <w:proofErr w:type="spellEnd"/>
      <w:r w:rsidR="004579A6">
        <w:rPr>
          <w:rFonts w:ascii="Arial Narrow" w:hAnsi="Arial Narrow" w:cs="Arial"/>
          <w:iCs/>
          <w:sz w:val="28"/>
          <w:szCs w:val="28"/>
          <w:lang w:val="es-ES"/>
        </w:rPr>
        <w:t xml:space="preserve"> del derecho se dio con posterioridad al </w:t>
      </w:r>
      <w:r w:rsidR="00AF5115">
        <w:rPr>
          <w:rFonts w:ascii="Arial Narrow" w:hAnsi="Arial Narrow" w:cs="Arial"/>
          <w:iCs/>
          <w:sz w:val="28"/>
          <w:szCs w:val="28"/>
          <w:lang w:val="es-ES"/>
        </w:rPr>
        <w:t xml:space="preserve">31 de julio de 2011. </w:t>
      </w:r>
    </w:p>
    <w:p w:rsidR="00787F35" w:rsidRDefault="00787F35" w:rsidP="003312CC">
      <w:pPr>
        <w:pStyle w:val="Sinespaciado"/>
        <w:rPr>
          <w:lang w:val="es-ES"/>
        </w:rPr>
      </w:pPr>
    </w:p>
    <w:p w:rsidR="00787F35" w:rsidRPr="00766F02" w:rsidRDefault="00787F35" w:rsidP="00C67792">
      <w:pPr>
        <w:spacing w:line="360" w:lineRule="auto"/>
        <w:ind w:firstLine="708"/>
        <w:jc w:val="both"/>
        <w:rPr>
          <w:rFonts w:ascii="Arial Narrow" w:hAnsi="Arial Narrow" w:cs="Arial"/>
          <w:color w:val="FF0000"/>
          <w:sz w:val="28"/>
          <w:szCs w:val="28"/>
        </w:rPr>
      </w:pPr>
      <w:r>
        <w:rPr>
          <w:rFonts w:ascii="Arial Narrow" w:hAnsi="Arial Narrow" w:cs="Arial"/>
          <w:iCs/>
          <w:sz w:val="28"/>
          <w:szCs w:val="28"/>
          <w:lang w:val="es-ES"/>
        </w:rPr>
        <w:t xml:space="preserve">En torno a la excepción de prescripción propuesta por la entidad de seguridad social, la Sala al igual que la a-quo concluye que </w:t>
      </w:r>
      <w:r w:rsidR="00F77D34">
        <w:rPr>
          <w:rFonts w:ascii="Arial Narrow" w:hAnsi="Arial Narrow" w:cs="Arial"/>
          <w:iCs/>
          <w:sz w:val="28"/>
          <w:szCs w:val="28"/>
          <w:lang w:val="es-ES"/>
        </w:rPr>
        <w:t xml:space="preserve">la misma </w:t>
      </w:r>
      <w:r>
        <w:rPr>
          <w:rFonts w:ascii="Arial Narrow" w:hAnsi="Arial Narrow" w:cs="Arial"/>
          <w:iCs/>
          <w:sz w:val="28"/>
          <w:szCs w:val="28"/>
          <w:lang w:val="es-ES"/>
        </w:rPr>
        <w:t>no está</w:t>
      </w:r>
      <w:r w:rsidR="003312CC">
        <w:rPr>
          <w:rFonts w:ascii="Arial Narrow" w:hAnsi="Arial Narrow" w:cs="Arial"/>
          <w:iCs/>
          <w:sz w:val="28"/>
          <w:szCs w:val="28"/>
          <w:lang w:val="es-ES"/>
        </w:rPr>
        <w:t xml:space="preserve"> llamada a prosperar, </w:t>
      </w:r>
      <w:r w:rsidR="00F77D34">
        <w:rPr>
          <w:rFonts w:ascii="Arial Narrow" w:hAnsi="Arial Narrow" w:cs="Arial"/>
          <w:iCs/>
          <w:sz w:val="28"/>
          <w:szCs w:val="28"/>
          <w:lang w:val="es-ES"/>
        </w:rPr>
        <w:t xml:space="preserve">en la medida en que </w:t>
      </w:r>
      <w:r w:rsidR="003312CC">
        <w:rPr>
          <w:rFonts w:ascii="Arial Narrow" w:hAnsi="Arial Narrow" w:cs="Arial"/>
          <w:iCs/>
          <w:sz w:val="28"/>
          <w:szCs w:val="28"/>
          <w:lang w:val="es-ES"/>
        </w:rPr>
        <w:t xml:space="preserve">en los términos del artículo 151 del </w:t>
      </w:r>
      <w:proofErr w:type="spellStart"/>
      <w:r w:rsidR="003312CC">
        <w:rPr>
          <w:rFonts w:ascii="Arial Narrow" w:hAnsi="Arial Narrow" w:cs="Arial"/>
          <w:iCs/>
          <w:sz w:val="28"/>
          <w:szCs w:val="28"/>
          <w:lang w:val="es-ES"/>
        </w:rPr>
        <w:t>C.P.T</w:t>
      </w:r>
      <w:proofErr w:type="spellEnd"/>
      <w:r w:rsidR="003312CC">
        <w:rPr>
          <w:rFonts w:ascii="Arial Narrow" w:hAnsi="Arial Narrow" w:cs="Arial"/>
          <w:iCs/>
          <w:sz w:val="28"/>
          <w:szCs w:val="28"/>
          <w:lang w:val="es-ES"/>
        </w:rPr>
        <w:t xml:space="preserve"> y S.S. y 488 del </w:t>
      </w:r>
      <w:proofErr w:type="spellStart"/>
      <w:r w:rsidR="003312CC">
        <w:rPr>
          <w:rFonts w:ascii="Arial Narrow" w:hAnsi="Arial Narrow" w:cs="Arial"/>
          <w:iCs/>
          <w:sz w:val="28"/>
          <w:szCs w:val="28"/>
          <w:lang w:val="es-ES"/>
        </w:rPr>
        <w:t>C.S.T</w:t>
      </w:r>
      <w:proofErr w:type="spellEnd"/>
      <w:r w:rsidR="003312CC">
        <w:rPr>
          <w:rFonts w:ascii="Arial Narrow" w:hAnsi="Arial Narrow" w:cs="Arial"/>
          <w:iCs/>
          <w:sz w:val="28"/>
          <w:szCs w:val="28"/>
          <w:lang w:val="es-ES"/>
        </w:rPr>
        <w:t xml:space="preserve">.,  </w:t>
      </w:r>
      <w:r w:rsidR="00F77D34">
        <w:rPr>
          <w:rFonts w:ascii="Arial Narrow" w:hAnsi="Arial Narrow" w:cs="Arial"/>
          <w:iCs/>
          <w:sz w:val="28"/>
          <w:szCs w:val="28"/>
          <w:lang w:val="es-ES"/>
        </w:rPr>
        <w:t>la reclamación administrativa presentada el 15 de agosto de 2013 –ver folio 77-, interrumpió dicho fenómeno extintivo, y esta demanda judicial fue instaurada dentro de los tres años siguientes, concretamente, el 31 de julio de 2014</w:t>
      </w:r>
      <w:r w:rsidR="0084283E">
        <w:rPr>
          <w:rFonts w:ascii="Arial Narrow" w:hAnsi="Arial Narrow" w:cs="Arial"/>
          <w:iCs/>
          <w:sz w:val="28"/>
          <w:szCs w:val="28"/>
          <w:lang w:val="es-ES"/>
        </w:rPr>
        <w:t xml:space="preserve">, según folio 13. </w:t>
      </w:r>
    </w:p>
    <w:p w:rsidR="00C67792" w:rsidRPr="00766F02" w:rsidRDefault="00C67792" w:rsidP="00AF5115">
      <w:pPr>
        <w:pStyle w:val="Sinespaciado"/>
      </w:pPr>
    </w:p>
    <w:p w:rsidR="00A96509" w:rsidRDefault="0084283E" w:rsidP="00EB77D8">
      <w:pPr>
        <w:pStyle w:val="Textoindependiente33"/>
        <w:ind w:firstLine="708"/>
        <w:rPr>
          <w:rFonts w:ascii="Arial Narrow" w:hAnsi="Arial Narrow" w:cs="Tahoma"/>
          <w:bCs/>
          <w:iCs/>
          <w:sz w:val="28"/>
          <w:szCs w:val="28"/>
        </w:rPr>
      </w:pPr>
      <w:r>
        <w:rPr>
          <w:rFonts w:ascii="Arial Narrow" w:hAnsi="Arial Narrow" w:cs="Tahoma"/>
          <w:bCs/>
          <w:iCs/>
          <w:sz w:val="28"/>
          <w:szCs w:val="28"/>
        </w:rPr>
        <w:lastRenderedPageBreak/>
        <w:t>Ahora bien, d</w:t>
      </w:r>
      <w:r w:rsidR="00AF5115">
        <w:rPr>
          <w:rFonts w:ascii="Arial Narrow" w:hAnsi="Arial Narrow" w:cs="Tahoma"/>
          <w:bCs/>
          <w:iCs/>
          <w:sz w:val="28"/>
          <w:szCs w:val="28"/>
        </w:rPr>
        <w:t xml:space="preserve">ada la modificación </w:t>
      </w:r>
      <w:r w:rsidR="001B2444">
        <w:rPr>
          <w:rFonts w:ascii="Arial Narrow" w:hAnsi="Arial Narrow" w:cs="Tahoma"/>
          <w:bCs/>
          <w:iCs/>
          <w:sz w:val="28"/>
          <w:szCs w:val="28"/>
        </w:rPr>
        <w:t>respecto al valor de la primera mesada</w:t>
      </w:r>
      <w:r>
        <w:rPr>
          <w:rFonts w:ascii="Arial Narrow" w:hAnsi="Arial Narrow" w:cs="Tahoma"/>
          <w:bCs/>
          <w:iCs/>
          <w:sz w:val="28"/>
          <w:szCs w:val="28"/>
        </w:rPr>
        <w:t xml:space="preserve"> pensional </w:t>
      </w:r>
      <w:r w:rsidR="00AF5115">
        <w:rPr>
          <w:rFonts w:ascii="Arial Narrow" w:hAnsi="Arial Narrow" w:cs="Tahoma"/>
          <w:bCs/>
          <w:iCs/>
          <w:sz w:val="28"/>
          <w:szCs w:val="28"/>
        </w:rPr>
        <w:t xml:space="preserve">y atendiendo la inconformidad de la recurrente </w:t>
      </w:r>
      <w:r>
        <w:rPr>
          <w:rFonts w:ascii="Arial Narrow" w:hAnsi="Arial Narrow" w:cs="Tahoma"/>
          <w:bCs/>
          <w:iCs/>
          <w:sz w:val="28"/>
          <w:szCs w:val="28"/>
        </w:rPr>
        <w:t xml:space="preserve">en cuanto </w:t>
      </w:r>
      <w:r w:rsidR="00AF5115">
        <w:rPr>
          <w:rFonts w:ascii="Arial Narrow" w:hAnsi="Arial Narrow" w:cs="Tahoma"/>
          <w:bCs/>
          <w:iCs/>
          <w:sz w:val="28"/>
          <w:szCs w:val="28"/>
        </w:rPr>
        <w:t xml:space="preserve">al número de mesadas que se tomaron en cuenta para el año 2011, </w:t>
      </w:r>
      <w:r>
        <w:rPr>
          <w:rFonts w:ascii="Arial Narrow" w:hAnsi="Arial Narrow" w:cs="Tahoma"/>
          <w:bCs/>
          <w:iCs/>
          <w:sz w:val="28"/>
          <w:szCs w:val="28"/>
        </w:rPr>
        <w:t xml:space="preserve">la Sala obtiene como </w:t>
      </w:r>
      <w:r w:rsidR="001B2444">
        <w:rPr>
          <w:rFonts w:ascii="Arial Narrow" w:hAnsi="Arial Narrow" w:cs="Tahoma"/>
          <w:bCs/>
          <w:iCs/>
          <w:sz w:val="28"/>
          <w:szCs w:val="28"/>
        </w:rPr>
        <w:t xml:space="preserve">retroactivo pensional causado desde el 19 de octubre de 2011 y el 30 de septiembre de 2017, es decir, actualizado a </w:t>
      </w:r>
      <w:r w:rsidR="00613BBC">
        <w:rPr>
          <w:rFonts w:ascii="Arial Narrow" w:hAnsi="Arial Narrow" w:cs="Tahoma"/>
          <w:bCs/>
          <w:iCs/>
          <w:sz w:val="28"/>
          <w:szCs w:val="28"/>
        </w:rPr>
        <w:t xml:space="preserve">la emisión de </w:t>
      </w:r>
      <w:r w:rsidR="001B2444">
        <w:rPr>
          <w:rFonts w:ascii="Arial Narrow" w:hAnsi="Arial Narrow" w:cs="Tahoma"/>
          <w:bCs/>
          <w:iCs/>
          <w:sz w:val="28"/>
          <w:szCs w:val="28"/>
        </w:rPr>
        <w:t>esta sentencia, la suma de $</w:t>
      </w:r>
      <w:r w:rsidR="00613BBC">
        <w:rPr>
          <w:rFonts w:ascii="Arial Narrow" w:hAnsi="Arial Narrow" w:cs="Tahoma"/>
          <w:bCs/>
          <w:iCs/>
          <w:sz w:val="28"/>
          <w:szCs w:val="28"/>
        </w:rPr>
        <w:t>74`102.379</w:t>
      </w:r>
      <w:r w:rsidR="001B2444">
        <w:rPr>
          <w:rFonts w:ascii="Arial Narrow" w:hAnsi="Arial Narrow" w:cs="Tahoma"/>
          <w:bCs/>
          <w:iCs/>
          <w:sz w:val="28"/>
          <w:szCs w:val="28"/>
        </w:rPr>
        <w:t>, tal cual se ilustra en el cuadro que se pone de presente a los asistentes y que hará parte integrante del acta que se suscriba con ocasión de esta diligencia.</w:t>
      </w:r>
    </w:p>
    <w:p w:rsidR="00A96509" w:rsidRDefault="00A96509" w:rsidP="00391F11">
      <w:pPr>
        <w:pStyle w:val="Sinespaciado"/>
      </w:pPr>
    </w:p>
    <w:p w:rsidR="00391F11" w:rsidRDefault="00391F11" w:rsidP="00EB77D8">
      <w:pPr>
        <w:pStyle w:val="Textoindependiente33"/>
        <w:ind w:firstLine="708"/>
        <w:rPr>
          <w:rFonts w:ascii="Arial Narrow" w:hAnsi="Arial Narrow" w:cs="Tahoma"/>
          <w:bCs/>
          <w:iCs/>
          <w:sz w:val="28"/>
          <w:szCs w:val="28"/>
        </w:rPr>
      </w:pPr>
      <w:r>
        <w:rPr>
          <w:rFonts w:ascii="Arial Narrow" w:hAnsi="Arial Narrow" w:cs="Arial"/>
          <w:sz w:val="28"/>
          <w:szCs w:val="28"/>
        </w:rPr>
        <w:t>Por lo expuesto, se</w:t>
      </w:r>
      <w:r w:rsidRPr="004579A6">
        <w:rPr>
          <w:rFonts w:ascii="Arial Narrow" w:hAnsi="Arial Narrow" w:cs="Arial"/>
          <w:sz w:val="28"/>
          <w:szCs w:val="28"/>
        </w:rPr>
        <w:t xml:space="preserve"> modificará</w:t>
      </w:r>
      <w:r>
        <w:rPr>
          <w:rFonts w:ascii="Arial Narrow" w:hAnsi="Arial Narrow" w:cs="Arial"/>
          <w:sz w:val="28"/>
          <w:szCs w:val="28"/>
        </w:rPr>
        <w:t xml:space="preserve">n los ordinales </w:t>
      </w:r>
      <w:r w:rsidR="0018332A">
        <w:rPr>
          <w:rFonts w:ascii="Arial Narrow" w:hAnsi="Arial Narrow" w:cs="Arial"/>
          <w:sz w:val="28"/>
          <w:szCs w:val="28"/>
        </w:rPr>
        <w:t>2º, 4ºy 5º</w:t>
      </w:r>
      <w:r>
        <w:rPr>
          <w:rFonts w:ascii="Arial Narrow" w:hAnsi="Arial Narrow" w:cs="Arial"/>
          <w:sz w:val="28"/>
          <w:szCs w:val="28"/>
        </w:rPr>
        <w:t xml:space="preserve"> de la sentencia</w:t>
      </w:r>
      <w:r w:rsidR="0018332A">
        <w:rPr>
          <w:rFonts w:ascii="Arial Narrow" w:hAnsi="Arial Narrow" w:cs="Arial"/>
          <w:sz w:val="28"/>
          <w:szCs w:val="28"/>
        </w:rPr>
        <w:t>.</w:t>
      </w:r>
    </w:p>
    <w:p w:rsidR="0018332A" w:rsidRPr="0018332A" w:rsidRDefault="0018332A" w:rsidP="0018332A">
      <w:pPr>
        <w:pStyle w:val="Sinespaciado"/>
      </w:pPr>
    </w:p>
    <w:p w:rsidR="00EB77D8" w:rsidRPr="009F5EC6" w:rsidRDefault="00AF5115" w:rsidP="00EB77D8">
      <w:pPr>
        <w:pStyle w:val="Sinespaciado"/>
        <w:spacing w:line="360" w:lineRule="auto"/>
        <w:ind w:firstLine="708"/>
        <w:jc w:val="both"/>
        <w:rPr>
          <w:rFonts w:ascii="Arial Narrow" w:hAnsi="Arial Narrow" w:cs="Tahoma"/>
          <w:bCs/>
          <w:sz w:val="28"/>
          <w:szCs w:val="28"/>
        </w:rPr>
      </w:pPr>
      <w:r>
        <w:rPr>
          <w:rFonts w:ascii="Arial Narrow" w:hAnsi="Arial Narrow" w:cs="Tahoma"/>
          <w:bCs/>
          <w:sz w:val="28"/>
          <w:szCs w:val="28"/>
        </w:rPr>
        <w:t>Sin costas en esta instancia.</w:t>
      </w:r>
    </w:p>
    <w:p w:rsidR="00EB77D8" w:rsidRPr="00CC2209" w:rsidRDefault="00EB77D8" w:rsidP="00EB77D8">
      <w:pPr>
        <w:pStyle w:val="Sinespaciado"/>
      </w:pPr>
    </w:p>
    <w:p w:rsidR="00EB77D8" w:rsidRDefault="00EB77D8" w:rsidP="00EB77D8">
      <w:pPr>
        <w:pStyle w:val="Prrafodelista1"/>
        <w:spacing w:after="0" w:line="360" w:lineRule="auto"/>
        <w:ind w:left="0" w:firstLine="709"/>
        <w:jc w:val="both"/>
        <w:rPr>
          <w:rFonts w:ascii="Arial Narrow" w:hAnsi="Arial Narrow"/>
          <w:sz w:val="28"/>
          <w:szCs w:val="28"/>
        </w:rPr>
      </w:pPr>
      <w:r w:rsidRPr="008105C9">
        <w:rPr>
          <w:rFonts w:ascii="Arial Narrow" w:hAnsi="Arial Narrow"/>
          <w:sz w:val="28"/>
          <w:szCs w:val="28"/>
        </w:rPr>
        <w:t xml:space="preserve">En mérito </w:t>
      </w:r>
      <w:r>
        <w:rPr>
          <w:rFonts w:ascii="Arial Narrow" w:hAnsi="Arial Narrow"/>
          <w:sz w:val="28"/>
          <w:szCs w:val="28"/>
        </w:rPr>
        <w:t xml:space="preserve">de lo expuesto, la Sala de Decisión No. 3 del </w:t>
      </w:r>
      <w:r w:rsidRPr="00117AB3">
        <w:rPr>
          <w:rFonts w:ascii="Arial Narrow" w:hAnsi="Arial Narrow"/>
          <w:i/>
          <w:sz w:val="28"/>
          <w:szCs w:val="28"/>
        </w:rPr>
        <w:t>H. Tribunal Superior del Distrito Judicial de Pereira - Risaralda, Sala Laboral,</w:t>
      </w:r>
      <w:r w:rsidRPr="00117AB3">
        <w:rPr>
          <w:rFonts w:ascii="Arial Narrow" w:hAnsi="Arial Narrow"/>
          <w:sz w:val="28"/>
          <w:szCs w:val="28"/>
        </w:rPr>
        <w:t xml:space="preserve"> administrando justicia en nombre de la República y por autoridad de la ley,</w:t>
      </w:r>
    </w:p>
    <w:p w:rsidR="00EB77D8" w:rsidRDefault="00EB77D8" w:rsidP="00EB77D8">
      <w:pPr>
        <w:pStyle w:val="Sinespaciado"/>
      </w:pPr>
    </w:p>
    <w:p w:rsidR="00EB77D8" w:rsidRPr="00117AB3" w:rsidRDefault="00EB77D8" w:rsidP="00EB77D8">
      <w:pPr>
        <w:tabs>
          <w:tab w:val="left" w:pos="3720"/>
          <w:tab w:val="center" w:pos="4420"/>
        </w:tabs>
        <w:spacing w:line="360" w:lineRule="auto"/>
        <w:rPr>
          <w:rFonts w:ascii="Arial Narrow" w:hAnsi="Arial Narrow" w:cs="Arial"/>
          <w:i/>
          <w:sz w:val="28"/>
          <w:szCs w:val="28"/>
        </w:rPr>
      </w:pPr>
      <w:r>
        <w:rPr>
          <w:rFonts w:ascii="Arial Narrow" w:hAnsi="Arial Narrow" w:cs="Arial"/>
          <w:i/>
          <w:sz w:val="28"/>
          <w:szCs w:val="28"/>
        </w:rPr>
        <w:tab/>
      </w:r>
      <w:r>
        <w:rPr>
          <w:rFonts w:ascii="Arial Narrow" w:hAnsi="Arial Narrow" w:cs="Arial"/>
          <w:i/>
          <w:sz w:val="28"/>
          <w:szCs w:val="28"/>
        </w:rPr>
        <w:tab/>
      </w:r>
      <w:r w:rsidRPr="00117AB3">
        <w:rPr>
          <w:rFonts w:ascii="Arial Narrow" w:hAnsi="Arial Narrow" w:cs="Arial"/>
          <w:i/>
          <w:sz w:val="28"/>
          <w:szCs w:val="28"/>
        </w:rPr>
        <w:t>FALLA</w:t>
      </w:r>
    </w:p>
    <w:p w:rsidR="00EB77D8" w:rsidRPr="008A35B5" w:rsidRDefault="00EB77D8" w:rsidP="008A35B5">
      <w:pPr>
        <w:pStyle w:val="Sinespaciado"/>
      </w:pPr>
    </w:p>
    <w:p w:rsidR="0018332A" w:rsidRDefault="0018332A" w:rsidP="00AF2AC8">
      <w:pPr>
        <w:pStyle w:val="Prrafodelista"/>
        <w:numPr>
          <w:ilvl w:val="0"/>
          <w:numId w:val="2"/>
        </w:numPr>
        <w:tabs>
          <w:tab w:val="left" w:pos="851"/>
        </w:tabs>
        <w:autoSpaceDE w:val="0"/>
        <w:autoSpaceDN w:val="0"/>
        <w:adjustRightInd w:val="0"/>
        <w:spacing w:line="360" w:lineRule="auto"/>
        <w:ind w:left="0" w:firstLine="426"/>
        <w:jc w:val="both"/>
      </w:pPr>
      <w:r w:rsidRPr="00B14545">
        <w:rPr>
          <w:rFonts w:ascii="Arial Narrow" w:hAnsi="Arial Narrow"/>
          <w:i/>
          <w:sz w:val="28"/>
          <w:szCs w:val="28"/>
        </w:rPr>
        <w:t xml:space="preserve">Modificar </w:t>
      </w:r>
      <w:r w:rsidRPr="008A35B5">
        <w:rPr>
          <w:rFonts w:ascii="Arial Narrow" w:hAnsi="Arial Narrow"/>
          <w:sz w:val="28"/>
          <w:szCs w:val="28"/>
        </w:rPr>
        <w:t>el ordinal 2º de la sentencia proferida el 26 de octubre de 2016 p</w:t>
      </w:r>
      <w:r w:rsidR="00EB77D8" w:rsidRPr="008A35B5">
        <w:rPr>
          <w:rFonts w:ascii="Arial Narrow" w:hAnsi="Arial Narrow"/>
          <w:sz w:val="28"/>
          <w:szCs w:val="28"/>
        </w:rPr>
        <w:t xml:space="preserve">or el Juzgado </w:t>
      </w:r>
      <w:r w:rsidRPr="008A35B5">
        <w:rPr>
          <w:rFonts w:ascii="Arial Narrow" w:hAnsi="Arial Narrow"/>
          <w:sz w:val="28"/>
          <w:szCs w:val="28"/>
        </w:rPr>
        <w:t xml:space="preserve">Segundo </w:t>
      </w:r>
      <w:r w:rsidR="00EB77D8" w:rsidRPr="008A35B5">
        <w:rPr>
          <w:rFonts w:ascii="Arial Narrow" w:hAnsi="Arial Narrow"/>
          <w:sz w:val="28"/>
          <w:szCs w:val="28"/>
        </w:rPr>
        <w:t>Laboral del Circuito de Pereira, dentro del proceso</w:t>
      </w:r>
      <w:r w:rsidR="00EB77D8" w:rsidRPr="00B14545">
        <w:rPr>
          <w:rFonts w:ascii="Arial Narrow" w:hAnsi="Arial Narrow"/>
          <w:sz w:val="28"/>
          <w:szCs w:val="28"/>
        </w:rPr>
        <w:t xml:space="preserve"> de la </w:t>
      </w:r>
      <w:r w:rsidRPr="00B14545">
        <w:rPr>
          <w:rFonts w:ascii="Arial Narrow" w:hAnsi="Arial Narrow"/>
          <w:sz w:val="28"/>
          <w:szCs w:val="28"/>
        </w:rPr>
        <w:t>referencia, en el sentido de indicar que el valor de la primera mesada pensional para el año 2011 asciende a la suma de $</w:t>
      </w:r>
      <w:r w:rsidRPr="00B14545">
        <w:rPr>
          <w:rFonts w:ascii="Arial Narrow" w:hAnsi="Arial Narrow" w:cs="Arial"/>
          <w:sz w:val="28"/>
          <w:szCs w:val="28"/>
        </w:rPr>
        <w:t>857.924.</w:t>
      </w:r>
    </w:p>
    <w:p w:rsidR="00B14545" w:rsidRPr="00AF2AC8" w:rsidRDefault="00B14545" w:rsidP="00AF2AC8">
      <w:pPr>
        <w:pStyle w:val="Sinespaciado"/>
      </w:pPr>
    </w:p>
    <w:p w:rsidR="00B14545" w:rsidRPr="008A35B5" w:rsidRDefault="00B14545" w:rsidP="008A35B5">
      <w:pPr>
        <w:pStyle w:val="Prrafodelista"/>
        <w:numPr>
          <w:ilvl w:val="0"/>
          <w:numId w:val="2"/>
        </w:numPr>
        <w:autoSpaceDE w:val="0"/>
        <w:autoSpaceDN w:val="0"/>
        <w:adjustRightInd w:val="0"/>
        <w:spacing w:line="360" w:lineRule="auto"/>
        <w:ind w:left="0" w:firstLine="360"/>
        <w:jc w:val="both"/>
      </w:pPr>
      <w:r>
        <w:rPr>
          <w:rFonts w:ascii="Arial Narrow" w:hAnsi="Arial Narrow"/>
          <w:i/>
          <w:sz w:val="28"/>
          <w:szCs w:val="28"/>
        </w:rPr>
        <w:t xml:space="preserve">Modificar </w:t>
      </w:r>
      <w:r w:rsidRPr="008A35B5">
        <w:rPr>
          <w:rFonts w:ascii="Arial Narrow" w:hAnsi="Arial Narrow"/>
          <w:sz w:val="28"/>
          <w:szCs w:val="28"/>
        </w:rPr>
        <w:t xml:space="preserve">el ordinal 4º de la sentencia en cuanto a que el valor del retroactivo pensional causado entre el 19 de octubre de 2011 y el 30 de septiembre de 2017, asciende a $ </w:t>
      </w:r>
      <w:r w:rsidRPr="008A35B5">
        <w:rPr>
          <w:rFonts w:ascii="Arial Narrow" w:hAnsi="Arial Narrow" w:cs="Tahoma"/>
          <w:bCs/>
          <w:iCs/>
          <w:sz w:val="28"/>
          <w:szCs w:val="28"/>
        </w:rPr>
        <w:t>74`102.379, sin perjuicio de que se siga generando hasta su solución total.</w:t>
      </w:r>
    </w:p>
    <w:p w:rsidR="008A35B5" w:rsidRDefault="008A35B5" w:rsidP="00AF2AC8">
      <w:pPr>
        <w:pStyle w:val="Sinespaciado"/>
      </w:pPr>
    </w:p>
    <w:p w:rsidR="008A35B5" w:rsidRDefault="008A35B5" w:rsidP="008A35B5">
      <w:pPr>
        <w:pStyle w:val="Prrafodelista"/>
        <w:numPr>
          <w:ilvl w:val="0"/>
          <w:numId w:val="2"/>
        </w:numPr>
        <w:autoSpaceDE w:val="0"/>
        <w:autoSpaceDN w:val="0"/>
        <w:adjustRightInd w:val="0"/>
        <w:spacing w:line="360" w:lineRule="auto"/>
        <w:ind w:left="0" w:firstLine="360"/>
        <w:jc w:val="both"/>
        <w:rPr>
          <w:rFonts w:ascii="Arial Narrow" w:hAnsi="Arial Narrow"/>
          <w:sz w:val="28"/>
          <w:szCs w:val="28"/>
        </w:rPr>
      </w:pPr>
      <w:r w:rsidRPr="008A35B5">
        <w:rPr>
          <w:rFonts w:ascii="Arial Narrow" w:hAnsi="Arial Narrow"/>
          <w:i/>
          <w:sz w:val="28"/>
          <w:szCs w:val="28"/>
        </w:rPr>
        <w:t>Modific</w:t>
      </w:r>
      <w:r w:rsidRPr="008A35B5">
        <w:rPr>
          <w:rFonts w:ascii="Arial Narrow" w:hAnsi="Arial Narrow"/>
          <w:sz w:val="28"/>
          <w:szCs w:val="28"/>
        </w:rPr>
        <w:t xml:space="preserve">ar el ordinal 5º de la providencia </w:t>
      </w:r>
      <w:r w:rsidR="002C0825">
        <w:rPr>
          <w:rFonts w:ascii="Arial Narrow" w:hAnsi="Arial Narrow"/>
          <w:sz w:val="28"/>
          <w:szCs w:val="28"/>
        </w:rPr>
        <w:t xml:space="preserve">respecto </w:t>
      </w:r>
      <w:r w:rsidRPr="008A35B5">
        <w:rPr>
          <w:rFonts w:ascii="Arial Narrow" w:hAnsi="Arial Narrow"/>
          <w:sz w:val="28"/>
          <w:szCs w:val="28"/>
        </w:rPr>
        <w:t xml:space="preserve">al valor de las mesadas pensionales de cada anualidad, las cuales quedarán así: </w:t>
      </w:r>
      <w:r w:rsidR="002C0825">
        <w:rPr>
          <w:rFonts w:ascii="Arial Narrow" w:hAnsi="Arial Narrow"/>
          <w:sz w:val="28"/>
          <w:szCs w:val="28"/>
        </w:rPr>
        <w:t>2011 $857.924; 2012 $</w:t>
      </w:r>
      <w:r w:rsidR="00792221">
        <w:rPr>
          <w:rFonts w:ascii="Arial Narrow" w:hAnsi="Arial Narrow"/>
          <w:sz w:val="28"/>
          <w:szCs w:val="28"/>
        </w:rPr>
        <w:t>889.925</w:t>
      </w:r>
      <w:r w:rsidR="002C0825">
        <w:rPr>
          <w:rFonts w:ascii="Arial Narrow" w:hAnsi="Arial Narrow"/>
          <w:sz w:val="28"/>
          <w:szCs w:val="28"/>
        </w:rPr>
        <w:t>; 2013 $</w:t>
      </w:r>
      <w:r w:rsidR="00792221">
        <w:rPr>
          <w:rFonts w:ascii="Arial Narrow" w:hAnsi="Arial Narrow"/>
          <w:sz w:val="28"/>
          <w:szCs w:val="28"/>
        </w:rPr>
        <w:t>911.639</w:t>
      </w:r>
      <w:r w:rsidR="002C0825">
        <w:rPr>
          <w:rFonts w:ascii="Arial Narrow" w:hAnsi="Arial Narrow"/>
          <w:sz w:val="28"/>
          <w:szCs w:val="28"/>
        </w:rPr>
        <w:t>; 2014 $</w:t>
      </w:r>
      <w:r w:rsidR="00792221">
        <w:rPr>
          <w:rFonts w:ascii="Arial Narrow" w:hAnsi="Arial Narrow"/>
          <w:sz w:val="28"/>
          <w:szCs w:val="28"/>
        </w:rPr>
        <w:t>929.325</w:t>
      </w:r>
      <w:r w:rsidR="002C0825">
        <w:rPr>
          <w:rFonts w:ascii="Arial Narrow" w:hAnsi="Arial Narrow"/>
          <w:sz w:val="28"/>
          <w:szCs w:val="28"/>
        </w:rPr>
        <w:t>; 2015 $</w:t>
      </w:r>
      <w:r w:rsidR="00792221">
        <w:rPr>
          <w:rFonts w:ascii="Arial Narrow" w:hAnsi="Arial Narrow"/>
          <w:sz w:val="28"/>
          <w:szCs w:val="28"/>
        </w:rPr>
        <w:t>963.338; 2016 $1.028.556</w:t>
      </w:r>
      <w:r w:rsidR="002C0825">
        <w:rPr>
          <w:rFonts w:ascii="Arial Narrow" w:hAnsi="Arial Narrow"/>
          <w:sz w:val="28"/>
          <w:szCs w:val="28"/>
        </w:rPr>
        <w:t>; 2017 $</w:t>
      </w:r>
      <w:r w:rsidR="00792221">
        <w:rPr>
          <w:rFonts w:ascii="Arial Narrow" w:hAnsi="Arial Narrow"/>
          <w:sz w:val="28"/>
          <w:szCs w:val="28"/>
        </w:rPr>
        <w:t>1.087.698</w:t>
      </w:r>
      <w:r w:rsidR="002C0825">
        <w:rPr>
          <w:rFonts w:ascii="Arial Narrow" w:hAnsi="Arial Narrow"/>
          <w:sz w:val="28"/>
          <w:szCs w:val="28"/>
        </w:rPr>
        <w:t>.</w:t>
      </w:r>
    </w:p>
    <w:p w:rsidR="00792221" w:rsidRPr="00792221" w:rsidRDefault="00792221" w:rsidP="00AF2AC8">
      <w:pPr>
        <w:pStyle w:val="Sinespaciado"/>
      </w:pPr>
    </w:p>
    <w:p w:rsidR="00792221" w:rsidRDefault="00792221" w:rsidP="008A35B5">
      <w:pPr>
        <w:pStyle w:val="Prrafodelista"/>
        <w:numPr>
          <w:ilvl w:val="0"/>
          <w:numId w:val="2"/>
        </w:numPr>
        <w:autoSpaceDE w:val="0"/>
        <w:autoSpaceDN w:val="0"/>
        <w:adjustRightInd w:val="0"/>
        <w:spacing w:line="360" w:lineRule="auto"/>
        <w:ind w:left="0" w:firstLine="360"/>
        <w:jc w:val="both"/>
        <w:rPr>
          <w:rFonts w:ascii="Arial Narrow" w:hAnsi="Arial Narrow"/>
          <w:sz w:val="28"/>
          <w:szCs w:val="28"/>
        </w:rPr>
      </w:pPr>
      <w:r>
        <w:rPr>
          <w:rFonts w:ascii="Arial Narrow" w:hAnsi="Arial Narrow"/>
          <w:sz w:val="28"/>
          <w:szCs w:val="28"/>
        </w:rPr>
        <w:t>Confirma todo lo demás.</w:t>
      </w:r>
    </w:p>
    <w:p w:rsidR="00EB77D8" w:rsidRPr="00AF2AC8" w:rsidRDefault="00EB77D8" w:rsidP="00AF2AC8">
      <w:pPr>
        <w:pStyle w:val="Sinespaciado"/>
      </w:pPr>
    </w:p>
    <w:p w:rsidR="00EB77D8" w:rsidRPr="00A85DF2" w:rsidRDefault="00792221" w:rsidP="00AF2AC8">
      <w:pPr>
        <w:pStyle w:val="Textoindependiente33"/>
        <w:numPr>
          <w:ilvl w:val="0"/>
          <w:numId w:val="2"/>
        </w:numPr>
        <w:ind w:hanging="436"/>
        <w:rPr>
          <w:rFonts w:ascii="Arial Narrow" w:hAnsi="Arial Narrow" w:cs="Tahoma"/>
          <w:bCs/>
          <w:iCs/>
          <w:sz w:val="28"/>
          <w:szCs w:val="28"/>
        </w:rPr>
      </w:pPr>
      <w:r>
        <w:rPr>
          <w:rFonts w:ascii="Arial Narrow" w:hAnsi="Arial Narrow" w:cs="Tahoma"/>
          <w:bCs/>
          <w:iCs/>
          <w:sz w:val="28"/>
          <w:szCs w:val="28"/>
        </w:rPr>
        <w:t>Sin costas en esta instancia.</w:t>
      </w:r>
    </w:p>
    <w:p w:rsidR="00EB77D8" w:rsidRPr="00117AB3" w:rsidRDefault="00EB77D8" w:rsidP="00EB77D8">
      <w:pPr>
        <w:pStyle w:val="Sinespaciado"/>
      </w:pPr>
    </w:p>
    <w:p w:rsidR="00EB77D8" w:rsidRPr="00117AB3" w:rsidRDefault="00EB77D8" w:rsidP="00EB77D8">
      <w:pPr>
        <w:spacing w:line="360" w:lineRule="auto"/>
        <w:ind w:firstLine="708"/>
        <w:jc w:val="both"/>
        <w:rPr>
          <w:rFonts w:ascii="Arial Narrow" w:hAnsi="Arial Narrow" w:cs="Microsoft Sans Serif"/>
          <w:bCs/>
          <w:i/>
          <w:iCs/>
          <w:sz w:val="28"/>
          <w:szCs w:val="28"/>
        </w:rPr>
      </w:pPr>
      <w:r w:rsidRPr="00117AB3">
        <w:rPr>
          <w:rFonts w:ascii="Arial Narrow" w:hAnsi="Arial Narrow" w:cs="Microsoft Sans Serif"/>
          <w:bCs/>
          <w:i/>
          <w:iCs/>
          <w:sz w:val="28"/>
          <w:szCs w:val="28"/>
        </w:rPr>
        <w:lastRenderedPageBreak/>
        <w:t>NOTIFÍQUESE, CÚMPLASE Y DEVUÉLVASE.</w:t>
      </w:r>
    </w:p>
    <w:p w:rsidR="00EB77D8" w:rsidRPr="00EA0DFA" w:rsidRDefault="00EB77D8" w:rsidP="00EB77D8">
      <w:pPr>
        <w:pStyle w:val="Sinespaciado"/>
      </w:pPr>
    </w:p>
    <w:p w:rsidR="00EB77D8" w:rsidRPr="00117AB3" w:rsidRDefault="00EB77D8" w:rsidP="00EB77D8">
      <w:pPr>
        <w:spacing w:line="360" w:lineRule="auto"/>
        <w:ind w:firstLine="708"/>
        <w:jc w:val="both"/>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La anterior decisión queda notificada en estrados.</w:t>
      </w:r>
    </w:p>
    <w:p w:rsidR="00EB77D8" w:rsidRDefault="00EB77D8" w:rsidP="00EB77D8">
      <w:pPr>
        <w:spacing w:line="600" w:lineRule="auto"/>
        <w:ind w:firstLine="900"/>
        <w:jc w:val="both"/>
        <w:rPr>
          <w:rFonts w:ascii="Arial Narrow" w:hAnsi="Arial Narrow" w:cs="Microsoft Sans Serif"/>
          <w:bCs/>
          <w:iCs/>
          <w:sz w:val="28"/>
          <w:szCs w:val="28"/>
          <w:lang w:val="es-ES"/>
        </w:rPr>
      </w:pPr>
    </w:p>
    <w:p w:rsidR="00EB77D8" w:rsidRDefault="00EB77D8" w:rsidP="00EB77D8">
      <w:pPr>
        <w:ind w:firstLine="900"/>
        <w:jc w:val="center"/>
        <w:rPr>
          <w:rFonts w:ascii="Arial Narrow" w:hAnsi="Arial Narrow" w:cs="Microsoft Sans Serif"/>
          <w:bCs/>
          <w:iCs/>
          <w:sz w:val="28"/>
          <w:szCs w:val="28"/>
          <w:lang w:val="es-ES"/>
        </w:rPr>
      </w:pPr>
    </w:p>
    <w:p w:rsidR="00EB77D8" w:rsidRDefault="00EB77D8" w:rsidP="00EB77D8">
      <w:pPr>
        <w:ind w:firstLine="900"/>
        <w:jc w:val="center"/>
        <w:rPr>
          <w:rFonts w:ascii="Arial Narrow" w:hAnsi="Arial Narrow" w:cs="Microsoft Sans Serif"/>
          <w:bCs/>
          <w:iCs/>
          <w:sz w:val="28"/>
          <w:szCs w:val="28"/>
          <w:lang w:val="es-ES"/>
        </w:rPr>
      </w:pPr>
    </w:p>
    <w:p w:rsidR="00EB77D8" w:rsidRPr="00117AB3" w:rsidRDefault="00EB77D8" w:rsidP="00EB77D8">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FRANCISCO JAVIER TAMAYO TABARES</w:t>
      </w:r>
    </w:p>
    <w:p w:rsidR="00EB77D8" w:rsidRPr="00117AB3" w:rsidRDefault="00EB77D8" w:rsidP="00EB77D8">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 xml:space="preserve">Magistrado Ponente </w:t>
      </w:r>
    </w:p>
    <w:p w:rsidR="00EB77D8" w:rsidRPr="00117AB3" w:rsidRDefault="00EB77D8" w:rsidP="00EB77D8">
      <w:pPr>
        <w:jc w:val="both"/>
        <w:rPr>
          <w:rFonts w:ascii="Arial Narrow" w:hAnsi="Arial Narrow" w:cs="Microsoft Sans Serif"/>
          <w:bCs/>
          <w:iCs/>
          <w:sz w:val="28"/>
          <w:szCs w:val="28"/>
          <w:lang w:val="es-ES"/>
        </w:rPr>
      </w:pPr>
    </w:p>
    <w:p w:rsidR="00EB77D8" w:rsidRPr="00117AB3" w:rsidRDefault="00EB77D8" w:rsidP="00EB77D8">
      <w:pPr>
        <w:spacing w:line="276" w:lineRule="auto"/>
        <w:jc w:val="both"/>
        <w:rPr>
          <w:rFonts w:ascii="Arial Narrow" w:hAnsi="Arial Narrow" w:cs="Microsoft Sans Serif"/>
          <w:bCs/>
          <w:iCs/>
          <w:sz w:val="28"/>
          <w:szCs w:val="28"/>
          <w:lang w:val="es-ES"/>
        </w:rPr>
      </w:pPr>
    </w:p>
    <w:p w:rsidR="00EB77D8" w:rsidRDefault="00EB77D8" w:rsidP="00EB77D8">
      <w:pPr>
        <w:jc w:val="both"/>
        <w:rPr>
          <w:rFonts w:ascii="Arial Narrow" w:hAnsi="Arial Narrow" w:cs="Microsoft Sans Serif"/>
          <w:bCs/>
          <w:iCs/>
          <w:sz w:val="28"/>
          <w:szCs w:val="28"/>
          <w:lang w:val="es-ES"/>
        </w:rPr>
      </w:pPr>
    </w:p>
    <w:p w:rsidR="00EB77D8" w:rsidRPr="00117AB3" w:rsidRDefault="00EB77D8" w:rsidP="00EB77D8">
      <w:pPr>
        <w:jc w:val="both"/>
        <w:rPr>
          <w:rFonts w:ascii="Arial Narrow" w:hAnsi="Arial Narrow" w:cs="Microsoft Sans Serif"/>
          <w:bCs/>
          <w:iCs/>
          <w:sz w:val="28"/>
          <w:szCs w:val="28"/>
          <w:lang w:val="es-ES"/>
        </w:rPr>
      </w:pPr>
    </w:p>
    <w:p w:rsidR="00EB77D8" w:rsidRPr="00117AB3" w:rsidRDefault="00EB77D8" w:rsidP="00EB77D8">
      <w:pPr>
        <w:jc w:val="both"/>
        <w:rPr>
          <w:rFonts w:ascii="Arial Narrow" w:hAnsi="Arial Narrow" w:cs="Microsoft Sans Serif"/>
          <w:sz w:val="28"/>
          <w:szCs w:val="28"/>
          <w:lang w:val="es-ES"/>
        </w:rPr>
      </w:pPr>
      <w:r>
        <w:rPr>
          <w:rFonts w:ascii="Arial Narrow" w:hAnsi="Arial Narrow" w:cs="Microsoft Sans Serif"/>
          <w:bCs/>
          <w:iCs/>
          <w:sz w:val="28"/>
          <w:szCs w:val="28"/>
          <w:lang w:val="es-ES"/>
        </w:rPr>
        <w:t xml:space="preserve">OLGA LUCIA HOYOS SEPÚLVEDA                         </w:t>
      </w:r>
      <w:r w:rsidRPr="00117AB3">
        <w:rPr>
          <w:rFonts w:ascii="Arial Narrow" w:hAnsi="Arial Narrow" w:cs="Microsoft Sans Serif"/>
          <w:bCs/>
          <w:iCs/>
          <w:sz w:val="28"/>
          <w:szCs w:val="28"/>
          <w:lang w:val="es-ES"/>
        </w:rPr>
        <w:t xml:space="preserve">ANA LUCÍA CAICEDO CALDERÓN                 </w:t>
      </w:r>
    </w:p>
    <w:p w:rsidR="00EB77D8" w:rsidRPr="00117AB3" w:rsidRDefault="00EB77D8" w:rsidP="00EB77D8">
      <w:pPr>
        <w:jc w:val="both"/>
        <w:rPr>
          <w:rFonts w:ascii="Arial Narrow" w:hAnsi="Arial Narrow" w:cs="Microsoft Sans Serif"/>
          <w:sz w:val="28"/>
          <w:szCs w:val="28"/>
          <w:lang w:val="es-ES"/>
        </w:rPr>
      </w:pPr>
      <w:r w:rsidRPr="00117AB3">
        <w:rPr>
          <w:rFonts w:ascii="Arial Narrow" w:hAnsi="Arial Narrow" w:cs="Microsoft Sans Serif"/>
          <w:sz w:val="28"/>
          <w:szCs w:val="28"/>
          <w:lang w:val="es-ES"/>
        </w:rPr>
        <w:tab/>
        <w:t xml:space="preserve">          Magistrad</w:t>
      </w:r>
      <w:r>
        <w:rPr>
          <w:rFonts w:ascii="Arial Narrow" w:hAnsi="Arial Narrow" w:cs="Microsoft Sans Serif"/>
          <w:sz w:val="28"/>
          <w:szCs w:val="28"/>
          <w:lang w:val="es-ES"/>
        </w:rPr>
        <w:t>a</w:t>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Pr>
          <w:rFonts w:ascii="Arial Narrow" w:hAnsi="Arial Narrow" w:cs="Microsoft Sans Serif"/>
          <w:sz w:val="28"/>
          <w:szCs w:val="28"/>
          <w:lang w:val="es-ES"/>
        </w:rPr>
        <w:t xml:space="preserve">                        </w:t>
      </w:r>
      <w:proofErr w:type="spellStart"/>
      <w:r w:rsidRPr="00117AB3">
        <w:rPr>
          <w:rFonts w:ascii="Arial Narrow" w:hAnsi="Arial Narrow" w:cs="Microsoft Sans Serif"/>
          <w:sz w:val="28"/>
          <w:szCs w:val="28"/>
          <w:lang w:val="es-ES"/>
        </w:rPr>
        <w:t>Magistrada</w:t>
      </w:r>
      <w:proofErr w:type="spellEnd"/>
    </w:p>
    <w:p w:rsidR="00EB77D8" w:rsidRDefault="00EB77D8" w:rsidP="00EB77D8">
      <w:pPr>
        <w:jc w:val="center"/>
        <w:rPr>
          <w:rFonts w:ascii="Arial Narrow" w:hAnsi="Arial Narrow"/>
          <w:sz w:val="28"/>
          <w:szCs w:val="28"/>
        </w:rPr>
      </w:pPr>
    </w:p>
    <w:p w:rsidR="00EB77D8" w:rsidRDefault="00EB77D8" w:rsidP="00EB77D8">
      <w:pPr>
        <w:jc w:val="center"/>
        <w:rPr>
          <w:rFonts w:ascii="Arial Narrow" w:hAnsi="Arial Narrow"/>
          <w:sz w:val="28"/>
          <w:szCs w:val="28"/>
        </w:rPr>
      </w:pPr>
    </w:p>
    <w:p w:rsidR="00EB77D8" w:rsidRDefault="00EB77D8" w:rsidP="00EB77D8">
      <w:pPr>
        <w:jc w:val="center"/>
        <w:rPr>
          <w:rFonts w:ascii="Arial Narrow" w:hAnsi="Arial Narrow"/>
          <w:sz w:val="28"/>
          <w:szCs w:val="28"/>
        </w:rPr>
      </w:pPr>
    </w:p>
    <w:p w:rsidR="00EB77D8" w:rsidRDefault="00EB77D8" w:rsidP="00EB77D8">
      <w:pPr>
        <w:jc w:val="center"/>
        <w:rPr>
          <w:rFonts w:ascii="Arial Narrow" w:hAnsi="Arial Narrow"/>
          <w:sz w:val="28"/>
          <w:szCs w:val="28"/>
        </w:rPr>
      </w:pPr>
    </w:p>
    <w:p w:rsidR="00EB77D8" w:rsidRDefault="00EB77D8"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9D4190" w:rsidRDefault="009D4190" w:rsidP="00EB77D8">
      <w:pPr>
        <w:jc w:val="center"/>
        <w:rPr>
          <w:rFonts w:ascii="Arial Narrow" w:hAnsi="Arial Narrow"/>
          <w:sz w:val="28"/>
          <w:szCs w:val="28"/>
        </w:rPr>
      </w:pPr>
    </w:p>
    <w:p w:rsidR="00EB77D8" w:rsidRDefault="00AF2AC8" w:rsidP="00EB77D8">
      <w:pPr>
        <w:jc w:val="center"/>
        <w:rPr>
          <w:rFonts w:ascii="Arial Narrow" w:hAnsi="Arial Narrow"/>
          <w:sz w:val="28"/>
          <w:szCs w:val="28"/>
        </w:rPr>
      </w:pPr>
      <w:r>
        <w:rPr>
          <w:rFonts w:ascii="Arial Narrow" w:hAnsi="Arial Narrow"/>
          <w:sz w:val="28"/>
          <w:szCs w:val="28"/>
        </w:rPr>
        <w:t xml:space="preserve">ANEXOS </w:t>
      </w:r>
    </w:p>
    <w:p w:rsidR="00C94532" w:rsidRDefault="00C94532" w:rsidP="00C94532">
      <w:pPr>
        <w:pStyle w:val="Sinespaciado"/>
      </w:pPr>
    </w:p>
    <w:tbl>
      <w:tblPr>
        <w:tblW w:w="10698" w:type="dxa"/>
        <w:tblInd w:w="-729" w:type="dxa"/>
        <w:tblCellMar>
          <w:left w:w="70" w:type="dxa"/>
          <w:right w:w="70" w:type="dxa"/>
        </w:tblCellMar>
        <w:tblLook w:val="04A0" w:firstRow="1" w:lastRow="0" w:firstColumn="1" w:lastColumn="0" w:noHBand="0" w:noVBand="1"/>
      </w:tblPr>
      <w:tblGrid>
        <w:gridCol w:w="897"/>
        <w:gridCol w:w="897"/>
        <w:gridCol w:w="1163"/>
        <w:gridCol w:w="1442"/>
        <w:gridCol w:w="146"/>
        <w:gridCol w:w="1466"/>
        <w:gridCol w:w="2067"/>
        <w:gridCol w:w="1058"/>
        <w:gridCol w:w="1562"/>
      </w:tblGrid>
      <w:tr w:rsidR="005326C1" w:rsidRPr="005326C1" w:rsidTr="00B769DA">
        <w:trPr>
          <w:trHeight w:val="465"/>
        </w:trPr>
        <w:tc>
          <w:tcPr>
            <w:tcW w:w="10698" w:type="dxa"/>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5326C1" w:rsidRPr="005326C1" w:rsidRDefault="005326C1" w:rsidP="005326C1">
            <w:pPr>
              <w:jc w:val="center"/>
              <w:rPr>
                <w:rFonts w:ascii="Arial Narrow" w:hAnsi="Arial Narrow"/>
                <w:b/>
                <w:bCs/>
                <w:i/>
                <w:iCs/>
                <w:color w:val="000000"/>
                <w:sz w:val="18"/>
                <w:szCs w:val="18"/>
                <w:lang w:val="es-ES"/>
              </w:rPr>
            </w:pPr>
            <w:r w:rsidRPr="005326C1">
              <w:rPr>
                <w:rFonts w:ascii="Arial Narrow" w:hAnsi="Arial Narrow"/>
                <w:b/>
                <w:bCs/>
                <w:i/>
                <w:iCs/>
                <w:color w:val="000000"/>
                <w:sz w:val="18"/>
                <w:szCs w:val="18"/>
                <w:lang w:val="es-ES"/>
              </w:rPr>
              <w:t xml:space="preserve">MARTHA CECILIA </w:t>
            </w:r>
            <w:proofErr w:type="spellStart"/>
            <w:r w:rsidRPr="005326C1">
              <w:rPr>
                <w:rFonts w:ascii="Arial Narrow" w:hAnsi="Arial Narrow"/>
                <w:b/>
                <w:bCs/>
                <w:i/>
                <w:iCs/>
                <w:color w:val="000000"/>
                <w:sz w:val="18"/>
                <w:szCs w:val="18"/>
                <w:lang w:val="es-ES"/>
              </w:rPr>
              <w:t>GUTIERREZ</w:t>
            </w:r>
            <w:proofErr w:type="spellEnd"/>
            <w:r w:rsidRPr="005326C1">
              <w:rPr>
                <w:rFonts w:ascii="Arial Narrow" w:hAnsi="Arial Narrow"/>
                <w:b/>
                <w:bCs/>
                <w:i/>
                <w:iCs/>
                <w:color w:val="000000"/>
                <w:sz w:val="18"/>
                <w:szCs w:val="18"/>
                <w:lang w:val="es-ES"/>
              </w:rPr>
              <w:t xml:space="preserve"> MEJÍA </w:t>
            </w:r>
          </w:p>
        </w:tc>
      </w:tr>
      <w:tr w:rsidR="005326C1" w:rsidRPr="005326C1" w:rsidTr="00B769DA">
        <w:trPr>
          <w:trHeight w:val="225"/>
        </w:trPr>
        <w:tc>
          <w:tcPr>
            <w:tcW w:w="2957" w:type="dxa"/>
            <w:gridSpan w:val="3"/>
            <w:tcBorders>
              <w:top w:val="single" w:sz="8" w:space="0" w:color="auto"/>
              <w:left w:val="nil"/>
              <w:bottom w:val="single" w:sz="4" w:space="0" w:color="auto"/>
              <w:right w:val="nil"/>
            </w:tcBorders>
            <w:shd w:val="clear" w:color="000000" w:fill="FFFF99"/>
            <w:vAlign w:val="center"/>
            <w:hideMark/>
          </w:tcPr>
          <w:p w:rsidR="005326C1" w:rsidRPr="005326C1" w:rsidRDefault="005326C1" w:rsidP="005326C1">
            <w:pPr>
              <w:jc w:val="center"/>
              <w:rPr>
                <w:rFonts w:ascii="Arial Narrow" w:hAnsi="Arial Narrow"/>
                <w:b/>
                <w:bCs/>
                <w:i/>
                <w:iCs/>
                <w:color w:val="000000"/>
                <w:sz w:val="18"/>
                <w:szCs w:val="18"/>
                <w:lang w:val="es-ES"/>
              </w:rPr>
            </w:pPr>
            <w:r w:rsidRPr="005326C1">
              <w:rPr>
                <w:rFonts w:ascii="Arial Narrow" w:hAnsi="Arial Narrow"/>
                <w:b/>
                <w:bCs/>
                <w:i/>
                <w:iCs/>
                <w:color w:val="000000"/>
                <w:sz w:val="18"/>
                <w:szCs w:val="18"/>
                <w:lang w:val="es-ES"/>
              </w:rPr>
              <w:t> </w:t>
            </w:r>
          </w:p>
        </w:tc>
        <w:tc>
          <w:tcPr>
            <w:tcW w:w="1442" w:type="dxa"/>
            <w:tcBorders>
              <w:top w:val="nil"/>
              <w:left w:val="nil"/>
              <w:bottom w:val="single" w:sz="4"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i/>
                <w:iCs/>
                <w:color w:val="000000"/>
                <w:sz w:val="18"/>
                <w:szCs w:val="18"/>
                <w:lang w:val="es-ES"/>
              </w:rPr>
            </w:pPr>
            <w:r w:rsidRPr="005326C1">
              <w:rPr>
                <w:rFonts w:ascii="Arial Narrow" w:hAnsi="Arial Narrow"/>
                <w:i/>
                <w:iCs/>
                <w:color w:val="000000"/>
                <w:sz w:val="18"/>
                <w:szCs w:val="18"/>
                <w:lang w:val="es-ES"/>
              </w:rPr>
              <w:t>19-oct-56</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i/>
                <w:iCs/>
                <w:color w:val="000000"/>
                <w:sz w:val="18"/>
                <w:szCs w:val="18"/>
                <w:lang w:val="es-ES"/>
              </w:rPr>
            </w:pPr>
          </w:p>
        </w:tc>
        <w:tc>
          <w:tcPr>
            <w:tcW w:w="4591" w:type="dxa"/>
            <w:gridSpan w:val="3"/>
            <w:tcBorders>
              <w:top w:val="single" w:sz="8" w:space="0" w:color="auto"/>
              <w:left w:val="single" w:sz="8" w:space="0" w:color="auto"/>
              <w:bottom w:val="single" w:sz="4" w:space="0" w:color="auto"/>
              <w:right w:val="nil"/>
            </w:tcBorders>
            <w:shd w:val="clear" w:color="000000" w:fill="FFFF99"/>
            <w:vAlign w:val="center"/>
            <w:hideMark/>
          </w:tcPr>
          <w:p w:rsidR="005326C1" w:rsidRPr="005326C1" w:rsidRDefault="005326C1" w:rsidP="005326C1">
            <w:pPr>
              <w:jc w:val="center"/>
              <w:rPr>
                <w:rFonts w:ascii="Arial Narrow" w:hAnsi="Arial Narrow"/>
                <w:b/>
                <w:bCs/>
                <w:i/>
                <w:iCs/>
                <w:color w:val="000000"/>
                <w:sz w:val="18"/>
                <w:szCs w:val="18"/>
                <w:lang w:val="es-ES"/>
              </w:rPr>
            </w:pPr>
            <w:r w:rsidRPr="005326C1">
              <w:rPr>
                <w:rFonts w:ascii="Arial Narrow" w:hAnsi="Arial Narrow"/>
                <w:b/>
                <w:bCs/>
                <w:i/>
                <w:iCs/>
                <w:color w:val="000000"/>
                <w:sz w:val="18"/>
                <w:szCs w:val="18"/>
                <w:lang w:val="es-ES"/>
              </w:rPr>
              <w:t>Fecha reconocimiento pensión:</w:t>
            </w:r>
          </w:p>
        </w:tc>
        <w:tc>
          <w:tcPr>
            <w:tcW w:w="1562" w:type="dxa"/>
            <w:tcBorders>
              <w:top w:val="nil"/>
              <w:left w:val="nil"/>
              <w:bottom w:val="single" w:sz="4"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i/>
                <w:iCs/>
                <w:color w:val="000000"/>
                <w:sz w:val="18"/>
                <w:szCs w:val="18"/>
                <w:lang w:val="es-ES"/>
              </w:rPr>
            </w:pPr>
            <w:r w:rsidRPr="005326C1">
              <w:rPr>
                <w:rFonts w:ascii="Arial Narrow" w:hAnsi="Arial Narrow"/>
                <w:i/>
                <w:iCs/>
                <w:color w:val="000000"/>
                <w:sz w:val="18"/>
                <w:szCs w:val="18"/>
                <w:lang w:val="es-ES"/>
              </w:rPr>
              <w:t>19/10/2011</w:t>
            </w:r>
          </w:p>
        </w:tc>
      </w:tr>
      <w:tr w:rsidR="005326C1" w:rsidRPr="005326C1" w:rsidTr="00B769DA">
        <w:trPr>
          <w:trHeight w:val="225"/>
        </w:trPr>
        <w:tc>
          <w:tcPr>
            <w:tcW w:w="2957" w:type="dxa"/>
            <w:gridSpan w:val="3"/>
            <w:tcBorders>
              <w:top w:val="single" w:sz="4" w:space="0" w:color="auto"/>
              <w:left w:val="nil"/>
              <w:bottom w:val="single" w:sz="8" w:space="0" w:color="auto"/>
              <w:right w:val="nil"/>
            </w:tcBorders>
            <w:shd w:val="clear" w:color="000000" w:fill="FFFF99"/>
            <w:vAlign w:val="center"/>
            <w:hideMark/>
          </w:tcPr>
          <w:p w:rsidR="005326C1" w:rsidRPr="005326C1" w:rsidRDefault="005326C1" w:rsidP="005326C1">
            <w:pPr>
              <w:jc w:val="center"/>
              <w:rPr>
                <w:rFonts w:ascii="Arial Narrow" w:hAnsi="Arial Narrow"/>
                <w:b/>
                <w:bCs/>
                <w:i/>
                <w:iCs/>
                <w:color w:val="000000"/>
                <w:sz w:val="18"/>
                <w:szCs w:val="18"/>
                <w:lang w:val="es-ES"/>
              </w:rPr>
            </w:pPr>
            <w:r w:rsidRPr="005326C1">
              <w:rPr>
                <w:rFonts w:ascii="Arial Narrow" w:hAnsi="Arial Narrow"/>
                <w:b/>
                <w:bCs/>
                <w:i/>
                <w:iCs/>
                <w:color w:val="000000"/>
                <w:sz w:val="18"/>
                <w:szCs w:val="18"/>
                <w:lang w:val="es-ES"/>
              </w:rPr>
              <w:t> </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514,29</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p>
        </w:tc>
        <w:tc>
          <w:tcPr>
            <w:tcW w:w="1466" w:type="dxa"/>
            <w:tcBorders>
              <w:top w:val="nil"/>
              <w:left w:val="single" w:sz="8" w:space="0" w:color="auto"/>
              <w:bottom w:val="single" w:sz="4" w:space="0" w:color="auto"/>
              <w:right w:val="nil"/>
            </w:tcBorders>
            <w:shd w:val="clear" w:color="000000" w:fill="FFFF99"/>
            <w:noWrap/>
            <w:vAlign w:val="center"/>
            <w:hideMark/>
          </w:tcPr>
          <w:p w:rsidR="005326C1" w:rsidRPr="005326C1" w:rsidRDefault="005326C1" w:rsidP="005326C1">
            <w:pPr>
              <w:jc w:val="center"/>
              <w:rPr>
                <w:rFonts w:ascii="Arial Narrow" w:hAnsi="Arial Narrow"/>
                <w:b/>
                <w:bCs/>
                <w:i/>
                <w:iCs/>
                <w:color w:val="000000"/>
                <w:sz w:val="18"/>
                <w:szCs w:val="18"/>
                <w:lang w:val="es-ES"/>
              </w:rPr>
            </w:pPr>
            <w:r w:rsidRPr="005326C1">
              <w:rPr>
                <w:rFonts w:ascii="Arial Narrow" w:hAnsi="Arial Narrow"/>
                <w:b/>
                <w:bCs/>
                <w:i/>
                <w:iCs/>
                <w:color w:val="000000"/>
                <w:sz w:val="18"/>
                <w:szCs w:val="18"/>
                <w:lang w:val="es-ES"/>
              </w:rPr>
              <w:t xml:space="preserve">Tasa Ley 100/93: </w:t>
            </w:r>
          </w:p>
        </w:tc>
        <w:tc>
          <w:tcPr>
            <w:tcW w:w="2067" w:type="dxa"/>
            <w:tcBorders>
              <w:top w:val="nil"/>
              <w:left w:val="nil"/>
              <w:bottom w:val="single" w:sz="4" w:space="0" w:color="auto"/>
              <w:right w:val="nil"/>
            </w:tcBorders>
            <w:shd w:val="clear" w:color="auto" w:fill="auto"/>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NO</w:t>
            </w:r>
          </w:p>
        </w:tc>
        <w:tc>
          <w:tcPr>
            <w:tcW w:w="1058" w:type="dxa"/>
            <w:tcBorders>
              <w:top w:val="nil"/>
              <w:left w:val="single" w:sz="4" w:space="0" w:color="808000"/>
              <w:bottom w:val="single" w:sz="4" w:space="0" w:color="auto"/>
              <w:right w:val="nil"/>
            </w:tcBorders>
            <w:shd w:val="clear" w:color="000000" w:fill="FFFF99"/>
            <w:noWrap/>
            <w:vAlign w:val="center"/>
            <w:hideMark/>
          </w:tcPr>
          <w:p w:rsidR="005326C1" w:rsidRPr="005326C1" w:rsidRDefault="005326C1" w:rsidP="005326C1">
            <w:pPr>
              <w:jc w:val="center"/>
              <w:rPr>
                <w:rFonts w:ascii="Arial Narrow" w:hAnsi="Arial Narrow"/>
                <w:b/>
                <w:bCs/>
                <w:i/>
                <w:iCs/>
                <w:color w:val="000000"/>
                <w:sz w:val="18"/>
                <w:szCs w:val="18"/>
                <w:lang w:val="es-ES"/>
              </w:rPr>
            </w:pPr>
            <w:r w:rsidRPr="005326C1">
              <w:rPr>
                <w:rFonts w:ascii="Arial Narrow" w:hAnsi="Arial Narrow"/>
                <w:b/>
                <w:bCs/>
                <w:i/>
                <w:iCs/>
                <w:color w:val="000000"/>
                <w:sz w:val="18"/>
                <w:szCs w:val="18"/>
                <w:lang w:val="es-ES"/>
              </w:rPr>
              <w:t>75,00%</w:t>
            </w:r>
          </w:p>
        </w:tc>
        <w:tc>
          <w:tcPr>
            <w:tcW w:w="1562" w:type="dxa"/>
            <w:tcBorders>
              <w:top w:val="nil"/>
              <w:left w:val="nil"/>
              <w:bottom w:val="single" w:sz="4"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i/>
                <w:iCs/>
                <w:color w:val="000000"/>
                <w:sz w:val="18"/>
                <w:szCs w:val="18"/>
                <w:lang w:val="es-ES"/>
              </w:rPr>
            </w:pPr>
            <w:r w:rsidRPr="005326C1">
              <w:rPr>
                <w:rFonts w:ascii="Arial Narrow" w:hAnsi="Arial Narrow"/>
                <w:i/>
                <w:iCs/>
                <w:color w:val="000000"/>
                <w:sz w:val="18"/>
                <w:szCs w:val="18"/>
                <w:lang w:val="es-ES"/>
              </w:rPr>
              <w:t> </w:t>
            </w:r>
          </w:p>
        </w:tc>
      </w:tr>
      <w:tr w:rsidR="005326C1" w:rsidRPr="005326C1" w:rsidTr="00B769DA">
        <w:trPr>
          <w:trHeight w:val="150"/>
        </w:trPr>
        <w:tc>
          <w:tcPr>
            <w:tcW w:w="897"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i/>
                <w:iCs/>
                <w:color w:val="000000"/>
                <w:sz w:val="18"/>
                <w:szCs w:val="18"/>
                <w:lang w:val="es-ES"/>
              </w:rPr>
            </w:pPr>
          </w:p>
        </w:tc>
        <w:tc>
          <w:tcPr>
            <w:tcW w:w="897" w:type="dxa"/>
            <w:tcBorders>
              <w:top w:val="nil"/>
              <w:left w:val="nil"/>
              <w:bottom w:val="nil"/>
              <w:right w:val="nil"/>
            </w:tcBorders>
            <w:shd w:val="clear" w:color="auto" w:fill="auto"/>
            <w:noWrap/>
            <w:vAlign w:val="center"/>
            <w:hideMark/>
          </w:tcPr>
          <w:p w:rsidR="005326C1" w:rsidRPr="005326C1" w:rsidRDefault="005326C1" w:rsidP="005326C1">
            <w:pPr>
              <w:jc w:val="center"/>
              <w:rPr>
                <w:sz w:val="20"/>
                <w:lang w:val="es-ES"/>
              </w:rPr>
            </w:pPr>
          </w:p>
        </w:tc>
        <w:tc>
          <w:tcPr>
            <w:tcW w:w="1163" w:type="dxa"/>
            <w:tcBorders>
              <w:top w:val="nil"/>
              <w:left w:val="nil"/>
              <w:bottom w:val="nil"/>
              <w:right w:val="nil"/>
            </w:tcBorders>
            <w:shd w:val="clear" w:color="auto" w:fill="auto"/>
            <w:noWrap/>
            <w:vAlign w:val="center"/>
            <w:hideMark/>
          </w:tcPr>
          <w:p w:rsidR="005326C1" w:rsidRPr="005326C1" w:rsidRDefault="005326C1" w:rsidP="005326C1">
            <w:pPr>
              <w:jc w:val="center"/>
              <w:rPr>
                <w:sz w:val="20"/>
                <w:lang w:val="es-ES"/>
              </w:rPr>
            </w:pPr>
          </w:p>
        </w:tc>
        <w:tc>
          <w:tcPr>
            <w:tcW w:w="1442" w:type="dxa"/>
            <w:tcBorders>
              <w:top w:val="nil"/>
              <w:left w:val="nil"/>
              <w:bottom w:val="nil"/>
              <w:right w:val="single" w:sz="8" w:space="0" w:color="auto"/>
            </w:tcBorders>
            <w:shd w:val="clear" w:color="auto" w:fill="auto"/>
            <w:noWrap/>
            <w:vAlign w:val="center"/>
            <w:hideMark/>
          </w:tcPr>
          <w:p w:rsidR="005326C1" w:rsidRPr="005326C1" w:rsidRDefault="005326C1" w:rsidP="005326C1">
            <w:pPr>
              <w:jc w:val="center"/>
              <w:rPr>
                <w:rFonts w:ascii="Arial Narrow" w:hAnsi="Arial Narrow"/>
                <w:i/>
                <w:iCs/>
                <w:color w:val="000000"/>
                <w:sz w:val="18"/>
                <w:szCs w:val="18"/>
                <w:lang w:val="es-ES"/>
              </w:rPr>
            </w:pPr>
            <w:r w:rsidRPr="005326C1">
              <w:rPr>
                <w:rFonts w:ascii="Arial Narrow" w:hAnsi="Arial Narrow"/>
                <w:i/>
                <w:iCs/>
                <w:color w:val="000000"/>
                <w:sz w:val="18"/>
                <w:szCs w:val="18"/>
                <w:lang w:val="es-ES"/>
              </w:rPr>
              <w:t> </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i/>
                <w:iCs/>
                <w:color w:val="000000"/>
                <w:sz w:val="18"/>
                <w:szCs w:val="18"/>
                <w:lang w:val="es-ES"/>
              </w:rPr>
            </w:pPr>
          </w:p>
        </w:tc>
        <w:tc>
          <w:tcPr>
            <w:tcW w:w="1466" w:type="dxa"/>
            <w:tcBorders>
              <w:top w:val="nil"/>
              <w:left w:val="single" w:sz="8" w:space="0" w:color="auto"/>
              <w:bottom w:val="nil"/>
              <w:right w:val="nil"/>
            </w:tcBorders>
            <w:shd w:val="clear" w:color="auto" w:fill="auto"/>
            <w:noWrap/>
            <w:vAlign w:val="center"/>
            <w:hideMark/>
          </w:tcPr>
          <w:p w:rsidR="005326C1" w:rsidRPr="005326C1" w:rsidRDefault="005326C1" w:rsidP="005326C1">
            <w:pPr>
              <w:jc w:val="center"/>
              <w:rPr>
                <w:rFonts w:ascii="Arial Narrow" w:hAnsi="Arial Narrow"/>
                <w:i/>
                <w:iCs/>
                <w:color w:val="000000"/>
                <w:sz w:val="18"/>
                <w:szCs w:val="18"/>
                <w:lang w:val="es-ES"/>
              </w:rPr>
            </w:pPr>
            <w:r w:rsidRPr="005326C1">
              <w:rPr>
                <w:rFonts w:ascii="Arial Narrow" w:hAnsi="Arial Narrow"/>
                <w:i/>
                <w:iCs/>
                <w:color w:val="000000"/>
                <w:sz w:val="18"/>
                <w:szCs w:val="18"/>
                <w:lang w:val="es-ES"/>
              </w:rPr>
              <w:t> </w:t>
            </w:r>
          </w:p>
        </w:tc>
        <w:tc>
          <w:tcPr>
            <w:tcW w:w="2067"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i/>
                <w:iCs/>
                <w:color w:val="000000"/>
                <w:sz w:val="18"/>
                <w:szCs w:val="18"/>
                <w:lang w:val="es-ES"/>
              </w:rPr>
            </w:pPr>
          </w:p>
        </w:tc>
        <w:tc>
          <w:tcPr>
            <w:tcW w:w="1058" w:type="dxa"/>
            <w:tcBorders>
              <w:top w:val="nil"/>
              <w:left w:val="nil"/>
              <w:bottom w:val="nil"/>
              <w:right w:val="nil"/>
            </w:tcBorders>
            <w:shd w:val="clear" w:color="auto" w:fill="auto"/>
            <w:noWrap/>
            <w:vAlign w:val="center"/>
            <w:hideMark/>
          </w:tcPr>
          <w:p w:rsidR="005326C1" w:rsidRPr="005326C1" w:rsidRDefault="005326C1" w:rsidP="005326C1">
            <w:pPr>
              <w:jc w:val="center"/>
              <w:rPr>
                <w:sz w:val="20"/>
                <w:lang w:val="es-ES"/>
              </w:rPr>
            </w:pPr>
          </w:p>
        </w:tc>
        <w:tc>
          <w:tcPr>
            <w:tcW w:w="1562" w:type="dxa"/>
            <w:tcBorders>
              <w:top w:val="nil"/>
              <w:left w:val="nil"/>
              <w:bottom w:val="nil"/>
              <w:right w:val="single" w:sz="8" w:space="0" w:color="auto"/>
            </w:tcBorders>
            <w:shd w:val="clear" w:color="auto" w:fill="auto"/>
            <w:noWrap/>
            <w:vAlign w:val="center"/>
            <w:hideMark/>
          </w:tcPr>
          <w:p w:rsidR="005326C1" w:rsidRPr="005326C1" w:rsidRDefault="005326C1" w:rsidP="005326C1">
            <w:pPr>
              <w:jc w:val="center"/>
              <w:rPr>
                <w:rFonts w:ascii="Arial Narrow" w:hAnsi="Arial Narrow"/>
                <w:i/>
                <w:iCs/>
                <w:color w:val="000000"/>
                <w:sz w:val="18"/>
                <w:szCs w:val="18"/>
                <w:lang w:val="es-ES"/>
              </w:rPr>
            </w:pPr>
            <w:r w:rsidRPr="005326C1">
              <w:rPr>
                <w:rFonts w:ascii="Arial Narrow" w:hAnsi="Arial Narrow"/>
                <w:i/>
                <w:iCs/>
                <w:color w:val="000000"/>
                <w:sz w:val="18"/>
                <w:szCs w:val="18"/>
                <w:lang w:val="es-ES"/>
              </w:rPr>
              <w:t> </w:t>
            </w:r>
          </w:p>
        </w:tc>
      </w:tr>
      <w:tr w:rsidR="005326C1" w:rsidRPr="005326C1" w:rsidTr="00B769DA">
        <w:trPr>
          <w:trHeight w:val="45"/>
        </w:trPr>
        <w:tc>
          <w:tcPr>
            <w:tcW w:w="897"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i/>
                <w:iCs/>
                <w:color w:val="000000"/>
                <w:sz w:val="18"/>
                <w:szCs w:val="18"/>
                <w:lang w:val="es-ES"/>
              </w:rPr>
            </w:pPr>
          </w:p>
        </w:tc>
        <w:tc>
          <w:tcPr>
            <w:tcW w:w="897" w:type="dxa"/>
            <w:tcBorders>
              <w:top w:val="nil"/>
              <w:left w:val="nil"/>
              <w:bottom w:val="nil"/>
              <w:right w:val="nil"/>
            </w:tcBorders>
            <w:shd w:val="clear" w:color="auto" w:fill="auto"/>
            <w:noWrap/>
            <w:vAlign w:val="center"/>
            <w:hideMark/>
          </w:tcPr>
          <w:p w:rsidR="005326C1" w:rsidRPr="005326C1" w:rsidRDefault="005326C1" w:rsidP="005326C1">
            <w:pPr>
              <w:jc w:val="center"/>
              <w:rPr>
                <w:sz w:val="20"/>
                <w:lang w:val="es-ES"/>
              </w:rPr>
            </w:pPr>
          </w:p>
        </w:tc>
        <w:tc>
          <w:tcPr>
            <w:tcW w:w="1163" w:type="dxa"/>
            <w:tcBorders>
              <w:top w:val="nil"/>
              <w:left w:val="nil"/>
              <w:bottom w:val="nil"/>
              <w:right w:val="nil"/>
            </w:tcBorders>
            <w:shd w:val="clear" w:color="auto" w:fill="auto"/>
            <w:noWrap/>
            <w:vAlign w:val="center"/>
            <w:hideMark/>
          </w:tcPr>
          <w:p w:rsidR="005326C1" w:rsidRPr="005326C1" w:rsidRDefault="005326C1" w:rsidP="005326C1">
            <w:pPr>
              <w:jc w:val="center"/>
              <w:rPr>
                <w:sz w:val="20"/>
                <w:lang w:val="es-ES"/>
              </w:rPr>
            </w:pPr>
          </w:p>
        </w:tc>
        <w:tc>
          <w:tcPr>
            <w:tcW w:w="1442" w:type="dxa"/>
            <w:tcBorders>
              <w:top w:val="nil"/>
              <w:left w:val="nil"/>
              <w:bottom w:val="nil"/>
              <w:right w:val="single" w:sz="8" w:space="0" w:color="auto"/>
            </w:tcBorders>
            <w:shd w:val="clear" w:color="auto" w:fill="auto"/>
            <w:noWrap/>
            <w:vAlign w:val="center"/>
            <w:hideMark/>
          </w:tcPr>
          <w:p w:rsidR="005326C1" w:rsidRPr="005326C1" w:rsidRDefault="005326C1" w:rsidP="005326C1">
            <w:pPr>
              <w:jc w:val="center"/>
              <w:rPr>
                <w:rFonts w:ascii="Arial Narrow" w:hAnsi="Arial Narrow"/>
                <w:i/>
                <w:iCs/>
                <w:color w:val="000000"/>
                <w:sz w:val="18"/>
                <w:szCs w:val="18"/>
                <w:lang w:val="es-ES"/>
              </w:rPr>
            </w:pPr>
            <w:r w:rsidRPr="005326C1">
              <w:rPr>
                <w:rFonts w:ascii="Arial Narrow" w:hAnsi="Arial Narrow"/>
                <w:i/>
                <w:iCs/>
                <w:color w:val="000000"/>
                <w:sz w:val="18"/>
                <w:szCs w:val="18"/>
                <w:lang w:val="es-ES"/>
              </w:rPr>
              <w:t> </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i/>
                <w:iCs/>
                <w:color w:val="000000"/>
                <w:sz w:val="18"/>
                <w:szCs w:val="18"/>
                <w:lang w:val="es-ES"/>
              </w:rPr>
            </w:pPr>
          </w:p>
        </w:tc>
        <w:tc>
          <w:tcPr>
            <w:tcW w:w="1466" w:type="dxa"/>
            <w:tcBorders>
              <w:top w:val="nil"/>
              <w:left w:val="single" w:sz="8" w:space="0" w:color="auto"/>
              <w:bottom w:val="nil"/>
              <w:right w:val="nil"/>
            </w:tcBorders>
            <w:shd w:val="clear" w:color="auto" w:fill="auto"/>
            <w:noWrap/>
            <w:vAlign w:val="center"/>
            <w:hideMark/>
          </w:tcPr>
          <w:p w:rsidR="005326C1" w:rsidRPr="005326C1" w:rsidRDefault="005326C1" w:rsidP="005326C1">
            <w:pPr>
              <w:jc w:val="center"/>
              <w:rPr>
                <w:rFonts w:ascii="Arial Narrow" w:hAnsi="Arial Narrow"/>
                <w:i/>
                <w:iCs/>
                <w:color w:val="000000"/>
                <w:sz w:val="18"/>
                <w:szCs w:val="18"/>
                <w:lang w:val="es-ES"/>
              </w:rPr>
            </w:pPr>
            <w:r w:rsidRPr="005326C1">
              <w:rPr>
                <w:rFonts w:ascii="Arial Narrow" w:hAnsi="Arial Narrow"/>
                <w:i/>
                <w:iCs/>
                <w:color w:val="000000"/>
                <w:sz w:val="18"/>
                <w:szCs w:val="18"/>
                <w:lang w:val="es-ES"/>
              </w:rPr>
              <w:t> </w:t>
            </w:r>
          </w:p>
        </w:tc>
        <w:tc>
          <w:tcPr>
            <w:tcW w:w="2067"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i/>
                <w:iCs/>
                <w:color w:val="000000"/>
                <w:sz w:val="18"/>
                <w:szCs w:val="18"/>
                <w:lang w:val="es-ES"/>
              </w:rPr>
            </w:pPr>
          </w:p>
        </w:tc>
        <w:tc>
          <w:tcPr>
            <w:tcW w:w="1058" w:type="dxa"/>
            <w:tcBorders>
              <w:top w:val="nil"/>
              <w:left w:val="nil"/>
              <w:bottom w:val="nil"/>
              <w:right w:val="nil"/>
            </w:tcBorders>
            <w:shd w:val="clear" w:color="auto" w:fill="auto"/>
            <w:noWrap/>
            <w:vAlign w:val="center"/>
            <w:hideMark/>
          </w:tcPr>
          <w:p w:rsidR="005326C1" w:rsidRPr="005326C1" w:rsidRDefault="005326C1" w:rsidP="005326C1">
            <w:pPr>
              <w:jc w:val="center"/>
              <w:rPr>
                <w:sz w:val="20"/>
                <w:lang w:val="es-ES"/>
              </w:rPr>
            </w:pPr>
          </w:p>
        </w:tc>
        <w:tc>
          <w:tcPr>
            <w:tcW w:w="1562" w:type="dxa"/>
            <w:tcBorders>
              <w:top w:val="nil"/>
              <w:left w:val="nil"/>
              <w:bottom w:val="nil"/>
              <w:right w:val="single" w:sz="8" w:space="0" w:color="auto"/>
            </w:tcBorders>
            <w:shd w:val="clear" w:color="auto" w:fill="auto"/>
            <w:noWrap/>
            <w:vAlign w:val="center"/>
            <w:hideMark/>
          </w:tcPr>
          <w:p w:rsidR="005326C1" w:rsidRPr="005326C1" w:rsidRDefault="005326C1" w:rsidP="005326C1">
            <w:pPr>
              <w:jc w:val="center"/>
              <w:rPr>
                <w:rFonts w:ascii="Arial Narrow" w:hAnsi="Arial Narrow"/>
                <w:i/>
                <w:iCs/>
                <w:color w:val="000000"/>
                <w:sz w:val="18"/>
                <w:szCs w:val="18"/>
                <w:lang w:val="es-ES"/>
              </w:rPr>
            </w:pPr>
            <w:r w:rsidRPr="005326C1">
              <w:rPr>
                <w:rFonts w:ascii="Arial Narrow" w:hAnsi="Arial Narrow"/>
                <w:i/>
                <w:iCs/>
                <w:color w:val="000000"/>
                <w:sz w:val="18"/>
                <w:szCs w:val="18"/>
                <w:lang w:val="es-ES"/>
              </w:rPr>
              <w:t> </w:t>
            </w:r>
          </w:p>
        </w:tc>
      </w:tr>
      <w:tr w:rsidR="005326C1" w:rsidRPr="005326C1" w:rsidTr="00B769DA">
        <w:trPr>
          <w:trHeight w:val="435"/>
        </w:trPr>
        <w:tc>
          <w:tcPr>
            <w:tcW w:w="4399" w:type="dxa"/>
            <w:gridSpan w:val="4"/>
            <w:tcBorders>
              <w:top w:val="single" w:sz="8" w:space="0" w:color="auto"/>
              <w:left w:val="nil"/>
              <w:bottom w:val="single" w:sz="4" w:space="0" w:color="808000"/>
              <w:right w:val="single" w:sz="8" w:space="0" w:color="000000"/>
            </w:tcBorders>
            <w:shd w:val="clear" w:color="000000" w:fill="FFFF99"/>
            <w:vAlign w:val="center"/>
            <w:hideMark/>
          </w:tcPr>
          <w:p w:rsidR="005326C1" w:rsidRPr="005326C1" w:rsidRDefault="005326C1" w:rsidP="005326C1">
            <w:pPr>
              <w:jc w:val="center"/>
              <w:rPr>
                <w:rFonts w:ascii="Arial Narrow" w:hAnsi="Arial Narrow"/>
                <w:b/>
                <w:bCs/>
                <w:i/>
                <w:iCs/>
                <w:color w:val="000000"/>
                <w:sz w:val="18"/>
                <w:szCs w:val="18"/>
                <w:lang w:val="es-ES"/>
              </w:rPr>
            </w:pPr>
            <w:r w:rsidRPr="005326C1">
              <w:rPr>
                <w:rFonts w:ascii="Arial Narrow" w:hAnsi="Arial Narrow"/>
                <w:b/>
                <w:bCs/>
                <w:i/>
                <w:iCs/>
                <w:color w:val="000000"/>
                <w:sz w:val="18"/>
                <w:szCs w:val="18"/>
                <w:lang w:val="es-ES"/>
              </w:rPr>
              <w:t> </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b/>
                <w:bCs/>
                <w:i/>
                <w:iCs/>
                <w:color w:val="000000"/>
                <w:sz w:val="18"/>
                <w:szCs w:val="18"/>
                <w:lang w:val="es-ES"/>
              </w:rPr>
            </w:pPr>
          </w:p>
        </w:tc>
        <w:tc>
          <w:tcPr>
            <w:tcW w:w="1466" w:type="dxa"/>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5326C1" w:rsidRPr="005326C1" w:rsidRDefault="005326C1" w:rsidP="005326C1">
            <w:pPr>
              <w:jc w:val="center"/>
              <w:rPr>
                <w:rFonts w:ascii="Arial Narrow" w:hAnsi="Arial Narrow"/>
                <w:b/>
                <w:bCs/>
                <w:i/>
                <w:iCs/>
                <w:color w:val="000000"/>
                <w:sz w:val="18"/>
                <w:szCs w:val="18"/>
                <w:lang w:val="es-ES"/>
              </w:rPr>
            </w:pPr>
            <w:r w:rsidRPr="005326C1">
              <w:rPr>
                <w:rFonts w:ascii="Arial Narrow" w:hAnsi="Arial Narrow"/>
                <w:b/>
                <w:bCs/>
                <w:i/>
                <w:iCs/>
                <w:color w:val="000000"/>
                <w:sz w:val="18"/>
                <w:szCs w:val="18"/>
                <w:lang w:val="es-ES"/>
              </w:rPr>
              <w:t>Ingreso Base de cotización actualizado</w:t>
            </w:r>
          </w:p>
        </w:tc>
        <w:tc>
          <w:tcPr>
            <w:tcW w:w="3125" w:type="dxa"/>
            <w:gridSpan w:val="2"/>
            <w:tcBorders>
              <w:top w:val="single" w:sz="4" w:space="0" w:color="auto"/>
              <w:left w:val="nil"/>
              <w:bottom w:val="single" w:sz="4" w:space="0" w:color="808000"/>
              <w:right w:val="nil"/>
            </w:tcBorders>
            <w:shd w:val="clear" w:color="000000" w:fill="FFFF99"/>
            <w:vAlign w:val="center"/>
            <w:hideMark/>
          </w:tcPr>
          <w:p w:rsidR="005326C1" w:rsidRPr="005326C1" w:rsidRDefault="005326C1" w:rsidP="005326C1">
            <w:pPr>
              <w:jc w:val="center"/>
              <w:rPr>
                <w:rFonts w:ascii="Arial Narrow" w:hAnsi="Arial Narrow"/>
                <w:b/>
                <w:bCs/>
                <w:i/>
                <w:iCs/>
                <w:color w:val="000000"/>
                <w:sz w:val="18"/>
                <w:szCs w:val="18"/>
                <w:lang w:val="es-ES"/>
              </w:rPr>
            </w:pPr>
            <w:r w:rsidRPr="005326C1">
              <w:rPr>
                <w:rFonts w:ascii="Arial Narrow" w:hAnsi="Arial Narrow"/>
                <w:b/>
                <w:bCs/>
                <w:i/>
                <w:iCs/>
                <w:color w:val="000000"/>
                <w:sz w:val="18"/>
                <w:szCs w:val="18"/>
                <w:lang w:val="es-ES"/>
              </w:rPr>
              <w:t xml:space="preserve">IPC </w:t>
            </w:r>
            <w:proofErr w:type="spellStart"/>
            <w:r w:rsidRPr="005326C1">
              <w:rPr>
                <w:rFonts w:ascii="Arial Narrow" w:hAnsi="Arial Narrow"/>
                <w:b/>
                <w:bCs/>
                <w:i/>
                <w:iCs/>
                <w:color w:val="000000"/>
                <w:sz w:val="18"/>
                <w:szCs w:val="18"/>
                <w:lang w:val="es-ES"/>
              </w:rPr>
              <w:t>Dane</w:t>
            </w:r>
            <w:proofErr w:type="spellEnd"/>
            <w:r w:rsidRPr="005326C1">
              <w:rPr>
                <w:rFonts w:ascii="Arial Narrow" w:hAnsi="Arial Narrow"/>
                <w:b/>
                <w:bCs/>
                <w:i/>
                <w:iCs/>
                <w:color w:val="000000"/>
                <w:sz w:val="18"/>
                <w:szCs w:val="18"/>
                <w:lang w:val="es-ES"/>
              </w:rPr>
              <w:t xml:space="preserve">                                    (serie de empalme)</w:t>
            </w:r>
          </w:p>
        </w:tc>
        <w:tc>
          <w:tcPr>
            <w:tcW w:w="1562" w:type="dxa"/>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5326C1" w:rsidRPr="005326C1" w:rsidRDefault="005326C1" w:rsidP="005326C1">
            <w:pPr>
              <w:jc w:val="center"/>
              <w:rPr>
                <w:rFonts w:ascii="Arial Narrow" w:hAnsi="Arial Narrow"/>
                <w:b/>
                <w:bCs/>
                <w:i/>
                <w:iCs/>
                <w:color w:val="000000"/>
                <w:sz w:val="18"/>
                <w:szCs w:val="18"/>
                <w:lang w:val="es-ES"/>
              </w:rPr>
            </w:pPr>
            <w:r w:rsidRPr="005326C1">
              <w:rPr>
                <w:rFonts w:ascii="Arial Narrow" w:hAnsi="Arial Narrow"/>
                <w:b/>
                <w:bCs/>
                <w:i/>
                <w:iCs/>
                <w:color w:val="000000"/>
                <w:sz w:val="18"/>
                <w:szCs w:val="18"/>
                <w:lang w:val="es-ES"/>
              </w:rPr>
              <w:t>Promedio Salarial        (</w:t>
            </w:r>
            <w:proofErr w:type="spellStart"/>
            <w:r w:rsidRPr="005326C1">
              <w:rPr>
                <w:rFonts w:ascii="Arial Narrow" w:hAnsi="Arial Narrow"/>
                <w:b/>
                <w:bCs/>
                <w:i/>
                <w:iCs/>
                <w:color w:val="000000"/>
                <w:sz w:val="18"/>
                <w:szCs w:val="18"/>
                <w:lang w:val="es-ES"/>
              </w:rPr>
              <w:t>Dias</w:t>
            </w:r>
            <w:proofErr w:type="spellEnd"/>
            <w:r w:rsidRPr="005326C1">
              <w:rPr>
                <w:rFonts w:ascii="Arial Narrow" w:hAnsi="Arial Narrow"/>
                <w:b/>
                <w:bCs/>
                <w:i/>
                <w:iCs/>
                <w:color w:val="000000"/>
                <w:sz w:val="18"/>
                <w:szCs w:val="18"/>
                <w:lang w:val="es-ES"/>
              </w:rPr>
              <w:t xml:space="preserve"> x </w:t>
            </w:r>
            <w:proofErr w:type="spellStart"/>
            <w:r w:rsidRPr="005326C1">
              <w:rPr>
                <w:rFonts w:ascii="Arial Narrow" w:hAnsi="Arial Narrow"/>
                <w:b/>
                <w:bCs/>
                <w:i/>
                <w:iCs/>
                <w:color w:val="000000"/>
                <w:sz w:val="18"/>
                <w:szCs w:val="18"/>
                <w:lang w:val="es-ES"/>
              </w:rPr>
              <w:t>IBC</w:t>
            </w:r>
            <w:proofErr w:type="spellEnd"/>
            <w:r w:rsidRPr="005326C1">
              <w:rPr>
                <w:rFonts w:ascii="Arial Narrow" w:hAnsi="Arial Narrow"/>
                <w:b/>
                <w:bCs/>
                <w:i/>
                <w:iCs/>
                <w:color w:val="000000"/>
                <w:sz w:val="18"/>
                <w:szCs w:val="18"/>
                <w:lang w:val="es-ES"/>
              </w:rPr>
              <w:t xml:space="preserve"> actualizado/total </w:t>
            </w:r>
            <w:proofErr w:type="spellStart"/>
            <w:r w:rsidRPr="005326C1">
              <w:rPr>
                <w:rFonts w:ascii="Arial Narrow" w:hAnsi="Arial Narrow"/>
                <w:b/>
                <w:bCs/>
                <w:i/>
                <w:iCs/>
                <w:color w:val="000000"/>
                <w:sz w:val="18"/>
                <w:szCs w:val="18"/>
                <w:lang w:val="es-ES"/>
              </w:rPr>
              <w:t>dias</w:t>
            </w:r>
            <w:proofErr w:type="spellEnd"/>
            <w:r w:rsidRPr="005326C1">
              <w:rPr>
                <w:rFonts w:ascii="Arial Narrow" w:hAnsi="Arial Narrow"/>
                <w:b/>
                <w:bCs/>
                <w:i/>
                <w:iCs/>
                <w:color w:val="000000"/>
                <w:sz w:val="18"/>
                <w:szCs w:val="18"/>
                <w:lang w:val="es-ES"/>
              </w:rPr>
              <w:t>)</w:t>
            </w:r>
          </w:p>
        </w:tc>
      </w:tr>
      <w:tr w:rsidR="005326C1" w:rsidRPr="005326C1" w:rsidTr="00B769DA">
        <w:trPr>
          <w:trHeight w:val="315"/>
        </w:trPr>
        <w:tc>
          <w:tcPr>
            <w:tcW w:w="1794" w:type="dxa"/>
            <w:gridSpan w:val="2"/>
            <w:tcBorders>
              <w:top w:val="single" w:sz="4" w:space="0" w:color="808000"/>
              <w:left w:val="nil"/>
              <w:bottom w:val="single" w:sz="4" w:space="0" w:color="808000"/>
              <w:right w:val="single" w:sz="4" w:space="0" w:color="808000"/>
            </w:tcBorders>
            <w:shd w:val="clear" w:color="000000" w:fill="FFFFCC"/>
            <w:vAlign w:val="center"/>
            <w:hideMark/>
          </w:tcPr>
          <w:p w:rsidR="005326C1" w:rsidRPr="005326C1" w:rsidRDefault="005326C1" w:rsidP="005326C1">
            <w:pPr>
              <w:jc w:val="center"/>
              <w:rPr>
                <w:rFonts w:ascii="Arial Narrow" w:hAnsi="Arial Narrow"/>
                <w:b/>
                <w:bCs/>
                <w:i/>
                <w:iCs/>
                <w:color w:val="000000"/>
                <w:sz w:val="18"/>
                <w:szCs w:val="18"/>
                <w:lang w:val="es-ES"/>
              </w:rPr>
            </w:pPr>
            <w:r w:rsidRPr="005326C1">
              <w:rPr>
                <w:rFonts w:ascii="Arial Narrow" w:hAnsi="Arial Narrow"/>
                <w:b/>
                <w:bCs/>
                <w:i/>
                <w:iCs/>
                <w:color w:val="000000"/>
                <w:sz w:val="18"/>
                <w:szCs w:val="18"/>
                <w:lang w:val="es-ES"/>
              </w:rPr>
              <w:t> </w:t>
            </w:r>
          </w:p>
        </w:tc>
        <w:tc>
          <w:tcPr>
            <w:tcW w:w="1163"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5326C1" w:rsidRPr="005326C1" w:rsidRDefault="005326C1" w:rsidP="005326C1">
            <w:pPr>
              <w:jc w:val="center"/>
              <w:rPr>
                <w:rFonts w:ascii="Arial Narrow" w:hAnsi="Arial Narrow"/>
                <w:b/>
                <w:bCs/>
                <w:i/>
                <w:iCs/>
                <w:color w:val="000000"/>
                <w:sz w:val="18"/>
                <w:szCs w:val="18"/>
                <w:lang w:val="es-ES"/>
              </w:rPr>
            </w:pPr>
            <w:r w:rsidRPr="005326C1">
              <w:rPr>
                <w:rFonts w:ascii="Arial Narrow" w:hAnsi="Arial Narrow"/>
                <w:b/>
                <w:bCs/>
                <w:i/>
                <w:iCs/>
                <w:color w:val="000000"/>
                <w:sz w:val="18"/>
                <w:szCs w:val="18"/>
                <w:lang w:val="es-ES"/>
              </w:rPr>
              <w:t>Número de días</w:t>
            </w:r>
          </w:p>
        </w:tc>
        <w:tc>
          <w:tcPr>
            <w:tcW w:w="1442"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5326C1" w:rsidRPr="005326C1" w:rsidRDefault="005326C1" w:rsidP="005326C1">
            <w:pPr>
              <w:jc w:val="center"/>
              <w:rPr>
                <w:rFonts w:ascii="Arial Narrow" w:hAnsi="Arial Narrow"/>
                <w:b/>
                <w:bCs/>
                <w:i/>
                <w:iCs/>
                <w:color w:val="000000"/>
                <w:sz w:val="18"/>
                <w:szCs w:val="18"/>
                <w:lang w:val="es-ES"/>
              </w:rPr>
            </w:pPr>
            <w:r w:rsidRPr="005326C1">
              <w:rPr>
                <w:rFonts w:ascii="Arial Narrow" w:hAnsi="Arial Narrow"/>
                <w:b/>
                <w:bCs/>
                <w:i/>
                <w:iCs/>
                <w:color w:val="000000"/>
                <w:sz w:val="18"/>
                <w:szCs w:val="18"/>
                <w:lang w:val="es-ES"/>
              </w:rPr>
              <w:t>Ingreso Base de Cotización</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b/>
                <w:bCs/>
                <w:i/>
                <w:iCs/>
                <w:color w:val="000000"/>
                <w:sz w:val="18"/>
                <w:szCs w:val="18"/>
                <w:lang w:val="es-ES"/>
              </w:rPr>
            </w:pPr>
          </w:p>
        </w:tc>
        <w:tc>
          <w:tcPr>
            <w:tcW w:w="1466" w:type="dxa"/>
            <w:vMerge/>
            <w:tcBorders>
              <w:top w:val="single" w:sz="4" w:space="0" w:color="auto"/>
              <w:left w:val="single" w:sz="8" w:space="0" w:color="auto"/>
              <w:bottom w:val="single" w:sz="8" w:space="0" w:color="000000"/>
              <w:right w:val="single" w:sz="4" w:space="0" w:color="808000"/>
            </w:tcBorders>
            <w:vAlign w:val="center"/>
            <w:hideMark/>
          </w:tcPr>
          <w:p w:rsidR="005326C1" w:rsidRPr="005326C1" w:rsidRDefault="005326C1" w:rsidP="005326C1">
            <w:pPr>
              <w:rPr>
                <w:rFonts w:ascii="Arial Narrow" w:hAnsi="Arial Narrow"/>
                <w:b/>
                <w:bCs/>
                <w:i/>
                <w:iCs/>
                <w:color w:val="000000"/>
                <w:sz w:val="18"/>
                <w:szCs w:val="18"/>
                <w:lang w:val="es-ES"/>
              </w:rPr>
            </w:pPr>
          </w:p>
        </w:tc>
        <w:tc>
          <w:tcPr>
            <w:tcW w:w="2067"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5326C1" w:rsidRPr="005326C1" w:rsidRDefault="005326C1" w:rsidP="005326C1">
            <w:pPr>
              <w:jc w:val="center"/>
              <w:rPr>
                <w:rFonts w:ascii="Arial Narrow" w:hAnsi="Arial Narrow"/>
                <w:b/>
                <w:bCs/>
                <w:i/>
                <w:iCs/>
                <w:color w:val="000000"/>
                <w:sz w:val="18"/>
                <w:szCs w:val="18"/>
                <w:lang w:val="es-ES"/>
              </w:rPr>
            </w:pPr>
            <w:r w:rsidRPr="005326C1">
              <w:rPr>
                <w:rFonts w:ascii="Arial Narrow" w:hAnsi="Arial Narrow"/>
                <w:b/>
                <w:bCs/>
                <w:i/>
                <w:iCs/>
                <w:color w:val="000000"/>
                <w:sz w:val="18"/>
                <w:szCs w:val="18"/>
                <w:lang w:val="es-ES"/>
              </w:rPr>
              <w:t>IPC Final</w:t>
            </w:r>
          </w:p>
        </w:tc>
        <w:tc>
          <w:tcPr>
            <w:tcW w:w="1058"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5326C1" w:rsidRPr="005326C1" w:rsidRDefault="005326C1" w:rsidP="005326C1">
            <w:pPr>
              <w:jc w:val="center"/>
              <w:rPr>
                <w:rFonts w:ascii="Arial Narrow" w:hAnsi="Arial Narrow"/>
                <w:b/>
                <w:bCs/>
                <w:i/>
                <w:iCs/>
                <w:color w:val="000000"/>
                <w:sz w:val="18"/>
                <w:szCs w:val="18"/>
                <w:lang w:val="es-ES"/>
              </w:rPr>
            </w:pPr>
            <w:r w:rsidRPr="005326C1">
              <w:rPr>
                <w:rFonts w:ascii="Arial Narrow" w:hAnsi="Arial Narrow"/>
                <w:b/>
                <w:bCs/>
                <w:i/>
                <w:iCs/>
                <w:color w:val="000000"/>
                <w:sz w:val="18"/>
                <w:szCs w:val="18"/>
                <w:lang w:val="es-ES"/>
              </w:rPr>
              <w:t>IPC Inicial</w:t>
            </w:r>
          </w:p>
        </w:tc>
        <w:tc>
          <w:tcPr>
            <w:tcW w:w="1562" w:type="dxa"/>
            <w:vMerge/>
            <w:tcBorders>
              <w:top w:val="single" w:sz="4" w:space="0" w:color="auto"/>
              <w:left w:val="single" w:sz="4" w:space="0" w:color="808000"/>
              <w:bottom w:val="single" w:sz="8" w:space="0" w:color="000000"/>
              <w:right w:val="single" w:sz="8" w:space="0" w:color="auto"/>
            </w:tcBorders>
            <w:vAlign w:val="center"/>
            <w:hideMark/>
          </w:tcPr>
          <w:p w:rsidR="005326C1" w:rsidRPr="005326C1" w:rsidRDefault="005326C1" w:rsidP="005326C1">
            <w:pPr>
              <w:rPr>
                <w:rFonts w:ascii="Arial Narrow" w:hAnsi="Arial Narrow"/>
                <w:b/>
                <w:bCs/>
                <w:i/>
                <w:iCs/>
                <w:color w:val="000000"/>
                <w:sz w:val="18"/>
                <w:szCs w:val="18"/>
                <w:lang w:val="es-ES"/>
              </w:rPr>
            </w:pPr>
          </w:p>
        </w:tc>
      </w:tr>
      <w:tr w:rsidR="005326C1" w:rsidRPr="005326C1" w:rsidTr="00B769DA">
        <w:trPr>
          <w:trHeight w:val="495"/>
        </w:trPr>
        <w:tc>
          <w:tcPr>
            <w:tcW w:w="897" w:type="dxa"/>
            <w:tcBorders>
              <w:top w:val="nil"/>
              <w:left w:val="single" w:sz="4" w:space="0" w:color="808000"/>
              <w:bottom w:val="single" w:sz="8" w:space="0" w:color="auto"/>
              <w:right w:val="single" w:sz="4" w:space="0" w:color="808000"/>
            </w:tcBorders>
            <w:shd w:val="clear" w:color="000000" w:fill="FFFF99"/>
            <w:noWrap/>
            <w:vAlign w:val="center"/>
            <w:hideMark/>
          </w:tcPr>
          <w:p w:rsidR="005326C1" w:rsidRPr="005326C1" w:rsidRDefault="005326C1" w:rsidP="005326C1">
            <w:pPr>
              <w:jc w:val="center"/>
              <w:rPr>
                <w:rFonts w:ascii="Arial Narrow" w:hAnsi="Arial Narrow"/>
                <w:b/>
                <w:bCs/>
                <w:i/>
                <w:iCs/>
                <w:color w:val="000000"/>
                <w:sz w:val="18"/>
                <w:szCs w:val="18"/>
                <w:lang w:val="es-ES"/>
              </w:rPr>
            </w:pPr>
            <w:r w:rsidRPr="005326C1">
              <w:rPr>
                <w:rFonts w:ascii="Arial Narrow" w:hAnsi="Arial Narrow"/>
                <w:b/>
                <w:bCs/>
                <w:i/>
                <w:iCs/>
                <w:color w:val="000000"/>
                <w:sz w:val="18"/>
                <w:szCs w:val="18"/>
                <w:lang w:val="es-ES"/>
              </w:rPr>
              <w:t>Desde</w:t>
            </w:r>
          </w:p>
        </w:tc>
        <w:tc>
          <w:tcPr>
            <w:tcW w:w="897" w:type="dxa"/>
            <w:tcBorders>
              <w:top w:val="nil"/>
              <w:left w:val="nil"/>
              <w:bottom w:val="single" w:sz="8" w:space="0" w:color="auto"/>
              <w:right w:val="single" w:sz="4" w:space="0" w:color="808000"/>
            </w:tcBorders>
            <w:shd w:val="clear" w:color="000000" w:fill="FFFF99"/>
            <w:noWrap/>
            <w:vAlign w:val="center"/>
            <w:hideMark/>
          </w:tcPr>
          <w:p w:rsidR="005326C1" w:rsidRPr="005326C1" w:rsidRDefault="005326C1" w:rsidP="005326C1">
            <w:pPr>
              <w:jc w:val="center"/>
              <w:rPr>
                <w:rFonts w:ascii="Arial Narrow" w:hAnsi="Arial Narrow"/>
                <w:b/>
                <w:bCs/>
                <w:i/>
                <w:iCs/>
                <w:color w:val="000000"/>
                <w:sz w:val="18"/>
                <w:szCs w:val="18"/>
                <w:lang w:val="es-ES"/>
              </w:rPr>
            </w:pPr>
            <w:r w:rsidRPr="005326C1">
              <w:rPr>
                <w:rFonts w:ascii="Arial Narrow" w:hAnsi="Arial Narrow"/>
                <w:b/>
                <w:bCs/>
                <w:i/>
                <w:iCs/>
                <w:color w:val="000000"/>
                <w:sz w:val="18"/>
                <w:szCs w:val="18"/>
                <w:lang w:val="es-ES"/>
              </w:rPr>
              <w:t>Hasta</w:t>
            </w:r>
          </w:p>
        </w:tc>
        <w:tc>
          <w:tcPr>
            <w:tcW w:w="1163" w:type="dxa"/>
            <w:vMerge/>
            <w:tcBorders>
              <w:top w:val="nil"/>
              <w:left w:val="single" w:sz="4" w:space="0" w:color="808000"/>
              <w:bottom w:val="single" w:sz="8" w:space="0" w:color="000000"/>
              <w:right w:val="single" w:sz="4" w:space="0" w:color="808000"/>
            </w:tcBorders>
            <w:vAlign w:val="center"/>
            <w:hideMark/>
          </w:tcPr>
          <w:p w:rsidR="005326C1" w:rsidRPr="005326C1" w:rsidRDefault="005326C1" w:rsidP="005326C1">
            <w:pPr>
              <w:rPr>
                <w:rFonts w:ascii="Arial Narrow" w:hAnsi="Arial Narrow"/>
                <w:b/>
                <w:bCs/>
                <w:i/>
                <w:iCs/>
                <w:color w:val="000000"/>
                <w:sz w:val="18"/>
                <w:szCs w:val="18"/>
                <w:lang w:val="es-ES"/>
              </w:rPr>
            </w:pPr>
          </w:p>
        </w:tc>
        <w:tc>
          <w:tcPr>
            <w:tcW w:w="1442" w:type="dxa"/>
            <w:vMerge/>
            <w:tcBorders>
              <w:top w:val="nil"/>
              <w:left w:val="single" w:sz="4" w:space="0" w:color="808000"/>
              <w:bottom w:val="single" w:sz="8" w:space="0" w:color="000000"/>
              <w:right w:val="single" w:sz="8" w:space="0" w:color="auto"/>
            </w:tcBorders>
            <w:vAlign w:val="center"/>
            <w:hideMark/>
          </w:tcPr>
          <w:p w:rsidR="005326C1" w:rsidRPr="005326C1" w:rsidRDefault="005326C1" w:rsidP="005326C1">
            <w:pPr>
              <w:rPr>
                <w:rFonts w:ascii="Arial Narrow" w:hAnsi="Arial Narrow"/>
                <w:b/>
                <w:bCs/>
                <w:i/>
                <w:iCs/>
                <w:color w:val="000000"/>
                <w:sz w:val="18"/>
                <w:szCs w:val="18"/>
                <w:lang w:val="es-ES"/>
              </w:rPr>
            </w:pP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b/>
                <w:bCs/>
                <w:i/>
                <w:iCs/>
                <w:color w:val="000000"/>
                <w:sz w:val="18"/>
                <w:szCs w:val="18"/>
                <w:lang w:val="es-ES"/>
              </w:rPr>
            </w:pPr>
          </w:p>
        </w:tc>
        <w:tc>
          <w:tcPr>
            <w:tcW w:w="1466" w:type="dxa"/>
            <w:vMerge/>
            <w:tcBorders>
              <w:top w:val="single" w:sz="4" w:space="0" w:color="auto"/>
              <w:left w:val="single" w:sz="8" w:space="0" w:color="auto"/>
              <w:bottom w:val="single" w:sz="8" w:space="0" w:color="000000"/>
              <w:right w:val="single" w:sz="4" w:space="0" w:color="808000"/>
            </w:tcBorders>
            <w:vAlign w:val="center"/>
            <w:hideMark/>
          </w:tcPr>
          <w:p w:rsidR="005326C1" w:rsidRPr="005326C1" w:rsidRDefault="005326C1" w:rsidP="005326C1">
            <w:pPr>
              <w:rPr>
                <w:rFonts w:ascii="Arial Narrow" w:hAnsi="Arial Narrow"/>
                <w:b/>
                <w:bCs/>
                <w:i/>
                <w:iCs/>
                <w:color w:val="000000"/>
                <w:sz w:val="18"/>
                <w:szCs w:val="18"/>
                <w:lang w:val="es-ES"/>
              </w:rPr>
            </w:pPr>
          </w:p>
        </w:tc>
        <w:tc>
          <w:tcPr>
            <w:tcW w:w="2067" w:type="dxa"/>
            <w:vMerge/>
            <w:tcBorders>
              <w:top w:val="nil"/>
              <w:left w:val="single" w:sz="4" w:space="0" w:color="808000"/>
              <w:bottom w:val="single" w:sz="8" w:space="0" w:color="000000"/>
              <w:right w:val="single" w:sz="4" w:space="0" w:color="808000"/>
            </w:tcBorders>
            <w:vAlign w:val="center"/>
            <w:hideMark/>
          </w:tcPr>
          <w:p w:rsidR="005326C1" w:rsidRPr="005326C1" w:rsidRDefault="005326C1" w:rsidP="005326C1">
            <w:pPr>
              <w:rPr>
                <w:rFonts w:ascii="Arial Narrow" w:hAnsi="Arial Narrow"/>
                <w:b/>
                <w:bCs/>
                <w:i/>
                <w:iCs/>
                <w:color w:val="000000"/>
                <w:sz w:val="18"/>
                <w:szCs w:val="18"/>
                <w:lang w:val="es-ES"/>
              </w:rPr>
            </w:pPr>
          </w:p>
        </w:tc>
        <w:tc>
          <w:tcPr>
            <w:tcW w:w="1058" w:type="dxa"/>
            <w:vMerge/>
            <w:tcBorders>
              <w:top w:val="nil"/>
              <w:left w:val="single" w:sz="4" w:space="0" w:color="808000"/>
              <w:bottom w:val="single" w:sz="8" w:space="0" w:color="000000"/>
              <w:right w:val="single" w:sz="4" w:space="0" w:color="808000"/>
            </w:tcBorders>
            <w:vAlign w:val="center"/>
            <w:hideMark/>
          </w:tcPr>
          <w:p w:rsidR="005326C1" w:rsidRPr="005326C1" w:rsidRDefault="005326C1" w:rsidP="005326C1">
            <w:pPr>
              <w:rPr>
                <w:rFonts w:ascii="Arial Narrow" w:hAnsi="Arial Narrow"/>
                <w:b/>
                <w:bCs/>
                <w:i/>
                <w:iCs/>
                <w:color w:val="000000"/>
                <w:sz w:val="18"/>
                <w:szCs w:val="18"/>
                <w:lang w:val="es-ES"/>
              </w:rPr>
            </w:pPr>
          </w:p>
        </w:tc>
        <w:tc>
          <w:tcPr>
            <w:tcW w:w="1562" w:type="dxa"/>
            <w:vMerge/>
            <w:tcBorders>
              <w:top w:val="single" w:sz="4" w:space="0" w:color="auto"/>
              <w:left w:val="single" w:sz="4" w:space="0" w:color="808000"/>
              <w:bottom w:val="single" w:sz="8" w:space="0" w:color="000000"/>
              <w:right w:val="single" w:sz="8" w:space="0" w:color="auto"/>
            </w:tcBorders>
            <w:vAlign w:val="center"/>
            <w:hideMark/>
          </w:tcPr>
          <w:p w:rsidR="005326C1" w:rsidRPr="005326C1" w:rsidRDefault="005326C1" w:rsidP="005326C1">
            <w:pPr>
              <w:rPr>
                <w:rFonts w:ascii="Arial Narrow" w:hAnsi="Arial Narrow"/>
                <w:b/>
                <w:bCs/>
                <w:i/>
                <w:iCs/>
                <w:color w:val="000000"/>
                <w:sz w:val="18"/>
                <w:szCs w:val="18"/>
                <w:lang w:val="es-ES"/>
              </w:rPr>
            </w:pPr>
          </w:p>
        </w:tc>
      </w:tr>
      <w:tr w:rsidR="005326C1" w:rsidRPr="005326C1" w:rsidTr="00B769DA">
        <w:trPr>
          <w:trHeight w:val="330"/>
        </w:trPr>
        <w:tc>
          <w:tcPr>
            <w:tcW w:w="897"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07/05/1988</w:t>
            </w:r>
          </w:p>
        </w:tc>
        <w:tc>
          <w:tcPr>
            <w:tcW w:w="897"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31/12/1988</w:t>
            </w:r>
          </w:p>
        </w:tc>
        <w:tc>
          <w:tcPr>
            <w:tcW w:w="1163"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239</w:t>
            </w:r>
          </w:p>
        </w:tc>
        <w:tc>
          <w:tcPr>
            <w:tcW w:w="1442"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$47.370</w:t>
            </w:r>
          </w:p>
        </w:tc>
        <w:tc>
          <w:tcPr>
            <w:tcW w:w="146" w:type="dxa"/>
            <w:tcBorders>
              <w:top w:val="single" w:sz="4" w:space="0" w:color="808000"/>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single" w:sz="4" w:space="0" w:color="808000"/>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972.807,27 </w:t>
            </w:r>
          </w:p>
        </w:tc>
        <w:tc>
          <w:tcPr>
            <w:tcW w:w="2067"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5,12 </w:t>
            </w:r>
          </w:p>
        </w:tc>
        <w:tc>
          <w:tcPr>
            <w:tcW w:w="1562" w:type="dxa"/>
            <w:tcBorders>
              <w:top w:val="single" w:sz="4" w:space="0" w:color="808000"/>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64.584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01/01/1989</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31/01/1989</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$47.370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759.267,70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6,57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6.538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01/02/1989</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31/12/1989</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334</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$70.260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1.126.158,94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6,57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104.483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01/01/1990</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31/12/1990</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365</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$89.070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1.131.954,64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8,28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114.768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01/01/1991</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31/01/1991</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$89.070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855.159,20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10,96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7.364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01/02/1991</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31/12/1991</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334</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$111.000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1.065.708,67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10,96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98.874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01/01/1992</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31/12/1992</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366</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$150.270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1.137.593,65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13,90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115.655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01/01/1993</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31/01/1993</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$150.270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909.101,80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17,40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7.828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01/02/1993</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30/06/1993</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150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$181.050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1.095.314,31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17,40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45.638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01/07/1993</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31/12/1993</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184</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$197.910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1.197.313,75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17,40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61.196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01/01/1994</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30/04/1994</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120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$241.908</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1.193.635,88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21,33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39.788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01/05/1994</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31/12/1994</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245</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$232.933</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1.149.350,94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21,33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78.220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01/01/1995</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30/09/1995</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270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$284.000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1.143.047,37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26,15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85.729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01/10/1995</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30/11/1995</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60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$345.000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1.388.561,06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26,15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23.143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01/12/1995</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31/12/1995</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$300.000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1.207.444,40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26,15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10.062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01/01/1996</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31/01/1996</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$398.000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1.340.846,06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11.174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01/02/1996</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29/02/1996</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$337.000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1.135.339,50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9.461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01/03/1996</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31/03/1996</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$367.000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1.236.408,30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10.303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01/04/1996</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30/04/1996</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$342.000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1.152.184,30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9.602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01/05/1996</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31/05/1996</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$383.000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1.290.311,66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10.753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01/06/1996</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30/06/1996</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$428.000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1.441.914,85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12.016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01/07/1996</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31/07/1996</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$453.000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1.526.138,85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12.718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01/08/1996</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30/09/1996</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60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$335.000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1.128.601,58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18.810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01/10/1996</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31/10/1996</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$351.000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1.182.504,94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9.854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01/11/1996</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30/11/1996</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$388.000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1.307.156,46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10.893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01/12/1996</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31/12/1996</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$384.000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1.293.680,62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31,24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10.781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01/01/1997</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31/01/1997</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$406.000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1.124.472,33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9.371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01/02/1997</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28/02/1997</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$425.000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1.177.095,42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9.809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01/03/1997</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31/03/1997</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$560.000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1.550.996,32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12.925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01/04/1997</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30/04/1997</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$425.000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1.177.095,42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9.809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lastRenderedPageBreak/>
              <w:t>01/05/1997</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31/05/1997</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$483.000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1.337.734,33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11.148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01/06/1997</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30/06/1997</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$524.000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1.451.289,42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12.094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01/07/1997</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31/07/1997</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$492.000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1.362.661,06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11.356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01/08/1997</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31/08/1997</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$425.000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1.177.095,42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9.809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01/09/1997</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30/11/1997</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90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$406.000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1.124.472,33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28.112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01/12/1997</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31/12/1997</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$425.000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1.177.095,42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38,00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9.809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01/01/1998</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31/01/1998</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$495.000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1.164.956,64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44,72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9.708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01/02/1998</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28/02/1998</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$500.000</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1.176.723,88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44,72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9.806 </w:t>
            </w:r>
          </w:p>
        </w:tc>
      </w:tr>
      <w:tr w:rsidR="005326C1" w:rsidRPr="005326C1" w:rsidTr="00B769DA">
        <w:trPr>
          <w:trHeight w:val="330"/>
        </w:trPr>
        <w:tc>
          <w:tcPr>
            <w:tcW w:w="897" w:type="dxa"/>
            <w:tcBorders>
              <w:top w:val="nil"/>
              <w:left w:val="single" w:sz="8" w:space="0" w:color="auto"/>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01/03/1998</w:t>
            </w:r>
          </w:p>
        </w:tc>
        <w:tc>
          <w:tcPr>
            <w:tcW w:w="89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31/03/1998</w:t>
            </w:r>
          </w:p>
        </w:tc>
        <w:tc>
          <w:tcPr>
            <w:tcW w:w="1163"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30</w:t>
            </w:r>
          </w:p>
        </w:tc>
        <w:tc>
          <w:tcPr>
            <w:tcW w:w="144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r w:rsidRPr="005326C1">
              <w:rPr>
                <w:rFonts w:ascii="Arial Narrow" w:hAnsi="Arial Narrow"/>
                <w:sz w:val="18"/>
                <w:szCs w:val="18"/>
                <w:lang w:val="es-ES"/>
              </w:rPr>
              <w:t>$505.326</w:t>
            </w: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sz w:val="18"/>
                <w:szCs w:val="18"/>
                <w:lang w:val="es-ES"/>
              </w:rPr>
            </w:pPr>
          </w:p>
        </w:tc>
        <w:tc>
          <w:tcPr>
            <w:tcW w:w="1466" w:type="dxa"/>
            <w:tcBorders>
              <w:top w:val="nil"/>
              <w:left w:val="single" w:sz="8" w:space="0" w:color="auto"/>
              <w:bottom w:val="single" w:sz="8" w:space="0" w:color="auto"/>
              <w:right w:val="single" w:sz="8" w:space="0" w:color="auto"/>
            </w:tcBorders>
            <w:shd w:val="clear" w:color="000000" w:fill="FFFF99"/>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xml:space="preserve">      1.189.258,34 </w:t>
            </w:r>
          </w:p>
        </w:tc>
        <w:tc>
          <w:tcPr>
            <w:tcW w:w="2067"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105,24 </w:t>
            </w:r>
          </w:p>
        </w:tc>
        <w:tc>
          <w:tcPr>
            <w:tcW w:w="1058"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44,72 </w:t>
            </w:r>
          </w:p>
        </w:tc>
        <w:tc>
          <w:tcPr>
            <w:tcW w:w="1562" w:type="dxa"/>
            <w:tcBorders>
              <w:top w:val="nil"/>
              <w:left w:val="nil"/>
              <w:bottom w:val="single" w:sz="8" w:space="0" w:color="auto"/>
              <w:right w:val="single" w:sz="8" w:space="0" w:color="auto"/>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9.910 </w:t>
            </w:r>
          </w:p>
        </w:tc>
      </w:tr>
      <w:tr w:rsidR="005326C1" w:rsidRPr="005326C1" w:rsidTr="00B769DA">
        <w:trPr>
          <w:trHeight w:val="315"/>
        </w:trPr>
        <w:tc>
          <w:tcPr>
            <w:tcW w:w="1794" w:type="dxa"/>
            <w:gridSpan w:val="2"/>
            <w:tcBorders>
              <w:top w:val="nil"/>
              <w:left w:val="single" w:sz="4" w:space="0" w:color="333300"/>
              <w:bottom w:val="single" w:sz="4" w:space="0" w:color="333300"/>
              <w:right w:val="single" w:sz="4" w:space="0" w:color="333300"/>
            </w:tcBorders>
            <w:shd w:val="clear" w:color="auto" w:fill="auto"/>
            <w:noWrap/>
            <w:vAlign w:val="center"/>
            <w:hideMark/>
          </w:tcPr>
          <w:p w:rsidR="005326C1" w:rsidRPr="005326C1" w:rsidRDefault="005326C1" w:rsidP="005326C1">
            <w:pPr>
              <w:jc w:val="center"/>
              <w:rPr>
                <w:rFonts w:ascii="Arial Narrow" w:hAnsi="Arial Narrow"/>
                <w:b/>
                <w:bCs/>
                <w:color w:val="000000"/>
                <w:sz w:val="18"/>
                <w:szCs w:val="18"/>
                <w:lang w:val="es-ES"/>
              </w:rPr>
            </w:pPr>
            <w:r w:rsidRPr="005326C1">
              <w:rPr>
                <w:rFonts w:ascii="Arial Narrow" w:hAnsi="Arial Narrow"/>
                <w:b/>
                <w:bCs/>
                <w:color w:val="000000"/>
                <w:sz w:val="18"/>
                <w:szCs w:val="18"/>
                <w:lang w:val="es-ES"/>
              </w:rPr>
              <w:t> </w:t>
            </w:r>
          </w:p>
        </w:tc>
        <w:tc>
          <w:tcPr>
            <w:tcW w:w="1163" w:type="dxa"/>
            <w:tcBorders>
              <w:top w:val="nil"/>
              <w:left w:val="nil"/>
              <w:bottom w:val="single" w:sz="4" w:space="0" w:color="333300"/>
              <w:right w:val="single" w:sz="4" w:space="0" w:color="333300"/>
            </w:tcBorders>
            <w:shd w:val="clear" w:color="000000" w:fill="FFFF99"/>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3.600</w:t>
            </w:r>
          </w:p>
        </w:tc>
        <w:tc>
          <w:tcPr>
            <w:tcW w:w="1442"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sz w:val="20"/>
                <w:lang w:val="es-ES"/>
              </w:rPr>
            </w:pPr>
          </w:p>
        </w:tc>
        <w:tc>
          <w:tcPr>
            <w:tcW w:w="1466" w:type="dxa"/>
            <w:tcBorders>
              <w:top w:val="nil"/>
              <w:left w:val="nil"/>
              <w:bottom w:val="nil"/>
              <w:right w:val="nil"/>
            </w:tcBorders>
            <w:shd w:val="clear" w:color="auto" w:fill="auto"/>
            <w:noWrap/>
            <w:vAlign w:val="center"/>
            <w:hideMark/>
          </w:tcPr>
          <w:p w:rsidR="005326C1" w:rsidRPr="005326C1" w:rsidRDefault="005326C1" w:rsidP="005326C1">
            <w:pPr>
              <w:jc w:val="center"/>
              <w:rPr>
                <w:sz w:val="20"/>
                <w:lang w:val="es-ES"/>
              </w:rPr>
            </w:pPr>
          </w:p>
        </w:tc>
        <w:tc>
          <w:tcPr>
            <w:tcW w:w="3125" w:type="dxa"/>
            <w:gridSpan w:val="2"/>
            <w:tcBorders>
              <w:top w:val="nil"/>
              <w:left w:val="single" w:sz="4" w:space="0" w:color="333300"/>
              <w:bottom w:val="single" w:sz="4" w:space="0" w:color="333300"/>
              <w:right w:val="single" w:sz="4" w:space="0" w:color="333300"/>
            </w:tcBorders>
            <w:shd w:val="clear" w:color="auto" w:fill="auto"/>
            <w:noWrap/>
            <w:vAlign w:val="center"/>
            <w:hideMark/>
          </w:tcPr>
          <w:p w:rsidR="005326C1" w:rsidRPr="005326C1" w:rsidRDefault="005326C1" w:rsidP="005326C1">
            <w:pPr>
              <w:jc w:val="center"/>
              <w:rPr>
                <w:rFonts w:ascii="Arial Narrow" w:hAnsi="Arial Narrow"/>
                <w:b/>
                <w:bCs/>
                <w:color w:val="000000"/>
                <w:sz w:val="18"/>
                <w:szCs w:val="18"/>
                <w:lang w:val="es-ES"/>
              </w:rPr>
            </w:pPr>
            <w:proofErr w:type="spellStart"/>
            <w:r w:rsidRPr="005326C1">
              <w:rPr>
                <w:rFonts w:ascii="Arial Narrow" w:hAnsi="Arial Narrow"/>
                <w:b/>
                <w:bCs/>
                <w:color w:val="000000"/>
                <w:sz w:val="18"/>
                <w:szCs w:val="18"/>
                <w:lang w:val="es-ES"/>
              </w:rPr>
              <w:t>IBL</w:t>
            </w:r>
            <w:proofErr w:type="spellEnd"/>
          </w:p>
        </w:tc>
        <w:tc>
          <w:tcPr>
            <w:tcW w:w="1562" w:type="dxa"/>
            <w:tcBorders>
              <w:top w:val="nil"/>
              <w:left w:val="nil"/>
              <w:bottom w:val="single" w:sz="4" w:space="0" w:color="333300"/>
              <w:right w:val="single" w:sz="4" w:space="0" w:color="333300"/>
            </w:tcBorders>
            <w:shd w:val="clear" w:color="000000" w:fill="FFFF99"/>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 xml:space="preserve">            1.143.898 </w:t>
            </w:r>
          </w:p>
        </w:tc>
      </w:tr>
      <w:tr w:rsidR="005326C1" w:rsidRPr="005326C1" w:rsidTr="00B769DA">
        <w:trPr>
          <w:trHeight w:val="315"/>
        </w:trPr>
        <w:tc>
          <w:tcPr>
            <w:tcW w:w="897"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p>
        </w:tc>
        <w:tc>
          <w:tcPr>
            <w:tcW w:w="897" w:type="dxa"/>
            <w:tcBorders>
              <w:top w:val="nil"/>
              <w:left w:val="nil"/>
              <w:bottom w:val="nil"/>
              <w:right w:val="nil"/>
            </w:tcBorders>
            <w:shd w:val="clear" w:color="auto" w:fill="auto"/>
            <w:noWrap/>
            <w:vAlign w:val="center"/>
            <w:hideMark/>
          </w:tcPr>
          <w:p w:rsidR="005326C1" w:rsidRPr="005326C1" w:rsidRDefault="005326C1" w:rsidP="005326C1">
            <w:pPr>
              <w:jc w:val="center"/>
              <w:rPr>
                <w:sz w:val="20"/>
                <w:lang w:val="es-ES"/>
              </w:rPr>
            </w:pPr>
          </w:p>
        </w:tc>
        <w:tc>
          <w:tcPr>
            <w:tcW w:w="1163" w:type="dxa"/>
            <w:tcBorders>
              <w:top w:val="nil"/>
              <w:left w:val="nil"/>
              <w:bottom w:val="nil"/>
              <w:right w:val="nil"/>
            </w:tcBorders>
            <w:shd w:val="clear" w:color="auto" w:fill="auto"/>
            <w:noWrap/>
            <w:vAlign w:val="center"/>
            <w:hideMark/>
          </w:tcPr>
          <w:p w:rsidR="005326C1" w:rsidRPr="005326C1" w:rsidRDefault="005326C1" w:rsidP="005326C1">
            <w:pPr>
              <w:jc w:val="center"/>
              <w:rPr>
                <w:sz w:val="20"/>
                <w:lang w:val="es-ES"/>
              </w:rPr>
            </w:pPr>
          </w:p>
        </w:tc>
        <w:tc>
          <w:tcPr>
            <w:tcW w:w="1442" w:type="dxa"/>
            <w:tcBorders>
              <w:top w:val="nil"/>
              <w:left w:val="nil"/>
              <w:bottom w:val="nil"/>
              <w:right w:val="nil"/>
            </w:tcBorders>
            <w:shd w:val="clear" w:color="auto" w:fill="auto"/>
            <w:noWrap/>
            <w:vAlign w:val="center"/>
            <w:hideMark/>
          </w:tcPr>
          <w:p w:rsidR="005326C1" w:rsidRPr="005326C1" w:rsidRDefault="005326C1" w:rsidP="005326C1">
            <w:pPr>
              <w:jc w:val="center"/>
              <w:rPr>
                <w:sz w:val="20"/>
                <w:lang w:val="es-ES"/>
              </w:rPr>
            </w:pP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sz w:val="20"/>
                <w:lang w:val="es-ES"/>
              </w:rPr>
            </w:pPr>
          </w:p>
        </w:tc>
        <w:tc>
          <w:tcPr>
            <w:tcW w:w="1466"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r w:rsidRPr="005326C1">
              <w:rPr>
                <w:rFonts w:ascii="Arial Narrow" w:hAnsi="Arial Narrow"/>
                <w:color w:val="000000"/>
                <w:sz w:val="18"/>
                <w:szCs w:val="18"/>
                <w:lang w:val="es-ES"/>
              </w:rPr>
              <w:t>0</w:t>
            </w:r>
          </w:p>
        </w:tc>
        <w:tc>
          <w:tcPr>
            <w:tcW w:w="2067" w:type="dxa"/>
            <w:tcBorders>
              <w:top w:val="nil"/>
              <w:left w:val="nil"/>
              <w:bottom w:val="nil"/>
              <w:right w:val="nil"/>
            </w:tcBorders>
            <w:shd w:val="clear" w:color="auto" w:fill="auto"/>
            <w:noWrap/>
            <w:vAlign w:val="center"/>
            <w:hideMark/>
          </w:tcPr>
          <w:p w:rsidR="005326C1" w:rsidRPr="005326C1" w:rsidRDefault="005326C1" w:rsidP="005326C1">
            <w:pPr>
              <w:jc w:val="center"/>
              <w:rPr>
                <w:rFonts w:ascii="Arial Narrow" w:hAnsi="Arial Narrow"/>
                <w:color w:val="000000"/>
                <w:sz w:val="18"/>
                <w:szCs w:val="18"/>
                <w:lang w:val="es-ES"/>
              </w:rPr>
            </w:pPr>
          </w:p>
        </w:tc>
        <w:tc>
          <w:tcPr>
            <w:tcW w:w="1058" w:type="dxa"/>
            <w:tcBorders>
              <w:top w:val="nil"/>
              <w:left w:val="nil"/>
              <w:bottom w:val="nil"/>
              <w:right w:val="nil"/>
            </w:tcBorders>
            <w:shd w:val="clear" w:color="auto" w:fill="auto"/>
            <w:noWrap/>
            <w:vAlign w:val="center"/>
            <w:hideMark/>
          </w:tcPr>
          <w:p w:rsidR="005326C1" w:rsidRPr="005326C1" w:rsidRDefault="005326C1" w:rsidP="005326C1">
            <w:pPr>
              <w:jc w:val="center"/>
              <w:rPr>
                <w:sz w:val="20"/>
                <w:lang w:val="es-ES"/>
              </w:rPr>
            </w:pPr>
          </w:p>
        </w:tc>
        <w:tc>
          <w:tcPr>
            <w:tcW w:w="1562" w:type="dxa"/>
            <w:tcBorders>
              <w:top w:val="nil"/>
              <w:left w:val="nil"/>
              <w:bottom w:val="nil"/>
              <w:right w:val="nil"/>
            </w:tcBorders>
            <w:shd w:val="clear" w:color="auto" w:fill="auto"/>
            <w:noWrap/>
            <w:vAlign w:val="center"/>
            <w:hideMark/>
          </w:tcPr>
          <w:p w:rsidR="005326C1" w:rsidRPr="005326C1" w:rsidRDefault="005326C1" w:rsidP="005326C1">
            <w:pPr>
              <w:jc w:val="center"/>
              <w:rPr>
                <w:sz w:val="20"/>
                <w:lang w:val="es-ES"/>
              </w:rPr>
            </w:pPr>
          </w:p>
        </w:tc>
      </w:tr>
      <w:tr w:rsidR="005326C1" w:rsidRPr="005326C1" w:rsidTr="00B769DA">
        <w:trPr>
          <w:trHeight w:val="315"/>
        </w:trPr>
        <w:tc>
          <w:tcPr>
            <w:tcW w:w="897" w:type="dxa"/>
            <w:tcBorders>
              <w:top w:val="nil"/>
              <w:left w:val="nil"/>
              <w:bottom w:val="nil"/>
              <w:right w:val="nil"/>
            </w:tcBorders>
            <w:shd w:val="clear" w:color="auto" w:fill="auto"/>
            <w:noWrap/>
            <w:vAlign w:val="center"/>
            <w:hideMark/>
          </w:tcPr>
          <w:p w:rsidR="005326C1" w:rsidRPr="005326C1" w:rsidRDefault="005326C1" w:rsidP="005326C1">
            <w:pPr>
              <w:jc w:val="center"/>
              <w:rPr>
                <w:sz w:val="20"/>
                <w:lang w:val="es-ES"/>
              </w:rPr>
            </w:pPr>
          </w:p>
        </w:tc>
        <w:tc>
          <w:tcPr>
            <w:tcW w:w="897" w:type="dxa"/>
            <w:tcBorders>
              <w:top w:val="nil"/>
              <w:left w:val="nil"/>
              <w:bottom w:val="nil"/>
              <w:right w:val="nil"/>
            </w:tcBorders>
            <w:shd w:val="clear" w:color="auto" w:fill="auto"/>
            <w:noWrap/>
            <w:vAlign w:val="center"/>
            <w:hideMark/>
          </w:tcPr>
          <w:p w:rsidR="005326C1" w:rsidRPr="005326C1" w:rsidRDefault="005326C1" w:rsidP="005326C1">
            <w:pPr>
              <w:jc w:val="center"/>
              <w:rPr>
                <w:sz w:val="20"/>
                <w:lang w:val="es-ES"/>
              </w:rPr>
            </w:pPr>
          </w:p>
        </w:tc>
        <w:tc>
          <w:tcPr>
            <w:tcW w:w="1163" w:type="dxa"/>
            <w:tcBorders>
              <w:top w:val="nil"/>
              <w:left w:val="nil"/>
              <w:bottom w:val="nil"/>
              <w:right w:val="nil"/>
            </w:tcBorders>
            <w:shd w:val="clear" w:color="auto" w:fill="auto"/>
            <w:noWrap/>
            <w:vAlign w:val="center"/>
            <w:hideMark/>
          </w:tcPr>
          <w:p w:rsidR="005326C1" w:rsidRPr="005326C1" w:rsidRDefault="005326C1" w:rsidP="005326C1">
            <w:pPr>
              <w:jc w:val="center"/>
              <w:rPr>
                <w:sz w:val="20"/>
                <w:lang w:val="es-ES"/>
              </w:rPr>
            </w:pPr>
          </w:p>
        </w:tc>
        <w:tc>
          <w:tcPr>
            <w:tcW w:w="1442" w:type="dxa"/>
            <w:tcBorders>
              <w:top w:val="nil"/>
              <w:left w:val="nil"/>
              <w:bottom w:val="nil"/>
              <w:right w:val="nil"/>
            </w:tcBorders>
            <w:shd w:val="clear" w:color="auto" w:fill="auto"/>
            <w:noWrap/>
            <w:vAlign w:val="center"/>
            <w:hideMark/>
          </w:tcPr>
          <w:p w:rsidR="005326C1" w:rsidRPr="005326C1" w:rsidRDefault="005326C1" w:rsidP="005326C1">
            <w:pPr>
              <w:jc w:val="center"/>
              <w:rPr>
                <w:sz w:val="20"/>
                <w:lang w:val="es-ES"/>
              </w:rPr>
            </w:pPr>
          </w:p>
        </w:tc>
        <w:tc>
          <w:tcPr>
            <w:tcW w:w="146" w:type="dxa"/>
            <w:tcBorders>
              <w:top w:val="nil"/>
              <w:left w:val="nil"/>
              <w:bottom w:val="nil"/>
              <w:right w:val="nil"/>
            </w:tcBorders>
            <w:shd w:val="clear" w:color="auto" w:fill="auto"/>
            <w:noWrap/>
            <w:vAlign w:val="center"/>
            <w:hideMark/>
          </w:tcPr>
          <w:p w:rsidR="005326C1" w:rsidRPr="005326C1" w:rsidRDefault="005326C1" w:rsidP="005326C1">
            <w:pPr>
              <w:jc w:val="center"/>
              <w:rPr>
                <w:sz w:val="20"/>
                <w:lang w:val="es-ES"/>
              </w:rPr>
            </w:pPr>
          </w:p>
        </w:tc>
        <w:tc>
          <w:tcPr>
            <w:tcW w:w="1466" w:type="dxa"/>
            <w:tcBorders>
              <w:top w:val="nil"/>
              <w:left w:val="nil"/>
              <w:bottom w:val="nil"/>
              <w:right w:val="nil"/>
            </w:tcBorders>
            <w:shd w:val="clear" w:color="auto" w:fill="auto"/>
            <w:noWrap/>
            <w:vAlign w:val="center"/>
            <w:hideMark/>
          </w:tcPr>
          <w:p w:rsidR="005326C1" w:rsidRPr="005326C1" w:rsidRDefault="005326C1" w:rsidP="005326C1">
            <w:pPr>
              <w:jc w:val="center"/>
              <w:rPr>
                <w:sz w:val="20"/>
                <w:lang w:val="es-ES"/>
              </w:rPr>
            </w:pPr>
          </w:p>
        </w:tc>
        <w:tc>
          <w:tcPr>
            <w:tcW w:w="3125"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5326C1" w:rsidRPr="005326C1" w:rsidRDefault="005326C1" w:rsidP="005326C1">
            <w:pPr>
              <w:jc w:val="center"/>
              <w:rPr>
                <w:rFonts w:ascii="Arial Narrow" w:hAnsi="Arial Narrow"/>
                <w:b/>
                <w:bCs/>
                <w:i/>
                <w:iCs/>
                <w:color w:val="000000"/>
                <w:sz w:val="18"/>
                <w:szCs w:val="18"/>
                <w:lang w:val="es-ES"/>
              </w:rPr>
            </w:pPr>
            <w:r w:rsidRPr="005326C1">
              <w:rPr>
                <w:rFonts w:ascii="Arial Narrow" w:hAnsi="Arial Narrow"/>
                <w:b/>
                <w:bCs/>
                <w:i/>
                <w:iCs/>
                <w:color w:val="000000"/>
                <w:sz w:val="18"/>
                <w:szCs w:val="18"/>
                <w:lang w:val="es-ES"/>
              </w:rPr>
              <w:t>Mesada</w:t>
            </w:r>
          </w:p>
        </w:tc>
        <w:tc>
          <w:tcPr>
            <w:tcW w:w="1562" w:type="dxa"/>
            <w:tcBorders>
              <w:top w:val="single" w:sz="4" w:space="0" w:color="333300"/>
              <w:left w:val="nil"/>
              <w:bottom w:val="single" w:sz="4" w:space="0" w:color="333300"/>
              <w:right w:val="single" w:sz="4" w:space="0" w:color="333300"/>
            </w:tcBorders>
            <w:shd w:val="clear" w:color="000000" w:fill="FFFF99"/>
            <w:noWrap/>
            <w:vAlign w:val="center"/>
            <w:hideMark/>
          </w:tcPr>
          <w:p w:rsidR="005326C1" w:rsidRPr="005326C1" w:rsidRDefault="005326C1" w:rsidP="005326C1">
            <w:pPr>
              <w:jc w:val="center"/>
              <w:rPr>
                <w:rFonts w:ascii="Arial Narrow" w:hAnsi="Arial Narrow"/>
                <w:b/>
                <w:bCs/>
                <w:i/>
                <w:iCs/>
                <w:color w:val="000000"/>
                <w:sz w:val="18"/>
                <w:szCs w:val="18"/>
                <w:lang w:val="es-ES"/>
              </w:rPr>
            </w:pPr>
            <w:r w:rsidRPr="005326C1">
              <w:rPr>
                <w:rFonts w:ascii="Arial Narrow" w:hAnsi="Arial Narrow"/>
                <w:b/>
                <w:bCs/>
                <w:i/>
                <w:iCs/>
                <w:color w:val="000000"/>
                <w:sz w:val="18"/>
                <w:szCs w:val="18"/>
                <w:lang w:val="es-ES"/>
              </w:rPr>
              <w:t xml:space="preserve">              857.924 </w:t>
            </w:r>
          </w:p>
        </w:tc>
      </w:tr>
    </w:tbl>
    <w:p w:rsidR="00C35CA1" w:rsidRDefault="00C35CA1"/>
    <w:p w:rsidR="00016CB6" w:rsidRDefault="00016CB6"/>
    <w:p w:rsidR="00C94532" w:rsidRDefault="00C94532"/>
    <w:p w:rsidR="00C94532" w:rsidRDefault="00C94532"/>
    <w:p w:rsidR="00C94532" w:rsidRDefault="00C94532"/>
    <w:p w:rsidR="00016CB6" w:rsidRDefault="00016CB6"/>
    <w:tbl>
      <w:tblPr>
        <w:tblW w:w="6580" w:type="dxa"/>
        <w:tblInd w:w="1413" w:type="dxa"/>
        <w:tblCellMar>
          <w:left w:w="70" w:type="dxa"/>
          <w:right w:w="70" w:type="dxa"/>
        </w:tblCellMar>
        <w:tblLook w:val="04A0" w:firstRow="1" w:lastRow="0" w:firstColumn="1" w:lastColumn="0" w:noHBand="0" w:noVBand="1"/>
      </w:tblPr>
      <w:tblGrid>
        <w:gridCol w:w="1200"/>
        <w:gridCol w:w="1220"/>
        <w:gridCol w:w="1200"/>
        <w:gridCol w:w="1500"/>
        <w:gridCol w:w="1460"/>
      </w:tblGrid>
      <w:tr w:rsidR="00016CB6" w:rsidRPr="00016CB6" w:rsidTr="00016CB6">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CB6" w:rsidRPr="00016CB6" w:rsidRDefault="00016CB6" w:rsidP="00016CB6">
            <w:pPr>
              <w:jc w:val="center"/>
              <w:rPr>
                <w:rFonts w:ascii="Arial Narrow" w:hAnsi="Arial Narrow"/>
                <w:b/>
                <w:bCs/>
                <w:color w:val="000000"/>
                <w:sz w:val="20"/>
                <w:lang w:val="es-ES"/>
              </w:rPr>
            </w:pPr>
            <w:r w:rsidRPr="00016CB6">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16CB6" w:rsidRPr="00016CB6" w:rsidRDefault="00016CB6" w:rsidP="00016CB6">
            <w:pPr>
              <w:jc w:val="center"/>
              <w:rPr>
                <w:rFonts w:ascii="Arial Narrow" w:hAnsi="Arial Narrow"/>
                <w:b/>
                <w:bCs/>
                <w:color w:val="000000"/>
                <w:sz w:val="20"/>
                <w:lang w:val="es-ES"/>
              </w:rPr>
            </w:pPr>
            <w:r w:rsidRPr="00016CB6">
              <w:rPr>
                <w:rFonts w:ascii="Arial Narrow" w:hAnsi="Arial Narrow"/>
                <w:b/>
                <w:bCs/>
                <w:color w:val="000000"/>
                <w:sz w:val="20"/>
                <w:lang w:val="es-ES"/>
              </w:rPr>
              <w:t>IPC año anterior</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16CB6" w:rsidRPr="00016CB6" w:rsidRDefault="00016CB6" w:rsidP="00016CB6">
            <w:pPr>
              <w:jc w:val="center"/>
              <w:rPr>
                <w:rFonts w:ascii="Arial Narrow" w:hAnsi="Arial Narrow"/>
                <w:b/>
                <w:bCs/>
                <w:color w:val="000000"/>
                <w:sz w:val="20"/>
                <w:lang w:val="es-ES"/>
              </w:rPr>
            </w:pPr>
            <w:r w:rsidRPr="00016CB6">
              <w:rPr>
                <w:rFonts w:ascii="Arial Narrow" w:hAnsi="Arial Narrow"/>
                <w:b/>
                <w:bCs/>
                <w:color w:val="000000"/>
                <w:sz w:val="20"/>
                <w:lang w:val="es-ES"/>
              </w:rPr>
              <w:t xml:space="preserve">No. MESADAS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16CB6" w:rsidRPr="00016CB6" w:rsidRDefault="00016CB6" w:rsidP="00016CB6">
            <w:pPr>
              <w:jc w:val="center"/>
              <w:rPr>
                <w:rFonts w:ascii="Arial Narrow" w:hAnsi="Arial Narrow"/>
                <w:b/>
                <w:bCs/>
                <w:color w:val="000000"/>
                <w:sz w:val="20"/>
                <w:lang w:val="es-ES"/>
              </w:rPr>
            </w:pPr>
            <w:r w:rsidRPr="00016CB6">
              <w:rPr>
                <w:rFonts w:ascii="Arial Narrow" w:hAnsi="Arial Narrow"/>
                <w:b/>
                <w:bCs/>
                <w:color w:val="000000"/>
                <w:sz w:val="20"/>
                <w:lang w:val="es-ES"/>
              </w:rPr>
              <w:t>MESADA RECONOCIDA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016CB6" w:rsidRPr="00016CB6" w:rsidRDefault="00016CB6" w:rsidP="00016CB6">
            <w:pPr>
              <w:jc w:val="center"/>
              <w:rPr>
                <w:rFonts w:ascii="Arial Narrow" w:hAnsi="Arial Narrow"/>
                <w:b/>
                <w:bCs/>
                <w:color w:val="000000"/>
                <w:sz w:val="20"/>
                <w:lang w:val="es-ES"/>
              </w:rPr>
            </w:pPr>
            <w:proofErr w:type="spellStart"/>
            <w:r w:rsidRPr="00016CB6">
              <w:rPr>
                <w:rFonts w:ascii="Arial Narrow" w:hAnsi="Arial Narrow"/>
                <w:b/>
                <w:bCs/>
                <w:color w:val="000000"/>
                <w:sz w:val="20"/>
                <w:lang w:val="es-ES"/>
              </w:rPr>
              <w:t>DIREFENCIA</w:t>
            </w:r>
            <w:proofErr w:type="spellEnd"/>
          </w:p>
        </w:tc>
      </w:tr>
      <w:tr w:rsidR="00016CB6" w:rsidRPr="00016CB6" w:rsidTr="00016CB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2011</w:t>
            </w:r>
          </w:p>
        </w:tc>
        <w:tc>
          <w:tcPr>
            <w:tcW w:w="122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3,17</w:t>
            </w:r>
          </w:p>
        </w:tc>
        <w:tc>
          <w:tcPr>
            <w:tcW w:w="120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3,4</w:t>
            </w:r>
          </w:p>
        </w:tc>
        <w:tc>
          <w:tcPr>
            <w:tcW w:w="150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$857.924</w:t>
            </w:r>
          </w:p>
        </w:tc>
        <w:tc>
          <w:tcPr>
            <w:tcW w:w="146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$2.916.942</w:t>
            </w:r>
          </w:p>
        </w:tc>
      </w:tr>
      <w:tr w:rsidR="00016CB6" w:rsidRPr="00016CB6" w:rsidTr="00016CB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2012</w:t>
            </w:r>
          </w:p>
        </w:tc>
        <w:tc>
          <w:tcPr>
            <w:tcW w:w="122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3,73</w:t>
            </w:r>
          </w:p>
        </w:tc>
        <w:tc>
          <w:tcPr>
            <w:tcW w:w="120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$889.925</w:t>
            </w:r>
          </w:p>
        </w:tc>
        <w:tc>
          <w:tcPr>
            <w:tcW w:w="146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$11.569.019</w:t>
            </w:r>
          </w:p>
        </w:tc>
      </w:tr>
      <w:tr w:rsidR="00016CB6" w:rsidRPr="00016CB6" w:rsidTr="00016CB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2013</w:t>
            </w:r>
          </w:p>
        </w:tc>
        <w:tc>
          <w:tcPr>
            <w:tcW w:w="122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2,44</w:t>
            </w:r>
          </w:p>
        </w:tc>
        <w:tc>
          <w:tcPr>
            <w:tcW w:w="120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$911.639</w:t>
            </w:r>
          </w:p>
        </w:tc>
        <w:tc>
          <w:tcPr>
            <w:tcW w:w="146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$11.851.303</w:t>
            </w:r>
          </w:p>
        </w:tc>
      </w:tr>
      <w:tr w:rsidR="00016CB6" w:rsidRPr="00016CB6" w:rsidTr="00016CB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2014</w:t>
            </w:r>
          </w:p>
        </w:tc>
        <w:tc>
          <w:tcPr>
            <w:tcW w:w="122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1,94</w:t>
            </w:r>
          </w:p>
        </w:tc>
        <w:tc>
          <w:tcPr>
            <w:tcW w:w="120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$929.325</w:t>
            </w:r>
          </w:p>
        </w:tc>
        <w:tc>
          <w:tcPr>
            <w:tcW w:w="146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$12.081.219</w:t>
            </w:r>
          </w:p>
        </w:tc>
      </w:tr>
      <w:tr w:rsidR="00016CB6" w:rsidRPr="00016CB6" w:rsidTr="00016CB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2015</w:t>
            </w:r>
          </w:p>
        </w:tc>
        <w:tc>
          <w:tcPr>
            <w:tcW w:w="122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3,66</w:t>
            </w:r>
          </w:p>
        </w:tc>
        <w:tc>
          <w:tcPr>
            <w:tcW w:w="120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$963.338</w:t>
            </w:r>
          </w:p>
        </w:tc>
        <w:tc>
          <w:tcPr>
            <w:tcW w:w="146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$12.523.391</w:t>
            </w:r>
          </w:p>
        </w:tc>
      </w:tr>
      <w:tr w:rsidR="00016CB6" w:rsidRPr="00016CB6" w:rsidTr="00016CB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2016</w:t>
            </w:r>
          </w:p>
        </w:tc>
        <w:tc>
          <w:tcPr>
            <w:tcW w:w="122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6,77</w:t>
            </w:r>
          </w:p>
        </w:tc>
        <w:tc>
          <w:tcPr>
            <w:tcW w:w="120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$1.028.556</w:t>
            </w:r>
          </w:p>
        </w:tc>
        <w:tc>
          <w:tcPr>
            <w:tcW w:w="146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$13.371.225</w:t>
            </w:r>
          </w:p>
        </w:tc>
      </w:tr>
      <w:tr w:rsidR="00016CB6" w:rsidRPr="00016CB6" w:rsidTr="00016CB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2017</w:t>
            </w:r>
          </w:p>
        </w:tc>
        <w:tc>
          <w:tcPr>
            <w:tcW w:w="122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5,75</w:t>
            </w:r>
          </w:p>
        </w:tc>
        <w:tc>
          <w:tcPr>
            <w:tcW w:w="120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9</w:t>
            </w:r>
          </w:p>
        </w:tc>
        <w:tc>
          <w:tcPr>
            <w:tcW w:w="150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$1.087.698</w:t>
            </w:r>
          </w:p>
        </w:tc>
        <w:tc>
          <w:tcPr>
            <w:tcW w:w="1460" w:type="dxa"/>
            <w:tcBorders>
              <w:top w:val="nil"/>
              <w:left w:val="nil"/>
              <w:bottom w:val="single" w:sz="4" w:space="0" w:color="auto"/>
              <w:right w:val="single" w:sz="4" w:space="0" w:color="auto"/>
            </w:tcBorders>
            <w:shd w:val="clear" w:color="000000" w:fill="FFFFFF"/>
            <w:vAlign w:val="center"/>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$9.789.279</w:t>
            </w:r>
          </w:p>
        </w:tc>
      </w:tr>
      <w:tr w:rsidR="00016CB6" w:rsidRPr="00016CB6" w:rsidTr="00016C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 xml:space="preserve">TOTAL </w:t>
            </w:r>
          </w:p>
        </w:tc>
        <w:tc>
          <w:tcPr>
            <w:tcW w:w="1220" w:type="dxa"/>
            <w:tcBorders>
              <w:top w:val="nil"/>
              <w:left w:val="nil"/>
              <w:bottom w:val="single" w:sz="4" w:space="0" w:color="auto"/>
              <w:right w:val="single" w:sz="4" w:space="0" w:color="auto"/>
            </w:tcBorders>
            <w:shd w:val="clear" w:color="auto" w:fill="auto"/>
            <w:noWrap/>
            <w:vAlign w:val="bottom"/>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 </w:t>
            </w:r>
          </w:p>
        </w:tc>
        <w:tc>
          <w:tcPr>
            <w:tcW w:w="1500" w:type="dxa"/>
            <w:tcBorders>
              <w:top w:val="nil"/>
              <w:left w:val="nil"/>
              <w:bottom w:val="single" w:sz="4" w:space="0" w:color="auto"/>
              <w:right w:val="single" w:sz="4" w:space="0" w:color="auto"/>
            </w:tcBorders>
            <w:shd w:val="clear" w:color="auto" w:fill="auto"/>
            <w:noWrap/>
            <w:vAlign w:val="bottom"/>
            <w:hideMark/>
          </w:tcPr>
          <w:p w:rsidR="00016CB6" w:rsidRPr="00016CB6" w:rsidRDefault="00016CB6" w:rsidP="00016CB6">
            <w:pPr>
              <w:jc w:val="center"/>
              <w:rPr>
                <w:rFonts w:ascii="Arial Narrow" w:hAnsi="Arial Narrow"/>
                <w:color w:val="000000"/>
                <w:sz w:val="20"/>
                <w:lang w:val="es-ES"/>
              </w:rPr>
            </w:pPr>
            <w:r w:rsidRPr="00016CB6">
              <w:rPr>
                <w:rFonts w:ascii="Arial Narrow" w:hAnsi="Arial Narrow"/>
                <w:color w:val="000000"/>
                <w:sz w:val="20"/>
                <w:lang w:val="es-ES"/>
              </w:rPr>
              <w:t> </w:t>
            </w:r>
          </w:p>
        </w:tc>
        <w:tc>
          <w:tcPr>
            <w:tcW w:w="1460" w:type="dxa"/>
            <w:tcBorders>
              <w:top w:val="nil"/>
              <w:left w:val="nil"/>
              <w:bottom w:val="single" w:sz="4" w:space="0" w:color="auto"/>
              <w:right w:val="single" w:sz="4" w:space="0" w:color="auto"/>
            </w:tcBorders>
            <w:shd w:val="clear" w:color="auto" w:fill="auto"/>
            <w:noWrap/>
            <w:vAlign w:val="center"/>
            <w:hideMark/>
          </w:tcPr>
          <w:p w:rsidR="00016CB6" w:rsidRPr="00016CB6" w:rsidRDefault="00016CB6" w:rsidP="00016CB6">
            <w:pPr>
              <w:jc w:val="center"/>
              <w:rPr>
                <w:rFonts w:ascii="Arial Narrow" w:hAnsi="Arial Narrow"/>
                <w:b/>
                <w:bCs/>
                <w:color w:val="000000"/>
                <w:sz w:val="20"/>
                <w:u w:val="single"/>
                <w:lang w:val="es-ES"/>
              </w:rPr>
            </w:pPr>
            <w:r w:rsidRPr="00016CB6">
              <w:rPr>
                <w:rFonts w:ascii="Arial Narrow" w:hAnsi="Arial Narrow"/>
                <w:b/>
                <w:bCs/>
                <w:color w:val="000000"/>
                <w:sz w:val="20"/>
                <w:u w:val="single"/>
                <w:lang w:val="es-ES"/>
              </w:rPr>
              <w:t>$74.102.379</w:t>
            </w:r>
          </w:p>
        </w:tc>
      </w:tr>
    </w:tbl>
    <w:p w:rsidR="00016CB6" w:rsidRDefault="00016CB6"/>
    <w:sectPr w:rsidR="00016CB6" w:rsidSect="0018332A">
      <w:headerReference w:type="default" r:id="rId7"/>
      <w:footerReference w:type="even" r:id="rId8"/>
      <w:footerReference w:type="default" r:id="rId9"/>
      <w:pgSz w:w="12242" w:h="18722" w:code="14"/>
      <w:pgMar w:top="17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339" w:rsidRDefault="00FD6339" w:rsidP="00EB77D8">
      <w:r>
        <w:separator/>
      </w:r>
    </w:p>
  </w:endnote>
  <w:endnote w:type="continuationSeparator" w:id="0">
    <w:p w:rsidR="00FD6339" w:rsidRDefault="00FD6339" w:rsidP="00EB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32A" w:rsidRDefault="0018332A" w:rsidP="001833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332A" w:rsidRDefault="0018332A" w:rsidP="0018332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32A" w:rsidRDefault="0018332A" w:rsidP="001833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687E">
      <w:rPr>
        <w:rStyle w:val="Nmerodepgina"/>
        <w:noProof/>
      </w:rPr>
      <w:t>9</w:t>
    </w:r>
    <w:r>
      <w:rPr>
        <w:rStyle w:val="Nmerodepgina"/>
      </w:rPr>
      <w:fldChar w:fldCharType="end"/>
    </w:r>
  </w:p>
  <w:p w:rsidR="0018332A" w:rsidRDefault="0018332A" w:rsidP="0018332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339" w:rsidRDefault="00FD6339" w:rsidP="00EB77D8">
      <w:r>
        <w:separator/>
      </w:r>
    </w:p>
  </w:footnote>
  <w:footnote w:type="continuationSeparator" w:id="0">
    <w:p w:rsidR="00FD6339" w:rsidRDefault="00FD6339" w:rsidP="00EB7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32A" w:rsidRDefault="0018332A" w:rsidP="0018332A">
    <w:pPr>
      <w:jc w:val="both"/>
      <w:rPr>
        <w:rFonts w:ascii="Arial Narrow" w:hAnsi="Arial Narrow" w:cs="Arial"/>
        <w:bCs/>
        <w:sz w:val="18"/>
        <w:szCs w:val="18"/>
      </w:rPr>
    </w:pPr>
    <w:r w:rsidRPr="0015409B">
      <w:rPr>
        <w:rFonts w:ascii="Arial Narrow" w:hAnsi="Arial Narrow" w:cs="Arial"/>
        <w:bCs/>
        <w:sz w:val="18"/>
        <w:szCs w:val="18"/>
      </w:rPr>
      <w:t>Radicación No: 66001-31-05-00</w:t>
    </w:r>
    <w:r>
      <w:rPr>
        <w:rFonts w:ascii="Arial Narrow" w:hAnsi="Arial Narrow" w:cs="Arial"/>
        <w:bCs/>
        <w:sz w:val="18"/>
        <w:szCs w:val="18"/>
      </w:rPr>
      <w:t>2-2014-00418-01</w:t>
    </w:r>
  </w:p>
  <w:p w:rsidR="0018332A" w:rsidRPr="0015409B" w:rsidRDefault="0018332A" w:rsidP="0018332A">
    <w:pPr>
      <w:jc w:val="both"/>
      <w:rPr>
        <w:rFonts w:ascii="Arial Narrow" w:hAnsi="Arial Narrow"/>
        <w:sz w:val="18"/>
        <w:szCs w:val="18"/>
        <w:lang w:val="es-ES"/>
      </w:rPr>
    </w:pPr>
    <w:r>
      <w:rPr>
        <w:rFonts w:ascii="Arial Narrow" w:hAnsi="Arial Narrow" w:cs="Arial"/>
        <w:bCs/>
        <w:sz w:val="18"/>
        <w:szCs w:val="18"/>
      </w:rPr>
      <w:t>Martha Cecilia Gutiérrez Mejía vs</w:t>
    </w:r>
    <w:r w:rsidRPr="0015409B">
      <w:rPr>
        <w:rFonts w:ascii="Arial Narrow" w:hAnsi="Arial Narrow" w:cs="Arial"/>
        <w:bCs/>
        <w:sz w:val="18"/>
        <w:szCs w:val="18"/>
        <w:lang w:val="es-ES"/>
      </w:rPr>
      <w:t xml:space="preserve"> </w:t>
    </w:r>
    <w:proofErr w:type="spellStart"/>
    <w:r w:rsidRPr="0015409B">
      <w:rPr>
        <w:rFonts w:ascii="Arial Narrow" w:hAnsi="Arial Narrow" w:cs="Arial"/>
        <w:bCs/>
        <w:sz w:val="18"/>
        <w:szCs w:val="18"/>
        <w:lang w:val="es-ES"/>
      </w:rPr>
      <w:t>Colpensiones</w:t>
    </w:r>
    <w:proofErr w:type="spellEnd"/>
    <w:r w:rsidRPr="0015409B">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D8"/>
    <w:rsid w:val="00007C3F"/>
    <w:rsid w:val="00016CB6"/>
    <w:rsid w:val="00085330"/>
    <w:rsid w:val="000B11A3"/>
    <w:rsid w:val="000C202F"/>
    <w:rsid w:val="000C7A31"/>
    <w:rsid w:val="000F300D"/>
    <w:rsid w:val="001417FE"/>
    <w:rsid w:val="00143BCD"/>
    <w:rsid w:val="0018332A"/>
    <w:rsid w:val="001A32E1"/>
    <w:rsid w:val="001A4975"/>
    <w:rsid w:val="001B2444"/>
    <w:rsid w:val="001F3DB2"/>
    <w:rsid w:val="00201C2A"/>
    <w:rsid w:val="00227F83"/>
    <w:rsid w:val="00282DE3"/>
    <w:rsid w:val="00297E88"/>
    <w:rsid w:val="002B2457"/>
    <w:rsid w:val="002C0825"/>
    <w:rsid w:val="002E1392"/>
    <w:rsid w:val="00317FEE"/>
    <w:rsid w:val="003312CC"/>
    <w:rsid w:val="00332BBA"/>
    <w:rsid w:val="003549B1"/>
    <w:rsid w:val="0036718D"/>
    <w:rsid w:val="00391F11"/>
    <w:rsid w:val="004312B0"/>
    <w:rsid w:val="004360FE"/>
    <w:rsid w:val="00443B2D"/>
    <w:rsid w:val="004579A6"/>
    <w:rsid w:val="00525397"/>
    <w:rsid w:val="005326C1"/>
    <w:rsid w:val="005D4ACC"/>
    <w:rsid w:val="00613BBC"/>
    <w:rsid w:val="0074351A"/>
    <w:rsid w:val="007467B2"/>
    <w:rsid w:val="00766F02"/>
    <w:rsid w:val="0077051B"/>
    <w:rsid w:val="00787F35"/>
    <w:rsid w:val="00792221"/>
    <w:rsid w:val="007A2FA7"/>
    <w:rsid w:val="007D2D42"/>
    <w:rsid w:val="007D52FC"/>
    <w:rsid w:val="00813B58"/>
    <w:rsid w:val="0084283E"/>
    <w:rsid w:val="008A3063"/>
    <w:rsid w:val="008A35B5"/>
    <w:rsid w:val="008D687E"/>
    <w:rsid w:val="009321C3"/>
    <w:rsid w:val="00986874"/>
    <w:rsid w:val="009D4190"/>
    <w:rsid w:val="009E1826"/>
    <w:rsid w:val="00A24077"/>
    <w:rsid w:val="00A25B00"/>
    <w:rsid w:val="00A602B0"/>
    <w:rsid w:val="00A96509"/>
    <w:rsid w:val="00A97987"/>
    <w:rsid w:val="00AA31D0"/>
    <w:rsid w:val="00AB6EDB"/>
    <w:rsid w:val="00AC06EE"/>
    <w:rsid w:val="00AF2AC8"/>
    <w:rsid w:val="00AF5115"/>
    <w:rsid w:val="00B11BC8"/>
    <w:rsid w:val="00B14545"/>
    <w:rsid w:val="00B35F9A"/>
    <w:rsid w:val="00B71728"/>
    <w:rsid w:val="00B769DA"/>
    <w:rsid w:val="00B858BB"/>
    <w:rsid w:val="00BD21D2"/>
    <w:rsid w:val="00BE7032"/>
    <w:rsid w:val="00C32A86"/>
    <w:rsid w:val="00C35CA1"/>
    <w:rsid w:val="00C67792"/>
    <w:rsid w:val="00C94532"/>
    <w:rsid w:val="00D57D73"/>
    <w:rsid w:val="00DA0F6F"/>
    <w:rsid w:val="00E11AC5"/>
    <w:rsid w:val="00E22F66"/>
    <w:rsid w:val="00E87DA3"/>
    <w:rsid w:val="00EB77D8"/>
    <w:rsid w:val="00EF071B"/>
    <w:rsid w:val="00EF78BE"/>
    <w:rsid w:val="00F77D34"/>
    <w:rsid w:val="00F81B69"/>
    <w:rsid w:val="00FC0261"/>
    <w:rsid w:val="00FC318B"/>
    <w:rsid w:val="00FD63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72BF8-B1BD-43CE-BC85-395D293B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7D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B77D8"/>
    <w:pPr>
      <w:tabs>
        <w:tab w:val="center" w:pos="4252"/>
        <w:tab w:val="right" w:pos="8504"/>
      </w:tabs>
    </w:pPr>
  </w:style>
  <w:style w:type="character" w:customStyle="1" w:styleId="PiedepginaCar">
    <w:name w:val="Pie de página Car"/>
    <w:basedOn w:val="Fuentedeprrafopredeter"/>
    <w:link w:val="Piedepgina"/>
    <w:rsid w:val="00EB77D8"/>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B77D8"/>
  </w:style>
  <w:style w:type="paragraph" w:customStyle="1" w:styleId="Textoindependiente33">
    <w:name w:val="Texto independiente 33"/>
    <w:basedOn w:val="Normal"/>
    <w:rsid w:val="00EB77D8"/>
    <w:pPr>
      <w:spacing w:line="360" w:lineRule="auto"/>
      <w:jc w:val="both"/>
    </w:pPr>
    <w:rPr>
      <w:rFonts w:ascii="Arial" w:hAnsi="Arial"/>
    </w:rPr>
  </w:style>
  <w:style w:type="paragraph" w:customStyle="1" w:styleId="Prrafodelista1">
    <w:name w:val="Párrafo de lista1"/>
    <w:basedOn w:val="Normal"/>
    <w:rsid w:val="00EB77D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EB77D8"/>
    <w:pPr>
      <w:ind w:left="708"/>
    </w:pPr>
  </w:style>
  <w:style w:type="paragraph" w:styleId="Sinespaciado">
    <w:name w:val="No Spacing"/>
    <w:link w:val="SinespaciadoCar"/>
    <w:uiPriority w:val="1"/>
    <w:qFormat/>
    <w:rsid w:val="00EB77D8"/>
    <w:pPr>
      <w:spacing w:after="0" w:line="240" w:lineRule="auto"/>
    </w:pPr>
    <w:rPr>
      <w:lang w:val="es-ES_tradnl"/>
    </w:rPr>
  </w:style>
  <w:style w:type="paragraph" w:styleId="Textoindependiente">
    <w:name w:val="Body Text"/>
    <w:basedOn w:val="Normal"/>
    <w:link w:val="TextoindependienteCar"/>
    <w:uiPriority w:val="99"/>
    <w:unhideWhenUsed/>
    <w:rsid w:val="00EB77D8"/>
    <w:pPr>
      <w:spacing w:after="120"/>
    </w:pPr>
  </w:style>
  <w:style w:type="character" w:customStyle="1" w:styleId="TextoindependienteCar">
    <w:name w:val="Texto independiente Car"/>
    <w:basedOn w:val="Fuentedeprrafopredeter"/>
    <w:link w:val="Textoindependiente"/>
    <w:uiPriority w:val="99"/>
    <w:rsid w:val="00EB77D8"/>
    <w:rPr>
      <w:rFonts w:ascii="Times New Roman" w:eastAsia="Times New Roman" w:hAnsi="Times New Roman" w:cs="Times New Roman"/>
      <w:sz w:val="24"/>
      <w:szCs w:val="20"/>
      <w:lang w:val="es-ES_tradnl" w:eastAsia="es-ES"/>
    </w:rPr>
  </w:style>
  <w:style w:type="character" w:styleId="Refdenotaalpie">
    <w:name w:val="footnote reference"/>
    <w:aliases w:val="Texto de nota al pie"/>
    <w:semiHidden/>
    <w:rsid w:val="00EB77D8"/>
    <w:rPr>
      <w:vertAlign w:val="superscript"/>
    </w:rPr>
  </w:style>
  <w:style w:type="paragraph" w:styleId="Textonotapie">
    <w:name w:val="footnote text"/>
    <w:aliases w:val="Footnote Text Char Char Char Char Char,Footnote Text Char Char Char Char,Footnote reference,FA Fu,Footnote Text Char Char Char,FA Fu Car,texto de nota al pie,Footnote Text Char Char Char Char Char Char Char Char,ft"/>
    <w:basedOn w:val="Normal"/>
    <w:link w:val="TextonotapieCar1"/>
    <w:semiHidden/>
    <w:rsid w:val="00EB77D8"/>
    <w:pPr>
      <w:widowControl w:val="0"/>
    </w:pPr>
    <w:rPr>
      <w:rFonts w:ascii="Courier New" w:hAnsi="Courier New"/>
      <w:sz w:val="20"/>
    </w:rPr>
  </w:style>
  <w:style w:type="character" w:customStyle="1" w:styleId="TextonotapieCar">
    <w:name w:val="Texto nota pie Car"/>
    <w:basedOn w:val="Fuentedeprrafopredeter"/>
    <w:uiPriority w:val="99"/>
    <w:semiHidden/>
    <w:rsid w:val="00EB77D8"/>
    <w:rPr>
      <w:rFonts w:ascii="Times New Roman" w:eastAsia="Times New Roman" w:hAnsi="Times New Roman" w:cs="Times New Roman"/>
      <w:sz w:val="20"/>
      <w:szCs w:val="20"/>
      <w:lang w:val="es-ES_tradnl" w:eastAsia="es-ES"/>
    </w:rPr>
  </w:style>
  <w:style w:type="character" w:customStyle="1" w:styleId="TextonotapieCar1">
    <w:name w:val="Texto nota pie Car1"/>
    <w:aliases w:val="Footnote Text Char Char Char Char Char Car,Footnote Text Char Char Char Char Car,Footnote reference Car,FA Fu Car1,Footnote Text Char Char Char Car,FA Fu Car Car,texto de nota al pie Car,ft Car"/>
    <w:link w:val="Textonotapie"/>
    <w:semiHidden/>
    <w:locked/>
    <w:rsid w:val="00EB77D8"/>
    <w:rPr>
      <w:rFonts w:ascii="Courier New" w:eastAsia="Times New Roman" w:hAnsi="Courier New" w:cs="Times New Roman"/>
      <w:sz w:val="20"/>
      <w:szCs w:val="20"/>
      <w:lang w:val="es-ES_tradnl" w:eastAsia="es-ES"/>
    </w:rPr>
  </w:style>
  <w:style w:type="paragraph" w:customStyle="1" w:styleId="Textoindependiente21">
    <w:name w:val="Texto independiente 21"/>
    <w:basedOn w:val="Normal"/>
    <w:rsid w:val="00EB77D8"/>
    <w:pPr>
      <w:tabs>
        <w:tab w:val="left" w:pos="-720"/>
      </w:tabs>
      <w:suppressAutoHyphens/>
      <w:overflowPunct w:val="0"/>
      <w:autoSpaceDE w:val="0"/>
      <w:autoSpaceDN w:val="0"/>
      <w:adjustRightInd w:val="0"/>
      <w:spacing w:line="360" w:lineRule="auto"/>
      <w:ind w:right="567"/>
      <w:jc w:val="both"/>
      <w:textAlignment w:val="baseline"/>
    </w:pPr>
    <w:rPr>
      <w:rFonts w:ascii="Arial" w:hAnsi="Arial"/>
      <w:spacing w:val="-3"/>
    </w:rPr>
  </w:style>
  <w:style w:type="paragraph" w:styleId="Encabezado">
    <w:name w:val="header"/>
    <w:basedOn w:val="Normal"/>
    <w:link w:val="EncabezadoCar"/>
    <w:uiPriority w:val="99"/>
    <w:unhideWhenUsed/>
    <w:rsid w:val="00085330"/>
    <w:pPr>
      <w:tabs>
        <w:tab w:val="center" w:pos="4252"/>
        <w:tab w:val="right" w:pos="8504"/>
      </w:tabs>
    </w:pPr>
  </w:style>
  <w:style w:type="character" w:customStyle="1" w:styleId="EncabezadoCar">
    <w:name w:val="Encabezado Car"/>
    <w:basedOn w:val="Fuentedeprrafopredeter"/>
    <w:link w:val="Encabezado"/>
    <w:uiPriority w:val="99"/>
    <w:rsid w:val="00085330"/>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8D687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224916">
      <w:bodyDiv w:val="1"/>
      <w:marLeft w:val="0"/>
      <w:marRight w:val="0"/>
      <w:marTop w:val="0"/>
      <w:marBottom w:val="0"/>
      <w:divBdr>
        <w:top w:val="none" w:sz="0" w:space="0" w:color="auto"/>
        <w:left w:val="none" w:sz="0" w:space="0" w:color="auto"/>
        <w:bottom w:val="none" w:sz="0" w:space="0" w:color="auto"/>
        <w:right w:val="none" w:sz="0" w:space="0" w:color="auto"/>
      </w:divBdr>
    </w:div>
    <w:div w:id="18544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9</Pages>
  <Words>2963</Words>
  <Characters>16302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40</cp:revision>
  <dcterms:created xsi:type="dcterms:W3CDTF">2017-10-17T18:06:00Z</dcterms:created>
  <dcterms:modified xsi:type="dcterms:W3CDTF">2017-12-18T14:19:00Z</dcterms:modified>
</cp:coreProperties>
</file>