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989" w:rsidRPr="00A817A6" w:rsidRDefault="00FD7989" w:rsidP="00FD798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FD7989" w:rsidRPr="009275F8" w:rsidRDefault="00FD7989" w:rsidP="00FD7989">
      <w:pPr>
        <w:pStyle w:val="Sinespaciado"/>
        <w:rPr>
          <w:rFonts w:asciiTheme="minorHAnsi" w:hAnsiTheme="minorHAnsi"/>
          <w:sz w:val="18"/>
          <w:szCs w:val="18"/>
        </w:rPr>
      </w:pPr>
    </w:p>
    <w:p w:rsidR="00C40FE4" w:rsidRPr="00343D3C" w:rsidRDefault="00C40FE4" w:rsidP="00C40FE4">
      <w:pPr>
        <w:spacing w:line="360" w:lineRule="auto"/>
        <w:jc w:val="both"/>
        <w:rPr>
          <w:rFonts w:ascii="Arial Narrow" w:hAnsi="Arial Narrow" w:cs="Arial"/>
          <w:b/>
          <w:bCs/>
          <w:i/>
          <w:iCs/>
          <w:sz w:val="36"/>
          <w:szCs w:val="36"/>
          <w:u w:val="single"/>
        </w:rPr>
      </w:pPr>
      <w:r w:rsidRPr="00343D3C">
        <w:rPr>
          <w:rFonts w:ascii="Arial Narrow" w:hAnsi="Arial Narrow" w:cs="Arial"/>
          <w:b/>
          <w:bCs/>
          <w:i/>
          <w:iCs/>
          <w:sz w:val="36"/>
          <w:szCs w:val="36"/>
          <w:u w:val="single"/>
        </w:rPr>
        <w:t>ORALIDAD</w:t>
      </w:r>
    </w:p>
    <w:p w:rsidR="00C40FE4" w:rsidRPr="00343D3C" w:rsidRDefault="00C40FE4" w:rsidP="00C40FE4">
      <w:pPr>
        <w:jc w:val="both"/>
        <w:rPr>
          <w:rFonts w:ascii="Arial Narrow" w:hAnsi="Arial Narrow" w:cs="Arial"/>
          <w:sz w:val="20"/>
        </w:rPr>
      </w:pPr>
      <w:r w:rsidRPr="00343D3C">
        <w:rPr>
          <w:rFonts w:ascii="Arial Narrow" w:hAnsi="Arial Narrow" w:cs="Arial"/>
          <w:b/>
          <w:sz w:val="20"/>
        </w:rPr>
        <w:t>Providencia</w:t>
      </w:r>
      <w:r w:rsidRPr="00343D3C">
        <w:rPr>
          <w:rFonts w:ascii="Arial Narrow" w:hAnsi="Arial Narrow" w:cs="Arial"/>
          <w:sz w:val="20"/>
        </w:rPr>
        <w:t>:</w:t>
      </w:r>
      <w:r w:rsidRPr="00343D3C">
        <w:rPr>
          <w:rFonts w:ascii="Arial Narrow" w:hAnsi="Arial Narrow" w:cs="Arial"/>
          <w:b/>
          <w:sz w:val="20"/>
        </w:rPr>
        <w:t xml:space="preserve"> </w:t>
      </w:r>
      <w:r w:rsidRPr="00343D3C">
        <w:rPr>
          <w:rFonts w:ascii="Arial Narrow" w:hAnsi="Arial Narrow" w:cs="Arial"/>
          <w:sz w:val="20"/>
        </w:rPr>
        <w:tab/>
      </w:r>
      <w:r w:rsidRPr="00343D3C">
        <w:rPr>
          <w:rFonts w:ascii="Arial Narrow" w:hAnsi="Arial Narrow" w:cs="Arial"/>
          <w:sz w:val="20"/>
        </w:rPr>
        <w:tab/>
        <w:t>Sentencia de Segunda Instancia, jueves 19 de octubre de 2017</w:t>
      </w:r>
    </w:p>
    <w:p w:rsidR="00C40FE4" w:rsidRPr="00343D3C" w:rsidRDefault="00C40FE4" w:rsidP="00C40FE4">
      <w:pPr>
        <w:jc w:val="both"/>
        <w:rPr>
          <w:rFonts w:ascii="Arial Narrow" w:hAnsi="Arial Narrow" w:cs="Arial"/>
          <w:bCs/>
          <w:sz w:val="20"/>
        </w:rPr>
      </w:pPr>
      <w:r w:rsidRPr="00343D3C">
        <w:rPr>
          <w:rFonts w:ascii="Arial Narrow" w:hAnsi="Arial Narrow" w:cs="Arial"/>
          <w:b/>
          <w:bCs/>
          <w:sz w:val="20"/>
        </w:rPr>
        <w:t>Radicación No</w:t>
      </w:r>
      <w:r w:rsidRPr="00343D3C">
        <w:rPr>
          <w:rFonts w:ascii="Arial Narrow" w:hAnsi="Arial Narrow" w:cs="Arial"/>
          <w:bCs/>
          <w:sz w:val="20"/>
        </w:rPr>
        <w:t>:</w:t>
      </w:r>
      <w:r w:rsidRPr="00343D3C">
        <w:rPr>
          <w:rFonts w:ascii="Arial Narrow" w:hAnsi="Arial Narrow" w:cs="Arial"/>
          <w:b/>
          <w:bCs/>
          <w:sz w:val="20"/>
        </w:rPr>
        <w:t xml:space="preserve"> </w:t>
      </w:r>
      <w:r w:rsidRPr="00343D3C">
        <w:rPr>
          <w:rFonts w:ascii="Arial Narrow" w:hAnsi="Arial Narrow" w:cs="Arial"/>
          <w:b/>
          <w:bCs/>
          <w:sz w:val="20"/>
        </w:rPr>
        <w:tab/>
        <w:t xml:space="preserve">      </w:t>
      </w:r>
      <w:r w:rsidRPr="00343D3C">
        <w:rPr>
          <w:rFonts w:ascii="Arial Narrow" w:hAnsi="Arial Narrow" w:cs="Arial"/>
          <w:b/>
          <w:bCs/>
          <w:sz w:val="20"/>
        </w:rPr>
        <w:tab/>
      </w:r>
      <w:r w:rsidRPr="00343D3C">
        <w:rPr>
          <w:rFonts w:ascii="Arial Narrow" w:hAnsi="Arial Narrow" w:cs="Arial"/>
          <w:bCs/>
          <w:sz w:val="20"/>
        </w:rPr>
        <w:t xml:space="preserve">66001-31-05-002-2013-00126-01 </w:t>
      </w:r>
    </w:p>
    <w:p w:rsidR="00C40FE4" w:rsidRPr="00343D3C" w:rsidRDefault="00C40FE4" w:rsidP="00C40FE4">
      <w:pPr>
        <w:jc w:val="both"/>
        <w:rPr>
          <w:rFonts w:ascii="Arial Narrow" w:hAnsi="Arial Narrow" w:cs="Arial"/>
          <w:iCs/>
          <w:sz w:val="20"/>
        </w:rPr>
      </w:pPr>
      <w:r w:rsidRPr="00343D3C">
        <w:rPr>
          <w:rFonts w:ascii="Arial Narrow" w:hAnsi="Arial Narrow" w:cs="Arial"/>
          <w:b/>
          <w:bCs/>
          <w:iCs/>
          <w:sz w:val="20"/>
        </w:rPr>
        <w:t>Proceso</w:t>
      </w:r>
      <w:r w:rsidRPr="00343D3C">
        <w:rPr>
          <w:rFonts w:ascii="Arial Narrow" w:hAnsi="Arial Narrow" w:cs="Arial"/>
          <w:bCs/>
          <w:iCs/>
          <w:sz w:val="20"/>
        </w:rPr>
        <w:t>:</w:t>
      </w:r>
      <w:r w:rsidRPr="00343D3C">
        <w:rPr>
          <w:rFonts w:ascii="Arial Narrow" w:hAnsi="Arial Narrow" w:cs="Arial"/>
          <w:iCs/>
          <w:sz w:val="20"/>
        </w:rPr>
        <w:t xml:space="preserve"> </w:t>
      </w:r>
      <w:r w:rsidRPr="00343D3C">
        <w:rPr>
          <w:rFonts w:ascii="Arial Narrow" w:hAnsi="Arial Narrow" w:cs="Arial"/>
          <w:b/>
          <w:iCs/>
          <w:sz w:val="20"/>
        </w:rPr>
        <w:tab/>
      </w:r>
      <w:r w:rsidRPr="00343D3C">
        <w:rPr>
          <w:rFonts w:ascii="Arial Narrow" w:hAnsi="Arial Narrow" w:cs="Arial"/>
          <w:b/>
          <w:iCs/>
          <w:sz w:val="20"/>
        </w:rPr>
        <w:tab/>
      </w:r>
      <w:r w:rsidRPr="00343D3C">
        <w:rPr>
          <w:rFonts w:ascii="Arial Narrow" w:hAnsi="Arial Narrow" w:cs="Arial"/>
          <w:iCs/>
          <w:sz w:val="20"/>
        </w:rPr>
        <w:t>Ordinario Laboral</w:t>
      </w:r>
    </w:p>
    <w:p w:rsidR="00C40FE4" w:rsidRPr="00343D3C" w:rsidRDefault="00C40FE4" w:rsidP="00C40FE4">
      <w:pPr>
        <w:ind w:firstLine="6"/>
        <w:jc w:val="both"/>
        <w:rPr>
          <w:rFonts w:ascii="Arial Narrow" w:hAnsi="Arial Narrow" w:cs="Arial"/>
          <w:iCs/>
          <w:sz w:val="20"/>
        </w:rPr>
      </w:pPr>
      <w:r w:rsidRPr="00343D3C">
        <w:rPr>
          <w:rFonts w:ascii="Arial Narrow" w:hAnsi="Arial Narrow" w:cs="Arial"/>
          <w:b/>
          <w:iCs/>
          <w:sz w:val="20"/>
        </w:rPr>
        <w:t>Demandante</w:t>
      </w:r>
      <w:r w:rsidRPr="00343D3C">
        <w:rPr>
          <w:rFonts w:ascii="Arial Narrow" w:hAnsi="Arial Narrow" w:cs="Arial"/>
          <w:iCs/>
          <w:sz w:val="20"/>
        </w:rPr>
        <w:t xml:space="preserve">:     </w:t>
      </w:r>
      <w:r w:rsidRPr="00343D3C">
        <w:rPr>
          <w:rFonts w:ascii="Arial Narrow" w:hAnsi="Arial Narrow" w:cs="Arial"/>
          <w:iCs/>
          <w:sz w:val="20"/>
        </w:rPr>
        <w:tab/>
      </w:r>
      <w:r w:rsidRPr="00343D3C">
        <w:rPr>
          <w:rFonts w:ascii="Arial Narrow" w:hAnsi="Arial Narrow" w:cs="Arial"/>
          <w:iCs/>
          <w:sz w:val="20"/>
        </w:rPr>
        <w:tab/>
        <w:t>Blanca Mary Var</w:t>
      </w:r>
      <w:r w:rsidR="00D2685F" w:rsidRPr="00343D3C">
        <w:rPr>
          <w:rFonts w:ascii="Arial Narrow" w:hAnsi="Arial Narrow" w:cs="Arial"/>
          <w:iCs/>
          <w:sz w:val="20"/>
        </w:rPr>
        <w:t>ó</w:t>
      </w:r>
      <w:r w:rsidRPr="00343D3C">
        <w:rPr>
          <w:rFonts w:ascii="Arial Narrow" w:hAnsi="Arial Narrow" w:cs="Arial"/>
          <w:iCs/>
          <w:sz w:val="20"/>
        </w:rPr>
        <w:t xml:space="preserve">n Loaiza </w:t>
      </w:r>
    </w:p>
    <w:p w:rsidR="00C40FE4" w:rsidRPr="00343D3C" w:rsidRDefault="00C40FE4" w:rsidP="00C40FE4">
      <w:pPr>
        <w:ind w:firstLine="6"/>
        <w:jc w:val="both"/>
        <w:rPr>
          <w:rFonts w:ascii="Arial Narrow" w:hAnsi="Arial Narrow" w:cs="Arial"/>
          <w:bCs/>
          <w:sz w:val="20"/>
        </w:rPr>
      </w:pPr>
      <w:r w:rsidRPr="00343D3C">
        <w:rPr>
          <w:rFonts w:ascii="Arial Narrow" w:hAnsi="Arial Narrow" w:cs="Arial"/>
          <w:b/>
          <w:bCs/>
          <w:sz w:val="20"/>
        </w:rPr>
        <w:t>Demandado:</w:t>
      </w:r>
      <w:r w:rsidRPr="00343D3C">
        <w:rPr>
          <w:rFonts w:ascii="Arial Narrow" w:hAnsi="Arial Narrow" w:cs="Arial"/>
          <w:bCs/>
          <w:sz w:val="20"/>
        </w:rPr>
        <w:t xml:space="preserve">            </w:t>
      </w:r>
      <w:r w:rsidRPr="00343D3C">
        <w:rPr>
          <w:rFonts w:ascii="Arial Narrow" w:hAnsi="Arial Narrow" w:cs="Arial"/>
          <w:bCs/>
          <w:sz w:val="20"/>
        </w:rPr>
        <w:tab/>
        <w:t xml:space="preserve">Colpensiones </w:t>
      </w:r>
    </w:p>
    <w:p w:rsidR="00C40FE4" w:rsidRPr="00343D3C" w:rsidRDefault="00C40FE4" w:rsidP="00C40FE4">
      <w:pPr>
        <w:jc w:val="both"/>
        <w:rPr>
          <w:rFonts w:ascii="Arial Narrow" w:hAnsi="Arial Narrow" w:cs="Arial"/>
          <w:sz w:val="20"/>
        </w:rPr>
      </w:pPr>
      <w:r w:rsidRPr="00343D3C">
        <w:rPr>
          <w:rFonts w:ascii="Arial Narrow" w:hAnsi="Arial Narrow" w:cs="Arial"/>
          <w:b/>
          <w:sz w:val="20"/>
        </w:rPr>
        <w:t>Juzgado de origen</w:t>
      </w:r>
      <w:r w:rsidRPr="00343D3C">
        <w:rPr>
          <w:rFonts w:ascii="Arial Narrow" w:hAnsi="Arial Narrow" w:cs="Arial"/>
          <w:sz w:val="20"/>
        </w:rPr>
        <w:t xml:space="preserve">:     </w:t>
      </w:r>
      <w:r w:rsidRPr="00343D3C">
        <w:rPr>
          <w:rFonts w:ascii="Arial Narrow" w:hAnsi="Arial Narrow" w:cs="Arial"/>
          <w:sz w:val="20"/>
        </w:rPr>
        <w:tab/>
        <w:t>Segundo Laboral del Circuito de Pereira.</w:t>
      </w:r>
    </w:p>
    <w:p w:rsidR="00C40FE4" w:rsidRDefault="00C40FE4" w:rsidP="00C40FE4">
      <w:pPr>
        <w:jc w:val="both"/>
        <w:rPr>
          <w:rFonts w:ascii="Arial Narrow" w:hAnsi="Arial Narrow" w:cs="Arial"/>
          <w:iCs/>
          <w:sz w:val="20"/>
        </w:rPr>
      </w:pPr>
      <w:r w:rsidRPr="00343D3C">
        <w:rPr>
          <w:rFonts w:ascii="Arial Narrow" w:hAnsi="Arial Narrow" w:cs="Arial"/>
          <w:b/>
          <w:iCs/>
          <w:sz w:val="20"/>
        </w:rPr>
        <w:t xml:space="preserve">Magistrado Ponente:     </w:t>
      </w:r>
      <w:r w:rsidRPr="00343D3C">
        <w:rPr>
          <w:rFonts w:ascii="Arial Narrow" w:hAnsi="Arial Narrow" w:cs="Arial"/>
          <w:b/>
          <w:iCs/>
          <w:sz w:val="20"/>
        </w:rPr>
        <w:tab/>
      </w:r>
      <w:r w:rsidRPr="00343D3C">
        <w:rPr>
          <w:rFonts w:ascii="Arial Narrow" w:hAnsi="Arial Narrow" w:cs="Arial"/>
          <w:iCs/>
          <w:sz w:val="20"/>
        </w:rPr>
        <w:t>Francisco Javier Tamayo Tabares</w:t>
      </w:r>
    </w:p>
    <w:p w:rsidR="00577813" w:rsidRPr="00343D3C" w:rsidRDefault="00577813" w:rsidP="00C40FE4">
      <w:pPr>
        <w:jc w:val="both"/>
        <w:rPr>
          <w:rFonts w:ascii="Arial Narrow" w:hAnsi="Arial Narrow" w:cs="Arial"/>
          <w:b/>
          <w:iCs/>
          <w:sz w:val="20"/>
        </w:rPr>
      </w:pPr>
    </w:p>
    <w:p w:rsidR="00C40FE4" w:rsidRPr="00577813" w:rsidRDefault="00C40FE4" w:rsidP="00C40FE4">
      <w:pPr>
        <w:autoSpaceDE w:val="0"/>
        <w:autoSpaceDN w:val="0"/>
        <w:adjustRightInd w:val="0"/>
        <w:ind w:left="2127" w:hanging="2127"/>
        <w:jc w:val="both"/>
        <w:rPr>
          <w:rFonts w:ascii="Arial" w:hAnsi="Arial" w:cs="Arial"/>
          <w:sz w:val="36"/>
          <w:szCs w:val="29"/>
          <w:highlight w:val="yellow"/>
          <w:lang w:val="es-ES"/>
        </w:rPr>
      </w:pPr>
      <w:r w:rsidRPr="00577813">
        <w:rPr>
          <w:rFonts w:ascii="Arial" w:hAnsi="Arial" w:cs="Arial"/>
          <w:b/>
          <w:bCs/>
          <w:sz w:val="20"/>
        </w:rPr>
        <w:t xml:space="preserve">Tema a tratar: </w:t>
      </w:r>
      <w:r w:rsidRPr="00577813">
        <w:rPr>
          <w:rFonts w:ascii="Arial" w:hAnsi="Arial" w:cs="Arial"/>
          <w:b/>
          <w:bCs/>
          <w:sz w:val="20"/>
        </w:rPr>
        <w:tab/>
      </w:r>
      <w:r w:rsidRPr="00577813">
        <w:rPr>
          <w:rFonts w:ascii="Arial" w:hAnsi="Arial" w:cs="Arial"/>
          <w:b/>
          <w:bCs/>
          <w:sz w:val="20"/>
          <w:szCs w:val="18"/>
        </w:rPr>
        <w:t xml:space="preserve">Pensión de sobrevivientes. Carga probatoria. </w:t>
      </w:r>
      <w:r w:rsidR="00AC4921" w:rsidRPr="00577813">
        <w:rPr>
          <w:rFonts w:ascii="Arial" w:hAnsi="Arial" w:cs="Arial"/>
          <w:bCs/>
          <w:sz w:val="20"/>
          <w:szCs w:val="18"/>
        </w:rPr>
        <w:t xml:space="preserve">La </w:t>
      </w:r>
      <w:r w:rsidRPr="00577813">
        <w:rPr>
          <w:rFonts w:ascii="Arial" w:hAnsi="Arial" w:cs="Arial"/>
          <w:bCs/>
          <w:sz w:val="20"/>
          <w:szCs w:val="18"/>
        </w:rPr>
        <w:t>labor que debe desplegar quien alegue tener la vocación a la pensión por sobrevivencia, no es otra que la de demostrar de manera clara que convivió, en los términos antes anotados, con el afiliado o pensionado, de manera ininterrumpida, por el lapso mínimo de cinco año</w:t>
      </w:r>
      <w:r w:rsidR="00AC4921" w:rsidRPr="00577813">
        <w:rPr>
          <w:rFonts w:ascii="Arial" w:hAnsi="Arial" w:cs="Arial"/>
          <w:bCs/>
          <w:sz w:val="20"/>
          <w:szCs w:val="18"/>
        </w:rPr>
        <w:t>s anteriores al deceso</w:t>
      </w:r>
      <w:r w:rsidRPr="00577813">
        <w:rPr>
          <w:rFonts w:ascii="Arial" w:hAnsi="Arial" w:cs="Arial"/>
          <w:bCs/>
          <w:sz w:val="20"/>
          <w:szCs w:val="18"/>
        </w:rPr>
        <w:t xml:space="preserve">.  Y como la norma exige convivencia, no importa si se dio en el marco de una relación matrimonial o una relación de hecho, pues ambas tienen igual tratamiento por la ley, pudiendo incluso darse la convivencia una parte, en el marco de una unión de hecho y otra por vínculos jurídicos o viceversa.  </w:t>
      </w:r>
    </w:p>
    <w:p w:rsidR="00C40FE4" w:rsidRDefault="00C40FE4" w:rsidP="00577813">
      <w:pPr>
        <w:pStyle w:val="Sinespaciado"/>
        <w:spacing w:line="360" w:lineRule="auto"/>
        <w:rPr>
          <w:rFonts w:ascii="Arial" w:hAnsi="Arial" w:cs="Arial"/>
        </w:rPr>
      </w:pPr>
    </w:p>
    <w:p w:rsidR="00577813" w:rsidRDefault="00577813" w:rsidP="00577813">
      <w:pPr>
        <w:pStyle w:val="Sinespaciado"/>
        <w:spacing w:line="360" w:lineRule="auto"/>
        <w:rPr>
          <w:rFonts w:ascii="Arial" w:hAnsi="Arial" w:cs="Arial"/>
        </w:rPr>
      </w:pPr>
    </w:p>
    <w:p w:rsidR="00577813" w:rsidRPr="00046D48" w:rsidRDefault="00577813" w:rsidP="00577813">
      <w:pPr>
        <w:shd w:val="clear" w:color="auto" w:fill="000000"/>
        <w:ind w:right="-60" w:firstLine="6"/>
        <w:jc w:val="both"/>
        <w:rPr>
          <w:rFonts w:ascii="Arial" w:hAnsi="Arial" w:cs="Arial"/>
          <w:b/>
          <w:color w:val="FFFFFF"/>
        </w:rPr>
      </w:pPr>
      <w:r w:rsidRPr="00046D48">
        <w:rPr>
          <w:rFonts w:ascii="Arial" w:hAnsi="Arial" w:cs="Arial"/>
          <w:b/>
          <w:color w:val="FFFFFF"/>
        </w:rPr>
        <w:t>LA SALA DE CASACIÓN LABORAL DE LA CORTE SUPREMA DE JUSTICIA, MEDIANTE SENTENCIA SL</w:t>
      </w:r>
      <w:r>
        <w:rPr>
          <w:rFonts w:ascii="Arial" w:hAnsi="Arial" w:cs="Arial"/>
          <w:b/>
          <w:color w:val="FFFFFF"/>
        </w:rPr>
        <w:t>4</w:t>
      </w:r>
      <w:r w:rsidR="00882E71">
        <w:rPr>
          <w:rFonts w:ascii="Arial" w:hAnsi="Arial" w:cs="Arial"/>
          <w:b/>
          <w:color w:val="FFFFFF"/>
        </w:rPr>
        <w:t>409</w:t>
      </w:r>
      <w:r w:rsidRPr="00046D48">
        <w:rPr>
          <w:rFonts w:ascii="Arial" w:hAnsi="Arial" w:cs="Arial"/>
          <w:b/>
          <w:color w:val="FFFFFF"/>
        </w:rPr>
        <w:t>-</w:t>
      </w:r>
      <w:r>
        <w:rPr>
          <w:rFonts w:ascii="Arial" w:hAnsi="Arial" w:cs="Arial"/>
          <w:b/>
          <w:color w:val="FFFFFF"/>
        </w:rPr>
        <w:t>2020</w:t>
      </w:r>
      <w:r w:rsidRPr="00046D48">
        <w:rPr>
          <w:rFonts w:ascii="Arial" w:hAnsi="Arial" w:cs="Arial"/>
          <w:b/>
          <w:color w:val="FFFFFF"/>
        </w:rPr>
        <w:t xml:space="preserve">, RADICACIÓN </w:t>
      </w:r>
      <w:proofErr w:type="spellStart"/>
      <w:r w:rsidRPr="00046D48">
        <w:rPr>
          <w:rFonts w:ascii="Arial" w:hAnsi="Arial" w:cs="Arial"/>
          <w:b/>
          <w:color w:val="FFFFFF"/>
        </w:rPr>
        <w:t>Nº</w:t>
      </w:r>
      <w:proofErr w:type="spellEnd"/>
      <w:r w:rsidRPr="00046D48">
        <w:rPr>
          <w:rFonts w:ascii="Arial" w:hAnsi="Arial" w:cs="Arial"/>
          <w:b/>
          <w:color w:val="FFFFFF"/>
        </w:rPr>
        <w:t xml:space="preserve"> </w:t>
      </w:r>
      <w:r w:rsidR="00882E71">
        <w:rPr>
          <w:rFonts w:ascii="Arial" w:hAnsi="Arial" w:cs="Arial"/>
          <w:b/>
          <w:color w:val="FFFFFF"/>
        </w:rPr>
        <w:t>80307</w:t>
      </w:r>
      <w:r w:rsidRPr="00046D48">
        <w:rPr>
          <w:rFonts w:ascii="Arial" w:hAnsi="Arial" w:cs="Arial"/>
          <w:b/>
          <w:color w:val="FFFFFF"/>
        </w:rPr>
        <w:t xml:space="preserve">, DE FECHA </w:t>
      </w:r>
      <w:r w:rsidR="00882E71">
        <w:rPr>
          <w:rFonts w:ascii="Arial" w:hAnsi="Arial" w:cs="Arial"/>
          <w:b/>
          <w:color w:val="FFFFFF"/>
        </w:rPr>
        <w:t>11</w:t>
      </w:r>
      <w:r>
        <w:rPr>
          <w:rFonts w:ascii="Arial" w:hAnsi="Arial" w:cs="Arial"/>
          <w:b/>
          <w:color w:val="FFFFFF"/>
        </w:rPr>
        <w:t xml:space="preserve"> DE </w:t>
      </w:r>
      <w:r w:rsidR="00882E71">
        <w:rPr>
          <w:rFonts w:ascii="Arial" w:hAnsi="Arial" w:cs="Arial"/>
          <w:b/>
          <w:color w:val="FFFFFF"/>
        </w:rPr>
        <w:t xml:space="preserve">NOVIEMBRE </w:t>
      </w:r>
      <w:r w:rsidRPr="00046D48">
        <w:rPr>
          <w:rFonts w:ascii="Arial" w:hAnsi="Arial" w:cs="Arial"/>
          <w:b/>
          <w:color w:val="FFFFFF"/>
        </w:rPr>
        <w:t xml:space="preserve">DE </w:t>
      </w:r>
      <w:r>
        <w:rPr>
          <w:rFonts w:ascii="Arial" w:hAnsi="Arial" w:cs="Arial"/>
          <w:b/>
          <w:color w:val="FFFFFF"/>
        </w:rPr>
        <w:t>2020</w:t>
      </w:r>
      <w:r w:rsidRPr="00046D48">
        <w:rPr>
          <w:rFonts w:ascii="Arial" w:hAnsi="Arial" w:cs="Arial"/>
          <w:b/>
          <w:color w:val="FFFFFF"/>
        </w:rPr>
        <w:t xml:space="preserve">, QUE PUEDE SER CONSULTADA EN LA PÁGINA WEB DE DICHA CORPORACIÓN, CASÓ EL PRESENTE FALLO Y “EN SEDE DE INSTANCIA” </w:t>
      </w:r>
      <w:r>
        <w:rPr>
          <w:rFonts w:ascii="Arial" w:hAnsi="Arial" w:cs="Arial"/>
          <w:b/>
          <w:color w:val="FFFFFF"/>
        </w:rPr>
        <w:t>REVOC</w:t>
      </w:r>
      <w:r w:rsidRPr="00046D48">
        <w:rPr>
          <w:rFonts w:ascii="Arial" w:hAnsi="Arial" w:cs="Arial"/>
          <w:b/>
          <w:color w:val="FFFFFF"/>
        </w:rPr>
        <w:t xml:space="preserve">Ó LA SENTENCIA PROFERIDA EL </w:t>
      </w:r>
      <w:r w:rsidR="00882E71">
        <w:rPr>
          <w:rFonts w:ascii="Arial" w:hAnsi="Arial" w:cs="Arial"/>
          <w:b/>
          <w:color w:val="FFFFFF"/>
        </w:rPr>
        <w:t xml:space="preserve">14 DE OCTUBRE </w:t>
      </w:r>
      <w:r w:rsidRPr="00046D48">
        <w:rPr>
          <w:rFonts w:ascii="Arial" w:hAnsi="Arial" w:cs="Arial"/>
          <w:b/>
          <w:color w:val="FFFFFF"/>
        </w:rPr>
        <w:t>DE 201</w:t>
      </w:r>
      <w:r w:rsidR="00882E71">
        <w:rPr>
          <w:rFonts w:ascii="Arial" w:hAnsi="Arial" w:cs="Arial"/>
          <w:b/>
          <w:color w:val="FFFFFF"/>
        </w:rPr>
        <w:t>6</w:t>
      </w:r>
      <w:r w:rsidRPr="00046D48">
        <w:rPr>
          <w:rFonts w:ascii="Arial" w:hAnsi="Arial" w:cs="Arial"/>
          <w:b/>
          <w:color w:val="FFFFFF"/>
        </w:rPr>
        <w:t xml:space="preserve"> POR EL JUZGADO </w:t>
      </w:r>
      <w:r>
        <w:rPr>
          <w:rFonts w:ascii="Arial" w:hAnsi="Arial" w:cs="Arial"/>
          <w:b/>
          <w:color w:val="FFFFFF"/>
        </w:rPr>
        <w:t xml:space="preserve">SEGUNDO </w:t>
      </w:r>
      <w:r w:rsidRPr="00046D48">
        <w:rPr>
          <w:rFonts w:ascii="Arial" w:hAnsi="Arial" w:cs="Arial"/>
          <w:b/>
          <w:color w:val="FFFFFF"/>
        </w:rPr>
        <w:t>LABORAL DEL CIRCUITO DE LA CIUDAD</w:t>
      </w:r>
      <w:r>
        <w:rPr>
          <w:rFonts w:ascii="Arial" w:hAnsi="Arial" w:cs="Arial"/>
          <w:b/>
          <w:color w:val="FFFFFF"/>
        </w:rPr>
        <w:t xml:space="preserve"> Y, EN SU LUGAR, ABSOLVIÓ A COLPENSIONES DE TODAS LAS </w:t>
      </w:r>
      <w:r w:rsidRPr="00046D48">
        <w:rPr>
          <w:rFonts w:ascii="Arial" w:hAnsi="Arial" w:cs="Arial"/>
          <w:b/>
          <w:color w:val="FFFFFF"/>
        </w:rPr>
        <w:t>PRETENSIONES.</w:t>
      </w:r>
    </w:p>
    <w:p w:rsidR="00577813" w:rsidRPr="00577813" w:rsidRDefault="00577813" w:rsidP="00577813">
      <w:pPr>
        <w:pStyle w:val="Sinespaciado"/>
        <w:spacing w:line="360" w:lineRule="auto"/>
        <w:rPr>
          <w:rFonts w:ascii="Arial" w:hAnsi="Arial" w:cs="Arial"/>
        </w:rPr>
      </w:pPr>
    </w:p>
    <w:p w:rsidR="00577813" w:rsidRPr="00577813" w:rsidRDefault="00577813" w:rsidP="00577813">
      <w:pPr>
        <w:pStyle w:val="Sinespaciado"/>
        <w:spacing w:line="360" w:lineRule="auto"/>
        <w:rPr>
          <w:rFonts w:ascii="Arial" w:hAnsi="Arial" w:cs="Arial"/>
        </w:rPr>
      </w:pPr>
    </w:p>
    <w:p w:rsidR="00577813" w:rsidRPr="00577813" w:rsidRDefault="00577813" w:rsidP="00577813">
      <w:pPr>
        <w:tabs>
          <w:tab w:val="left" w:pos="3105"/>
        </w:tabs>
        <w:spacing w:line="288" w:lineRule="auto"/>
        <w:ind w:left="1418" w:hanging="1418"/>
        <w:jc w:val="center"/>
        <w:rPr>
          <w:rFonts w:ascii="Arial" w:eastAsia="Calibri" w:hAnsi="Arial" w:cs="Arial"/>
          <w:b/>
          <w:szCs w:val="24"/>
          <w:lang w:val="es-ES" w:eastAsia="en-US"/>
        </w:rPr>
      </w:pPr>
      <w:r w:rsidRPr="00577813">
        <w:rPr>
          <w:rFonts w:ascii="Arial" w:eastAsia="Calibri" w:hAnsi="Arial" w:cs="Arial"/>
          <w:b/>
          <w:szCs w:val="24"/>
          <w:lang w:val="es-ES"/>
        </w:rPr>
        <w:t>REPÚBLICA DE COLOMBIA</w:t>
      </w:r>
    </w:p>
    <w:p w:rsidR="00577813" w:rsidRPr="00577813" w:rsidRDefault="00577813" w:rsidP="00577813">
      <w:pPr>
        <w:tabs>
          <w:tab w:val="left" w:pos="3060"/>
        </w:tabs>
        <w:spacing w:line="288" w:lineRule="auto"/>
        <w:jc w:val="center"/>
        <w:rPr>
          <w:rFonts w:ascii="Arial" w:eastAsia="Calibri" w:hAnsi="Arial" w:cs="Arial"/>
          <w:b/>
          <w:szCs w:val="24"/>
          <w:lang w:val="es-ES"/>
        </w:rPr>
      </w:pPr>
      <w:r w:rsidRPr="00577813">
        <w:rPr>
          <w:rFonts w:ascii="Arial" w:eastAsia="Calibri" w:hAnsi="Arial" w:cs="Arial"/>
          <w:b/>
          <w:noProof/>
          <w:szCs w:val="24"/>
          <w:lang w:val="es-ES"/>
        </w:rPr>
        <w:drawing>
          <wp:inline distT="0" distB="0" distL="0" distR="0">
            <wp:extent cx="862330" cy="8883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330" cy="888365"/>
                    </a:xfrm>
                    <a:prstGeom prst="rect">
                      <a:avLst/>
                    </a:prstGeom>
                    <a:noFill/>
                    <a:ln>
                      <a:noFill/>
                    </a:ln>
                  </pic:spPr>
                </pic:pic>
              </a:graphicData>
            </a:graphic>
          </wp:inline>
        </w:drawing>
      </w:r>
      <w:r w:rsidRPr="00577813">
        <w:rPr>
          <w:rFonts w:ascii="Arial" w:eastAsia="Calibri" w:hAnsi="Arial" w:cs="Arial"/>
          <w:b/>
          <w:szCs w:val="24"/>
          <w:lang w:val="es-ES"/>
        </w:rPr>
        <w:br w:type="textWrapping" w:clear="all"/>
        <w:t>TRIBUNAL SUPERIOR DE DISTRITO JUDICIAL DE PEREIRA</w:t>
      </w:r>
    </w:p>
    <w:p w:rsidR="00577813" w:rsidRPr="00577813" w:rsidRDefault="00577813" w:rsidP="00577813">
      <w:pPr>
        <w:keepNext/>
        <w:spacing w:line="288" w:lineRule="auto"/>
        <w:jc w:val="center"/>
        <w:outlineLvl w:val="0"/>
        <w:rPr>
          <w:rFonts w:ascii="Arial" w:eastAsia="Calibri" w:hAnsi="Arial" w:cs="Arial"/>
          <w:b/>
          <w:bCs/>
          <w:kern w:val="32"/>
          <w:szCs w:val="24"/>
          <w:lang w:val="es-ES"/>
        </w:rPr>
      </w:pPr>
      <w:r w:rsidRPr="00577813">
        <w:rPr>
          <w:rFonts w:ascii="Arial" w:eastAsia="Calibri" w:hAnsi="Arial" w:cs="Arial"/>
          <w:b/>
          <w:bCs/>
          <w:kern w:val="32"/>
          <w:szCs w:val="24"/>
          <w:lang w:val="es-ES"/>
        </w:rPr>
        <w:t>SALA CUARTA DE DECISIÓN LABORAL</w:t>
      </w:r>
    </w:p>
    <w:p w:rsidR="00577813" w:rsidRPr="00577813" w:rsidRDefault="00577813" w:rsidP="00577813">
      <w:pPr>
        <w:tabs>
          <w:tab w:val="left" w:pos="1560"/>
        </w:tabs>
        <w:spacing w:line="288" w:lineRule="auto"/>
        <w:ind w:left="1560" w:hanging="1560"/>
        <w:jc w:val="both"/>
        <w:rPr>
          <w:rFonts w:ascii="Arial" w:eastAsia="Calibri" w:hAnsi="Arial" w:cs="Arial"/>
          <w:szCs w:val="24"/>
          <w:lang w:val="es-ES"/>
        </w:rPr>
      </w:pPr>
    </w:p>
    <w:p w:rsidR="00577813" w:rsidRPr="00577813" w:rsidRDefault="00577813" w:rsidP="00577813">
      <w:pPr>
        <w:spacing w:line="288" w:lineRule="auto"/>
        <w:ind w:left="1440" w:hanging="589"/>
        <w:jc w:val="center"/>
        <w:rPr>
          <w:rFonts w:ascii="Arial" w:eastAsia="Calibri" w:hAnsi="Arial" w:cs="Arial"/>
          <w:b/>
          <w:bCs/>
          <w:szCs w:val="24"/>
          <w:u w:val="single"/>
          <w:lang w:val="es-ES"/>
        </w:rPr>
      </w:pPr>
      <w:r w:rsidRPr="00577813">
        <w:rPr>
          <w:rFonts w:ascii="Arial" w:eastAsia="Calibri" w:hAnsi="Arial" w:cs="Arial"/>
          <w:szCs w:val="24"/>
          <w:lang w:val="es-ES"/>
        </w:rPr>
        <w:t>Magistrado Ponente:</w:t>
      </w:r>
      <w:r w:rsidRPr="00577813">
        <w:rPr>
          <w:rFonts w:ascii="Arial" w:eastAsia="Calibri" w:hAnsi="Arial" w:cs="Arial"/>
          <w:b/>
          <w:szCs w:val="24"/>
          <w:lang w:val="es-ES"/>
        </w:rPr>
        <w:t xml:space="preserve"> </w:t>
      </w:r>
      <w:r w:rsidRPr="00577813">
        <w:rPr>
          <w:rFonts w:ascii="Arial" w:eastAsia="Calibri" w:hAnsi="Arial" w:cs="Arial"/>
          <w:b/>
          <w:bCs/>
          <w:szCs w:val="24"/>
          <w:lang w:val="es-ES"/>
        </w:rPr>
        <w:t>FRANCISCO JAVIER TAMAYO TABARES</w:t>
      </w:r>
    </w:p>
    <w:p w:rsidR="00C40FE4" w:rsidRPr="00577813" w:rsidRDefault="00C40FE4" w:rsidP="00577813">
      <w:pPr>
        <w:pStyle w:val="Sinespaciado"/>
        <w:spacing w:line="288" w:lineRule="auto"/>
        <w:rPr>
          <w:rFonts w:ascii="Arial" w:hAnsi="Arial" w:cs="Arial"/>
          <w:szCs w:val="24"/>
        </w:rPr>
      </w:pPr>
    </w:p>
    <w:p w:rsidR="00C40FE4" w:rsidRPr="00577813" w:rsidRDefault="00C40FE4" w:rsidP="00577813">
      <w:pPr>
        <w:spacing w:line="288" w:lineRule="auto"/>
        <w:ind w:firstLine="851"/>
        <w:jc w:val="both"/>
        <w:rPr>
          <w:rFonts w:ascii="Arial" w:hAnsi="Arial" w:cs="Arial"/>
          <w:bCs/>
          <w:szCs w:val="24"/>
          <w:lang w:eastAsia="es-CO"/>
        </w:rPr>
      </w:pPr>
      <w:r w:rsidRPr="00577813">
        <w:rPr>
          <w:rFonts w:ascii="Arial" w:eastAsia="Calibri" w:hAnsi="Arial" w:cs="Arial"/>
          <w:szCs w:val="24"/>
          <w:lang w:val="es-CO" w:eastAsia="en-US"/>
        </w:rPr>
        <w:t xml:space="preserve">En Pereira, hoy diecinueve (19) de octubre de dos mil diecisiete (2017), siendo las nueve y cuarenta y cinco de la mañana (09:45 a.m.), </w:t>
      </w:r>
      <w:r w:rsidRPr="00577813">
        <w:rPr>
          <w:rFonts w:ascii="Arial" w:hAnsi="Arial" w:cs="Arial"/>
          <w:bCs/>
          <w:szCs w:val="24"/>
          <w:lang w:eastAsia="es-CO"/>
        </w:rPr>
        <w:t xml:space="preserve">reunidos en la Sala de Audiencia las magistradas y el suscrito magistrado de la Sala Tercera de Decisión Laboral del Tribunal Superior de Pereira, el ponente declara abierto el acto, que tiene por objeto resolver el grado jurisdiccional de consulta de la sentencia dictada el </w:t>
      </w:r>
      <w:r w:rsidR="0041519C" w:rsidRPr="00577813">
        <w:rPr>
          <w:rFonts w:ascii="Arial" w:hAnsi="Arial" w:cs="Arial"/>
          <w:bCs/>
          <w:szCs w:val="24"/>
          <w:lang w:eastAsia="es-CO"/>
        </w:rPr>
        <w:t xml:space="preserve">14 de octubre de 2016 </w:t>
      </w:r>
      <w:r w:rsidRPr="00577813">
        <w:rPr>
          <w:rFonts w:ascii="Arial" w:hAnsi="Arial" w:cs="Arial"/>
          <w:bCs/>
          <w:szCs w:val="24"/>
          <w:lang w:eastAsia="es-CO"/>
        </w:rPr>
        <w:t xml:space="preserve">por el Juzgado </w:t>
      </w:r>
      <w:r w:rsidR="0041519C" w:rsidRPr="00577813">
        <w:rPr>
          <w:rFonts w:ascii="Arial" w:hAnsi="Arial" w:cs="Arial"/>
          <w:bCs/>
          <w:szCs w:val="24"/>
          <w:lang w:eastAsia="es-CO"/>
        </w:rPr>
        <w:t xml:space="preserve">Segundo </w:t>
      </w:r>
      <w:r w:rsidRPr="00577813">
        <w:rPr>
          <w:rFonts w:ascii="Arial" w:hAnsi="Arial" w:cs="Arial"/>
          <w:bCs/>
          <w:szCs w:val="24"/>
          <w:lang w:eastAsia="es-CO"/>
        </w:rPr>
        <w:t xml:space="preserve">Laboral del Circuito de esta ciudad, dentro del proceso Ordinario Laboral que promueve </w:t>
      </w:r>
      <w:r w:rsidR="009A6245" w:rsidRPr="00577813">
        <w:rPr>
          <w:rFonts w:ascii="Arial" w:hAnsi="Arial" w:cs="Arial"/>
          <w:b/>
          <w:bCs/>
          <w:i/>
          <w:szCs w:val="24"/>
          <w:lang w:eastAsia="es-CO"/>
        </w:rPr>
        <w:t>Blanca Mary Va</w:t>
      </w:r>
      <w:r w:rsidR="00D2685F" w:rsidRPr="00577813">
        <w:rPr>
          <w:rFonts w:ascii="Arial" w:hAnsi="Arial" w:cs="Arial"/>
          <w:b/>
          <w:bCs/>
          <w:i/>
          <w:szCs w:val="24"/>
          <w:lang w:eastAsia="es-CO"/>
        </w:rPr>
        <w:t xml:space="preserve">rón </w:t>
      </w:r>
      <w:r w:rsidR="009A6245" w:rsidRPr="00577813">
        <w:rPr>
          <w:rFonts w:ascii="Arial" w:hAnsi="Arial" w:cs="Arial"/>
          <w:b/>
          <w:bCs/>
          <w:i/>
          <w:szCs w:val="24"/>
          <w:lang w:eastAsia="es-CO"/>
        </w:rPr>
        <w:t xml:space="preserve">Loaiza </w:t>
      </w:r>
      <w:r w:rsidRPr="00577813">
        <w:rPr>
          <w:rFonts w:ascii="Arial" w:hAnsi="Arial" w:cs="Arial"/>
          <w:bCs/>
          <w:szCs w:val="24"/>
          <w:lang w:eastAsia="es-CO"/>
        </w:rPr>
        <w:t xml:space="preserve">contra la </w:t>
      </w:r>
      <w:r w:rsidRPr="00577813">
        <w:rPr>
          <w:rFonts w:ascii="Arial" w:hAnsi="Arial" w:cs="Arial"/>
          <w:b/>
          <w:bCs/>
          <w:i/>
          <w:szCs w:val="24"/>
          <w:lang w:eastAsia="es-CO"/>
        </w:rPr>
        <w:t>Administradora Colombiana de Pensiones –Colpensiones</w:t>
      </w:r>
      <w:r w:rsidR="009A6245" w:rsidRPr="00577813">
        <w:rPr>
          <w:rFonts w:ascii="Arial" w:hAnsi="Arial" w:cs="Arial"/>
          <w:bCs/>
          <w:szCs w:val="24"/>
          <w:lang w:eastAsia="es-CO"/>
        </w:rPr>
        <w:t xml:space="preserve">, y </w:t>
      </w:r>
      <w:proofErr w:type="spellStart"/>
      <w:r w:rsidR="009A6245" w:rsidRPr="00577813">
        <w:rPr>
          <w:rFonts w:ascii="Arial" w:hAnsi="Arial" w:cs="Arial"/>
          <w:b/>
          <w:bCs/>
          <w:i/>
          <w:szCs w:val="24"/>
          <w:lang w:eastAsia="es-CO"/>
        </w:rPr>
        <w:t>Jhoan</w:t>
      </w:r>
      <w:proofErr w:type="spellEnd"/>
      <w:r w:rsidR="009A6245" w:rsidRPr="00577813">
        <w:rPr>
          <w:rFonts w:ascii="Arial" w:hAnsi="Arial" w:cs="Arial"/>
          <w:b/>
          <w:bCs/>
          <w:i/>
          <w:szCs w:val="24"/>
          <w:lang w:eastAsia="es-CO"/>
        </w:rPr>
        <w:t xml:space="preserve"> Sebastián Ortiz Varón</w:t>
      </w:r>
      <w:r w:rsidR="009A6245" w:rsidRPr="00577813">
        <w:rPr>
          <w:rFonts w:ascii="Arial" w:hAnsi="Arial" w:cs="Arial"/>
          <w:bCs/>
          <w:szCs w:val="24"/>
          <w:lang w:eastAsia="es-CO"/>
        </w:rPr>
        <w:t>, en calidad de interviniente ad-</w:t>
      </w:r>
      <w:proofErr w:type="spellStart"/>
      <w:r w:rsidR="009A6245" w:rsidRPr="00577813">
        <w:rPr>
          <w:rFonts w:ascii="Arial" w:hAnsi="Arial" w:cs="Arial"/>
          <w:bCs/>
          <w:szCs w:val="24"/>
          <w:lang w:eastAsia="es-CO"/>
        </w:rPr>
        <w:t>excludendum</w:t>
      </w:r>
      <w:proofErr w:type="spellEnd"/>
      <w:r w:rsidR="009A6245" w:rsidRPr="00577813">
        <w:rPr>
          <w:rFonts w:ascii="Arial" w:hAnsi="Arial" w:cs="Arial"/>
          <w:bCs/>
          <w:szCs w:val="24"/>
          <w:lang w:eastAsia="es-CO"/>
        </w:rPr>
        <w:t xml:space="preserve">. </w:t>
      </w:r>
    </w:p>
    <w:p w:rsidR="00C40FE4" w:rsidRPr="00577813" w:rsidRDefault="00C40FE4" w:rsidP="00577813">
      <w:pPr>
        <w:pStyle w:val="Sinespaciado"/>
        <w:spacing w:line="288" w:lineRule="auto"/>
        <w:rPr>
          <w:rFonts w:ascii="Arial" w:hAnsi="Arial" w:cs="Arial"/>
          <w:szCs w:val="24"/>
        </w:rPr>
      </w:pPr>
      <w:r w:rsidRPr="00577813">
        <w:rPr>
          <w:rFonts w:ascii="Arial" w:hAnsi="Arial" w:cs="Arial"/>
          <w:szCs w:val="24"/>
        </w:rPr>
        <w:t xml:space="preserve"> </w:t>
      </w:r>
    </w:p>
    <w:p w:rsidR="00C40FE4" w:rsidRPr="00577813" w:rsidRDefault="00C40FE4" w:rsidP="00577813">
      <w:pPr>
        <w:pStyle w:val="Prrafodelista"/>
        <w:numPr>
          <w:ilvl w:val="0"/>
          <w:numId w:val="1"/>
        </w:numPr>
        <w:spacing w:line="288" w:lineRule="auto"/>
        <w:rPr>
          <w:rFonts w:ascii="Arial" w:hAnsi="Arial" w:cs="Arial"/>
          <w:b/>
          <w:i/>
          <w:szCs w:val="24"/>
        </w:rPr>
      </w:pPr>
      <w:r w:rsidRPr="00577813">
        <w:rPr>
          <w:rFonts w:ascii="Arial" w:hAnsi="Arial" w:cs="Arial"/>
          <w:b/>
          <w:i/>
          <w:szCs w:val="24"/>
        </w:rPr>
        <w:lastRenderedPageBreak/>
        <w:t>ANTECEDENTES</w:t>
      </w:r>
    </w:p>
    <w:p w:rsidR="00C40FE4" w:rsidRPr="00577813" w:rsidRDefault="00C40FE4" w:rsidP="00577813">
      <w:pPr>
        <w:pStyle w:val="Sinespaciado"/>
        <w:spacing w:line="288" w:lineRule="auto"/>
        <w:rPr>
          <w:rFonts w:ascii="Arial" w:hAnsi="Arial" w:cs="Arial"/>
          <w:szCs w:val="24"/>
        </w:rPr>
      </w:pPr>
    </w:p>
    <w:p w:rsidR="00C40FE4" w:rsidRPr="00577813" w:rsidRDefault="009A6245" w:rsidP="00577813">
      <w:pPr>
        <w:shd w:val="clear" w:color="auto" w:fill="FFFFFF"/>
        <w:spacing w:line="288" w:lineRule="auto"/>
        <w:ind w:firstLine="851"/>
        <w:jc w:val="both"/>
        <w:rPr>
          <w:rFonts w:ascii="Arial" w:hAnsi="Arial" w:cs="Arial"/>
          <w:szCs w:val="24"/>
        </w:rPr>
      </w:pPr>
      <w:r w:rsidRPr="00577813">
        <w:rPr>
          <w:rFonts w:ascii="Arial" w:hAnsi="Arial" w:cs="Arial"/>
          <w:szCs w:val="24"/>
        </w:rPr>
        <w:t>P</w:t>
      </w:r>
      <w:r w:rsidR="00C40FE4" w:rsidRPr="00577813">
        <w:rPr>
          <w:rFonts w:ascii="Arial" w:hAnsi="Arial" w:cs="Arial"/>
          <w:szCs w:val="24"/>
        </w:rPr>
        <w:t xml:space="preserve">ersigue la demandante </w:t>
      </w:r>
      <w:proofErr w:type="gramStart"/>
      <w:r w:rsidR="00C40FE4" w:rsidRPr="00577813">
        <w:rPr>
          <w:rFonts w:ascii="Arial" w:hAnsi="Arial" w:cs="Arial"/>
          <w:szCs w:val="24"/>
        </w:rPr>
        <w:t>que</w:t>
      </w:r>
      <w:proofErr w:type="gramEnd"/>
      <w:r w:rsidR="00891DA7" w:rsidRPr="00577813">
        <w:rPr>
          <w:rFonts w:ascii="Arial" w:hAnsi="Arial" w:cs="Arial"/>
          <w:szCs w:val="24"/>
        </w:rPr>
        <w:t xml:space="preserve"> en aplicación del principio de la condición más beneficiosa, </w:t>
      </w:r>
      <w:r w:rsidR="00C40FE4" w:rsidRPr="00577813">
        <w:rPr>
          <w:rFonts w:ascii="Arial" w:hAnsi="Arial" w:cs="Arial"/>
          <w:szCs w:val="24"/>
        </w:rPr>
        <w:t xml:space="preserve">se </w:t>
      </w:r>
      <w:r w:rsidR="00891DA7" w:rsidRPr="00577813">
        <w:rPr>
          <w:rFonts w:ascii="Arial" w:hAnsi="Arial" w:cs="Arial"/>
          <w:szCs w:val="24"/>
        </w:rPr>
        <w:t xml:space="preserve">declare: (i) que el señor Homero Ortiz Rodríguez dejó causado el derecho a la pensión de sobrevivientes, y (ii) que ella es </w:t>
      </w:r>
      <w:r w:rsidR="00C40FE4" w:rsidRPr="00577813">
        <w:rPr>
          <w:rFonts w:ascii="Arial" w:hAnsi="Arial" w:cs="Arial"/>
          <w:szCs w:val="24"/>
        </w:rPr>
        <w:t xml:space="preserve">beneficiaria de </w:t>
      </w:r>
      <w:r w:rsidR="00891DA7" w:rsidRPr="00577813">
        <w:rPr>
          <w:rFonts w:ascii="Arial" w:hAnsi="Arial" w:cs="Arial"/>
          <w:szCs w:val="24"/>
        </w:rPr>
        <w:t xml:space="preserve">dicha prestación pensional, </w:t>
      </w:r>
      <w:r w:rsidR="00C40FE4" w:rsidRPr="00577813">
        <w:rPr>
          <w:rFonts w:ascii="Arial" w:hAnsi="Arial" w:cs="Arial"/>
          <w:szCs w:val="24"/>
        </w:rPr>
        <w:t xml:space="preserve">y en consecuencia, pide que se condene a la </w:t>
      </w:r>
      <w:r w:rsidR="00891DA7" w:rsidRPr="00577813">
        <w:rPr>
          <w:rFonts w:ascii="Arial" w:hAnsi="Arial" w:cs="Arial"/>
          <w:szCs w:val="24"/>
        </w:rPr>
        <w:t xml:space="preserve">entidad </w:t>
      </w:r>
      <w:r w:rsidR="00C40FE4" w:rsidRPr="00577813">
        <w:rPr>
          <w:rFonts w:ascii="Arial" w:hAnsi="Arial" w:cs="Arial"/>
          <w:szCs w:val="24"/>
        </w:rPr>
        <w:t xml:space="preserve">demandada a reconocer y pagar la misma, desde el </w:t>
      </w:r>
      <w:r w:rsidR="00891DA7" w:rsidRPr="00577813">
        <w:rPr>
          <w:rFonts w:ascii="Arial" w:hAnsi="Arial" w:cs="Arial"/>
          <w:szCs w:val="24"/>
        </w:rPr>
        <w:t>7 de agosto de 2003</w:t>
      </w:r>
      <w:r w:rsidR="00C40FE4" w:rsidRPr="00577813">
        <w:rPr>
          <w:rFonts w:ascii="Arial" w:hAnsi="Arial" w:cs="Arial"/>
          <w:szCs w:val="24"/>
        </w:rPr>
        <w:t xml:space="preserve"> con el corres</w:t>
      </w:r>
      <w:r w:rsidR="00891DA7" w:rsidRPr="00577813">
        <w:rPr>
          <w:rFonts w:ascii="Arial" w:hAnsi="Arial" w:cs="Arial"/>
          <w:szCs w:val="24"/>
        </w:rPr>
        <w:t xml:space="preserve">pondiente retroactivo pensional, </w:t>
      </w:r>
      <w:r w:rsidR="00C40FE4" w:rsidRPr="00577813">
        <w:rPr>
          <w:rFonts w:ascii="Arial" w:hAnsi="Arial" w:cs="Arial"/>
          <w:szCs w:val="24"/>
        </w:rPr>
        <w:t>incluyendo las mesadas adicionales, y las costas del proceso.</w:t>
      </w:r>
    </w:p>
    <w:p w:rsidR="000F4A24" w:rsidRPr="00577813" w:rsidRDefault="000F4A24" w:rsidP="00577813">
      <w:pPr>
        <w:pStyle w:val="Sinespaciado"/>
        <w:spacing w:line="288" w:lineRule="auto"/>
        <w:rPr>
          <w:rFonts w:ascii="Arial" w:hAnsi="Arial" w:cs="Arial"/>
          <w:szCs w:val="24"/>
        </w:rPr>
      </w:pPr>
    </w:p>
    <w:p w:rsidR="005129BB" w:rsidRPr="00577813" w:rsidRDefault="00C40FE4" w:rsidP="00577813">
      <w:pPr>
        <w:shd w:val="clear" w:color="auto" w:fill="FFFFFF"/>
        <w:spacing w:line="288" w:lineRule="auto"/>
        <w:ind w:firstLine="851"/>
        <w:jc w:val="both"/>
        <w:rPr>
          <w:rFonts w:ascii="Arial" w:hAnsi="Arial" w:cs="Arial"/>
          <w:szCs w:val="24"/>
        </w:rPr>
      </w:pPr>
      <w:r w:rsidRPr="00577813">
        <w:rPr>
          <w:rFonts w:ascii="Arial" w:hAnsi="Arial" w:cs="Arial"/>
          <w:szCs w:val="24"/>
        </w:rPr>
        <w:t>Para así pedir, relata que el señor H</w:t>
      </w:r>
      <w:r w:rsidR="005129BB" w:rsidRPr="00577813">
        <w:rPr>
          <w:rFonts w:ascii="Arial" w:hAnsi="Arial" w:cs="Arial"/>
          <w:szCs w:val="24"/>
        </w:rPr>
        <w:t>omero Ortiz Rodríguez falleció el 7 de agosto de 2003, calenda para la cual no estaba afiliado al ISS ni estaba cotizando al sistema pensional, sin embargo, tenía un total de 741 semanas de aportes durante toda su vida laboral</w:t>
      </w:r>
      <w:r w:rsidR="00DC0255" w:rsidRPr="00577813">
        <w:rPr>
          <w:rFonts w:ascii="Arial" w:hAnsi="Arial" w:cs="Arial"/>
          <w:szCs w:val="24"/>
        </w:rPr>
        <w:t>, de las cuales más 300 habían sido consolidadas ates del 1º de abril de 1994</w:t>
      </w:r>
      <w:r w:rsidR="005129BB" w:rsidRPr="00577813">
        <w:rPr>
          <w:rFonts w:ascii="Arial" w:hAnsi="Arial" w:cs="Arial"/>
          <w:szCs w:val="24"/>
        </w:rPr>
        <w:t xml:space="preserve">. </w:t>
      </w:r>
      <w:r w:rsidR="005C62C5" w:rsidRPr="00577813">
        <w:rPr>
          <w:rFonts w:ascii="Arial" w:hAnsi="Arial" w:cs="Arial"/>
          <w:szCs w:val="24"/>
        </w:rPr>
        <w:t xml:space="preserve">Indica que ella y el señor </w:t>
      </w:r>
      <w:r w:rsidR="003B230D" w:rsidRPr="00577813">
        <w:rPr>
          <w:rFonts w:ascii="Arial" w:hAnsi="Arial" w:cs="Arial"/>
          <w:szCs w:val="24"/>
        </w:rPr>
        <w:t xml:space="preserve">Ortiz </w:t>
      </w:r>
      <w:r w:rsidR="00051AD5" w:rsidRPr="00577813">
        <w:rPr>
          <w:rFonts w:ascii="Arial" w:hAnsi="Arial" w:cs="Arial"/>
          <w:szCs w:val="24"/>
        </w:rPr>
        <w:t>Rodríguez</w:t>
      </w:r>
      <w:r w:rsidR="003B230D" w:rsidRPr="00577813">
        <w:rPr>
          <w:rFonts w:ascii="Arial" w:hAnsi="Arial" w:cs="Arial"/>
          <w:szCs w:val="24"/>
        </w:rPr>
        <w:t xml:space="preserve"> contrajeron matrimonio el 3 de di</w:t>
      </w:r>
      <w:r w:rsidR="009F1F36" w:rsidRPr="00577813">
        <w:rPr>
          <w:rFonts w:ascii="Arial" w:hAnsi="Arial" w:cs="Arial"/>
          <w:szCs w:val="24"/>
        </w:rPr>
        <w:t xml:space="preserve">ciembre de 1983, </w:t>
      </w:r>
      <w:r w:rsidR="003B230D" w:rsidRPr="00577813">
        <w:rPr>
          <w:rFonts w:ascii="Arial" w:hAnsi="Arial" w:cs="Arial"/>
          <w:szCs w:val="24"/>
        </w:rPr>
        <w:t>convivieron en forma continua</w:t>
      </w:r>
      <w:r w:rsidR="00DC0255" w:rsidRPr="00577813">
        <w:rPr>
          <w:rFonts w:ascii="Arial" w:hAnsi="Arial" w:cs="Arial"/>
          <w:szCs w:val="24"/>
        </w:rPr>
        <w:t xml:space="preserve"> e ininterrumpida </w:t>
      </w:r>
      <w:r w:rsidR="003B230D" w:rsidRPr="00577813">
        <w:rPr>
          <w:rFonts w:ascii="Arial" w:hAnsi="Arial" w:cs="Arial"/>
          <w:szCs w:val="24"/>
        </w:rPr>
        <w:t>hasta la fecha de</w:t>
      </w:r>
      <w:r w:rsidR="00DC0255" w:rsidRPr="00577813">
        <w:rPr>
          <w:rFonts w:ascii="Arial" w:hAnsi="Arial" w:cs="Arial"/>
          <w:szCs w:val="24"/>
        </w:rPr>
        <w:t>l deceso de aquel</w:t>
      </w:r>
      <w:r w:rsidR="009F1F36" w:rsidRPr="00577813">
        <w:rPr>
          <w:rFonts w:ascii="Arial" w:hAnsi="Arial" w:cs="Arial"/>
          <w:szCs w:val="24"/>
        </w:rPr>
        <w:t xml:space="preserve"> y procrearon dos hijos</w:t>
      </w:r>
      <w:r w:rsidR="00DC0255" w:rsidRPr="00577813">
        <w:rPr>
          <w:rFonts w:ascii="Arial" w:hAnsi="Arial" w:cs="Arial"/>
          <w:szCs w:val="24"/>
        </w:rPr>
        <w:t xml:space="preserve">; que </w:t>
      </w:r>
      <w:r w:rsidR="009F1F36" w:rsidRPr="00577813">
        <w:rPr>
          <w:rFonts w:ascii="Arial" w:hAnsi="Arial" w:cs="Arial"/>
          <w:szCs w:val="24"/>
        </w:rPr>
        <w:t xml:space="preserve">mediante memorial presentado el 11 de julio de 2012 agotó la vía gubernativa, sin embargo, el ISS no dio respuesta. </w:t>
      </w:r>
    </w:p>
    <w:p w:rsidR="005129BB" w:rsidRPr="00577813" w:rsidRDefault="005129BB" w:rsidP="00577813">
      <w:pPr>
        <w:pStyle w:val="Sinespaciado"/>
        <w:spacing w:line="288" w:lineRule="auto"/>
        <w:rPr>
          <w:rFonts w:ascii="Arial" w:hAnsi="Arial" w:cs="Arial"/>
          <w:szCs w:val="24"/>
        </w:rPr>
      </w:pPr>
    </w:p>
    <w:p w:rsidR="00C40FE4" w:rsidRPr="00577813" w:rsidRDefault="00C40FE4" w:rsidP="00577813">
      <w:pPr>
        <w:shd w:val="clear" w:color="auto" w:fill="FFFFFF"/>
        <w:spacing w:line="288" w:lineRule="auto"/>
        <w:ind w:firstLine="708"/>
        <w:jc w:val="both"/>
        <w:rPr>
          <w:rFonts w:ascii="Arial" w:hAnsi="Arial" w:cs="Arial"/>
          <w:szCs w:val="24"/>
        </w:rPr>
      </w:pPr>
      <w:r w:rsidRPr="00577813">
        <w:rPr>
          <w:rFonts w:ascii="Arial" w:hAnsi="Arial" w:cs="Arial"/>
          <w:szCs w:val="24"/>
        </w:rPr>
        <w:t xml:space="preserve">Admitida la demanda, </w:t>
      </w:r>
      <w:r w:rsidR="000F4A24" w:rsidRPr="00577813">
        <w:rPr>
          <w:rFonts w:ascii="Arial" w:hAnsi="Arial" w:cs="Arial"/>
          <w:szCs w:val="24"/>
        </w:rPr>
        <w:t>la entidad demandada</w:t>
      </w:r>
      <w:r w:rsidRPr="00577813">
        <w:rPr>
          <w:rFonts w:ascii="Arial" w:hAnsi="Arial" w:cs="Arial"/>
          <w:szCs w:val="24"/>
        </w:rPr>
        <w:t>,</w:t>
      </w:r>
      <w:r w:rsidR="000F4A24" w:rsidRPr="00577813">
        <w:rPr>
          <w:rFonts w:ascii="Arial" w:hAnsi="Arial" w:cs="Arial"/>
          <w:szCs w:val="24"/>
        </w:rPr>
        <w:t xml:space="preserve"> a través de apoderado judicial </w:t>
      </w:r>
      <w:r w:rsidR="00E5058B" w:rsidRPr="00577813">
        <w:rPr>
          <w:rFonts w:ascii="Arial" w:hAnsi="Arial" w:cs="Arial"/>
          <w:szCs w:val="24"/>
        </w:rPr>
        <w:t>allegó respuesta</w:t>
      </w:r>
      <w:r w:rsidRPr="00577813">
        <w:rPr>
          <w:rFonts w:ascii="Arial" w:hAnsi="Arial" w:cs="Arial"/>
          <w:szCs w:val="24"/>
        </w:rPr>
        <w:t xml:space="preserve"> </w:t>
      </w:r>
      <w:r w:rsidR="000F4A24" w:rsidRPr="00577813">
        <w:rPr>
          <w:rFonts w:ascii="Arial" w:hAnsi="Arial" w:cs="Arial"/>
          <w:szCs w:val="24"/>
        </w:rPr>
        <w:t xml:space="preserve">oponiéndose a la prosperidad de las pretensiones, </w:t>
      </w:r>
      <w:r w:rsidR="00E5058B" w:rsidRPr="00577813">
        <w:rPr>
          <w:rFonts w:ascii="Arial" w:hAnsi="Arial" w:cs="Arial"/>
          <w:szCs w:val="24"/>
        </w:rPr>
        <w:t>por considerar que el</w:t>
      </w:r>
      <w:r w:rsidR="008214AD" w:rsidRPr="00577813">
        <w:rPr>
          <w:rFonts w:ascii="Arial" w:hAnsi="Arial" w:cs="Arial"/>
          <w:szCs w:val="24"/>
        </w:rPr>
        <w:t xml:space="preserve"> asegurado no dejó acreditados los requisitos </w:t>
      </w:r>
      <w:r w:rsidR="00E5058B" w:rsidRPr="00577813">
        <w:rPr>
          <w:rFonts w:ascii="Arial" w:hAnsi="Arial" w:cs="Arial"/>
          <w:szCs w:val="24"/>
        </w:rPr>
        <w:t xml:space="preserve">exigidos </w:t>
      </w:r>
      <w:r w:rsidR="008214AD" w:rsidRPr="00577813">
        <w:rPr>
          <w:rFonts w:ascii="Arial" w:hAnsi="Arial" w:cs="Arial"/>
          <w:szCs w:val="24"/>
        </w:rPr>
        <w:t xml:space="preserve">para causar el derecho a la pensión de sobrevivientes, pues no reunió 50 semanas en los tres años anteriores a la fecha de su deceso, conforme lo establece el artículo 12 de la Ley 797 de 2003. En su defensa, formuló las excepciones de “Inexistencia del derecho a la pensión de sobrevivientes” y “Prescripción”. </w:t>
      </w:r>
    </w:p>
    <w:p w:rsidR="00AD4B1B" w:rsidRPr="00577813" w:rsidRDefault="00AD4B1B" w:rsidP="00577813">
      <w:pPr>
        <w:pStyle w:val="Sinespaciado"/>
        <w:spacing w:line="288" w:lineRule="auto"/>
        <w:rPr>
          <w:rFonts w:ascii="Arial" w:hAnsi="Arial" w:cs="Arial"/>
          <w:szCs w:val="24"/>
        </w:rPr>
      </w:pPr>
    </w:p>
    <w:p w:rsidR="009C1321" w:rsidRPr="00577813" w:rsidRDefault="00212877" w:rsidP="00577813">
      <w:pPr>
        <w:shd w:val="clear" w:color="auto" w:fill="FFFFFF"/>
        <w:spacing w:line="288" w:lineRule="auto"/>
        <w:ind w:firstLine="708"/>
        <w:jc w:val="both"/>
        <w:rPr>
          <w:rFonts w:ascii="Arial" w:hAnsi="Arial" w:cs="Arial"/>
          <w:szCs w:val="24"/>
        </w:rPr>
      </w:pPr>
      <w:r w:rsidRPr="00577813">
        <w:rPr>
          <w:rFonts w:ascii="Arial" w:hAnsi="Arial" w:cs="Arial"/>
          <w:szCs w:val="24"/>
        </w:rPr>
        <w:t xml:space="preserve">Por su parte, los hijos </w:t>
      </w:r>
      <w:r w:rsidR="00087975" w:rsidRPr="00577813">
        <w:rPr>
          <w:rFonts w:ascii="Arial" w:hAnsi="Arial" w:cs="Arial"/>
          <w:szCs w:val="24"/>
        </w:rPr>
        <w:t xml:space="preserve">del afiliado fallecido </w:t>
      </w:r>
      <w:r w:rsidR="00A94DDF" w:rsidRPr="00577813">
        <w:rPr>
          <w:rFonts w:ascii="Arial" w:hAnsi="Arial" w:cs="Arial"/>
          <w:szCs w:val="24"/>
        </w:rPr>
        <w:t xml:space="preserve">Carlos Andrés Ortiz Barón y </w:t>
      </w:r>
      <w:proofErr w:type="spellStart"/>
      <w:r w:rsidR="00A94DDF" w:rsidRPr="00577813">
        <w:rPr>
          <w:rFonts w:ascii="Arial" w:hAnsi="Arial" w:cs="Arial"/>
          <w:szCs w:val="24"/>
        </w:rPr>
        <w:t>Jhoan</w:t>
      </w:r>
      <w:proofErr w:type="spellEnd"/>
      <w:r w:rsidR="00A94DDF" w:rsidRPr="00577813">
        <w:rPr>
          <w:rFonts w:ascii="Arial" w:hAnsi="Arial" w:cs="Arial"/>
          <w:szCs w:val="24"/>
        </w:rPr>
        <w:t xml:space="preserve"> Sebastián Ortiz Barón </w:t>
      </w:r>
      <w:r w:rsidR="00087975" w:rsidRPr="00577813">
        <w:rPr>
          <w:rFonts w:ascii="Arial" w:hAnsi="Arial" w:cs="Arial"/>
          <w:szCs w:val="24"/>
        </w:rPr>
        <w:t>comparecieron al proceso</w:t>
      </w:r>
      <w:r w:rsidR="00A94DDF" w:rsidRPr="00577813">
        <w:rPr>
          <w:rFonts w:ascii="Arial" w:hAnsi="Arial" w:cs="Arial"/>
          <w:szCs w:val="24"/>
        </w:rPr>
        <w:t xml:space="preserve"> p</w:t>
      </w:r>
      <w:r w:rsidR="00826A7B" w:rsidRPr="00577813">
        <w:rPr>
          <w:rFonts w:ascii="Arial" w:hAnsi="Arial" w:cs="Arial"/>
          <w:szCs w:val="24"/>
        </w:rPr>
        <w:t xml:space="preserve">or virtud de lo </w:t>
      </w:r>
      <w:r w:rsidR="006B31CC" w:rsidRPr="00577813">
        <w:rPr>
          <w:rFonts w:ascii="Arial" w:hAnsi="Arial" w:cs="Arial"/>
          <w:szCs w:val="24"/>
        </w:rPr>
        <w:t xml:space="preserve">dispuesto por esta </w:t>
      </w:r>
      <w:r w:rsidR="00826A7B" w:rsidRPr="00577813">
        <w:rPr>
          <w:rFonts w:ascii="Arial" w:hAnsi="Arial" w:cs="Arial"/>
          <w:szCs w:val="24"/>
        </w:rPr>
        <w:t>Co</w:t>
      </w:r>
      <w:r w:rsidR="00FC0485" w:rsidRPr="00577813">
        <w:rPr>
          <w:rFonts w:ascii="Arial" w:hAnsi="Arial" w:cs="Arial"/>
          <w:szCs w:val="24"/>
        </w:rPr>
        <w:t>legiatura</w:t>
      </w:r>
      <w:r w:rsidR="00826A7B" w:rsidRPr="00577813">
        <w:rPr>
          <w:rFonts w:ascii="Arial" w:hAnsi="Arial" w:cs="Arial"/>
          <w:szCs w:val="24"/>
        </w:rPr>
        <w:t xml:space="preserve"> mediante proveído del 21 de enero de 2016</w:t>
      </w:r>
      <w:r w:rsidR="006B31CC" w:rsidRPr="00577813">
        <w:rPr>
          <w:rFonts w:ascii="Arial" w:hAnsi="Arial" w:cs="Arial"/>
          <w:szCs w:val="24"/>
        </w:rPr>
        <w:t>, que dispuso integrar</w:t>
      </w:r>
      <w:r w:rsidR="00FC0485" w:rsidRPr="00577813">
        <w:rPr>
          <w:rFonts w:ascii="Arial" w:hAnsi="Arial" w:cs="Arial"/>
          <w:szCs w:val="24"/>
        </w:rPr>
        <w:t xml:space="preserve"> en debida forma el </w:t>
      </w:r>
      <w:r w:rsidR="006B31CC" w:rsidRPr="00577813">
        <w:rPr>
          <w:rFonts w:ascii="Arial" w:hAnsi="Arial" w:cs="Arial"/>
          <w:szCs w:val="24"/>
        </w:rPr>
        <w:t>contradictorio</w:t>
      </w:r>
      <w:r w:rsidR="00826A7B" w:rsidRPr="00577813">
        <w:rPr>
          <w:rFonts w:ascii="Arial" w:hAnsi="Arial" w:cs="Arial"/>
          <w:szCs w:val="24"/>
        </w:rPr>
        <w:t xml:space="preserve">. </w:t>
      </w:r>
      <w:r w:rsidR="00087975" w:rsidRPr="00577813">
        <w:rPr>
          <w:rFonts w:ascii="Arial" w:hAnsi="Arial" w:cs="Arial"/>
          <w:szCs w:val="24"/>
        </w:rPr>
        <w:t xml:space="preserve">El primero, </w:t>
      </w:r>
      <w:r w:rsidR="00E5058B" w:rsidRPr="00577813">
        <w:rPr>
          <w:rFonts w:ascii="Arial" w:hAnsi="Arial" w:cs="Arial"/>
          <w:szCs w:val="24"/>
        </w:rPr>
        <w:t>no presentó pretensión alguna</w:t>
      </w:r>
      <w:r w:rsidR="0021325A" w:rsidRPr="00577813">
        <w:rPr>
          <w:rFonts w:ascii="Arial" w:hAnsi="Arial" w:cs="Arial"/>
          <w:szCs w:val="24"/>
        </w:rPr>
        <w:t xml:space="preserve"> a su favor, </w:t>
      </w:r>
      <w:r w:rsidR="00FC0485" w:rsidRPr="00577813">
        <w:rPr>
          <w:rFonts w:ascii="Arial" w:hAnsi="Arial" w:cs="Arial"/>
          <w:szCs w:val="24"/>
        </w:rPr>
        <w:t xml:space="preserve">por cuanto </w:t>
      </w:r>
      <w:r w:rsidR="00087975" w:rsidRPr="00577813">
        <w:rPr>
          <w:rFonts w:ascii="Arial" w:hAnsi="Arial" w:cs="Arial"/>
          <w:szCs w:val="24"/>
        </w:rPr>
        <w:t xml:space="preserve">a la fecha del deceso de su padre tenía más de 18 años de edad </w:t>
      </w:r>
      <w:r w:rsidR="00826A7B" w:rsidRPr="00577813">
        <w:rPr>
          <w:rFonts w:ascii="Arial" w:hAnsi="Arial" w:cs="Arial"/>
          <w:szCs w:val="24"/>
        </w:rPr>
        <w:t>y no estaba estudiando, por ende</w:t>
      </w:r>
      <w:r w:rsidR="00087975" w:rsidRPr="00577813">
        <w:rPr>
          <w:rFonts w:ascii="Arial" w:hAnsi="Arial" w:cs="Arial"/>
          <w:szCs w:val="24"/>
        </w:rPr>
        <w:t xml:space="preserve">, se allanó </w:t>
      </w:r>
      <w:r w:rsidR="0021325A" w:rsidRPr="00577813">
        <w:rPr>
          <w:rFonts w:ascii="Arial" w:hAnsi="Arial" w:cs="Arial"/>
          <w:szCs w:val="24"/>
        </w:rPr>
        <w:t>a la totalidad de</w:t>
      </w:r>
      <w:r w:rsidR="00087975" w:rsidRPr="00577813">
        <w:rPr>
          <w:rFonts w:ascii="Arial" w:hAnsi="Arial" w:cs="Arial"/>
          <w:szCs w:val="24"/>
        </w:rPr>
        <w:t xml:space="preserve"> los hechos y pretensiones de la demanda principal. </w:t>
      </w:r>
    </w:p>
    <w:p w:rsidR="009C1321" w:rsidRPr="00577813" w:rsidRDefault="009C1321" w:rsidP="00577813">
      <w:pPr>
        <w:pStyle w:val="Sinespaciado"/>
        <w:spacing w:line="288" w:lineRule="auto"/>
        <w:rPr>
          <w:rFonts w:ascii="Arial" w:hAnsi="Arial" w:cs="Arial"/>
          <w:szCs w:val="24"/>
        </w:rPr>
      </w:pPr>
    </w:p>
    <w:p w:rsidR="00AD4B1B" w:rsidRPr="00577813" w:rsidRDefault="00087975" w:rsidP="00577813">
      <w:pPr>
        <w:shd w:val="clear" w:color="auto" w:fill="FFFFFF"/>
        <w:spacing w:line="288" w:lineRule="auto"/>
        <w:ind w:firstLine="708"/>
        <w:jc w:val="both"/>
        <w:rPr>
          <w:rFonts w:ascii="Arial" w:hAnsi="Arial" w:cs="Arial"/>
          <w:szCs w:val="24"/>
        </w:rPr>
      </w:pPr>
      <w:r w:rsidRPr="00577813">
        <w:rPr>
          <w:rFonts w:ascii="Arial" w:hAnsi="Arial" w:cs="Arial"/>
          <w:szCs w:val="24"/>
        </w:rPr>
        <w:t>El segundo, se allanó igualmente a la dem</w:t>
      </w:r>
      <w:r w:rsidR="00136CFD" w:rsidRPr="00577813">
        <w:rPr>
          <w:rFonts w:ascii="Arial" w:hAnsi="Arial" w:cs="Arial"/>
          <w:szCs w:val="24"/>
        </w:rPr>
        <w:t xml:space="preserve">anda principal, empero, </w:t>
      </w:r>
      <w:r w:rsidR="00826A7B" w:rsidRPr="00577813">
        <w:rPr>
          <w:rFonts w:ascii="Arial" w:hAnsi="Arial" w:cs="Arial"/>
          <w:szCs w:val="24"/>
        </w:rPr>
        <w:t xml:space="preserve">de manera parcial, pues </w:t>
      </w:r>
      <w:r w:rsidR="00136CFD" w:rsidRPr="00577813">
        <w:rPr>
          <w:rFonts w:ascii="Arial" w:hAnsi="Arial" w:cs="Arial"/>
          <w:szCs w:val="24"/>
        </w:rPr>
        <w:t>considera que le asiste</w:t>
      </w:r>
      <w:r w:rsidR="009C1321" w:rsidRPr="00577813">
        <w:rPr>
          <w:rFonts w:ascii="Arial" w:hAnsi="Arial" w:cs="Arial"/>
          <w:szCs w:val="24"/>
        </w:rPr>
        <w:t xml:space="preserve"> el </w:t>
      </w:r>
      <w:r w:rsidR="00136CFD" w:rsidRPr="00577813">
        <w:rPr>
          <w:rFonts w:ascii="Arial" w:hAnsi="Arial" w:cs="Arial"/>
          <w:szCs w:val="24"/>
        </w:rPr>
        <w:t xml:space="preserve">derecho a compartir con la demandante la pensión de sobrevivientes que </w:t>
      </w:r>
      <w:r w:rsidR="0021325A" w:rsidRPr="00577813">
        <w:rPr>
          <w:rFonts w:ascii="Arial" w:hAnsi="Arial" w:cs="Arial"/>
          <w:szCs w:val="24"/>
        </w:rPr>
        <w:t xml:space="preserve">reclama, puesto que </w:t>
      </w:r>
      <w:r w:rsidR="00136CFD" w:rsidRPr="00577813">
        <w:rPr>
          <w:rFonts w:ascii="Arial" w:hAnsi="Arial" w:cs="Arial"/>
          <w:szCs w:val="24"/>
        </w:rPr>
        <w:t>al</w:t>
      </w:r>
      <w:r w:rsidR="0021325A" w:rsidRPr="00577813">
        <w:rPr>
          <w:rFonts w:ascii="Arial" w:hAnsi="Arial" w:cs="Arial"/>
          <w:szCs w:val="24"/>
        </w:rPr>
        <w:t xml:space="preserve"> momento del deceso de su padre</w:t>
      </w:r>
      <w:r w:rsidR="00136CFD" w:rsidRPr="00577813">
        <w:rPr>
          <w:rFonts w:ascii="Arial" w:hAnsi="Arial" w:cs="Arial"/>
          <w:szCs w:val="24"/>
        </w:rPr>
        <w:t xml:space="preserve"> contaba con 11 años de edad. Aunado a ello, indica que arribó a los 18 años de edad el día 30 de mayo de 2010, y que con posterioridad </w:t>
      </w:r>
      <w:r w:rsidR="009C1321" w:rsidRPr="00577813">
        <w:rPr>
          <w:rFonts w:ascii="Arial" w:hAnsi="Arial" w:cs="Arial"/>
          <w:szCs w:val="24"/>
        </w:rPr>
        <w:t xml:space="preserve">a esa calenda </w:t>
      </w:r>
      <w:r w:rsidR="00136CFD" w:rsidRPr="00577813">
        <w:rPr>
          <w:rFonts w:ascii="Arial" w:hAnsi="Arial" w:cs="Arial"/>
          <w:szCs w:val="24"/>
        </w:rPr>
        <w:t xml:space="preserve">no ha realizado estudios y se ha dedicado a trabajar. Por lo anterior, </w:t>
      </w:r>
      <w:r w:rsidR="009C1321" w:rsidRPr="00577813">
        <w:rPr>
          <w:rFonts w:ascii="Arial" w:hAnsi="Arial" w:cs="Arial"/>
          <w:szCs w:val="24"/>
        </w:rPr>
        <w:t>solicita</w:t>
      </w:r>
      <w:r w:rsidR="00E948B8" w:rsidRPr="00577813">
        <w:rPr>
          <w:rFonts w:ascii="Arial" w:hAnsi="Arial" w:cs="Arial"/>
          <w:szCs w:val="24"/>
        </w:rPr>
        <w:t xml:space="preserve"> que </w:t>
      </w:r>
      <w:r w:rsidR="00136CFD" w:rsidRPr="00577813">
        <w:rPr>
          <w:rFonts w:ascii="Arial" w:hAnsi="Arial" w:cs="Arial"/>
          <w:szCs w:val="24"/>
        </w:rPr>
        <w:t xml:space="preserve">se </w:t>
      </w:r>
      <w:r w:rsidR="00E948B8" w:rsidRPr="00577813">
        <w:rPr>
          <w:rFonts w:ascii="Arial" w:hAnsi="Arial" w:cs="Arial"/>
          <w:szCs w:val="24"/>
        </w:rPr>
        <w:t>declare que en calidad de hijo menor de edad a la muerte del c</w:t>
      </w:r>
      <w:r w:rsidR="009C1321" w:rsidRPr="00577813">
        <w:rPr>
          <w:rFonts w:ascii="Arial" w:hAnsi="Arial" w:cs="Arial"/>
          <w:szCs w:val="24"/>
        </w:rPr>
        <w:t>ausante</w:t>
      </w:r>
      <w:r w:rsidR="00E948B8" w:rsidRPr="00577813">
        <w:rPr>
          <w:rFonts w:ascii="Arial" w:hAnsi="Arial" w:cs="Arial"/>
          <w:szCs w:val="24"/>
        </w:rPr>
        <w:t xml:space="preserve"> Ortiz Rodríguez, tiene derecho a la pensión de sobrevivientes reclamada</w:t>
      </w:r>
      <w:r w:rsidR="009C1321" w:rsidRPr="00577813">
        <w:rPr>
          <w:rFonts w:ascii="Arial" w:hAnsi="Arial" w:cs="Arial"/>
          <w:szCs w:val="24"/>
        </w:rPr>
        <w:t>;</w:t>
      </w:r>
      <w:r w:rsidR="00E948B8" w:rsidRPr="00577813">
        <w:rPr>
          <w:rFonts w:ascii="Arial" w:hAnsi="Arial" w:cs="Arial"/>
          <w:szCs w:val="24"/>
        </w:rPr>
        <w:t xml:space="preserve"> en consecuencia, pide se </w:t>
      </w:r>
      <w:r w:rsidR="00136CFD" w:rsidRPr="00577813">
        <w:rPr>
          <w:rFonts w:ascii="Arial" w:hAnsi="Arial" w:cs="Arial"/>
          <w:szCs w:val="24"/>
        </w:rPr>
        <w:t xml:space="preserve">condene a Colpensiones </w:t>
      </w:r>
      <w:r w:rsidR="00E948B8" w:rsidRPr="00577813">
        <w:rPr>
          <w:rFonts w:ascii="Arial" w:hAnsi="Arial" w:cs="Arial"/>
          <w:szCs w:val="24"/>
        </w:rPr>
        <w:t xml:space="preserve">al reconocimiento y pago de la prestación desde el 7 de agosto de 2003 y el 30 de mayo de 2010, </w:t>
      </w:r>
      <w:r w:rsidR="009F7E6F" w:rsidRPr="00577813">
        <w:rPr>
          <w:rFonts w:ascii="Arial" w:hAnsi="Arial" w:cs="Arial"/>
          <w:szCs w:val="24"/>
        </w:rPr>
        <w:t>así como al pago de los intereses de mora de que trata el artículo 141 de la Ley 100/93.</w:t>
      </w:r>
    </w:p>
    <w:p w:rsidR="0021325A" w:rsidRPr="00577813" w:rsidRDefault="0021325A" w:rsidP="00577813">
      <w:pPr>
        <w:pStyle w:val="Sinespaciado"/>
        <w:spacing w:line="288" w:lineRule="auto"/>
        <w:rPr>
          <w:rFonts w:ascii="Arial" w:hAnsi="Arial" w:cs="Arial"/>
          <w:szCs w:val="24"/>
        </w:rPr>
      </w:pPr>
    </w:p>
    <w:p w:rsidR="0021325A" w:rsidRDefault="0021325A" w:rsidP="00577813">
      <w:pPr>
        <w:shd w:val="clear" w:color="auto" w:fill="FFFFFF"/>
        <w:spacing w:line="288" w:lineRule="auto"/>
        <w:ind w:firstLine="708"/>
        <w:jc w:val="both"/>
        <w:rPr>
          <w:rFonts w:ascii="Arial" w:hAnsi="Arial" w:cs="Arial"/>
          <w:szCs w:val="24"/>
        </w:rPr>
      </w:pPr>
      <w:r w:rsidRPr="00577813">
        <w:rPr>
          <w:rFonts w:ascii="Arial" w:hAnsi="Arial" w:cs="Arial"/>
          <w:szCs w:val="24"/>
        </w:rPr>
        <w:lastRenderedPageBreak/>
        <w:t>Colpensiones guardó silencio en el término otorgado para descorrer el traslado.</w:t>
      </w:r>
    </w:p>
    <w:p w:rsidR="00577813" w:rsidRPr="00577813" w:rsidRDefault="00577813" w:rsidP="00577813">
      <w:pPr>
        <w:shd w:val="clear" w:color="auto" w:fill="FFFFFF"/>
        <w:spacing w:line="288" w:lineRule="auto"/>
        <w:ind w:firstLine="708"/>
        <w:jc w:val="both"/>
        <w:rPr>
          <w:rFonts w:ascii="Arial" w:hAnsi="Arial" w:cs="Arial"/>
          <w:szCs w:val="24"/>
        </w:rPr>
      </w:pPr>
    </w:p>
    <w:p w:rsidR="00C40FE4" w:rsidRPr="00577813" w:rsidRDefault="00C40FE4" w:rsidP="00577813">
      <w:pPr>
        <w:pStyle w:val="Prrafodelista"/>
        <w:numPr>
          <w:ilvl w:val="0"/>
          <w:numId w:val="1"/>
        </w:numPr>
        <w:shd w:val="clear" w:color="auto" w:fill="FFFFFF"/>
        <w:spacing w:line="288" w:lineRule="auto"/>
        <w:jc w:val="both"/>
        <w:rPr>
          <w:rFonts w:ascii="Arial" w:hAnsi="Arial" w:cs="Arial"/>
          <w:b/>
          <w:i/>
          <w:szCs w:val="24"/>
        </w:rPr>
      </w:pPr>
      <w:r w:rsidRPr="00577813">
        <w:rPr>
          <w:rFonts w:ascii="Arial" w:hAnsi="Arial" w:cs="Arial"/>
          <w:b/>
          <w:i/>
          <w:szCs w:val="24"/>
        </w:rPr>
        <w:t>SENTENCIA</w:t>
      </w:r>
      <w:r w:rsidR="00D2685F" w:rsidRPr="00577813">
        <w:rPr>
          <w:rFonts w:ascii="Arial" w:hAnsi="Arial" w:cs="Arial"/>
          <w:b/>
          <w:i/>
          <w:szCs w:val="24"/>
        </w:rPr>
        <w:t xml:space="preserve"> DEL JUZGADO</w:t>
      </w:r>
      <w:r w:rsidRPr="00577813">
        <w:rPr>
          <w:rFonts w:ascii="Arial" w:hAnsi="Arial" w:cs="Arial"/>
          <w:b/>
          <w:i/>
          <w:szCs w:val="24"/>
        </w:rPr>
        <w:t xml:space="preserve"> </w:t>
      </w:r>
    </w:p>
    <w:p w:rsidR="00C40FE4" w:rsidRPr="00577813" w:rsidRDefault="00C40FE4" w:rsidP="00577813">
      <w:pPr>
        <w:pStyle w:val="Sinespaciado"/>
        <w:spacing w:line="288" w:lineRule="auto"/>
        <w:rPr>
          <w:rFonts w:ascii="Arial" w:hAnsi="Arial" w:cs="Arial"/>
          <w:szCs w:val="24"/>
        </w:rPr>
      </w:pPr>
    </w:p>
    <w:p w:rsidR="00072E96" w:rsidRPr="00577813" w:rsidRDefault="009C1321" w:rsidP="00577813">
      <w:pPr>
        <w:spacing w:line="288" w:lineRule="auto"/>
        <w:ind w:firstLine="900"/>
        <w:jc w:val="both"/>
        <w:rPr>
          <w:rFonts w:ascii="Arial" w:hAnsi="Arial" w:cs="Arial"/>
          <w:szCs w:val="24"/>
        </w:rPr>
      </w:pPr>
      <w:r w:rsidRPr="00577813">
        <w:rPr>
          <w:rFonts w:ascii="Arial" w:hAnsi="Arial" w:cs="Arial"/>
          <w:szCs w:val="24"/>
        </w:rPr>
        <w:t xml:space="preserve">El Juzgado de conocimiento </w:t>
      </w:r>
      <w:r w:rsidR="00072E96" w:rsidRPr="00577813">
        <w:rPr>
          <w:rFonts w:ascii="Arial" w:hAnsi="Arial" w:cs="Arial"/>
          <w:szCs w:val="24"/>
        </w:rPr>
        <w:t xml:space="preserve">puso fin a la primera instancia mediante sentencia </w:t>
      </w:r>
      <w:r w:rsidR="00D666DD" w:rsidRPr="00577813">
        <w:rPr>
          <w:rFonts w:ascii="Arial" w:hAnsi="Arial" w:cs="Arial"/>
          <w:szCs w:val="24"/>
        </w:rPr>
        <w:t xml:space="preserve"> </w:t>
      </w:r>
      <w:r w:rsidRPr="00577813">
        <w:rPr>
          <w:rFonts w:ascii="Arial" w:hAnsi="Arial" w:cs="Arial"/>
          <w:szCs w:val="24"/>
        </w:rPr>
        <w:t xml:space="preserve">del </w:t>
      </w:r>
      <w:r w:rsidR="00D2685F" w:rsidRPr="00577813">
        <w:rPr>
          <w:rFonts w:ascii="Arial" w:hAnsi="Arial" w:cs="Arial"/>
          <w:szCs w:val="24"/>
        </w:rPr>
        <w:t>14 de octubre de 2016</w:t>
      </w:r>
      <w:r w:rsidRPr="00577813">
        <w:rPr>
          <w:rFonts w:ascii="Arial" w:hAnsi="Arial" w:cs="Arial"/>
          <w:szCs w:val="24"/>
        </w:rPr>
        <w:t xml:space="preserve">, </w:t>
      </w:r>
      <w:r w:rsidR="00072E96" w:rsidRPr="00577813">
        <w:rPr>
          <w:rFonts w:ascii="Arial" w:hAnsi="Arial" w:cs="Arial"/>
          <w:szCs w:val="24"/>
        </w:rPr>
        <w:t xml:space="preserve">en la que </w:t>
      </w:r>
      <w:r w:rsidR="00D2685F" w:rsidRPr="00577813">
        <w:rPr>
          <w:rFonts w:ascii="Arial" w:hAnsi="Arial" w:cs="Arial"/>
          <w:szCs w:val="24"/>
        </w:rPr>
        <w:t xml:space="preserve">declaró que el </w:t>
      </w:r>
      <w:r w:rsidR="00072E96" w:rsidRPr="00577813">
        <w:rPr>
          <w:rFonts w:ascii="Arial" w:hAnsi="Arial" w:cs="Arial"/>
          <w:szCs w:val="24"/>
        </w:rPr>
        <w:t xml:space="preserve">afiliado fallecido </w:t>
      </w:r>
      <w:r w:rsidR="00D2685F" w:rsidRPr="00577813">
        <w:rPr>
          <w:rFonts w:ascii="Arial" w:hAnsi="Arial" w:cs="Arial"/>
          <w:szCs w:val="24"/>
        </w:rPr>
        <w:t>Homero Ortiz Rodríguez</w:t>
      </w:r>
      <w:r w:rsidR="00072E96" w:rsidRPr="00577813">
        <w:rPr>
          <w:rFonts w:ascii="Arial" w:hAnsi="Arial" w:cs="Arial"/>
          <w:szCs w:val="24"/>
        </w:rPr>
        <w:t xml:space="preserve">, en aplicación del principio de la condición más beneficiosa, </w:t>
      </w:r>
      <w:r w:rsidR="00D2685F" w:rsidRPr="00577813">
        <w:rPr>
          <w:rFonts w:ascii="Arial" w:hAnsi="Arial" w:cs="Arial"/>
          <w:szCs w:val="24"/>
        </w:rPr>
        <w:t>dejó causado el derecho a la pensi</w:t>
      </w:r>
      <w:r w:rsidR="00072E96" w:rsidRPr="00577813">
        <w:rPr>
          <w:rFonts w:ascii="Arial" w:hAnsi="Arial" w:cs="Arial"/>
          <w:szCs w:val="24"/>
        </w:rPr>
        <w:t xml:space="preserve">ón de sobrevivientes a </w:t>
      </w:r>
      <w:r w:rsidR="00D2685F" w:rsidRPr="00577813">
        <w:rPr>
          <w:rFonts w:ascii="Arial" w:hAnsi="Arial" w:cs="Arial"/>
          <w:szCs w:val="24"/>
        </w:rPr>
        <w:t>favor de sus causahabientes, al paso que declaró como beneficiarios de la</w:t>
      </w:r>
      <w:r w:rsidR="00072E96" w:rsidRPr="00577813">
        <w:rPr>
          <w:rFonts w:ascii="Arial" w:hAnsi="Arial" w:cs="Arial"/>
          <w:szCs w:val="24"/>
        </w:rPr>
        <w:t xml:space="preserve"> prestación</w:t>
      </w:r>
      <w:r w:rsidR="00D2685F" w:rsidRPr="00577813">
        <w:rPr>
          <w:rFonts w:ascii="Arial" w:hAnsi="Arial" w:cs="Arial"/>
          <w:szCs w:val="24"/>
        </w:rPr>
        <w:t>, a la señora Blanca Mary Varón Loaiza y a</w:t>
      </w:r>
      <w:r w:rsidR="00072E96" w:rsidRPr="00577813">
        <w:rPr>
          <w:rFonts w:ascii="Arial" w:hAnsi="Arial" w:cs="Arial"/>
          <w:szCs w:val="24"/>
        </w:rPr>
        <w:t>l joven</w:t>
      </w:r>
      <w:r w:rsidR="00D2685F" w:rsidRPr="00577813">
        <w:rPr>
          <w:rFonts w:ascii="Arial" w:hAnsi="Arial" w:cs="Arial"/>
          <w:szCs w:val="24"/>
        </w:rPr>
        <w:t xml:space="preserve"> </w:t>
      </w:r>
      <w:proofErr w:type="spellStart"/>
      <w:r w:rsidR="00D2685F" w:rsidRPr="00577813">
        <w:rPr>
          <w:rFonts w:ascii="Arial" w:hAnsi="Arial" w:cs="Arial"/>
          <w:szCs w:val="24"/>
        </w:rPr>
        <w:t>Jhoan</w:t>
      </w:r>
      <w:proofErr w:type="spellEnd"/>
      <w:r w:rsidR="00D2685F" w:rsidRPr="00577813">
        <w:rPr>
          <w:rFonts w:ascii="Arial" w:hAnsi="Arial" w:cs="Arial"/>
          <w:szCs w:val="24"/>
        </w:rPr>
        <w:t xml:space="preserve"> </w:t>
      </w:r>
      <w:r w:rsidR="005D09BB" w:rsidRPr="00577813">
        <w:rPr>
          <w:rFonts w:ascii="Arial" w:hAnsi="Arial" w:cs="Arial"/>
          <w:szCs w:val="24"/>
        </w:rPr>
        <w:t>Sebastián</w:t>
      </w:r>
      <w:r w:rsidR="00D2685F" w:rsidRPr="00577813">
        <w:rPr>
          <w:rFonts w:ascii="Arial" w:hAnsi="Arial" w:cs="Arial"/>
          <w:szCs w:val="24"/>
        </w:rPr>
        <w:t xml:space="preserve"> Ortiz Varón, en calidad de cónyuge supérstite e hijo menor del causante</w:t>
      </w:r>
      <w:r w:rsidR="0036344F" w:rsidRPr="00577813">
        <w:rPr>
          <w:rFonts w:ascii="Arial" w:hAnsi="Arial" w:cs="Arial"/>
          <w:szCs w:val="24"/>
        </w:rPr>
        <w:t xml:space="preserve">, </w:t>
      </w:r>
      <w:r w:rsidR="00DC65D8" w:rsidRPr="00577813">
        <w:rPr>
          <w:rFonts w:ascii="Arial" w:hAnsi="Arial" w:cs="Arial"/>
          <w:szCs w:val="24"/>
        </w:rPr>
        <w:t xml:space="preserve">desde </w:t>
      </w:r>
      <w:r w:rsidR="00072E96" w:rsidRPr="00577813">
        <w:rPr>
          <w:rFonts w:ascii="Arial" w:hAnsi="Arial" w:cs="Arial"/>
          <w:szCs w:val="24"/>
        </w:rPr>
        <w:t xml:space="preserve">el 7 de agosto de 2003, </w:t>
      </w:r>
      <w:r w:rsidR="0036344F" w:rsidRPr="00577813">
        <w:rPr>
          <w:rFonts w:ascii="Arial" w:hAnsi="Arial" w:cs="Arial"/>
          <w:szCs w:val="24"/>
        </w:rPr>
        <w:t xml:space="preserve">declarando respecto de la primera, la prosperidad de la excepción de prescripción de las mesadas </w:t>
      </w:r>
      <w:r w:rsidR="00202326" w:rsidRPr="00577813">
        <w:rPr>
          <w:rFonts w:ascii="Arial" w:hAnsi="Arial" w:cs="Arial"/>
          <w:szCs w:val="24"/>
        </w:rPr>
        <w:t xml:space="preserve">pensionales </w:t>
      </w:r>
      <w:r w:rsidR="0036344F" w:rsidRPr="00577813">
        <w:rPr>
          <w:rFonts w:ascii="Arial" w:hAnsi="Arial" w:cs="Arial"/>
          <w:szCs w:val="24"/>
        </w:rPr>
        <w:t xml:space="preserve">causadas con antelación al 11 de julio de 2009. </w:t>
      </w:r>
    </w:p>
    <w:p w:rsidR="00072E96" w:rsidRPr="00577813" w:rsidRDefault="00072E96" w:rsidP="00577813">
      <w:pPr>
        <w:pStyle w:val="Sinespaciado"/>
        <w:spacing w:line="288" w:lineRule="auto"/>
        <w:rPr>
          <w:rFonts w:ascii="Arial" w:hAnsi="Arial" w:cs="Arial"/>
          <w:szCs w:val="24"/>
        </w:rPr>
      </w:pPr>
    </w:p>
    <w:p w:rsidR="00D2685F" w:rsidRPr="00577813" w:rsidRDefault="0036344F" w:rsidP="00577813">
      <w:pPr>
        <w:spacing w:line="288" w:lineRule="auto"/>
        <w:ind w:firstLine="900"/>
        <w:jc w:val="both"/>
        <w:rPr>
          <w:rFonts w:ascii="Arial" w:hAnsi="Arial" w:cs="Arial"/>
          <w:szCs w:val="24"/>
        </w:rPr>
      </w:pPr>
      <w:r w:rsidRPr="00577813">
        <w:rPr>
          <w:rFonts w:ascii="Arial" w:hAnsi="Arial" w:cs="Arial"/>
          <w:szCs w:val="24"/>
        </w:rPr>
        <w:t xml:space="preserve">En consecuencia, condenó a Colpensiones al reconocimiento y pago </w:t>
      </w:r>
      <w:r w:rsidR="008C6E98" w:rsidRPr="00577813">
        <w:rPr>
          <w:rFonts w:ascii="Arial" w:hAnsi="Arial" w:cs="Arial"/>
          <w:szCs w:val="24"/>
        </w:rPr>
        <w:t xml:space="preserve">de </w:t>
      </w:r>
      <w:r w:rsidRPr="00577813">
        <w:rPr>
          <w:rFonts w:ascii="Arial" w:hAnsi="Arial" w:cs="Arial"/>
          <w:szCs w:val="24"/>
        </w:rPr>
        <w:t>la pensión de sobrevivientes</w:t>
      </w:r>
      <w:r w:rsidR="008C6E98" w:rsidRPr="00577813">
        <w:rPr>
          <w:rFonts w:ascii="Arial" w:hAnsi="Arial" w:cs="Arial"/>
          <w:szCs w:val="24"/>
        </w:rPr>
        <w:t xml:space="preserve"> en favor del tercero interviniente y de la demandante, en un 50 % para cada uno</w:t>
      </w:r>
      <w:r w:rsidRPr="00577813">
        <w:rPr>
          <w:rFonts w:ascii="Arial" w:hAnsi="Arial" w:cs="Arial"/>
          <w:szCs w:val="24"/>
        </w:rPr>
        <w:t>, hasta el 30 de mayo de 2</w:t>
      </w:r>
      <w:r w:rsidR="008C6E98" w:rsidRPr="00577813">
        <w:rPr>
          <w:rFonts w:ascii="Arial" w:hAnsi="Arial" w:cs="Arial"/>
          <w:szCs w:val="24"/>
        </w:rPr>
        <w:t xml:space="preserve">010, </w:t>
      </w:r>
      <w:r w:rsidRPr="00577813">
        <w:rPr>
          <w:rFonts w:ascii="Arial" w:hAnsi="Arial" w:cs="Arial"/>
          <w:szCs w:val="24"/>
        </w:rPr>
        <w:t xml:space="preserve">acrecentada </w:t>
      </w:r>
      <w:r w:rsidR="008C6E98" w:rsidRPr="00577813">
        <w:rPr>
          <w:rFonts w:ascii="Arial" w:hAnsi="Arial" w:cs="Arial"/>
          <w:szCs w:val="24"/>
        </w:rPr>
        <w:t xml:space="preserve">para la demandante </w:t>
      </w:r>
      <w:r w:rsidRPr="00577813">
        <w:rPr>
          <w:rFonts w:ascii="Arial" w:hAnsi="Arial" w:cs="Arial"/>
          <w:szCs w:val="24"/>
        </w:rPr>
        <w:t xml:space="preserve">en un 100% a partir del 1º de junio de 2010. </w:t>
      </w:r>
      <w:r w:rsidR="00D666DD" w:rsidRPr="00577813">
        <w:rPr>
          <w:rFonts w:ascii="Arial" w:hAnsi="Arial" w:cs="Arial"/>
          <w:szCs w:val="24"/>
        </w:rPr>
        <w:t xml:space="preserve"> </w:t>
      </w:r>
      <w:r w:rsidR="00202326" w:rsidRPr="00577813">
        <w:rPr>
          <w:rFonts w:ascii="Arial" w:hAnsi="Arial" w:cs="Arial"/>
          <w:szCs w:val="24"/>
        </w:rPr>
        <w:t xml:space="preserve">Condenó </w:t>
      </w:r>
      <w:r w:rsidR="00D666DD" w:rsidRPr="00577813">
        <w:rPr>
          <w:rFonts w:ascii="Arial" w:hAnsi="Arial" w:cs="Arial"/>
          <w:szCs w:val="24"/>
        </w:rPr>
        <w:t xml:space="preserve">a título de retroactivo a favor de </w:t>
      </w:r>
      <w:proofErr w:type="spellStart"/>
      <w:r w:rsidR="00D666DD" w:rsidRPr="00577813">
        <w:rPr>
          <w:rFonts w:ascii="Arial" w:hAnsi="Arial" w:cs="Arial"/>
          <w:szCs w:val="24"/>
        </w:rPr>
        <w:t>Jhoan</w:t>
      </w:r>
      <w:proofErr w:type="spellEnd"/>
      <w:r w:rsidR="00D666DD" w:rsidRPr="00577813">
        <w:rPr>
          <w:rFonts w:ascii="Arial" w:hAnsi="Arial" w:cs="Arial"/>
          <w:szCs w:val="24"/>
        </w:rPr>
        <w:t xml:space="preserve"> Sebastián la </w:t>
      </w:r>
      <w:r w:rsidR="00202326" w:rsidRPr="00577813">
        <w:rPr>
          <w:rFonts w:ascii="Arial" w:hAnsi="Arial" w:cs="Arial"/>
          <w:szCs w:val="24"/>
        </w:rPr>
        <w:t xml:space="preserve">suma de $23`401.015 </w:t>
      </w:r>
      <w:r w:rsidR="00D666DD" w:rsidRPr="00577813">
        <w:rPr>
          <w:rFonts w:ascii="Arial" w:hAnsi="Arial" w:cs="Arial"/>
          <w:szCs w:val="24"/>
        </w:rPr>
        <w:t>y de $ 60.050.487 a favor de Blanca Mery Varón Loaiza. Condenó en costas procesales a la parte vencida en juicio en un 80 %.</w:t>
      </w:r>
    </w:p>
    <w:p w:rsidR="009C1321" w:rsidRPr="00577813" w:rsidRDefault="009C1321" w:rsidP="00577813">
      <w:pPr>
        <w:pStyle w:val="Sinespaciado"/>
        <w:spacing w:line="288" w:lineRule="auto"/>
        <w:rPr>
          <w:rFonts w:ascii="Arial" w:hAnsi="Arial" w:cs="Arial"/>
          <w:szCs w:val="24"/>
        </w:rPr>
      </w:pPr>
    </w:p>
    <w:p w:rsidR="009C1321" w:rsidRPr="00577813" w:rsidRDefault="009C1321" w:rsidP="00577813">
      <w:pPr>
        <w:spacing w:line="288" w:lineRule="auto"/>
        <w:ind w:firstLine="900"/>
        <w:jc w:val="both"/>
        <w:rPr>
          <w:rFonts w:ascii="Arial" w:hAnsi="Arial" w:cs="Arial"/>
          <w:szCs w:val="24"/>
        </w:rPr>
      </w:pPr>
      <w:r w:rsidRPr="00577813">
        <w:rPr>
          <w:rFonts w:ascii="Arial" w:hAnsi="Arial" w:cs="Arial"/>
          <w:szCs w:val="24"/>
        </w:rPr>
        <w:t xml:space="preserve">En la motiva, luego de apoyarse en pronunciamientos de la Corte Constitucional, estimó que el afiliado fallecido dejó causado el derecho a la pensión, por haber colmado la densidad de semanas exigidas en el Acuerdo 049 de 1990, en aplicación del principio de la condición más beneficiosa. De otra parte, de las pruebas testimoniales recibidas en la actuación, dio por acreditada la calidad de beneficiaria a la pensión de sobrevivientes de la actora, por haber demostrado convivencia con el fallecido por </w:t>
      </w:r>
      <w:r w:rsidR="00DC65D8" w:rsidRPr="00577813">
        <w:rPr>
          <w:rFonts w:ascii="Arial" w:hAnsi="Arial" w:cs="Arial"/>
          <w:szCs w:val="24"/>
        </w:rPr>
        <w:t xml:space="preserve">un lapso superior </w:t>
      </w:r>
      <w:r w:rsidR="00A0523C" w:rsidRPr="00577813">
        <w:rPr>
          <w:rFonts w:ascii="Arial" w:hAnsi="Arial" w:cs="Arial"/>
          <w:szCs w:val="24"/>
        </w:rPr>
        <w:t xml:space="preserve">a 5 años antes de su deceso. </w:t>
      </w:r>
      <w:r w:rsidR="00185FC9" w:rsidRPr="00577813">
        <w:rPr>
          <w:rFonts w:ascii="Arial" w:hAnsi="Arial" w:cs="Arial"/>
          <w:szCs w:val="24"/>
        </w:rPr>
        <w:t>De otra parte, encontró que el hijo menor del causante ostentaba la calidad de beneficiario de la prestación, en los términos señalados</w:t>
      </w:r>
      <w:r w:rsidR="00A0523C" w:rsidRPr="00577813">
        <w:rPr>
          <w:rFonts w:ascii="Arial" w:hAnsi="Arial" w:cs="Arial"/>
          <w:szCs w:val="24"/>
        </w:rPr>
        <w:t xml:space="preserve"> por </w:t>
      </w:r>
      <w:r w:rsidR="00185FC9" w:rsidRPr="00577813">
        <w:rPr>
          <w:rFonts w:ascii="Arial" w:hAnsi="Arial" w:cs="Arial"/>
          <w:szCs w:val="24"/>
        </w:rPr>
        <w:t xml:space="preserve">el artículo 12 de la Ley 797 de 2003.  </w:t>
      </w:r>
    </w:p>
    <w:p w:rsidR="00A0523C" w:rsidRPr="00577813" w:rsidRDefault="00A0523C" w:rsidP="00577813">
      <w:pPr>
        <w:spacing w:line="288" w:lineRule="auto"/>
        <w:ind w:firstLine="900"/>
        <w:jc w:val="both"/>
        <w:rPr>
          <w:rFonts w:ascii="Arial" w:hAnsi="Arial" w:cs="Arial"/>
          <w:szCs w:val="24"/>
        </w:rPr>
      </w:pPr>
    </w:p>
    <w:p w:rsidR="00A0523C" w:rsidRPr="00577813" w:rsidRDefault="00A0523C" w:rsidP="00577813">
      <w:pPr>
        <w:pStyle w:val="Prrafodelista"/>
        <w:numPr>
          <w:ilvl w:val="0"/>
          <w:numId w:val="1"/>
        </w:numPr>
        <w:spacing w:line="288" w:lineRule="auto"/>
        <w:jc w:val="both"/>
        <w:rPr>
          <w:rFonts w:ascii="Arial" w:hAnsi="Arial" w:cs="Arial"/>
          <w:b/>
          <w:i/>
          <w:szCs w:val="24"/>
        </w:rPr>
      </w:pPr>
      <w:r w:rsidRPr="00577813">
        <w:rPr>
          <w:rFonts w:ascii="Arial" w:hAnsi="Arial" w:cs="Arial"/>
          <w:b/>
          <w:i/>
          <w:szCs w:val="24"/>
        </w:rPr>
        <w:t>CONSULTA</w:t>
      </w:r>
    </w:p>
    <w:p w:rsidR="00A0523C" w:rsidRPr="00577813" w:rsidRDefault="00A0523C" w:rsidP="00577813">
      <w:pPr>
        <w:pStyle w:val="Sinespaciado"/>
        <w:spacing w:line="288" w:lineRule="auto"/>
        <w:rPr>
          <w:rFonts w:ascii="Arial" w:hAnsi="Arial" w:cs="Arial"/>
          <w:szCs w:val="24"/>
          <w:lang w:val="es-MX" w:eastAsia="es-CO"/>
        </w:rPr>
      </w:pPr>
    </w:p>
    <w:p w:rsidR="00A0523C" w:rsidRDefault="00A0523C" w:rsidP="00577813">
      <w:pPr>
        <w:tabs>
          <w:tab w:val="left" w:pos="709"/>
          <w:tab w:val="left" w:pos="8647"/>
        </w:tabs>
        <w:spacing w:line="288" w:lineRule="auto"/>
        <w:ind w:right="191"/>
        <w:jc w:val="both"/>
        <w:rPr>
          <w:rFonts w:ascii="Arial" w:hAnsi="Arial" w:cs="Arial"/>
          <w:iCs/>
          <w:szCs w:val="24"/>
          <w:lang w:val="es-MX" w:eastAsia="es-CO"/>
        </w:rPr>
      </w:pPr>
      <w:r w:rsidRPr="00577813">
        <w:rPr>
          <w:rFonts w:ascii="Arial" w:hAnsi="Arial" w:cs="Arial"/>
          <w:iCs/>
          <w:szCs w:val="24"/>
          <w:lang w:val="es-MX" w:eastAsia="es-CO"/>
        </w:rPr>
        <w:tab/>
        <w:t>Respecto del citado proveído se dispuso el grado jurisdiccional de consulta ante esta Sala y surtido como se encuentra el trámite procesal de la instancia, se procede a desatarlo.</w:t>
      </w:r>
    </w:p>
    <w:p w:rsidR="00577813" w:rsidRPr="00577813" w:rsidRDefault="00577813" w:rsidP="00577813">
      <w:pPr>
        <w:tabs>
          <w:tab w:val="left" w:pos="709"/>
          <w:tab w:val="left" w:pos="8647"/>
        </w:tabs>
        <w:spacing w:line="288" w:lineRule="auto"/>
        <w:ind w:right="191"/>
        <w:jc w:val="both"/>
        <w:rPr>
          <w:rFonts w:ascii="Arial" w:hAnsi="Arial" w:cs="Arial"/>
          <w:szCs w:val="24"/>
          <w:lang w:eastAsia="es-CO"/>
        </w:rPr>
      </w:pPr>
    </w:p>
    <w:p w:rsidR="00C40FE4" w:rsidRPr="00577813" w:rsidRDefault="00C40FE4" w:rsidP="00577813">
      <w:pPr>
        <w:pStyle w:val="Prrafodelista"/>
        <w:numPr>
          <w:ilvl w:val="0"/>
          <w:numId w:val="1"/>
        </w:numPr>
        <w:tabs>
          <w:tab w:val="left" w:pos="0"/>
          <w:tab w:val="left" w:pos="8647"/>
        </w:tabs>
        <w:suppressAutoHyphens/>
        <w:spacing w:line="288" w:lineRule="auto"/>
        <w:jc w:val="both"/>
        <w:rPr>
          <w:rFonts w:ascii="Arial" w:hAnsi="Arial" w:cs="Arial"/>
          <w:szCs w:val="24"/>
        </w:rPr>
      </w:pPr>
      <w:r w:rsidRPr="00577813">
        <w:rPr>
          <w:rFonts w:ascii="Arial" w:hAnsi="Arial" w:cs="Arial"/>
          <w:b/>
          <w:i/>
          <w:szCs w:val="24"/>
        </w:rPr>
        <w:t>ALEGATOS EN ESTA INSTANCIA</w:t>
      </w:r>
      <w:r w:rsidRPr="00577813">
        <w:rPr>
          <w:rFonts w:ascii="Arial" w:hAnsi="Arial" w:cs="Arial"/>
          <w:szCs w:val="24"/>
        </w:rPr>
        <w:t>:</w:t>
      </w:r>
    </w:p>
    <w:p w:rsidR="00C40FE4" w:rsidRPr="00577813" w:rsidRDefault="00C40FE4" w:rsidP="00577813">
      <w:pPr>
        <w:pStyle w:val="Sinespaciado"/>
        <w:spacing w:line="288" w:lineRule="auto"/>
        <w:rPr>
          <w:rFonts w:ascii="Arial" w:hAnsi="Arial" w:cs="Arial"/>
          <w:szCs w:val="24"/>
        </w:rPr>
      </w:pPr>
    </w:p>
    <w:p w:rsidR="00C40FE4" w:rsidRPr="00577813" w:rsidRDefault="00C40FE4" w:rsidP="00577813">
      <w:pPr>
        <w:pStyle w:val="Sinespaciado"/>
        <w:spacing w:line="288" w:lineRule="auto"/>
        <w:ind w:firstLine="708"/>
        <w:jc w:val="both"/>
        <w:rPr>
          <w:rFonts w:ascii="Arial" w:hAnsi="Arial" w:cs="Arial"/>
          <w:szCs w:val="24"/>
        </w:rPr>
      </w:pPr>
      <w:r w:rsidRPr="00577813">
        <w:rPr>
          <w:rFonts w:ascii="Arial" w:hAnsi="Arial" w:cs="Arial"/>
          <w:szCs w:val="24"/>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577813">
          <w:rPr>
            <w:rFonts w:ascii="Arial" w:hAnsi="Arial" w:cs="Arial"/>
            <w:szCs w:val="24"/>
          </w:rPr>
          <w:t>66 A</w:t>
        </w:r>
      </w:smartTag>
      <w:r w:rsidRPr="00577813">
        <w:rPr>
          <w:rFonts w:ascii="Arial" w:hAnsi="Arial" w:cs="Arial"/>
          <w:szCs w:val="24"/>
        </w:rPr>
        <w:t xml:space="preserve"> CPLSS.).</w:t>
      </w:r>
      <w:r w:rsidR="00FE727A" w:rsidRPr="00577813">
        <w:rPr>
          <w:rFonts w:ascii="Arial" w:hAnsi="Arial" w:cs="Arial"/>
          <w:szCs w:val="24"/>
        </w:rPr>
        <w:t xml:space="preserve"> </w:t>
      </w:r>
      <w:r w:rsidRPr="00577813">
        <w:rPr>
          <w:rFonts w:ascii="Arial" w:hAnsi="Arial" w:cs="Arial"/>
          <w:szCs w:val="24"/>
        </w:rPr>
        <w:t>Escuchadas las anteriores intervenciones que en síntesis reflejan los puntos debatidos por los integrantes de la Sala, se procede a decidir lo que corresponda, previas las siguientes:</w:t>
      </w:r>
    </w:p>
    <w:p w:rsidR="00C40FE4" w:rsidRPr="00577813" w:rsidRDefault="00C40FE4" w:rsidP="00577813">
      <w:pPr>
        <w:pStyle w:val="Sinespaciado"/>
        <w:spacing w:line="288" w:lineRule="auto"/>
        <w:rPr>
          <w:rFonts w:ascii="Arial" w:hAnsi="Arial" w:cs="Arial"/>
          <w:szCs w:val="24"/>
          <w:lang w:val="es-MX" w:eastAsia="es-CO"/>
        </w:rPr>
      </w:pPr>
    </w:p>
    <w:p w:rsidR="00C40FE4" w:rsidRPr="00577813" w:rsidRDefault="00C40FE4" w:rsidP="00577813">
      <w:pPr>
        <w:shd w:val="clear" w:color="auto" w:fill="FFFFFF"/>
        <w:spacing w:line="288" w:lineRule="auto"/>
        <w:ind w:firstLine="851"/>
        <w:jc w:val="both"/>
        <w:rPr>
          <w:rFonts w:ascii="Arial" w:hAnsi="Arial" w:cs="Arial"/>
          <w:b/>
          <w:i/>
          <w:iCs/>
          <w:szCs w:val="24"/>
          <w:lang w:val="es-MX" w:eastAsia="es-CO"/>
        </w:rPr>
      </w:pPr>
      <w:r w:rsidRPr="00577813">
        <w:rPr>
          <w:rFonts w:ascii="Arial" w:hAnsi="Arial" w:cs="Arial"/>
          <w:b/>
          <w:i/>
          <w:iCs/>
          <w:szCs w:val="24"/>
          <w:lang w:val="es-MX" w:eastAsia="es-CO"/>
        </w:rPr>
        <w:lastRenderedPageBreak/>
        <w:t>CONSIDERACIONES</w:t>
      </w:r>
    </w:p>
    <w:p w:rsidR="00C40FE4" w:rsidRPr="00577813" w:rsidRDefault="00C40FE4" w:rsidP="00577813">
      <w:pPr>
        <w:pStyle w:val="Sinespaciado"/>
        <w:spacing w:line="288" w:lineRule="auto"/>
        <w:rPr>
          <w:rFonts w:ascii="Arial" w:hAnsi="Arial" w:cs="Arial"/>
          <w:szCs w:val="24"/>
        </w:rPr>
      </w:pPr>
    </w:p>
    <w:p w:rsidR="00C40FE4" w:rsidRPr="00577813" w:rsidRDefault="00C40FE4" w:rsidP="00577813">
      <w:pPr>
        <w:shd w:val="clear" w:color="auto" w:fill="FFFFFF"/>
        <w:tabs>
          <w:tab w:val="left" w:pos="5197"/>
        </w:tabs>
        <w:spacing w:line="288" w:lineRule="auto"/>
        <w:ind w:firstLine="851"/>
        <w:jc w:val="both"/>
        <w:rPr>
          <w:rFonts w:ascii="Arial" w:hAnsi="Arial" w:cs="Arial"/>
          <w:b/>
          <w:i/>
          <w:szCs w:val="24"/>
        </w:rPr>
      </w:pPr>
      <w:r w:rsidRPr="00577813">
        <w:rPr>
          <w:rFonts w:ascii="Arial" w:hAnsi="Arial" w:cs="Arial"/>
          <w:b/>
          <w:i/>
          <w:szCs w:val="24"/>
        </w:rPr>
        <w:t>Del problema jurídico.</w:t>
      </w:r>
    </w:p>
    <w:p w:rsidR="00C40FE4" w:rsidRPr="00577813" w:rsidRDefault="00C40FE4" w:rsidP="00577813">
      <w:pPr>
        <w:pStyle w:val="Sinespaciado"/>
        <w:spacing w:line="288" w:lineRule="auto"/>
        <w:rPr>
          <w:rFonts w:ascii="Arial" w:hAnsi="Arial" w:cs="Arial"/>
          <w:szCs w:val="24"/>
        </w:rPr>
      </w:pPr>
    </w:p>
    <w:p w:rsidR="00C40FE4" w:rsidRPr="00577813" w:rsidRDefault="00C40FE4" w:rsidP="00577813">
      <w:pPr>
        <w:shd w:val="clear" w:color="auto" w:fill="FFFFFF"/>
        <w:tabs>
          <w:tab w:val="left" w:pos="5197"/>
        </w:tabs>
        <w:spacing w:line="288" w:lineRule="auto"/>
        <w:ind w:firstLine="851"/>
        <w:jc w:val="both"/>
        <w:rPr>
          <w:rFonts w:ascii="Arial" w:hAnsi="Arial" w:cs="Arial"/>
          <w:szCs w:val="24"/>
          <w:lang w:eastAsia="es-CO"/>
        </w:rPr>
      </w:pPr>
      <w:r w:rsidRPr="00577813">
        <w:rPr>
          <w:rFonts w:ascii="Arial" w:hAnsi="Arial" w:cs="Arial"/>
          <w:szCs w:val="24"/>
          <w:lang w:eastAsia="es-CO"/>
        </w:rPr>
        <w:t xml:space="preserve">En orden a resolver el grado jurisdiccional de consulta, la Sala deberá abordar el siguiente problema jurídico: </w:t>
      </w:r>
    </w:p>
    <w:p w:rsidR="00FE727A" w:rsidRPr="00577813" w:rsidRDefault="00FE727A" w:rsidP="00577813">
      <w:pPr>
        <w:pStyle w:val="Sinespaciado"/>
        <w:spacing w:line="288" w:lineRule="auto"/>
        <w:rPr>
          <w:rFonts w:ascii="Arial" w:hAnsi="Arial" w:cs="Arial"/>
          <w:szCs w:val="24"/>
        </w:rPr>
      </w:pPr>
    </w:p>
    <w:p w:rsidR="00FE727A" w:rsidRPr="00577813" w:rsidRDefault="00FE727A" w:rsidP="00577813">
      <w:pPr>
        <w:shd w:val="clear" w:color="auto" w:fill="FFFFFF"/>
        <w:tabs>
          <w:tab w:val="left" w:pos="5197"/>
        </w:tabs>
        <w:spacing w:line="288" w:lineRule="auto"/>
        <w:ind w:firstLine="851"/>
        <w:jc w:val="both"/>
        <w:rPr>
          <w:rFonts w:ascii="Arial" w:hAnsi="Arial" w:cs="Arial"/>
          <w:i/>
          <w:szCs w:val="24"/>
          <w:lang w:eastAsia="es-CO"/>
        </w:rPr>
      </w:pPr>
      <w:r w:rsidRPr="00577813">
        <w:rPr>
          <w:rFonts w:ascii="Arial" w:hAnsi="Arial" w:cs="Arial"/>
          <w:i/>
          <w:szCs w:val="24"/>
          <w:lang w:eastAsia="es-CO"/>
        </w:rPr>
        <w:t>¿El afiliado fallecido Homero Ortiz Rodríguez dejó causado el derecho a la pensión</w:t>
      </w:r>
      <w:r w:rsidR="00C678B8" w:rsidRPr="00577813">
        <w:rPr>
          <w:rFonts w:ascii="Arial" w:hAnsi="Arial" w:cs="Arial"/>
          <w:i/>
          <w:szCs w:val="24"/>
          <w:lang w:eastAsia="es-CO"/>
        </w:rPr>
        <w:t xml:space="preserve"> de sobrevivientes, en aplicación del principio de la condición más beneficiosa? En caso positivo, </w:t>
      </w:r>
    </w:p>
    <w:p w:rsidR="00C40FE4" w:rsidRPr="00577813" w:rsidRDefault="00C40FE4" w:rsidP="00577813">
      <w:pPr>
        <w:pStyle w:val="Sinespaciado"/>
        <w:spacing w:line="288" w:lineRule="auto"/>
        <w:rPr>
          <w:rFonts w:ascii="Arial" w:hAnsi="Arial" w:cs="Arial"/>
          <w:szCs w:val="24"/>
        </w:rPr>
      </w:pPr>
    </w:p>
    <w:p w:rsidR="00C40FE4" w:rsidRPr="00577813" w:rsidRDefault="00C678B8" w:rsidP="00577813">
      <w:pPr>
        <w:shd w:val="clear" w:color="auto" w:fill="FFFFFF"/>
        <w:tabs>
          <w:tab w:val="left" w:pos="5197"/>
        </w:tabs>
        <w:spacing w:line="288" w:lineRule="auto"/>
        <w:ind w:firstLine="851"/>
        <w:jc w:val="both"/>
        <w:rPr>
          <w:rFonts w:ascii="Arial" w:hAnsi="Arial" w:cs="Arial"/>
          <w:i/>
          <w:szCs w:val="24"/>
          <w:lang w:eastAsia="es-CO"/>
        </w:rPr>
      </w:pPr>
      <w:r w:rsidRPr="00577813">
        <w:rPr>
          <w:rFonts w:ascii="Arial" w:hAnsi="Arial" w:cs="Arial"/>
          <w:i/>
          <w:szCs w:val="24"/>
          <w:lang w:eastAsia="es-CO"/>
        </w:rPr>
        <w:t xml:space="preserve">¿Acreditaron Blanca </w:t>
      </w:r>
      <w:r w:rsidR="00FE727A" w:rsidRPr="00577813">
        <w:rPr>
          <w:rFonts w:ascii="Arial" w:hAnsi="Arial" w:cs="Arial"/>
          <w:i/>
          <w:szCs w:val="24"/>
          <w:lang w:eastAsia="es-CO"/>
        </w:rPr>
        <w:t>Mary</w:t>
      </w:r>
      <w:r w:rsidRPr="00577813">
        <w:rPr>
          <w:rFonts w:ascii="Arial" w:hAnsi="Arial" w:cs="Arial"/>
          <w:i/>
          <w:szCs w:val="24"/>
          <w:lang w:eastAsia="es-CO"/>
        </w:rPr>
        <w:t xml:space="preserve"> Varón Loaiza y el tercero interviniente </w:t>
      </w:r>
      <w:proofErr w:type="spellStart"/>
      <w:r w:rsidRPr="00577813">
        <w:rPr>
          <w:rFonts w:ascii="Arial" w:hAnsi="Arial" w:cs="Arial"/>
          <w:i/>
          <w:szCs w:val="24"/>
          <w:lang w:eastAsia="es-CO"/>
        </w:rPr>
        <w:t>Jhoan</w:t>
      </w:r>
      <w:proofErr w:type="spellEnd"/>
      <w:r w:rsidRPr="00577813">
        <w:rPr>
          <w:rFonts w:ascii="Arial" w:hAnsi="Arial" w:cs="Arial"/>
          <w:i/>
          <w:szCs w:val="24"/>
          <w:lang w:eastAsia="es-CO"/>
        </w:rPr>
        <w:t xml:space="preserve"> </w:t>
      </w:r>
      <w:r w:rsidR="000A3DC0" w:rsidRPr="00577813">
        <w:rPr>
          <w:rFonts w:ascii="Arial" w:hAnsi="Arial" w:cs="Arial"/>
          <w:i/>
          <w:szCs w:val="24"/>
          <w:lang w:eastAsia="es-CO"/>
        </w:rPr>
        <w:t>Sebastián</w:t>
      </w:r>
      <w:r w:rsidRPr="00577813">
        <w:rPr>
          <w:rFonts w:ascii="Arial" w:hAnsi="Arial" w:cs="Arial"/>
          <w:i/>
          <w:szCs w:val="24"/>
          <w:lang w:eastAsia="es-CO"/>
        </w:rPr>
        <w:t xml:space="preserve"> </w:t>
      </w:r>
      <w:r w:rsidR="00DA2885" w:rsidRPr="00577813">
        <w:rPr>
          <w:rFonts w:ascii="Arial" w:hAnsi="Arial" w:cs="Arial"/>
          <w:i/>
          <w:szCs w:val="24"/>
          <w:lang w:eastAsia="es-CO"/>
        </w:rPr>
        <w:t>Ortiz</w:t>
      </w:r>
      <w:r w:rsidRPr="00577813">
        <w:rPr>
          <w:rFonts w:ascii="Arial" w:hAnsi="Arial" w:cs="Arial"/>
          <w:i/>
          <w:szCs w:val="24"/>
          <w:lang w:eastAsia="es-CO"/>
        </w:rPr>
        <w:t xml:space="preserve"> Varón</w:t>
      </w:r>
      <w:r w:rsidR="000A3DC0" w:rsidRPr="00577813">
        <w:rPr>
          <w:rFonts w:ascii="Arial" w:hAnsi="Arial" w:cs="Arial"/>
          <w:i/>
          <w:szCs w:val="24"/>
          <w:lang w:eastAsia="es-CO"/>
        </w:rPr>
        <w:t>, l</w:t>
      </w:r>
      <w:r w:rsidRPr="00577813">
        <w:rPr>
          <w:rFonts w:ascii="Arial" w:hAnsi="Arial" w:cs="Arial"/>
          <w:i/>
          <w:szCs w:val="24"/>
          <w:lang w:eastAsia="es-CO"/>
        </w:rPr>
        <w:t>as condiciones necesarias para ser beneficiarios de la pensión de sobrevivientes reclamada?</w:t>
      </w:r>
    </w:p>
    <w:p w:rsidR="00C40FE4" w:rsidRPr="00577813" w:rsidRDefault="00C40FE4" w:rsidP="00577813">
      <w:pPr>
        <w:pStyle w:val="Sinespaciado"/>
        <w:spacing w:line="288" w:lineRule="auto"/>
        <w:rPr>
          <w:rFonts w:ascii="Arial" w:hAnsi="Arial" w:cs="Arial"/>
          <w:szCs w:val="24"/>
        </w:rPr>
      </w:pPr>
    </w:p>
    <w:p w:rsidR="00C40FE4" w:rsidRPr="00577813" w:rsidRDefault="00C40FE4" w:rsidP="00577813">
      <w:pPr>
        <w:pStyle w:val="Sinespaciado"/>
        <w:spacing w:line="288" w:lineRule="auto"/>
        <w:ind w:firstLine="708"/>
        <w:jc w:val="both"/>
        <w:rPr>
          <w:rFonts w:ascii="Arial" w:hAnsi="Arial" w:cs="Arial"/>
          <w:b/>
          <w:i/>
          <w:szCs w:val="24"/>
          <w:lang w:eastAsia="en-US"/>
        </w:rPr>
      </w:pPr>
      <w:r w:rsidRPr="00577813">
        <w:rPr>
          <w:rFonts w:ascii="Arial" w:hAnsi="Arial" w:cs="Arial"/>
          <w:b/>
          <w:i/>
          <w:szCs w:val="24"/>
          <w:lang w:eastAsia="en-US"/>
        </w:rPr>
        <w:t>Desenvolvimiento de la problemática planteada</w:t>
      </w:r>
    </w:p>
    <w:p w:rsidR="00C40FE4" w:rsidRPr="00577813" w:rsidRDefault="00C40FE4" w:rsidP="00577813">
      <w:pPr>
        <w:pStyle w:val="Sinespaciado"/>
        <w:spacing w:line="288" w:lineRule="auto"/>
        <w:rPr>
          <w:rFonts w:ascii="Arial" w:hAnsi="Arial" w:cs="Arial"/>
          <w:szCs w:val="24"/>
        </w:rPr>
      </w:pPr>
    </w:p>
    <w:p w:rsidR="001252F3" w:rsidRPr="00577813" w:rsidRDefault="00DA2885" w:rsidP="00577813">
      <w:pPr>
        <w:spacing w:line="288" w:lineRule="auto"/>
        <w:ind w:firstLine="708"/>
        <w:jc w:val="both"/>
        <w:rPr>
          <w:rFonts w:ascii="Arial" w:hAnsi="Arial" w:cs="Arial"/>
          <w:szCs w:val="24"/>
          <w:lang w:eastAsia="en-US"/>
        </w:rPr>
      </w:pPr>
      <w:r w:rsidRPr="00577813">
        <w:rPr>
          <w:rFonts w:ascii="Arial" w:hAnsi="Arial" w:cs="Arial"/>
          <w:szCs w:val="24"/>
          <w:lang w:eastAsia="en-US"/>
        </w:rPr>
        <w:t>S</w:t>
      </w:r>
      <w:r w:rsidR="000A3DC0" w:rsidRPr="00577813">
        <w:rPr>
          <w:rFonts w:ascii="Arial" w:hAnsi="Arial" w:cs="Arial"/>
          <w:szCs w:val="24"/>
          <w:lang w:eastAsia="en-US"/>
        </w:rPr>
        <w:t>on supuestos fácticos no controvertido</w:t>
      </w:r>
      <w:r w:rsidR="009D2A64" w:rsidRPr="00577813">
        <w:rPr>
          <w:rFonts w:ascii="Arial" w:hAnsi="Arial" w:cs="Arial"/>
          <w:szCs w:val="24"/>
          <w:lang w:eastAsia="en-US"/>
        </w:rPr>
        <w:t>s</w:t>
      </w:r>
      <w:r w:rsidR="000A3DC0" w:rsidRPr="00577813">
        <w:rPr>
          <w:rFonts w:ascii="Arial" w:hAnsi="Arial" w:cs="Arial"/>
          <w:szCs w:val="24"/>
          <w:lang w:eastAsia="en-US"/>
        </w:rPr>
        <w:t xml:space="preserve">: (i) que </w:t>
      </w:r>
      <w:r w:rsidRPr="00577813">
        <w:rPr>
          <w:rFonts w:ascii="Arial" w:hAnsi="Arial" w:cs="Arial"/>
          <w:szCs w:val="24"/>
          <w:lang w:eastAsia="en-US"/>
        </w:rPr>
        <w:t xml:space="preserve">el señor </w:t>
      </w:r>
      <w:r w:rsidR="000A3DC0" w:rsidRPr="00577813">
        <w:rPr>
          <w:rFonts w:ascii="Arial" w:hAnsi="Arial" w:cs="Arial"/>
          <w:szCs w:val="24"/>
          <w:lang w:eastAsia="en-US"/>
        </w:rPr>
        <w:t xml:space="preserve">Homero Ortiz Rodríguez </w:t>
      </w:r>
      <w:r w:rsidR="00F612CE" w:rsidRPr="00577813">
        <w:rPr>
          <w:rFonts w:ascii="Arial" w:hAnsi="Arial" w:cs="Arial"/>
          <w:szCs w:val="24"/>
          <w:lang w:eastAsia="en-US"/>
        </w:rPr>
        <w:t>fue declarado</w:t>
      </w:r>
      <w:r w:rsidR="00286BE4" w:rsidRPr="00577813">
        <w:rPr>
          <w:rFonts w:ascii="Arial" w:hAnsi="Arial" w:cs="Arial"/>
          <w:szCs w:val="24"/>
          <w:lang w:eastAsia="en-US"/>
        </w:rPr>
        <w:t xml:space="preserve"> </w:t>
      </w:r>
      <w:r w:rsidR="00A479A5" w:rsidRPr="00577813">
        <w:rPr>
          <w:rFonts w:ascii="Arial" w:hAnsi="Arial" w:cs="Arial"/>
          <w:szCs w:val="24"/>
          <w:lang w:eastAsia="en-US"/>
        </w:rPr>
        <w:t xml:space="preserve">fallecido </w:t>
      </w:r>
      <w:r w:rsidR="00286BE4" w:rsidRPr="00577813">
        <w:rPr>
          <w:rFonts w:ascii="Arial" w:hAnsi="Arial" w:cs="Arial"/>
          <w:szCs w:val="24"/>
          <w:lang w:eastAsia="en-US"/>
        </w:rPr>
        <w:t>el 7 de agosto de 2003, a través de la sentencia dic</w:t>
      </w:r>
      <w:r w:rsidR="00A479A5" w:rsidRPr="00577813">
        <w:rPr>
          <w:rFonts w:ascii="Arial" w:hAnsi="Arial" w:cs="Arial"/>
          <w:szCs w:val="24"/>
          <w:lang w:eastAsia="en-US"/>
        </w:rPr>
        <w:t>t</w:t>
      </w:r>
      <w:r w:rsidR="00286BE4" w:rsidRPr="00577813">
        <w:rPr>
          <w:rFonts w:ascii="Arial" w:hAnsi="Arial" w:cs="Arial"/>
          <w:szCs w:val="24"/>
          <w:lang w:eastAsia="en-US"/>
        </w:rPr>
        <w:t xml:space="preserve">ada por el Juzgado </w:t>
      </w:r>
      <w:r w:rsidR="00BD3465" w:rsidRPr="00577813">
        <w:rPr>
          <w:rFonts w:ascii="Arial" w:hAnsi="Arial" w:cs="Arial"/>
          <w:szCs w:val="24"/>
          <w:lang w:eastAsia="en-US"/>
        </w:rPr>
        <w:t xml:space="preserve">1º </w:t>
      </w:r>
      <w:r w:rsidR="00A479A5" w:rsidRPr="00577813">
        <w:rPr>
          <w:rFonts w:ascii="Arial" w:hAnsi="Arial" w:cs="Arial"/>
          <w:szCs w:val="24"/>
          <w:lang w:eastAsia="en-US"/>
        </w:rPr>
        <w:t xml:space="preserve">de Familia de Cartago el </w:t>
      </w:r>
      <w:r w:rsidR="00286BE4" w:rsidRPr="00577813">
        <w:rPr>
          <w:rFonts w:ascii="Arial" w:hAnsi="Arial" w:cs="Arial"/>
          <w:szCs w:val="24"/>
          <w:lang w:eastAsia="en-US"/>
        </w:rPr>
        <w:t xml:space="preserve">31 de enero de 2012, </w:t>
      </w:r>
      <w:r w:rsidR="000A3DC0" w:rsidRPr="00577813">
        <w:rPr>
          <w:rFonts w:ascii="Arial" w:hAnsi="Arial" w:cs="Arial"/>
          <w:szCs w:val="24"/>
          <w:lang w:eastAsia="en-US"/>
        </w:rPr>
        <w:t>tal como se colige del registro civil de defunción visible a fl.</w:t>
      </w:r>
      <w:r w:rsidR="001252F3" w:rsidRPr="00577813">
        <w:rPr>
          <w:rFonts w:ascii="Arial" w:hAnsi="Arial" w:cs="Arial"/>
          <w:szCs w:val="24"/>
          <w:lang w:eastAsia="en-US"/>
        </w:rPr>
        <w:t>17</w:t>
      </w:r>
      <w:r w:rsidR="000A3DC0" w:rsidRPr="00577813">
        <w:rPr>
          <w:rFonts w:ascii="Arial" w:hAnsi="Arial" w:cs="Arial"/>
          <w:szCs w:val="24"/>
          <w:lang w:eastAsia="en-US"/>
        </w:rPr>
        <w:t xml:space="preserve">; (ii) que </w:t>
      </w:r>
      <w:r w:rsidR="009D2A64" w:rsidRPr="00577813">
        <w:rPr>
          <w:rFonts w:ascii="Arial" w:hAnsi="Arial" w:cs="Arial"/>
          <w:szCs w:val="24"/>
          <w:lang w:eastAsia="en-US"/>
        </w:rPr>
        <w:t xml:space="preserve">aquel </w:t>
      </w:r>
      <w:r w:rsidR="00BD3465" w:rsidRPr="00577813">
        <w:rPr>
          <w:rFonts w:ascii="Arial" w:hAnsi="Arial" w:cs="Arial"/>
          <w:szCs w:val="24"/>
          <w:lang w:eastAsia="en-US"/>
        </w:rPr>
        <w:t xml:space="preserve">había sufragado </w:t>
      </w:r>
      <w:r w:rsidR="00A479A5" w:rsidRPr="00577813">
        <w:rPr>
          <w:rFonts w:ascii="Arial" w:hAnsi="Arial" w:cs="Arial"/>
          <w:szCs w:val="24"/>
          <w:lang w:eastAsia="en-US"/>
        </w:rPr>
        <w:t xml:space="preserve">un </w:t>
      </w:r>
      <w:r w:rsidR="000A3DC0" w:rsidRPr="00577813">
        <w:rPr>
          <w:rFonts w:ascii="Arial" w:hAnsi="Arial" w:cs="Arial"/>
          <w:szCs w:val="24"/>
          <w:lang w:eastAsia="en-US"/>
        </w:rPr>
        <w:t xml:space="preserve">total de </w:t>
      </w:r>
      <w:r w:rsidR="001252F3" w:rsidRPr="00577813">
        <w:rPr>
          <w:rFonts w:ascii="Arial" w:hAnsi="Arial" w:cs="Arial"/>
          <w:szCs w:val="24"/>
          <w:lang w:eastAsia="en-US"/>
        </w:rPr>
        <w:t xml:space="preserve">847 </w:t>
      </w:r>
      <w:r w:rsidR="000A3DC0" w:rsidRPr="00577813">
        <w:rPr>
          <w:rFonts w:ascii="Arial" w:hAnsi="Arial" w:cs="Arial"/>
          <w:szCs w:val="24"/>
          <w:lang w:eastAsia="en-US"/>
        </w:rPr>
        <w:t xml:space="preserve">semanas al ISS entre el </w:t>
      </w:r>
      <w:r w:rsidR="001252F3" w:rsidRPr="00577813">
        <w:rPr>
          <w:rFonts w:ascii="Arial" w:hAnsi="Arial" w:cs="Arial"/>
          <w:szCs w:val="24"/>
          <w:lang w:eastAsia="en-US"/>
        </w:rPr>
        <w:t>6 de mayo de 1980 y el 31 de agosto de 1998</w:t>
      </w:r>
      <w:r w:rsidR="008B0D31" w:rsidRPr="00577813">
        <w:rPr>
          <w:rFonts w:ascii="Arial" w:hAnsi="Arial" w:cs="Arial"/>
          <w:szCs w:val="24"/>
          <w:lang w:eastAsia="en-US"/>
        </w:rPr>
        <w:t xml:space="preserve">, de las cuales más de 300 lo fueron antes del 1º de abril de 1994, </w:t>
      </w:r>
      <w:r w:rsidR="000A3DC0" w:rsidRPr="00577813">
        <w:rPr>
          <w:rFonts w:ascii="Arial" w:hAnsi="Arial" w:cs="Arial"/>
          <w:szCs w:val="24"/>
          <w:lang w:eastAsia="en-US"/>
        </w:rPr>
        <w:t>según la historia laboral que obra a fl.</w:t>
      </w:r>
      <w:r w:rsidR="001252F3" w:rsidRPr="00577813">
        <w:rPr>
          <w:rFonts w:ascii="Arial" w:hAnsi="Arial" w:cs="Arial"/>
          <w:szCs w:val="24"/>
          <w:lang w:eastAsia="en-US"/>
        </w:rPr>
        <w:t>76</w:t>
      </w:r>
      <w:r w:rsidR="000A3DC0" w:rsidRPr="00577813">
        <w:rPr>
          <w:rFonts w:ascii="Arial" w:hAnsi="Arial" w:cs="Arial"/>
          <w:szCs w:val="24"/>
          <w:lang w:eastAsia="en-US"/>
        </w:rPr>
        <w:t xml:space="preserve">, (iii) que la </w:t>
      </w:r>
      <w:r w:rsidR="00A479A5" w:rsidRPr="00577813">
        <w:rPr>
          <w:rFonts w:ascii="Arial" w:hAnsi="Arial" w:cs="Arial"/>
          <w:szCs w:val="24"/>
          <w:lang w:eastAsia="en-US"/>
        </w:rPr>
        <w:t xml:space="preserve">actora </w:t>
      </w:r>
      <w:r w:rsidR="000A3DC0" w:rsidRPr="00577813">
        <w:rPr>
          <w:rFonts w:ascii="Arial" w:hAnsi="Arial" w:cs="Arial"/>
          <w:szCs w:val="24"/>
          <w:lang w:eastAsia="en-US"/>
        </w:rPr>
        <w:t xml:space="preserve">y el causante </w:t>
      </w:r>
      <w:r w:rsidR="001252F3" w:rsidRPr="00577813">
        <w:rPr>
          <w:rFonts w:ascii="Arial" w:hAnsi="Arial" w:cs="Arial"/>
          <w:szCs w:val="24"/>
          <w:lang w:eastAsia="en-US"/>
        </w:rPr>
        <w:t xml:space="preserve">contrajeron matrimonio católico el 3 de diciembre de 1983, </w:t>
      </w:r>
      <w:r w:rsidR="00A479A5" w:rsidRPr="00577813">
        <w:rPr>
          <w:rFonts w:ascii="Arial" w:hAnsi="Arial" w:cs="Arial"/>
          <w:szCs w:val="24"/>
          <w:lang w:val="es-ES"/>
        </w:rPr>
        <w:t xml:space="preserve">y que el vínculo permaneció </w:t>
      </w:r>
      <w:r w:rsidR="0088401C" w:rsidRPr="00577813">
        <w:rPr>
          <w:rFonts w:ascii="Arial" w:hAnsi="Arial" w:cs="Arial"/>
          <w:szCs w:val="24"/>
          <w:lang w:val="es-ES"/>
        </w:rPr>
        <w:t>vigente hasta la muerte del afiliado, sin que hubiera existido disolución y liqui</w:t>
      </w:r>
      <w:r w:rsidR="00A479A5" w:rsidRPr="00577813">
        <w:rPr>
          <w:rFonts w:ascii="Arial" w:hAnsi="Arial" w:cs="Arial"/>
          <w:szCs w:val="24"/>
          <w:lang w:val="es-ES"/>
        </w:rPr>
        <w:t xml:space="preserve">dación de la sociedad conyugal, </w:t>
      </w:r>
      <w:r w:rsidR="0088401C" w:rsidRPr="00577813">
        <w:rPr>
          <w:rFonts w:ascii="Arial" w:hAnsi="Arial" w:cs="Arial"/>
          <w:szCs w:val="24"/>
          <w:lang w:val="es-ES"/>
        </w:rPr>
        <w:t xml:space="preserve">y (iv) </w:t>
      </w:r>
      <w:r w:rsidR="009D2A64" w:rsidRPr="00577813">
        <w:rPr>
          <w:rFonts w:ascii="Arial" w:hAnsi="Arial" w:cs="Arial"/>
          <w:szCs w:val="24"/>
          <w:lang w:eastAsia="en-US"/>
        </w:rPr>
        <w:t xml:space="preserve">que </w:t>
      </w:r>
      <w:r w:rsidR="00A479A5" w:rsidRPr="00577813">
        <w:rPr>
          <w:rFonts w:ascii="Arial" w:hAnsi="Arial" w:cs="Arial"/>
          <w:szCs w:val="24"/>
          <w:lang w:eastAsia="en-US"/>
        </w:rPr>
        <w:t xml:space="preserve">la pareja procreó </w:t>
      </w:r>
      <w:r w:rsidR="001252F3" w:rsidRPr="00577813">
        <w:rPr>
          <w:rFonts w:ascii="Arial" w:hAnsi="Arial" w:cs="Arial"/>
          <w:szCs w:val="24"/>
          <w:lang w:eastAsia="en-US"/>
        </w:rPr>
        <w:t xml:space="preserve">dos </w:t>
      </w:r>
      <w:r w:rsidR="009D2A64" w:rsidRPr="00577813">
        <w:rPr>
          <w:rFonts w:ascii="Arial" w:hAnsi="Arial" w:cs="Arial"/>
          <w:szCs w:val="24"/>
          <w:lang w:eastAsia="en-US"/>
        </w:rPr>
        <w:t xml:space="preserve">hijos, Carlos Andrés y </w:t>
      </w:r>
      <w:proofErr w:type="spellStart"/>
      <w:r w:rsidR="009D2A64" w:rsidRPr="00577813">
        <w:rPr>
          <w:rFonts w:ascii="Arial" w:hAnsi="Arial" w:cs="Arial"/>
          <w:szCs w:val="24"/>
          <w:lang w:eastAsia="en-US"/>
        </w:rPr>
        <w:t>Jhoan</w:t>
      </w:r>
      <w:proofErr w:type="spellEnd"/>
      <w:r w:rsidR="009D2A64" w:rsidRPr="00577813">
        <w:rPr>
          <w:rFonts w:ascii="Arial" w:hAnsi="Arial" w:cs="Arial"/>
          <w:szCs w:val="24"/>
          <w:lang w:eastAsia="en-US"/>
        </w:rPr>
        <w:t xml:space="preserve"> Sebastián, </w:t>
      </w:r>
      <w:r w:rsidR="00A479A5" w:rsidRPr="00577813">
        <w:rPr>
          <w:rFonts w:ascii="Arial" w:hAnsi="Arial" w:cs="Arial"/>
          <w:szCs w:val="24"/>
          <w:lang w:eastAsia="en-US"/>
        </w:rPr>
        <w:t xml:space="preserve">siendo </w:t>
      </w:r>
      <w:r w:rsidR="009D2A64" w:rsidRPr="00577813">
        <w:rPr>
          <w:rFonts w:ascii="Arial" w:hAnsi="Arial" w:cs="Arial"/>
          <w:szCs w:val="24"/>
          <w:lang w:eastAsia="en-US"/>
        </w:rPr>
        <w:t xml:space="preserve">éste último menor </w:t>
      </w:r>
      <w:r w:rsidR="001252F3" w:rsidRPr="00577813">
        <w:rPr>
          <w:rFonts w:ascii="Arial" w:hAnsi="Arial" w:cs="Arial"/>
          <w:szCs w:val="24"/>
          <w:lang w:eastAsia="en-US"/>
        </w:rPr>
        <w:t>de edad a la fecha del deceso del afiliado</w:t>
      </w:r>
      <w:r w:rsidR="00B92802" w:rsidRPr="00577813">
        <w:rPr>
          <w:rFonts w:ascii="Arial" w:hAnsi="Arial" w:cs="Arial"/>
          <w:szCs w:val="24"/>
          <w:lang w:eastAsia="en-US"/>
        </w:rPr>
        <w:t>, pues según</w:t>
      </w:r>
      <w:r w:rsidR="009D2A64" w:rsidRPr="00577813">
        <w:rPr>
          <w:rFonts w:ascii="Arial" w:hAnsi="Arial" w:cs="Arial"/>
          <w:szCs w:val="24"/>
          <w:lang w:eastAsia="en-US"/>
        </w:rPr>
        <w:t xml:space="preserve"> se colige del </w:t>
      </w:r>
      <w:r w:rsidR="001252F3" w:rsidRPr="00577813">
        <w:rPr>
          <w:rFonts w:ascii="Arial" w:hAnsi="Arial" w:cs="Arial"/>
          <w:szCs w:val="24"/>
          <w:lang w:eastAsia="en-US"/>
        </w:rPr>
        <w:t xml:space="preserve">certificado de registro civil de nacimiento visible a folio </w:t>
      </w:r>
      <w:r w:rsidR="00B92802" w:rsidRPr="00577813">
        <w:rPr>
          <w:rFonts w:ascii="Arial" w:hAnsi="Arial" w:cs="Arial"/>
          <w:szCs w:val="24"/>
          <w:lang w:eastAsia="en-US"/>
        </w:rPr>
        <w:t xml:space="preserve">184, </w:t>
      </w:r>
      <w:r w:rsidR="00A479A5" w:rsidRPr="00577813">
        <w:rPr>
          <w:rFonts w:ascii="Arial" w:hAnsi="Arial" w:cs="Arial"/>
          <w:szCs w:val="24"/>
          <w:lang w:eastAsia="en-US"/>
        </w:rPr>
        <w:t xml:space="preserve">su natalicio </w:t>
      </w:r>
      <w:r w:rsidR="00B92802" w:rsidRPr="00577813">
        <w:rPr>
          <w:rFonts w:ascii="Arial" w:hAnsi="Arial" w:cs="Arial"/>
          <w:szCs w:val="24"/>
          <w:lang w:eastAsia="en-US"/>
        </w:rPr>
        <w:t xml:space="preserve">ocurrió el 30 de mayo de 1992. </w:t>
      </w:r>
    </w:p>
    <w:p w:rsidR="00DA2885" w:rsidRPr="00577813" w:rsidRDefault="00DA2885" w:rsidP="00577813">
      <w:pPr>
        <w:pStyle w:val="Sinespaciado"/>
        <w:spacing w:line="288" w:lineRule="auto"/>
        <w:rPr>
          <w:rFonts w:ascii="Arial" w:hAnsi="Arial" w:cs="Arial"/>
          <w:szCs w:val="24"/>
          <w:lang w:eastAsia="en-US"/>
        </w:rPr>
      </w:pPr>
    </w:p>
    <w:p w:rsidR="00673907" w:rsidRPr="00577813" w:rsidRDefault="00673907" w:rsidP="00577813">
      <w:pPr>
        <w:spacing w:line="288" w:lineRule="auto"/>
        <w:ind w:firstLine="708"/>
        <w:jc w:val="both"/>
        <w:rPr>
          <w:rFonts w:ascii="Arial" w:hAnsi="Arial" w:cs="Arial"/>
          <w:szCs w:val="24"/>
          <w:lang w:eastAsia="en-US"/>
        </w:rPr>
      </w:pPr>
      <w:r w:rsidRPr="00577813">
        <w:rPr>
          <w:rFonts w:ascii="Arial" w:hAnsi="Arial" w:cs="Arial"/>
          <w:szCs w:val="24"/>
          <w:lang w:eastAsia="en-US"/>
        </w:rPr>
        <w:t>Partiendo de esas bases, se adentrará la Colegiatura a resolver el primero de los dilemas jurídicos planteados, consistente en determinar si el afiliado fallecido dejó causado el derecho a la pensión de sobrevivientes en favor de sus beneficiarios.</w:t>
      </w:r>
    </w:p>
    <w:p w:rsidR="00673907" w:rsidRPr="00577813" w:rsidRDefault="00673907" w:rsidP="00577813">
      <w:pPr>
        <w:pStyle w:val="Sinespaciado"/>
        <w:spacing w:line="288" w:lineRule="auto"/>
        <w:rPr>
          <w:rFonts w:ascii="Arial" w:hAnsi="Arial" w:cs="Arial"/>
          <w:szCs w:val="24"/>
        </w:rPr>
      </w:pPr>
      <w:r w:rsidRPr="00577813">
        <w:rPr>
          <w:rFonts w:ascii="Arial" w:hAnsi="Arial" w:cs="Arial"/>
          <w:szCs w:val="24"/>
        </w:rPr>
        <w:t xml:space="preserve"> </w:t>
      </w:r>
    </w:p>
    <w:p w:rsidR="00673907" w:rsidRPr="00577813" w:rsidRDefault="00EA6B13" w:rsidP="00577813">
      <w:pPr>
        <w:spacing w:line="288" w:lineRule="auto"/>
        <w:ind w:firstLine="708"/>
        <w:jc w:val="both"/>
        <w:rPr>
          <w:rFonts w:ascii="Arial" w:hAnsi="Arial" w:cs="Arial"/>
          <w:szCs w:val="24"/>
        </w:rPr>
      </w:pPr>
      <w:r w:rsidRPr="00577813">
        <w:rPr>
          <w:rFonts w:ascii="Arial" w:hAnsi="Arial" w:cs="Arial"/>
          <w:szCs w:val="24"/>
        </w:rPr>
        <w:t xml:space="preserve">Para ello, es menester </w:t>
      </w:r>
      <w:r w:rsidR="008B0D31" w:rsidRPr="00577813">
        <w:rPr>
          <w:rFonts w:ascii="Arial" w:hAnsi="Arial" w:cs="Arial"/>
          <w:szCs w:val="24"/>
        </w:rPr>
        <w:t xml:space="preserve">precisar </w:t>
      </w:r>
      <w:r w:rsidR="00673907" w:rsidRPr="00577813">
        <w:rPr>
          <w:rFonts w:ascii="Arial" w:hAnsi="Arial" w:cs="Arial"/>
          <w:szCs w:val="24"/>
        </w:rPr>
        <w:t xml:space="preserve">que la normatividad aplicable, por regla general, a la pensión de sobrevivientes, es la vigente al momento del fallecimiento del afiliado o pensionado, que para este caso era el artículo 12 de la Ley 797 de 2003, el cual exige una densidad mínima de 50 semanas dentro de los tres años anteriores al deceso del asegurado; condición ésta que no </w:t>
      </w:r>
      <w:r w:rsidR="00AC7E63" w:rsidRPr="00577813">
        <w:rPr>
          <w:rFonts w:ascii="Arial" w:hAnsi="Arial" w:cs="Arial"/>
          <w:szCs w:val="24"/>
        </w:rPr>
        <w:t xml:space="preserve">se </w:t>
      </w:r>
      <w:r w:rsidR="00673907" w:rsidRPr="00577813">
        <w:rPr>
          <w:rFonts w:ascii="Arial" w:hAnsi="Arial" w:cs="Arial"/>
          <w:szCs w:val="24"/>
        </w:rPr>
        <w:t xml:space="preserve">satisfizo en el caso puntual, pues en este interregno no se efectuó </w:t>
      </w:r>
      <w:r w:rsidR="00AC7E63" w:rsidRPr="00577813">
        <w:rPr>
          <w:rFonts w:ascii="Arial" w:hAnsi="Arial" w:cs="Arial"/>
          <w:szCs w:val="24"/>
        </w:rPr>
        <w:t xml:space="preserve">ninguna </w:t>
      </w:r>
      <w:r w:rsidR="00673907" w:rsidRPr="00577813">
        <w:rPr>
          <w:rFonts w:ascii="Arial" w:hAnsi="Arial" w:cs="Arial"/>
          <w:szCs w:val="24"/>
        </w:rPr>
        <w:t>cotización.</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spacing w:line="288" w:lineRule="auto"/>
        <w:jc w:val="both"/>
        <w:rPr>
          <w:rFonts w:ascii="Arial" w:hAnsi="Arial" w:cs="Arial"/>
          <w:szCs w:val="24"/>
        </w:rPr>
      </w:pPr>
      <w:r w:rsidRPr="00577813">
        <w:rPr>
          <w:rFonts w:ascii="Arial" w:hAnsi="Arial" w:cs="Arial"/>
          <w:szCs w:val="24"/>
        </w:rPr>
        <w:tab/>
        <w:t xml:space="preserve">Bajo esas circunstancias, dado que el asegurado al 1º de abril de 1994, había aglutinado más de 300 semanas sufragadas al sistema pensional, las que en vigencia del acuerdo 049 de 1990, hubieran sido suficientes para que sus causahabientes alcanzaran el derecho a la pensión de sobrevivientes, es preciso el análisis en torno </w:t>
      </w:r>
      <w:r w:rsidRPr="00577813">
        <w:rPr>
          <w:rFonts w:ascii="Arial" w:hAnsi="Arial" w:cs="Arial"/>
          <w:szCs w:val="24"/>
        </w:rPr>
        <w:lastRenderedPageBreak/>
        <w:t>a si en favor de las</w:t>
      </w:r>
      <w:r w:rsidR="008B0D31" w:rsidRPr="00577813">
        <w:rPr>
          <w:rFonts w:ascii="Arial" w:hAnsi="Arial" w:cs="Arial"/>
          <w:szCs w:val="24"/>
        </w:rPr>
        <w:t xml:space="preserve"> pretensiones de la demandante y el interviniente ad-</w:t>
      </w:r>
      <w:proofErr w:type="spellStart"/>
      <w:r w:rsidR="008B0D31" w:rsidRPr="00577813">
        <w:rPr>
          <w:rFonts w:ascii="Arial" w:hAnsi="Arial" w:cs="Arial"/>
          <w:szCs w:val="24"/>
        </w:rPr>
        <w:t>excludendum</w:t>
      </w:r>
      <w:proofErr w:type="spellEnd"/>
      <w:r w:rsidR="008B0D31" w:rsidRPr="00577813">
        <w:rPr>
          <w:rFonts w:ascii="Arial" w:hAnsi="Arial" w:cs="Arial"/>
          <w:szCs w:val="24"/>
        </w:rPr>
        <w:t xml:space="preserve"> j</w:t>
      </w:r>
      <w:r w:rsidRPr="00577813">
        <w:rPr>
          <w:rFonts w:ascii="Arial" w:hAnsi="Arial" w:cs="Arial"/>
          <w:szCs w:val="24"/>
        </w:rPr>
        <w:t xml:space="preserve">uega el principio de la condición más beneficiosa. </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88" w:lineRule="auto"/>
        <w:ind w:firstLine="708"/>
        <w:rPr>
          <w:rFonts w:cs="Arial"/>
          <w:szCs w:val="24"/>
        </w:rPr>
      </w:pPr>
      <w:r w:rsidRPr="00577813">
        <w:rPr>
          <w:rFonts w:cs="Arial"/>
          <w:szCs w:val="24"/>
        </w:rPr>
        <w:t xml:space="preserve">En ese orden, las altas Cortes han dimensionado la densidad de aportes exigidas en rigor de una norma anterior al del suceso de la muerte, en aras de atender el principio de la condición más beneficiosa, fundada justamente en la expectativa legítima que la situación le envuelve a su titular, en instantes en que en palabras del órgano de cierre de la especialidad laboral, sus sentencias: 22 de octubre de 2013, 8 de mayo y 25 de julio de 2012, radicaciones: 39229, 35319 y 38674, entre otras. </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40" w:lineRule="auto"/>
        <w:ind w:left="426" w:right="420" w:firstLine="709"/>
        <w:rPr>
          <w:rFonts w:cs="Arial"/>
          <w:sz w:val="22"/>
          <w:szCs w:val="24"/>
        </w:rPr>
      </w:pPr>
      <w:r w:rsidRPr="00577813">
        <w:rPr>
          <w:rFonts w:cs="Arial"/>
          <w:sz w:val="22"/>
          <w:szCs w:val="24"/>
        </w:rPr>
        <w:t>“</w:t>
      </w:r>
      <w:r w:rsidRPr="00577813">
        <w:rPr>
          <w:rFonts w:cs="Arial"/>
          <w:i/>
          <w:sz w:val="22"/>
          <w:szCs w:val="24"/>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tratándose de derechos que no se consolidan por un solo </w:t>
      </w:r>
      <w:proofErr w:type="gramStart"/>
      <w:r w:rsidRPr="00577813">
        <w:rPr>
          <w:rFonts w:cs="Arial"/>
          <w:i/>
          <w:sz w:val="22"/>
          <w:szCs w:val="24"/>
        </w:rPr>
        <w:t>acto</w:t>
      </w:r>
      <w:proofErr w:type="gramEnd"/>
      <w:r w:rsidRPr="00577813">
        <w:rPr>
          <w:rFonts w:cs="Arial"/>
          <w:i/>
          <w:sz w:val="22"/>
          <w:szCs w:val="24"/>
        </w:rPr>
        <w:t xml:space="preserve">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577813">
        <w:rPr>
          <w:rFonts w:cs="Arial"/>
          <w:sz w:val="22"/>
          <w:szCs w:val="24"/>
        </w:rPr>
        <w:t>” (sentencia de 25 de julio de 2012 atrás reseñada).</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88" w:lineRule="auto"/>
        <w:ind w:firstLine="708"/>
        <w:rPr>
          <w:rFonts w:cs="Arial"/>
          <w:szCs w:val="24"/>
        </w:rPr>
      </w:pPr>
      <w:r w:rsidRPr="00577813">
        <w:rPr>
          <w:rFonts w:cs="Arial"/>
          <w:szCs w:val="24"/>
        </w:rPr>
        <w:t xml:space="preserve">Tal manera de razonar, para justificar la condición más beneficiosa entre la ley 100 de 1993 y el acuerdo 049 de 1990, posee para la Corte Suprema de Justicia, otros ingredientes jurídicos, tomados tanto del derecho internacional como interno, al traer a cuento el artículo 19-8 de la Constitución de la OIT, el Convenio 128 de la OIT, relativo a las prestaciones de invalidez, vejez y sobrevivientes, que dispone: </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40" w:lineRule="auto"/>
        <w:ind w:left="426" w:right="420" w:firstLine="709"/>
        <w:rPr>
          <w:rFonts w:cs="Arial"/>
          <w:sz w:val="22"/>
          <w:szCs w:val="24"/>
        </w:rPr>
      </w:pPr>
      <w:r w:rsidRPr="00577813">
        <w:rPr>
          <w:rFonts w:cs="Arial"/>
          <w:sz w:val="22"/>
          <w:szCs w:val="24"/>
        </w:rPr>
        <w:t xml:space="preserve">“ART. </w:t>
      </w:r>
      <w:proofErr w:type="gramStart"/>
      <w:r w:rsidRPr="00577813">
        <w:rPr>
          <w:rFonts w:cs="Arial"/>
          <w:sz w:val="22"/>
          <w:szCs w:val="24"/>
        </w:rPr>
        <w:t>30.—</w:t>
      </w:r>
      <w:proofErr w:type="gramEnd"/>
      <w:r w:rsidRPr="00577813">
        <w:rPr>
          <w:rFonts w:cs="Arial"/>
          <w:sz w:val="22"/>
          <w:szCs w:val="24"/>
        </w:rPr>
        <w:t xml:space="preserve">La legislación nacional deberá, bajo condiciones prescritas, prever la conservación de los derechos en curso de adquisición respecto de las prestaciones contributivas de invalidez, vejez y sobrevivientes”. </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88" w:lineRule="auto"/>
        <w:ind w:firstLine="708"/>
        <w:rPr>
          <w:rFonts w:cs="Arial"/>
          <w:szCs w:val="24"/>
        </w:rPr>
      </w:pPr>
      <w:r w:rsidRPr="00577813">
        <w:rPr>
          <w:rFonts w:cs="Arial"/>
          <w:szCs w:val="24"/>
        </w:rPr>
        <w:t>Al efecto, la alta Corporación hace notar que “</w:t>
      </w:r>
      <w:r w:rsidRPr="00577813">
        <w:rPr>
          <w:rFonts w:cs="Arial"/>
          <w:i/>
          <w:szCs w:val="24"/>
        </w:rPr>
        <w:t>este convenio confiere un valor relevante a la preservación de “los derechos en curso de adquisición”, destacando con ello la obligación estatal de respetar aquellos requisitos que ya han sido consolidados por una persona, con miras a la obtención de un derecho en materia de pensiones, cuya efectividad se subordina al cumplimiento ulterior de una condición</w:t>
      </w:r>
      <w:r w:rsidRPr="00577813">
        <w:rPr>
          <w:rFonts w:cs="Arial"/>
          <w:szCs w:val="24"/>
        </w:rPr>
        <w:t xml:space="preserve">” (ob. cit.). </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88" w:lineRule="auto"/>
        <w:ind w:firstLine="708"/>
        <w:rPr>
          <w:rFonts w:cs="Arial"/>
          <w:szCs w:val="24"/>
        </w:rPr>
      </w:pPr>
      <w:r w:rsidRPr="00577813">
        <w:rPr>
          <w:rFonts w:cs="Arial"/>
          <w:szCs w:val="24"/>
        </w:rPr>
        <w:t>Por otra parte, también a manera ilustrativa, cita el Convenio 157 de la OIT, sobre el establecimiento de un sistema internacional para la conservación de los derechos en materia de seguridad social (1982), que versa sobre los llamados “derechos en curso de adquisición, en materia de pensiones de vejez, invalidez y sobrevivientes”.</w:t>
      </w:r>
    </w:p>
    <w:p w:rsidR="00673907" w:rsidRPr="00577813" w:rsidRDefault="00673907" w:rsidP="00577813">
      <w:pPr>
        <w:pStyle w:val="Sinespaciado"/>
        <w:spacing w:line="288" w:lineRule="auto"/>
        <w:rPr>
          <w:rFonts w:ascii="Arial" w:hAnsi="Arial" w:cs="Arial"/>
          <w:szCs w:val="24"/>
        </w:rPr>
      </w:pPr>
      <w:r w:rsidRPr="00577813">
        <w:rPr>
          <w:rFonts w:ascii="Arial" w:hAnsi="Arial" w:cs="Arial"/>
          <w:szCs w:val="24"/>
        </w:rPr>
        <w:t xml:space="preserve"> </w:t>
      </w:r>
    </w:p>
    <w:p w:rsidR="00673907" w:rsidRPr="00577813" w:rsidRDefault="00673907" w:rsidP="00577813">
      <w:pPr>
        <w:pStyle w:val="Textoindependiente32"/>
        <w:spacing w:line="288" w:lineRule="auto"/>
        <w:ind w:firstLine="708"/>
        <w:rPr>
          <w:rFonts w:cs="Arial"/>
          <w:szCs w:val="24"/>
        </w:rPr>
      </w:pPr>
      <w:r w:rsidRPr="00577813">
        <w:rPr>
          <w:rFonts w:cs="Arial"/>
          <w:szCs w:val="24"/>
        </w:rPr>
        <w:lastRenderedPageBreak/>
        <w:t>Así mismo, trae a cuento el artículo 2º de la declaración universal de los derechos humanos, y los convenios 100 y 101 sobre factores ilegítimos de discriminación, y remata con la legislación interna, artículo 13 superior, y 272 de la Ley 100 de 1993.</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40" w:lineRule="auto"/>
        <w:ind w:left="426" w:right="420" w:firstLine="709"/>
        <w:rPr>
          <w:rFonts w:cs="Arial"/>
          <w:sz w:val="22"/>
          <w:szCs w:val="24"/>
        </w:rPr>
      </w:pPr>
      <w:r w:rsidRPr="00577813">
        <w:rPr>
          <w:rFonts w:cs="Arial"/>
          <w:sz w:val="22"/>
          <w:szCs w:val="24"/>
        </w:rPr>
        <w:t>En cuanto al primero, predica:</w:t>
      </w:r>
    </w:p>
    <w:p w:rsidR="00673907" w:rsidRPr="00577813" w:rsidRDefault="00673907" w:rsidP="00577813">
      <w:pPr>
        <w:pStyle w:val="Textoindependiente32"/>
        <w:spacing w:line="240" w:lineRule="auto"/>
        <w:ind w:left="426" w:right="420" w:firstLine="709"/>
        <w:rPr>
          <w:rFonts w:cs="Arial"/>
          <w:sz w:val="22"/>
          <w:szCs w:val="24"/>
        </w:rPr>
      </w:pPr>
    </w:p>
    <w:p w:rsidR="00673907" w:rsidRPr="00577813" w:rsidRDefault="00673907" w:rsidP="00577813">
      <w:pPr>
        <w:pStyle w:val="Textoindependiente32"/>
        <w:spacing w:line="240" w:lineRule="auto"/>
        <w:ind w:left="426" w:right="420" w:firstLine="709"/>
        <w:rPr>
          <w:rFonts w:cs="Arial"/>
          <w:sz w:val="22"/>
          <w:szCs w:val="24"/>
        </w:rPr>
      </w:pPr>
      <w:r w:rsidRPr="00577813">
        <w:rPr>
          <w:rFonts w:cs="Arial"/>
          <w:sz w:val="22"/>
          <w:szCs w:val="24"/>
        </w:rPr>
        <w:t xml:space="preserve"> “bajo la órbita del artículo 13 superior, imponer unas condiciones más exigentes a quien ha consolidado de hecho, bajo una determinada normativa, una “situación” de semanas cotizadas, que le confieren fundamento para reclamar ulteriormente una pensión de invalidez, o a sus sucesores una de sobrevivientes, constituye una forma de discriminación. Es decir, en este caso se está imponiendo un trato diferente, más gravoso, con un motivo no relevante, como lo es el hecho de que, no </w:t>
      </w:r>
      <w:proofErr w:type="gramStart"/>
      <w:r w:rsidRPr="00577813">
        <w:rPr>
          <w:rFonts w:cs="Arial"/>
          <w:sz w:val="22"/>
          <w:szCs w:val="24"/>
        </w:rPr>
        <w:t>obstante</w:t>
      </w:r>
      <w:proofErr w:type="gramEnd"/>
      <w:r w:rsidRPr="00577813">
        <w:rPr>
          <w:rFonts w:cs="Arial"/>
          <w:sz w:val="22"/>
          <w:szCs w:val="24"/>
        </w:rPr>
        <w:t xml:space="preserve"> su situación consolidada, deba acreditar adicionalmente mayores requisitos, en ausencia de los cuales no puede ser beneficiario de la respectiva pensión. Con otras apalabras, se estaría contraviniendo lo proclamado por el artículo 53 superior, que ordena reconocer “la situación más favorable</w:t>
      </w:r>
      <w:r w:rsidR="003B17A0" w:rsidRPr="00577813">
        <w:rPr>
          <w:rFonts w:cs="Arial"/>
          <w:sz w:val="22"/>
          <w:szCs w:val="24"/>
        </w:rPr>
        <w:t>…</w:t>
      </w:r>
      <w:r w:rsidRPr="00577813">
        <w:rPr>
          <w:rFonts w:cs="Arial"/>
          <w:sz w:val="22"/>
          <w:szCs w:val="24"/>
        </w:rPr>
        <w:t>”.</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1"/>
        <w:spacing w:line="288" w:lineRule="auto"/>
        <w:ind w:firstLine="851"/>
        <w:rPr>
          <w:rFonts w:cs="Arial"/>
          <w:sz w:val="24"/>
          <w:szCs w:val="24"/>
        </w:rPr>
      </w:pPr>
      <w:r w:rsidRPr="00577813">
        <w:rPr>
          <w:rFonts w:cs="Arial"/>
          <w:sz w:val="24"/>
          <w:szCs w:val="24"/>
        </w:rPr>
        <w:t>Al paso que el artículo 272 de la Ley 100 de 1993, establece que “los principios mínimos fundamentales consagrados en el artículo 53 de la Constitución Política tendrán plena validez y eficacia”. Y con ello pregona el órgano de cierre de la especialidad laboral, “</w:t>
      </w:r>
      <w:r w:rsidRPr="00577813">
        <w:rPr>
          <w:rFonts w:cs="Arial"/>
          <w:i/>
          <w:sz w:val="24"/>
          <w:szCs w:val="24"/>
        </w:rPr>
        <w:t>la propia Carta Fundamental extiende a la seguridad social, sin ninguna duda, los principios que, en su origen, son propios del derecho laboral</w:t>
      </w:r>
      <w:r w:rsidRPr="00577813">
        <w:rPr>
          <w:rFonts w:cs="Arial"/>
          <w:sz w:val="24"/>
          <w:szCs w:val="24"/>
        </w:rPr>
        <w:t>”.</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1"/>
        <w:spacing w:line="288" w:lineRule="auto"/>
        <w:ind w:firstLine="851"/>
        <w:rPr>
          <w:rFonts w:cs="Arial"/>
          <w:sz w:val="24"/>
          <w:szCs w:val="24"/>
        </w:rPr>
      </w:pPr>
      <w:r w:rsidRPr="00577813">
        <w:rPr>
          <w:rFonts w:cs="Arial"/>
          <w:sz w:val="24"/>
          <w:szCs w:val="24"/>
        </w:rPr>
        <w:t>En lo que toca al principio de la sostenibilidad financiera del sistema de la seguridad social, introducido por el Acto Legislativo 01 de 2005, señala la ameritada jurisprudencia de la Corte Suprema de Justicia:</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40" w:lineRule="auto"/>
        <w:ind w:left="426" w:right="420" w:firstLine="709"/>
        <w:rPr>
          <w:rFonts w:cs="Arial"/>
          <w:sz w:val="22"/>
          <w:szCs w:val="24"/>
        </w:rPr>
      </w:pPr>
      <w:r w:rsidRPr="00577813">
        <w:rPr>
          <w:rFonts w:cs="Arial"/>
          <w:sz w:val="22"/>
          <w:szCs w:val="24"/>
        </w:rPr>
        <w:t xml:space="preserve">“la aplicación jurisprudencial del principio de la condición más beneficiosa no atenta contra la regla de la sostenibilidad financiera del sistema de pensiones, no solo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para ese momento. O sea, para el sistema vigente en ese momento, sus pensiones estaban financiadas al cumplir el tiempo exigido de cotización…el hecho de que una persona haya cumplido con los requerimientos de cotización impuestos bajo una determinada normativa, garantiza que la pensión para la cual ha cotizado está garantizada por el propio estado, con lo cual se cumple otro elemento normativo adicionado al artículo 48 de la Constitución por el Acto Legislativo 01 de 2005”. </w:t>
      </w:r>
    </w:p>
    <w:p w:rsidR="00673907" w:rsidRPr="00577813" w:rsidRDefault="00673907" w:rsidP="00577813">
      <w:pPr>
        <w:spacing w:line="288" w:lineRule="auto"/>
        <w:jc w:val="both"/>
        <w:rPr>
          <w:rFonts w:ascii="Arial" w:hAnsi="Arial" w:cs="Arial"/>
          <w:i/>
          <w:szCs w:val="24"/>
        </w:rPr>
      </w:pPr>
    </w:p>
    <w:p w:rsidR="00673907" w:rsidRPr="00577813" w:rsidRDefault="00673907" w:rsidP="00577813">
      <w:pPr>
        <w:spacing w:line="288" w:lineRule="auto"/>
        <w:ind w:firstLine="708"/>
        <w:jc w:val="both"/>
        <w:rPr>
          <w:rFonts w:ascii="Arial" w:hAnsi="Arial" w:cs="Arial"/>
          <w:szCs w:val="24"/>
        </w:rPr>
      </w:pPr>
      <w:r w:rsidRPr="00577813">
        <w:rPr>
          <w:rFonts w:ascii="Arial" w:hAnsi="Arial" w:cs="Arial"/>
          <w:szCs w:val="24"/>
          <w:lang w:eastAsia="en-US"/>
        </w:rPr>
        <w:t>En estos puntuales aspectos, es preciso indicar en respaldo de l</w:t>
      </w:r>
      <w:r w:rsidRPr="00577813">
        <w:rPr>
          <w:rFonts w:ascii="Arial" w:hAnsi="Arial" w:cs="Arial"/>
          <w:szCs w:val="24"/>
        </w:rPr>
        <w:t>a tesis favorable a la condición más beneficiosa, en materia de pensión de sobrevivencia o invalidez, gracias al salto de las Leyes 797 u 860 de 2003 al Acuerdo 049 de 1990, que la misma se ve robustecida, primero, por cuanto si se sustentan en la expectativa legítima, ésta no admite límite en el tiempo, además, recientemente la Corte Constitucional (sentencia T SU-442) dijo:</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40" w:lineRule="auto"/>
        <w:ind w:left="426" w:right="420" w:firstLine="709"/>
        <w:rPr>
          <w:rFonts w:cs="Arial"/>
          <w:sz w:val="22"/>
          <w:szCs w:val="24"/>
        </w:rPr>
      </w:pPr>
      <w:r w:rsidRPr="00577813">
        <w:rPr>
          <w:rFonts w:cs="Arial"/>
          <w:sz w:val="22"/>
          <w:szCs w:val="24"/>
        </w:rPr>
        <w:t xml:space="preserve">“en virtud de la condición más beneficiosa, las expectativas legítimamente contraídas antes de entrar en vigencia el sistema general de pensiones de la Ley 100 de 1993 constituyen barreras, que limitan la competencia del legislador para agravar </w:t>
      </w:r>
      <w:r w:rsidRPr="00577813">
        <w:rPr>
          <w:rFonts w:cs="Arial"/>
          <w:sz w:val="22"/>
          <w:szCs w:val="24"/>
        </w:rPr>
        <w:lastRenderedPageBreak/>
        <w:t>los requisitos ya cumplidos mediante reformas desprovistas de regímenes de transición. Este límite, de raigambre constitucional, es entonces oponible a la reforma introducida por la Ley 100 de 1993, en su versión original, e incluso por la Ley 860 de 2003”.</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1"/>
        <w:spacing w:line="288" w:lineRule="auto"/>
        <w:ind w:firstLine="708"/>
        <w:rPr>
          <w:rFonts w:cs="Arial"/>
          <w:sz w:val="24"/>
          <w:szCs w:val="24"/>
        </w:rPr>
      </w:pPr>
      <w:r w:rsidRPr="00577813">
        <w:rPr>
          <w:rFonts w:cs="Arial"/>
          <w:sz w:val="24"/>
          <w:szCs w:val="24"/>
        </w:rPr>
        <w:t>En segundo lugar, resulta significativo el planteamiento del alto Tribunal Constitucional, en orden a que no sea estrictamente necesaria, en ejercicio de la condición más beneficiosa, la aplicación de la norma sucesivamente anterior, sobre el fundamento de que este principio se basa en la certeza y no en la duda.</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1"/>
        <w:spacing w:line="288" w:lineRule="auto"/>
        <w:ind w:firstLine="851"/>
        <w:rPr>
          <w:rFonts w:cs="Arial"/>
          <w:sz w:val="24"/>
          <w:szCs w:val="24"/>
        </w:rPr>
      </w:pPr>
      <w:r w:rsidRPr="00577813">
        <w:rPr>
          <w:rFonts w:cs="Arial"/>
          <w:sz w:val="24"/>
          <w:szCs w:val="24"/>
        </w:rPr>
        <w:t xml:space="preserve">Así lo expuso en sentencia de Tutela SU-442 de 2016 (18 de agosto), tras exponer que como órgano de cierre en materia constitucional tiene competencia para unificar la interpretación correspondiente (CP. 241), prosigue que a diferencia de los principios de favorabilidad e </w:t>
      </w:r>
      <w:proofErr w:type="spellStart"/>
      <w:r w:rsidRPr="00577813">
        <w:rPr>
          <w:rFonts w:cs="Arial"/>
          <w:sz w:val="24"/>
          <w:szCs w:val="24"/>
        </w:rPr>
        <w:t>indubio</w:t>
      </w:r>
      <w:proofErr w:type="spellEnd"/>
      <w:r w:rsidRPr="00577813">
        <w:rPr>
          <w:rFonts w:cs="Arial"/>
          <w:sz w:val="24"/>
          <w:szCs w:val="24"/>
        </w:rPr>
        <w:t xml:space="preserve"> pro operario, “</w:t>
      </w:r>
      <w:r w:rsidRPr="00577813">
        <w:rPr>
          <w:rFonts w:cs="Arial"/>
          <w:i/>
          <w:sz w:val="24"/>
          <w:szCs w:val="24"/>
        </w:rPr>
        <w:t>la condición más beneficiosa se desarrolla sobre la base de la certeza, pues el operador jurídico sabe cuál es la norma vigente y cuál, por ende, debería aplicar. Lo que sucede es que, al comprobar que dicha actuación tendría unos efectos desproporcionadamente injustos en un caso particular, acude a una excepción resolviendo la situación con una norma derogada</w:t>
      </w:r>
      <w:r w:rsidRPr="00577813">
        <w:rPr>
          <w:rFonts w:cs="Arial"/>
          <w:sz w:val="24"/>
          <w:szCs w:val="24"/>
        </w:rPr>
        <w:t>”.</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1"/>
        <w:spacing w:line="288" w:lineRule="auto"/>
        <w:ind w:firstLine="851"/>
        <w:rPr>
          <w:rFonts w:cs="Arial"/>
          <w:sz w:val="24"/>
          <w:szCs w:val="24"/>
        </w:rPr>
      </w:pPr>
      <w:r w:rsidRPr="00577813">
        <w:rPr>
          <w:rFonts w:cs="Arial"/>
          <w:sz w:val="24"/>
          <w:szCs w:val="24"/>
        </w:rPr>
        <w:t>Finalmente remata, en torno a la carga argumentativa del juez, que el asunto:</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2"/>
        <w:spacing w:line="240" w:lineRule="auto"/>
        <w:ind w:left="426" w:right="420" w:firstLine="709"/>
        <w:rPr>
          <w:rFonts w:cs="Arial"/>
          <w:sz w:val="22"/>
          <w:szCs w:val="24"/>
        </w:rPr>
      </w:pPr>
      <w:r w:rsidRPr="00577813">
        <w:rPr>
          <w:rFonts w:cs="Arial"/>
          <w:sz w:val="22"/>
          <w:szCs w:val="24"/>
        </w:rPr>
        <w:t xml:space="preserve"> “versa sobre un derecho fundamental, como es el relativo al derecho a la seguridad social. Existe en este aspecto una prohibición de regresividad que incrementa la carga de argumentación judicial para retroceder en el alcance de protección alcanzado…. Esta prohibición ata a todas las autoridades, incluidas las judiciales. Por lo que para apartarse de la jurisprudencia en sentido restrictivo es preciso demostrar que hay argumentos poderosos para no incurrir en la prohibición de regresividad en los derechos sociales. Pues bien, la Corte considera que no se han aportado razones de esa naturaleza para cambiar la jurisprudencia constitucional vigente sobre la materia, o para apartarse de ella”. </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1"/>
        <w:spacing w:line="288" w:lineRule="auto"/>
        <w:ind w:firstLine="993"/>
        <w:rPr>
          <w:rFonts w:cs="Arial"/>
          <w:sz w:val="24"/>
          <w:szCs w:val="24"/>
        </w:rPr>
      </w:pPr>
      <w:r w:rsidRPr="00577813">
        <w:rPr>
          <w:rFonts w:cs="Arial"/>
          <w:sz w:val="24"/>
          <w:szCs w:val="24"/>
        </w:rPr>
        <w:t>Con todo el material jurisprudencial citado de que se ha hecho mérito, es menester recordar que más allá de acudir al concepto que en sí mismo encierra el principio de la condición más beneficiosa, a propósito de los cambios legislativos entorno a las pensiones de invalidez y sobrevivencia, a lo que realmente se acude es al principio de favorabilidad, en los términos como lo entiende la Corte Constitucional, proporcionalidad, equidad, igualdad, buena fe y confianza legítima, por cuanto en una sana lógica, no tendría explicación que quien apenas haya efectuado aportes por 26 o 50 semanas, cual ocurre en el ámbito de aplicación de las leyes 100 y 797 o 860, respectivamente, se causaría el derecho a sus beneficiarios, en cambio, quienes por no haber colmado ese mínimo de cotizaciones, pero sí más de 150 o 300 con anterioridad a la Ley 100, quedarían por fuera de la protección legal.</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1"/>
        <w:spacing w:line="288" w:lineRule="auto"/>
        <w:ind w:firstLine="709"/>
        <w:rPr>
          <w:rFonts w:cs="Arial"/>
          <w:sz w:val="24"/>
          <w:szCs w:val="24"/>
        </w:rPr>
      </w:pPr>
      <w:r w:rsidRPr="00577813">
        <w:rPr>
          <w:rFonts w:cs="Arial"/>
          <w:sz w:val="24"/>
          <w:szCs w:val="24"/>
        </w:rPr>
        <w:t xml:space="preserve">Así las cosas y como en este caso el señor </w:t>
      </w:r>
      <w:r w:rsidR="00E13461" w:rsidRPr="00577813">
        <w:rPr>
          <w:rFonts w:cs="Arial"/>
          <w:sz w:val="24"/>
          <w:szCs w:val="24"/>
        </w:rPr>
        <w:t xml:space="preserve">Homero Ortiz Rodríguez </w:t>
      </w:r>
      <w:r w:rsidRPr="00577813">
        <w:rPr>
          <w:rFonts w:cs="Arial"/>
          <w:sz w:val="24"/>
          <w:szCs w:val="24"/>
        </w:rPr>
        <w:t>antes del 1º de abril de 1994 había cotizado un total de</w:t>
      </w:r>
      <w:r w:rsidR="005E7524" w:rsidRPr="00577813">
        <w:rPr>
          <w:rFonts w:cs="Arial"/>
          <w:sz w:val="24"/>
          <w:szCs w:val="24"/>
        </w:rPr>
        <w:t xml:space="preserve"> 625.14 </w:t>
      </w:r>
      <w:r w:rsidRPr="00577813">
        <w:rPr>
          <w:rFonts w:cs="Arial"/>
          <w:sz w:val="24"/>
          <w:szCs w:val="24"/>
        </w:rPr>
        <w:t>semanas al sistema de pensiones, es evidente que en aplicación del aludido principio, debe entenderse que se dejó causado el derecho pensional, conforme a las pautas del Acuerdo 049 de 1990, que en su canon 6º, en concordancia con el 25, establece que deben ser 300 semanas en cualquier tiempo, densidad ampliamente superada.</w:t>
      </w:r>
    </w:p>
    <w:p w:rsidR="00673907" w:rsidRPr="00577813" w:rsidRDefault="00673907" w:rsidP="00577813">
      <w:pPr>
        <w:pStyle w:val="Sinespaciado"/>
        <w:spacing w:line="288" w:lineRule="auto"/>
        <w:rPr>
          <w:rFonts w:ascii="Arial" w:hAnsi="Arial" w:cs="Arial"/>
          <w:szCs w:val="24"/>
        </w:rPr>
      </w:pPr>
    </w:p>
    <w:p w:rsidR="00673907" w:rsidRPr="00577813" w:rsidRDefault="00673907" w:rsidP="00577813">
      <w:pPr>
        <w:pStyle w:val="Textoindependiente31"/>
        <w:spacing w:line="288" w:lineRule="auto"/>
        <w:ind w:firstLine="709"/>
        <w:rPr>
          <w:rFonts w:cs="Arial"/>
          <w:sz w:val="24"/>
          <w:szCs w:val="24"/>
        </w:rPr>
      </w:pPr>
      <w:r w:rsidRPr="00577813">
        <w:rPr>
          <w:rFonts w:cs="Arial"/>
          <w:sz w:val="24"/>
          <w:szCs w:val="24"/>
        </w:rPr>
        <w:lastRenderedPageBreak/>
        <w:t>Por último, ha de estimarse que en sentencia SL 2358 de 2017, el órgano de cierre de esta especialidad no le puso límite temporal a la pensión de sobrevivientes causada con 300 semanas anteriores a la entrada en vigencia de la Ley 100/</w:t>
      </w:r>
      <w:r w:rsidR="005E7524" w:rsidRPr="00577813">
        <w:rPr>
          <w:rFonts w:cs="Arial"/>
          <w:sz w:val="24"/>
          <w:szCs w:val="24"/>
        </w:rPr>
        <w:t>93</w:t>
      </w:r>
      <w:r w:rsidRPr="00577813">
        <w:rPr>
          <w:rFonts w:cs="Arial"/>
          <w:sz w:val="24"/>
          <w:szCs w:val="24"/>
        </w:rPr>
        <w:t xml:space="preserve">, como sí lo hizo referente a la condición más beneficiosa, en la órbita de la Ley 797 de 2003. </w:t>
      </w:r>
    </w:p>
    <w:p w:rsidR="00673907" w:rsidRPr="00577813" w:rsidRDefault="00673907" w:rsidP="00577813">
      <w:pPr>
        <w:pStyle w:val="Sinespaciado"/>
        <w:spacing w:line="288" w:lineRule="auto"/>
        <w:rPr>
          <w:rFonts w:ascii="Arial" w:hAnsi="Arial" w:cs="Arial"/>
          <w:szCs w:val="24"/>
        </w:rPr>
      </w:pPr>
    </w:p>
    <w:p w:rsidR="00F543B5" w:rsidRPr="00577813" w:rsidRDefault="00673907" w:rsidP="00577813">
      <w:pPr>
        <w:pStyle w:val="Textoindependiente31"/>
        <w:spacing w:line="288" w:lineRule="auto"/>
        <w:ind w:firstLine="851"/>
        <w:rPr>
          <w:rFonts w:cs="Arial"/>
          <w:sz w:val="24"/>
          <w:szCs w:val="24"/>
        </w:rPr>
      </w:pPr>
      <w:r w:rsidRPr="00577813">
        <w:rPr>
          <w:rFonts w:cs="Arial"/>
          <w:sz w:val="24"/>
          <w:szCs w:val="24"/>
        </w:rPr>
        <w:t xml:space="preserve">Superado ese primer escollo, se </w:t>
      </w:r>
      <w:proofErr w:type="gramStart"/>
      <w:r w:rsidRPr="00577813">
        <w:rPr>
          <w:rFonts w:cs="Arial"/>
          <w:sz w:val="24"/>
          <w:szCs w:val="24"/>
        </w:rPr>
        <w:t>adentrara</w:t>
      </w:r>
      <w:proofErr w:type="gramEnd"/>
      <w:r w:rsidRPr="00577813">
        <w:rPr>
          <w:rFonts w:cs="Arial"/>
          <w:sz w:val="24"/>
          <w:szCs w:val="24"/>
        </w:rPr>
        <w:t xml:space="preserve"> la Sala en determinar </w:t>
      </w:r>
      <w:r w:rsidR="002F6DDD" w:rsidRPr="00577813">
        <w:rPr>
          <w:rFonts w:cs="Arial"/>
          <w:sz w:val="24"/>
          <w:szCs w:val="24"/>
        </w:rPr>
        <w:t>si la demandante ostenta l</w:t>
      </w:r>
      <w:r w:rsidRPr="00577813">
        <w:rPr>
          <w:rFonts w:cs="Arial"/>
          <w:sz w:val="24"/>
          <w:szCs w:val="24"/>
        </w:rPr>
        <w:t xml:space="preserve">a condición de </w:t>
      </w:r>
      <w:r w:rsidR="005E7524" w:rsidRPr="00577813">
        <w:rPr>
          <w:rFonts w:cs="Arial"/>
          <w:sz w:val="24"/>
          <w:szCs w:val="24"/>
        </w:rPr>
        <w:t>beneficiari</w:t>
      </w:r>
      <w:r w:rsidR="002F6DDD" w:rsidRPr="00577813">
        <w:rPr>
          <w:rFonts w:cs="Arial"/>
          <w:sz w:val="24"/>
          <w:szCs w:val="24"/>
        </w:rPr>
        <w:t>a</w:t>
      </w:r>
      <w:r w:rsidR="005E7524" w:rsidRPr="00577813">
        <w:rPr>
          <w:rFonts w:cs="Arial"/>
          <w:sz w:val="24"/>
          <w:szCs w:val="24"/>
        </w:rPr>
        <w:t xml:space="preserve"> de la pensi</w:t>
      </w:r>
      <w:r w:rsidR="002F6DDD" w:rsidRPr="00577813">
        <w:rPr>
          <w:rFonts w:cs="Arial"/>
          <w:sz w:val="24"/>
          <w:szCs w:val="24"/>
        </w:rPr>
        <w:t xml:space="preserve">ón de sobrevivientes reclamada, la cual está </w:t>
      </w:r>
      <w:r w:rsidR="00F543B5" w:rsidRPr="00577813">
        <w:rPr>
          <w:rFonts w:cs="Arial"/>
          <w:sz w:val="24"/>
          <w:szCs w:val="24"/>
          <w:lang w:val="es-ES"/>
        </w:rPr>
        <w:t xml:space="preserve">supeditada a que se evidencie que hubo convivencia </w:t>
      </w:r>
      <w:r w:rsidR="002F6DDD" w:rsidRPr="00577813">
        <w:rPr>
          <w:rFonts w:cs="Arial"/>
          <w:sz w:val="24"/>
          <w:szCs w:val="24"/>
          <w:lang w:val="es-ES"/>
        </w:rPr>
        <w:t>con el afiliado o pensionado fallecido durante -</w:t>
      </w:r>
      <w:r w:rsidR="00F543B5" w:rsidRPr="00577813">
        <w:rPr>
          <w:rFonts w:cs="Arial"/>
          <w:sz w:val="24"/>
          <w:szCs w:val="24"/>
          <w:lang w:val="es-ES"/>
        </w:rPr>
        <w:t xml:space="preserve">mínimo- </w:t>
      </w:r>
      <w:r w:rsidR="002F6DDD" w:rsidRPr="00577813">
        <w:rPr>
          <w:rFonts w:cs="Arial"/>
          <w:sz w:val="24"/>
          <w:szCs w:val="24"/>
          <w:lang w:val="es-ES"/>
        </w:rPr>
        <w:t xml:space="preserve">los </w:t>
      </w:r>
      <w:r w:rsidR="00F543B5" w:rsidRPr="00577813">
        <w:rPr>
          <w:rFonts w:cs="Arial"/>
          <w:sz w:val="24"/>
          <w:szCs w:val="24"/>
          <w:lang w:val="es-ES"/>
        </w:rPr>
        <w:t xml:space="preserve">cinco años que antecedieron </w:t>
      </w:r>
      <w:r w:rsidR="0030771B" w:rsidRPr="00577813">
        <w:rPr>
          <w:rFonts w:cs="Arial"/>
          <w:sz w:val="24"/>
          <w:szCs w:val="24"/>
          <w:lang w:val="es-ES"/>
        </w:rPr>
        <w:t xml:space="preserve">su </w:t>
      </w:r>
      <w:r w:rsidR="002F6DDD" w:rsidRPr="00577813">
        <w:rPr>
          <w:rFonts w:cs="Arial"/>
          <w:sz w:val="24"/>
          <w:szCs w:val="24"/>
          <w:lang w:val="es-ES"/>
        </w:rPr>
        <w:t>deceso.</w:t>
      </w:r>
    </w:p>
    <w:p w:rsidR="0088401C" w:rsidRPr="00577813" w:rsidRDefault="0088401C" w:rsidP="00577813">
      <w:pPr>
        <w:pStyle w:val="Sinespaciado"/>
        <w:spacing w:line="288" w:lineRule="auto"/>
        <w:rPr>
          <w:rFonts w:ascii="Arial" w:hAnsi="Arial" w:cs="Arial"/>
          <w:szCs w:val="24"/>
        </w:rPr>
      </w:pPr>
    </w:p>
    <w:p w:rsidR="00B33CE3" w:rsidRPr="00577813" w:rsidRDefault="00335111" w:rsidP="00577813">
      <w:pPr>
        <w:spacing w:line="288" w:lineRule="auto"/>
        <w:ind w:firstLine="708"/>
        <w:jc w:val="both"/>
        <w:rPr>
          <w:rFonts w:ascii="Arial" w:hAnsi="Arial" w:cs="Arial"/>
          <w:szCs w:val="24"/>
          <w:lang w:val="es-ES"/>
        </w:rPr>
      </w:pPr>
      <w:r w:rsidRPr="00577813">
        <w:rPr>
          <w:rFonts w:ascii="Arial" w:hAnsi="Arial" w:cs="Arial"/>
          <w:szCs w:val="24"/>
          <w:lang w:val="es-ES"/>
        </w:rPr>
        <w:t xml:space="preserve">Con tal propósito, la demandante </w:t>
      </w:r>
      <w:r w:rsidR="003B17A0" w:rsidRPr="00577813">
        <w:rPr>
          <w:rFonts w:ascii="Arial" w:hAnsi="Arial" w:cs="Arial"/>
          <w:szCs w:val="24"/>
          <w:lang w:val="es-ES"/>
        </w:rPr>
        <w:t>citó a rendir declaración a los señores</w:t>
      </w:r>
      <w:r w:rsidRPr="00577813">
        <w:rPr>
          <w:rFonts w:ascii="Arial" w:hAnsi="Arial" w:cs="Arial"/>
          <w:szCs w:val="24"/>
          <w:lang w:val="es-ES"/>
        </w:rPr>
        <w:t xml:space="preserve"> </w:t>
      </w:r>
      <w:r w:rsidR="00B33CE3" w:rsidRPr="00577813">
        <w:rPr>
          <w:rFonts w:ascii="Arial" w:hAnsi="Arial" w:cs="Arial"/>
          <w:szCs w:val="24"/>
          <w:lang w:val="es-ES"/>
        </w:rPr>
        <w:t xml:space="preserve">Oscar Fernando Rodríguez y Néstor Antonio Zapata Nieto. El primero, indicó </w:t>
      </w:r>
      <w:r w:rsidR="00F43ED4" w:rsidRPr="00577813">
        <w:rPr>
          <w:rFonts w:ascii="Arial" w:hAnsi="Arial" w:cs="Arial"/>
          <w:szCs w:val="24"/>
          <w:lang w:val="es-ES"/>
        </w:rPr>
        <w:t>conocer a la pareja Ortiz – Varón desde hace 25 años, por razones de vecindad en el Barrio San Nicolás; que la demandan</w:t>
      </w:r>
      <w:r w:rsidR="00C855B7" w:rsidRPr="00577813">
        <w:rPr>
          <w:rFonts w:ascii="Arial" w:hAnsi="Arial" w:cs="Arial"/>
          <w:szCs w:val="24"/>
          <w:lang w:val="es-ES"/>
        </w:rPr>
        <w:t xml:space="preserve">te y el causante eran casados, que procrearon </w:t>
      </w:r>
      <w:r w:rsidR="00F43ED4" w:rsidRPr="00577813">
        <w:rPr>
          <w:rFonts w:ascii="Arial" w:hAnsi="Arial" w:cs="Arial"/>
          <w:szCs w:val="24"/>
          <w:lang w:val="es-ES"/>
        </w:rPr>
        <w:t>dos hijos, Andrés Felipe y Sebastián</w:t>
      </w:r>
      <w:r w:rsidR="00B3171D" w:rsidRPr="00577813">
        <w:rPr>
          <w:rFonts w:ascii="Arial" w:hAnsi="Arial" w:cs="Arial"/>
          <w:szCs w:val="24"/>
          <w:lang w:val="es-ES"/>
        </w:rPr>
        <w:t xml:space="preserve">, </w:t>
      </w:r>
      <w:r w:rsidR="000B4269" w:rsidRPr="00577813">
        <w:rPr>
          <w:rFonts w:ascii="Arial" w:hAnsi="Arial" w:cs="Arial"/>
          <w:szCs w:val="24"/>
          <w:lang w:val="es-ES"/>
        </w:rPr>
        <w:t xml:space="preserve">quienes </w:t>
      </w:r>
      <w:r w:rsidR="00931FFF" w:rsidRPr="00577813">
        <w:rPr>
          <w:rFonts w:ascii="Arial" w:hAnsi="Arial" w:cs="Arial"/>
          <w:szCs w:val="24"/>
          <w:lang w:val="es-ES"/>
        </w:rPr>
        <w:t xml:space="preserve">se desempeñan </w:t>
      </w:r>
      <w:r w:rsidR="000B4269" w:rsidRPr="00577813">
        <w:rPr>
          <w:rFonts w:ascii="Arial" w:hAnsi="Arial" w:cs="Arial"/>
          <w:szCs w:val="24"/>
          <w:lang w:val="es-ES"/>
        </w:rPr>
        <w:t xml:space="preserve">como comerciante y guarda de seguridad, </w:t>
      </w:r>
      <w:r w:rsidR="00F65353" w:rsidRPr="00577813">
        <w:rPr>
          <w:rFonts w:ascii="Arial" w:hAnsi="Arial" w:cs="Arial"/>
          <w:szCs w:val="24"/>
          <w:lang w:val="es-ES"/>
        </w:rPr>
        <w:t>respectivamente</w:t>
      </w:r>
      <w:r w:rsidR="000B4269" w:rsidRPr="00577813">
        <w:rPr>
          <w:rFonts w:ascii="Arial" w:hAnsi="Arial" w:cs="Arial"/>
          <w:szCs w:val="24"/>
          <w:lang w:val="es-ES"/>
        </w:rPr>
        <w:t xml:space="preserve">; </w:t>
      </w:r>
      <w:r w:rsidR="00B3171D" w:rsidRPr="00577813">
        <w:rPr>
          <w:rFonts w:ascii="Arial" w:hAnsi="Arial" w:cs="Arial"/>
          <w:szCs w:val="24"/>
          <w:lang w:val="es-ES"/>
        </w:rPr>
        <w:t>que la demandante e</w:t>
      </w:r>
      <w:r w:rsidR="000B4269" w:rsidRPr="00577813">
        <w:rPr>
          <w:rFonts w:ascii="Arial" w:hAnsi="Arial" w:cs="Arial"/>
          <w:szCs w:val="24"/>
          <w:lang w:val="es-ES"/>
        </w:rPr>
        <w:t>ra</w:t>
      </w:r>
      <w:r w:rsidR="00B3171D" w:rsidRPr="00577813">
        <w:rPr>
          <w:rFonts w:ascii="Arial" w:hAnsi="Arial" w:cs="Arial"/>
          <w:szCs w:val="24"/>
          <w:lang w:val="es-ES"/>
        </w:rPr>
        <w:t xml:space="preserve"> ama de casa</w:t>
      </w:r>
      <w:r w:rsidR="000B4269" w:rsidRPr="00577813">
        <w:rPr>
          <w:rFonts w:ascii="Arial" w:hAnsi="Arial" w:cs="Arial"/>
          <w:szCs w:val="24"/>
          <w:lang w:val="es-ES"/>
        </w:rPr>
        <w:t xml:space="preserve"> y </w:t>
      </w:r>
      <w:r w:rsidR="00C855B7" w:rsidRPr="00577813">
        <w:rPr>
          <w:rFonts w:ascii="Arial" w:hAnsi="Arial" w:cs="Arial"/>
          <w:szCs w:val="24"/>
          <w:lang w:val="es-ES"/>
        </w:rPr>
        <w:t>el causante manejaba taxi; que era él quien velaba por</w:t>
      </w:r>
      <w:r w:rsidR="000B4269" w:rsidRPr="00577813">
        <w:rPr>
          <w:rFonts w:ascii="Arial" w:hAnsi="Arial" w:cs="Arial"/>
          <w:szCs w:val="24"/>
          <w:lang w:val="es-ES"/>
        </w:rPr>
        <w:t xml:space="preserve"> el s</w:t>
      </w:r>
      <w:r w:rsidR="00931FFF" w:rsidRPr="00577813">
        <w:rPr>
          <w:rFonts w:ascii="Arial" w:hAnsi="Arial" w:cs="Arial"/>
          <w:szCs w:val="24"/>
          <w:lang w:val="es-ES"/>
        </w:rPr>
        <w:t xml:space="preserve">ostenimiento del hogar, y que nunca tuvo noticia de separación o rompimiento de la pareja. </w:t>
      </w:r>
    </w:p>
    <w:p w:rsidR="00931FFF" w:rsidRPr="00577813" w:rsidRDefault="00931FFF" w:rsidP="00577813">
      <w:pPr>
        <w:pStyle w:val="Sinespaciado"/>
        <w:spacing w:line="288" w:lineRule="auto"/>
        <w:rPr>
          <w:rFonts w:ascii="Arial" w:hAnsi="Arial" w:cs="Arial"/>
          <w:szCs w:val="24"/>
        </w:rPr>
      </w:pPr>
    </w:p>
    <w:p w:rsidR="005E7524" w:rsidRPr="00577813" w:rsidRDefault="00931FFF" w:rsidP="00577813">
      <w:pPr>
        <w:pStyle w:val="Sinespaciado"/>
        <w:spacing w:line="288" w:lineRule="auto"/>
        <w:ind w:firstLine="708"/>
        <w:jc w:val="both"/>
        <w:rPr>
          <w:rFonts w:ascii="Arial" w:hAnsi="Arial" w:cs="Arial"/>
          <w:szCs w:val="24"/>
        </w:rPr>
      </w:pPr>
      <w:r w:rsidRPr="00577813">
        <w:rPr>
          <w:rFonts w:ascii="Arial" w:hAnsi="Arial" w:cs="Arial"/>
          <w:szCs w:val="24"/>
        </w:rPr>
        <w:t xml:space="preserve">Por su parte, el señor Zapata Nieto relató también </w:t>
      </w:r>
      <w:r w:rsidR="00D97F9F" w:rsidRPr="00577813">
        <w:rPr>
          <w:rFonts w:ascii="Arial" w:hAnsi="Arial" w:cs="Arial"/>
          <w:szCs w:val="24"/>
        </w:rPr>
        <w:t xml:space="preserve">que </w:t>
      </w:r>
      <w:r w:rsidRPr="00577813">
        <w:rPr>
          <w:rFonts w:ascii="Arial" w:hAnsi="Arial" w:cs="Arial"/>
          <w:szCs w:val="24"/>
        </w:rPr>
        <w:t xml:space="preserve">por razones de vecindad </w:t>
      </w:r>
      <w:r w:rsidR="00D97F9F" w:rsidRPr="00577813">
        <w:rPr>
          <w:rFonts w:ascii="Arial" w:hAnsi="Arial" w:cs="Arial"/>
          <w:szCs w:val="24"/>
        </w:rPr>
        <w:t>conoció a la demandante,</w:t>
      </w:r>
      <w:r w:rsidR="008F6711" w:rsidRPr="00577813">
        <w:rPr>
          <w:rFonts w:ascii="Arial" w:hAnsi="Arial" w:cs="Arial"/>
          <w:szCs w:val="24"/>
        </w:rPr>
        <w:t xml:space="preserve"> que estaba </w:t>
      </w:r>
      <w:r w:rsidR="00D97F9F" w:rsidRPr="00577813">
        <w:rPr>
          <w:rFonts w:ascii="Arial" w:hAnsi="Arial" w:cs="Arial"/>
          <w:szCs w:val="24"/>
        </w:rPr>
        <w:t xml:space="preserve">casada con el señor Homero Ortiz; </w:t>
      </w:r>
      <w:r w:rsidR="00F612CE" w:rsidRPr="00577813">
        <w:rPr>
          <w:rFonts w:ascii="Arial" w:hAnsi="Arial" w:cs="Arial"/>
          <w:szCs w:val="24"/>
        </w:rPr>
        <w:t xml:space="preserve">que </w:t>
      </w:r>
      <w:r w:rsidR="008F6711" w:rsidRPr="00577813">
        <w:rPr>
          <w:rFonts w:ascii="Arial" w:hAnsi="Arial" w:cs="Arial"/>
          <w:szCs w:val="24"/>
        </w:rPr>
        <w:t>la pareja procreó d</w:t>
      </w:r>
      <w:r w:rsidR="00D97F9F" w:rsidRPr="00577813">
        <w:rPr>
          <w:rFonts w:ascii="Arial" w:hAnsi="Arial" w:cs="Arial"/>
          <w:szCs w:val="24"/>
        </w:rPr>
        <w:t>os hijos, ambos</w:t>
      </w:r>
      <w:r w:rsidR="008F6711" w:rsidRPr="00577813">
        <w:rPr>
          <w:rFonts w:ascii="Arial" w:hAnsi="Arial" w:cs="Arial"/>
          <w:szCs w:val="24"/>
        </w:rPr>
        <w:t xml:space="preserve"> ya </w:t>
      </w:r>
      <w:r w:rsidR="00D97F9F" w:rsidRPr="00577813">
        <w:rPr>
          <w:rFonts w:ascii="Arial" w:hAnsi="Arial" w:cs="Arial"/>
          <w:szCs w:val="24"/>
        </w:rPr>
        <w:t xml:space="preserve">con hogar constituido; que </w:t>
      </w:r>
      <w:r w:rsidR="008F6711" w:rsidRPr="00577813">
        <w:rPr>
          <w:rFonts w:ascii="Arial" w:hAnsi="Arial" w:cs="Arial"/>
          <w:szCs w:val="24"/>
        </w:rPr>
        <w:t xml:space="preserve">la pareja vivía muy bien, que convivió durante más de 25 años y que nunca se llegó a separar.  </w:t>
      </w:r>
      <w:r w:rsidR="00D97F9F" w:rsidRPr="00577813">
        <w:rPr>
          <w:rFonts w:ascii="Arial" w:hAnsi="Arial" w:cs="Arial"/>
          <w:szCs w:val="24"/>
        </w:rPr>
        <w:t>Indic</w:t>
      </w:r>
      <w:r w:rsidR="008F6711" w:rsidRPr="00577813">
        <w:rPr>
          <w:rFonts w:ascii="Arial" w:hAnsi="Arial" w:cs="Arial"/>
          <w:szCs w:val="24"/>
        </w:rPr>
        <w:t xml:space="preserve">ó que el de </w:t>
      </w:r>
      <w:proofErr w:type="spellStart"/>
      <w:r w:rsidR="008F6711" w:rsidRPr="00577813">
        <w:rPr>
          <w:rFonts w:ascii="Arial" w:hAnsi="Arial" w:cs="Arial"/>
          <w:szCs w:val="24"/>
        </w:rPr>
        <w:t>cujus</w:t>
      </w:r>
      <w:proofErr w:type="spellEnd"/>
      <w:r w:rsidR="008F6711" w:rsidRPr="00577813">
        <w:rPr>
          <w:rFonts w:ascii="Arial" w:hAnsi="Arial" w:cs="Arial"/>
          <w:szCs w:val="24"/>
        </w:rPr>
        <w:t xml:space="preserve"> trabajó en papeles nacionales y que en el 2001 desapareció mientras manejaba taxi. </w:t>
      </w:r>
    </w:p>
    <w:p w:rsidR="00F543B5" w:rsidRPr="00577813" w:rsidRDefault="00F543B5" w:rsidP="00577813">
      <w:pPr>
        <w:pStyle w:val="Sinespaciado"/>
        <w:spacing w:line="288" w:lineRule="auto"/>
        <w:rPr>
          <w:rFonts w:ascii="Arial" w:hAnsi="Arial" w:cs="Arial"/>
          <w:szCs w:val="24"/>
        </w:rPr>
      </w:pPr>
    </w:p>
    <w:p w:rsidR="00673907" w:rsidRPr="00577813" w:rsidRDefault="003B17A0" w:rsidP="00577813">
      <w:pPr>
        <w:pStyle w:val="Sinespaciado"/>
        <w:spacing w:line="288" w:lineRule="auto"/>
        <w:ind w:firstLine="708"/>
        <w:jc w:val="both"/>
        <w:rPr>
          <w:rFonts w:ascii="Arial" w:hAnsi="Arial" w:cs="Arial"/>
          <w:szCs w:val="24"/>
        </w:rPr>
      </w:pPr>
      <w:r w:rsidRPr="00577813">
        <w:rPr>
          <w:rFonts w:ascii="Arial" w:hAnsi="Arial" w:cs="Arial"/>
          <w:szCs w:val="24"/>
          <w:lang w:eastAsia="en-US"/>
        </w:rPr>
        <w:t>Dicha prueba testimonial permite dar por sentado que la demandante, en calidad de cónyuge supérstite, hizo vida marital</w:t>
      </w:r>
      <w:r w:rsidR="003D03B5" w:rsidRPr="00577813">
        <w:rPr>
          <w:rFonts w:ascii="Arial" w:hAnsi="Arial" w:cs="Arial"/>
          <w:szCs w:val="24"/>
          <w:lang w:eastAsia="en-US"/>
        </w:rPr>
        <w:t xml:space="preserve"> con el causante </w:t>
      </w:r>
      <w:r w:rsidR="006378BB" w:rsidRPr="00577813">
        <w:rPr>
          <w:rFonts w:ascii="Arial" w:hAnsi="Arial" w:cs="Arial"/>
          <w:szCs w:val="24"/>
          <w:lang w:eastAsia="en-US"/>
        </w:rPr>
        <w:t>por</w:t>
      </w:r>
      <w:r w:rsidRPr="00577813">
        <w:rPr>
          <w:rFonts w:ascii="Arial" w:hAnsi="Arial" w:cs="Arial"/>
          <w:szCs w:val="24"/>
          <w:lang w:eastAsia="en-US"/>
        </w:rPr>
        <w:t xml:space="preserve"> </w:t>
      </w:r>
      <w:r w:rsidR="00EA46C9" w:rsidRPr="00577813">
        <w:rPr>
          <w:rFonts w:ascii="Arial" w:hAnsi="Arial" w:cs="Arial"/>
          <w:szCs w:val="24"/>
          <w:lang w:eastAsia="en-US"/>
        </w:rPr>
        <w:t>un lapso superior a</w:t>
      </w:r>
      <w:r w:rsidR="00D65F20" w:rsidRPr="00577813">
        <w:rPr>
          <w:rFonts w:ascii="Arial" w:hAnsi="Arial" w:cs="Arial"/>
          <w:szCs w:val="24"/>
          <w:lang w:eastAsia="en-US"/>
        </w:rPr>
        <w:t xml:space="preserve"> </w:t>
      </w:r>
      <w:r w:rsidR="006378BB" w:rsidRPr="00577813">
        <w:rPr>
          <w:rFonts w:ascii="Arial" w:hAnsi="Arial" w:cs="Arial"/>
          <w:szCs w:val="24"/>
          <w:lang w:eastAsia="en-US"/>
        </w:rPr>
        <w:t xml:space="preserve">cinco años anteriores a la fecha </w:t>
      </w:r>
      <w:r w:rsidR="00D65F20" w:rsidRPr="00577813">
        <w:rPr>
          <w:rFonts w:ascii="Arial" w:hAnsi="Arial" w:cs="Arial"/>
          <w:szCs w:val="24"/>
          <w:lang w:eastAsia="en-US"/>
        </w:rPr>
        <w:t xml:space="preserve">en que fue declarado su fallecimiento, </w:t>
      </w:r>
      <w:r w:rsidR="006378BB" w:rsidRPr="00577813">
        <w:rPr>
          <w:rFonts w:ascii="Arial" w:hAnsi="Arial" w:cs="Arial"/>
          <w:szCs w:val="24"/>
          <w:lang w:eastAsia="en-US"/>
        </w:rPr>
        <w:t xml:space="preserve">por lo que </w:t>
      </w:r>
      <w:r w:rsidR="00673907" w:rsidRPr="00577813">
        <w:rPr>
          <w:rFonts w:ascii="Arial" w:hAnsi="Arial" w:cs="Arial"/>
          <w:szCs w:val="24"/>
        </w:rPr>
        <w:t>se observa atino en la conclusión de la a-quo, en cuanto</w:t>
      </w:r>
      <w:r w:rsidR="003D03B5" w:rsidRPr="00577813">
        <w:rPr>
          <w:rFonts w:ascii="Arial" w:hAnsi="Arial" w:cs="Arial"/>
          <w:szCs w:val="24"/>
        </w:rPr>
        <w:t xml:space="preserve"> la </w:t>
      </w:r>
      <w:r w:rsidR="00673907" w:rsidRPr="00577813">
        <w:rPr>
          <w:rFonts w:ascii="Arial" w:hAnsi="Arial" w:cs="Arial"/>
          <w:szCs w:val="24"/>
        </w:rPr>
        <w:t>tuvo como beneficiari</w:t>
      </w:r>
      <w:r w:rsidR="00BD6999" w:rsidRPr="00577813">
        <w:rPr>
          <w:rFonts w:ascii="Arial" w:hAnsi="Arial" w:cs="Arial"/>
          <w:szCs w:val="24"/>
        </w:rPr>
        <w:t>a</w:t>
      </w:r>
      <w:r w:rsidR="00B17D7E" w:rsidRPr="00577813">
        <w:rPr>
          <w:rFonts w:ascii="Arial" w:hAnsi="Arial" w:cs="Arial"/>
          <w:szCs w:val="24"/>
        </w:rPr>
        <w:t xml:space="preserve"> </w:t>
      </w:r>
      <w:r w:rsidR="00673907" w:rsidRPr="00577813">
        <w:rPr>
          <w:rFonts w:ascii="Arial" w:hAnsi="Arial" w:cs="Arial"/>
          <w:szCs w:val="24"/>
        </w:rPr>
        <w:t>de la pensión de so</w:t>
      </w:r>
      <w:r w:rsidR="00D9799D" w:rsidRPr="00577813">
        <w:rPr>
          <w:rFonts w:ascii="Arial" w:hAnsi="Arial" w:cs="Arial"/>
          <w:szCs w:val="24"/>
        </w:rPr>
        <w:t xml:space="preserve">brevivientes. </w:t>
      </w:r>
    </w:p>
    <w:p w:rsidR="00874003" w:rsidRPr="00577813" w:rsidRDefault="00874003" w:rsidP="00577813">
      <w:pPr>
        <w:pStyle w:val="Sinespaciado"/>
        <w:spacing w:line="288" w:lineRule="auto"/>
        <w:rPr>
          <w:rFonts w:ascii="Arial" w:hAnsi="Arial" w:cs="Arial"/>
          <w:szCs w:val="24"/>
        </w:rPr>
      </w:pPr>
    </w:p>
    <w:p w:rsidR="00F56F39" w:rsidRPr="00577813" w:rsidRDefault="00D65F20" w:rsidP="00577813">
      <w:pPr>
        <w:pStyle w:val="Sinespaciado"/>
        <w:spacing w:line="288" w:lineRule="auto"/>
        <w:ind w:firstLine="708"/>
        <w:jc w:val="both"/>
        <w:rPr>
          <w:rFonts w:ascii="Arial" w:hAnsi="Arial" w:cs="Arial"/>
          <w:szCs w:val="24"/>
        </w:rPr>
      </w:pPr>
      <w:r w:rsidRPr="00577813">
        <w:rPr>
          <w:rFonts w:ascii="Arial" w:hAnsi="Arial" w:cs="Arial"/>
          <w:szCs w:val="24"/>
        </w:rPr>
        <w:t xml:space="preserve">Respecto </w:t>
      </w:r>
      <w:r w:rsidR="00F65353" w:rsidRPr="00577813">
        <w:rPr>
          <w:rFonts w:ascii="Arial" w:hAnsi="Arial" w:cs="Arial"/>
          <w:szCs w:val="24"/>
        </w:rPr>
        <w:t xml:space="preserve">del </w:t>
      </w:r>
      <w:r w:rsidR="00874003" w:rsidRPr="00577813">
        <w:rPr>
          <w:rFonts w:ascii="Arial" w:hAnsi="Arial" w:cs="Arial"/>
          <w:szCs w:val="24"/>
        </w:rPr>
        <w:t>tercero interviniente</w:t>
      </w:r>
      <w:r w:rsidR="00F9138A" w:rsidRPr="00577813">
        <w:rPr>
          <w:rFonts w:ascii="Arial" w:hAnsi="Arial" w:cs="Arial"/>
          <w:szCs w:val="24"/>
        </w:rPr>
        <w:t>,</w:t>
      </w:r>
      <w:r w:rsidR="00F65353" w:rsidRPr="00577813">
        <w:rPr>
          <w:rFonts w:ascii="Arial" w:hAnsi="Arial" w:cs="Arial"/>
          <w:szCs w:val="24"/>
        </w:rPr>
        <w:t xml:space="preserve"> </w:t>
      </w:r>
      <w:proofErr w:type="spellStart"/>
      <w:r w:rsidR="00F65353" w:rsidRPr="00577813">
        <w:rPr>
          <w:rFonts w:ascii="Arial" w:hAnsi="Arial" w:cs="Arial"/>
          <w:szCs w:val="24"/>
        </w:rPr>
        <w:t>Jhoan</w:t>
      </w:r>
      <w:proofErr w:type="spellEnd"/>
      <w:r w:rsidR="00F65353" w:rsidRPr="00577813">
        <w:rPr>
          <w:rFonts w:ascii="Arial" w:hAnsi="Arial" w:cs="Arial"/>
          <w:szCs w:val="24"/>
        </w:rPr>
        <w:t xml:space="preserve"> Sebastián Ortiz Varón, se tiene que </w:t>
      </w:r>
      <w:r w:rsidR="001B39E2" w:rsidRPr="00577813">
        <w:rPr>
          <w:rFonts w:ascii="Arial" w:hAnsi="Arial" w:cs="Arial"/>
          <w:szCs w:val="24"/>
        </w:rPr>
        <w:t xml:space="preserve">los hijos del afiliado serán beneficiarios de la prestación hasta cuando cumplan 18 años de edad, o hasta los 25 años, cuando estuvieren incapacitados para laborar en razón de sus estudios. De modo que, en el caso de autos no milita duda respecto a que al joven </w:t>
      </w:r>
      <w:proofErr w:type="spellStart"/>
      <w:r w:rsidR="001B39E2" w:rsidRPr="00577813">
        <w:rPr>
          <w:rFonts w:ascii="Arial" w:hAnsi="Arial" w:cs="Arial"/>
          <w:szCs w:val="24"/>
        </w:rPr>
        <w:t>Jhoan</w:t>
      </w:r>
      <w:proofErr w:type="spellEnd"/>
      <w:r w:rsidR="001B39E2" w:rsidRPr="00577813">
        <w:rPr>
          <w:rFonts w:ascii="Arial" w:hAnsi="Arial" w:cs="Arial"/>
          <w:szCs w:val="24"/>
        </w:rPr>
        <w:t xml:space="preserve"> Sebastián, </w:t>
      </w:r>
      <w:r w:rsidR="00F3167C" w:rsidRPr="00577813">
        <w:rPr>
          <w:rFonts w:ascii="Arial" w:hAnsi="Arial" w:cs="Arial"/>
          <w:szCs w:val="24"/>
        </w:rPr>
        <w:t>en principio, le asistía</w:t>
      </w:r>
      <w:r w:rsidR="004368D6" w:rsidRPr="00577813">
        <w:rPr>
          <w:rFonts w:ascii="Arial" w:hAnsi="Arial" w:cs="Arial"/>
          <w:szCs w:val="24"/>
        </w:rPr>
        <w:t xml:space="preserve"> </w:t>
      </w:r>
      <w:r w:rsidR="001B39E2" w:rsidRPr="00577813">
        <w:rPr>
          <w:rFonts w:ascii="Arial" w:hAnsi="Arial" w:cs="Arial"/>
          <w:szCs w:val="24"/>
        </w:rPr>
        <w:t xml:space="preserve">el derecho a percibir la gracia pensional solicitada desde el 3 de agosto de 2003, fecha del deceso </w:t>
      </w:r>
      <w:r w:rsidR="00F56F39" w:rsidRPr="00577813">
        <w:rPr>
          <w:rFonts w:ascii="Arial" w:hAnsi="Arial" w:cs="Arial"/>
          <w:szCs w:val="24"/>
        </w:rPr>
        <w:t xml:space="preserve">del asegurado y, </w:t>
      </w:r>
      <w:r w:rsidR="00F65353" w:rsidRPr="00577813">
        <w:rPr>
          <w:rFonts w:ascii="Arial" w:hAnsi="Arial" w:cs="Arial"/>
          <w:szCs w:val="24"/>
        </w:rPr>
        <w:t xml:space="preserve">hasta el 30 de mayo de 2010, calenda en que cumplió 18 años de edad, </w:t>
      </w:r>
      <w:r w:rsidR="00F56F39" w:rsidRPr="00577813">
        <w:rPr>
          <w:rFonts w:ascii="Arial" w:hAnsi="Arial" w:cs="Arial"/>
          <w:szCs w:val="24"/>
        </w:rPr>
        <w:t xml:space="preserve">sin que con posterioridad hubiere emprendido estudios para </w:t>
      </w:r>
      <w:r w:rsidR="00F65353" w:rsidRPr="00577813">
        <w:rPr>
          <w:rFonts w:ascii="Arial" w:hAnsi="Arial" w:cs="Arial"/>
          <w:szCs w:val="24"/>
        </w:rPr>
        <w:t xml:space="preserve">conservar su derecho a percibir la prestación hasta cumplir 25 años de edad, tal como lo </w:t>
      </w:r>
      <w:r w:rsidR="005B70AB" w:rsidRPr="00577813">
        <w:rPr>
          <w:rFonts w:ascii="Arial" w:hAnsi="Arial" w:cs="Arial"/>
          <w:szCs w:val="24"/>
        </w:rPr>
        <w:t xml:space="preserve">aceptó </w:t>
      </w:r>
      <w:r w:rsidR="00F65353" w:rsidRPr="00577813">
        <w:rPr>
          <w:rFonts w:ascii="Arial" w:hAnsi="Arial" w:cs="Arial"/>
          <w:szCs w:val="24"/>
        </w:rPr>
        <w:t>en su escrito de intervenci</w:t>
      </w:r>
      <w:r w:rsidR="00A02CF5" w:rsidRPr="00577813">
        <w:rPr>
          <w:rFonts w:ascii="Arial" w:hAnsi="Arial" w:cs="Arial"/>
          <w:szCs w:val="24"/>
        </w:rPr>
        <w:t xml:space="preserve">ón presentado el 5 de abril de 2016 –ver folio 177-. </w:t>
      </w:r>
    </w:p>
    <w:p w:rsidR="00E7142F" w:rsidRPr="00577813" w:rsidRDefault="00E7142F" w:rsidP="00577813">
      <w:pPr>
        <w:pStyle w:val="Sinespaciado"/>
        <w:spacing w:line="288" w:lineRule="auto"/>
        <w:rPr>
          <w:rFonts w:ascii="Arial" w:hAnsi="Arial" w:cs="Arial"/>
          <w:szCs w:val="24"/>
        </w:rPr>
      </w:pPr>
    </w:p>
    <w:p w:rsidR="00116671" w:rsidRPr="00577813" w:rsidRDefault="00E7142F" w:rsidP="00577813">
      <w:pPr>
        <w:pStyle w:val="Textoindependiente31"/>
        <w:spacing w:line="288" w:lineRule="auto"/>
        <w:ind w:firstLine="851"/>
        <w:rPr>
          <w:rFonts w:cs="Arial"/>
          <w:sz w:val="24"/>
          <w:szCs w:val="24"/>
        </w:rPr>
      </w:pPr>
      <w:r w:rsidRPr="00577813">
        <w:rPr>
          <w:rFonts w:cs="Arial"/>
          <w:sz w:val="24"/>
          <w:szCs w:val="24"/>
        </w:rPr>
        <w:t xml:space="preserve">No </w:t>
      </w:r>
      <w:proofErr w:type="gramStart"/>
      <w:r w:rsidRPr="00577813">
        <w:rPr>
          <w:rFonts w:cs="Arial"/>
          <w:sz w:val="24"/>
          <w:szCs w:val="24"/>
        </w:rPr>
        <w:t>obstante</w:t>
      </w:r>
      <w:proofErr w:type="gramEnd"/>
      <w:r w:rsidRPr="00577813">
        <w:rPr>
          <w:rFonts w:cs="Arial"/>
          <w:sz w:val="24"/>
          <w:szCs w:val="24"/>
        </w:rPr>
        <w:t xml:space="preserve"> lo anterior, </w:t>
      </w:r>
      <w:r w:rsidR="005B17B0" w:rsidRPr="00577813">
        <w:rPr>
          <w:rFonts w:cs="Arial"/>
          <w:sz w:val="24"/>
          <w:szCs w:val="24"/>
        </w:rPr>
        <w:t xml:space="preserve">esta Sala de Decisión se ha abstenido de hacer el reconocimiento de retroactivo pensional alguno antes de la ejecutoria de la sentencia, </w:t>
      </w:r>
      <w:r w:rsidRPr="00577813">
        <w:rPr>
          <w:rFonts w:cs="Arial"/>
          <w:sz w:val="24"/>
          <w:szCs w:val="24"/>
        </w:rPr>
        <w:lastRenderedPageBreak/>
        <w:t>en la medida en que la prevalencia del derecho acá declarado, surge por una interpretación constitucional favorable</w:t>
      </w:r>
      <w:r w:rsidR="00116671" w:rsidRPr="00577813">
        <w:rPr>
          <w:rFonts w:cs="Arial"/>
          <w:sz w:val="24"/>
          <w:szCs w:val="24"/>
        </w:rPr>
        <w:t xml:space="preserve">. </w:t>
      </w:r>
    </w:p>
    <w:p w:rsidR="00116671" w:rsidRPr="00577813" w:rsidRDefault="00116671" w:rsidP="00577813">
      <w:pPr>
        <w:pStyle w:val="Sinespaciado"/>
        <w:spacing w:line="288" w:lineRule="auto"/>
        <w:rPr>
          <w:rFonts w:ascii="Arial" w:hAnsi="Arial" w:cs="Arial"/>
          <w:szCs w:val="24"/>
        </w:rPr>
      </w:pPr>
    </w:p>
    <w:p w:rsidR="00116671" w:rsidRPr="00577813" w:rsidRDefault="00116671" w:rsidP="00577813">
      <w:pPr>
        <w:pStyle w:val="Textoindependiente31"/>
        <w:spacing w:line="288" w:lineRule="auto"/>
        <w:ind w:firstLine="851"/>
        <w:rPr>
          <w:rFonts w:cs="Arial"/>
          <w:sz w:val="24"/>
          <w:szCs w:val="24"/>
        </w:rPr>
      </w:pPr>
      <w:r w:rsidRPr="00577813">
        <w:rPr>
          <w:rFonts w:cs="Arial"/>
          <w:sz w:val="24"/>
          <w:szCs w:val="24"/>
        </w:rPr>
        <w:t>Es ese el marco frente al cual el órgano de cierre de la especialidad laboral, en un caso análogo de interpretación constitucional favorable, indicó que se está en frente de un evento en que las actuaciones de las administradoras de pensiones, al no reconocer o pagar las prestaciones periódicas a su cargo, “</w:t>
      </w:r>
      <w:r w:rsidRPr="00577813">
        <w:rPr>
          <w:rFonts w:cs="Arial"/>
          <w:i/>
          <w:sz w:val="24"/>
          <w:szCs w:val="24"/>
        </w:rPr>
        <w:t>encuentran plena justificación bien porque tengan respaldo normativo, ora porque su postura provenga de la aplicación minuciosa de la ley, sin los alcances o efectos que en un momento dado puedan darle los jueces en la función que le es propia de interpretar las normas  sociales y ajustarlas a los postulados y objetivos fundamentales de la seguridad social, y que a las entidades que la gestionan no les compete y les es imposible predecir</w:t>
      </w:r>
      <w:r w:rsidRPr="00577813">
        <w:rPr>
          <w:rFonts w:cs="Arial"/>
          <w:sz w:val="24"/>
          <w:szCs w:val="24"/>
        </w:rPr>
        <w:t xml:space="preserve">”. (Sent.02 de octubre de 2013. Rad. 44.454 </w:t>
      </w:r>
      <w:proofErr w:type="gramStart"/>
      <w:r w:rsidRPr="00577813">
        <w:rPr>
          <w:rFonts w:cs="Arial"/>
          <w:sz w:val="24"/>
          <w:szCs w:val="24"/>
        </w:rPr>
        <w:t>Cas</w:t>
      </w:r>
      <w:proofErr w:type="gramEnd"/>
      <w:r w:rsidRPr="00577813">
        <w:rPr>
          <w:rFonts w:cs="Arial"/>
          <w:sz w:val="24"/>
          <w:szCs w:val="24"/>
        </w:rPr>
        <w:t>. Laboral).</w:t>
      </w:r>
    </w:p>
    <w:p w:rsidR="00116671" w:rsidRPr="00577813" w:rsidRDefault="00116671" w:rsidP="00577813">
      <w:pPr>
        <w:pStyle w:val="Sinespaciado"/>
        <w:spacing w:line="288" w:lineRule="auto"/>
        <w:rPr>
          <w:rFonts w:ascii="Arial" w:hAnsi="Arial" w:cs="Arial"/>
          <w:szCs w:val="24"/>
        </w:rPr>
      </w:pPr>
    </w:p>
    <w:p w:rsidR="00E7142F" w:rsidRPr="00577813" w:rsidRDefault="00116671" w:rsidP="00577813">
      <w:pPr>
        <w:pStyle w:val="Textoindependiente31"/>
        <w:spacing w:line="288" w:lineRule="auto"/>
        <w:ind w:firstLine="708"/>
        <w:rPr>
          <w:rFonts w:cs="Arial"/>
          <w:sz w:val="24"/>
          <w:szCs w:val="24"/>
        </w:rPr>
      </w:pPr>
      <w:r w:rsidRPr="00577813">
        <w:rPr>
          <w:rFonts w:cs="Arial"/>
          <w:sz w:val="24"/>
          <w:szCs w:val="24"/>
        </w:rPr>
        <w:t xml:space="preserve">En </w:t>
      </w:r>
      <w:r w:rsidR="005B17B0" w:rsidRPr="00577813">
        <w:rPr>
          <w:rFonts w:cs="Arial"/>
          <w:sz w:val="24"/>
          <w:szCs w:val="24"/>
        </w:rPr>
        <w:t xml:space="preserve">tal virtud, </w:t>
      </w:r>
      <w:r w:rsidR="00417250" w:rsidRPr="00577813">
        <w:rPr>
          <w:rFonts w:cs="Arial"/>
          <w:sz w:val="24"/>
          <w:szCs w:val="24"/>
        </w:rPr>
        <w:t xml:space="preserve">respecto a </w:t>
      </w:r>
      <w:r w:rsidR="00981D91" w:rsidRPr="00577813">
        <w:rPr>
          <w:rFonts w:cs="Arial"/>
          <w:sz w:val="24"/>
          <w:szCs w:val="24"/>
        </w:rPr>
        <w:t xml:space="preserve">la cónyuge </w:t>
      </w:r>
      <w:r w:rsidR="005B17B0" w:rsidRPr="00577813">
        <w:rPr>
          <w:rFonts w:cs="Arial"/>
          <w:sz w:val="24"/>
          <w:szCs w:val="24"/>
        </w:rPr>
        <w:t>sólo procede el reconocimiento y pago de las mesadas pensionales a partir de</w:t>
      </w:r>
      <w:r w:rsidR="00B32006" w:rsidRPr="00577813">
        <w:rPr>
          <w:rFonts w:cs="Arial"/>
          <w:sz w:val="24"/>
          <w:szCs w:val="24"/>
        </w:rPr>
        <w:t xml:space="preserve"> la ejecutoria de este proveído. En cuanto al menor éste no percibirá el retroactivo pensional, puesto que su disfrute correspondería a una época</w:t>
      </w:r>
      <w:r w:rsidR="00417250" w:rsidRPr="00577813">
        <w:rPr>
          <w:rFonts w:cs="Arial"/>
          <w:sz w:val="24"/>
          <w:szCs w:val="24"/>
        </w:rPr>
        <w:t xml:space="preserve"> posterior al de su minoría de edad. </w:t>
      </w:r>
      <w:r w:rsidR="00B32006" w:rsidRPr="00577813">
        <w:rPr>
          <w:rFonts w:cs="Arial"/>
          <w:sz w:val="24"/>
          <w:szCs w:val="24"/>
        </w:rPr>
        <w:t xml:space="preserve"> </w:t>
      </w:r>
    </w:p>
    <w:p w:rsidR="00CC35FB" w:rsidRPr="00577813" w:rsidRDefault="00CC35FB" w:rsidP="00577813">
      <w:pPr>
        <w:pStyle w:val="Sinespaciado"/>
        <w:spacing w:line="288" w:lineRule="auto"/>
        <w:rPr>
          <w:rFonts w:ascii="Arial" w:hAnsi="Arial" w:cs="Arial"/>
          <w:szCs w:val="24"/>
        </w:rPr>
      </w:pPr>
    </w:p>
    <w:p w:rsidR="001B39E2" w:rsidRPr="00577813" w:rsidRDefault="00265970" w:rsidP="00577813">
      <w:pPr>
        <w:pStyle w:val="Sinespaciado"/>
        <w:spacing w:line="288" w:lineRule="auto"/>
        <w:ind w:firstLine="708"/>
        <w:jc w:val="both"/>
        <w:rPr>
          <w:rFonts w:ascii="Arial" w:hAnsi="Arial" w:cs="Arial"/>
          <w:szCs w:val="24"/>
        </w:rPr>
      </w:pPr>
      <w:r w:rsidRPr="00577813">
        <w:rPr>
          <w:rFonts w:ascii="Arial" w:hAnsi="Arial" w:cs="Arial"/>
          <w:szCs w:val="24"/>
        </w:rPr>
        <w:t xml:space="preserve">Por ende, se revocará parcialmente la sentencia de primer grado, </w:t>
      </w:r>
      <w:r w:rsidR="0040198E" w:rsidRPr="00577813">
        <w:rPr>
          <w:rFonts w:ascii="Arial" w:hAnsi="Arial" w:cs="Arial"/>
          <w:szCs w:val="24"/>
        </w:rPr>
        <w:t>en virtud del grado de consulta que opera en favor de la entidad demandada.</w:t>
      </w:r>
    </w:p>
    <w:p w:rsidR="00D267F3" w:rsidRPr="00577813" w:rsidRDefault="00D267F3" w:rsidP="00577813">
      <w:pPr>
        <w:pStyle w:val="Sinespaciado"/>
        <w:spacing w:line="288" w:lineRule="auto"/>
        <w:rPr>
          <w:rFonts w:ascii="Arial" w:hAnsi="Arial" w:cs="Arial"/>
          <w:szCs w:val="24"/>
        </w:rPr>
      </w:pPr>
    </w:p>
    <w:p w:rsidR="004877DF" w:rsidRPr="00577813" w:rsidRDefault="008B7AB7" w:rsidP="00577813">
      <w:pPr>
        <w:pStyle w:val="Textoindependiente31"/>
        <w:spacing w:line="288" w:lineRule="auto"/>
        <w:ind w:firstLine="851"/>
        <w:rPr>
          <w:rFonts w:cs="Arial"/>
          <w:sz w:val="24"/>
          <w:szCs w:val="24"/>
        </w:rPr>
      </w:pPr>
      <w:r w:rsidRPr="00577813">
        <w:rPr>
          <w:rFonts w:cs="Arial"/>
          <w:sz w:val="24"/>
          <w:szCs w:val="24"/>
        </w:rPr>
        <w:t>Respecto del valor de la mesada pensional</w:t>
      </w:r>
      <w:r w:rsidR="00EE2E6E" w:rsidRPr="00577813">
        <w:rPr>
          <w:rFonts w:cs="Arial"/>
          <w:sz w:val="24"/>
          <w:szCs w:val="24"/>
        </w:rPr>
        <w:t xml:space="preserve"> para el año 2017, </w:t>
      </w:r>
      <w:r w:rsidRPr="00577813">
        <w:rPr>
          <w:rFonts w:cs="Arial"/>
          <w:sz w:val="24"/>
          <w:szCs w:val="24"/>
        </w:rPr>
        <w:t>e</w:t>
      </w:r>
      <w:r w:rsidR="00CD25C6" w:rsidRPr="00577813">
        <w:rPr>
          <w:rFonts w:cs="Arial"/>
          <w:sz w:val="24"/>
          <w:szCs w:val="24"/>
        </w:rPr>
        <w:t xml:space="preserve">fectuados los cálculos respectivos, </w:t>
      </w:r>
      <w:r w:rsidRPr="00577813">
        <w:rPr>
          <w:rFonts w:cs="Arial"/>
          <w:sz w:val="24"/>
          <w:szCs w:val="24"/>
        </w:rPr>
        <w:t>ésta a</w:t>
      </w:r>
      <w:r w:rsidR="003A25D8" w:rsidRPr="00577813">
        <w:rPr>
          <w:rFonts w:cs="Arial"/>
          <w:sz w:val="24"/>
          <w:szCs w:val="24"/>
        </w:rPr>
        <w:t>sciende a la suma de $</w:t>
      </w:r>
      <w:r w:rsidR="0086709C" w:rsidRPr="00577813">
        <w:rPr>
          <w:rFonts w:cs="Arial"/>
          <w:sz w:val="24"/>
          <w:szCs w:val="24"/>
        </w:rPr>
        <w:t>792.741, conforme al cuadro que se pone de presente a los asistentes y hará parte integrante del acta final que se suscriba con ocasión de esta diligencia.</w:t>
      </w:r>
      <w:r w:rsidRPr="00577813">
        <w:rPr>
          <w:rFonts w:cs="Arial"/>
          <w:sz w:val="24"/>
          <w:szCs w:val="24"/>
        </w:rPr>
        <w:t xml:space="preserve"> Se accederá a 13 mesadas pensionales anuales</w:t>
      </w:r>
      <w:r w:rsidR="004877DF" w:rsidRPr="00577813">
        <w:rPr>
          <w:rFonts w:cs="Arial"/>
          <w:sz w:val="24"/>
          <w:szCs w:val="24"/>
        </w:rPr>
        <w:t xml:space="preserve">, debido a que la </w:t>
      </w:r>
      <w:proofErr w:type="spellStart"/>
      <w:r w:rsidR="004877DF" w:rsidRPr="00577813">
        <w:rPr>
          <w:rFonts w:cs="Arial"/>
          <w:sz w:val="24"/>
          <w:szCs w:val="24"/>
        </w:rPr>
        <w:t>causación</w:t>
      </w:r>
      <w:proofErr w:type="spellEnd"/>
      <w:r w:rsidR="004877DF" w:rsidRPr="00577813">
        <w:rPr>
          <w:rFonts w:cs="Arial"/>
          <w:sz w:val="24"/>
          <w:szCs w:val="24"/>
        </w:rPr>
        <w:t xml:space="preserve"> del derecho a la gracia pensional se fijó a partir de </w:t>
      </w:r>
      <w:r w:rsidR="00A61777" w:rsidRPr="00577813">
        <w:rPr>
          <w:rFonts w:cs="Arial"/>
          <w:sz w:val="24"/>
          <w:szCs w:val="24"/>
        </w:rPr>
        <w:t>la ejecutoria de este proveído, al tenor de lo establecido en el inciso 8º del Acto Legislativo 01 de 2005.</w:t>
      </w:r>
    </w:p>
    <w:p w:rsidR="00BD6999" w:rsidRPr="00577813" w:rsidRDefault="00BD6999" w:rsidP="00577813">
      <w:pPr>
        <w:pStyle w:val="Sinespaciado"/>
        <w:spacing w:line="288" w:lineRule="auto"/>
        <w:rPr>
          <w:rFonts w:ascii="Arial" w:hAnsi="Arial" w:cs="Arial"/>
          <w:szCs w:val="24"/>
        </w:rPr>
      </w:pPr>
    </w:p>
    <w:p w:rsidR="00C40FE4" w:rsidRPr="00577813" w:rsidRDefault="00BD6999" w:rsidP="00577813">
      <w:pPr>
        <w:pStyle w:val="Textoindependiente31"/>
        <w:spacing w:line="288" w:lineRule="auto"/>
        <w:ind w:firstLine="851"/>
        <w:rPr>
          <w:rFonts w:cs="Arial"/>
          <w:sz w:val="24"/>
          <w:szCs w:val="24"/>
        </w:rPr>
      </w:pPr>
      <w:r w:rsidRPr="00577813">
        <w:rPr>
          <w:rFonts w:cs="Arial"/>
          <w:sz w:val="24"/>
          <w:szCs w:val="24"/>
        </w:rPr>
        <w:t xml:space="preserve">En cuanto a las costas, se exonerará a la </w:t>
      </w:r>
      <w:r w:rsidR="00876146" w:rsidRPr="00577813">
        <w:rPr>
          <w:rFonts w:cs="Arial"/>
          <w:sz w:val="24"/>
          <w:szCs w:val="24"/>
        </w:rPr>
        <w:t xml:space="preserve">entidad </w:t>
      </w:r>
      <w:r w:rsidRPr="00577813">
        <w:rPr>
          <w:rFonts w:cs="Arial"/>
          <w:sz w:val="24"/>
          <w:szCs w:val="24"/>
        </w:rPr>
        <w:t>demandada de su pago, por las mismas razones antes expuestas.</w:t>
      </w:r>
      <w:r w:rsidR="005C1F3C" w:rsidRPr="00577813">
        <w:rPr>
          <w:rFonts w:cs="Arial"/>
          <w:sz w:val="24"/>
          <w:szCs w:val="24"/>
        </w:rPr>
        <w:t xml:space="preserve"> </w:t>
      </w:r>
      <w:r w:rsidR="00C40FE4" w:rsidRPr="00577813">
        <w:rPr>
          <w:rFonts w:cs="Arial"/>
          <w:sz w:val="24"/>
          <w:szCs w:val="24"/>
          <w:lang w:val="es-ES"/>
        </w:rPr>
        <w:t>Sin costas en esta sede, por conocerse en consulta.</w:t>
      </w:r>
    </w:p>
    <w:p w:rsidR="00C40FE4" w:rsidRPr="00577813" w:rsidRDefault="00C40FE4" w:rsidP="00577813">
      <w:pPr>
        <w:pStyle w:val="Sinespaciado"/>
        <w:spacing w:line="288" w:lineRule="auto"/>
        <w:rPr>
          <w:rFonts w:ascii="Arial" w:hAnsi="Arial" w:cs="Arial"/>
          <w:szCs w:val="24"/>
          <w:lang w:val="es-ES"/>
        </w:rPr>
      </w:pPr>
    </w:p>
    <w:p w:rsidR="00C40FE4" w:rsidRPr="00577813" w:rsidRDefault="00C40FE4" w:rsidP="00577813">
      <w:pPr>
        <w:pStyle w:val="Prrafodelista1"/>
        <w:spacing w:after="0" w:line="288" w:lineRule="auto"/>
        <w:ind w:left="0" w:firstLine="900"/>
        <w:jc w:val="both"/>
        <w:rPr>
          <w:rFonts w:ascii="Arial" w:hAnsi="Arial" w:cs="Arial"/>
          <w:sz w:val="24"/>
          <w:szCs w:val="24"/>
        </w:rPr>
      </w:pPr>
      <w:r w:rsidRPr="00577813">
        <w:rPr>
          <w:rFonts w:ascii="Arial" w:hAnsi="Arial" w:cs="Arial"/>
          <w:sz w:val="24"/>
          <w:szCs w:val="24"/>
        </w:rPr>
        <w:t xml:space="preserve">En mérito de lo expuesto, el </w:t>
      </w:r>
      <w:r w:rsidRPr="00577813">
        <w:rPr>
          <w:rFonts w:ascii="Arial" w:hAnsi="Arial" w:cs="Arial"/>
          <w:b/>
          <w:i/>
          <w:sz w:val="24"/>
          <w:szCs w:val="24"/>
        </w:rPr>
        <w:t>H. Tribunal Superior del Distrito Judicial de Pereira - Risaralda, Sala Laboral,</w:t>
      </w:r>
      <w:r w:rsidRPr="00577813">
        <w:rPr>
          <w:rFonts w:ascii="Arial" w:hAnsi="Arial" w:cs="Arial"/>
          <w:sz w:val="24"/>
          <w:szCs w:val="24"/>
        </w:rPr>
        <w:t xml:space="preserve"> administrando justicia en nombre de la República y por autoridad de la ley,</w:t>
      </w:r>
    </w:p>
    <w:p w:rsidR="00C40FE4" w:rsidRPr="00577813" w:rsidRDefault="00C40FE4" w:rsidP="00577813">
      <w:pPr>
        <w:pStyle w:val="Sinespaciado"/>
        <w:spacing w:line="288" w:lineRule="auto"/>
        <w:rPr>
          <w:rFonts w:ascii="Arial" w:hAnsi="Arial" w:cs="Arial"/>
          <w:szCs w:val="24"/>
        </w:rPr>
      </w:pPr>
    </w:p>
    <w:p w:rsidR="00C40FE4" w:rsidRPr="00577813" w:rsidRDefault="00C40FE4" w:rsidP="00577813">
      <w:pPr>
        <w:spacing w:line="288" w:lineRule="auto"/>
        <w:jc w:val="center"/>
        <w:rPr>
          <w:rFonts w:ascii="Arial" w:hAnsi="Arial" w:cs="Arial"/>
          <w:b/>
          <w:i/>
          <w:szCs w:val="24"/>
        </w:rPr>
      </w:pPr>
      <w:r w:rsidRPr="00577813">
        <w:rPr>
          <w:rFonts w:ascii="Arial" w:hAnsi="Arial" w:cs="Arial"/>
          <w:b/>
          <w:i/>
          <w:szCs w:val="24"/>
        </w:rPr>
        <w:t>FALLA</w:t>
      </w:r>
    </w:p>
    <w:p w:rsidR="005F03F1" w:rsidRPr="00577813" w:rsidRDefault="005F03F1" w:rsidP="00577813">
      <w:pPr>
        <w:pStyle w:val="Sinespaciado"/>
        <w:spacing w:line="288" w:lineRule="auto"/>
        <w:rPr>
          <w:rFonts w:ascii="Arial" w:hAnsi="Arial" w:cs="Arial"/>
          <w:szCs w:val="24"/>
        </w:rPr>
      </w:pPr>
    </w:p>
    <w:p w:rsidR="00B92FE5" w:rsidRPr="00577813" w:rsidRDefault="00D46DA8" w:rsidP="00577813">
      <w:pPr>
        <w:pStyle w:val="Textoindependiente31"/>
        <w:numPr>
          <w:ilvl w:val="0"/>
          <w:numId w:val="5"/>
        </w:numPr>
        <w:tabs>
          <w:tab w:val="left" w:pos="709"/>
        </w:tabs>
        <w:spacing w:line="288" w:lineRule="auto"/>
        <w:ind w:left="0" w:firstLine="708"/>
        <w:rPr>
          <w:rFonts w:cs="Arial"/>
          <w:sz w:val="24"/>
          <w:szCs w:val="24"/>
        </w:rPr>
      </w:pPr>
      <w:r w:rsidRPr="00577813">
        <w:rPr>
          <w:rFonts w:cs="Arial"/>
          <w:b/>
          <w:spacing w:val="-2"/>
          <w:sz w:val="24"/>
          <w:szCs w:val="24"/>
        </w:rPr>
        <w:t>R</w:t>
      </w:r>
      <w:r w:rsidR="00B92FE5" w:rsidRPr="00577813">
        <w:rPr>
          <w:rFonts w:cs="Arial"/>
          <w:b/>
          <w:spacing w:val="-2"/>
          <w:sz w:val="24"/>
          <w:szCs w:val="24"/>
        </w:rPr>
        <w:t>evocar</w:t>
      </w:r>
      <w:r w:rsidR="00B92FE5" w:rsidRPr="00577813">
        <w:rPr>
          <w:rFonts w:cs="Arial"/>
          <w:i/>
          <w:spacing w:val="-2"/>
          <w:sz w:val="24"/>
          <w:szCs w:val="24"/>
        </w:rPr>
        <w:t xml:space="preserve"> </w:t>
      </w:r>
      <w:r w:rsidR="00B92FE5" w:rsidRPr="00577813">
        <w:rPr>
          <w:rFonts w:cs="Arial"/>
          <w:spacing w:val="-2"/>
          <w:sz w:val="24"/>
          <w:szCs w:val="24"/>
        </w:rPr>
        <w:t xml:space="preserve">parcialmente </w:t>
      </w:r>
      <w:r w:rsidR="00BC5C05" w:rsidRPr="00577813">
        <w:rPr>
          <w:rFonts w:cs="Arial"/>
          <w:spacing w:val="-2"/>
          <w:sz w:val="24"/>
          <w:szCs w:val="24"/>
        </w:rPr>
        <w:t>el ordinal</w:t>
      </w:r>
      <w:r w:rsidRPr="00577813">
        <w:rPr>
          <w:rFonts w:cs="Arial"/>
          <w:spacing w:val="-2"/>
          <w:sz w:val="24"/>
          <w:szCs w:val="24"/>
        </w:rPr>
        <w:t xml:space="preserve"> 3º</w:t>
      </w:r>
      <w:r w:rsidR="00BC5C05" w:rsidRPr="00577813">
        <w:rPr>
          <w:rFonts w:cs="Arial"/>
          <w:spacing w:val="-2"/>
          <w:sz w:val="24"/>
          <w:szCs w:val="24"/>
        </w:rPr>
        <w:t xml:space="preserve"> y</w:t>
      </w:r>
      <w:r w:rsidR="00B92FE5" w:rsidRPr="00577813">
        <w:rPr>
          <w:rFonts w:cs="Arial"/>
          <w:spacing w:val="-2"/>
          <w:sz w:val="24"/>
          <w:szCs w:val="24"/>
        </w:rPr>
        <w:t xml:space="preserve"> </w:t>
      </w:r>
      <w:r w:rsidRPr="00577813">
        <w:rPr>
          <w:rFonts w:cs="Arial"/>
          <w:spacing w:val="-2"/>
          <w:sz w:val="24"/>
          <w:szCs w:val="24"/>
        </w:rPr>
        <w:t xml:space="preserve">4º </w:t>
      </w:r>
      <w:r w:rsidR="00B92FE5" w:rsidRPr="00577813">
        <w:rPr>
          <w:rFonts w:cs="Arial"/>
          <w:spacing w:val="-2"/>
          <w:sz w:val="24"/>
          <w:szCs w:val="24"/>
        </w:rPr>
        <w:t>de</w:t>
      </w:r>
      <w:r w:rsidR="00B92FE5" w:rsidRPr="00577813">
        <w:rPr>
          <w:rFonts w:cs="Arial"/>
          <w:i/>
          <w:spacing w:val="-2"/>
          <w:sz w:val="24"/>
          <w:szCs w:val="24"/>
        </w:rPr>
        <w:t xml:space="preserve"> </w:t>
      </w:r>
      <w:r w:rsidR="00BC5C05" w:rsidRPr="00577813">
        <w:rPr>
          <w:rFonts w:cs="Arial"/>
          <w:spacing w:val="-2"/>
          <w:sz w:val="24"/>
          <w:szCs w:val="24"/>
        </w:rPr>
        <w:t>la sentencia</w:t>
      </w:r>
      <w:r w:rsidR="00BF257B" w:rsidRPr="00577813">
        <w:rPr>
          <w:rFonts w:cs="Arial"/>
          <w:spacing w:val="-2"/>
          <w:sz w:val="24"/>
          <w:szCs w:val="24"/>
        </w:rPr>
        <w:t xml:space="preserve"> </w:t>
      </w:r>
      <w:r w:rsidR="00BF257B" w:rsidRPr="00577813">
        <w:rPr>
          <w:rFonts w:cs="Arial"/>
          <w:sz w:val="24"/>
          <w:szCs w:val="24"/>
        </w:rPr>
        <w:t xml:space="preserve">proferida el 14 de octubre de 2014 por el Juzgado Segundo Laboral del Circuito de esta ciudad, dentro del proceso de la referencia. En consecuencia: </w:t>
      </w:r>
      <w:r w:rsidR="00417250" w:rsidRPr="00577813">
        <w:rPr>
          <w:rFonts w:cs="Arial"/>
          <w:sz w:val="24"/>
          <w:szCs w:val="24"/>
        </w:rPr>
        <w:t xml:space="preserve">Negar el reconocimiento de la prestación al señor </w:t>
      </w:r>
      <w:proofErr w:type="spellStart"/>
      <w:r w:rsidR="00AB0D84" w:rsidRPr="00577813">
        <w:rPr>
          <w:rFonts w:cs="Arial"/>
          <w:sz w:val="24"/>
          <w:szCs w:val="24"/>
        </w:rPr>
        <w:t>Jhoan</w:t>
      </w:r>
      <w:proofErr w:type="spellEnd"/>
      <w:r w:rsidR="00AB0D84" w:rsidRPr="00577813">
        <w:rPr>
          <w:rFonts w:cs="Arial"/>
          <w:sz w:val="24"/>
          <w:szCs w:val="24"/>
        </w:rPr>
        <w:t xml:space="preserve"> Sebastián Ortiz Varón, </w:t>
      </w:r>
      <w:r w:rsidR="00417250" w:rsidRPr="00577813">
        <w:rPr>
          <w:rFonts w:cs="Arial"/>
          <w:sz w:val="24"/>
          <w:szCs w:val="24"/>
        </w:rPr>
        <w:t>en lo que tiene que ver con el retroactivo pensional.</w:t>
      </w:r>
      <w:r w:rsidR="00AB0D84" w:rsidRPr="00577813">
        <w:rPr>
          <w:rFonts w:cs="Arial"/>
          <w:sz w:val="24"/>
          <w:szCs w:val="24"/>
        </w:rPr>
        <w:t xml:space="preserve"> </w:t>
      </w:r>
      <w:r w:rsidR="0001031C" w:rsidRPr="00577813">
        <w:rPr>
          <w:rFonts w:cs="Arial"/>
          <w:sz w:val="24"/>
          <w:szCs w:val="24"/>
        </w:rPr>
        <w:t xml:space="preserve">Respecto </w:t>
      </w:r>
      <w:r w:rsidR="00EF43B3" w:rsidRPr="00577813">
        <w:rPr>
          <w:rFonts w:cs="Arial"/>
          <w:sz w:val="24"/>
          <w:szCs w:val="24"/>
        </w:rPr>
        <w:t xml:space="preserve">de la prestación pensional en favor de la </w:t>
      </w:r>
      <w:r w:rsidR="0001031C" w:rsidRPr="00577813">
        <w:rPr>
          <w:rFonts w:cs="Arial"/>
          <w:sz w:val="24"/>
          <w:szCs w:val="24"/>
        </w:rPr>
        <w:t>s</w:t>
      </w:r>
      <w:r w:rsidR="00AB0D84" w:rsidRPr="00577813">
        <w:rPr>
          <w:rFonts w:cs="Arial"/>
          <w:sz w:val="24"/>
          <w:szCs w:val="24"/>
        </w:rPr>
        <w:t xml:space="preserve">eñora Blanca Mary Varón Loaiza, </w:t>
      </w:r>
      <w:r w:rsidR="00EF43B3" w:rsidRPr="00577813">
        <w:rPr>
          <w:rFonts w:cs="Arial"/>
          <w:b/>
          <w:sz w:val="24"/>
          <w:szCs w:val="24"/>
        </w:rPr>
        <w:t>Disponer</w:t>
      </w:r>
      <w:r w:rsidR="00EF43B3" w:rsidRPr="00577813">
        <w:rPr>
          <w:rFonts w:cs="Arial"/>
          <w:sz w:val="24"/>
          <w:szCs w:val="24"/>
        </w:rPr>
        <w:t xml:space="preserve"> </w:t>
      </w:r>
      <w:r w:rsidR="00B92FE5" w:rsidRPr="00577813">
        <w:rPr>
          <w:rFonts w:cs="Arial"/>
          <w:sz w:val="24"/>
          <w:szCs w:val="24"/>
        </w:rPr>
        <w:t xml:space="preserve">que </w:t>
      </w:r>
      <w:r w:rsidR="00AB0D84" w:rsidRPr="00577813">
        <w:rPr>
          <w:rFonts w:cs="Arial"/>
          <w:sz w:val="24"/>
          <w:szCs w:val="24"/>
        </w:rPr>
        <w:t xml:space="preserve">le </w:t>
      </w:r>
      <w:r w:rsidR="00B92FE5" w:rsidRPr="00577813">
        <w:rPr>
          <w:rFonts w:cs="Arial"/>
          <w:sz w:val="24"/>
          <w:szCs w:val="24"/>
        </w:rPr>
        <w:t>sea reconocida a partir de la</w:t>
      </w:r>
      <w:r w:rsidR="005D7B48" w:rsidRPr="00577813">
        <w:rPr>
          <w:rFonts w:cs="Arial"/>
          <w:sz w:val="24"/>
          <w:szCs w:val="24"/>
        </w:rPr>
        <w:t xml:space="preserve"> ejecutoria </w:t>
      </w:r>
      <w:r w:rsidR="005D7B48" w:rsidRPr="00577813">
        <w:rPr>
          <w:rFonts w:cs="Arial"/>
          <w:sz w:val="24"/>
          <w:szCs w:val="24"/>
        </w:rPr>
        <w:lastRenderedPageBreak/>
        <w:t>de esta providencia, en cuantía de $</w:t>
      </w:r>
      <w:r w:rsidR="00D551AC" w:rsidRPr="00577813">
        <w:rPr>
          <w:rFonts w:cs="Arial"/>
          <w:sz w:val="24"/>
          <w:szCs w:val="24"/>
        </w:rPr>
        <w:t>792.741 para el año 2017, y en razón de 13 mesadas anuales.</w:t>
      </w:r>
      <w:r w:rsidR="00BF257B" w:rsidRPr="00577813">
        <w:rPr>
          <w:rFonts w:cs="Arial"/>
          <w:sz w:val="24"/>
          <w:szCs w:val="24"/>
        </w:rPr>
        <w:t xml:space="preserve"> </w:t>
      </w:r>
    </w:p>
    <w:p w:rsidR="00BC5C05" w:rsidRPr="00577813" w:rsidRDefault="00BC5C05" w:rsidP="00577813">
      <w:pPr>
        <w:pStyle w:val="Prrafodelista"/>
        <w:spacing w:line="288" w:lineRule="auto"/>
        <w:rPr>
          <w:rFonts w:ascii="Arial" w:hAnsi="Arial" w:cs="Arial"/>
          <w:szCs w:val="24"/>
        </w:rPr>
      </w:pPr>
    </w:p>
    <w:p w:rsidR="00BC5C05" w:rsidRPr="00577813" w:rsidRDefault="00701CED" w:rsidP="00577813">
      <w:pPr>
        <w:pStyle w:val="Textoindependiente31"/>
        <w:numPr>
          <w:ilvl w:val="0"/>
          <w:numId w:val="5"/>
        </w:numPr>
        <w:tabs>
          <w:tab w:val="left" w:pos="709"/>
        </w:tabs>
        <w:spacing w:line="288" w:lineRule="auto"/>
        <w:ind w:left="0" w:firstLine="708"/>
        <w:rPr>
          <w:rFonts w:cs="Arial"/>
          <w:sz w:val="24"/>
          <w:szCs w:val="24"/>
        </w:rPr>
      </w:pPr>
      <w:r w:rsidRPr="00577813">
        <w:rPr>
          <w:rFonts w:cs="Arial"/>
          <w:b/>
          <w:sz w:val="24"/>
          <w:szCs w:val="24"/>
        </w:rPr>
        <w:t>Revocar</w:t>
      </w:r>
      <w:r w:rsidRPr="00577813">
        <w:rPr>
          <w:rFonts w:cs="Arial"/>
          <w:sz w:val="24"/>
          <w:szCs w:val="24"/>
        </w:rPr>
        <w:t xml:space="preserve"> los </w:t>
      </w:r>
      <w:r w:rsidR="00BC5C05" w:rsidRPr="00577813">
        <w:rPr>
          <w:rFonts w:cs="Arial"/>
          <w:sz w:val="24"/>
          <w:szCs w:val="24"/>
        </w:rPr>
        <w:t xml:space="preserve">ordinales 5º y 6º </w:t>
      </w:r>
      <w:r w:rsidR="009C1C2E" w:rsidRPr="00577813">
        <w:rPr>
          <w:rFonts w:cs="Arial"/>
          <w:spacing w:val="-2"/>
          <w:sz w:val="24"/>
          <w:szCs w:val="24"/>
        </w:rPr>
        <w:t xml:space="preserve">de la sentencia referida, y en su lugar, </w:t>
      </w:r>
      <w:r w:rsidR="00672548" w:rsidRPr="00577813">
        <w:rPr>
          <w:rFonts w:cs="Arial"/>
          <w:spacing w:val="-2"/>
          <w:sz w:val="24"/>
          <w:szCs w:val="24"/>
        </w:rPr>
        <w:t xml:space="preserve">absolver </w:t>
      </w:r>
      <w:r w:rsidR="00BC5C05" w:rsidRPr="00577813">
        <w:rPr>
          <w:rFonts w:cs="Arial"/>
          <w:spacing w:val="-2"/>
          <w:sz w:val="24"/>
          <w:szCs w:val="24"/>
        </w:rPr>
        <w:t xml:space="preserve">a </w:t>
      </w:r>
      <w:r w:rsidR="009C1C2E" w:rsidRPr="00577813">
        <w:rPr>
          <w:rFonts w:cs="Arial"/>
          <w:spacing w:val="-2"/>
          <w:sz w:val="24"/>
          <w:szCs w:val="24"/>
        </w:rPr>
        <w:t xml:space="preserve">la Administradora Colombiana de Pensiones </w:t>
      </w:r>
      <w:r w:rsidR="00BC5C05" w:rsidRPr="00577813">
        <w:rPr>
          <w:rFonts w:cs="Arial"/>
          <w:spacing w:val="-2"/>
          <w:sz w:val="24"/>
          <w:szCs w:val="24"/>
        </w:rPr>
        <w:t>Colpensiones del pago del retroactivo pensio</w:t>
      </w:r>
      <w:r w:rsidR="009C1C2E" w:rsidRPr="00577813">
        <w:rPr>
          <w:rFonts w:cs="Arial"/>
          <w:spacing w:val="-2"/>
          <w:sz w:val="24"/>
          <w:szCs w:val="24"/>
        </w:rPr>
        <w:t>nal y de las costas procesales de primera instancia.</w:t>
      </w:r>
    </w:p>
    <w:p w:rsidR="00BC5C05" w:rsidRPr="00577813" w:rsidRDefault="00BC5C05" w:rsidP="00577813">
      <w:pPr>
        <w:pStyle w:val="Prrafodelista"/>
        <w:spacing w:line="288" w:lineRule="auto"/>
        <w:rPr>
          <w:rFonts w:ascii="Arial" w:hAnsi="Arial" w:cs="Arial"/>
          <w:szCs w:val="24"/>
        </w:rPr>
      </w:pPr>
    </w:p>
    <w:p w:rsidR="00797BB5" w:rsidRPr="00577813" w:rsidRDefault="00797BB5" w:rsidP="00577813">
      <w:pPr>
        <w:pStyle w:val="Textoindependiente31"/>
        <w:numPr>
          <w:ilvl w:val="0"/>
          <w:numId w:val="5"/>
        </w:numPr>
        <w:spacing w:line="288" w:lineRule="auto"/>
        <w:ind w:left="0" w:firstLine="708"/>
        <w:rPr>
          <w:rFonts w:cs="Arial"/>
          <w:sz w:val="24"/>
          <w:szCs w:val="24"/>
        </w:rPr>
      </w:pPr>
      <w:r w:rsidRPr="00577813">
        <w:rPr>
          <w:rFonts w:cs="Arial"/>
          <w:sz w:val="24"/>
          <w:szCs w:val="24"/>
        </w:rPr>
        <w:t>Confirma todo lo demás.</w:t>
      </w:r>
    </w:p>
    <w:p w:rsidR="006C7EE8" w:rsidRPr="00577813" w:rsidRDefault="006C7EE8" w:rsidP="00577813">
      <w:pPr>
        <w:pStyle w:val="Prrafodelista"/>
        <w:spacing w:line="288" w:lineRule="auto"/>
        <w:rPr>
          <w:rFonts w:ascii="Arial" w:hAnsi="Arial" w:cs="Arial"/>
          <w:szCs w:val="24"/>
        </w:rPr>
      </w:pPr>
    </w:p>
    <w:p w:rsidR="006C7EE8" w:rsidRPr="00577813" w:rsidRDefault="006C7EE8" w:rsidP="00577813">
      <w:pPr>
        <w:pStyle w:val="Textoindependiente31"/>
        <w:numPr>
          <w:ilvl w:val="0"/>
          <w:numId w:val="5"/>
        </w:numPr>
        <w:spacing w:line="288" w:lineRule="auto"/>
        <w:ind w:left="0" w:firstLine="708"/>
        <w:rPr>
          <w:rFonts w:cs="Arial"/>
          <w:sz w:val="24"/>
          <w:szCs w:val="24"/>
        </w:rPr>
      </w:pPr>
      <w:r w:rsidRPr="00577813">
        <w:rPr>
          <w:rFonts w:cs="Arial"/>
          <w:sz w:val="24"/>
          <w:szCs w:val="24"/>
        </w:rPr>
        <w:t>Sin costas en esta instancia.</w:t>
      </w:r>
    </w:p>
    <w:p w:rsidR="00325BD0" w:rsidRPr="00577813" w:rsidRDefault="00325BD0" w:rsidP="00577813">
      <w:pPr>
        <w:pStyle w:val="Sinespaciado"/>
        <w:spacing w:line="288" w:lineRule="auto"/>
        <w:rPr>
          <w:rFonts w:ascii="Arial" w:hAnsi="Arial" w:cs="Arial"/>
          <w:szCs w:val="24"/>
        </w:rPr>
      </w:pPr>
    </w:p>
    <w:p w:rsidR="00C40FE4" w:rsidRPr="00577813" w:rsidRDefault="00C40FE4" w:rsidP="00577813">
      <w:pPr>
        <w:spacing w:line="288" w:lineRule="auto"/>
        <w:ind w:firstLine="900"/>
        <w:jc w:val="both"/>
        <w:rPr>
          <w:rFonts w:ascii="Arial" w:hAnsi="Arial" w:cs="Arial"/>
          <w:b/>
          <w:bCs/>
          <w:i/>
          <w:iCs/>
          <w:szCs w:val="24"/>
          <w:lang w:val="es-ES"/>
        </w:rPr>
      </w:pPr>
      <w:r w:rsidRPr="00577813">
        <w:rPr>
          <w:rFonts w:ascii="Arial" w:hAnsi="Arial" w:cs="Arial"/>
          <w:b/>
          <w:bCs/>
          <w:i/>
          <w:iCs/>
          <w:szCs w:val="24"/>
          <w:lang w:val="es-ES"/>
        </w:rPr>
        <w:t>NOTIFÍQUESE, CÚMPLASE Y DEVUÉLVASE.</w:t>
      </w:r>
    </w:p>
    <w:p w:rsidR="00C40FE4" w:rsidRPr="00577813" w:rsidRDefault="00C40FE4" w:rsidP="00577813">
      <w:pPr>
        <w:pStyle w:val="Sinespaciado"/>
        <w:spacing w:line="288" w:lineRule="auto"/>
        <w:rPr>
          <w:rFonts w:ascii="Arial" w:hAnsi="Arial" w:cs="Arial"/>
          <w:szCs w:val="24"/>
          <w:lang w:val="es-ES"/>
        </w:rPr>
      </w:pPr>
    </w:p>
    <w:p w:rsidR="00C40FE4" w:rsidRPr="00577813" w:rsidRDefault="00C40FE4" w:rsidP="00577813">
      <w:pPr>
        <w:spacing w:line="288" w:lineRule="auto"/>
        <w:ind w:firstLine="900"/>
        <w:jc w:val="both"/>
        <w:rPr>
          <w:rFonts w:ascii="Arial" w:hAnsi="Arial" w:cs="Arial"/>
          <w:bCs/>
          <w:iCs/>
          <w:szCs w:val="24"/>
          <w:lang w:val="es-ES"/>
        </w:rPr>
      </w:pPr>
      <w:r w:rsidRPr="00577813">
        <w:rPr>
          <w:rFonts w:ascii="Arial" w:hAnsi="Arial" w:cs="Arial"/>
          <w:bCs/>
          <w:iCs/>
          <w:szCs w:val="24"/>
          <w:lang w:val="es-ES"/>
        </w:rPr>
        <w:t>La anterior decisión queda notificada en estrados.</w:t>
      </w:r>
    </w:p>
    <w:p w:rsidR="00C40FE4" w:rsidRPr="00577813" w:rsidRDefault="00C40FE4" w:rsidP="00577813">
      <w:pPr>
        <w:pStyle w:val="Sinespaciado"/>
        <w:spacing w:line="288" w:lineRule="auto"/>
        <w:rPr>
          <w:rFonts w:ascii="Arial" w:hAnsi="Arial" w:cs="Arial"/>
          <w:szCs w:val="24"/>
          <w:lang w:val="es-ES"/>
        </w:rPr>
      </w:pPr>
    </w:p>
    <w:p w:rsidR="00C40FE4" w:rsidRPr="00577813" w:rsidRDefault="00C40FE4" w:rsidP="00577813">
      <w:pPr>
        <w:pStyle w:val="Sinespaciado"/>
        <w:spacing w:line="288" w:lineRule="auto"/>
        <w:rPr>
          <w:rFonts w:ascii="Arial" w:hAnsi="Arial" w:cs="Arial"/>
          <w:szCs w:val="24"/>
          <w:lang w:val="es-ES"/>
        </w:rPr>
      </w:pPr>
    </w:p>
    <w:p w:rsidR="00C40FE4" w:rsidRPr="00577813" w:rsidRDefault="00C40FE4" w:rsidP="00577813">
      <w:pPr>
        <w:spacing w:line="288" w:lineRule="auto"/>
        <w:ind w:firstLine="900"/>
        <w:jc w:val="center"/>
        <w:rPr>
          <w:rFonts w:ascii="Arial" w:hAnsi="Arial" w:cs="Arial"/>
          <w:b/>
          <w:bCs/>
          <w:iCs/>
          <w:szCs w:val="24"/>
          <w:lang w:val="es-ES"/>
        </w:rPr>
      </w:pPr>
    </w:p>
    <w:p w:rsidR="00C40FE4" w:rsidRPr="00577813" w:rsidRDefault="00C40FE4" w:rsidP="00577813">
      <w:pPr>
        <w:spacing w:line="288" w:lineRule="auto"/>
        <w:ind w:firstLine="900"/>
        <w:jc w:val="center"/>
        <w:rPr>
          <w:rFonts w:ascii="Arial" w:hAnsi="Arial" w:cs="Arial"/>
          <w:b/>
          <w:bCs/>
          <w:iCs/>
          <w:szCs w:val="24"/>
          <w:lang w:val="es-ES"/>
        </w:rPr>
      </w:pPr>
    </w:p>
    <w:p w:rsidR="00C40FE4" w:rsidRPr="00577813" w:rsidRDefault="00C40FE4" w:rsidP="00577813">
      <w:pPr>
        <w:spacing w:line="288" w:lineRule="auto"/>
        <w:ind w:firstLine="900"/>
        <w:jc w:val="center"/>
        <w:rPr>
          <w:rFonts w:ascii="Arial" w:hAnsi="Arial" w:cs="Arial"/>
          <w:b/>
          <w:bCs/>
          <w:iCs/>
          <w:szCs w:val="24"/>
          <w:lang w:val="es-ES"/>
        </w:rPr>
      </w:pPr>
      <w:r w:rsidRPr="00577813">
        <w:rPr>
          <w:rFonts w:ascii="Arial" w:hAnsi="Arial" w:cs="Arial"/>
          <w:b/>
          <w:bCs/>
          <w:iCs/>
          <w:szCs w:val="24"/>
          <w:lang w:val="es-ES"/>
        </w:rPr>
        <w:t>FRANCISCO JAVIER TAMAYO TABARES</w:t>
      </w:r>
    </w:p>
    <w:p w:rsidR="00C40FE4" w:rsidRPr="00577813" w:rsidRDefault="00C40FE4" w:rsidP="00577813">
      <w:pPr>
        <w:spacing w:line="288" w:lineRule="auto"/>
        <w:ind w:firstLine="900"/>
        <w:jc w:val="center"/>
        <w:rPr>
          <w:rFonts w:ascii="Arial" w:hAnsi="Arial" w:cs="Arial"/>
          <w:bCs/>
          <w:iCs/>
          <w:szCs w:val="24"/>
          <w:lang w:val="es-ES"/>
        </w:rPr>
      </w:pPr>
      <w:r w:rsidRPr="00577813">
        <w:rPr>
          <w:rFonts w:ascii="Arial" w:hAnsi="Arial" w:cs="Arial"/>
          <w:bCs/>
          <w:iCs/>
          <w:szCs w:val="24"/>
          <w:lang w:val="es-ES"/>
        </w:rPr>
        <w:t>Magistrado Ponente</w:t>
      </w:r>
    </w:p>
    <w:p w:rsidR="00C40FE4" w:rsidRPr="00577813" w:rsidRDefault="00C40FE4" w:rsidP="00577813">
      <w:pPr>
        <w:spacing w:line="288" w:lineRule="auto"/>
        <w:ind w:firstLine="900"/>
        <w:jc w:val="both"/>
        <w:rPr>
          <w:rFonts w:ascii="Arial" w:hAnsi="Arial" w:cs="Arial"/>
          <w:b/>
          <w:szCs w:val="24"/>
          <w:lang w:val="es-ES"/>
        </w:rPr>
      </w:pPr>
    </w:p>
    <w:p w:rsidR="00C40FE4" w:rsidRPr="00577813" w:rsidRDefault="00C40FE4" w:rsidP="00577813">
      <w:pPr>
        <w:pStyle w:val="Sinespaciado"/>
        <w:spacing w:line="288" w:lineRule="auto"/>
        <w:rPr>
          <w:rFonts w:ascii="Arial" w:hAnsi="Arial" w:cs="Arial"/>
          <w:szCs w:val="24"/>
          <w:lang w:val="es-ES"/>
        </w:rPr>
      </w:pPr>
    </w:p>
    <w:p w:rsidR="00C40FE4" w:rsidRPr="00577813" w:rsidRDefault="00C40FE4" w:rsidP="00577813">
      <w:pPr>
        <w:spacing w:line="288" w:lineRule="auto"/>
        <w:jc w:val="both"/>
        <w:rPr>
          <w:rFonts w:ascii="Arial" w:hAnsi="Arial" w:cs="Arial"/>
          <w:b/>
          <w:bCs/>
          <w:iCs/>
          <w:szCs w:val="24"/>
          <w:lang w:val="es-ES"/>
        </w:rPr>
      </w:pPr>
    </w:p>
    <w:p w:rsidR="00C40FE4" w:rsidRPr="00577813" w:rsidRDefault="00C40FE4" w:rsidP="00577813">
      <w:pPr>
        <w:spacing w:line="288" w:lineRule="auto"/>
        <w:jc w:val="both"/>
        <w:rPr>
          <w:rFonts w:ascii="Arial" w:hAnsi="Arial" w:cs="Arial"/>
          <w:b/>
          <w:bCs/>
          <w:iCs/>
          <w:szCs w:val="24"/>
          <w:lang w:val="es-ES"/>
        </w:rPr>
      </w:pPr>
    </w:p>
    <w:p w:rsidR="00C40FE4" w:rsidRPr="00577813" w:rsidRDefault="00C40FE4" w:rsidP="00577813">
      <w:pPr>
        <w:spacing w:line="288" w:lineRule="auto"/>
        <w:jc w:val="both"/>
        <w:rPr>
          <w:rFonts w:ascii="Arial" w:hAnsi="Arial" w:cs="Arial"/>
          <w:b/>
          <w:bCs/>
          <w:iCs/>
          <w:szCs w:val="24"/>
          <w:lang w:val="es-ES"/>
        </w:rPr>
      </w:pPr>
      <w:r w:rsidRPr="00577813">
        <w:rPr>
          <w:rFonts w:ascii="Arial" w:hAnsi="Arial" w:cs="Arial"/>
          <w:b/>
          <w:bCs/>
          <w:iCs/>
          <w:szCs w:val="24"/>
          <w:lang w:val="es-ES"/>
        </w:rPr>
        <w:t xml:space="preserve">OLGA LUCIA HOYOS SEPÚLVEDA </w:t>
      </w:r>
      <w:r w:rsidRPr="00577813">
        <w:rPr>
          <w:rFonts w:ascii="Arial" w:hAnsi="Arial" w:cs="Arial"/>
          <w:b/>
          <w:bCs/>
          <w:iCs/>
          <w:szCs w:val="24"/>
          <w:lang w:val="es-ES"/>
        </w:rPr>
        <w:tab/>
      </w:r>
      <w:r w:rsidRPr="00577813">
        <w:rPr>
          <w:rFonts w:ascii="Arial" w:hAnsi="Arial" w:cs="Arial"/>
          <w:b/>
          <w:bCs/>
          <w:iCs/>
          <w:szCs w:val="24"/>
          <w:lang w:val="es-ES"/>
        </w:rPr>
        <w:tab/>
        <w:t xml:space="preserve">ANA LUCIA CAICEDO CALDERON                  </w:t>
      </w:r>
    </w:p>
    <w:p w:rsidR="00C40FE4" w:rsidRPr="00577813" w:rsidRDefault="00C40FE4" w:rsidP="00577813">
      <w:pPr>
        <w:spacing w:line="288" w:lineRule="auto"/>
        <w:jc w:val="both"/>
        <w:rPr>
          <w:rFonts w:ascii="Arial" w:hAnsi="Arial" w:cs="Arial"/>
          <w:bCs/>
          <w:iCs/>
          <w:szCs w:val="24"/>
          <w:lang w:val="es-ES"/>
        </w:rPr>
      </w:pPr>
      <w:bookmarkStart w:id="1" w:name="_Hlk65224212"/>
      <w:r w:rsidRPr="00577813">
        <w:rPr>
          <w:rFonts w:ascii="Arial" w:hAnsi="Arial" w:cs="Arial"/>
          <w:b/>
          <w:bCs/>
          <w:iCs/>
          <w:szCs w:val="24"/>
          <w:lang w:val="es-ES"/>
        </w:rPr>
        <w:t xml:space="preserve">    </w:t>
      </w:r>
      <w:r w:rsidRPr="00577813">
        <w:rPr>
          <w:rFonts w:ascii="Arial" w:hAnsi="Arial" w:cs="Arial"/>
          <w:bCs/>
          <w:iCs/>
          <w:szCs w:val="24"/>
          <w:lang w:val="es-ES"/>
        </w:rPr>
        <w:t xml:space="preserve">              </w:t>
      </w:r>
      <w:bookmarkEnd w:id="1"/>
      <w:r w:rsidRPr="00577813">
        <w:rPr>
          <w:rFonts w:ascii="Arial" w:hAnsi="Arial" w:cs="Arial"/>
          <w:bCs/>
          <w:iCs/>
          <w:szCs w:val="24"/>
          <w:lang w:val="es-ES"/>
        </w:rPr>
        <w:t xml:space="preserve">Magistrada                                                               </w:t>
      </w:r>
      <w:proofErr w:type="spellStart"/>
      <w:r w:rsidRPr="00577813">
        <w:rPr>
          <w:rFonts w:ascii="Arial" w:hAnsi="Arial" w:cs="Arial"/>
          <w:bCs/>
          <w:iCs/>
          <w:szCs w:val="24"/>
          <w:lang w:val="es-ES"/>
        </w:rPr>
        <w:t>Magistrada</w:t>
      </w:r>
      <w:proofErr w:type="spellEnd"/>
    </w:p>
    <w:p w:rsidR="00C40FE4" w:rsidRPr="00577813" w:rsidRDefault="00577813" w:rsidP="00577813">
      <w:pPr>
        <w:spacing w:line="288" w:lineRule="auto"/>
        <w:jc w:val="both"/>
        <w:rPr>
          <w:rFonts w:ascii="Arial" w:hAnsi="Arial" w:cs="Arial"/>
          <w:bCs/>
          <w:iCs/>
          <w:szCs w:val="24"/>
          <w:lang w:val="es-ES"/>
        </w:rPr>
      </w:pPr>
      <w:r w:rsidRPr="00577813">
        <w:rPr>
          <w:rFonts w:ascii="Arial" w:hAnsi="Arial" w:cs="Arial"/>
          <w:b/>
          <w:bCs/>
          <w:iCs/>
          <w:szCs w:val="24"/>
          <w:lang w:val="es-ES"/>
        </w:rPr>
        <w:t xml:space="preserve">    </w:t>
      </w:r>
      <w:r w:rsidRPr="00577813">
        <w:rPr>
          <w:rFonts w:ascii="Arial" w:hAnsi="Arial" w:cs="Arial"/>
          <w:bCs/>
          <w:iCs/>
          <w:szCs w:val="24"/>
          <w:lang w:val="es-ES"/>
        </w:rPr>
        <w:t xml:space="preserve">              </w:t>
      </w:r>
      <w:r w:rsidR="00723A66" w:rsidRPr="00577813">
        <w:rPr>
          <w:rFonts w:ascii="Arial" w:hAnsi="Arial" w:cs="Arial"/>
          <w:bCs/>
          <w:iCs/>
          <w:szCs w:val="24"/>
          <w:lang w:val="es-ES"/>
        </w:rPr>
        <w:t>Salva voto</w:t>
      </w:r>
    </w:p>
    <w:p w:rsidR="00C40FE4" w:rsidRPr="00577813" w:rsidRDefault="00C40FE4" w:rsidP="00577813">
      <w:pPr>
        <w:spacing w:line="288" w:lineRule="auto"/>
        <w:jc w:val="both"/>
        <w:rPr>
          <w:rFonts w:ascii="Arial" w:hAnsi="Arial" w:cs="Arial"/>
          <w:szCs w:val="24"/>
          <w:lang w:val="es-ES"/>
        </w:rPr>
      </w:pPr>
      <w:r w:rsidRPr="00577813">
        <w:rPr>
          <w:rFonts w:ascii="Arial" w:hAnsi="Arial" w:cs="Arial"/>
          <w:bCs/>
          <w:iCs/>
          <w:szCs w:val="24"/>
          <w:lang w:val="es-ES"/>
        </w:rPr>
        <w:tab/>
      </w:r>
      <w:r w:rsidRPr="00577813">
        <w:rPr>
          <w:rFonts w:ascii="Arial" w:hAnsi="Arial" w:cs="Arial"/>
          <w:bCs/>
          <w:iCs/>
          <w:szCs w:val="24"/>
          <w:lang w:val="es-ES"/>
        </w:rPr>
        <w:tab/>
      </w:r>
      <w:r w:rsidRPr="00577813">
        <w:rPr>
          <w:rFonts w:ascii="Arial" w:hAnsi="Arial" w:cs="Arial"/>
          <w:bCs/>
          <w:iCs/>
          <w:szCs w:val="24"/>
          <w:lang w:val="es-ES"/>
        </w:rPr>
        <w:tab/>
      </w:r>
    </w:p>
    <w:p w:rsidR="00C40FE4" w:rsidRPr="00577813" w:rsidRDefault="00C40FE4" w:rsidP="00577813">
      <w:pPr>
        <w:spacing w:line="288" w:lineRule="auto"/>
        <w:ind w:left="708" w:firstLine="708"/>
        <w:jc w:val="both"/>
        <w:rPr>
          <w:rFonts w:ascii="Arial" w:hAnsi="Arial" w:cs="Arial"/>
          <w:bCs/>
          <w:iCs/>
          <w:szCs w:val="24"/>
          <w:lang w:val="es-ES"/>
        </w:rPr>
      </w:pPr>
      <w:r w:rsidRPr="00577813">
        <w:rPr>
          <w:rFonts w:ascii="Arial" w:hAnsi="Arial" w:cs="Arial"/>
          <w:bCs/>
          <w:iCs/>
          <w:szCs w:val="24"/>
          <w:lang w:val="es-ES"/>
        </w:rPr>
        <w:tab/>
      </w:r>
      <w:r w:rsidRPr="00577813">
        <w:rPr>
          <w:rFonts w:ascii="Arial" w:hAnsi="Arial" w:cs="Arial"/>
          <w:bCs/>
          <w:iCs/>
          <w:szCs w:val="24"/>
          <w:lang w:val="es-ES"/>
        </w:rPr>
        <w:tab/>
      </w:r>
      <w:r w:rsidRPr="00577813">
        <w:rPr>
          <w:rFonts w:ascii="Arial" w:hAnsi="Arial" w:cs="Arial"/>
          <w:bCs/>
          <w:iCs/>
          <w:szCs w:val="24"/>
          <w:lang w:val="es-ES"/>
        </w:rPr>
        <w:tab/>
      </w:r>
    </w:p>
    <w:p w:rsidR="00C40FE4" w:rsidRPr="00577813" w:rsidRDefault="00C40FE4" w:rsidP="00577813">
      <w:pPr>
        <w:pStyle w:val="Sinespaciado"/>
        <w:spacing w:line="288" w:lineRule="auto"/>
        <w:rPr>
          <w:rFonts w:ascii="Arial" w:hAnsi="Arial" w:cs="Arial"/>
          <w:szCs w:val="24"/>
          <w:lang w:val="es-ES"/>
        </w:rPr>
      </w:pPr>
    </w:p>
    <w:p w:rsidR="00C40FE4" w:rsidRPr="00577813" w:rsidRDefault="00C40FE4" w:rsidP="00577813">
      <w:pPr>
        <w:spacing w:line="288" w:lineRule="auto"/>
        <w:ind w:firstLine="900"/>
        <w:jc w:val="center"/>
        <w:rPr>
          <w:rFonts w:ascii="Arial" w:hAnsi="Arial" w:cs="Arial"/>
          <w:b/>
          <w:bCs/>
          <w:iCs/>
          <w:szCs w:val="24"/>
          <w:lang w:val="es-ES"/>
        </w:rPr>
      </w:pPr>
      <w:r w:rsidRPr="00577813">
        <w:rPr>
          <w:rFonts w:ascii="Arial" w:hAnsi="Arial" w:cs="Arial"/>
          <w:b/>
          <w:bCs/>
          <w:iCs/>
          <w:szCs w:val="24"/>
          <w:lang w:val="es-ES"/>
        </w:rPr>
        <w:t>Alonso Gaviria Ocampo</w:t>
      </w:r>
    </w:p>
    <w:p w:rsidR="00C40FE4" w:rsidRPr="00577813" w:rsidRDefault="00C40FE4" w:rsidP="00577813">
      <w:pPr>
        <w:spacing w:line="288" w:lineRule="auto"/>
        <w:ind w:firstLine="900"/>
        <w:rPr>
          <w:rFonts w:ascii="Arial" w:hAnsi="Arial" w:cs="Arial"/>
          <w:iCs/>
          <w:szCs w:val="24"/>
          <w:lang w:val="es-ES"/>
        </w:rPr>
      </w:pPr>
      <w:r w:rsidRPr="00577813">
        <w:rPr>
          <w:rFonts w:ascii="Arial" w:hAnsi="Arial" w:cs="Arial"/>
          <w:iCs/>
          <w:szCs w:val="24"/>
          <w:lang w:val="es-ES"/>
        </w:rPr>
        <w:t xml:space="preserve">                                                     Secretario</w:t>
      </w:r>
    </w:p>
    <w:p w:rsidR="00C61CEE" w:rsidRPr="00577813" w:rsidRDefault="00C61CEE" w:rsidP="00577813">
      <w:pPr>
        <w:spacing w:line="288" w:lineRule="auto"/>
        <w:rPr>
          <w:rFonts w:ascii="Arial" w:hAnsi="Arial" w:cs="Arial"/>
          <w:iCs/>
          <w:szCs w:val="24"/>
          <w:lang w:val="es-ES"/>
        </w:rPr>
      </w:pPr>
    </w:p>
    <w:p w:rsidR="00577813" w:rsidRDefault="00577813">
      <w:pPr>
        <w:spacing w:after="160" w:line="259" w:lineRule="auto"/>
        <w:rPr>
          <w:rFonts w:ascii="Arial Narrow" w:hAnsi="Arial Narrow" w:cs="Microsoft Sans Serif"/>
          <w:iCs/>
          <w:sz w:val="28"/>
          <w:szCs w:val="28"/>
          <w:lang w:val="es-ES"/>
        </w:rPr>
      </w:pPr>
      <w:r>
        <w:rPr>
          <w:rFonts w:ascii="Arial Narrow" w:hAnsi="Arial Narrow" w:cs="Microsoft Sans Serif"/>
          <w:iCs/>
          <w:sz w:val="28"/>
          <w:szCs w:val="28"/>
          <w:lang w:val="es-ES"/>
        </w:rPr>
        <w:br w:type="page"/>
      </w:r>
    </w:p>
    <w:p w:rsidR="00BA54FE" w:rsidRPr="00343D3C" w:rsidRDefault="00BA54FE" w:rsidP="00723A66">
      <w:pPr>
        <w:ind w:firstLine="900"/>
        <w:jc w:val="center"/>
        <w:rPr>
          <w:rFonts w:ascii="Arial Narrow" w:hAnsi="Arial Narrow" w:cs="Microsoft Sans Serif"/>
          <w:iCs/>
          <w:sz w:val="28"/>
          <w:szCs w:val="28"/>
          <w:lang w:val="es-ES"/>
        </w:rPr>
      </w:pPr>
    </w:p>
    <w:p w:rsidR="00723A66" w:rsidRPr="00343D3C" w:rsidRDefault="00723A66" w:rsidP="00723A66">
      <w:pPr>
        <w:ind w:firstLine="900"/>
        <w:jc w:val="center"/>
        <w:rPr>
          <w:rFonts w:ascii="Arial Narrow" w:hAnsi="Arial Narrow" w:cs="Microsoft Sans Serif"/>
          <w:iCs/>
          <w:sz w:val="28"/>
          <w:szCs w:val="28"/>
          <w:lang w:val="es-ES"/>
        </w:rPr>
      </w:pPr>
      <w:r w:rsidRPr="00343D3C">
        <w:rPr>
          <w:rFonts w:ascii="Arial Narrow" w:hAnsi="Arial Narrow" w:cs="Microsoft Sans Serif"/>
          <w:iCs/>
          <w:sz w:val="28"/>
          <w:szCs w:val="28"/>
          <w:lang w:val="es-ES"/>
        </w:rPr>
        <w:t>ANEXO</w:t>
      </w:r>
    </w:p>
    <w:p w:rsidR="00723A66" w:rsidRPr="00343D3C" w:rsidRDefault="00723A66" w:rsidP="00C40FE4">
      <w:pPr>
        <w:ind w:firstLine="900"/>
        <w:rPr>
          <w:rFonts w:ascii="Arial Narrow" w:hAnsi="Arial Narrow" w:cs="Microsoft Sans Serif"/>
          <w:iCs/>
          <w:sz w:val="28"/>
          <w:szCs w:val="28"/>
          <w:lang w:val="es-ES"/>
        </w:rPr>
      </w:pPr>
    </w:p>
    <w:tbl>
      <w:tblPr>
        <w:tblW w:w="9271" w:type="dxa"/>
        <w:tblInd w:w="-446" w:type="dxa"/>
        <w:tblCellMar>
          <w:left w:w="70" w:type="dxa"/>
          <w:right w:w="70" w:type="dxa"/>
        </w:tblCellMar>
        <w:tblLook w:val="04A0" w:firstRow="1" w:lastRow="0" w:firstColumn="1" w:lastColumn="0" w:noHBand="0" w:noVBand="1"/>
      </w:tblPr>
      <w:tblGrid>
        <w:gridCol w:w="1003"/>
        <w:gridCol w:w="987"/>
        <w:gridCol w:w="1177"/>
        <w:gridCol w:w="1894"/>
        <w:gridCol w:w="146"/>
        <w:gridCol w:w="1265"/>
        <w:gridCol w:w="587"/>
        <w:gridCol w:w="623"/>
        <w:gridCol w:w="1589"/>
      </w:tblGrid>
      <w:tr w:rsidR="00343D3C" w:rsidRPr="00343D3C" w:rsidTr="00723A66">
        <w:trPr>
          <w:trHeight w:val="465"/>
        </w:trPr>
        <w:tc>
          <w:tcPr>
            <w:tcW w:w="9271" w:type="dxa"/>
            <w:gridSpan w:val="9"/>
            <w:tcBorders>
              <w:top w:val="single" w:sz="8" w:space="0" w:color="auto"/>
              <w:left w:val="single" w:sz="8" w:space="0" w:color="auto"/>
              <w:bottom w:val="single" w:sz="8" w:space="0" w:color="auto"/>
              <w:right w:val="single" w:sz="8" w:space="0" w:color="000000"/>
            </w:tcBorders>
            <w:shd w:val="clear" w:color="000000" w:fill="FFFF99"/>
            <w:vAlign w:val="center"/>
            <w:hideMark/>
          </w:tcPr>
          <w:p w:rsidR="00723A66" w:rsidRPr="00343D3C" w:rsidRDefault="00723A66" w:rsidP="00723A66">
            <w:pPr>
              <w:jc w:val="center"/>
              <w:rPr>
                <w:rFonts w:ascii="Calibri" w:hAnsi="Calibri"/>
                <w:b/>
                <w:bCs/>
                <w:i/>
                <w:iCs/>
                <w:sz w:val="22"/>
                <w:szCs w:val="22"/>
                <w:lang w:val="es-ES"/>
              </w:rPr>
            </w:pPr>
            <w:r w:rsidRPr="00343D3C">
              <w:rPr>
                <w:rFonts w:ascii="Calibri" w:hAnsi="Calibri"/>
                <w:b/>
                <w:bCs/>
                <w:i/>
                <w:iCs/>
                <w:sz w:val="22"/>
                <w:szCs w:val="22"/>
                <w:lang w:val="es-ES"/>
              </w:rPr>
              <w:t>BLANCA MARY VARÓN LOAIZA</w:t>
            </w:r>
          </w:p>
        </w:tc>
      </w:tr>
      <w:tr w:rsidR="00343D3C" w:rsidRPr="00343D3C" w:rsidTr="00723A66">
        <w:trPr>
          <w:trHeight w:val="225"/>
        </w:trPr>
        <w:tc>
          <w:tcPr>
            <w:tcW w:w="2645" w:type="dxa"/>
            <w:gridSpan w:val="3"/>
            <w:tcBorders>
              <w:top w:val="single" w:sz="8" w:space="0" w:color="auto"/>
              <w:left w:val="nil"/>
              <w:bottom w:val="single" w:sz="4" w:space="0" w:color="auto"/>
              <w:right w:val="nil"/>
            </w:tcBorders>
            <w:shd w:val="clear" w:color="000000" w:fill="FFFF99"/>
            <w:vAlign w:val="center"/>
            <w:hideMark/>
          </w:tcPr>
          <w:p w:rsidR="00723A66" w:rsidRPr="00343D3C" w:rsidRDefault="00723A66" w:rsidP="00723A66">
            <w:pPr>
              <w:rPr>
                <w:rFonts w:ascii="Calibri" w:hAnsi="Calibri"/>
                <w:b/>
                <w:bCs/>
                <w:i/>
                <w:iCs/>
                <w:sz w:val="16"/>
                <w:szCs w:val="16"/>
                <w:lang w:val="es-ES"/>
              </w:rPr>
            </w:pPr>
            <w:r w:rsidRPr="00343D3C">
              <w:rPr>
                <w:rFonts w:ascii="Calibri" w:hAnsi="Calibri"/>
                <w:b/>
                <w:bCs/>
                <w:i/>
                <w:iCs/>
                <w:sz w:val="16"/>
                <w:szCs w:val="16"/>
                <w:lang w:val="es-ES"/>
              </w:rPr>
              <w:t>Fecha de nacimiento:</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 </w:t>
            </w: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rFonts w:ascii="Calibri" w:hAnsi="Calibri"/>
                <w:i/>
                <w:iCs/>
                <w:sz w:val="16"/>
                <w:szCs w:val="16"/>
                <w:lang w:val="es-ES"/>
              </w:rPr>
            </w:pPr>
          </w:p>
        </w:tc>
        <w:tc>
          <w:tcPr>
            <w:tcW w:w="0" w:type="auto"/>
            <w:gridSpan w:val="3"/>
            <w:tcBorders>
              <w:top w:val="single" w:sz="8" w:space="0" w:color="auto"/>
              <w:left w:val="single" w:sz="8" w:space="0" w:color="auto"/>
              <w:bottom w:val="single" w:sz="4" w:space="0" w:color="auto"/>
              <w:right w:val="nil"/>
            </w:tcBorders>
            <w:shd w:val="clear" w:color="000000" w:fill="FFFF99"/>
            <w:vAlign w:val="center"/>
            <w:hideMark/>
          </w:tcPr>
          <w:p w:rsidR="00723A66" w:rsidRPr="00343D3C" w:rsidRDefault="00723A66" w:rsidP="00723A66">
            <w:pPr>
              <w:rPr>
                <w:rFonts w:ascii="Calibri" w:hAnsi="Calibri"/>
                <w:b/>
                <w:bCs/>
                <w:i/>
                <w:iCs/>
                <w:sz w:val="16"/>
                <w:szCs w:val="16"/>
                <w:lang w:val="es-ES"/>
              </w:rPr>
            </w:pPr>
            <w:r w:rsidRPr="00343D3C">
              <w:rPr>
                <w:rFonts w:ascii="Calibri" w:hAnsi="Calibri"/>
                <w:b/>
                <w:bCs/>
                <w:i/>
                <w:iCs/>
                <w:sz w:val="16"/>
                <w:szCs w:val="16"/>
                <w:lang w:val="es-ES"/>
              </w:rPr>
              <w:t>Fecha reconocimiento pensión:</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01/11/2017</w:t>
            </w:r>
          </w:p>
        </w:tc>
      </w:tr>
      <w:tr w:rsidR="00343D3C" w:rsidRPr="00343D3C" w:rsidTr="00723A66">
        <w:trPr>
          <w:trHeight w:val="225"/>
        </w:trPr>
        <w:tc>
          <w:tcPr>
            <w:tcW w:w="2645" w:type="dxa"/>
            <w:gridSpan w:val="3"/>
            <w:tcBorders>
              <w:top w:val="single" w:sz="4" w:space="0" w:color="auto"/>
              <w:left w:val="nil"/>
              <w:bottom w:val="single" w:sz="8" w:space="0" w:color="auto"/>
              <w:right w:val="nil"/>
            </w:tcBorders>
            <w:shd w:val="clear" w:color="000000" w:fill="FFFF99"/>
            <w:vAlign w:val="center"/>
            <w:hideMark/>
          </w:tcPr>
          <w:p w:rsidR="00723A66" w:rsidRPr="00343D3C" w:rsidRDefault="00723A66" w:rsidP="00723A66">
            <w:pPr>
              <w:rPr>
                <w:rFonts w:ascii="Calibri" w:hAnsi="Calibri"/>
                <w:b/>
                <w:bCs/>
                <w:i/>
                <w:iCs/>
                <w:sz w:val="16"/>
                <w:szCs w:val="16"/>
                <w:lang w:val="es-ES"/>
              </w:rPr>
            </w:pPr>
            <w:r w:rsidRPr="00343D3C">
              <w:rPr>
                <w:rFonts w:ascii="Calibri" w:hAnsi="Calibri"/>
                <w:b/>
                <w:bCs/>
                <w:i/>
                <w:iCs/>
                <w:sz w:val="16"/>
                <w:szCs w:val="16"/>
                <w:lang w:val="es-ES"/>
              </w:rPr>
              <w:t>Total semanas cotizadas:</w:t>
            </w:r>
          </w:p>
        </w:tc>
        <w:tc>
          <w:tcPr>
            <w:tcW w:w="0" w:type="auto"/>
            <w:tcBorders>
              <w:top w:val="nil"/>
              <w:left w:val="nil"/>
              <w:bottom w:val="single" w:sz="8"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sz w:val="22"/>
                <w:szCs w:val="22"/>
                <w:lang w:val="es-ES"/>
              </w:rPr>
            </w:pPr>
            <w:r w:rsidRPr="00343D3C">
              <w:rPr>
                <w:rFonts w:ascii="Calibri" w:hAnsi="Calibri"/>
                <w:sz w:val="22"/>
                <w:szCs w:val="22"/>
                <w:lang w:val="es-ES"/>
              </w:rPr>
              <w:t>514,29</w:t>
            </w: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rFonts w:ascii="Calibri" w:hAnsi="Calibri"/>
                <w:sz w:val="22"/>
                <w:szCs w:val="22"/>
                <w:lang w:val="es-ES"/>
              </w:rPr>
            </w:pPr>
          </w:p>
        </w:tc>
        <w:tc>
          <w:tcPr>
            <w:tcW w:w="0" w:type="auto"/>
            <w:tcBorders>
              <w:top w:val="nil"/>
              <w:left w:val="single" w:sz="8" w:space="0" w:color="auto"/>
              <w:bottom w:val="single" w:sz="4" w:space="0" w:color="auto"/>
              <w:right w:val="nil"/>
            </w:tcBorders>
            <w:shd w:val="clear" w:color="000000" w:fill="FFFF99"/>
            <w:noWrap/>
            <w:vAlign w:val="center"/>
            <w:hideMark/>
          </w:tcPr>
          <w:p w:rsidR="00723A66" w:rsidRPr="00343D3C" w:rsidRDefault="00723A66" w:rsidP="00723A66">
            <w:pPr>
              <w:jc w:val="right"/>
              <w:rPr>
                <w:rFonts w:ascii="Calibri" w:hAnsi="Calibri"/>
                <w:b/>
                <w:bCs/>
                <w:i/>
                <w:iCs/>
                <w:sz w:val="16"/>
                <w:szCs w:val="16"/>
                <w:lang w:val="es-ES"/>
              </w:rPr>
            </w:pPr>
            <w:r w:rsidRPr="00343D3C">
              <w:rPr>
                <w:rFonts w:ascii="Calibri" w:hAnsi="Calibri"/>
                <w:b/>
                <w:bCs/>
                <w:i/>
                <w:iCs/>
                <w:sz w:val="16"/>
                <w:szCs w:val="16"/>
                <w:lang w:val="es-ES"/>
              </w:rPr>
              <w:t xml:space="preserve">Tasa Ley 100/93: </w:t>
            </w:r>
          </w:p>
        </w:tc>
        <w:tc>
          <w:tcPr>
            <w:tcW w:w="0" w:type="auto"/>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b/>
                <w:bCs/>
                <w:sz w:val="16"/>
                <w:szCs w:val="16"/>
                <w:lang w:val="es-ES"/>
              </w:rPr>
            </w:pPr>
            <w:r w:rsidRPr="00343D3C">
              <w:rPr>
                <w:rFonts w:ascii="Calibri" w:hAnsi="Calibri"/>
                <w:b/>
                <w:bCs/>
                <w:sz w:val="16"/>
                <w:szCs w:val="16"/>
                <w:lang w:val="es-ES"/>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57,00%</w:t>
            </w:r>
          </w:p>
        </w:tc>
        <w:tc>
          <w:tcPr>
            <w:tcW w:w="0" w:type="auto"/>
            <w:tcBorders>
              <w:top w:val="nil"/>
              <w:left w:val="nil"/>
              <w:bottom w:val="single" w:sz="4" w:space="0" w:color="auto"/>
              <w:right w:val="single" w:sz="8" w:space="0" w:color="auto"/>
            </w:tcBorders>
            <w:shd w:val="clear" w:color="auto" w:fill="auto"/>
            <w:noWrap/>
            <w:vAlign w:val="bottom"/>
            <w:hideMark/>
          </w:tcPr>
          <w:p w:rsidR="00723A66" w:rsidRPr="00343D3C" w:rsidRDefault="00723A66" w:rsidP="00723A66">
            <w:pPr>
              <w:rPr>
                <w:rFonts w:ascii="Calibri" w:hAnsi="Calibri"/>
                <w:i/>
                <w:iCs/>
                <w:szCs w:val="24"/>
                <w:lang w:val="es-ES"/>
              </w:rPr>
            </w:pPr>
            <w:r w:rsidRPr="00343D3C">
              <w:rPr>
                <w:rFonts w:ascii="Calibri" w:hAnsi="Calibri"/>
                <w:i/>
                <w:iCs/>
                <w:szCs w:val="24"/>
                <w:lang w:val="es-ES"/>
              </w:rPr>
              <w:t> </w:t>
            </w:r>
          </w:p>
        </w:tc>
      </w:tr>
      <w:tr w:rsidR="00343D3C" w:rsidRPr="00343D3C" w:rsidTr="00723A66">
        <w:trPr>
          <w:trHeight w:val="150"/>
        </w:trPr>
        <w:tc>
          <w:tcPr>
            <w:tcW w:w="1003" w:type="dxa"/>
            <w:tcBorders>
              <w:top w:val="nil"/>
              <w:left w:val="nil"/>
              <w:bottom w:val="nil"/>
              <w:right w:val="nil"/>
            </w:tcBorders>
            <w:shd w:val="clear" w:color="auto" w:fill="auto"/>
            <w:noWrap/>
            <w:vAlign w:val="bottom"/>
            <w:hideMark/>
          </w:tcPr>
          <w:p w:rsidR="00723A66" w:rsidRPr="00343D3C" w:rsidRDefault="00723A66" w:rsidP="00723A66">
            <w:pPr>
              <w:rPr>
                <w:rFonts w:ascii="Calibri" w:hAnsi="Calibri"/>
                <w:i/>
                <w:iCs/>
                <w:szCs w:val="24"/>
                <w:lang w:val="es-ES"/>
              </w:rPr>
            </w:pPr>
          </w:p>
        </w:tc>
        <w:tc>
          <w:tcPr>
            <w:tcW w:w="987" w:type="dxa"/>
            <w:tcBorders>
              <w:top w:val="nil"/>
              <w:left w:val="nil"/>
              <w:bottom w:val="nil"/>
              <w:right w:val="nil"/>
            </w:tcBorders>
            <w:shd w:val="clear" w:color="auto" w:fill="auto"/>
            <w:noWrap/>
            <w:vAlign w:val="bottom"/>
            <w:hideMark/>
          </w:tcPr>
          <w:p w:rsidR="00723A66" w:rsidRPr="00343D3C" w:rsidRDefault="00723A66" w:rsidP="00723A66">
            <w:pP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rPr>
                <w:sz w:val="20"/>
                <w:lang w:val="es-ES"/>
              </w:rPr>
            </w:pPr>
          </w:p>
        </w:tc>
        <w:tc>
          <w:tcPr>
            <w:tcW w:w="0" w:type="auto"/>
            <w:tcBorders>
              <w:top w:val="nil"/>
              <w:left w:val="nil"/>
              <w:bottom w:val="nil"/>
              <w:right w:val="single" w:sz="8" w:space="0" w:color="auto"/>
            </w:tcBorders>
            <w:shd w:val="clear" w:color="auto" w:fill="auto"/>
            <w:noWrap/>
            <w:vAlign w:val="bottom"/>
            <w:hideMark/>
          </w:tcPr>
          <w:p w:rsidR="00723A66" w:rsidRPr="00343D3C" w:rsidRDefault="00723A66" w:rsidP="00723A66">
            <w:pPr>
              <w:rPr>
                <w:rFonts w:ascii="Calibri" w:hAnsi="Calibri"/>
                <w:i/>
                <w:iCs/>
                <w:szCs w:val="24"/>
                <w:lang w:val="es-ES"/>
              </w:rPr>
            </w:pPr>
            <w:r w:rsidRPr="00343D3C">
              <w:rPr>
                <w:rFonts w:ascii="Calibri" w:hAnsi="Calibri"/>
                <w:i/>
                <w:iCs/>
                <w:szCs w:val="24"/>
                <w:lang w:val="es-ES"/>
              </w:rPr>
              <w:t> </w:t>
            </w:r>
          </w:p>
        </w:tc>
        <w:tc>
          <w:tcPr>
            <w:tcW w:w="0" w:type="auto"/>
            <w:tcBorders>
              <w:top w:val="nil"/>
              <w:left w:val="nil"/>
              <w:bottom w:val="nil"/>
              <w:right w:val="nil"/>
            </w:tcBorders>
            <w:shd w:val="clear" w:color="auto" w:fill="auto"/>
            <w:noWrap/>
            <w:vAlign w:val="bottom"/>
            <w:hideMark/>
          </w:tcPr>
          <w:p w:rsidR="00723A66" w:rsidRPr="00343D3C" w:rsidRDefault="00723A66" w:rsidP="00723A66">
            <w:pPr>
              <w:rPr>
                <w:rFonts w:ascii="Calibri" w:hAnsi="Calibri"/>
                <w:i/>
                <w:iCs/>
                <w:szCs w:val="24"/>
                <w:lang w:val="es-ES"/>
              </w:rPr>
            </w:pPr>
          </w:p>
        </w:tc>
        <w:tc>
          <w:tcPr>
            <w:tcW w:w="0" w:type="auto"/>
            <w:tcBorders>
              <w:top w:val="nil"/>
              <w:left w:val="single" w:sz="8" w:space="0" w:color="auto"/>
              <w:bottom w:val="nil"/>
              <w:right w:val="nil"/>
            </w:tcBorders>
            <w:shd w:val="clear" w:color="auto" w:fill="auto"/>
            <w:noWrap/>
            <w:vAlign w:val="bottom"/>
            <w:hideMark/>
          </w:tcPr>
          <w:p w:rsidR="00723A66" w:rsidRPr="00343D3C" w:rsidRDefault="00723A66" w:rsidP="00723A66">
            <w:pPr>
              <w:rPr>
                <w:rFonts w:ascii="Calibri" w:hAnsi="Calibri"/>
                <w:i/>
                <w:iCs/>
                <w:szCs w:val="24"/>
                <w:lang w:val="es-ES"/>
              </w:rPr>
            </w:pPr>
            <w:r w:rsidRPr="00343D3C">
              <w:rPr>
                <w:rFonts w:ascii="Calibri" w:hAnsi="Calibri"/>
                <w:i/>
                <w:iCs/>
                <w:szCs w:val="24"/>
                <w:lang w:val="es-ES"/>
              </w:rPr>
              <w:t> </w:t>
            </w:r>
          </w:p>
        </w:tc>
        <w:tc>
          <w:tcPr>
            <w:tcW w:w="0" w:type="auto"/>
            <w:tcBorders>
              <w:top w:val="nil"/>
              <w:left w:val="nil"/>
              <w:bottom w:val="nil"/>
              <w:right w:val="nil"/>
            </w:tcBorders>
            <w:shd w:val="clear" w:color="auto" w:fill="auto"/>
            <w:noWrap/>
            <w:vAlign w:val="bottom"/>
            <w:hideMark/>
          </w:tcPr>
          <w:p w:rsidR="00723A66" w:rsidRPr="00343D3C" w:rsidRDefault="00723A66" w:rsidP="00723A66">
            <w:pPr>
              <w:rPr>
                <w:rFonts w:ascii="Calibri" w:hAnsi="Calibri"/>
                <w:i/>
                <w:iCs/>
                <w:szCs w:val="24"/>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rPr>
                <w:sz w:val="20"/>
                <w:lang w:val="es-ES"/>
              </w:rPr>
            </w:pPr>
          </w:p>
        </w:tc>
        <w:tc>
          <w:tcPr>
            <w:tcW w:w="0" w:type="auto"/>
            <w:tcBorders>
              <w:top w:val="nil"/>
              <w:left w:val="nil"/>
              <w:bottom w:val="nil"/>
              <w:right w:val="single" w:sz="8" w:space="0" w:color="auto"/>
            </w:tcBorders>
            <w:shd w:val="clear" w:color="auto" w:fill="auto"/>
            <w:noWrap/>
            <w:vAlign w:val="bottom"/>
            <w:hideMark/>
          </w:tcPr>
          <w:p w:rsidR="00723A66" w:rsidRPr="00343D3C" w:rsidRDefault="00723A66" w:rsidP="00723A66">
            <w:pPr>
              <w:rPr>
                <w:rFonts w:ascii="Calibri" w:hAnsi="Calibri"/>
                <w:i/>
                <w:iCs/>
                <w:szCs w:val="24"/>
                <w:lang w:val="es-ES"/>
              </w:rPr>
            </w:pPr>
            <w:r w:rsidRPr="00343D3C">
              <w:rPr>
                <w:rFonts w:ascii="Calibri" w:hAnsi="Calibri"/>
                <w:i/>
                <w:iCs/>
                <w:szCs w:val="24"/>
                <w:lang w:val="es-ES"/>
              </w:rPr>
              <w:t> </w:t>
            </w:r>
          </w:p>
        </w:tc>
      </w:tr>
      <w:tr w:rsidR="00343D3C" w:rsidRPr="00343D3C" w:rsidTr="00723A66">
        <w:trPr>
          <w:trHeight w:val="45"/>
        </w:trPr>
        <w:tc>
          <w:tcPr>
            <w:tcW w:w="1003" w:type="dxa"/>
            <w:tcBorders>
              <w:top w:val="nil"/>
              <w:left w:val="nil"/>
              <w:bottom w:val="nil"/>
              <w:right w:val="nil"/>
            </w:tcBorders>
            <w:shd w:val="clear" w:color="auto" w:fill="auto"/>
            <w:noWrap/>
            <w:vAlign w:val="bottom"/>
            <w:hideMark/>
          </w:tcPr>
          <w:p w:rsidR="00723A66" w:rsidRPr="00343D3C" w:rsidRDefault="00723A66" w:rsidP="00723A66">
            <w:pPr>
              <w:rPr>
                <w:rFonts w:ascii="Calibri" w:hAnsi="Calibri"/>
                <w:i/>
                <w:iCs/>
                <w:szCs w:val="24"/>
                <w:lang w:val="es-ES"/>
              </w:rPr>
            </w:pPr>
          </w:p>
        </w:tc>
        <w:tc>
          <w:tcPr>
            <w:tcW w:w="987" w:type="dxa"/>
            <w:tcBorders>
              <w:top w:val="nil"/>
              <w:left w:val="nil"/>
              <w:bottom w:val="nil"/>
              <w:right w:val="nil"/>
            </w:tcBorders>
            <w:shd w:val="clear" w:color="auto" w:fill="auto"/>
            <w:noWrap/>
            <w:vAlign w:val="bottom"/>
            <w:hideMark/>
          </w:tcPr>
          <w:p w:rsidR="00723A66" w:rsidRPr="00343D3C" w:rsidRDefault="00723A66" w:rsidP="00723A66">
            <w:pP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rPr>
                <w:sz w:val="20"/>
                <w:lang w:val="es-ES"/>
              </w:rPr>
            </w:pPr>
          </w:p>
        </w:tc>
        <w:tc>
          <w:tcPr>
            <w:tcW w:w="0" w:type="auto"/>
            <w:tcBorders>
              <w:top w:val="nil"/>
              <w:left w:val="nil"/>
              <w:bottom w:val="nil"/>
              <w:right w:val="single" w:sz="8" w:space="0" w:color="auto"/>
            </w:tcBorders>
            <w:shd w:val="clear" w:color="auto" w:fill="auto"/>
            <w:noWrap/>
            <w:vAlign w:val="bottom"/>
            <w:hideMark/>
          </w:tcPr>
          <w:p w:rsidR="00723A66" w:rsidRPr="00343D3C" w:rsidRDefault="00723A66" w:rsidP="00723A66">
            <w:pPr>
              <w:rPr>
                <w:rFonts w:ascii="Calibri" w:hAnsi="Calibri"/>
                <w:i/>
                <w:iCs/>
                <w:szCs w:val="24"/>
                <w:lang w:val="es-ES"/>
              </w:rPr>
            </w:pPr>
            <w:r w:rsidRPr="00343D3C">
              <w:rPr>
                <w:rFonts w:ascii="Calibri" w:hAnsi="Calibri"/>
                <w:i/>
                <w:iCs/>
                <w:szCs w:val="24"/>
                <w:lang w:val="es-ES"/>
              </w:rPr>
              <w:t> </w:t>
            </w:r>
          </w:p>
        </w:tc>
        <w:tc>
          <w:tcPr>
            <w:tcW w:w="0" w:type="auto"/>
            <w:tcBorders>
              <w:top w:val="nil"/>
              <w:left w:val="nil"/>
              <w:bottom w:val="nil"/>
              <w:right w:val="nil"/>
            </w:tcBorders>
            <w:shd w:val="clear" w:color="auto" w:fill="auto"/>
            <w:noWrap/>
            <w:vAlign w:val="bottom"/>
            <w:hideMark/>
          </w:tcPr>
          <w:p w:rsidR="00723A66" w:rsidRPr="00343D3C" w:rsidRDefault="00723A66" w:rsidP="00723A66">
            <w:pPr>
              <w:rPr>
                <w:rFonts w:ascii="Calibri" w:hAnsi="Calibri"/>
                <w:i/>
                <w:iCs/>
                <w:szCs w:val="24"/>
                <w:lang w:val="es-ES"/>
              </w:rPr>
            </w:pPr>
          </w:p>
        </w:tc>
        <w:tc>
          <w:tcPr>
            <w:tcW w:w="0" w:type="auto"/>
            <w:tcBorders>
              <w:top w:val="nil"/>
              <w:left w:val="single" w:sz="8" w:space="0" w:color="auto"/>
              <w:bottom w:val="nil"/>
              <w:right w:val="nil"/>
            </w:tcBorders>
            <w:shd w:val="clear" w:color="auto" w:fill="auto"/>
            <w:noWrap/>
            <w:vAlign w:val="bottom"/>
            <w:hideMark/>
          </w:tcPr>
          <w:p w:rsidR="00723A66" w:rsidRPr="00343D3C" w:rsidRDefault="00723A66" w:rsidP="00723A66">
            <w:pPr>
              <w:rPr>
                <w:rFonts w:ascii="Calibri" w:hAnsi="Calibri"/>
                <w:i/>
                <w:iCs/>
                <w:szCs w:val="24"/>
                <w:lang w:val="es-ES"/>
              </w:rPr>
            </w:pPr>
            <w:r w:rsidRPr="00343D3C">
              <w:rPr>
                <w:rFonts w:ascii="Calibri" w:hAnsi="Calibri"/>
                <w:i/>
                <w:iCs/>
                <w:szCs w:val="24"/>
                <w:lang w:val="es-ES"/>
              </w:rPr>
              <w:t> </w:t>
            </w:r>
          </w:p>
        </w:tc>
        <w:tc>
          <w:tcPr>
            <w:tcW w:w="0" w:type="auto"/>
            <w:tcBorders>
              <w:top w:val="nil"/>
              <w:left w:val="nil"/>
              <w:bottom w:val="nil"/>
              <w:right w:val="nil"/>
            </w:tcBorders>
            <w:shd w:val="clear" w:color="auto" w:fill="auto"/>
            <w:noWrap/>
            <w:vAlign w:val="bottom"/>
            <w:hideMark/>
          </w:tcPr>
          <w:p w:rsidR="00723A66" w:rsidRPr="00343D3C" w:rsidRDefault="00723A66" w:rsidP="00723A66">
            <w:pPr>
              <w:rPr>
                <w:rFonts w:ascii="Calibri" w:hAnsi="Calibri"/>
                <w:i/>
                <w:iCs/>
                <w:szCs w:val="24"/>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rPr>
                <w:sz w:val="20"/>
                <w:lang w:val="es-ES"/>
              </w:rPr>
            </w:pPr>
          </w:p>
        </w:tc>
        <w:tc>
          <w:tcPr>
            <w:tcW w:w="0" w:type="auto"/>
            <w:tcBorders>
              <w:top w:val="nil"/>
              <w:left w:val="nil"/>
              <w:bottom w:val="nil"/>
              <w:right w:val="single" w:sz="8" w:space="0" w:color="auto"/>
            </w:tcBorders>
            <w:shd w:val="clear" w:color="auto" w:fill="auto"/>
            <w:noWrap/>
            <w:vAlign w:val="bottom"/>
            <w:hideMark/>
          </w:tcPr>
          <w:p w:rsidR="00723A66" w:rsidRPr="00343D3C" w:rsidRDefault="00723A66" w:rsidP="00723A66">
            <w:pPr>
              <w:rPr>
                <w:rFonts w:ascii="Calibri" w:hAnsi="Calibri"/>
                <w:i/>
                <w:iCs/>
                <w:szCs w:val="24"/>
                <w:lang w:val="es-ES"/>
              </w:rPr>
            </w:pPr>
            <w:r w:rsidRPr="00343D3C">
              <w:rPr>
                <w:rFonts w:ascii="Calibri" w:hAnsi="Calibri"/>
                <w:i/>
                <w:iCs/>
                <w:szCs w:val="24"/>
                <w:lang w:val="es-ES"/>
              </w:rPr>
              <w:t> </w:t>
            </w:r>
          </w:p>
        </w:tc>
      </w:tr>
      <w:tr w:rsidR="00343D3C" w:rsidRPr="00343D3C" w:rsidTr="00723A66">
        <w:trPr>
          <w:trHeight w:val="435"/>
        </w:trPr>
        <w:tc>
          <w:tcPr>
            <w:tcW w:w="3787" w:type="dxa"/>
            <w:gridSpan w:val="4"/>
            <w:tcBorders>
              <w:top w:val="single" w:sz="8" w:space="0" w:color="auto"/>
              <w:left w:val="nil"/>
              <w:bottom w:val="single" w:sz="4" w:space="0" w:color="808000"/>
              <w:right w:val="nil"/>
            </w:tcBorders>
            <w:shd w:val="clear" w:color="000000" w:fill="FFFF99"/>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HISTORIA LABORAL DEL AFILIADO</w:t>
            </w: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rFonts w:ascii="Calibri" w:hAnsi="Calibri"/>
                <w:b/>
                <w:bCs/>
                <w:i/>
                <w:iCs/>
                <w:sz w:val="16"/>
                <w:szCs w:val="16"/>
                <w:lang w:val="es-ES"/>
              </w:rPr>
            </w:pPr>
          </w:p>
        </w:tc>
        <w:tc>
          <w:tcPr>
            <w:tcW w:w="0" w:type="auto"/>
            <w:vMerge w:val="restart"/>
            <w:tcBorders>
              <w:top w:val="single" w:sz="4" w:space="0" w:color="auto"/>
              <w:left w:val="single" w:sz="8" w:space="0" w:color="auto"/>
              <w:bottom w:val="single" w:sz="8" w:space="0" w:color="000000"/>
              <w:right w:val="single" w:sz="4" w:space="0" w:color="808000"/>
            </w:tcBorders>
            <w:shd w:val="clear" w:color="000000" w:fill="FFFFCC"/>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 xml:space="preserve">IPC </w:t>
            </w:r>
            <w:proofErr w:type="spellStart"/>
            <w:r w:rsidRPr="00343D3C">
              <w:rPr>
                <w:rFonts w:ascii="Calibri" w:hAnsi="Calibri"/>
                <w:b/>
                <w:bCs/>
                <w:i/>
                <w:iCs/>
                <w:sz w:val="16"/>
                <w:szCs w:val="16"/>
                <w:lang w:val="es-ES"/>
              </w:rPr>
              <w:t>Dane</w:t>
            </w:r>
            <w:proofErr w:type="spellEnd"/>
            <w:r w:rsidRPr="00343D3C">
              <w:rPr>
                <w:rFonts w:ascii="Calibri" w:hAnsi="Calibri"/>
                <w:b/>
                <w:bCs/>
                <w:i/>
                <w:iCs/>
                <w:sz w:val="16"/>
                <w:szCs w:val="16"/>
                <w:lang w:val="es-ES"/>
              </w:rPr>
              <w:t xml:space="preserve">                                    (serie de empalme)</w:t>
            </w:r>
          </w:p>
        </w:tc>
        <w:tc>
          <w:tcPr>
            <w:tcW w:w="0" w:type="auto"/>
            <w:vMerge w:val="restart"/>
            <w:tcBorders>
              <w:top w:val="single" w:sz="4" w:space="0" w:color="auto"/>
              <w:left w:val="single" w:sz="4" w:space="0" w:color="808000"/>
              <w:bottom w:val="single" w:sz="8" w:space="0" w:color="000000"/>
              <w:right w:val="single" w:sz="8" w:space="0" w:color="auto"/>
            </w:tcBorders>
            <w:shd w:val="clear" w:color="000000" w:fill="FFFFCC"/>
            <w:vAlign w:val="center"/>
            <w:hideMark/>
          </w:tcPr>
          <w:p w:rsidR="00723A66" w:rsidRPr="00343D3C" w:rsidRDefault="00723A66" w:rsidP="00723A66">
            <w:pPr>
              <w:jc w:val="center"/>
              <w:rPr>
                <w:rFonts w:ascii="Calibri" w:hAnsi="Calibri"/>
                <w:b/>
                <w:bCs/>
                <w:i/>
                <w:iCs/>
                <w:sz w:val="20"/>
                <w:lang w:val="es-ES"/>
              </w:rPr>
            </w:pPr>
            <w:r w:rsidRPr="00343D3C">
              <w:rPr>
                <w:rFonts w:ascii="Calibri" w:hAnsi="Calibri"/>
                <w:b/>
                <w:bCs/>
                <w:i/>
                <w:iCs/>
                <w:sz w:val="20"/>
                <w:lang w:val="es-ES"/>
              </w:rPr>
              <w:t>Promedio Salarial        (</w:t>
            </w:r>
            <w:proofErr w:type="spellStart"/>
            <w:r w:rsidRPr="00343D3C">
              <w:rPr>
                <w:rFonts w:ascii="Calibri" w:hAnsi="Calibri"/>
                <w:b/>
                <w:bCs/>
                <w:i/>
                <w:iCs/>
                <w:sz w:val="20"/>
                <w:lang w:val="es-ES"/>
              </w:rPr>
              <w:t>Dias</w:t>
            </w:r>
            <w:proofErr w:type="spellEnd"/>
            <w:r w:rsidRPr="00343D3C">
              <w:rPr>
                <w:rFonts w:ascii="Calibri" w:hAnsi="Calibri"/>
                <w:b/>
                <w:bCs/>
                <w:i/>
                <w:iCs/>
                <w:sz w:val="20"/>
                <w:lang w:val="es-ES"/>
              </w:rPr>
              <w:t xml:space="preserve"> x IBC actualizado/total </w:t>
            </w:r>
            <w:proofErr w:type="spellStart"/>
            <w:r w:rsidRPr="00343D3C">
              <w:rPr>
                <w:rFonts w:ascii="Calibri" w:hAnsi="Calibri"/>
                <w:b/>
                <w:bCs/>
                <w:i/>
                <w:iCs/>
                <w:sz w:val="20"/>
                <w:lang w:val="es-ES"/>
              </w:rPr>
              <w:t>dias</w:t>
            </w:r>
            <w:proofErr w:type="spellEnd"/>
            <w:r w:rsidRPr="00343D3C">
              <w:rPr>
                <w:rFonts w:ascii="Calibri" w:hAnsi="Calibri"/>
                <w:b/>
                <w:bCs/>
                <w:i/>
                <w:iCs/>
                <w:sz w:val="20"/>
                <w:lang w:val="es-ES"/>
              </w:rPr>
              <w:t>)</w:t>
            </w:r>
          </w:p>
        </w:tc>
      </w:tr>
      <w:tr w:rsidR="00343D3C" w:rsidRPr="00343D3C" w:rsidTr="00723A66">
        <w:trPr>
          <w:trHeight w:val="315"/>
        </w:trPr>
        <w:tc>
          <w:tcPr>
            <w:tcW w:w="1990" w:type="dxa"/>
            <w:gridSpan w:val="2"/>
            <w:tcBorders>
              <w:top w:val="single" w:sz="4" w:space="0" w:color="808000"/>
              <w:left w:val="nil"/>
              <w:bottom w:val="single" w:sz="4" w:space="0" w:color="808000"/>
              <w:right w:val="nil"/>
            </w:tcBorders>
            <w:shd w:val="clear" w:color="000000" w:fill="FFFFCC"/>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Número de días</w:t>
            </w:r>
          </w:p>
        </w:tc>
        <w:tc>
          <w:tcPr>
            <w:tcW w:w="0" w:type="auto"/>
            <w:vMerge w:val="restart"/>
            <w:tcBorders>
              <w:top w:val="nil"/>
              <w:left w:val="single" w:sz="4" w:space="0" w:color="808000"/>
              <w:bottom w:val="single" w:sz="8" w:space="0" w:color="000000"/>
              <w:right w:val="single" w:sz="8" w:space="0" w:color="auto"/>
            </w:tcBorders>
            <w:shd w:val="clear" w:color="000000" w:fill="FFFFCC"/>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Ingreso Base de Cotización</w:t>
            </w: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rFonts w:ascii="Calibri" w:hAnsi="Calibri"/>
                <w:b/>
                <w:bCs/>
                <w:i/>
                <w:iCs/>
                <w:sz w:val="16"/>
                <w:szCs w:val="16"/>
                <w:lang w:val="es-ES"/>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723A66" w:rsidRPr="00343D3C" w:rsidRDefault="00723A66" w:rsidP="00723A66">
            <w:pPr>
              <w:rPr>
                <w:rFonts w:ascii="Calibri" w:hAnsi="Calibri"/>
                <w:b/>
                <w:bCs/>
                <w:i/>
                <w:iCs/>
                <w:sz w:val="16"/>
                <w:szCs w:val="16"/>
                <w:lang w:val="es-ES"/>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IPC Inicial</w:t>
            </w: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723A66" w:rsidRPr="00343D3C" w:rsidRDefault="00723A66" w:rsidP="00723A66">
            <w:pPr>
              <w:rPr>
                <w:rFonts w:ascii="Calibri" w:hAnsi="Calibri"/>
                <w:b/>
                <w:bCs/>
                <w:i/>
                <w:iCs/>
                <w:sz w:val="20"/>
                <w:lang w:val="es-ES"/>
              </w:rPr>
            </w:pPr>
          </w:p>
        </w:tc>
      </w:tr>
      <w:tr w:rsidR="00343D3C" w:rsidRPr="00343D3C" w:rsidTr="00723A66">
        <w:trPr>
          <w:trHeight w:val="495"/>
        </w:trPr>
        <w:tc>
          <w:tcPr>
            <w:tcW w:w="1003" w:type="dxa"/>
            <w:tcBorders>
              <w:top w:val="nil"/>
              <w:left w:val="nil"/>
              <w:bottom w:val="single" w:sz="8" w:space="0" w:color="auto"/>
              <w:right w:val="single" w:sz="4" w:space="0" w:color="808000"/>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Desde</w:t>
            </w:r>
          </w:p>
        </w:tc>
        <w:tc>
          <w:tcPr>
            <w:tcW w:w="987" w:type="dxa"/>
            <w:tcBorders>
              <w:top w:val="nil"/>
              <w:left w:val="nil"/>
              <w:bottom w:val="single" w:sz="8" w:space="0" w:color="auto"/>
              <w:right w:val="single" w:sz="4" w:space="0" w:color="808000"/>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Hasta</w:t>
            </w:r>
          </w:p>
        </w:tc>
        <w:tc>
          <w:tcPr>
            <w:tcW w:w="0" w:type="auto"/>
            <w:vMerge/>
            <w:tcBorders>
              <w:top w:val="nil"/>
              <w:left w:val="single" w:sz="4" w:space="0" w:color="808000"/>
              <w:bottom w:val="single" w:sz="8" w:space="0" w:color="000000"/>
              <w:right w:val="single" w:sz="4" w:space="0" w:color="808000"/>
            </w:tcBorders>
            <w:vAlign w:val="center"/>
            <w:hideMark/>
          </w:tcPr>
          <w:p w:rsidR="00723A66" w:rsidRPr="00343D3C" w:rsidRDefault="00723A66" w:rsidP="00723A66">
            <w:pPr>
              <w:rPr>
                <w:rFonts w:ascii="Calibri" w:hAnsi="Calibri"/>
                <w:b/>
                <w:bCs/>
                <w:i/>
                <w:iCs/>
                <w:sz w:val="16"/>
                <w:szCs w:val="16"/>
                <w:lang w:val="es-ES"/>
              </w:rPr>
            </w:pPr>
          </w:p>
        </w:tc>
        <w:tc>
          <w:tcPr>
            <w:tcW w:w="0" w:type="auto"/>
            <w:vMerge/>
            <w:tcBorders>
              <w:top w:val="nil"/>
              <w:left w:val="single" w:sz="4" w:space="0" w:color="808000"/>
              <w:bottom w:val="single" w:sz="8" w:space="0" w:color="000000"/>
              <w:right w:val="single" w:sz="8" w:space="0" w:color="auto"/>
            </w:tcBorders>
            <w:vAlign w:val="center"/>
            <w:hideMark/>
          </w:tcPr>
          <w:p w:rsidR="00723A66" w:rsidRPr="00343D3C" w:rsidRDefault="00723A66" w:rsidP="00723A66">
            <w:pPr>
              <w:rPr>
                <w:rFonts w:ascii="Calibri" w:hAnsi="Calibri"/>
                <w:b/>
                <w:bCs/>
                <w:i/>
                <w:iCs/>
                <w:sz w:val="16"/>
                <w:szCs w:val="16"/>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rFonts w:ascii="Calibri" w:hAnsi="Calibri"/>
                <w:b/>
                <w:bCs/>
                <w:i/>
                <w:iCs/>
                <w:sz w:val="16"/>
                <w:szCs w:val="16"/>
                <w:lang w:val="es-ES"/>
              </w:rPr>
            </w:pPr>
          </w:p>
        </w:tc>
        <w:tc>
          <w:tcPr>
            <w:tcW w:w="0" w:type="auto"/>
            <w:vMerge/>
            <w:tcBorders>
              <w:top w:val="single" w:sz="4" w:space="0" w:color="auto"/>
              <w:left w:val="single" w:sz="8" w:space="0" w:color="auto"/>
              <w:bottom w:val="single" w:sz="8" w:space="0" w:color="000000"/>
              <w:right w:val="single" w:sz="4" w:space="0" w:color="808000"/>
            </w:tcBorders>
            <w:vAlign w:val="center"/>
            <w:hideMark/>
          </w:tcPr>
          <w:p w:rsidR="00723A66" w:rsidRPr="00343D3C" w:rsidRDefault="00723A66" w:rsidP="00723A66">
            <w:pPr>
              <w:rPr>
                <w:rFonts w:ascii="Calibri" w:hAnsi="Calibri"/>
                <w:b/>
                <w:bCs/>
                <w:i/>
                <w:iCs/>
                <w:sz w:val="16"/>
                <w:szCs w:val="16"/>
                <w:lang w:val="es-ES"/>
              </w:rPr>
            </w:pPr>
          </w:p>
        </w:tc>
        <w:tc>
          <w:tcPr>
            <w:tcW w:w="0" w:type="auto"/>
            <w:vMerge/>
            <w:tcBorders>
              <w:top w:val="nil"/>
              <w:left w:val="single" w:sz="4" w:space="0" w:color="808000"/>
              <w:bottom w:val="single" w:sz="8" w:space="0" w:color="000000"/>
              <w:right w:val="single" w:sz="4" w:space="0" w:color="808000"/>
            </w:tcBorders>
            <w:vAlign w:val="center"/>
            <w:hideMark/>
          </w:tcPr>
          <w:p w:rsidR="00723A66" w:rsidRPr="00343D3C" w:rsidRDefault="00723A66" w:rsidP="00723A66">
            <w:pPr>
              <w:rPr>
                <w:rFonts w:ascii="Calibri" w:hAnsi="Calibri"/>
                <w:b/>
                <w:bCs/>
                <w:i/>
                <w:iCs/>
                <w:sz w:val="16"/>
                <w:szCs w:val="16"/>
                <w:lang w:val="es-ES"/>
              </w:rPr>
            </w:pPr>
          </w:p>
        </w:tc>
        <w:tc>
          <w:tcPr>
            <w:tcW w:w="0" w:type="auto"/>
            <w:vMerge/>
            <w:tcBorders>
              <w:top w:val="nil"/>
              <w:left w:val="single" w:sz="4" w:space="0" w:color="808000"/>
              <w:bottom w:val="single" w:sz="8" w:space="0" w:color="000000"/>
              <w:right w:val="single" w:sz="4" w:space="0" w:color="808000"/>
            </w:tcBorders>
            <w:vAlign w:val="center"/>
            <w:hideMark/>
          </w:tcPr>
          <w:p w:rsidR="00723A66" w:rsidRPr="00343D3C" w:rsidRDefault="00723A66" w:rsidP="00723A66">
            <w:pPr>
              <w:rPr>
                <w:rFonts w:ascii="Calibri" w:hAnsi="Calibri"/>
                <w:b/>
                <w:bCs/>
                <w:i/>
                <w:iCs/>
                <w:sz w:val="16"/>
                <w:szCs w:val="16"/>
                <w:lang w:val="es-ES"/>
              </w:rPr>
            </w:pPr>
          </w:p>
        </w:tc>
        <w:tc>
          <w:tcPr>
            <w:tcW w:w="0" w:type="auto"/>
            <w:vMerge/>
            <w:tcBorders>
              <w:top w:val="single" w:sz="4" w:space="0" w:color="auto"/>
              <w:left w:val="single" w:sz="4" w:space="0" w:color="808000"/>
              <w:bottom w:val="single" w:sz="8" w:space="0" w:color="000000"/>
              <w:right w:val="single" w:sz="8" w:space="0" w:color="auto"/>
            </w:tcBorders>
            <w:vAlign w:val="center"/>
            <w:hideMark/>
          </w:tcPr>
          <w:p w:rsidR="00723A66" w:rsidRPr="00343D3C" w:rsidRDefault="00723A66" w:rsidP="00723A66">
            <w:pPr>
              <w:rPr>
                <w:rFonts w:ascii="Calibri" w:hAnsi="Calibri"/>
                <w:b/>
                <w:bCs/>
                <w:i/>
                <w:iCs/>
                <w:sz w:val="20"/>
                <w:lang w:val="es-ES"/>
              </w:rPr>
            </w:pPr>
          </w:p>
        </w:tc>
      </w:tr>
      <w:tr w:rsidR="00343D3C" w:rsidRPr="00343D3C" w:rsidTr="00723A66">
        <w:trPr>
          <w:trHeight w:val="315"/>
        </w:trPr>
        <w:tc>
          <w:tcPr>
            <w:tcW w:w="1003" w:type="dxa"/>
            <w:tcBorders>
              <w:top w:val="single" w:sz="4" w:space="0" w:color="808000"/>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11-oct-86</w:t>
            </w:r>
          </w:p>
        </w:tc>
        <w:tc>
          <w:tcPr>
            <w:tcW w:w="987" w:type="dxa"/>
            <w:tcBorders>
              <w:top w:val="single" w:sz="4" w:space="0" w:color="808000"/>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31-dic-86</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82</w:t>
            </w:r>
          </w:p>
        </w:tc>
        <w:tc>
          <w:tcPr>
            <w:tcW w:w="0" w:type="auto"/>
            <w:tcBorders>
              <w:top w:val="single" w:sz="4" w:space="0" w:color="808000"/>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30.150,00</w:t>
            </w:r>
          </w:p>
        </w:tc>
        <w:tc>
          <w:tcPr>
            <w:tcW w:w="0" w:type="auto"/>
            <w:tcBorders>
              <w:top w:val="single" w:sz="4" w:space="0" w:color="808000"/>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single" w:sz="4" w:space="0" w:color="808000"/>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1.177.311,61</w:t>
            </w:r>
          </w:p>
        </w:tc>
        <w:tc>
          <w:tcPr>
            <w:tcW w:w="0" w:type="auto"/>
            <w:tcBorders>
              <w:top w:val="single" w:sz="4" w:space="0" w:color="808000"/>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single" w:sz="4" w:space="0" w:color="808000"/>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3,42</w:t>
            </w:r>
          </w:p>
        </w:tc>
        <w:tc>
          <w:tcPr>
            <w:tcW w:w="0" w:type="auto"/>
            <w:tcBorders>
              <w:top w:val="single" w:sz="4" w:space="0" w:color="808000"/>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26.817</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01-ene-87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31-jul-87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212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30.150,00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973.414,04</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4,13</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57.323</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01-ago-87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30-sep-87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61</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39.310,00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1.269.151,11</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4,13</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21.505</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01-oct-87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31-dic-87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41.040,00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1.325.005,38</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4,13</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33.861</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01-ene-88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31-ago-88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244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41.040,00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1.068.366,25</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5,12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72.411</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01-sep-88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31-dic-88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47.370,00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1.233.150,81</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5,12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41.790</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01-ene-89</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03-may-89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123</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47.370,00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962.463,60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6,57</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32.884</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02-abr-91</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12-abr-91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11</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54.630,00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664.869,03</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10,96</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2.032</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15-abr-91</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31-dic-91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261</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54.630,00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664.869,03</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10,96</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48.203</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01-ene-92</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31-mar-92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91</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99.630,00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956.080,34</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13,90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24.168</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01-abr-92</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31-dic-92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275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136.290,00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1.307.881,05</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13,90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99.908</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01-ene-93</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28-feb-93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59</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136.290,00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1.045.186,06</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17,40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17.129</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01-mar-93</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30-jun-93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150.270,00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1.152.396,42</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17,40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39.053</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01-jul-93</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30-sep-93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165.180,00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1.266.738,81</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17,40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32.372</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01-oct-93</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31-oct-94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396</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234.720,00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1.800.029,87</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17,40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198.003</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01-nov-94</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31-dic-94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61</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208.781,00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1.305.876,15</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21,33</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22.127</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01-feb-95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28-feb-95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319.303,00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1.629.064,47</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13.576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01-mar-95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30-abr-95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60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236.511,00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1.206.664,72</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20.111</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01-may-95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31-may-95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205.052,00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1.046.162,82</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8.718</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01-jun-95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30-jun-95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214.113,00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1.092.391,49</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9.103</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01-jul-95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31-jul-95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245.008,00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1.250.015,90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10.417</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01-ago-95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31-ago-95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214.965,00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1.096.738,34</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9.139</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01-sep-95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30-sep-95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304.863,00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1.555.392,46</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12.962</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01-oct-95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31-oct-95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344.102,00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1.755.587,45</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14.630</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01-nov-95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30-nov-95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356.487,00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1.818.774,97</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15.156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01-dic-95</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31-dic-95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384.846,00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1.963.460,86</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26,15</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16.362</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01-ene-96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31-ene-96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440.569,00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1.881.478,10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15.679</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01-feb-96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29-feb-96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304.015,00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1.298.315,50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10.819</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01-mar-96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31-mar-96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440.194,00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1.879.876,63</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15.666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01-abr-96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30-abr-96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361.232,00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1.542.664,36</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12.856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01-may-96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31-may-96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358.923,00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1.532.803,63</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12.773</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01-jun-96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30-jun-96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283.739,00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1.211.725,55</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10.098</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01-jul-96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31-jul-96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345.406,00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1.475.078,42</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12.292</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01-ago-96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31-ago-96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342.040,00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1.460.703,70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12.173</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01-sep-96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30-sep-96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310.853,00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1.327.517,62</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11.063</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lastRenderedPageBreak/>
              <w:t>01-oct-96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31-oct-96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354.867,00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1.515.482,22</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12.629</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01-nov-96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30-nov-96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326.252,00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1.393.280,04</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11.611</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01-dic-96</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31-dic-96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465.581,00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1.988.293,44</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31,24</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16.569</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01-ene-97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31-ene-97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372.657,00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1.308.342,38</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10.903</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01-feb-97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28-feb-97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344.447,00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1.209.301,33</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10.078</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01-mar-97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31-mar-97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530.275,00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1.861.715,34</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15.514</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01-abr-97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30-abr-97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557.105,00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1.955.911,42</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16.299</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01-may-97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31-may-97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3.480.033,00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12.217.869,66</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101.816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01-jun-97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30-jun-97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364.438,00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1.279.486,71</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10.662</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01-jul-97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31-jul-97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336.903,00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1.182.815,49</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9.857</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01-ago-97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31-ago-97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451.716,00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1.585.906,57</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13.216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01-sep-97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30-sep-97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359.257,00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1.261.297,01</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10.511</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01-oct-97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31-oct-97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394.994,00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1.386.764,21</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11.556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01-nov-97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30-nov-97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354.745,00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1.245.456,06</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10.379</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01-dic-97</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31-dic-97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923.088,00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3.240.822,39</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38,00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27.007</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01-ene-98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31-ene-98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386.040,00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1.151.665,22</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44,72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9.597</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01-feb-98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28-feb-98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329.070,00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981.707,79</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44,72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8.181</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01-mar-98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31-mar-98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315.816,00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942.167,40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44,72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7.851</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01-abr-98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30-abr-98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327.259,00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976.305,07</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44,72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8.136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01-may-98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31-may-98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724.989,00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2.162.844,83</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44,72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18.024</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01-jun-98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30-jun-98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477.628,00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1.424.897,83</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44,72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11.874</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01-jul-98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31-jul-98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478.921,00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1.428.755,21</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44,72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11.906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01-ago-98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31-ago-98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30</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492.185,00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1.468.325,43</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44,72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12.236</w:t>
            </w:r>
          </w:p>
        </w:tc>
      </w:tr>
      <w:tr w:rsidR="00343D3C" w:rsidRPr="00343D3C" w:rsidTr="00723A66">
        <w:trPr>
          <w:trHeight w:val="315"/>
        </w:trPr>
        <w:tc>
          <w:tcPr>
            <w:tcW w:w="1003"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01-sep-98</w:t>
            </w:r>
          </w:p>
        </w:tc>
        <w:tc>
          <w:tcPr>
            <w:tcW w:w="987" w:type="dxa"/>
            <w:tcBorders>
              <w:top w:val="nil"/>
              <w:left w:val="nil"/>
              <w:bottom w:val="single" w:sz="4" w:space="0" w:color="auto"/>
              <w:right w:val="nil"/>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07-sep-98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6</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237.902,00</w:t>
            </w:r>
          </w:p>
        </w:tc>
        <w:tc>
          <w:tcPr>
            <w:tcW w:w="0" w:type="auto"/>
            <w:tcBorders>
              <w:top w:val="nil"/>
              <w:left w:val="single" w:sz="12" w:space="0" w:color="auto"/>
              <w:bottom w:val="nil"/>
              <w:right w:val="single" w:sz="12" w:space="0" w:color="auto"/>
            </w:tcBorders>
            <w:shd w:val="clear" w:color="auto" w:fill="auto"/>
            <w:noWrap/>
            <w:vAlign w:val="center"/>
            <w:hideMark/>
          </w:tcPr>
          <w:p w:rsidR="00723A66" w:rsidRPr="00343D3C" w:rsidRDefault="00723A66" w:rsidP="00723A66">
            <w:pPr>
              <w:jc w:val="center"/>
              <w:rPr>
                <w:rFonts w:ascii="Calibri" w:hAnsi="Calibri"/>
                <w:i/>
                <w:iCs/>
                <w:szCs w:val="24"/>
                <w:lang w:val="es-ES"/>
              </w:rPr>
            </w:pPr>
          </w:p>
        </w:tc>
        <w:tc>
          <w:tcPr>
            <w:tcW w:w="0" w:type="auto"/>
            <w:tcBorders>
              <w:top w:val="nil"/>
              <w:left w:val="single" w:sz="8" w:space="0" w:color="auto"/>
              <w:bottom w:val="nil"/>
              <w:right w:val="nil"/>
            </w:tcBorders>
            <w:shd w:val="clear" w:color="000000" w:fill="FFFF99"/>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709.728,16</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133,40</w:t>
            </w:r>
          </w:p>
        </w:tc>
        <w:tc>
          <w:tcPr>
            <w:tcW w:w="0" w:type="auto"/>
            <w:tcBorders>
              <w:top w:val="nil"/>
              <w:left w:val="nil"/>
              <w:bottom w:val="nil"/>
              <w:right w:val="nil"/>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44,72</w:t>
            </w:r>
          </w:p>
        </w:tc>
        <w:tc>
          <w:tcPr>
            <w:tcW w:w="0" w:type="auto"/>
            <w:tcBorders>
              <w:top w:val="nil"/>
              <w:left w:val="nil"/>
              <w:bottom w:val="single" w:sz="4" w:space="0" w:color="auto"/>
              <w:right w:val="single" w:sz="8" w:space="0" w:color="auto"/>
            </w:tcBorders>
            <w:shd w:val="clear" w:color="auto" w:fill="auto"/>
            <w:noWrap/>
            <w:vAlign w:val="center"/>
            <w:hideMark/>
          </w:tcPr>
          <w:p w:rsidR="00723A66" w:rsidRPr="00343D3C" w:rsidRDefault="00723A66" w:rsidP="00723A66">
            <w:pPr>
              <w:jc w:val="center"/>
              <w:rPr>
                <w:rFonts w:ascii="Calibri" w:hAnsi="Calibri"/>
                <w:i/>
                <w:iCs/>
                <w:sz w:val="16"/>
                <w:szCs w:val="16"/>
                <w:lang w:val="es-ES"/>
              </w:rPr>
            </w:pPr>
            <w:r w:rsidRPr="00343D3C">
              <w:rPr>
                <w:rFonts w:ascii="Calibri" w:hAnsi="Calibri"/>
                <w:i/>
                <w:iCs/>
                <w:sz w:val="16"/>
                <w:szCs w:val="16"/>
                <w:lang w:val="es-ES"/>
              </w:rPr>
              <w:t>1.183</w:t>
            </w:r>
          </w:p>
        </w:tc>
      </w:tr>
      <w:tr w:rsidR="00343D3C" w:rsidRPr="00343D3C" w:rsidTr="00723A66">
        <w:trPr>
          <w:trHeight w:val="315"/>
        </w:trPr>
        <w:tc>
          <w:tcPr>
            <w:tcW w:w="1990" w:type="dxa"/>
            <w:gridSpan w:val="2"/>
            <w:tcBorders>
              <w:top w:val="single" w:sz="4" w:space="0" w:color="333300"/>
              <w:left w:val="nil"/>
              <w:bottom w:val="single" w:sz="4" w:space="0" w:color="333300"/>
              <w:right w:val="single" w:sz="4" w:space="0" w:color="333300"/>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TOTAL DIAS</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723A66" w:rsidRPr="00343D3C" w:rsidRDefault="00723A66" w:rsidP="00723A66">
            <w:pPr>
              <w:jc w:val="center"/>
              <w:rPr>
                <w:rFonts w:ascii="Calibri" w:hAnsi="Calibri"/>
                <w:sz w:val="22"/>
                <w:szCs w:val="22"/>
                <w:lang w:val="es-ES"/>
              </w:rPr>
            </w:pPr>
            <w:r w:rsidRPr="00343D3C">
              <w:rPr>
                <w:rFonts w:ascii="Calibri" w:hAnsi="Calibri"/>
                <w:sz w:val="22"/>
                <w:szCs w:val="22"/>
                <w:lang w:val="es-ES"/>
              </w:rPr>
              <w:t>3.600</w:t>
            </w: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rFonts w:ascii="Calibri" w:hAnsi="Calibri"/>
                <w:sz w:val="22"/>
                <w:szCs w:val="22"/>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IBL</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723A66" w:rsidRPr="00343D3C" w:rsidRDefault="00723A66" w:rsidP="00723A66">
            <w:pPr>
              <w:jc w:val="center"/>
              <w:rPr>
                <w:rFonts w:ascii="Calibri" w:hAnsi="Calibri"/>
                <w:sz w:val="22"/>
                <w:szCs w:val="22"/>
                <w:lang w:val="es-ES"/>
              </w:rPr>
            </w:pPr>
            <w:r w:rsidRPr="00343D3C">
              <w:rPr>
                <w:rFonts w:ascii="Calibri" w:hAnsi="Calibri"/>
                <w:sz w:val="22"/>
                <w:szCs w:val="22"/>
                <w:lang w:val="es-ES"/>
              </w:rPr>
              <w:t>1.390.774</w:t>
            </w:r>
          </w:p>
        </w:tc>
      </w:tr>
      <w:tr w:rsidR="00343D3C" w:rsidRPr="00343D3C" w:rsidTr="00723A66">
        <w:trPr>
          <w:trHeight w:val="315"/>
        </w:trPr>
        <w:tc>
          <w:tcPr>
            <w:tcW w:w="1003" w:type="dxa"/>
            <w:tcBorders>
              <w:top w:val="nil"/>
              <w:left w:val="nil"/>
              <w:bottom w:val="nil"/>
              <w:right w:val="nil"/>
            </w:tcBorders>
            <w:shd w:val="clear" w:color="auto" w:fill="auto"/>
            <w:noWrap/>
            <w:vAlign w:val="bottom"/>
            <w:hideMark/>
          </w:tcPr>
          <w:p w:rsidR="00723A66" w:rsidRPr="00343D3C" w:rsidRDefault="00723A66" w:rsidP="00723A66">
            <w:pPr>
              <w:jc w:val="center"/>
              <w:rPr>
                <w:rFonts w:ascii="Calibri" w:hAnsi="Calibri"/>
                <w:sz w:val="22"/>
                <w:szCs w:val="22"/>
                <w:lang w:val="es-ES"/>
              </w:rPr>
            </w:pPr>
          </w:p>
        </w:tc>
        <w:tc>
          <w:tcPr>
            <w:tcW w:w="987" w:type="dxa"/>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r>
      <w:tr w:rsidR="00343D3C" w:rsidRPr="00343D3C" w:rsidTr="00723A66">
        <w:trPr>
          <w:trHeight w:val="315"/>
        </w:trPr>
        <w:tc>
          <w:tcPr>
            <w:tcW w:w="1003" w:type="dxa"/>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987" w:type="dxa"/>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tcBorders>
              <w:top w:val="nil"/>
              <w:left w:val="nil"/>
              <w:bottom w:val="nil"/>
              <w:right w:val="nil"/>
            </w:tcBorders>
            <w:shd w:val="clear" w:color="auto" w:fill="auto"/>
            <w:noWrap/>
            <w:vAlign w:val="bottom"/>
            <w:hideMark/>
          </w:tcPr>
          <w:p w:rsidR="00723A66" w:rsidRPr="00343D3C" w:rsidRDefault="00723A66" w:rsidP="00723A66">
            <w:pPr>
              <w:jc w:val="center"/>
              <w:rPr>
                <w:sz w:val="20"/>
                <w:lang w:val="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723A66" w:rsidRPr="00343D3C" w:rsidRDefault="00723A66" w:rsidP="00723A66">
            <w:pPr>
              <w:jc w:val="center"/>
              <w:rPr>
                <w:rFonts w:ascii="Calibri" w:hAnsi="Calibri"/>
                <w:b/>
                <w:bCs/>
                <w:i/>
                <w:iCs/>
                <w:sz w:val="16"/>
                <w:szCs w:val="16"/>
                <w:lang w:val="es-ES"/>
              </w:rPr>
            </w:pPr>
            <w:r w:rsidRPr="00343D3C">
              <w:rPr>
                <w:rFonts w:ascii="Calibri" w:hAnsi="Calibri"/>
                <w:b/>
                <w:bCs/>
                <w:i/>
                <w:iCs/>
                <w:sz w:val="16"/>
                <w:szCs w:val="16"/>
                <w:lang w:val="es-ES"/>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723A66" w:rsidRPr="00343D3C" w:rsidRDefault="00723A66" w:rsidP="00723A66">
            <w:pPr>
              <w:jc w:val="center"/>
              <w:rPr>
                <w:rFonts w:ascii="Calibri" w:hAnsi="Calibri"/>
                <w:b/>
                <w:bCs/>
                <w:i/>
                <w:iCs/>
                <w:sz w:val="20"/>
                <w:lang w:val="es-ES"/>
              </w:rPr>
            </w:pPr>
            <w:r w:rsidRPr="00343D3C">
              <w:rPr>
                <w:rFonts w:ascii="Calibri" w:hAnsi="Calibri"/>
                <w:b/>
                <w:bCs/>
                <w:i/>
                <w:iCs/>
                <w:sz w:val="20"/>
                <w:lang w:val="es-ES"/>
              </w:rPr>
              <w:t>792.741</w:t>
            </w:r>
          </w:p>
        </w:tc>
      </w:tr>
    </w:tbl>
    <w:p w:rsidR="00723A66" w:rsidRPr="00343D3C" w:rsidRDefault="00723A66" w:rsidP="00723A66">
      <w:pPr>
        <w:ind w:firstLine="900"/>
        <w:jc w:val="center"/>
        <w:rPr>
          <w:rFonts w:ascii="Arial Narrow" w:hAnsi="Arial Narrow" w:cs="Microsoft Sans Serif"/>
          <w:iCs/>
          <w:sz w:val="28"/>
          <w:szCs w:val="28"/>
          <w:lang w:val="es-ES"/>
        </w:rPr>
      </w:pPr>
    </w:p>
    <w:sectPr w:rsidR="00723A66" w:rsidRPr="00343D3C" w:rsidSect="00B440E7">
      <w:headerReference w:type="default" r:id="rId8"/>
      <w:footerReference w:type="even" r:id="rId9"/>
      <w:footerReference w:type="default" r:id="rId10"/>
      <w:pgSz w:w="12242" w:h="18722" w:code="258"/>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8BB" w:rsidRDefault="00AD48BB" w:rsidP="00C40FE4">
      <w:r>
        <w:separator/>
      </w:r>
    </w:p>
  </w:endnote>
  <w:endnote w:type="continuationSeparator" w:id="0">
    <w:p w:rsidR="00AD48BB" w:rsidRDefault="00AD48BB" w:rsidP="00C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0E7" w:rsidRDefault="00B440E7" w:rsidP="00C65F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440E7" w:rsidRDefault="00B440E7" w:rsidP="00C65F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0E7" w:rsidRDefault="00B440E7" w:rsidP="00C65F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14</w:t>
    </w:r>
    <w:r>
      <w:rPr>
        <w:rStyle w:val="Nmerodepgina"/>
      </w:rPr>
      <w:fldChar w:fldCharType="end"/>
    </w:r>
  </w:p>
  <w:p w:rsidR="00B440E7" w:rsidRDefault="00B440E7" w:rsidP="00C65F1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8BB" w:rsidRDefault="00AD48BB" w:rsidP="00C40FE4">
      <w:r>
        <w:separator/>
      </w:r>
    </w:p>
  </w:footnote>
  <w:footnote w:type="continuationSeparator" w:id="0">
    <w:p w:rsidR="00AD48BB" w:rsidRDefault="00AD48BB" w:rsidP="00C4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0E7" w:rsidRDefault="00B440E7" w:rsidP="00C65F16">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002-20143-00126-01</w:t>
    </w:r>
  </w:p>
  <w:p w:rsidR="00B440E7" w:rsidRDefault="00B440E7" w:rsidP="00C65F16">
    <w:pPr>
      <w:jc w:val="both"/>
      <w:rPr>
        <w:rFonts w:ascii="Arial" w:hAnsi="Arial" w:cs="Arial"/>
        <w:bCs/>
        <w:i/>
        <w:sz w:val="16"/>
        <w:szCs w:val="16"/>
      </w:rPr>
    </w:pPr>
    <w:r>
      <w:rPr>
        <w:rFonts w:ascii="Arial" w:hAnsi="Arial" w:cs="Arial"/>
        <w:bCs/>
        <w:i/>
        <w:sz w:val="16"/>
        <w:szCs w:val="16"/>
      </w:rPr>
      <w:t>Blanca Mary Varón Loaiza vs Colpensiones y otro</w:t>
    </w:r>
  </w:p>
  <w:p w:rsidR="00B440E7" w:rsidRDefault="00B440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BE9"/>
    <w:multiLevelType w:val="hybridMultilevel"/>
    <w:tmpl w:val="ECF40DEE"/>
    <w:lvl w:ilvl="0" w:tplc="3A368CEE">
      <w:start w:val="1"/>
      <w:numFmt w:val="decimal"/>
      <w:lvlText w:val="%1."/>
      <w:lvlJc w:val="left"/>
      <w:pPr>
        <w:ind w:left="1068" w:hanging="36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55E075F"/>
    <w:multiLevelType w:val="hybridMultilevel"/>
    <w:tmpl w:val="3972401A"/>
    <w:lvl w:ilvl="0" w:tplc="E3AE1EB4">
      <w:start w:val="1"/>
      <w:numFmt w:val="lowerLetter"/>
      <w:lvlText w:val="%1)"/>
      <w:lvlJc w:val="left"/>
      <w:pPr>
        <w:ind w:left="927" w:hanging="360"/>
      </w:pPr>
      <w:rPr>
        <w:rFonts w:hint="default"/>
        <w:b w:val="0"/>
        <w:i/>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15:restartNumberingAfterBreak="0">
    <w:nsid w:val="0FEA2490"/>
    <w:multiLevelType w:val="hybridMultilevel"/>
    <w:tmpl w:val="B8B0E652"/>
    <w:lvl w:ilvl="0" w:tplc="63D2E8F6">
      <w:start w:val="1"/>
      <w:numFmt w:val="upperRoman"/>
      <w:lvlText w:val="%1."/>
      <w:lvlJc w:val="left"/>
      <w:pPr>
        <w:ind w:left="1571" w:hanging="72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15:restartNumberingAfterBreak="0">
    <w:nsid w:val="2AEC4B28"/>
    <w:multiLevelType w:val="hybridMultilevel"/>
    <w:tmpl w:val="D360C876"/>
    <w:lvl w:ilvl="0" w:tplc="8DD22F02">
      <w:start w:val="2"/>
      <w:numFmt w:val="bullet"/>
      <w:lvlText w:val="-"/>
      <w:lvlJc w:val="left"/>
      <w:pPr>
        <w:ind w:left="1320" w:hanging="360"/>
      </w:pPr>
      <w:rPr>
        <w:rFonts w:ascii="Arial Narrow" w:eastAsia="Times New Roman" w:hAnsi="Arial Narrow" w:cs="Microsoft Sans Serif" w:hint="default"/>
      </w:rPr>
    </w:lvl>
    <w:lvl w:ilvl="1" w:tplc="0C0A0003" w:tentative="1">
      <w:start w:val="1"/>
      <w:numFmt w:val="bullet"/>
      <w:lvlText w:val="o"/>
      <w:lvlJc w:val="left"/>
      <w:pPr>
        <w:ind w:left="2040" w:hanging="360"/>
      </w:pPr>
      <w:rPr>
        <w:rFonts w:ascii="Courier New" w:hAnsi="Courier New" w:cs="Courier New" w:hint="default"/>
      </w:rPr>
    </w:lvl>
    <w:lvl w:ilvl="2" w:tplc="0C0A0005" w:tentative="1">
      <w:start w:val="1"/>
      <w:numFmt w:val="bullet"/>
      <w:lvlText w:val=""/>
      <w:lvlJc w:val="left"/>
      <w:pPr>
        <w:ind w:left="2760" w:hanging="360"/>
      </w:pPr>
      <w:rPr>
        <w:rFonts w:ascii="Wingdings" w:hAnsi="Wingdings" w:hint="default"/>
      </w:rPr>
    </w:lvl>
    <w:lvl w:ilvl="3" w:tplc="0C0A0001" w:tentative="1">
      <w:start w:val="1"/>
      <w:numFmt w:val="bullet"/>
      <w:lvlText w:val=""/>
      <w:lvlJc w:val="left"/>
      <w:pPr>
        <w:ind w:left="3480" w:hanging="360"/>
      </w:pPr>
      <w:rPr>
        <w:rFonts w:ascii="Symbol" w:hAnsi="Symbol" w:hint="default"/>
      </w:rPr>
    </w:lvl>
    <w:lvl w:ilvl="4" w:tplc="0C0A0003" w:tentative="1">
      <w:start w:val="1"/>
      <w:numFmt w:val="bullet"/>
      <w:lvlText w:val="o"/>
      <w:lvlJc w:val="left"/>
      <w:pPr>
        <w:ind w:left="4200" w:hanging="360"/>
      </w:pPr>
      <w:rPr>
        <w:rFonts w:ascii="Courier New" w:hAnsi="Courier New" w:cs="Courier New" w:hint="default"/>
      </w:rPr>
    </w:lvl>
    <w:lvl w:ilvl="5" w:tplc="0C0A0005" w:tentative="1">
      <w:start w:val="1"/>
      <w:numFmt w:val="bullet"/>
      <w:lvlText w:val=""/>
      <w:lvlJc w:val="left"/>
      <w:pPr>
        <w:ind w:left="4920" w:hanging="360"/>
      </w:pPr>
      <w:rPr>
        <w:rFonts w:ascii="Wingdings" w:hAnsi="Wingdings" w:hint="default"/>
      </w:rPr>
    </w:lvl>
    <w:lvl w:ilvl="6" w:tplc="0C0A0001" w:tentative="1">
      <w:start w:val="1"/>
      <w:numFmt w:val="bullet"/>
      <w:lvlText w:val=""/>
      <w:lvlJc w:val="left"/>
      <w:pPr>
        <w:ind w:left="5640" w:hanging="360"/>
      </w:pPr>
      <w:rPr>
        <w:rFonts w:ascii="Symbol" w:hAnsi="Symbol" w:hint="default"/>
      </w:rPr>
    </w:lvl>
    <w:lvl w:ilvl="7" w:tplc="0C0A0003" w:tentative="1">
      <w:start w:val="1"/>
      <w:numFmt w:val="bullet"/>
      <w:lvlText w:val="o"/>
      <w:lvlJc w:val="left"/>
      <w:pPr>
        <w:ind w:left="6360" w:hanging="360"/>
      </w:pPr>
      <w:rPr>
        <w:rFonts w:ascii="Courier New" w:hAnsi="Courier New" w:cs="Courier New" w:hint="default"/>
      </w:rPr>
    </w:lvl>
    <w:lvl w:ilvl="8" w:tplc="0C0A0005" w:tentative="1">
      <w:start w:val="1"/>
      <w:numFmt w:val="bullet"/>
      <w:lvlText w:val=""/>
      <w:lvlJc w:val="left"/>
      <w:pPr>
        <w:ind w:left="7080" w:hanging="360"/>
      </w:pPr>
      <w:rPr>
        <w:rFonts w:ascii="Wingdings" w:hAnsi="Wingdings" w:hint="default"/>
      </w:rPr>
    </w:lvl>
  </w:abstractNum>
  <w:abstractNum w:abstractNumId="4" w15:restartNumberingAfterBreak="0">
    <w:nsid w:val="52A95206"/>
    <w:multiLevelType w:val="hybridMultilevel"/>
    <w:tmpl w:val="89C0146E"/>
    <w:lvl w:ilvl="0" w:tplc="717ACEC8">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61387F11"/>
    <w:multiLevelType w:val="hybridMultilevel"/>
    <w:tmpl w:val="33A4A6EA"/>
    <w:lvl w:ilvl="0" w:tplc="0C0A000F">
      <w:start w:val="1"/>
      <w:numFmt w:val="decimal"/>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FE4"/>
    <w:rsid w:val="0001031C"/>
    <w:rsid w:val="00017BC1"/>
    <w:rsid w:val="00037B48"/>
    <w:rsid w:val="00051AD5"/>
    <w:rsid w:val="00072E96"/>
    <w:rsid w:val="00080848"/>
    <w:rsid w:val="00087975"/>
    <w:rsid w:val="00095642"/>
    <w:rsid w:val="000A3DC0"/>
    <w:rsid w:val="000B3DD1"/>
    <w:rsid w:val="000B4269"/>
    <w:rsid w:val="000C2B29"/>
    <w:rsid w:val="000F034E"/>
    <w:rsid w:val="000F48BD"/>
    <w:rsid w:val="000F4A24"/>
    <w:rsid w:val="001114BC"/>
    <w:rsid w:val="00116671"/>
    <w:rsid w:val="001252F3"/>
    <w:rsid w:val="00136CFD"/>
    <w:rsid w:val="001417FE"/>
    <w:rsid w:val="00185FC9"/>
    <w:rsid w:val="00190E42"/>
    <w:rsid w:val="00194BD7"/>
    <w:rsid w:val="001B39E2"/>
    <w:rsid w:val="00202326"/>
    <w:rsid w:val="00212877"/>
    <w:rsid w:val="0021325A"/>
    <w:rsid w:val="00265970"/>
    <w:rsid w:val="0027557E"/>
    <w:rsid w:val="00286BE4"/>
    <w:rsid w:val="002E59E5"/>
    <w:rsid w:val="002F6DDD"/>
    <w:rsid w:val="0030771B"/>
    <w:rsid w:val="00307810"/>
    <w:rsid w:val="00325BD0"/>
    <w:rsid w:val="00335111"/>
    <w:rsid w:val="00343D3C"/>
    <w:rsid w:val="00345298"/>
    <w:rsid w:val="0036344F"/>
    <w:rsid w:val="003A1BCD"/>
    <w:rsid w:val="003A25D8"/>
    <w:rsid w:val="003B17A0"/>
    <w:rsid w:val="003B230D"/>
    <w:rsid w:val="003C6A8C"/>
    <w:rsid w:val="003D03B5"/>
    <w:rsid w:val="003E3539"/>
    <w:rsid w:val="004010C2"/>
    <w:rsid w:val="0040198E"/>
    <w:rsid w:val="00403B47"/>
    <w:rsid w:val="0041519C"/>
    <w:rsid w:val="00417250"/>
    <w:rsid w:val="004368D6"/>
    <w:rsid w:val="00441D09"/>
    <w:rsid w:val="0046785B"/>
    <w:rsid w:val="0048050B"/>
    <w:rsid w:val="004877DF"/>
    <w:rsid w:val="00510681"/>
    <w:rsid w:val="005129BB"/>
    <w:rsid w:val="0054199F"/>
    <w:rsid w:val="00577813"/>
    <w:rsid w:val="00583340"/>
    <w:rsid w:val="005B17B0"/>
    <w:rsid w:val="005B70AB"/>
    <w:rsid w:val="005C1F3C"/>
    <w:rsid w:val="005C62C5"/>
    <w:rsid w:val="005D09BB"/>
    <w:rsid w:val="005D7B48"/>
    <w:rsid w:val="005E566F"/>
    <w:rsid w:val="005E7524"/>
    <w:rsid w:val="005F03F1"/>
    <w:rsid w:val="006378BB"/>
    <w:rsid w:val="00672548"/>
    <w:rsid w:val="00673907"/>
    <w:rsid w:val="00686DCE"/>
    <w:rsid w:val="006B2CA3"/>
    <w:rsid w:val="006B31CC"/>
    <w:rsid w:val="006C7EE8"/>
    <w:rsid w:val="00701CED"/>
    <w:rsid w:val="00706C01"/>
    <w:rsid w:val="00723A66"/>
    <w:rsid w:val="00763C12"/>
    <w:rsid w:val="00797BB5"/>
    <w:rsid w:val="00797DFD"/>
    <w:rsid w:val="008214AD"/>
    <w:rsid w:val="00826A7B"/>
    <w:rsid w:val="0086709C"/>
    <w:rsid w:val="00874003"/>
    <w:rsid w:val="00876146"/>
    <w:rsid w:val="00882E71"/>
    <w:rsid w:val="0088401C"/>
    <w:rsid w:val="00885CD5"/>
    <w:rsid w:val="00891DA7"/>
    <w:rsid w:val="008B0D31"/>
    <w:rsid w:val="008B7AB7"/>
    <w:rsid w:val="008C4B12"/>
    <w:rsid w:val="008C6E98"/>
    <w:rsid w:val="008D1439"/>
    <w:rsid w:val="008F6711"/>
    <w:rsid w:val="00931FFF"/>
    <w:rsid w:val="009462BF"/>
    <w:rsid w:val="0095182D"/>
    <w:rsid w:val="009559BD"/>
    <w:rsid w:val="00981D91"/>
    <w:rsid w:val="009A3F4C"/>
    <w:rsid w:val="009A6245"/>
    <w:rsid w:val="009C1321"/>
    <w:rsid w:val="009C1C2E"/>
    <w:rsid w:val="009D2A64"/>
    <w:rsid w:val="009E264D"/>
    <w:rsid w:val="009F1F36"/>
    <w:rsid w:val="009F3EB2"/>
    <w:rsid w:val="009F7E6F"/>
    <w:rsid w:val="00A02CF5"/>
    <w:rsid w:val="00A0523C"/>
    <w:rsid w:val="00A13E2E"/>
    <w:rsid w:val="00A479A5"/>
    <w:rsid w:val="00A61777"/>
    <w:rsid w:val="00A94DDF"/>
    <w:rsid w:val="00AB0D84"/>
    <w:rsid w:val="00AC4921"/>
    <w:rsid w:val="00AC7E63"/>
    <w:rsid w:val="00AD2FD7"/>
    <w:rsid w:val="00AD48BB"/>
    <w:rsid w:val="00AD4B1B"/>
    <w:rsid w:val="00AF30BA"/>
    <w:rsid w:val="00B003F1"/>
    <w:rsid w:val="00B05CD9"/>
    <w:rsid w:val="00B17D7E"/>
    <w:rsid w:val="00B3171D"/>
    <w:rsid w:val="00B32006"/>
    <w:rsid w:val="00B33CE3"/>
    <w:rsid w:val="00B440E7"/>
    <w:rsid w:val="00B80A32"/>
    <w:rsid w:val="00B92802"/>
    <w:rsid w:val="00B92FE5"/>
    <w:rsid w:val="00BA54FE"/>
    <w:rsid w:val="00BC5C05"/>
    <w:rsid w:val="00BD3465"/>
    <w:rsid w:val="00BD6999"/>
    <w:rsid w:val="00BE7032"/>
    <w:rsid w:val="00BF257B"/>
    <w:rsid w:val="00BF6B57"/>
    <w:rsid w:val="00C2397C"/>
    <w:rsid w:val="00C35CA1"/>
    <w:rsid w:val="00C40FE4"/>
    <w:rsid w:val="00C4172D"/>
    <w:rsid w:val="00C61CEE"/>
    <w:rsid w:val="00C65F16"/>
    <w:rsid w:val="00C678B8"/>
    <w:rsid w:val="00C855B7"/>
    <w:rsid w:val="00CA018F"/>
    <w:rsid w:val="00CC3220"/>
    <w:rsid w:val="00CC35FB"/>
    <w:rsid w:val="00CC5CBC"/>
    <w:rsid w:val="00CD25C6"/>
    <w:rsid w:val="00CD4686"/>
    <w:rsid w:val="00D05B16"/>
    <w:rsid w:val="00D13919"/>
    <w:rsid w:val="00D267F3"/>
    <w:rsid w:val="00D2685F"/>
    <w:rsid w:val="00D30FFB"/>
    <w:rsid w:val="00D46DA8"/>
    <w:rsid w:val="00D551AC"/>
    <w:rsid w:val="00D65F20"/>
    <w:rsid w:val="00D666DD"/>
    <w:rsid w:val="00D70BE7"/>
    <w:rsid w:val="00D9799D"/>
    <w:rsid w:val="00D97F9F"/>
    <w:rsid w:val="00DA2885"/>
    <w:rsid w:val="00DC0255"/>
    <w:rsid w:val="00DC65D8"/>
    <w:rsid w:val="00E13461"/>
    <w:rsid w:val="00E2200D"/>
    <w:rsid w:val="00E5058B"/>
    <w:rsid w:val="00E7142F"/>
    <w:rsid w:val="00E948B8"/>
    <w:rsid w:val="00EA46C9"/>
    <w:rsid w:val="00EA6B13"/>
    <w:rsid w:val="00EB1BBC"/>
    <w:rsid w:val="00EE2E6E"/>
    <w:rsid w:val="00EF43B3"/>
    <w:rsid w:val="00F3167C"/>
    <w:rsid w:val="00F43ED4"/>
    <w:rsid w:val="00F543B5"/>
    <w:rsid w:val="00F56F39"/>
    <w:rsid w:val="00F612CE"/>
    <w:rsid w:val="00F65353"/>
    <w:rsid w:val="00F9138A"/>
    <w:rsid w:val="00FA766F"/>
    <w:rsid w:val="00FB27B0"/>
    <w:rsid w:val="00FC0485"/>
    <w:rsid w:val="00FC317B"/>
    <w:rsid w:val="00FD7989"/>
    <w:rsid w:val="00FE72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EFB410"/>
  <w15:chartTrackingRefBased/>
  <w15:docId w15:val="{7CD47874-EF50-4B9C-B9F3-0394BAE0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FE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C40FE4"/>
    <w:pPr>
      <w:tabs>
        <w:tab w:val="center" w:pos="4252"/>
        <w:tab w:val="right" w:pos="8504"/>
      </w:tabs>
    </w:pPr>
  </w:style>
  <w:style w:type="character" w:customStyle="1" w:styleId="PiedepginaCar">
    <w:name w:val="Pie de página Car"/>
    <w:basedOn w:val="Fuentedeprrafopredeter"/>
    <w:link w:val="Piedepgina"/>
    <w:rsid w:val="00C40FE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40FE4"/>
  </w:style>
  <w:style w:type="paragraph" w:styleId="Encabezado">
    <w:name w:val="header"/>
    <w:basedOn w:val="Normal"/>
    <w:link w:val="EncabezadoCar"/>
    <w:rsid w:val="00C40FE4"/>
    <w:pPr>
      <w:tabs>
        <w:tab w:val="center" w:pos="4252"/>
        <w:tab w:val="right" w:pos="8504"/>
      </w:tabs>
    </w:pPr>
  </w:style>
  <w:style w:type="character" w:customStyle="1" w:styleId="EncabezadoCar">
    <w:name w:val="Encabezado Car"/>
    <w:basedOn w:val="Fuentedeprrafopredeter"/>
    <w:link w:val="Encabezado"/>
    <w:rsid w:val="00C40FE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C40FE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40FE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C40FE4"/>
    <w:pPr>
      <w:spacing w:line="360" w:lineRule="auto"/>
      <w:jc w:val="both"/>
    </w:pPr>
    <w:rPr>
      <w:rFonts w:ascii="Arial" w:hAnsi="Arial"/>
      <w:sz w:val="28"/>
    </w:rPr>
  </w:style>
  <w:style w:type="paragraph" w:styleId="Prrafodelista">
    <w:name w:val="List Paragraph"/>
    <w:basedOn w:val="Normal"/>
    <w:uiPriority w:val="34"/>
    <w:qFormat/>
    <w:rsid w:val="00A0523C"/>
    <w:pPr>
      <w:ind w:left="720"/>
      <w:contextualSpacing/>
    </w:pPr>
  </w:style>
  <w:style w:type="paragraph" w:customStyle="1" w:styleId="Textoindependiente32">
    <w:name w:val="Texto independiente 32"/>
    <w:basedOn w:val="Normal"/>
    <w:rsid w:val="00673907"/>
    <w:pPr>
      <w:spacing w:line="360" w:lineRule="auto"/>
      <w:jc w:val="both"/>
    </w:pPr>
    <w:rPr>
      <w:rFonts w:ascii="Arial" w:hAnsi="Arial"/>
    </w:rPr>
  </w:style>
  <w:style w:type="character" w:customStyle="1" w:styleId="SinespaciadoCar">
    <w:name w:val="Sin espaciado Car"/>
    <w:link w:val="Sinespaciado"/>
    <w:uiPriority w:val="1"/>
    <w:locked/>
    <w:rsid w:val="00FD798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82878">
      <w:bodyDiv w:val="1"/>
      <w:marLeft w:val="0"/>
      <w:marRight w:val="0"/>
      <w:marTop w:val="0"/>
      <w:marBottom w:val="0"/>
      <w:divBdr>
        <w:top w:val="none" w:sz="0" w:space="0" w:color="auto"/>
        <w:left w:val="none" w:sz="0" w:space="0" w:color="auto"/>
        <w:bottom w:val="none" w:sz="0" w:space="0" w:color="auto"/>
        <w:right w:val="none" w:sz="0" w:space="0" w:color="auto"/>
      </w:divBdr>
    </w:div>
    <w:div w:id="20794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5012</Words>
  <Characters>27570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2</cp:revision>
  <dcterms:created xsi:type="dcterms:W3CDTF">2021-02-26T14:39:00Z</dcterms:created>
  <dcterms:modified xsi:type="dcterms:W3CDTF">2021-02-26T14:39:00Z</dcterms:modified>
</cp:coreProperties>
</file>