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ED" w:rsidRDefault="00D974ED" w:rsidP="00D974ED">
      <w:pPr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03342B">
        <w:rPr>
          <w:rFonts w:ascii="Arial Narrow" w:hAnsi="Arial Narrow" w:cs="Arial"/>
          <w:sz w:val="18"/>
          <w:szCs w:val="18"/>
        </w:rPr>
        <w:t>Auto</w:t>
      </w:r>
      <w:r w:rsidRPr="00150432">
        <w:rPr>
          <w:rFonts w:ascii="Arial Narrow" w:hAnsi="Arial Narrow" w:cs="Arial"/>
          <w:sz w:val="18"/>
          <w:szCs w:val="18"/>
        </w:rPr>
        <w:t xml:space="preserve"> de Segunda Instancia, </w:t>
      </w:r>
      <w:r w:rsidR="0003342B">
        <w:rPr>
          <w:rFonts w:ascii="Arial Narrow" w:hAnsi="Arial Narrow" w:cs="Arial"/>
          <w:sz w:val="18"/>
          <w:szCs w:val="18"/>
        </w:rPr>
        <w:t>Jueves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03342B">
        <w:rPr>
          <w:rFonts w:ascii="Arial Narrow" w:hAnsi="Arial Narrow" w:cs="Arial"/>
          <w:sz w:val="18"/>
          <w:szCs w:val="18"/>
        </w:rPr>
        <w:t>16</w:t>
      </w:r>
      <w:r>
        <w:rPr>
          <w:rFonts w:ascii="Arial Narrow" w:hAnsi="Arial Narrow" w:cs="Arial"/>
          <w:sz w:val="18"/>
          <w:szCs w:val="18"/>
        </w:rPr>
        <w:t xml:space="preserve"> de </w:t>
      </w:r>
      <w:r w:rsidR="0003342B">
        <w:rPr>
          <w:rFonts w:ascii="Arial Narrow" w:hAnsi="Arial Narrow" w:cs="Arial"/>
          <w:sz w:val="18"/>
          <w:szCs w:val="18"/>
        </w:rPr>
        <w:t>noviembre</w:t>
      </w:r>
      <w:r>
        <w:rPr>
          <w:rFonts w:ascii="Arial Narrow" w:hAnsi="Arial Narrow" w:cs="Arial"/>
          <w:sz w:val="18"/>
          <w:szCs w:val="18"/>
        </w:rPr>
        <w:t xml:space="preserve"> de 2</w:t>
      </w:r>
      <w:r w:rsidR="00434A0E">
        <w:rPr>
          <w:rFonts w:ascii="Arial Narrow" w:hAnsi="Arial Narrow" w:cs="Arial"/>
          <w:sz w:val="18"/>
          <w:szCs w:val="18"/>
        </w:rPr>
        <w:t>017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66001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31-05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00</w:t>
      </w:r>
      <w:r w:rsidR="0003342B">
        <w:rPr>
          <w:rFonts w:ascii="Arial Narrow" w:hAnsi="Arial Narrow" w:cs="Arial"/>
          <w:bCs/>
          <w:sz w:val="18"/>
          <w:szCs w:val="18"/>
        </w:rPr>
        <w:t>3</w:t>
      </w:r>
      <w:r>
        <w:rPr>
          <w:rFonts w:ascii="Arial Narrow" w:hAnsi="Arial Narrow" w:cs="Arial"/>
          <w:bCs/>
          <w:sz w:val="18"/>
          <w:szCs w:val="18"/>
        </w:rPr>
        <w:t>-201</w:t>
      </w:r>
      <w:r w:rsidR="00E678AF">
        <w:rPr>
          <w:rFonts w:ascii="Arial Narrow" w:hAnsi="Arial Narrow" w:cs="Arial"/>
          <w:bCs/>
          <w:sz w:val="18"/>
          <w:szCs w:val="18"/>
        </w:rPr>
        <w:t>5</w:t>
      </w:r>
      <w:r>
        <w:rPr>
          <w:rFonts w:ascii="Arial Narrow" w:hAnsi="Arial Narrow" w:cs="Arial"/>
          <w:bCs/>
          <w:sz w:val="18"/>
          <w:szCs w:val="18"/>
        </w:rPr>
        <w:t>-00</w:t>
      </w:r>
      <w:r w:rsidR="0003342B">
        <w:rPr>
          <w:rFonts w:ascii="Arial Narrow" w:hAnsi="Arial Narrow" w:cs="Arial"/>
          <w:bCs/>
          <w:sz w:val="18"/>
          <w:szCs w:val="18"/>
        </w:rPr>
        <w:t>593</w:t>
      </w:r>
      <w:r>
        <w:rPr>
          <w:rFonts w:ascii="Arial Narrow" w:hAnsi="Arial Narrow" w:cs="Arial"/>
          <w:bCs/>
          <w:sz w:val="18"/>
          <w:szCs w:val="18"/>
        </w:rPr>
        <w:t>-01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</w:t>
      </w:r>
      <w:r w:rsidRPr="00150432">
        <w:rPr>
          <w:rFonts w:ascii="Arial Narrow" w:hAnsi="Arial Narrow" w:cs="Arial"/>
          <w:b/>
          <w:bCs/>
          <w:iCs/>
          <w:sz w:val="18"/>
          <w:szCs w:val="18"/>
        </w:rPr>
        <w:t>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D974ED" w:rsidRPr="005148B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 w:rsidR="0003342B">
        <w:rPr>
          <w:rFonts w:ascii="Arial Narrow" w:hAnsi="Arial Narrow" w:cs="Arial"/>
          <w:iCs/>
          <w:sz w:val="18"/>
          <w:szCs w:val="18"/>
        </w:rPr>
        <w:t>Justo German Ibarguen Asprilla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="0003342B">
        <w:rPr>
          <w:rFonts w:ascii="Arial Narrow" w:hAnsi="Arial Narrow" w:cs="Arial"/>
          <w:bCs/>
          <w:sz w:val="18"/>
          <w:szCs w:val="18"/>
        </w:rPr>
        <w:t>Gustavo Tapasco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03342B">
        <w:rPr>
          <w:rFonts w:ascii="Arial Narrow" w:hAnsi="Arial Narrow" w:cs="Arial"/>
          <w:sz w:val="18"/>
          <w:szCs w:val="18"/>
        </w:rPr>
        <w:t>Tercero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150432">
        <w:rPr>
          <w:rFonts w:ascii="Arial Narrow" w:hAnsi="Arial Narrow" w:cs="Arial"/>
          <w:sz w:val="18"/>
          <w:szCs w:val="18"/>
        </w:rPr>
        <w:t xml:space="preserve">Laboral del Circuito de Pereira 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D974ED" w:rsidRPr="00716352" w:rsidRDefault="00D974ED" w:rsidP="00D974ED">
      <w:pPr>
        <w:pStyle w:val="Textoindependiente32"/>
        <w:spacing w:line="24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D974ED" w:rsidRDefault="00D974ED" w:rsidP="00D974ED">
      <w:pPr>
        <w:pStyle w:val="Sinespaciado"/>
        <w:rPr>
          <w:color w:val="FF0000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TRIBUNAL SUPERIOR DISTRITO JUDICIAL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 xml:space="preserve">SALA TERCERA DE DECISION LABORAL 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PEREIRA</w:t>
      </w:r>
      <w:r w:rsidRPr="00222A68">
        <w:rPr>
          <w:rFonts w:ascii="Arial Narrow" w:hAnsi="Arial Narrow"/>
          <w:b/>
          <w:sz w:val="28"/>
        </w:rPr>
        <w:tab/>
        <w:t>RISARALDA</w:t>
      </w:r>
    </w:p>
    <w:p w:rsidR="00222A68" w:rsidRPr="00716352" w:rsidRDefault="00222A68" w:rsidP="00D974ED">
      <w:pPr>
        <w:pStyle w:val="Sinespaciado"/>
        <w:rPr>
          <w:color w:val="FF0000"/>
        </w:rPr>
      </w:pPr>
    </w:p>
    <w:p w:rsidR="00D974ED" w:rsidRPr="00FE4D11" w:rsidRDefault="00FE4D11" w:rsidP="00D974ED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FE4D11">
        <w:rPr>
          <w:rFonts w:ascii="Arial Narrow" w:hAnsi="Arial Narrow" w:cs="Arial"/>
          <w:b/>
          <w:i/>
          <w:sz w:val="28"/>
          <w:szCs w:val="28"/>
        </w:rPr>
        <w:t>OBJETO</w:t>
      </w:r>
    </w:p>
    <w:p w:rsidR="00D974ED" w:rsidRPr="0010719B" w:rsidRDefault="00D974ED" w:rsidP="00D974ED">
      <w:pPr>
        <w:pStyle w:val="Sinespaciado"/>
      </w:pPr>
    </w:p>
    <w:p w:rsidR="004630E9" w:rsidRDefault="004630E9" w:rsidP="00D974ED">
      <w:pPr>
        <w:spacing w:line="360" w:lineRule="auto"/>
        <w:ind w:firstLine="709"/>
        <w:jc w:val="both"/>
        <w:rPr>
          <w:rFonts w:ascii="Arial Narrow" w:eastAsia="Calibri" w:hAnsi="Arial Narrow" w:cs="Arial"/>
          <w:sz w:val="28"/>
          <w:szCs w:val="28"/>
          <w:lang w:val="es-CO" w:eastAsia="en-US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Sería del caso entrar a estudiar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el presente asunto, el </w:t>
      </w:r>
      <w:r w:rsidR="0003342B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grado jurisdiccional de consulta de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la sentencia dictada por el Juzgado </w:t>
      </w:r>
      <w:r w:rsidR="0003342B">
        <w:rPr>
          <w:rFonts w:ascii="Arial Narrow" w:eastAsia="Calibri" w:hAnsi="Arial Narrow" w:cs="Arial"/>
          <w:sz w:val="28"/>
          <w:szCs w:val="28"/>
          <w:lang w:val="es-CO" w:eastAsia="en-US"/>
        </w:rPr>
        <w:t>Tercero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Laboral del Circuito de Pereira el </w:t>
      </w:r>
      <w:r w:rsidR="0003342B">
        <w:rPr>
          <w:rFonts w:ascii="Arial Narrow" w:eastAsia="Calibri" w:hAnsi="Arial Narrow" w:cs="Arial"/>
          <w:sz w:val="28"/>
          <w:szCs w:val="28"/>
          <w:lang w:val="es-CO" w:eastAsia="en-US"/>
        </w:rPr>
        <w:t>25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 </w:t>
      </w:r>
      <w:r w:rsidR="0003342B">
        <w:rPr>
          <w:rFonts w:ascii="Arial Narrow" w:eastAsia="Calibri" w:hAnsi="Arial Narrow" w:cs="Arial"/>
          <w:sz w:val="28"/>
          <w:szCs w:val="28"/>
          <w:lang w:val="es-CO" w:eastAsia="en-US"/>
        </w:rPr>
        <w:t>enero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del año </w:t>
      </w:r>
      <w:r w:rsidR="0003342B">
        <w:rPr>
          <w:rFonts w:ascii="Arial Narrow" w:eastAsia="Calibri" w:hAnsi="Arial Narrow" w:cs="Arial"/>
          <w:sz w:val="28"/>
          <w:szCs w:val="28"/>
          <w:lang w:val="es-CO" w:eastAsia="en-US"/>
        </w:rPr>
        <w:t>que corre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, sino fuera porque encuentra esta sala que existe una nulidad insaneable en el presente asunto.</w:t>
      </w:r>
    </w:p>
    <w:p w:rsidR="00D974ED" w:rsidRPr="00432996" w:rsidRDefault="00D974ED" w:rsidP="008D1201">
      <w:pPr>
        <w:pStyle w:val="Sinespaciado"/>
        <w:spacing w:line="276" w:lineRule="auto"/>
        <w:rPr>
          <w:lang w:val="es-CO"/>
        </w:rPr>
      </w:pPr>
    </w:p>
    <w:p w:rsidR="00D974ED" w:rsidRPr="00FE4D11" w:rsidRDefault="00432996" w:rsidP="00FE4D11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FE4D11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ANTECEDENTES Y CONSIDERACIONES</w:t>
      </w:r>
    </w:p>
    <w:p w:rsidR="00D974ED" w:rsidRPr="00D974ED" w:rsidRDefault="00D974ED" w:rsidP="00D974ED">
      <w:pPr>
        <w:pStyle w:val="Sinespaciado"/>
      </w:pPr>
    </w:p>
    <w:p w:rsidR="00D974ED" w:rsidRPr="004E4669" w:rsidRDefault="00D974ED" w:rsidP="00D974ED">
      <w:pPr>
        <w:pStyle w:val="Sinespaciado"/>
      </w:pPr>
    </w:p>
    <w:p w:rsidR="0003342B" w:rsidRDefault="004630E9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Pide el demandante </w:t>
      </w:r>
      <w:r w:rsidR="0003342B">
        <w:rPr>
          <w:rFonts w:ascii="Arial Narrow" w:hAnsi="Arial Narrow" w:cs="Tahoma"/>
          <w:bCs/>
          <w:iCs/>
          <w:sz w:val="28"/>
          <w:szCs w:val="28"/>
        </w:rPr>
        <w:t>la declaratoria de un contrato de trabajo que lo ató al accionado en el año 2014 y el correspondiente reconocimiento de prestaciones sociales e indemnizaciones.</w:t>
      </w: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Entre los hechos de la demanda, se relata en los enlistados como segundo y sewptimo, que el señor Ibarguen fue contratado por el demandado en su condición de representante o propietario de la empresa GLT Constructoray que el servicio se cumplía a favor de esta misma sociedad en un horario de 6.30 a.m. a 6.30 p.m. de lunes a viernes y de 6.30 a.m. a 12.30 p.m.</w:t>
      </w:r>
    </w:p>
    <w:p w:rsidR="00E678AF" w:rsidRDefault="00E678AF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Tales hechos, en el sentir del suscrito ponente y atendiendo el deber de interpretación de la demanda que le incumbe al Juez, permiten colegir sin ambages que el objeto de litigio también implicaba a la aludida persona jurídica, quien aparentemente, actuó como empleador.</w:t>
      </w: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1827A1" w:rsidRDefault="001827A1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Por lo tanto, se observa que la decisión que acá se adopte</w:t>
      </w:r>
      <w:r w:rsidR="0003342B">
        <w:rPr>
          <w:rFonts w:ascii="Arial Narrow" w:hAnsi="Arial Narrow" w:cs="Tahoma"/>
          <w:bCs/>
          <w:iCs/>
          <w:sz w:val="28"/>
          <w:szCs w:val="28"/>
        </w:rPr>
        <w:t xml:space="preserve">, necesariamente deberá vincular a la </w:t>
      </w:r>
      <w:r w:rsidR="00270B95">
        <w:rPr>
          <w:rFonts w:ascii="Arial Narrow" w:hAnsi="Arial Narrow" w:cs="Tahoma"/>
          <w:bCs/>
          <w:iCs/>
          <w:sz w:val="28"/>
          <w:szCs w:val="28"/>
        </w:rPr>
        <w:t>persona jurídica GLT Constructora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razón por la cual estima esta </w:t>
      </w:r>
      <w:r>
        <w:rPr>
          <w:rFonts w:ascii="Arial Narrow" w:hAnsi="Arial Narrow" w:cs="Tahoma"/>
          <w:bCs/>
          <w:iCs/>
          <w:sz w:val="28"/>
          <w:szCs w:val="28"/>
        </w:rPr>
        <w:lastRenderedPageBreak/>
        <w:t xml:space="preserve">Sala que al tenor del canon 61 del CGP –antiguo art. 83 del CPC- se debe integrar el contradictorio con </w:t>
      </w:r>
      <w:r w:rsidR="00270B95">
        <w:rPr>
          <w:rFonts w:ascii="Arial Narrow" w:hAnsi="Arial Narrow" w:cs="Tahoma"/>
          <w:bCs/>
          <w:iCs/>
          <w:sz w:val="28"/>
          <w:szCs w:val="28"/>
        </w:rPr>
        <w:t>la misma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para </w:t>
      </w:r>
      <w:r w:rsidR="00270B95">
        <w:rPr>
          <w:rFonts w:ascii="Arial Narrow" w:hAnsi="Arial Narrow" w:cs="Tahoma"/>
          <w:bCs/>
          <w:iCs/>
          <w:sz w:val="28"/>
          <w:szCs w:val="28"/>
        </w:rPr>
        <w:t xml:space="preserve">poder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tomar una decisión de fondo que resuelva todos los extremos del asunto. </w:t>
      </w:r>
    </w:p>
    <w:p w:rsidR="00432996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552F15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Así las cosas, el trámite adelantado en la primera instancia –necesariamente- deberá anularse, a partir de</w:t>
      </w:r>
      <w:r w:rsidR="00552F15">
        <w:rPr>
          <w:rFonts w:ascii="Arial Narrow" w:hAnsi="Arial Narrow" w:cs="Tahoma"/>
          <w:bCs/>
          <w:iCs/>
          <w:sz w:val="28"/>
          <w:szCs w:val="28"/>
        </w:rPr>
        <w:t>l auto admisorio de la demanda, con el fin de que se subsane la demanda y se anexe a la misma copia del certificado de existencia y representación legal de la persona jurídica mencionada.</w:t>
      </w:r>
    </w:p>
    <w:p w:rsidR="00D974ED" w:rsidRPr="009D08B0" w:rsidRDefault="00D974ED" w:rsidP="009D08B0">
      <w:pPr>
        <w:pStyle w:val="Sinespaciado"/>
      </w:pPr>
    </w:p>
    <w:p w:rsidR="00D974ED" w:rsidRPr="00C605CD" w:rsidRDefault="00D974ED" w:rsidP="00D974ED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D974ED" w:rsidRPr="004B439F" w:rsidRDefault="00D974ED" w:rsidP="00D974ED">
      <w:pPr>
        <w:pStyle w:val="Sinespaciado"/>
      </w:pPr>
    </w:p>
    <w:p w:rsidR="00D974ED" w:rsidRDefault="00D974ED" w:rsidP="00D974ED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C605CD">
        <w:rPr>
          <w:rFonts w:ascii="Arial Narrow" w:hAnsi="Arial Narrow"/>
          <w:sz w:val="28"/>
          <w:szCs w:val="28"/>
        </w:rPr>
        <w:t xml:space="preserve">En mérito de lo expuesto, el H. Tribunal Superior del Distrito Judicial de Pereira - Risaralda, Sala Laboral, </w:t>
      </w:r>
    </w:p>
    <w:p w:rsidR="009D08B0" w:rsidRPr="009D08B0" w:rsidRDefault="009D08B0" w:rsidP="009D08B0">
      <w:pPr>
        <w:pStyle w:val="Sinespaciado"/>
      </w:pPr>
    </w:p>
    <w:p w:rsidR="00D974ED" w:rsidRDefault="00D974ED" w:rsidP="00D974ED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RESUELVE </w:t>
      </w:r>
    </w:p>
    <w:p w:rsidR="00D974ED" w:rsidRPr="00382614" w:rsidRDefault="00D974ED" w:rsidP="00D974ED">
      <w:pPr>
        <w:pStyle w:val="Sinespaciado"/>
      </w:pPr>
    </w:p>
    <w:p w:rsidR="00D974ED" w:rsidRPr="00312C2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t>Dejar sin efecto</w:t>
      </w:r>
      <w:r>
        <w:rPr>
          <w:rFonts w:ascii="Arial Narrow" w:hAnsi="Arial Narrow" w:cs="Tahoma"/>
          <w:sz w:val="28"/>
          <w:szCs w:val="28"/>
          <w:lang w:val="es-CO"/>
        </w:rPr>
        <w:t xml:space="preserve"> el auto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del </w:t>
      </w:r>
      <w:r w:rsidR="001827A1">
        <w:rPr>
          <w:rFonts w:ascii="Arial Narrow" w:hAnsi="Arial Narrow" w:cs="Tahoma"/>
          <w:sz w:val="28"/>
          <w:szCs w:val="28"/>
          <w:lang w:val="es-CO"/>
        </w:rPr>
        <w:t>0</w:t>
      </w:r>
      <w:r w:rsidR="00270B95">
        <w:rPr>
          <w:rFonts w:ascii="Arial Narrow" w:hAnsi="Arial Narrow" w:cs="Tahoma"/>
          <w:sz w:val="28"/>
          <w:szCs w:val="28"/>
          <w:lang w:val="es-CO"/>
        </w:rPr>
        <w:t>7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270B95">
        <w:rPr>
          <w:rFonts w:ascii="Arial Narrow" w:hAnsi="Arial Narrow" w:cs="Tahoma"/>
          <w:sz w:val="28"/>
          <w:szCs w:val="28"/>
          <w:lang w:val="es-CO"/>
        </w:rPr>
        <w:t>febrero</w:t>
      </w:r>
      <w:r w:rsidR="001827A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FE4D11">
        <w:rPr>
          <w:rFonts w:ascii="Arial Narrow" w:hAnsi="Arial Narrow" w:cs="Tahoma"/>
          <w:sz w:val="28"/>
          <w:szCs w:val="28"/>
          <w:lang w:val="es-CO"/>
        </w:rPr>
        <w:t>201</w:t>
      </w:r>
      <w:r w:rsidR="00270B95">
        <w:rPr>
          <w:rFonts w:ascii="Arial Narrow" w:hAnsi="Arial Narrow" w:cs="Tahoma"/>
          <w:sz w:val="28"/>
          <w:szCs w:val="28"/>
          <w:lang w:val="es-CO"/>
        </w:rPr>
        <w:t>7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, dictado por el suscrito ponente, </w:t>
      </w:r>
      <w:r>
        <w:rPr>
          <w:rFonts w:ascii="Arial Narrow" w:hAnsi="Arial Narrow" w:cs="Tahoma"/>
          <w:sz w:val="28"/>
          <w:szCs w:val="28"/>
          <w:lang w:val="es-CO"/>
        </w:rPr>
        <w:t xml:space="preserve">por medio cual se admitió el </w:t>
      </w:r>
      <w:r w:rsidR="00FE4D11">
        <w:rPr>
          <w:rFonts w:ascii="Arial Narrow" w:hAnsi="Arial Narrow" w:cs="Tahoma"/>
          <w:sz w:val="28"/>
          <w:szCs w:val="28"/>
          <w:lang w:val="es-CO"/>
        </w:rPr>
        <w:t>recurso de apelación propuesto</w:t>
      </w:r>
      <w:r w:rsidR="001827A1">
        <w:rPr>
          <w:rFonts w:ascii="Arial Narrow" w:hAnsi="Arial Narrow" w:cs="Tahoma"/>
          <w:sz w:val="28"/>
          <w:szCs w:val="28"/>
          <w:lang w:val="es-CO"/>
        </w:rPr>
        <w:t>, así como las providencias posteriores</w:t>
      </w:r>
      <w:r>
        <w:rPr>
          <w:rFonts w:ascii="Arial Narrow" w:hAnsi="Arial Narrow" w:cs="Tahoma"/>
          <w:sz w:val="28"/>
          <w:szCs w:val="28"/>
          <w:lang w:val="es-CO"/>
        </w:rPr>
        <w:t xml:space="preserve">. </w:t>
      </w:r>
    </w:p>
    <w:p w:rsidR="00D974ED" w:rsidRPr="00FE4D11" w:rsidRDefault="00D974ED" w:rsidP="009D08B0">
      <w:pPr>
        <w:pStyle w:val="Sinespaciado"/>
        <w:ind w:firstLine="360"/>
        <w:rPr>
          <w:lang w:val="es-ES"/>
        </w:rPr>
      </w:pPr>
    </w:p>
    <w:p w:rsidR="00552F15" w:rsidRPr="00552F15" w:rsidRDefault="00D974ED" w:rsidP="00795550">
      <w:pPr>
        <w:pStyle w:val="Prrafodelista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 w:rsidRPr="00312C2D">
        <w:rPr>
          <w:rFonts w:ascii="Arial Narrow" w:hAnsi="Arial Narrow" w:cs="Tahoma"/>
          <w:i/>
          <w:sz w:val="28"/>
          <w:szCs w:val="28"/>
          <w:lang w:val="es-CO"/>
        </w:rPr>
        <w:t>Declara</w:t>
      </w:r>
      <w:r w:rsidR="00AB7C96">
        <w:rPr>
          <w:rFonts w:ascii="Arial Narrow" w:hAnsi="Arial Narrow" w:cs="Tahoma"/>
          <w:i/>
          <w:sz w:val="28"/>
          <w:szCs w:val="28"/>
          <w:lang w:val="es-CO"/>
        </w:rPr>
        <w:t xml:space="preserve"> </w:t>
      </w:r>
      <w:r w:rsidRPr="00312C2D">
        <w:rPr>
          <w:rFonts w:ascii="Arial Narrow" w:hAnsi="Arial Narrow" w:cs="Tahoma"/>
          <w:sz w:val="28"/>
          <w:szCs w:val="28"/>
        </w:rPr>
        <w:t xml:space="preserve">la nulidad de lo actuado a partir del </w:t>
      </w:r>
      <w:r w:rsidR="00552F15">
        <w:rPr>
          <w:rFonts w:ascii="Arial Narrow" w:hAnsi="Arial Narrow" w:cs="Tahoma"/>
          <w:sz w:val="28"/>
          <w:szCs w:val="28"/>
        </w:rPr>
        <w:t>auto del 29 de octubre de 2015 que admitió la demanda y se requiera a la parte actora</w:t>
      </w:r>
      <w:r w:rsidR="00552F15" w:rsidRPr="00552F15"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 w:rsidR="00552F15">
        <w:rPr>
          <w:rFonts w:ascii="Arial Narrow" w:hAnsi="Arial Narrow" w:cs="Tahoma"/>
          <w:bCs/>
          <w:iCs/>
          <w:sz w:val="28"/>
          <w:szCs w:val="28"/>
        </w:rPr>
        <w:t>con el fin de que se subsane la demanda y se anexe a la misma copia del certificado de existencia y representación legal de</w:t>
      </w:r>
      <w:r w:rsidR="00FE4D11">
        <w:rPr>
          <w:rFonts w:ascii="Arial Narrow" w:hAnsi="Arial Narrow"/>
          <w:sz w:val="28"/>
          <w:szCs w:val="28"/>
          <w:lang w:val="es-ES"/>
        </w:rPr>
        <w:t xml:space="preserve"> </w:t>
      </w:r>
      <w:r w:rsidR="0073625C">
        <w:rPr>
          <w:rFonts w:ascii="Arial Narrow" w:hAnsi="Arial Narrow"/>
          <w:sz w:val="28"/>
          <w:szCs w:val="28"/>
          <w:lang w:val="es-ES"/>
        </w:rPr>
        <w:t>la empresa GLT Constructora</w:t>
      </w:r>
      <w:r w:rsidR="001E4DBE">
        <w:rPr>
          <w:rFonts w:ascii="Arial Narrow" w:hAnsi="Arial Narrow"/>
          <w:sz w:val="28"/>
          <w:szCs w:val="28"/>
          <w:lang w:val="es-ES"/>
        </w:rPr>
        <w:t xml:space="preserve">, </w:t>
      </w:r>
      <w:r w:rsidR="00552F15">
        <w:rPr>
          <w:rFonts w:ascii="Arial Narrow" w:hAnsi="Arial Narrow"/>
          <w:sz w:val="28"/>
          <w:szCs w:val="28"/>
          <w:lang w:val="es-ES"/>
        </w:rPr>
        <w:t>en orden a integrarla al presente proceso.</w:t>
      </w:r>
    </w:p>
    <w:p w:rsidR="00D974ED" w:rsidRPr="001E4DBE" w:rsidRDefault="00D974ED" w:rsidP="009D08B0">
      <w:pPr>
        <w:pStyle w:val="Sinespaciado"/>
        <w:rPr>
          <w:lang w:val="es-ES"/>
        </w:rPr>
      </w:pPr>
    </w:p>
    <w:p w:rsidR="00D974ED" w:rsidRPr="00993D8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 w:cs="Tahoma"/>
          <w:sz w:val="28"/>
          <w:szCs w:val="28"/>
        </w:rPr>
      </w:pPr>
      <w:r w:rsidRPr="00993D8D">
        <w:rPr>
          <w:rFonts w:ascii="Arial Narrow" w:hAnsi="Arial Narrow" w:cs="Tahoma"/>
          <w:sz w:val="28"/>
          <w:szCs w:val="28"/>
        </w:rPr>
        <w:t>Sin costas.</w:t>
      </w:r>
    </w:p>
    <w:p w:rsidR="00D974ED" w:rsidRPr="00172C80" w:rsidRDefault="00D974ED" w:rsidP="00D974ED">
      <w:pPr>
        <w:pStyle w:val="Sinespaciado"/>
      </w:pPr>
    </w:p>
    <w:p w:rsidR="00D974ED" w:rsidRPr="00172C80" w:rsidRDefault="00D974ED" w:rsidP="00D974ED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552F15" w:rsidRDefault="00552F15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bookmarkStart w:id="0" w:name="_GoBack"/>
      <w:bookmarkEnd w:id="0"/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</w:t>
      </w:r>
    </w:p>
    <w:p w:rsidR="00D974ED" w:rsidRPr="00172C80" w:rsidRDefault="00D974ED" w:rsidP="00D974ED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sectPr w:rsidR="00D974ED" w:rsidRPr="00172C80" w:rsidSect="00E3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1F" w:rsidRDefault="002C351F" w:rsidP="00D974ED">
      <w:r>
        <w:separator/>
      </w:r>
    </w:p>
  </w:endnote>
  <w:endnote w:type="continuationSeparator" w:id="0">
    <w:p w:rsidR="002C351F" w:rsidRDefault="002C351F" w:rsidP="00D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 w:rsidP="00E30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1827A1" w:rsidRDefault="001827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1F" w:rsidRPr="002C351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827A1" w:rsidRDefault="0018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1F" w:rsidRDefault="002C351F" w:rsidP="00D974ED">
      <w:r>
        <w:separator/>
      </w:r>
    </w:p>
  </w:footnote>
  <w:footnote w:type="continuationSeparator" w:id="0">
    <w:p w:rsidR="002C351F" w:rsidRDefault="002C351F" w:rsidP="00D9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</w:p>
  <w:p w:rsidR="001827A1" w:rsidRPr="00D058DE" w:rsidRDefault="001827A1" w:rsidP="00E309F9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>
      <w:rPr>
        <w:rFonts w:ascii="Arial Narrow" w:hAnsi="Arial Narrow" w:cs="Arial"/>
        <w:bCs/>
        <w:sz w:val="16"/>
        <w:szCs w:val="16"/>
      </w:rPr>
      <w:t>66001-</w:t>
    </w:r>
    <w:r w:rsidRPr="00D058DE">
      <w:rPr>
        <w:rFonts w:ascii="Arial Narrow" w:hAnsi="Arial Narrow" w:cs="Arial"/>
        <w:bCs/>
        <w:sz w:val="16"/>
        <w:szCs w:val="16"/>
      </w:rPr>
      <w:t>31-05–00</w:t>
    </w:r>
    <w:r w:rsidR="0003342B">
      <w:rPr>
        <w:rFonts w:ascii="Arial Narrow" w:hAnsi="Arial Narrow" w:cs="Arial"/>
        <w:bCs/>
        <w:sz w:val="16"/>
        <w:szCs w:val="16"/>
      </w:rPr>
      <w:t>3</w:t>
    </w:r>
    <w:r>
      <w:rPr>
        <w:rFonts w:ascii="Arial Narrow" w:hAnsi="Arial Narrow" w:cs="Arial"/>
        <w:bCs/>
        <w:sz w:val="16"/>
        <w:szCs w:val="16"/>
      </w:rPr>
      <w:t>-2015-00</w:t>
    </w:r>
    <w:r w:rsidR="0003342B">
      <w:rPr>
        <w:rFonts w:ascii="Arial Narrow" w:hAnsi="Arial Narrow" w:cs="Arial"/>
        <w:bCs/>
        <w:sz w:val="16"/>
        <w:szCs w:val="16"/>
      </w:rPr>
      <w:t>593</w:t>
    </w:r>
    <w:r>
      <w:rPr>
        <w:rFonts w:ascii="Arial Narrow" w:hAnsi="Arial Narrow" w:cs="Arial"/>
        <w:bCs/>
        <w:sz w:val="16"/>
        <w:szCs w:val="16"/>
      </w:rPr>
      <w:t>-01</w:t>
    </w:r>
  </w:p>
  <w:p w:rsidR="001827A1" w:rsidRPr="00D058DE" w:rsidRDefault="001827A1" w:rsidP="00E309F9">
    <w:pPr>
      <w:pStyle w:val="Piedepgina"/>
      <w:framePr w:wrap="auto" w:vAnchor="page" w:hAnchor="page" w:x="1699" w:y="1126"/>
      <w:ind w:right="360"/>
    </w:pPr>
  </w:p>
  <w:p w:rsidR="001827A1" w:rsidRPr="00D058DE" w:rsidRDefault="0003342B" w:rsidP="00E309F9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>Justo German Ibarguen Asprilla</w:t>
    </w:r>
    <w:r w:rsidR="001827A1">
      <w:rPr>
        <w:rFonts w:ascii="Arial Narrow" w:hAnsi="Arial Narrow" w:cs="Arial"/>
        <w:sz w:val="16"/>
        <w:szCs w:val="16"/>
        <w:lang w:val="es-ES"/>
      </w:rPr>
      <w:t xml:space="preserve"> Vs </w:t>
    </w:r>
    <w:r>
      <w:rPr>
        <w:rFonts w:ascii="Arial Narrow" w:hAnsi="Arial Narrow" w:cs="Arial"/>
        <w:sz w:val="16"/>
        <w:szCs w:val="16"/>
        <w:lang w:val="es-ES"/>
      </w:rPr>
      <w:t>Gustavo Tapasco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Pr="006258A8" w:rsidRDefault="001827A1" w:rsidP="00E309F9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1827A1" w:rsidRPr="007D6B28" w:rsidRDefault="001827A1" w:rsidP="00E30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077"/>
    <w:multiLevelType w:val="hybridMultilevel"/>
    <w:tmpl w:val="176CCD84"/>
    <w:lvl w:ilvl="0" w:tplc="B96839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DA"/>
    <w:multiLevelType w:val="multilevel"/>
    <w:tmpl w:val="2AD0B8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D"/>
    <w:rsid w:val="0002215F"/>
    <w:rsid w:val="0003342B"/>
    <w:rsid w:val="000D75DE"/>
    <w:rsid w:val="000E45B1"/>
    <w:rsid w:val="000F3E7B"/>
    <w:rsid w:val="0013794D"/>
    <w:rsid w:val="001827A1"/>
    <w:rsid w:val="00195893"/>
    <w:rsid w:val="001E4DBE"/>
    <w:rsid w:val="00221EF1"/>
    <w:rsid w:val="00222A68"/>
    <w:rsid w:val="002323F5"/>
    <w:rsid w:val="00270B95"/>
    <w:rsid w:val="002C351F"/>
    <w:rsid w:val="00421482"/>
    <w:rsid w:val="00432996"/>
    <w:rsid w:val="00434A0E"/>
    <w:rsid w:val="00441C9C"/>
    <w:rsid w:val="004630E9"/>
    <w:rsid w:val="004A0C0D"/>
    <w:rsid w:val="004A701A"/>
    <w:rsid w:val="005148B2"/>
    <w:rsid w:val="00552F15"/>
    <w:rsid w:val="005D5759"/>
    <w:rsid w:val="005E1219"/>
    <w:rsid w:val="00603BD6"/>
    <w:rsid w:val="006826EC"/>
    <w:rsid w:val="006E213D"/>
    <w:rsid w:val="00702B29"/>
    <w:rsid w:val="0073625C"/>
    <w:rsid w:val="007735FD"/>
    <w:rsid w:val="00795550"/>
    <w:rsid w:val="008D1201"/>
    <w:rsid w:val="008D4D9E"/>
    <w:rsid w:val="008E450D"/>
    <w:rsid w:val="009B2181"/>
    <w:rsid w:val="009B4304"/>
    <w:rsid w:val="009C5A4A"/>
    <w:rsid w:val="009D08B0"/>
    <w:rsid w:val="00AB7C96"/>
    <w:rsid w:val="00B3342A"/>
    <w:rsid w:val="00C457F7"/>
    <w:rsid w:val="00D974ED"/>
    <w:rsid w:val="00DC1775"/>
    <w:rsid w:val="00DD7BAA"/>
    <w:rsid w:val="00DF0BFA"/>
    <w:rsid w:val="00DF59AA"/>
    <w:rsid w:val="00E309F9"/>
    <w:rsid w:val="00E54701"/>
    <w:rsid w:val="00E678AF"/>
    <w:rsid w:val="00EC703D"/>
    <w:rsid w:val="00F6403D"/>
    <w:rsid w:val="00FE4D1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CC1933-8619-4AD1-9A32-00253FD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74ED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74ED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974ED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974ED"/>
  </w:style>
  <w:style w:type="paragraph" w:styleId="Piedepgina">
    <w:name w:val="footer"/>
    <w:basedOn w:val="Normal"/>
    <w:link w:val="PiedepginaCar"/>
    <w:uiPriority w:val="99"/>
    <w:rsid w:val="00D974ED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D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74ED"/>
    <w:pPr>
      <w:ind w:left="720"/>
      <w:contextualSpacing/>
    </w:pPr>
  </w:style>
  <w:style w:type="paragraph" w:customStyle="1" w:styleId="Textoindependiente32">
    <w:name w:val="Texto independiente 32"/>
    <w:basedOn w:val="Normal"/>
    <w:rsid w:val="00D974E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D974ED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74ED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974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B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2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2">
    <w:name w:val="List 2"/>
    <w:basedOn w:val="Normal"/>
    <w:uiPriority w:val="99"/>
    <w:unhideWhenUsed/>
    <w:rsid w:val="00222A68"/>
    <w:pPr>
      <w:ind w:left="566" w:hanging="283"/>
      <w:contextualSpacing/>
    </w:pPr>
  </w:style>
  <w:style w:type="paragraph" w:customStyle="1" w:styleId="Instruccionesenvocorreo">
    <w:name w:val="Instrucciones envío correo"/>
    <w:basedOn w:val="Normal"/>
    <w:rsid w:val="00222A6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22A68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2A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22A6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juliaabogada2013</dc:creator>
  <cp:lastModifiedBy>Carlos Alberto Simoes Piedrahita</cp:lastModifiedBy>
  <cp:revision>4</cp:revision>
  <cp:lastPrinted>2017-11-16T16:13:00Z</cp:lastPrinted>
  <dcterms:created xsi:type="dcterms:W3CDTF">2017-11-16T15:15:00Z</dcterms:created>
  <dcterms:modified xsi:type="dcterms:W3CDTF">2017-11-16T16:14:00Z</dcterms:modified>
</cp:coreProperties>
</file>