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6233E9">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9D3F2C">
        <w:rPr>
          <w:rFonts w:ascii="Arial Narrow" w:hAnsi="Arial Narrow"/>
          <w:bCs/>
          <w:i/>
          <w:sz w:val="18"/>
          <w:szCs w:val="18"/>
          <w:lang w:eastAsia="x-none"/>
        </w:rPr>
        <w:t>2</w:t>
      </w:r>
      <w:r w:rsidRPr="00D37B15">
        <w:rPr>
          <w:rFonts w:ascii="Arial Narrow" w:hAnsi="Arial Narrow"/>
          <w:bCs/>
          <w:i/>
          <w:sz w:val="18"/>
          <w:szCs w:val="18"/>
          <w:lang w:eastAsia="x-none"/>
        </w:rPr>
        <w:t>-201</w:t>
      </w:r>
      <w:r w:rsidR="006233E9">
        <w:rPr>
          <w:rFonts w:ascii="Arial Narrow" w:hAnsi="Arial Narrow"/>
          <w:bCs/>
          <w:i/>
          <w:sz w:val="18"/>
          <w:szCs w:val="18"/>
          <w:lang w:eastAsia="x-none"/>
        </w:rPr>
        <w:t>7</w:t>
      </w:r>
      <w:r w:rsidRPr="00D37B15">
        <w:rPr>
          <w:rFonts w:ascii="Arial Narrow" w:hAnsi="Arial Narrow"/>
          <w:bCs/>
          <w:i/>
          <w:sz w:val="18"/>
          <w:szCs w:val="18"/>
          <w:lang w:eastAsia="x-none"/>
        </w:rPr>
        <w:t>-00</w:t>
      </w:r>
      <w:r w:rsidR="009D3F2C">
        <w:rPr>
          <w:rFonts w:ascii="Arial Narrow" w:hAnsi="Arial Narrow"/>
          <w:bCs/>
          <w:i/>
          <w:sz w:val="18"/>
          <w:szCs w:val="18"/>
          <w:lang w:eastAsia="x-none"/>
        </w:rPr>
        <w:t>427</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9D3F2C">
        <w:rPr>
          <w:rFonts w:ascii="Arial Narrow" w:hAnsi="Arial Narrow" w:cs="Tahoma"/>
          <w:i/>
          <w:sz w:val="18"/>
          <w:szCs w:val="18"/>
          <w:lang w:val="es-CO"/>
        </w:rPr>
        <w:t>Marisol Montoya Monroy</w:t>
      </w:r>
    </w:p>
    <w:p w:rsidR="006233DA"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9D3F2C">
        <w:rPr>
          <w:rFonts w:ascii="Arial Narrow" w:hAnsi="Arial Narrow" w:cs="Arial"/>
          <w:i/>
          <w:sz w:val="18"/>
          <w:szCs w:val="18"/>
        </w:rPr>
        <w:t xml:space="preserve">INPEC y otros </w:t>
      </w:r>
    </w:p>
    <w:p w:rsidR="00EF2DB9" w:rsidRPr="00D37B15" w:rsidRDefault="006233DA" w:rsidP="00EF2DB9">
      <w:pPr>
        <w:jc w:val="both"/>
        <w:rPr>
          <w:rFonts w:ascii="Arial Narrow" w:hAnsi="Arial Narrow" w:cs="Tahoma"/>
          <w:i/>
          <w:sz w:val="18"/>
          <w:szCs w:val="18"/>
          <w:lang w:val="es-CO"/>
        </w:rPr>
      </w:pPr>
      <w:r w:rsidRPr="006233DA">
        <w:rPr>
          <w:rFonts w:ascii="Arial Narrow" w:hAnsi="Arial Narrow" w:cs="Arial"/>
          <w:i/>
          <w:sz w:val="18"/>
          <w:szCs w:val="18"/>
        </w:rPr>
        <w:t xml:space="preserve"> </w:t>
      </w:r>
      <w:r w:rsidR="00EF2DB9" w:rsidRPr="00D37B15">
        <w:rPr>
          <w:rFonts w:ascii="Arial Narrow" w:hAnsi="Arial Narrow" w:cs="Tahoma"/>
          <w:i/>
          <w:sz w:val="18"/>
          <w:szCs w:val="18"/>
          <w:lang w:val="es-CO"/>
        </w:rPr>
        <w:t>Juzgado de Origen</w:t>
      </w:r>
      <w:r w:rsidR="00EF2DB9" w:rsidRPr="00D37B15">
        <w:rPr>
          <w:rFonts w:ascii="Arial Narrow" w:hAnsi="Arial Narrow" w:cs="Tahoma"/>
          <w:i/>
          <w:sz w:val="18"/>
          <w:szCs w:val="18"/>
          <w:lang w:val="es-CO"/>
        </w:rPr>
        <w:tab/>
        <w:t xml:space="preserve">               :  </w:t>
      </w:r>
      <w:r w:rsidR="00EF2DB9" w:rsidRPr="00D37B15">
        <w:rPr>
          <w:rFonts w:ascii="Arial Narrow" w:hAnsi="Arial Narrow" w:cs="Tahoma"/>
          <w:i/>
          <w:sz w:val="18"/>
          <w:szCs w:val="18"/>
          <w:lang w:val="es-CO"/>
        </w:rPr>
        <w:tab/>
      </w:r>
      <w:r w:rsidR="009D3F2C">
        <w:rPr>
          <w:rFonts w:ascii="Arial Narrow" w:hAnsi="Arial Narrow" w:cs="Tahoma"/>
          <w:i/>
          <w:sz w:val="18"/>
          <w:szCs w:val="18"/>
          <w:lang w:val="es-CO"/>
        </w:rPr>
        <w:t>Segundo</w:t>
      </w:r>
      <w:r w:rsidR="006233E9">
        <w:rPr>
          <w:rFonts w:ascii="Arial Narrow" w:hAnsi="Arial Narrow" w:cs="Tahoma"/>
          <w:i/>
          <w:sz w:val="18"/>
          <w:szCs w:val="18"/>
          <w:lang w:val="es-CO"/>
        </w:rPr>
        <w:t xml:space="preserve"> </w:t>
      </w:r>
      <w:r w:rsidR="00EF2DB9">
        <w:rPr>
          <w:rFonts w:ascii="Arial Narrow" w:hAnsi="Arial Narrow" w:cs="Tahoma"/>
          <w:i/>
          <w:sz w:val="18"/>
          <w:szCs w:val="18"/>
          <w:lang w:val="es-CO"/>
        </w:rPr>
        <w:t xml:space="preserve">Laboral del Circuito de </w:t>
      </w:r>
      <w:r w:rsidR="006233E9">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FD5FD1" w:rsidRDefault="00EF2DB9" w:rsidP="00F02B78">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FD5FD1">
        <w:rPr>
          <w:rFonts w:ascii="Arial Narrow" w:hAnsi="Arial Narrow" w:cs="Tahoma"/>
          <w:b/>
          <w:bCs/>
          <w:i/>
          <w:sz w:val="18"/>
          <w:szCs w:val="18"/>
          <w:lang w:val="es-CO"/>
        </w:rPr>
        <w:t xml:space="preserve">Tratamiento Integral PPL. Entidad responsable. </w:t>
      </w:r>
      <w:r w:rsidR="00FD5FD1" w:rsidRPr="00FD5FD1">
        <w:rPr>
          <w:rFonts w:ascii="Arial Narrow" w:hAnsi="Arial Narrow" w:cs="Tahoma"/>
          <w:bCs/>
          <w:i/>
          <w:sz w:val="18"/>
          <w:szCs w:val="18"/>
          <w:lang w:val="es-CO"/>
        </w:rPr>
        <w:t>En el caso puntual, se tiene que a la señora Montoya Monroy se le diagnosticaron cálculos en la vesícula, por lo que se le remitió para valoración por cirujano general, para que se determine el paso a seguir. Y es ahì cuando aparece la orden de tratamiento integral, pues el cirujano en su valoración encontrará la necesidad de adelantar un procedimiento quirúrgico o un tratamiento o la realización de otros exámenes, en fin, cualquier servicio mèdico que, sin dilación, debe ser realizado por la entidad a cargo, que en el caso de las personas privadas de la libertad es la Administradora del Fondo de Atención en Salud, tal como se puede colegir en el numeral 2º del parágrafo 2º del artículo 105 de la Ley 65 de 1993, modificado por el artículo 66 de la Ley 1709 de 2014, norma que claramente indica que el Fondo (por medio de la entidad que lo administre) debe “Garantizar la prestación de los servicios médico-asistenciales, que contratará con entidades de acuerdo con instrucciones que imparta el Consejo Directivo del Fondo”. Esta norma, irrefutablemente le asigna la competencia al administrador del aludido de fondo, de garantizar la atención en salud de las personas privadas de la libertad y para este caso, tal obligación recae sobre la Fiduprevisora que suscribió con el USPEC el contrato de Fiducia Mercantil No. 331 del 27 de diciembre de 2016 –fls. 45 y ss.-, el cual tiene como objeto que aquella administre los recursos de salud para la atención de los reclusos y  garantice a atención en salud, de conformidad con el modelo de atención en salud contenido en la Resolución 3595 de 2016.</w:t>
      </w:r>
    </w:p>
    <w:p w:rsidR="009D3F2C" w:rsidRPr="00F63D4A" w:rsidRDefault="009D3F2C" w:rsidP="00F02B78">
      <w:pPr>
        <w:ind w:left="2835" w:hanging="2835"/>
        <w:jc w:val="both"/>
        <w:rPr>
          <w:rFonts w:ascii="Arial Narrow" w:hAnsi="Arial Narrow" w:cs="Tahoma"/>
          <w:bCs/>
          <w:i/>
          <w:sz w:val="18"/>
          <w:szCs w:val="18"/>
          <w:lang w:val="es-CO"/>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9D3F2C">
        <w:rPr>
          <w:rFonts w:ascii="Arial Narrow" w:hAnsi="Arial Narrow" w:cs="Tahoma"/>
          <w:sz w:val="28"/>
          <w:szCs w:val="28"/>
          <w:lang w:val="es-CO"/>
        </w:rPr>
        <w:t>nueve</w:t>
      </w:r>
      <w:r w:rsidR="00E77E97">
        <w:rPr>
          <w:rFonts w:ascii="Arial Narrow" w:hAnsi="Arial Narrow" w:cs="Tahoma"/>
          <w:sz w:val="28"/>
          <w:szCs w:val="28"/>
          <w:lang w:val="es-CO"/>
        </w:rPr>
        <w:t xml:space="preserve"> de </w:t>
      </w:r>
      <w:r w:rsidR="009D3F2C">
        <w:rPr>
          <w:rFonts w:ascii="Arial Narrow" w:hAnsi="Arial Narrow" w:cs="Tahoma"/>
          <w:sz w:val="28"/>
          <w:szCs w:val="28"/>
          <w:lang w:val="es-CO"/>
        </w:rPr>
        <w:t>noviembre</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w:t>
      </w:r>
      <w:r w:rsidR="006233E9">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6233E9">
        <w:rPr>
          <w:rFonts w:ascii="Arial Narrow" w:hAnsi="Arial Narrow" w:cs="Tahoma"/>
          <w:sz w:val="28"/>
          <w:szCs w:val="28"/>
          <w:lang w:val="es-CO"/>
        </w:rPr>
        <w:t>9</w:t>
      </w:r>
      <w:r>
        <w:rPr>
          <w:rFonts w:ascii="Arial Narrow" w:hAnsi="Arial Narrow" w:cs="Tahoma"/>
          <w:sz w:val="28"/>
          <w:szCs w:val="28"/>
          <w:lang w:val="es-CO"/>
        </w:rPr>
        <w:t xml:space="preserve"> de </w:t>
      </w:r>
      <w:r w:rsidR="009D3F2C">
        <w:rPr>
          <w:rFonts w:ascii="Arial Narrow" w:hAnsi="Arial Narrow" w:cs="Tahoma"/>
          <w:sz w:val="28"/>
          <w:szCs w:val="28"/>
          <w:lang w:val="es-CO"/>
        </w:rPr>
        <w:t>noviembre</w:t>
      </w:r>
      <w:r w:rsidR="006233E9">
        <w:rPr>
          <w:rFonts w:ascii="Arial Narrow" w:hAnsi="Arial Narrow" w:cs="Tahoma"/>
          <w:sz w:val="28"/>
          <w:szCs w:val="28"/>
          <w:lang w:val="es-CO"/>
        </w:rPr>
        <w:t xml:space="preserve"> </w:t>
      </w:r>
      <w:r>
        <w:rPr>
          <w:rFonts w:ascii="Arial Narrow" w:hAnsi="Arial Narrow" w:cs="Tahoma"/>
          <w:sz w:val="28"/>
          <w:szCs w:val="28"/>
          <w:lang w:val="es-CO"/>
        </w:rPr>
        <w:t>de 201</w:t>
      </w:r>
      <w:r w:rsidR="006233E9">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Procede la Sala </w:t>
      </w:r>
      <w:r w:rsidR="006233E9">
        <w:rPr>
          <w:rFonts w:ascii="Arial Narrow" w:hAnsi="Arial Narrow" w:cs="Tahoma"/>
          <w:sz w:val="28"/>
          <w:szCs w:val="28"/>
        </w:rPr>
        <w:t xml:space="preserve">Tercera </w:t>
      </w:r>
      <w:r w:rsidRPr="004C7DB7">
        <w:rPr>
          <w:rFonts w:ascii="Arial Narrow" w:hAnsi="Arial Narrow" w:cs="Tahoma"/>
          <w:sz w:val="28"/>
          <w:szCs w:val="28"/>
        </w:rPr>
        <w:t>de Decisión Laboral de este Tribunal a resolver la impugnación del fallo, contra la sentencia dictada por el Juzgado</w:t>
      </w:r>
      <w:r>
        <w:rPr>
          <w:rFonts w:ascii="Arial Narrow" w:hAnsi="Arial Narrow" w:cs="Tahoma"/>
          <w:sz w:val="28"/>
          <w:szCs w:val="28"/>
        </w:rPr>
        <w:t xml:space="preserve"> </w:t>
      </w:r>
      <w:r w:rsidR="009D3F2C">
        <w:rPr>
          <w:rFonts w:ascii="Arial Narrow" w:hAnsi="Arial Narrow" w:cs="Tahoma"/>
          <w:sz w:val="28"/>
          <w:szCs w:val="28"/>
        </w:rPr>
        <w:t>Segundo</w:t>
      </w:r>
      <w:r w:rsidR="006233E9">
        <w:rPr>
          <w:rFonts w:ascii="Arial Narrow" w:hAnsi="Arial Narrow" w:cs="Tahoma"/>
          <w:sz w:val="28"/>
          <w:szCs w:val="28"/>
        </w:rPr>
        <w:t xml:space="preserve"> </w:t>
      </w:r>
      <w:r>
        <w:rPr>
          <w:rFonts w:ascii="Arial Narrow" w:hAnsi="Arial Narrow" w:cs="Tahoma"/>
          <w:sz w:val="28"/>
          <w:szCs w:val="28"/>
        </w:rPr>
        <w:t xml:space="preserve">Laboral del Circuito de </w:t>
      </w:r>
      <w:r w:rsidR="006233E9">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9D3F2C">
        <w:rPr>
          <w:rFonts w:ascii="Arial Narrow" w:hAnsi="Arial Narrow" w:cs="Tahoma"/>
          <w:sz w:val="28"/>
          <w:szCs w:val="28"/>
        </w:rPr>
        <w:t>29</w:t>
      </w:r>
      <w:r>
        <w:rPr>
          <w:rFonts w:ascii="Arial Narrow" w:hAnsi="Arial Narrow" w:cs="Tahoma"/>
          <w:sz w:val="28"/>
          <w:szCs w:val="28"/>
        </w:rPr>
        <w:t xml:space="preserve"> de </w:t>
      </w:r>
      <w:r w:rsidR="009D3F2C">
        <w:rPr>
          <w:rFonts w:ascii="Arial Narrow" w:hAnsi="Arial Narrow" w:cs="Tahoma"/>
          <w:sz w:val="28"/>
          <w:szCs w:val="28"/>
        </w:rPr>
        <w:t>septiembre</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9D3F2C">
        <w:rPr>
          <w:rFonts w:ascii="Arial Narrow" w:hAnsi="Arial Narrow" w:cs="Tahoma"/>
          <w:b/>
          <w:i/>
          <w:sz w:val="28"/>
          <w:szCs w:val="28"/>
        </w:rPr>
        <w:t>Marisol Montoya Monroy</w:t>
      </w:r>
      <w:r w:rsidR="009E2B28">
        <w:rPr>
          <w:rFonts w:ascii="Arial Narrow" w:hAnsi="Arial Narrow" w:cs="Tahoma"/>
          <w:b/>
          <w:i/>
          <w:sz w:val="28"/>
          <w:szCs w:val="28"/>
        </w:rPr>
        <w:t xml:space="preserve"> </w:t>
      </w:r>
      <w:r w:rsidRPr="004C7DB7">
        <w:rPr>
          <w:rFonts w:ascii="Arial Narrow" w:hAnsi="Arial Narrow" w:cs="Tahoma"/>
          <w:sz w:val="28"/>
          <w:szCs w:val="28"/>
        </w:rPr>
        <w:t>en contra de</w:t>
      </w:r>
      <w:r w:rsidR="009D3F2C">
        <w:rPr>
          <w:rFonts w:ascii="Arial Narrow" w:hAnsi="Arial Narrow" w:cs="Tahoma"/>
          <w:sz w:val="28"/>
          <w:szCs w:val="28"/>
        </w:rPr>
        <w:t>l</w:t>
      </w:r>
      <w:r>
        <w:rPr>
          <w:rFonts w:ascii="Arial Narrow" w:hAnsi="Arial Narrow" w:cs="Tahoma"/>
          <w:sz w:val="28"/>
          <w:szCs w:val="28"/>
        </w:rPr>
        <w:t xml:space="preserve"> </w:t>
      </w:r>
      <w:r w:rsidR="009D3F2C" w:rsidRPr="009D3F2C">
        <w:rPr>
          <w:rFonts w:ascii="Arial Narrow" w:hAnsi="Arial Narrow" w:cs="Tahoma"/>
          <w:b/>
          <w:sz w:val="28"/>
          <w:szCs w:val="28"/>
        </w:rPr>
        <w:t>INPEC regional eje cafetero</w:t>
      </w:r>
      <w:r w:rsidR="009D3F2C">
        <w:rPr>
          <w:rFonts w:ascii="Arial Narrow" w:hAnsi="Arial Narrow" w:cs="Tahoma"/>
          <w:b/>
          <w:sz w:val="28"/>
          <w:szCs w:val="28"/>
        </w:rPr>
        <w:t>, USPEC</w:t>
      </w:r>
      <w:r w:rsidR="009314BC">
        <w:rPr>
          <w:rFonts w:ascii="Arial Narrow" w:hAnsi="Arial Narrow" w:cs="Tahoma"/>
          <w:b/>
          <w:sz w:val="28"/>
          <w:szCs w:val="28"/>
        </w:rPr>
        <w:t>, el Consorcio Fondo de Atención en Salud de las Personas Privadas de la Libertad – Fiduprevisora y el EPMSC La Badea</w:t>
      </w:r>
      <w:r>
        <w:rPr>
          <w:rFonts w:ascii="Arial Narrow" w:hAnsi="Arial Narrow" w:cs="Tahoma"/>
          <w:b/>
          <w:i/>
          <w:sz w:val="28"/>
          <w:szCs w:val="28"/>
        </w:rPr>
        <w:t>,</w:t>
      </w:r>
      <w:r w:rsidRPr="004C7DB7">
        <w:rPr>
          <w:rFonts w:ascii="Arial Narrow" w:hAnsi="Arial Narrow" w:cs="Tahoma"/>
          <w:sz w:val="28"/>
          <w:szCs w:val="28"/>
        </w:rPr>
        <w:t xml:space="preserve"> por la violación de su</w:t>
      </w:r>
      <w:r w:rsidR="00D8669A">
        <w:rPr>
          <w:rFonts w:ascii="Arial Narrow" w:hAnsi="Arial Narrow" w:cs="Tahoma"/>
          <w:sz w:val="28"/>
          <w:szCs w:val="28"/>
        </w:rPr>
        <w:t>s</w:t>
      </w:r>
      <w:r w:rsidRPr="004C7DB7">
        <w:rPr>
          <w:rFonts w:ascii="Arial Narrow" w:hAnsi="Arial Narrow" w:cs="Tahoma"/>
          <w:sz w:val="28"/>
          <w:szCs w:val="28"/>
        </w:rPr>
        <w:t xml:space="preserve"> derecho</w:t>
      </w:r>
      <w:r w:rsidR="00D8669A">
        <w:rPr>
          <w:rFonts w:ascii="Arial Narrow" w:hAnsi="Arial Narrow" w:cs="Tahoma"/>
          <w:sz w:val="28"/>
          <w:szCs w:val="28"/>
        </w:rPr>
        <w:t>s</w:t>
      </w:r>
      <w:r w:rsidRPr="004C7DB7">
        <w:rPr>
          <w:rFonts w:ascii="Arial Narrow" w:hAnsi="Arial Narrow" w:cs="Tahoma"/>
          <w:sz w:val="28"/>
          <w:szCs w:val="28"/>
        </w:rPr>
        <w:t xml:space="preserve"> constitucional</w:t>
      </w:r>
      <w:r w:rsidR="00D8669A">
        <w:rPr>
          <w:rFonts w:ascii="Arial Narrow" w:hAnsi="Arial Narrow" w:cs="Tahoma"/>
          <w:sz w:val="28"/>
          <w:szCs w:val="28"/>
        </w:rPr>
        <w:t>es</w:t>
      </w:r>
      <w:r w:rsidRPr="004C7DB7">
        <w:rPr>
          <w:rFonts w:ascii="Arial Narrow" w:hAnsi="Arial Narrow" w:cs="Tahoma"/>
          <w:sz w:val="28"/>
          <w:szCs w:val="28"/>
        </w:rPr>
        <w:t xml:space="preserve"> a la </w:t>
      </w:r>
      <w:r w:rsidR="006F5D16">
        <w:rPr>
          <w:rFonts w:ascii="Arial Narrow" w:hAnsi="Arial Narrow" w:cs="Tahoma"/>
          <w:sz w:val="28"/>
          <w:szCs w:val="28"/>
        </w:rPr>
        <w:t>salud</w:t>
      </w:r>
      <w:r w:rsidR="00D8669A">
        <w:rPr>
          <w:rFonts w:ascii="Arial Narrow" w:hAnsi="Arial Narrow" w:cs="Tahoma"/>
          <w:sz w:val="28"/>
          <w:szCs w:val="28"/>
        </w:rPr>
        <w:t xml:space="preserve"> y a la vida digna</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r w:rsidR="00C2078C">
        <w:rPr>
          <w:rFonts w:ascii="Arial Narrow" w:hAnsi="Arial Narrow" w:cs="Tahoma"/>
          <w:b/>
          <w:bCs/>
          <w:i/>
          <w:iCs/>
          <w:sz w:val="28"/>
          <w:szCs w:val="28"/>
        </w:rPr>
        <w:t xml:space="preserve"> y actuación procesal</w:t>
      </w:r>
      <w:r w:rsidRPr="0056435D">
        <w:rPr>
          <w:rFonts w:ascii="Arial Narrow" w:hAnsi="Arial Narrow" w:cs="Tahoma"/>
          <w:b/>
          <w:bCs/>
          <w:i/>
          <w:iCs/>
          <w:sz w:val="28"/>
          <w:szCs w:val="28"/>
        </w:rPr>
        <w:t>.</w:t>
      </w:r>
    </w:p>
    <w:p w:rsidR="00EF2DB9" w:rsidRPr="0056435D" w:rsidRDefault="00EF2DB9" w:rsidP="0074785B">
      <w:pPr>
        <w:pStyle w:val="Sinespaciado"/>
      </w:pPr>
    </w:p>
    <w:p w:rsidR="00CF03F2" w:rsidRDefault="00CF03F2"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Relata la accionante que se encuentra recluida en la cárcel de La Badea en Dosquebradas, desde el 29 d julio de 2015, que padece de fuertes dolores a causa de cálculos en la vesícula biliar los cuales se le detectaron mediante un tac de abdomen efectuado el 04 de julio de este año, que a la fecha no se le ha autorizado el procedimiento quirúrgico correspondiente.</w:t>
      </w:r>
    </w:p>
    <w:p w:rsidR="00CF03F2" w:rsidRDefault="00CF03F2" w:rsidP="00195F57">
      <w:pPr>
        <w:spacing w:line="360" w:lineRule="auto"/>
        <w:ind w:firstLine="851"/>
        <w:jc w:val="both"/>
        <w:rPr>
          <w:rFonts w:ascii="Arial Narrow" w:hAnsi="Arial Narrow" w:cs="Tahoma"/>
          <w:spacing w:val="-3"/>
          <w:sz w:val="28"/>
          <w:szCs w:val="28"/>
        </w:rPr>
      </w:pPr>
    </w:p>
    <w:p w:rsidR="00305C17" w:rsidRDefault="00CF03F2"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lo anterior, persigue que se le realice el control de valoración mèdica y se le autorice el procedimiento correspondiente.</w:t>
      </w:r>
    </w:p>
    <w:p w:rsidR="00CF03F2" w:rsidRDefault="00CF03F2" w:rsidP="00195F57">
      <w:pPr>
        <w:spacing w:line="360" w:lineRule="auto"/>
        <w:ind w:firstLine="851"/>
        <w:jc w:val="both"/>
        <w:rPr>
          <w:rFonts w:ascii="Arial Narrow" w:hAnsi="Arial Narrow" w:cs="Tahoma"/>
          <w:spacing w:val="-3"/>
          <w:sz w:val="28"/>
          <w:szCs w:val="28"/>
        </w:rPr>
      </w:pPr>
    </w:p>
    <w:p w:rsidR="00CF03F2" w:rsidRDefault="00CF03F2"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Admitida la acción, se dispuso el traslado a las entidades correspondientes, obteniéndose respuesta del Establecimiento Penitenciario de la Badea, que detalla los procedimientos efectuados con la accionante. La USPEC por su parte allegó respuesta, indicando que se le debe desvincular de la presente acción, pues la atención en salud le compete al Consorcio constituido para el efecto. El INPEC también allegó respuesta, indicando que se le debe desvincular de la presente acción, pues el tema de salud está a cargo de la USPEC y el Consorcio para la atención de salud de las personas privadas de la libertad.</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C2078C"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2</w:t>
      </w:r>
      <w:r w:rsidR="00EF2DB9" w:rsidRPr="0056435D">
        <w:rPr>
          <w:rFonts w:ascii="Arial Narrow" w:hAnsi="Arial Narrow" w:cs="Tahoma"/>
          <w:b/>
          <w:i/>
          <w:sz w:val="28"/>
          <w:szCs w:val="28"/>
        </w:rPr>
        <w:t>. Sentencia de primera instancia.</w:t>
      </w:r>
    </w:p>
    <w:p w:rsidR="00EF2DB9" w:rsidRPr="004C7DB7" w:rsidRDefault="00EF2DB9" w:rsidP="0074785B">
      <w:pPr>
        <w:pStyle w:val="Sinespaciado"/>
      </w:pPr>
    </w:p>
    <w:p w:rsidR="00D6059F" w:rsidRDefault="007554B9" w:rsidP="00EF2DB9">
      <w:pPr>
        <w:spacing w:line="360" w:lineRule="auto"/>
        <w:ind w:firstLine="851"/>
        <w:jc w:val="both"/>
        <w:rPr>
          <w:rFonts w:ascii="Arial Narrow" w:hAnsi="Arial Narrow" w:cs="Tahoma"/>
          <w:sz w:val="28"/>
          <w:szCs w:val="28"/>
        </w:rPr>
      </w:pPr>
      <w:r>
        <w:rPr>
          <w:rFonts w:ascii="Arial Narrow" w:hAnsi="Arial Narrow" w:cs="Tahoma"/>
          <w:sz w:val="28"/>
          <w:szCs w:val="28"/>
        </w:rPr>
        <w:t>La</w:t>
      </w:r>
      <w:r w:rsidR="00A0454A">
        <w:rPr>
          <w:rFonts w:ascii="Arial Narrow" w:hAnsi="Arial Narrow" w:cs="Tahoma"/>
          <w:sz w:val="28"/>
          <w:szCs w:val="28"/>
        </w:rPr>
        <w:t xml:space="preserve"> a quo dictó fallo en el que tuteló los</w:t>
      </w:r>
      <w:r w:rsidR="005D3C45">
        <w:rPr>
          <w:rFonts w:ascii="Arial Narrow" w:hAnsi="Arial Narrow" w:cs="Tahoma"/>
          <w:sz w:val="28"/>
          <w:szCs w:val="28"/>
        </w:rPr>
        <w:t xml:space="preserve"> derechos fundamentales a la salud y a la vida digna </w:t>
      </w:r>
      <w:r w:rsidR="00C2078C">
        <w:rPr>
          <w:rFonts w:ascii="Arial Narrow" w:hAnsi="Arial Narrow" w:cs="Tahoma"/>
          <w:sz w:val="28"/>
          <w:szCs w:val="28"/>
        </w:rPr>
        <w:t>de</w:t>
      </w:r>
      <w:r>
        <w:rPr>
          <w:rFonts w:ascii="Arial Narrow" w:hAnsi="Arial Narrow" w:cs="Tahoma"/>
          <w:sz w:val="28"/>
          <w:szCs w:val="28"/>
        </w:rPr>
        <w:t xml:space="preserve"> </w:t>
      </w:r>
      <w:r w:rsidR="00C2078C">
        <w:rPr>
          <w:rFonts w:ascii="Arial Narrow" w:hAnsi="Arial Narrow" w:cs="Tahoma"/>
          <w:sz w:val="28"/>
          <w:szCs w:val="28"/>
        </w:rPr>
        <w:t>l</w:t>
      </w:r>
      <w:r>
        <w:rPr>
          <w:rFonts w:ascii="Arial Narrow" w:hAnsi="Arial Narrow" w:cs="Tahoma"/>
          <w:sz w:val="28"/>
          <w:szCs w:val="28"/>
        </w:rPr>
        <w:t>a</w:t>
      </w:r>
      <w:r w:rsidR="00C2078C">
        <w:rPr>
          <w:rFonts w:ascii="Arial Narrow" w:hAnsi="Arial Narrow" w:cs="Tahoma"/>
          <w:sz w:val="28"/>
          <w:szCs w:val="28"/>
        </w:rPr>
        <w:t xml:space="preserve"> </w:t>
      </w:r>
      <w:r>
        <w:rPr>
          <w:rFonts w:ascii="Arial Narrow" w:hAnsi="Arial Narrow" w:cs="Tahoma"/>
          <w:sz w:val="28"/>
          <w:szCs w:val="28"/>
        </w:rPr>
        <w:t xml:space="preserve">accionante </w:t>
      </w:r>
      <w:r w:rsidR="005D3C45">
        <w:rPr>
          <w:rFonts w:ascii="Arial Narrow" w:hAnsi="Arial Narrow" w:cs="Tahoma"/>
          <w:sz w:val="28"/>
          <w:szCs w:val="28"/>
        </w:rPr>
        <w:t>y ordenó a</w:t>
      </w:r>
      <w:r w:rsidR="00D6059F">
        <w:rPr>
          <w:rFonts w:ascii="Arial Narrow" w:hAnsi="Arial Narrow" w:cs="Tahoma"/>
          <w:sz w:val="28"/>
          <w:szCs w:val="28"/>
        </w:rPr>
        <w:t>l Consorcio que adelante las acciones tendientes a garantizar la valoración por cirugía general requerida por la accionante y el tratamiento integral correspondiente. Igualmente dispuso que todas las entidades accionadas se abstengan de dilatar cualquier procedimiento o servicio requerido por la demandante en tutela.</w:t>
      </w:r>
      <w:r w:rsidR="005D3C45">
        <w:rPr>
          <w:rFonts w:ascii="Arial Narrow" w:hAnsi="Arial Narrow" w:cs="Tahoma"/>
          <w:sz w:val="28"/>
          <w:szCs w:val="28"/>
        </w:rPr>
        <w:t xml:space="preserve"> </w:t>
      </w:r>
    </w:p>
    <w:p w:rsidR="00D6059F" w:rsidRDefault="00D6059F" w:rsidP="00EF2DB9">
      <w:pPr>
        <w:spacing w:line="360" w:lineRule="auto"/>
        <w:ind w:firstLine="851"/>
        <w:jc w:val="both"/>
        <w:rPr>
          <w:rFonts w:ascii="Arial Narrow" w:hAnsi="Arial Narrow" w:cs="Tahoma"/>
          <w:sz w:val="28"/>
          <w:szCs w:val="28"/>
        </w:rPr>
      </w:pPr>
    </w:p>
    <w:p w:rsidR="00D6059F" w:rsidRDefault="00D6059F" w:rsidP="00EF2DB9">
      <w:pPr>
        <w:spacing w:line="360" w:lineRule="auto"/>
        <w:ind w:firstLine="851"/>
        <w:jc w:val="both"/>
        <w:rPr>
          <w:rFonts w:ascii="Arial Narrow" w:hAnsi="Arial Narrow" w:cs="Tahoma"/>
          <w:sz w:val="28"/>
          <w:szCs w:val="28"/>
        </w:rPr>
      </w:pPr>
      <w:r>
        <w:rPr>
          <w:rFonts w:ascii="Arial Narrow" w:hAnsi="Arial Narrow" w:cs="Tahoma"/>
          <w:sz w:val="28"/>
          <w:szCs w:val="28"/>
        </w:rPr>
        <w:t>Lo anterior, arguyendo que es el Consorcio el encargado de garantizar a las personas privadas de la libertad los servicios de salud y en el caso puntual no lo había hecho, siendo por tanto evidente la vulneración de las garantías fundamentales de la accionante.</w:t>
      </w:r>
    </w:p>
    <w:p w:rsidR="00EF2DB9" w:rsidRDefault="00EF2DB9" w:rsidP="00CF150C">
      <w:pPr>
        <w:spacing w:line="360" w:lineRule="auto"/>
        <w:jc w:val="both"/>
        <w:rPr>
          <w:rFonts w:ascii="Arial Narrow" w:hAnsi="Arial Narrow" w:cs="Tahoma"/>
          <w:sz w:val="28"/>
          <w:szCs w:val="28"/>
        </w:rPr>
      </w:pPr>
    </w:p>
    <w:p w:rsidR="00EF2DB9" w:rsidRDefault="0098032B"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00EF2DB9" w:rsidRPr="0056435D">
        <w:rPr>
          <w:rFonts w:ascii="Arial Narrow" w:hAnsi="Arial Narrow" w:cs="Tahoma"/>
          <w:b/>
          <w:i/>
          <w:sz w:val="28"/>
          <w:szCs w:val="28"/>
        </w:rPr>
        <w:t xml:space="preserve">. Impugnación. </w:t>
      </w:r>
    </w:p>
    <w:p w:rsidR="0074785B" w:rsidRDefault="0074785B" w:rsidP="0074785B">
      <w:pPr>
        <w:pStyle w:val="Sinespaciado"/>
      </w:pPr>
    </w:p>
    <w:p w:rsidR="00D6059F" w:rsidRDefault="003A1983"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D6059F">
        <w:rPr>
          <w:rFonts w:ascii="Arial Narrow" w:hAnsi="Arial Narrow" w:cs="Tahoma"/>
          <w:sz w:val="28"/>
          <w:szCs w:val="28"/>
        </w:rPr>
        <w:t>USPEC impugnó la decisión, arguyendo que ella cumplió con sus obligaciones al requerir al Consorcio Fondo de Atención en Salud PPL 2017 que prestara oportunamente los servicios de salud requeridos por la accionante y, además, indica que la entidad no tiene competencia alguna en temas de salud.</w:t>
      </w:r>
    </w:p>
    <w:p w:rsidR="009E3076" w:rsidRDefault="00D6059F" w:rsidP="00EF2DB9">
      <w:pPr>
        <w:spacing w:line="360" w:lineRule="auto"/>
        <w:ind w:firstLine="851"/>
        <w:jc w:val="both"/>
        <w:rPr>
          <w:rFonts w:ascii="Arial Narrow" w:hAnsi="Arial Narrow" w:cs="Tahoma"/>
          <w:sz w:val="28"/>
          <w:szCs w:val="28"/>
        </w:rPr>
      </w:pPr>
      <w:r>
        <w:rPr>
          <w:rFonts w:ascii="Arial Narrow" w:hAnsi="Arial Narrow" w:cs="Tahoma"/>
          <w:sz w:val="28"/>
          <w:szCs w:val="28"/>
        </w:rPr>
        <w:t>La Fiduprevisora, en su calidad de entidad de vocera del Consorcio Fondo de Atención en Salud PPL 2017, también impugno la acción de tutela</w:t>
      </w:r>
      <w:r w:rsidR="009E3076">
        <w:rPr>
          <w:rFonts w:ascii="Arial Narrow" w:hAnsi="Arial Narrow" w:cs="Tahoma"/>
          <w:sz w:val="28"/>
          <w:szCs w:val="28"/>
        </w:rPr>
        <w:t xml:space="preserve">, indicando que frente al tratamiento integral no son competentes para prestarlo, pues el mismo desborda los límites del contrato de fiducia </w:t>
      </w:r>
      <w:r>
        <w:rPr>
          <w:rFonts w:ascii="Arial Narrow" w:hAnsi="Arial Narrow" w:cs="Tahoma"/>
          <w:sz w:val="28"/>
          <w:szCs w:val="28"/>
        </w:rPr>
        <w:t xml:space="preserve"> </w:t>
      </w:r>
      <w:r w:rsidR="009E3076">
        <w:rPr>
          <w:rFonts w:ascii="Arial Narrow" w:hAnsi="Arial Narrow" w:cs="Tahoma"/>
          <w:sz w:val="28"/>
          <w:szCs w:val="28"/>
        </w:rPr>
        <w:t>suscrito por ellos con la USPEC, correspondiendo los mismos al INPEC previa instrucción de la USPEC, de conformidad con la Resolución 3595 de 2016.</w:t>
      </w:r>
    </w:p>
    <w:p w:rsidR="009E3076" w:rsidRDefault="009E3076" w:rsidP="00EF2DB9">
      <w:pPr>
        <w:spacing w:line="360" w:lineRule="auto"/>
        <w:ind w:firstLine="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7554B9" w:rsidRDefault="007554B9" w:rsidP="007554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¿Es factible en sede de tutela ordenar el tratamiento integral?</w:t>
      </w:r>
    </w:p>
    <w:p w:rsidR="00CC3A7F" w:rsidRDefault="00CC3A7F" w:rsidP="009B79E4">
      <w:pPr>
        <w:spacing w:line="360" w:lineRule="auto"/>
        <w:ind w:firstLine="851"/>
        <w:jc w:val="both"/>
        <w:rPr>
          <w:rFonts w:ascii="Arial Narrow" w:hAnsi="Arial Narrow" w:cs="Arial"/>
          <w:i/>
          <w:color w:val="000000"/>
          <w:spacing w:val="-2"/>
          <w:sz w:val="28"/>
          <w:szCs w:val="28"/>
        </w:rPr>
      </w:pPr>
    </w:p>
    <w:p w:rsidR="00CC3A7F" w:rsidRDefault="00CC3A7F" w:rsidP="009B79E4">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9E3076">
        <w:rPr>
          <w:rFonts w:ascii="Arial Narrow" w:hAnsi="Arial Narrow" w:cs="Arial"/>
          <w:i/>
          <w:color w:val="000000"/>
          <w:spacing w:val="-2"/>
          <w:sz w:val="28"/>
          <w:szCs w:val="28"/>
        </w:rPr>
        <w:t>Le corresponde el mismo al Consorcio Fondo de Atención en Salud PPL 2017</w:t>
      </w:r>
      <w:r w:rsidR="00230473">
        <w:rPr>
          <w:rFonts w:ascii="Arial Narrow" w:hAnsi="Arial Narrow" w:cs="Arial"/>
          <w:i/>
          <w:color w:val="000000"/>
          <w:spacing w:val="-2"/>
          <w:sz w:val="28"/>
          <w:szCs w:val="28"/>
        </w:rPr>
        <w:t>?</w:t>
      </w:r>
    </w:p>
    <w:p w:rsidR="00041DD8" w:rsidRDefault="00041DD8" w:rsidP="009B79E4">
      <w:pPr>
        <w:spacing w:line="360" w:lineRule="auto"/>
        <w:ind w:firstLine="851"/>
        <w:jc w:val="both"/>
        <w:rPr>
          <w:rFonts w:ascii="Arial Narrow" w:hAnsi="Arial Narrow" w:cs="Arial"/>
          <w:i/>
          <w:color w:val="000000"/>
          <w:spacing w:val="-2"/>
          <w:sz w:val="28"/>
          <w:szCs w:val="28"/>
        </w:rPr>
      </w:pP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F02B78" w:rsidRDefault="00F02B78"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F02B78">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w:t>
      </w:r>
      <w:r w:rsidR="009E3076">
        <w:rPr>
          <w:rFonts w:ascii="Arial Narrow" w:hAnsi="Arial Narrow" w:cs="Tahoma"/>
          <w:color w:val="000000"/>
          <w:spacing w:val="-2"/>
          <w:sz w:val="28"/>
          <w:szCs w:val="28"/>
        </w:rPr>
        <w:t>,</w:t>
      </w:r>
      <w:r>
        <w:rPr>
          <w:rFonts w:ascii="Arial Narrow" w:hAnsi="Arial Narrow" w:cs="Tahoma"/>
          <w:color w:val="000000"/>
          <w:spacing w:val="-2"/>
          <w:sz w:val="28"/>
          <w:szCs w:val="28"/>
        </w:rPr>
        <w:t xml:space="preserve"> personas vinculadas</w:t>
      </w:r>
      <w:r w:rsidR="009E3076">
        <w:rPr>
          <w:rFonts w:ascii="Arial Narrow" w:hAnsi="Arial Narrow" w:cs="Tahoma"/>
          <w:color w:val="000000"/>
          <w:spacing w:val="-2"/>
          <w:sz w:val="28"/>
          <w:szCs w:val="28"/>
        </w:rPr>
        <w:t xml:space="preserve"> o regímenes especiales como el de las personas privadas de la libertad</w:t>
      </w:r>
      <w:r>
        <w:rPr>
          <w:rFonts w:ascii="Arial Narrow" w:hAnsi="Arial Narrow" w:cs="Tahoma"/>
          <w:color w:val="000000"/>
          <w:spacing w:val="-2"/>
          <w:sz w:val="28"/>
          <w:szCs w:val="28"/>
        </w:rPr>
        <w:t>) hasta la atención integral de los servicios de salud que sean indispensables para recuperarla, mejorarla</w:t>
      </w:r>
      <w:r w:rsidR="00041DD8">
        <w:rPr>
          <w:rFonts w:ascii="Arial Narrow" w:hAnsi="Arial Narrow" w:cs="Tahoma"/>
          <w:color w:val="000000"/>
          <w:spacing w:val="-2"/>
          <w:sz w:val="28"/>
          <w:szCs w:val="28"/>
        </w:rPr>
        <w:t>, paliarla</w:t>
      </w:r>
      <w:r>
        <w:rPr>
          <w:rFonts w:ascii="Arial Narrow" w:hAnsi="Arial Narrow" w:cs="Tahoma"/>
          <w:color w:val="000000"/>
          <w:spacing w:val="-2"/>
          <w:sz w:val="28"/>
          <w:szCs w:val="28"/>
        </w:rPr>
        <w:t xml:space="preserve"> u optimizarla.</w:t>
      </w:r>
      <w:r w:rsidR="006B2B60">
        <w:rPr>
          <w:rFonts w:ascii="Arial Narrow" w:hAnsi="Arial Narrow" w:cs="Tahoma"/>
          <w:color w:val="000000"/>
          <w:spacing w:val="-2"/>
          <w:sz w:val="28"/>
          <w:szCs w:val="28"/>
        </w:rPr>
        <w:t xml:space="preserve">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B05EE0" w:rsidRDefault="00B05EE0" w:rsidP="00B05EE0">
      <w:pPr>
        <w:spacing w:line="360" w:lineRule="auto"/>
        <w:ind w:firstLine="993"/>
        <w:jc w:val="both"/>
        <w:rPr>
          <w:rFonts w:ascii="Arial Narrow" w:hAnsi="Arial Narrow" w:cs="Arial"/>
          <w:iCs/>
          <w:sz w:val="28"/>
          <w:szCs w:val="28"/>
        </w:rPr>
      </w:pPr>
      <w:r>
        <w:rPr>
          <w:rFonts w:ascii="Arial Narrow" w:hAnsi="Arial Narrow" w:cs="Tahoma"/>
          <w:color w:val="000000"/>
          <w:spacing w:val="-2"/>
          <w:sz w:val="28"/>
          <w:szCs w:val="28"/>
          <w:lang w:val="es-CO"/>
        </w:rPr>
        <w:t xml:space="preserve">Frente al tema del tratamiento integral, ha de decirse que es –precisamente- la integralidad, uno de los principios fundamentales </w:t>
      </w:r>
      <w:r w:rsidR="00353F99">
        <w:rPr>
          <w:rFonts w:ascii="Arial Narrow" w:hAnsi="Arial Narrow" w:cs="Tahoma"/>
          <w:color w:val="000000"/>
          <w:spacing w:val="-2"/>
          <w:sz w:val="28"/>
          <w:szCs w:val="28"/>
          <w:lang w:val="es-CO"/>
        </w:rPr>
        <w:t xml:space="preserve">del derecho a la salud, en virtud del cual </w:t>
      </w:r>
      <w:r>
        <w:rPr>
          <w:rFonts w:ascii="Arial Narrow" w:hAnsi="Arial Narrow" w:cs="Arial"/>
          <w:iCs/>
          <w:sz w:val="28"/>
          <w:szCs w:val="28"/>
        </w:rPr>
        <w:t xml:space="preserve">entes prestadores del servicio de salud </w:t>
      </w:r>
      <w:r w:rsidR="00353F99">
        <w:rPr>
          <w:rFonts w:ascii="Arial Narrow" w:hAnsi="Arial Narrow" w:cs="Arial"/>
          <w:iCs/>
          <w:sz w:val="28"/>
          <w:szCs w:val="28"/>
        </w:rPr>
        <w:t xml:space="preserve">están en la obligación de brindarle al usuario </w:t>
      </w:r>
      <w:r>
        <w:rPr>
          <w:rFonts w:ascii="Arial Narrow" w:hAnsi="Arial Narrow" w:cs="Arial"/>
          <w:iCs/>
          <w:sz w:val="28"/>
          <w:szCs w:val="28"/>
        </w:rPr>
        <w:t xml:space="preserve">una atención </w:t>
      </w:r>
      <w:r w:rsidR="00353F99">
        <w:rPr>
          <w:rFonts w:ascii="Arial Narrow" w:hAnsi="Arial Narrow" w:cs="Arial"/>
          <w:iCs/>
          <w:sz w:val="28"/>
          <w:szCs w:val="28"/>
        </w:rPr>
        <w:t>completa</w:t>
      </w:r>
      <w:r>
        <w:rPr>
          <w:rFonts w:ascii="Arial Narrow" w:hAnsi="Arial Narrow" w:cs="Arial"/>
          <w:iCs/>
          <w:sz w:val="28"/>
          <w:szCs w:val="28"/>
        </w:rPr>
        <w:t>, que lo proteja frente a todas las patologías que lo aquejen y que le garanticen la mejor calidad en la salud.  Sobre el tema ha dicho la jurisprudencia del órgano encargado de la guardia del texto superior:</w:t>
      </w:r>
    </w:p>
    <w:p w:rsidR="00B05EE0" w:rsidRDefault="00B05EE0" w:rsidP="00B05EE0">
      <w:pPr>
        <w:spacing w:line="360" w:lineRule="auto"/>
        <w:ind w:firstLine="993"/>
        <w:jc w:val="both"/>
        <w:rPr>
          <w:rFonts w:ascii="Arial Narrow" w:hAnsi="Arial Narrow" w:cs="Arial"/>
          <w:i/>
          <w:iCs/>
          <w:sz w:val="28"/>
          <w:szCs w:val="28"/>
        </w:rPr>
      </w:pPr>
    </w:p>
    <w:p w:rsidR="00B05EE0" w:rsidRDefault="00B05EE0" w:rsidP="00B05EE0">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Pr>
          <w:rFonts w:ascii="Arial Narrow" w:hAnsi="Arial Narrow" w:cs="Arial"/>
          <w:i/>
          <w:iCs/>
          <w:sz w:val="28"/>
          <w:szCs w:val="28"/>
        </w:rPr>
        <w:tab/>
        <w:t xml:space="preserve">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(sentencia T-136 de 2004)      </w:t>
      </w:r>
    </w:p>
    <w:p w:rsidR="00B05EE0" w:rsidRDefault="00B05EE0"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41569F" w:rsidRDefault="00353F99" w:rsidP="00F02B78">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En virtud de esa integralidad, las entidades prestadoras de servicios de salud, deben brindarle a sus afiliados los servicios médicos </w:t>
      </w:r>
      <w:r w:rsidR="009E3076">
        <w:rPr>
          <w:rFonts w:ascii="Arial Narrow" w:hAnsi="Arial Narrow" w:cs="Tahoma"/>
          <w:color w:val="000000"/>
          <w:spacing w:val="-2"/>
          <w:sz w:val="28"/>
          <w:szCs w:val="28"/>
          <w:lang w:val="es-CO"/>
        </w:rPr>
        <w:t xml:space="preserve">que se </w:t>
      </w:r>
      <w:r w:rsidR="00FD5FD1">
        <w:rPr>
          <w:rFonts w:ascii="Arial Narrow" w:hAnsi="Arial Narrow" w:cs="Tahoma"/>
          <w:color w:val="000000"/>
          <w:spacing w:val="-2"/>
          <w:sz w:val="28"/>
          <w:szCs w:val="28"/>
          <w:lang w:val="es-CO"/>
        </w:rPr>
        <w:t>encuentren</w:t>
      </w:r>
      <w:r w:rsidR="009E3076">
        <w:rPr>
          <w:rFonts w:ascii="Arial Narrow" w:hAnsi="Arial Narrow" w:cs="Tahoma"/>
          <w:color w:val="000000"/>
          <w:spacing w:val="-2"/>
          <w:sz w:val="28"/>
          <w:szCs w:val="28"/>
          <w:lang w:val="es-CO"/>
        </w:rPr>
        <w:t xml:space="preserve"> </w:t>
      </w:r>
      <w:r w:rsidR="00FD5FD1">
        <w:rPr>
          <w:rFonts w:ascii="Arial Narrow" w:hAnsi="Arial Narrow" w:cs="Tahoma"/>
          <w:color w:val="000000"/>
          <w:spacing w:val="-2"/>
          <w:sz w:val="28"/>
          <w:szCs w:val="28"/>
          <w:lang w:val="es-CO"/>
        </w:rPr>
        <w:t>e</w:t>
      </w:r>
      <w:r w:rsidR="009E3076">
        <w:rPr>
          <w:rFonts w:ascii="Arial Narrow" w:hAnsi="Arial Narrow" w:cs="Tahoma"/>
          <w:color w:val="000000"/>
          <w:spacing w:val="-2"/>
          <w:sz w:val="28"/>
          <w:szCs w:val="28"/>
          <w:lang w:val="es-CO"/>
        </w:rPr>
        <w:t xml:space="preserve">n los planes básicos de atención y aquellos que no </w:t>
      </w:r>
      <w:r w:rsidR="00FD5FD1">
        <w:rPr>
          <w:rFonts w:ascii="Arial Narrow" w:hAnsi="Arial Narrow" w:cs="Tahoma"/>
          <w:color w:val="000000"/>
          <w:spacing w:val="-2"/>
          <w:sz w:val="28"/>
          <w:szCs w:val="28"/>
          <w:lang w:val="es-CO"/>
        </w:rPr>
        <w:t>estén</w:t>
      </w:r>
      <w:r w:rsidR="009E3076">
        <w:rPr>
          <w:rFonts w:ascii="Arial Narrow" w:hAnsi="Arial Narrow" w:cs="Tahoma"/>
          <w:color w:val="000000"/>
          <w:spacing w:val="-2"/>
          <w:sz w:val="28"/>
          <w:szCs w:val="28"/>
          <w:lang w:val="es-CO"/>
        </w:rPr>
        <w:t xml:space="preserve"> </w:t>
      </w:r>
      <w:r w:rsidR="00FD5FD1">
        <w:rPr>
          <w:rFonts w:ascii="Arial Narrow" w:hAnsi="Arial Narrow" w:cs="Tahoma"/>
          <w:color w:val="000000"/>
          <w:spacing w:val="-2"/>
          <w:sz w:val="28"/>
          <w:szCs w:val="28"/>
          <w:lang w:val="es-CO"/>
        </w:rPr>
        <w:t>allí</w:t>
      </w:r>
      <w:r w:rsidR="009E3076">
        <w:rPr>
          <w:rFonts w:ascii="Arial Narrow" w:hAnsi="Arial Narrow" w:cs="Tahoma"/>
          <w:color w:val="000000"/>
          <w:spacing w:val="-2"/>
          <w:sz w:val="28"/>
          <w:szCs w:val="28"/>
          <w:lang w:val="es-CO"/>
        </w:rPr>
        <w:t xml:space="preserve"> contemplados pero que los profesionales médicos indiquen como necesarios </w:t>
      </w:r>
      <w:r>
        <w:rPr>
          <w:rFonts w:ascii="Arial Narrow" w:hAnsi="Arial Narrow" w:cs="Tahoma"/>
          <w:color w:val="000000"/>
          <w:spacing w:val="-2"/>
          <w:sz w:val="28"/>
          <w:szCs w:val="28"/>
          <w:lang w:val="es-CO"/>
        </w:rPr>
        <w:t>para la adecuada recuperación, mantenimiento o mejoramiento de</w:t>
      </w:r>
      <w:r w:rsidR="009E3076">
        <w:rPr>
          <w:rFonts w:ascii="Arial Narrow" w:hAnsi="Arial Narrow" w:cs="Tahoma"/>
          <w:color w:val="000000"/>
          <w:spacing w:val="-2"/>
          <w:sz w:val="28"/>
          <w:szCs w:val="28"/>
          <w:lang w:val="es-CO"/>
        </w:rPr>
        <w:t>l</w:t>
      </w:r>
      <w:r>
        <w:rPr>
          <w:rFonts w:ascii="Arial Narrow" w:hAnsi="Arial Narrow" w:cs="Tahoma"/>
          <w:color w:val="000000"/>
          <w:spacing w:val="-2"/>
          <w:sz w:val="28"/>
          <w:szCs w:val="28"/>
          <w:lang w:val="es-CO"/>
        </w:rPr>
        <w:t xml:space="preserve"> estado de salud, sin que una orden judicial en tal sentido, pueda tomarse como una basada en hechos futuros e inciertos, sino que, cuando existe un diagnóstico</w:t>
      </w:r>
      <w:r w:rsidR="0041569F">
        <w:rPr>
          <w:rFonts w:ascii="Arial Narrow" w:hAnsi="Arial Narrow" w:cs="Tahoma"/>
          <w:color w:val="000000"/>
          <w:spacing w:val="-2"/>
          <w:sz w:val="28"/>
          <w:szCs w:val="28"/>
          <w:lang w:val="es-CO"/>
        </w:rPr>
        <w:t>, se le garantice el seguimiento cuidados de los parámetros establecidos por el galeno tratante.</w:t>
      </w:r>
    </w:p>
    <w:p w:rsidR="0065707D" w:rsidRDefault="009E3076"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En el caso puntual, se tiene que a la señora Montoya Monroy se le diagnosticaron cálculos en la vesícula, por lo que se le remitió para valoración por cirujano general, para que se determine el paso a seguir. Y es ahì cuando aparece la orden de tratamiento integral, pues el cirujano en su valoración encontrará la necesidad de adelantar un procedimiento quirúrgico o un tratamiento o la realización de otros exámenes, en fin, cualquier servicio mèdico que, sin dilación, debe ser realizado por la entidad a cargo, que en el caso de las personas privadas de la libertad es la Administradora del Fondo de Atenci</w:t>
      </w:r>
      <w:r w:rsidR="0065707D">
        <w:rPr>
          <w:rFonts w:ascii="Arial Narrow" w:hAnsi="Arial Narrow" w:cs="Tahoma"/>
          <w:color w:val="000000"/>
          <w:spacing w:val="-2"/>
          <w:sz w:val="28"/>
          <w:szCs w:val="28"/>
          <w:lang w:val="es-CO"/>
        </w:rPr>
        <w:t xml:space="preserve">ón en Salud, tal como se puede colegir en el numeral 2º del parágrafo 2º del artículo 105 de la Ley 65 de 1993, modificado por el artículo 66 de la Ley 1709 de 2014, norma que claramente indica que el Fondo (por medio de la entidad que lo administre) debe </w:t>
      </w:r>
      <w:r w:rsidR="0065707D" w:rsidRPr="0065707D">
        <w:rPr>
          <w:rFonts w:ascii="Arial Narrow" w:hAnsi="Arial Narrow" w:cs="Tahoma"/>
          <w:i/>
          <w:color w:val="000000"/>
          <w:spacing w:val="-2"/>
          <w:sz w:val="28"/>
          <w:szCs w:val="28"/>
          <w:lang w:val="es-CO"/>
        </w:rPr>
        <w:t>“</w:t>
      </w:r>
      <w:r w:rsidR="0065707D" w:rsidRPr="0065707D">
        <w:rPr>
          <w:rFonts w:ascii="Arial Narrow" w:hAnsi="Arial Narrow" w:cs="Tahoma"/>
          <w:i/>
          <w:color w:val="000000"/>
          <w:spacing w:val="-2"/>
          <w:sz w:val="28"/>
          <w:szCs w:val="28"/>
          <w:lang w:val="es-CO"/>
        </w:rPr>
        <w:t>Garantizar la prestación de los servicios médico-asistenciales, que contratará con</w:t>
      </w:r>
      <w:r w:rsidR="0065707D" w:rsidRPr="0065707D">
        <w:rPr>
          <w:rFonts w:ascii="Arial Narrow" w:hAnsi="Arial Narrow" w:cs="Tahoma"/>
          <w:i/>
          <w:color w:val="000000"/>
          <w:spacing w:val="-2"/>
          <w:sz w:val="28"/>
          <w:szCs w:val="28"/>
          <w:lang w:val="es-CO"/>
        </w:rPr>
        <w:t xml:space="preserve"> </w:t>
      </w:r>
      <w:r w:rsidR="0065707D" w:rsidRPr="0065707D">
        <w:rPr>
          <w:rFonts w:ascii="Arial Narrow" w:hAnsi="Arial Narrow" w:cs="Tahoma"/>
          <w:i/>
          <w:color w:val="000000"/>
          <w:spacing w:val="-2"/>
          <w:sz w:val="28"/>
          <w:szCs w:val="28"/>
          <w:lang w:val="es-CO"/>
        </w:rPr>
        <w:t>entidades de acuerdo con instrucciones que imparta el Consejo Directivo del</w:t>
      </w:r>
      <w:r w:rsidR="0065707D" w:rsidRPr="0065707D">
        <w:rPr>
          <w:rFonts w:ascii="Arial Narrow" w:hAnsi="Arial Narrow" w:cs="Tahoma"/>
          <w:i/>
          <w:color w:val="000000"/>
          <w:spacing w:val="-2"/>
          <w:sz w:val="28"/>
          <w:szCs w:val="28"/>
          <w:lang w:val="es-CO"/>
        </w:rPr>
        <w:t xml:space="preserve"> </w:t>
      </w:r>
      <w:r w:rsidR="0065707D" w:rsidRPr="0065707D">
        <w:rPr>
          <w:rFonts w:ascii="Arial Narrow" w:hAnsi="Arial Narrow" w:cs="Tahoma"/>
          <w:i/>
          <w:color w:val="000000"/>
          <w:spacing w:val="-2"/>
          <w:sz w:val="28"/>
          <w:szCs w:val="28"/>
          <w:lang w:val="es-CO"/>
        </w:rPr>
        <w:t>Fondo</w:t>
      </w:r>
      <w:r w:rsidR="0065707D" w:rsidRPr="0065707D">
        <w:rPr>
          <w:rFonts w:ascii="Arial Narrow" w:hAnsi="Arial Narrow" w:cs="Tahoma"/>
          <w:i/>
          <w:color w:val="000000"/>
          <w:spacing w:val="-2"/>
          <w:sz w:val="28"/>
          <w:szCs w:val="28"/>
          <w:lang w:val="es-CO"/>
        </w:rPr>
        <w:t>”</w:t>
      </w:r>
      <w:r w:rsidR="0065707D" w:rsidRPr="0065707D">
        <w:rPr>
          <w:rFonts w:ascii="Arial Narrow" w:hAnsi="Arial Narrow" w:cs="Tahoma"/>
          <w:color w:val="000000"/>
          <w:spacing w:val="-2"/>
          <w:sz w:val="28"/>
          <w:szCs w:val="28"/>
          <w:lang w:val="es-CO"/>
        </w:rPr>
        <w:t>.</w:t>
      </w:r>
      <w:r w:rsidR="0065707D">
        <w:rPr>
          <w:rFonts w:ascii="Arial Narrow" w:hAnsi="Arial Narrow" w:cs="Tahoma"/>
          <w:color w:val="000000"/>
          <w:spacing w:val="-2"/>
          <w:sz w:val="28"/>
          <w:szCs w:val="28"/>
          <w:lang w:val="es-CO"/>
        </w:rPr>
        <w:t xml:space="preserve"> Esta norma, irrefutablemente le asigna la competencia al administrador del aludido de fondo, de garantizar la atención en salud de las personas privadas de la libertad y para este caso, tal obligación recae sobre la Fiduprevisora que suscribió con el USPEC el contrato de Fiducia Mercantil No. 331 del 27 de diciembre de 2016 –fls. 45 y ss.-, el cual tiene como objeto que aquella administre los recursos de salud para la atención de los reclusos y  garantice a atención en salud, de conformidad con el modelo de atención en salud contenido en la Resolución 3595 de 2016.</w:t>
      </w:r>
    </w:p>
    <w:p w:rsidR="0065707D" w:rsidRDefault="0065707D"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65707D" w:rsidRDefault="0065707D"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Por lo tanto, es evidente que la entidad fiduciaria es la llamada a garantizar a la dem</w:t>
      </w:r>
      <w:r w:rsidR="00FD5FD1">
        <w:rPr>
          <w:rFonts w:ascii="Arial Narrow" w:hAnsi="Arial Narrow" w:cs="Tahoma"/>
          <w:color w:val="000000"/>
          <w:spacing w:val="-2"/>
          <w:sz w:val="28"/>
          <w:szCs w:val="28"/>
          <w:lang w:val="es-CO"/>
        </w:rPr>
        <w:t xml:space="preserve">andante el tratamiento integral, </w:t>
      </w:r>
      <w:r>
        <w:rPr>
          <w:rFonts w:ascii="Arial Narrow" w:hAnsi="Arial Narrow" w:cs="Tahoma"/>
          <w:color w:val="000000"/>
          <w:spacing w:val="-2"/>
          <w:sz w:val="28"/>
          <w:szCs w:val="28"/>
          <w:lang w:val="es-CO"/>
        </w:rPr>
        <w:t>tal como lo determinó la a-quo, por lo que se mantendrá la decisión de primer grado en este aspecto.</w:t>
      </w:r>
    </w:p>
    <w:p w:rsidR="0065707D" w:rsidRDefault="0065707D"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FD5FD1" w:rsidRDefault="0065707D"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En cuanto a la desvinculación que pretende la USPEC, ha de decirse que si bien su labor no radica en la prestación de servicios de salud de los internos, el Director General de la Unidad sì forma parte integrante del Consejo Directivo del Fondo Nacional de Atención en Salud de las Personas Privadas de la Libertad –Parágrafo 3º artículo 105 de la Ley 65 de 1993 </w:t>
      </w:r>
      <w:r>
        <w:rPr>
          <w:rFonts w:ascii="Arial Narrow" w:hAnsi="Arial Narrow" w:cs="Tahoma"/>
          <w:color w:val="000000"/>
          <w:spacing w:val="-2"/>
          <w:sz w:val="28"/>
          <w:szCs w:val="28"/>
          <w:lang w:val="es-CO"/>
        </w:rPr>
        <w:t>modificado por el artículo 66 de la Ley 1709 de 2014</w:t>
      </w:r>
      <w:r w:rsidR="00FD5FD1">
        <w:rPr>
          <w:rFonts w:ascii="Arial Narrow" w:hAnsi="Arial Narrow" w:cs="Tahoma"/>
          <w:color w:val="000000"/>
          <w:spacing w:val="-2"/>
          <w:sz w:val="28"/>
          <w:szCs w:val="28"/>
          <w:lang w:val="es-CO"/>
        </w:rPr>
        <w:t xml:space="preserve">- y entre las funciones de dicho Consejo está la de </w:t>
      </w:r>
      <w:r w:rsidR="00FD5FD1" w:rsidRPr="00FD5FD1">
        <w:rPr>
          <w:rFonts w:ascii="Arial Narrow" w:hAnsi="Arial Narrow" w:cs="Tahoma"/>
          <w:i/>
          <w:color w:val="000000"/>
          <w:spacing w:val="-2"/>
          <w:sz w:val="28"/>
          <w:szCs w:val="28"/>
          <w:lang w:val="es-CO"/>
        </w:rPr>
        <w:t>“Velar por el cumplimiento y correcto desarrollo de los objetivos del Fondo”</w:t>
      </w:r>
      <w:r w:rsidR="00FD5FD1">
        <w:rPr>
          <w:rFonts w:ascii="Arial Narrow" w:hAnsi="Arial Narrow" w:cs="Tahoma"/>
          <w:color w:val="000000"/>
          <w:spacing w:val="-2"/>
          <w:sz w:val="28"/>
          <w:szCs w:val="28"/>
          <w:lang w:val="es-CO"/>
        </w:rPr>
        <w:t xml:space="preserve"> –Parágrafo 4º ibídem-, lo que claramente implica la adopción de las medidas necesarias, como requerimientos y seguimiento al caso de la accionante, para verificar que la Fidurprevisora cumpla fielmente sus deberes en la atención de salud. Por lo tanto, la orden de la a-quo en cuanto a prevenir, no solamente a la USPEC, sino también a las otras entidades accionadas, resulta más que justificada, como complemento inescindible de la atención integral en salud de la señora Montoya Monroy.</w:t>
      </w:r>
    </w:p>
    <w:p w:rsidR="00FD5FD1" w:rsidRDefault="00FD5FD1"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p>
    <w:p w:rsidR="00FD5FD1" w:rsidRDefault="00FD5FD1" w:rsidP="0065707D">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En síntesis de lo dicho, se confirmará la sentencia de tutela impugnada.</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FD5FD1">
        <w:rPr>
          <w:rFonts w:ascii="Arial Narrow" w:hAnsi="Arial Narrow" w:cs="Arial"/>
          <w:color w:val="000000"/>
          <w:spacing w:val="-2"/>
          <w:sz w:val="28"/>
          <w:szCs w:val="28"/>
        </w:rPr>
        <w:t>29</w:t>
      </w:r>
      <w:r w:rsidR="001B7B2B">
        <w:rPr>
          <w:rFonts w:ascii="Arial Narrow" w:hAnsi="Arial Narrow" w:cs="Arial"/>
          <w:color w:val="000000"/>
          <w:spacing w:val="-2"/>
          <w:sz w:val="28"/>
          <w:szCs w:val="28"/>
        </w:rPr>
        <w:t xml:space="preserve"> de </w:t>
      </w:r>
      <w:r w:rsidR="00FD5FD1">
        <w:rPr>
          <w:rFonts w:ascii="Arial Narrow" w:hAnsi="Arial Narrow" w:cs="Arial"/>
          <w:color w:val="000000"/>
          <w:spacing w:val="-2"/>
          <w:sz w:val="28"/>
          <w:szCs w:val="28"/>
        </w:rPr>
        <w:t>septiembre</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177ED8">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FD5FD1">
        <w:rPr>
          <w:rFonts w:ascii="Arial Narrow" w:hAnsi="Arial Narrow" w:cs="Arial"/>
          <w:color w:val="000000"/>
          <w:spacing w:val="-2"/>
          <w:sz w:val="28"/>
          <w:szCs w:val="28"/>
        </w:rPr>
        <w:t>Segundo</w:t>
      </w:r>
      <w:r w:rsidR="00F63D4A">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F63D4A">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FD5FD1" w:rsidRDefault="00FD5FD1" w:rsidP="00AF32DA">
      <w:pPr>
        <w:pStyle w:val="Prrafodelista"/>
        <w:ind w:left="709"/>
        <w:rPr>
          <w:rFonts w:ascii="Arial Narrow" w:hAnsi="Arial Narrow" w:cs="Arial"/>
          <w:bCs/>
          <w:iCs/>
          <w:sz w:val="28"/>
          <w:szCs w:val="28"/>
        </w:rPr>
      </w:pPr>
    </w:p>
    <w:p w:rsidR="00FD5FD1" w:rsidRPr="00CF150C" w:rsidRDefault="00FD5FD1" w:rsidP="00AF32DA">
      <w:pPr>
        <w:pStyle w:val="Prrafodelista"/>
        <w:ind w:left="709"/>
        <w:rPr>
          <w:rFonts w:ascii="Arial Narrow" w:hAnsi="Arial Narrow" w:cs="Arial"/>
          <w:bCs/>
          <w:iCs/>
          <w:sz w:val="28"/>
          <w:szCs w:val="28"/>
        </w:rPr>
      </w:pPr>
      <w:bookmarkStart w:id="0" w:name="_GoBack"/>
      <w:bookmarkEnd w:id="0"/>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6233DA" w:rsidRDefault="00EF2DB9" w:rsidP="0098032B">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6233DA"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40" w:rsidRDefault="000B0B40" w:rsidP="00EF2DB9">
      <w:r>
        <w:separator/>
      </w:r>
    </w:p>
  </w:endnote>
  <w:endnote w:type="continuationSeparator" w:id="0">
    <w:p w:rsidR="000B0B40" w:rsidRDefault="000B0B40"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6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8BA" w:rsidRDefault="00E438BA" w:rsidP="006233D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FD5FD1">
          <w:rPr>
            <w:noProof/>
          </w:rPr>
          <w:t>5</w:t>
        </w:r>
        <w:r>
          <w:fldChar w:fldCharType="end"/>
        </w:r>
      </w:p>
    </w:sdtContent>
  </w:sdt>
  <w:p w:rsidR="00E438BA" w:rsidRDefault="00E438BA" w:rsidP="006233D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E438BA" w:rsidRDefault="00E438BA">
        <w:pPr>
          <w:pStyle w:val="Piedepgina"/>
          <w:jc w:val="center"/>
        </w:pPr>
        <w:r>
          <w:fldChar w:fldCharType="begin"/>
        </w:r>
        <w:r>
          <w:instrText>PAGE   \* MERGEFORMAT</w:instrText>
        </w:r>
        <w:r>
          <w:fldChar w:fldCharType="separate"/>
        </w:r>
        <w:r w:rsidR="000B0B40">
          <w:rPr>
            <w:noProof/>
          </w:rPr>
          <w:t>1</w:t>
        </w:r>
        <w:r>
          <w:fldChar w:fldCharType="end"/>
        </w:r>
      </w:p>
    </w:sdtContent>
  </w:sdt>
  <w:p w:rsidR="00E438BA" w:rsidRDefault="00E43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40" w:rsidRDefault="000B0B40" w:rsidP="00EF2DB9">
      <w:r>
        <w:separator/>
      </w:r>
    </w:p>
  </w:footnote>
  <w:footnote w:type="continuationSeparator" w:id="0">
    <w:p w:rsidR="000B0B40" w:rsidRDefault="000B0B40"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38BA" w:rsidRDefault="00E438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B9" w:rsidRDefault="007554B9" w:rsidP="007554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5</w:t>
    </w:r>
    <w:r w:rsidRPr="00095F59">
      <w:rPr>
        <w:rFonts w:ascii="Arial Narrow" w:hAnsi="Arial Narrow" w:cs="Arial"/>
        <w:bCs/>
        <w:i/>
        <w:iCs/>
        <w:lang w:eastAsia="es-MX"/>
      </w:rPr>
      <w:t>-201</w:t>
    </w:r>
    <w:r>
      <w:rPr>
        <w:rFonts w:ascii="Arial Narrow" w:hAnsi="Arial Narrow" w:cs="Arial"/>
        <w:bCs/>
        <w:i/>
        <w:iCs/>
        <w:lang w:eastAsia="es-MX"/>
      </w:rPr>
      <w:t>7-00293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7554B9" w:rsidRPr="00EF2DB9" w:rsidRDefault="007554B9" w:rsidP="007554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Gloria Emilia del Carmen Zapata Vásquez </w:t>
    </w:r>
    <w:r>
      <w:rPr>
        <w:rFonts w:ascii="Arial Narrow" w:hAnsi="Arial Narrow"/>
        <w:i/>
      </w:rPr>
      <w:t>vs Coomeva EPS</w:t>
    </w:r>
  </w:p>
  <w:p w:rsidR="00E438BA" w:rsidRPr="00041DD8" w:rsidRDefault="00E438BA" w:rsidP="00041D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6233E9">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9D3F2C">
      <w:rPr>
        <w:rFonts w:ascii="Arial Narrow" w:hAnsi="Arial Narrow" w:cs="Arial"/>
        <w:bCs/>
        <w:i/>
        <w:iCs/>
        <w:lang w:eastAsia="es-MX"/>
      </w:rPr>
      <w:t>2</w:t>
    </w:r>
    <w:r w:rsidRPr="00095F59">
      <w:rPr>
        <w:rFonts w:ascii="Arial Narrow" w:hAnsi="Arial Narrow" w:cs="Arial"/>
        <w:bCs/>
        <w:i/>
        <w:iCs/>
        <w:lang w:eastAsia="es-MX"/>
      </w:rPr>
      <w:t>-201</w:t>
    </w:r>
    <w:r w:rsidR="006233E9">
      <w:rPr>
        <w:rFonts w:ascii="Arial Narrow" w:hAnsi="Arial Narrow" w:cs="Arial"/>
        <w:bCs/>
        <w:i/>
        <w:iCs/>
        <w:lang w:eastAsia="es-MX"/>
      </w:rPr>
      <w:t>7</w:t>
    </w:r>
    <w:r>
      <w:rPr>
        <w:rFonts w:ascii="Arial Narrow" w:hAnsi="Arial Narrow" w:cs="Arial"/>
        <w:bCs/>
        <w:i/>
        <w:iCs/>
        <w:lang w:eastAsia="es-MX"/>
      </w:rPr>
      <w:t>-00</w:t>
    </w:r>
    <w:r w:rsidR="009D3F2C">
      <w:rPr>
        <w:rFonts w:ascii="Arial Narrow" w:hAnsi="Arial Narrow" w:cs="Arial"/>
        <w:bCs/>
        <w:i/>
        <w:iCs/>
        <w:lang w:eastAsia="es-MX"/>
      </w:rPr>
      <w:t>427</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9D3F2C"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Marisol Montoya Monroy</w:t>
    </w:r>
    <w:r w:rsidR="009E2B28">
      <w:rPr>
        <w:rFonts w:ascii="Arial Narrow" w:hAnsi="Arial Narrow" w:cs="Arial"/>
        <w:bCs/>
        <w:i/>
        <w:iCs/>
        <w:lang w:eastAsia="es-MX"/>
      </w:rPr>
      <w:t xml:space="preserve"> </w:t>
    </w:r>
    <w:r w:rsidR="00E438BA">
      <w:rPr>
        <w:rFonts w:ascii="Arial Narrow" w:hAnsi="Arial Narrow"/>
        <w:i/>
      </w:rPr>
      <w:t xml:space="preserve">vs </w:t>
    </w:r>
    <w:r>
      <w:rPr>
        <w:rFonts w:ascii="Arial Narrow" w:hAnsi="Arial Narrow"/>
        <w:i/>
      </w:rPr>
      <w:t>INPEC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41DD8"/>
    <w:rsid w:val="00051539"/>
    <w:rsid w:val="000806AE"/>
    <w:rsid w:val="000852C0"/>
    <w:rsid w:val="00094D1A"/>
    <w:rsid w:val="00095A9D"/>
    <w:rsid w:val="000B0B40"/>
    <w:rsid w:val="000B7000"/>
    <w:rsid w:val="000C217D"/>
    <w:rsid w:val="000E7F42"/>
    <w:rsid w:val="000F6CA5"/>
    <w:rsid w:val="000F766B"/>
    <w:rsid w:val="00114C5D"/>
    <w:rsid w:val="001545AF"/>
    <w:rsid w:val="00161FA5"/>
    <w:rsid w:val="0017189A"/>
    <w:rsid w:val="00172834"/>
    <w:rsid w:val="00177ED8"/>
    <w:rsid w:val="00195F57"/>
    <w:rsid w:val="001A1864"/>
    <w:rsid w:val="001B1244"/>
    <w:rsid w:val="001B73F0"/>
    <w:rsid w:val="001B7B2B"/>
    <w:rsid w:val="001D5943"/>
    <w:rsid w:val="001E035A"/>
    <w:rsid w:val="001F4796"/>
    <w:rsid w:val="00205D4E"/>
    <w:rsid w:val="00210B27"/>
    <w:rsid w:val="00211384"/>
    <w:rsid w:val="00215788"/>
    <w:rsid w:val="00230473"/>
    <w:rsid w:val="00242152"/>
    <w:rsid w:val="0025420E"/>
    <w:rsid w:val="00257042"/>
    <w:rsid w:val="002708F8"/>
    <w:rsid w:val="00274E22"/>
    <w:rsid w:val="002A2BDD"/>
    <w:rsid w:val="002A694B"/>
    <w:rsid w:val="002B58E3"/>
    <w:rsid w:val="002B69F7"/>
    <w:rsid w:val="002C2326"/>
    <w:rsid w:val="00301BC5"/>
    <w:rsid w:val="00305C17"/>
    <w:rsid w:val="003307FB"/>
    <w:rsid w:val="00335EE1"/>
    <w:rsid w:val="0033770A"/>
    <w:rsid w:val="00347DE6"/>
    <w:rsid w:val="00353F99"/>
    <w:rsid w:val="003676D2"/>
    <w:rsid w:val="003818A8"/>
    <w:rsid w:val="003827EE"/>
    <w:rsid w:val="003A0D57"/>
    <w:rsid w:val="003A1983"/>
    <w:rsid w:val="003A1B69"/>
    <w:rsid w:val="003C032B"/>
    <w:rsid w:val="003D63EA"/>
    <w:rsid w:val="003E28A6"/>
    <w:rsid w:val="004151EF"/>
    <w:rsid w:val="0041569F"/>
    <w:rsid w:val="00455B13"/>
    <w:rsid w:val="004772DB"/>
    <w:rsid w:val="00483E33"/>
    <w:rsid w:val="00497D0B"/>
    <w:rsid w:val="004A5475"/>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3C45"/>
    <w:rsid w:val="005D48E3"/>
    <w:rsid w:val="005D6E59"/>
    <w:rsid w:val="005E05E9"/>
    <w:rsid w:val="005F5E82"/>
    <w:rsid w:val="00606A5A"/>
    <w:rsid w:val="006135E9"/>
    <w:rsid w:val="006233DA"/>
    <w:rsid w:val="006233E9"/>
    <w:rsid w:val="0065707D"/>
    <w:rsid w:val="00662BBF"/>
    <w:rsid w:val="00667565"/>
    <w:rsid w:val="0067518A"/>
    <w:rsid w:val="006760D6"/>
    <w:rsid w:val="00697F4A"/>
    <w:rsid w:val="006A5917"/>
    <w:rsid w:val="006B1BF2"/>
    <w:rsid w:val="006B2B60"/>
    <w:rsid w:val="006B3466"/>
    <w:rsid w:val="006C4059"/>
    <w:rsid w:val="006E6C05"/>
    <w:rsid w:val="006F2FF3"/>
    <w:rsid w:val="006F5D16"/>
    <w:rsid w:val="00734D5A"/>
    <w:rsid w:val="0074785B"/>
    <w:rsid w:val="007554B9"/>
    <w:rsid w:val="00763B52"/>
    <w:rsid w:val="00794453"/>
    <w:rsid w:val="007A05D5"/>
    <w:rsid w:val="007A4C65"/>
    <w:rsid w:val="007B5499"/>
    <w:rsid w:val="007C11D0"/>
    <w:rsid w:val="007C4A5E"/>
    <w:rsid w:val="007E245C"/>
    <w:rsid w:val="00801EA7"/>
    <w:rsid w:val="00824805"/>
    <w:rsid w:val="00874ABE"/>
    <w:rsid w:val="008A6FA3"/>
    <w:rsid w:val="008B1984"/>
    <w:rsid w:val="008B3744"/>
    <w:rsid w:val="008C413A"/>
    <w:rsid w:val="008D4212"/>
    <w:rsid w:val="008F003B"/>
    <w:rsid w:val="008F06EB"/>
    <w:rsid w:val="008F15B6"/>
    <w:rsid w:val="008F4702"/>
    <w:rsid w:val="00904726"/>
    <w:rsid w:val="00907A5F"/>
    <w:rsid w:val="00910D9F"/>
    <w:rsid w:val="009121FD"/>
    <w:rsid w:val="009314BC"/>
    <w:rsid w:val="00950D1E"/>
    <w:rsid w:val="009516A0"/>
    <w:rsid w:val="0098032B"/>
    <w:rsid w:val="00991CB9"/>
    <w:rsid w:val="009954D7"/>
    <w:rsid w:val="009B2EA7"/>
    <w:rsid w:val="009B79E4"/>
    <w:rsid w:val="009D3F2C"/>
    <w:rsid w:val="009E2B28"/>
    <w:rsid w:val="009E3076"/>
    <w:rsid w:val="00A0454A"/>
    <w:rsid w:val="00A23CFA"/>
    <w:rsid w:val="00A47CF6"/>
    <w:rsid w:val="00A7096E"/>
    <w:rsid w:val="00A750DC"/>
    <w:rsid w:val="00A83C94"/>
    <w:rsid w:val="00A87CF4"/>
    <w:rsid w:val="00A87EB0"/>
    <w:rsid w:val="00A94EC4"/>
    <w:rsid w:val="00AA18C3"/>
    <w:rsid w:val="00AB3F8F"/>
    <w:rsid w:val="00AD1743"/>
    <w:rsid w:val="00AF32DA"/>
    <w:rsid w:val="00AF6191"/>
    <w:rsid w:val="00AF7E3D"/>
    <w:rsid w:val="00B05EE0"/>
    <w:rsid w:val="00B56E76"/>
    <w:rsid w:val="00B81B19"/>
    <w:rsid w:val="00B81DE5"/>
    <w:rsid w:val="00B868DA"/>
    <w:rsid w:val="00BC1F3C"/>
    <w:rsid w:val="00BD77EE"/>
    <w:rsid w:val="00C12C10"/>
    <w:rsid w:val="00C2078C"/>
    <w:rsid w:val="00C312EE"/>
    <w:rsid w:val="00C32B09"/>
    <w:rsid w:val="00C33999"/>
    <w:rsid w:val="00C54670"/>
    <w:rsid w:val="00CA4D07"/>
    <w:rsid w:val="00CC3A7F"/>
    <w:rsid w:val="00CC7FF3"/>
    <w:rsid w:val="00CD2486"/>
    <w:rsid w:val="00CF03F2"/>
    <w:rsid w:val="00CF150C"/>
    <w:rsid w:val="00CF576A"/>
    <w:rsid w:val="00D6059F"/>
    <w:rsid w:val="00D63559"/>
    <w:rsid w:val="00D72E96"/>
    <w:rsid w:val="00D82318"/>
    <w:rsid w:val="00D8669A"/>
    <w:rsid w:val="00D92E7A"/>
    <w:rsid w:val="00DB6BF3"/>
    <w:rsid w:val="00DC125B"/>
    <w:rsid w:val="00DC29C8"/>
    <w:rsid w:val="00DF2E4F"/>
    <w:rsid w:val="00DF30A5"/>
    <w:rsid w:val="00DF3F42"/>
    <w:rsid w:val="00E17812"/>
    <w:rsid w:val="00E27B52"/>
    <w:rsid w:val="00E34FC3"/>
    <w:rsid w:val="00E366EE"/>
    <w:rsid w:val="00E438BA"/>
    <w:rsid w:val="00E53D85"/>
    <w:rsid w:val="00E73132"/>
    <w:rsid w:val="00E77E97"/>
    <w:rsid w:val="00E8795B"/>
    <w:rsid w:val="00EA2389"/>
    <w:rsid w:val="00EA2928"/>
    <w:rsid w:val="00EC35E6"/>
    <w:rsid w:val="00EC466B"/>
    <w:rsid w:val="00ED1490"/>
    <w:rsid w:val="00EE5E2F"/>
    <w:rsid w:val="00EF2313"/>
    <w:rsid w:val="00EF2DB9"/>
    <w:rsid w:val="00F02B78"/>
    <w:rsid w:val="00F20E7A"/>
    <w:rsid w:val="00F32E82"/>
    <w:rsid w:val="00F37E86"/>
    <w:rsid w:val="00F404A0"/>
    <w:rsid w:val="00F50C95"/>
    <w:rsid w:val="00F51301"/>
    <w:rsid w:val="00F53692"/>
    <w:rsid w:val="00F57704"/>
    <w:rsid w:val="00F63D4A"/>
    <w:rsid w:val="00F65645"/>
    <w:rsid w:val="00F97D3C"/>
    <w:rsid w:val="00FA4CEF"/>
    <w:rsid w:val="00FD5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6264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EBAE-3314-4B8D-AEEB-F4B66E63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1871</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4</cp:revision>
  <cp:lastPrinted>2017-11-09T14:12:00Z</cp:lastPrinted>
  <dcterms:created xsi:type="dcterms:W3CDTF">2017-11-09T13:02:00Z</dcterms:created>
  <dcterms:modified xsi:type="dcterms:W3CDTF">2017-11-09T14:14:00Z</dcterms:modified>
</cp:coreProperties>
</file>