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955" w:rsidRDefault="00182955" w:rsidP="00182955">
      <w:pPr>
        <w:pStyle w:val="Sinespaciado"/>
      </w:pPr>
    </w:p>
    <w:p w:rsidR="00182955" w:rsidRPr="00402979" w:rsidRDefault="00182955" w:rsidP="00182955">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2955" w:rsidRPr="0021325A" w:rsidRDefault="00182955" w:rsidP="00182955">
      <w:pPr>
        <w:jc w:val="both"/>
        <w:rPr>
          <w:rFonts w:ascii="Arial Narrow" w:hAnsi="Arial Narrow" w:cs="Arial"/>
          <w:sz w:val="20"/>
        </w:rPr>
      </w:pPr>
      <w:r w:rsidRPr="0021325A">
        <w:rPr>
          <w:rFonts w:ascii="Arial Narrow" w:hAnsi="Arial Narrow" w:cs="Arial"/>
          <w:b/>
          <w:sz w:val="20"/>
        </w:rPr>
        <w:t>Providencia</w:t>
      </w:r>
      <w:r w:rsidRPr="0021325A">
        <w:rPr>
          <w:rFonts w:ascii="Arial Narrow" w:hAnsi="Arial Narrow" w:cs="Arial"/>
          <w:sz w:val="20"/>
        </w:rPr>
        <w:t>:</w:t>
      </w:r>
      <w:r w:rsidRPr="0021325A">
        <w:rPr>
          <w:rFonts w:ascii="Arial Narrow" w:hAnsi="Arial Narrow" w:cs="Arial"/>
          <w:b/>
          <w:sz w:val="20"/>
        </w:rPr>
        <w:t xml:space="preserve"> </w:t>
      </w:r>
      <w:r w:rsidRPr="0021325A">
        <w:rPr>
          <w:rFonts w:ascii="Arial Narrow" w:hAnsi="Arial Narrow" w:cs="Arial"/>
          <w:sz w:val="20"/>
        </w:rPr>
        <w:tab/>
      </w:r>
      <w:r w:rsidRPr="0021325A">
        <w:rPr>
          <w:rFonts w:ascii="Arial Narrow" w:hAnsi="Arial Narrow" w:cs="Arial"/>
          <w:sz w:val="20"/>
        </w:rPr>
        <w:tab/>
        <w:t>Sentencia de Segunda Instancia, jueves 1</w:t>
      </w:r>
      <w:r>
        <w:rPr>
          <w:rFonts w:ascii="Arial Narrow" w:hAnsi="Arial Narrow" w:cs="Arial"/>
          <w:sz w:val="20"/>
        </w:rPr>
        <w:t xml:space="preserve">6 de noviembre de </w:t>
      </w:r>
      <w:r w:rsidRPr="0021325A">
        <w:rPr>
          <w:rFonts w:ascii="Arial Narrow" w:hAnsi="Arial Narrow" w:cs="Arial"/>
          <w:sz w:val="20"/>
        </w:rPr>
        <w:t>2017</w:t>
      </w:r>
    </w:p>
    <w:p w:rsidR="00182955" w:rsidRPr="0021325A" w:rsidRDefault="00182955" w:rsidP="00182955">
      <w:pPr>
        <w:jc w:val="both"/>
        <w:rPr>
          <w:rFonts w:ascii="Arial Narrow" w:hAnsi="Arial Narrow" w:cs="Arial"/>
          <w:bCs/>
          <w:sz w:val="20"/>
        </w:rPr>
      </w:pPr>
      <w:r w:rsidRPr="0021325A">
        <w:rPr>
          <w:rFonts w:ascii="Arial Narrow" w:hAnsi="Arial Narrow" w:cs="Arial"/>
          <w:b/>
          <w:bCs/>
          <w:sz w:val="20"/>
        </w:rPr>
        <w:t>Radicación No</w:t>
      </w:r>
      <w:r w:rsidRPr="0021325A">
        <w:rPr>
          <w:rFonts w:ascii="Arial Narrow" w:hAnsi="Arial Narrow" w:cs="Arial"/>
          <w:bCs/>
          <w:sz w:val="20"/>
        </w:rPr>
        <w:t>:</w:t>
      </w:r>
      <w:r w:rsidRPr="0021325A">
        <w:rPr>
          <w:rFonts w:ascii="Arial Narrow" w:hAnsi="Arial Narrow" w:cs="Arial"/>
          <w:b/>
          <w:bCs/>
          <w:sz w:val="20"/>
        </w:rPr>
        <w:t xml:space="preserve"> </w:t>
      </w:r>
      <w:r w:rsidRPr="0021325A">
        <w:rPr>
          <w:rFonts w:ascii="Arial Narrow" w:hAnsi="Arial Narrow" w:cs="Arial"/>
          <w:b/>
          <w:bCs/>
          <w:sz w:val="20"/>
        </w:rPr>
        <w:tab/>
        <w:t xml:space="preserve">      </w:t>
      </w:r>
      <w:r w:rsidRPr="0021325A">
        <w:rPr>
          <w:rFonts w:ascii="Arial Narrow" w:hAnsi="Arial Narrow" w:cs="Arial"/>
          <w:b/>
          <w:bCs/>
          <w:sz w:val="20"/>
        </w:rPr>
        <w:tab/>
      </w:r>
      <w:r w:rsidRPr="0021325A">
        <w:rPr>
          <w:rFonts w:ascii="Arial Narrow" w:hAnsi="Arial Narrow" w:cs="Arial"/>
          <w:bCs/>
          <w:sz w:val="20"/>
        </w:rPr>
        <w:t>66001-31-05-002-201</w:t>
      </w:r>
      <w:r>
        <w:rPr>
          <w:rFonts w:ascii="Arial Narrow" w:hAnsi="Arial Narrow" w:cs="Arial"/>
          <w:bCs/>
          <w:sz w:val="20"/>
        </w:rPr>
        <w:t>5-0000</w:t>
      </w:r>
      <w:r w:rsidRPr="0021325A">
        <w:rPr>
          <w:rFonts w:ascii="Arial Narrow" w:hAnsi="Arial Narrow" w:cs="Arial"/>
          <w:bCs/>
          <w:sz w:val="20"/>
        </w:rPr>
        <w:t>3-</w:t>
      </w:r>
      <w:r>
        <w:rPr>
          <w:rFonts w:ascii="Arial Narrow" w:hAnsi="Arial Narrow" w:cs="Arial"/>
          <w:bCs/>
          <w:sz w:val="20"/>
        </w:rPr>
        <w:t>01</w:t>
      </w:r>
      <w:r w:rsidRPr="0021325A">
        <w:rPr>
          <w:rFonts w:ascii="Arial Narrow" w:hAnsi="Arial Narrow" w:cs="Arial"/>
          <w:bCs/>
          <w:sz w:val="20"/>
        </w:rPr>
        <w:t xml:space="preserve"> </w:t>
      </w:r>
    </w:p>
    <w:p w:rsidR="00182955" w:rsidRPr="0021325A" w:rsidRDefault="00182955" w:rsidP="00182955">
      <w:pPr>
        <w:jc w:val="both"/>
        <w:rPr>
          <w:rFonts w:ascii="Arial Narrow" w:hAnsi="Arial Narrow" w:cs="Arial"/>
          <w:iCs/>
          <w:sz w:val="20"/>
        </w:rPr>
      </w:pPr>
      <w:r w:rsidRPr="0021325A">
        <w:rPr>
          <w:rFonts w:ascii="Arial Narrow" w:hAnsi="Arial Narrow" w:cs="Arial"/>
          <w:b/>
          <w:bCs/>
          <w:iCs/>
          <w:sz w:val="20"/>
        </w:rPr>
        <w:t>Proceso</w:t>
      </w:r>
      <w:r w:rsidRPr="0021325A">
        <w:rPr>
          <w:rFonts w:ascii="Arial Narrow" w:hAnsi="Arial Narrow" w:cs="Arial"/>
          <w:bCs/>
          <w:iCs/>
          <w:sz w:val="20"/>
        </w:rPr>
        <w:t>:</w:t>
      </w:r>
      <w:r w:rsidRPr="0021325A">
        <w:rPr>
          <w:rFonts w:ascii="Arial Narrow" w:hAnsi="Arial Narrow" w:cs="Arial"/>
          <w:iCs/>
          <w:sz w:val="20"/>
        </w:rPr>
        <w:t xml:space="preserve"> </w:t>
      </w:r>
      <w:r w:rsidRPr="0021325A">
        <w:rPr>
          <w:rFonts w:ascii="Arial Narrow" w:hAnsi="Arial Narrow" w:cs="Arial"/>
          <w:b/>
          <w:iCs/>
          <w:sz w:val="20"/>
        </w:rPr>
        <w:tab/>
      </w:r>
      <w:r w:rsidRPr="0021325A">
        <w:rPr>
          <w:rFonts w:ascii="Arial Narrow" w:hAnsi="Arial Narrow" w:cs="Arial"/>
          <w:b/>
          <w:iCs/>
          <w:sz w:val="20"/>
        </w:rPr>
        <w:tab/>
      </w:r>
      <w:r w:rsidRPr="0021325A">
        <w:rPr>
          <w:rFonts w:ascii="Arial Narrow" w:hAnsi="Arial Narrow" w:cs="Arial"/>
          <w:iCs/>
          <w:sz w:val="20"/>
        </w:rPr>
        <w:t>Ordinario Laboral</w:t>
      </w:r>
    </w:p>
    <w:p w:rsidR="00182955" w:rsidRPr="0021325A" w:rsidRDefault="00182955" w:rsidP="00182955">
      <w:pPr>
        <w:ind w:firstLine="6"/>
        <w:jc w:val="both"/>
        <w:rPr>
          <w:rFonts w:ascii="Arial Narrow" w:hAnsi="Arial Narrow" w:cs="Arial"/>
          <w:iCs/>
          <w:sz w:val="20"/>
        </w:rPr>
      </w:pPr>
      <w:r w:rsidRPr="0021325A">
        <w:rPr>
          <w:rFonts w:ascii="Arial Narrow" w:hAnsi="Arial Narrow" w:cs="Arial"/>
          <w:b/>
          <w:iCs/>
          <w:sz w:val="20"/>
        </w:rPr>
        <w:t>Demandante</w:t>
      </w:r>
      <w:r w:rsidRPr="0021325A">
        <w:rPr>
          <w:rFonts w:ascii="Arial Narrow" w:hAnsi="Arial Narrow" w:cs="Arial"/>
          <w:iCs/>
          <w:sz w:val="20"/>
        </w:rPr>
        <w:t xml:space="preserve">:     </w:t>
      </w:r>
      <w:r w:rsidRPr="0021325A">
        <w:rPr>
          <w:rFonts w:ascii="Arial Narrow" w:hAnsi="Arial Narrow" w:cs="Arial"/>
          <w:iCs/>
          <w:sz w:val="20"/>
        </w:rPr>
        <w:tab/>
      </w:r>
      <w:r w:rsidRPr="0021325A">
        <w:rPr>
          <w:rFonts w:ascii="Arial Narrow" w:hAnsi="Arial Narrow" w:cs="Arial"/>
          <w:iCs/>
          <w:sz w:val="20"/>
        </w:rPr>
        <w:tab/>
      </w:r>
      <w:r>
        <w:rPr>
          <w:rFonts w:ascii="Arial Narrow" w:hAnsi="Arial Narrow" w:cs="Arial"/>
          <w:iCs/>
          <w:sz w:val="20"/>
        </w:rPr>
        <w:t xml:space="preserve">Ancizar de Jesús Guapacha Largo </w:t>
      </w:r>
      <w:r w:rsidR="00BE1DD1">
        <w:rPr>
          <w:rFonts w:ascii="Arial Narrow" w:hAnsi="Arial Narrow" w:cs="Arial"/>
          <w:iCs/>
          <w:sz w:val="20"/>
        </w:rPr>
        <w:t xml:space="preserve">y otros </w:t>
      </w:r>
    </w:p>
    <w:p w:rsidR="00182955" w:rsidRPr="0021325A" w:rsidRDefault="00182955" w:rsidP="00182955">
      <w:pPr>
        <w:ind w:firstLine="6"/>
        <w:jc w:val="both"/>
        <w:rPr>
          <w:rFonts w:ascii="Arial Narrow" w:hAnsi="Arial Narrow" w:cs="Arial"/>
          <w:bCs/>
          <w:sz w:val="20"/>
        </w:rPr>
      </w:pPr>
      <w:r w:rsidRPr="0021325A">
        <w:rPr>
          <w:rFonts w:ascii="Arial Narrow" w:hAnsi="Arial Narrow" w:cs="Arial"/>
          <w:b/>
          <w:bCs/>
          <w:sz w:val="20"/>
        </w:rPr>
        <w:t>Demandado:</w:t>
      </w:r>
      <w:r w:rsidRPr="0021325A">
        <w:rPr>
          <w:rFonts w:ascii="Arial Narrow" w:hAnsi="Arial Narrow" w:cs="Arial"/>
          <w:bCs/>
          <w:sz w:val="20"/>
        </w:rPr>
        <w:t xml:space="preserve">            </w:t>
      </w:r>
      <w:r w:rsidRPr="0021325A">
        <w:rPr>
          <w:rFonts w:ascii="Arial Narrow" w:hAnsi="Arial Narrow" w:cs="Arial"/>
          <w:bCs/>
          <w:sz w:val="20"/>
        </w:rPr>
        <w:tab/>
        <w:t>Colpensiones</w:t>
      </w:r>
      <w:r>
        <w:rPr>
          <w:rFonts w:ascii="Arial Narrow" w:hAnsi="Arial Narrow" w:cs="Arial"/>
          <w:bCs/>
          <w:sz w:val="20"/>
        </w:rPr>
        <w:t xml:space="preserve"> </w:t>
      </w:r>
    </w:p>
    <w:p w:rsidR="00182955" w:rsidRPr="0021325A" w:rsidRDefault="00182955" w:rsidP="00182955">
      <w:pPr>
        <w:jc w:val="both"/>
        <w:rPr>
          <w:rFonts w:ascii="Arial Narrow" w:hAnsi="Arial Narrow" w:cs="Arial"/>
          <w:sz w:val="20"/>
        </w:rPr>
      </w:pPr>
      <w:r w:rsidRPr="0021325A">
        <w:rPr>
          <w:rFonts w:ascii="Arial Narrow" w:hAnsi="Arial Narrow" w:cs="Arial"/>
          <w:b/>
          <w:sz w:val="20"/>
        </w:rPr>
        <w:t>Juzgado de origen</w:t>
      </w:r>
      <w:r w:rsidRPr="0021325A">
        <w:rPr>
          <w:rFonts w:ascii="Arial Narrow" w:hAnsi="Arial Narrow" w:cs="Arial"/>
          <w:sz w:val="20"/>
        </w:rPr>
        <w:t xml:space="preserve">:     </w:t>
      </w:r>
      <w:r w:rsidRPr="0021325A">
        <w:rPr>
          <w:rFonts w:ascii="Arial Narrow" w:hAnsi="Arial Narrow" w:cs="Arial"/>
          <w:sz w:val="20"/>
        </w:rPr>
        <w:tab/>
        <w:t>Segundo Laboral del Circuito de Pereira.</w:t>
      </w:r>
    </w:p>
    <w:p w:rsidR="00182955" w:rsidRPr="0021325A" w:rsidRDefault="00182955" w:rsidP="00182955">
      <w:pPr>
        <w:jc w:val="both"/>
        <w:rPr>
          <w:rFonts w:ascii="Arial Narrow" w:hAnsi="Arial Narrow" w:cs="Arial"/>
          <w:b/>
          <w:iCs/>
          <w:sz w:val="20"/>
        </w:rPr>
      </w:pPr>
      <w:r w:rsidRPr="0021325A">
        <w:rPr>
          <w:rFonts w:ascii="Arial Narrow" w:hAnsi="Arial Narrow" w:cs="Arial"/>
          <w:b/>
          <w:iCs/>
          <w:sz w:val="20"/>
        </w:rPr>
        <w:t xml:space="preserve">Magistrado Ponente:     </w:t>
      </w:r>
      <w:r w:rsidRPr="0021325A">
        <w:rPr>
          <w:rFonts w:ascii="Arial Narrow" w:hAnsi="Arial Narrow" w:cs="Arial"/>
          <w:b/>
          <w:iCs/>
          <w:sz w:val="20"/>
        </w:rPr>
        <w:tab/>
      </w:r>
      <w:r w:rsidRPr="0021325A">
        <w:rPr>
          <w:rFonts w:ascii="Arial Narrow" w:hAnsi="Arial Narrow" w:cs="Arial"/>
          <w:iCs/>
          <w:sz w:val="20"/>
        </w:rPr>
        <w:t>Francisco Javier Tamayo Tabares.</w:t>
      </w:r>
    </w:p>
    <w:p w:rsidR="00182955" w:rsidRPr="00AD0829" w:rsidRDefault="00182955" w:rsidP="00182955">
      <w:pPr>
        <w:autoSpaceDE w:val="0"/>
        <w:autoSpaceDN w:val="0"/>
        <w:adjustRightInd w:val="0"/>
        <w:ind w:left="2127" w:hanging="2127"/>
        <w:jc w:val="both"/>
        <w:rPr>
          <w:rFonts w:ascii="Arial Narrow" w:hAnsi="Arial Narrow" w:cs="Tahoma"/>
          <w:sz w:val="36"/>
          <w:szCs w:val="29"/>
          <w:highlight w:val="yellow"/>
          <w:lang w:val="es-ES"/>
        </w:rPr>
      </w:pPr>
      <w:r w:rsidRPr="0021325A">
        <w:rPr>
          <w:rFonts w:ascii="Arial Narrow" w:hAnsi="Arial Narrow" w:cs="Arial"/>
          <w:b/>
          <w:bCs/>
          <w:sz w:val="20"/>
        </w:rPr>
        <w:t xml:space="preserve">Tema a tratar: </w:t>
      </w:r>
      <w:r w:rsidRPr="0021325A">
        <w:rPr>
          <w:rFonts w:ascii="Arial Narrow" w:hAnsi="Arial Narrow" w:cs="Arial"/>
          <w:b/>
          <w:bCs/>
          <w:sz w:val="20"/>
        </w:rPr>
        <w:tab/>
      </w:r>
      <w:r w:rsidRPr="00AD0829">
        <w:rPr>
          <w:rFonts w:ascii="Arial Narrow" w:hAnsi="Arial Narrow" w:cs="Tahoma"/>
          <w:b/>
          <w:bCs/>
          <w:sz w:val="20"/>
          <w:szCs w:val="18"/>
        </w:rPr>
        <w:t xml:space="preserve">Pensión de sobrevivientes. Carga probatoria. </w:t>
      </w:r>
      <w:r w:rsidRPr="00AD0829">
        <w:rPr>
          <w:rFonts w:ascii="Arial Narrow" w:hAnsi="Arial Narrow" w:cs="Tahoma"/>
          <w:bCs/>
          <w:sz w:val="20"/>
          <w:szCs w:val="18"/>
        </w:rPr>
        <w:t xml:space="preserve">La labor que debe desplegar quien alegue tener la vocación a la pensión por sobrevivencia, no es otra que la de demostrar de manera clara que convivió, en los términos antes anotados, con el afiliado o pensionado, de manera ininterrumpida, por el lapso mínimo de cinco años anteriores al deceso.  Y como la norma exige convivencia, no importa si se dio en el marco de una relación matrimonial o una relación de hecho, pues ambas tienen igual tratamiento por la ley, pudiendo incluso darse la convivencia una parte, en el marco de una unión de hecho y otra por vínculos jurídicos o viceversa.  </w:t>
      </w:r>
    </w:p>
    <w:p w:rsidR="00182955" w:rsidRPr="00C5292A" w:rsidRDefault="00182955" w:rsidP="00182955">
      <w:pPr>
        <w:pStyle w:val="Sinespaciado"/>
        <w:spacing w:line="360" w:lineRule="auto"/>
        <w:ind w:left="2127"/>
      </w:pPr>
      <w:r w:rsidRPr="00BD51DF">
        <w:t xml:space="preserve">      </w:t>
      </w:r>
    </w:p>
    <w:p w:rsidR="00182955" w:rsidRPr="00D30FA7" w:rsidRDefault="00182955" w:rsidP="00182955">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2955" w:rsidRPr="00DC0255" w:rsidRDefault="00182955" w:rsidP="00182955">
      <w:pPr>
        <w:pStyle w:val="Sinespaciado"/>
      </w:pPr>
    </w:p>
    <w:p w:rsidR="00182955" w:rsidRPr="00182955" w:rsidRDefault="00182955" w:rsidP="00182955">
      <w:pPr>
        <w:spacing w:line="360" w:lineRule="auto"/>
        <w:ind w:firstLine="851"/>
        <w:jc w:val="both"/>
        <w:rPr>
          <w:rFonts w:ascii="Arial Narrow" w:hAnsi="Arial Narrow" w:cs="Tahoma"/>
          <w:bCs/>
          <w:color w:val="FF0000"/>
          <w:sz w:val="28"/>
          <w:szCs w:val="28"/>
          <w:lang w:eastAsia="es-CO"/>
        </w:rPr>
      </w:pPr>
      <w:r>
        <w:rPr>
          <w:rFonts w:ascii="Arial Narrow" w:eastAsia="Calibri" w:hAnsi="Arial Narrow" w:cs="Arial"/>
          <w:sz w:val="28"/>
          <w:szCs w:val="28"/>
          <w:lang w:val="es-CO" w:eastAsia="en-US"/>
        </w:rPr>
        <w:t xml:space="preserve">En Pereira, hoy dieciséis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16</w:t>
      </w:r>
      <w:r w:rsidRPr="00D30FA7">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noviembre </w:t>
      </w:r>
      <w:r w:rsidRPr="00D30FA7">
        <w:rPr>
          <w:rFonts w:ascii="Arial Narrow" w:eastAsia="Calibri" w:hAnsi="Arial Narrow" w:cs="Arial"/>
          <w:sz w:val="28"/>
          <w:szCs w:val="28"/>
          <w:lang w:val="es-CO" w:eastAsia="en-US"/>
        </w:rPr>
        <w:t xml:space="preserve">de dos mil </w:t>
      </w:r>
      <w:r>
        <w:rPr>
          <w:rFonts w:ascii="Arial Narrow" w:eastAsia="Calibri" w:hAnsi="Arial Narrow" w:cs="Arial"/>
          <w:sz w:val="28"/>
          <w:szCs w:val="28"/>
          <w:lang w:val="es-CO" w:eastAsia="en-US"/>
        </w:rPr>
        <w:t>diecisiete</w:t>
      </w:r>
      <w:r w:rsidRPr="00D30FA7">
        <w:rPr>
          <w:rFonts w:ascii="Arial Narrow" w:eastAsia="Calibri" w:hAnsi="Arial Narrow" w:cs="Arial"/>
          <w:sz w:val="28"/>
          <w:szCs w:val="28"/>
          <w:lang w:val="es-CO" w:eastAsia="en-US"/>
        </w:rPr>
        <w:t xml:space="preserve"> (201</w:t>
      </w:r>
      <w:r>
        <w:rPr>
          <w:rFonts w:ascii="Arial Narrow" w:eastAsia="Calibri" w:hAnsi="Arial Narrow" w:cs="Arial"/>
          <w:sz w:val="28"/>
          <w:szCs w:val="28"/>
          <w:lang w:val="es-CO" w:eastAsia="en-US"/>
        </w:rPr>
        <w:t>7</w:t>
      </w:r>
      <w:r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nueve de la mañana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09</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00 a</w:t>
      </w:r>
      <w:r w:rsidRPr="00D30FA7">
        <w:rPr>
          <w:rFonts w:ascii="Arial Narrow" w:eastAsia="Calibri" w:hAnsi="Arial Narrow" w:cs="Arial"/>
          <w:sz w:val="28"/>
          <w:szCs w:val="28"/>
          <w:lang w:val="es-CO" w:eastAsia="en-US"/>
        </w:rPr>
        <w:t xml:space="preserve">.m.), </w:t>
      </w:r>
      <w:r w:rsidRPr="00D30FA7">
        <w:rPr>
          <w:rFonts w:ascii="Arial Narrow" w:hAnsi="Arial Narrow" w:cs="Tahoma"/>
          <w:bCs/>
          <w:color w:val="000000"/>
          <w:sz w:val="28"/>
          <w:szCs w:val="28"/>
          <w:lang w:eastAsia="es-CO"/>
        </w:rPr>
        <w:t xml:space="preserve">reunidos en la Sala de Audiencia </w:t>
      </w:r>
      <w:r>
        <w:rPr>
          <w:rFonts w:ascii="Arial Narrow" w:hAnsi="Arial Narrow" w:cs="Tahoma"/>
          <w:bCs/>
          <w:color w:val="000000"/>
          <w:sz w:val="28"/>
          <w:szCs w:val="28"/>
          <w:lang w:eastAsia="es-CO"/>
        </w:rPr>
        <w:t xml:space="preserve">las magistradas y el suscrito magistrado </w:t>
      </w:r>
      <w:r w:rsidRPr="00D30FA7">
        <w:rPr>
          <w:rFonts w:ascii="Arial Narrow" w:hAnsi="Arial Narrow" w:cs="Tahoma"/>
          <w:bCs/>
          <w:color w:val="000000"/>
          <w:sz w:val="28"/>
          <w:szCs w:val="28"/>
          <w:lang w:eastAsia="es-CO"/>
        </w:rPr>
        <w:t xml:space="preserve">de la Sala </w:t>
      </w:r>
      <w:r>
        <w:rPr>
          <w:rFonts w:ascii="Arial Narrow" w:hAnsi="Arial Narrow" w:cs="Tahoma"/>
          <w:bCs/>
          <w:color w:val="000000"/>
          <w:sz w:val="28"/>
          <w:szCs w:val="28"/>
          <w:lang w:eastAsia="es-CO"/>
        </w:rPr>
        <w:t xml:space="preserve">Tercera de Decisión </w:t>
      </w:r>
      <w:r w:rsidRPr="0057299F">
        <w:rPr>
          <w:rFonts w:ascii="Arial Narrow" w:hAnsi="Arial Narrow" w:cs="Tahoma"/>
          <w:bCs/>
          <w:color w:val="000000"/>
          <w:sz w:val="28"/>
          <w:szCs w:val="28"/>
          <w:lang w:eastAsia="es-CO"/>
        </w:rPr>
        <w:t xml:space="preserve">Laboral </w:t>
      </w:r>
      <w:r w:rsidRPr="00D30FA7">
        <w:rPr>
          <w:rFonts w:ascii="Arial Narrow" w:hAnsi="Arial Narrow" w:cs="Tahoma"/>
          <w:bCs/>
          <w:color w:val="000000"/>
          <w:sz w:val="28"/>
          <w:szCs w:val="28"/>
          <w:lang w:eastAsia="es-CO"/>
        </w:rPr>
        <w:t xml:space="preserve">del Tribunal Superior de Pereira, el ponente declara abierto el acto, que tiene por objeto resolver </w:t>
      </w:r>
      <w:r>
        <w:rPr>
          <w:rFonts w:ascii="Arial Narrow" w:hAnsi="Arial Narrow" w:cs="Tahoma"/>
          <w:bCs/>
          <w:color w:val="000000"/>
          <w:sz w:val="28"/>
          <w:szCs w:val="28"/>
          <w:lang w:eastAsia="es-CO"/>
        </w:rPr>
        <w:t xml:space="preserve">el grado jurisdiccional de consulta de la sentencia dictada el </w:t>
      </w:r>
      <w:r w:rsidR="00DF0308">
        <w:rPr>
          <w:rFonts w:ascii="Arial Narrow" w:hAnsi="Arial Narrow" w:cs="Tahoma"/>
          <w:bCs/>
          <w:color w:val="000000"/>
          <w:sz w:val="28"/>
          <w:szCs w:val="28"/>
          <w:lang w:eastAsia="es-CO"/>
        </w:rPr>
        <w:t>21</w:t>
      </w:r>
      <w:r>
        <w:rPr>
          <w:rFonts w:ascii="Arial Narrow" w:hAnsi="Arial Narrow" w:cs="Tahoma"/>
          <w:bCs/>
          <w:color w:val="000000"/>
          <w:sz w:val="28"/>
          <w:szCs w:val="28"/>
          <w:lang w:eastAsia="es-CO"/>
        </w:rPr>
        <w:t xml:space="preserve"> de noviembre de 2016 por el Juzgado Segundo Laboral del Circuito de esta ciudad, dentro del </w:t>
      </w:r>
      <w:r w:rsidRPr="0021325A">
        <w:rPr>
          <w:rFonts w:ascii="Arial Narrow" w:hAnsi="Arial Narrow" w:cs="Tahoma"/>
          <w:bCs/>
          <w:sz w:val="28"/>
          <w:szCs w:val="28"/>
          <w:lang w:eastAsia="es-CO"/>
        </w:rPr>
        <w:t xml:space="preserve">proceso Ordinario Laboral que promueve </w:t>
      </w:r>
      <w:r>
        <w:rPr>
          <w:rFonts w:ascii="Arial Narrow" w:hAnsi="Arial Narrow" w:cs="Tahoma"/>
          <w:b/>
          <w:bCs/>
          <w:i/>
          <w:sz w:val="28"/>
          <w:szCs w:val="28"/>
          <w:lang w:eastAsia="es-CO"/>
        </w:rPr>
        <w:t>Ancizar de Jesús Guapacha Largo</w:t>
      </w:r>
      <w:r w:rsidR="004D26EF">
        <w:rPr>
          <w:rFonts w:ascii="Arial Narrow" w:hAnsi="Arial Narrow" w:cs="Tahoma"/>
          <w:b/>
          <w:bCs/>
          <w:i/>
          <w:sz w:val="28"/>
          <w:szCs w:val="28"/>
          <w:lang w:eastAsia="es-CO"/>
        </w:rPr>
        <w:t xml:space="preserve"> </w:t>
      </w:r>
      <w:r w:rsidRPr="0021325A">
        <w:rPr>
          <w:rFonts w:ascii="Arial Narrow" w:hAnsi="Arial Narrow" w:cs="Tahoma"/>
          <w:bCs/>
          <w:sz w:val="28"/>
          <w:szCs w:val="28"/>
          <w:lang w:eastAsia="es-CO"/>
        </w:rPr>
        <w:t xml:space="preserve">contra la </w:t>
      </w:r>
      <w:r w:rsidRPr="0021325A">
        <w:rPr>
          <w:rFonts w:ascii="Arial Narrow" w:hAnsi="Arial Narrow" w:cs="Tahoma"/>
          <w:b/>
          <w:bCs/>
          <w:i/>
          <w:sz w:val="28"/>
          <w:szCs w:val="28"/>
          <w:lang w:eastAsia="es-CO"/>
        </w:rPr>
        <w:t>Administradora Colombiana de Pensiones –Colpensiones</w:t>
      </w:r>
      <w:r w:rsidR="000A0312">
        <w:rPr>
          <w:rFonts w:ascii="Arial Narrow" w:hAnsi="Arial Narrow" w:cs="Tahoma"/>
          <w:bCs/>
          <w:sz w:val="28"/>
          <w:szCs w:val="28"/>
          <w:lang w:eastAsia="es-CO"/>
        </w:rPr>
        <w:t xml:space="preserve">, trámite al cual se vinculó a </w:t>
      </w:r>
      <w:r w:rsidR="000A0312" w:rsidRPr="0035629E">
        <w:rPr>
          <w:rFonts w:ascii="Arial Narrow" w:hAnsi="Arial Narrow"/>
          <w:sz w:val="28"/>
          <w:szCs w:val="28"/>
        </w:rPr>
        <w:t>Diego Alexander y Daniela Guapacha Calderón</w:t>
      </w:r>
      <w:r w:rsidR="000A0312">
        <w:rPr>
          <w:rFonts w:ascii="Arial Narrow" w:hAnsi="Arial Narrow"/>
          <w:sz w:val="28"/>
          <w:szCs w:val="28"/>
        </w:rPr>
        <w:t xml:space="preserve">, en calidad </w:t>
      </w:r>
      <w:r w:rsidR="000A0312">
        <w:rPr>
          <w:rFonts w:ascii="Arial Narrow" w:hAnsi="Arial Narrow" w:cs="Tahoma"/>
          <w:bCs/>
          <w:sz w:val="28"/>
          <w:szCs w:val="28"/>
          <w:lang w:eastAsia="es-CO"/>
        </w:rPr>
        <w:t>de l</w:t>
      </w:r>
      <w:r w:rsidR="000A0312">
        <w:rPr>
          <w:rFonts w:ascii="Arial Narrow" w:hAnsi="Arial Narrow"/>
          <w:sz w:val="28"/>
          <w:szCs w:val="28"/>
        </w:rPr>
        <w:t>itisconsortes necesarios.</w:t>
      </w:r>
    </w:p>
    <w:p w:rsidR="00182955" w:rsidRPr="00182955" w:rsidRDefault="00182955" w:rsidP="00BE1DD1">
      <w:pPr>
        <w:pStyle w:val="Sinespaciado"/>
        <w:spacing w:line="360" w:lineRule="auto"/>
        <w:rPr>
          <w:color w:val="FF0000"/>
        </w:rPr>
      </w:pPr>
      <w:r w:rsidRPr="00182955">
        <w:rPr>
          <w:color w:val="FF0000"/>
        </w:rPr>
        <w:t xml:space="preserve"> </w:t>
      </w:r>
    </w:p>
    <w:p w:rsidR="00182955" w:rsidRPr="00A0523C" w:rsidRDefault="00182955" w:rsidP="00182955">
      <w:pPr>
        <w:pStyle w:val="Prrafodelista"/>
        <w:numPr>
          <w:ilvl w:val="0"/>
          <w:numId w:val="1"/>
        </w:numPr>
        <w:spacing w:line="360" w:lineRule="auto"/>
        <w:rPr>
          <w:rFonts w:ascii="Arial Narrow" w:hAnsi="Arial Narrow" w:cs="Tahoma"/>
          <w:b/>
          <w:i/>
          <w:sz w:val="28"/>
          <w:szCs w:val="28"/>
        </w:rPr>
      </w:pPr>
      <w:r w:rsidRPr="00A0523C">
        <w:rPr>
          <w:rFonts w:ascii="Arial Narrow" w:hAnsi="Arial Narrow" w:cs="Tahoma"/>
          <w:b/>
          <w:i/>
          <w:sz w:val="28"/>
          <w:szCs w:val="28"/>
        </w:rPr>
        <w:t>ANTECEDENTES</w:t>
      </w:r>
    </w:p>
    <w:p w:rsidR="00182955" w:rsidRPr="0021325A" w:rsidRDefault="00182955" w:rsidP="00182955">
      <w:pPr>
        <w:pStyle w:val="Sinespaciado"/>
      </w:pPr>
    </w:p>
    <w:p w:rsidR="00182955" w:rsidRDefault="00182955" w:rsidP="00182955">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Pe</w:t>
      </w:r>
      <w:r w:rsidR="004D26EF">
        <w:rPr>
          <w:rFonts w:ascii="Arial Narrow" w:hAnsi="Arial Narrow" w:cs="Tahoma"/>
          <w:sz w:val="28"/>
          <w:szCs w:val="28"/>
        </w:rPr>
        <w:t xml:space="preserve">rsiguen el demandante </w:t>
      </w:r>
      <w:r>
        <w:rPr>
          <w:rFonts w:ascii="Arial Narrow" w:hAnsi="Arial Narrow" w:cs="Tahoma"/>
          <w:sz w:val="28"/>
          <w:szCs w:val="28"/>
        </w:rPr>
        <w:t xml:space="preserve">que en aplicación del principio de la condición más beneficiosa, se declare: (i) que </w:t>
      </w:r>
      <w:r w:rsidR="00BE1DD1">
        <w:rPr>
          <w:rFonts w:ascii="Arial Narrow" w:hAnsi="Arial Narrow" w:cs="Tahoma"/>
          <w:sz w:val="28"/>
          <w:szCs w:val="28"/>
        </w:rPr>
        <w:t xml:space="preserve">la señora Blanca Lilia Calderón Bermúdez </w:t>
      </w:r>
      <w:r>
        <w:rPr>
          <w:rFonts w:ascii="Arial Narrow" w:hAnsi="Arial Narrow" w:cs="Tahoma"/>
          <w:sz w:val="28"/>
          <w:szCs w:val="28"/>
        </w:rPr>
        <w:t>dejó causado el derecho a la pensión de sobrevivientes</w:t>
      </w:r>
      <w:r w:rsidR="00BE1DD1">
        <w:rPr>
          <w:rFonts w:ascii="Arial Narrow" w:hAnsi="Arial Narrow" w:cs="Tahoma"/>
          <w:sz w:val="28"/>
          <w:szCs w:val="28"/>
        </w:rPr>
        <w:t xml:space="preserve"> conforme a los postulados del Acuerdo 049 de 1990</w:t>
      </w:r>
      <w:r w:rsidR="00C4558D">
        <w:rPr>
          <w:rFonts w:ascii="Arial Narrow" w:hAnsi="Arial Narrow" w:cs="Tahoma"/>
          <w:sz w:val="28"/>
          <w:szCs w:val="28"/>
        </w:rPr>
        <w:t xml:space="preserve">; </w:t>
      </w:r>
      <w:r w:rsidR="004D26EF">
        <w:rPr>
          <w:rFonts w:ascii="Arial Narrow" w:hAnsi="Arial Narrow" w:cs="Tahoma"/>
          <w:sz w:val="28"/>
          <w:szCs w:val="28"/>
        </w:rPr>
        <w:t xml:space="preserve">y </w:t>
      </w:r>
      <w:r>
        <w:rPr>
          <w:rFonts w:ascii="Arial Narrow" w:hAnsi="Arial Narrow" w:cs="Tahoma"/>
          <w:sz w:val="28"/>
          <w:szCs w:val="28"/>
        </w:rPr>
        <w:t xml:space="preserve">(ii) que </w:t>
      </w:r>
      <w:r w:rsidR="004D26EF">
        <w:rPr>
          <w:rFonts w:ascii="Arial Narrow" w:hAnsi="Arial Narrow" w:cs="Tahoma"/>
          <w:sz w:val="28"/>
          <w:szCs w:val="28"/>
        </w:rPr>
        <w:t xml:space="preserve">él </w:t>
      </w:r>
      <w:r w:rsidR="00BE1DD1">
        <w:rPr>
          <w:rFonts w:ascii="Arial Narrow" w:hAnsi="Arial Narrow" w:cs="Tahoma"/>
          <w:sz w:val="28"/>
          <w:szCs w:val="28"/>
        </w:rPr>
        <w:t xml:space="preserve">en calidad de cónyuge supérstite de aquella, tiene derecho al </w:t>
      </w:r>
      <w:r w:rsidR="004D26EF">
        <w:rPr>
          <w:rFonts w:ascii="Arial Narrow" w:hAnsi="Arial Narrow" w:cs="Tahoma"/>
          <w:sz w:val="28"/>
          <w:szCs w:val="28"/>
        </w:rPr>
        <w:t>100</w:t>
      </w:r>
      <w:r w:rsidR="00BE1DD1">
        <w:rPr>
          <w:rFonts w:ascii="Arial Narrow" w:hAnsi="Arial Narrow" w:cs="Tahoma"/>
          <w:sz w:val="28"/>
          <w:szCs w:val="28"/>
        </w:rPr>
        <w:t>% del beneficio pensional</w:t>
      </w:r>
      <w:r w:rsidR="00C4558D">
        <w:rPr>
          <w:rFonts w:ascii="Arial Narrow" w:hAnsi="Arial Narrow" w:cs="Tahoma"/>
          <w:sz w:val="28"/>
          <w:szCs w:val="28"/>
        </w:rPr>
        <w:t xml:space="preserve">. En </w:t>
      </w:r>
      <w:r w:rsidR="004D26EF">
        <w:rPr>
          <w:rFonts w:ascii="Arial Narrow" w:hAnsi="Arial Narrow" w:cs="Tahoma"/>
          <w:sz w:val="28"/>
          <w:szCs w:val="28"/>
        </w:rPr>
        <w:t>consecuencia, pide</w:t>
      </w:r>
      <w:r w:rsidR="00C4558D">
        <w:rPr>
          <w:rFonts w:ascii="Arial Narrow" w:hAnsi="Arial Narrow" w:cs="Tahoma"/>
          <w:sz w:val="28"/>
          <w:szCs w:val="28"/>
        </w:rPr>
        <w:t xml:space="preserve"> que se condene </w:t>
      </w:r>
      <w:r>
        <w:rPr>
          <w:rFonts w:ascii="Arial Narrow" w:hAnsi="Arial Narrow" w:cs="Tahoma"/>
          <w:sz w:val="28"/>
          <w:szCs w:val="28"/>
        </w:rPr>
        <w:t>a la entidad demandada a reconocer y pagar</w:t>
      </w:r>
      <w:r w:rsidR="004D26EF">
        <w:rPr>
          <w:rFonts w:ascii="Arial Narrow" w:hAnsi="Arial Narrow" w:cs="Tahoma"/>
          <w:sz w:val="28"/>
          <w:szCs w:val="28"/>
        </w:rPr>
        <w:t xml:space="preserve"> </w:t>
      </w:r>
      <w:r>
        <w:rPr>
          <w:rFonts w:ascii="Arial Narrow" w:hAnsi="Arial Narrow" w:cs="Tahoma"/>
          <w:sz w:val="28"/>
          <w:szCs w:val="28"/>
        </w:rPr>
        <w:t xml:space="preserve">la </w:t>
      </w:r>
      <w:r w:rsidR="00C4558D">
        <w:rPr>
          <w:rFonts w:ascii="Arial Narrow" w:hAnsi="Arial Narrow" w:cs="Tahoma"/>
          <w:sz w:val="28"/>
          <w:szCs w:val="28"/>
        </w:rPr>
        <w:t xml:space="preserve">prestación desde el 29 de enero de 2007, junto con los intereses moratorios del canon 141 de la Ley 100/93, o en subsidio, la indexación de las condenas, y las costas del proceso. </w:t>
      </w:r>
    </w:p>
    <w:p w:rsidR="00182955" w:rsidRPr="00037B48" w:rsidRDefault="00182955" w:rsidP="00182955">
      <w:pPr>
        <w:pStyle w:val="Sinespaciado"/>
      </w:pPr>
    </w:p>
    <w:p w:rsidR="00C4558D" w:rsidRDefault="00C4558D" w:rsidP="00182955">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lastRenderedPageBreak/>
        <w:t>Como fundamento a tales pedimentos</w:t>
      </w:r>
      <w:r w:rsidR="00182955">
        <w:rPr>
          <w:rFonts w:ascii="Arial Narrow" w:hAnsi="Arial Narrow" w:cs="Tahoma"/>
          <w:sz w:val="28"/>
          <w:szCs w:val="28"/>
        </w:rPr>
        <w:t>, relata que</w:t>
      </w:r>
      <w:r>
        <w:rPr>
          <w:rFonts w:ascii="Arial Narrow" w:hAnsi="Arial Narrow" w:cs="Tahoma"/>
          <w:sz w:val="28"/>
          <w:szCs w:val="28"/>
        </w:rPr>
        <w:t xml:space="preserve"> la señora Blanca Lilia Calderón Cardona falleció el 29 de enero de 2007, calenda para la cual tenía más de 300 semanas cotizadas </w:t>
      </w:r>
      <w:r w:rsidR="00163190">
        <w:rPr>
          <w:rFonts w:ascii="Arial Narrow" w:hAnsi="Arial Narrow" w:cs="Tahoma"/>
          <w:sz w:val="28"/>
          <w:szCs w:val="28"/>
        </w:rPr>
        <w:t xml:space="preserve">al Sistema pensional, todas antes del 1º de abril de 1994; que el 3 de mayo de 2013 presentó la reclamación administrativa tendiente a obtener el reconocimiento y pago de la gracia pensional acá reclamada, no obstante, la entidad negó la solicitud </w:t>
      </w:r>
      <w:r w:rsidR="004D26EF">
        <w:rPr>
          <w:rFonts w:ascii="Arial Narrow" w:hAnsi="Arial Narrow" w:cs="Tahoma"/>
          <w:sz w:val="28"/>
          <w:szCs w:val="28"/>
        </w:rPr>
        <w:t xml:space="preserve">a través de la </w:t>
      </w:r>
      <w:r w:rsidR="00163190">
        <w:rPr>
          <w:rFonts w:ascii="Arial Narrow" w:hAnsi="Arial Narrow" w:cs="Tahoma"/>
          <w:sz w:val="28"/>
          <w:szCs w:val="28"/>
        </w:rPr>
        <w:t xml:space="preserve">Resolución GNR 331272 de 2013, </w:t>
      </w:r>
      <w:r w:rsidR="001B397F">
        <w:rPr>
          <w:rFonts w:ascii="Arial Narrow" w:hAnsi="Arial Narrow" w:cs="Tahoma"/>
          <w:sz w:val="28"/>
          <w:szCs w:val="28"/>
        </w:rPr>
        <w:t xml:space="preserve">argumentando </w:t>
      </w:r>
      <w:r w:rsidR="00163190">
        <w:rPr>
          <w:rFonts w:ascii="Arial Narrow" w:hAnsi="Arial Narrow" w:cs="Tahoma"/>
          <w:sz w:val="28"/>
          <w:szCs w:val="28"/>
        </w:rPr>
        <w:t xml:space="preserve">que la afiliada no había cotizado la densidad de semanas exigidas en el </w:t>
      </w:r>
      <w:r w:rsidR="001B397F">
        <w:rPr>
          <w:rFonts w:ascii="Arial Narrow" w:hAnsi="Arial Narrow" w:cs="Tahoma"/>
          <w:sz w:val="28"/>
          <w:szCs w:val="28"/>
        </w:rPr>
        <w:t>artículo 47 de la Ley 100/93, modificado por la Ley 797 de 2003, empero, dando por acreditada la convi</w:t>
      </w:r>
      <w:r w:rsidR="0022246B">
        <w:rPr>
          <w:rFonts w:ascii="Arial Narrow" w:hAnsi="Arial Narrow" w:cs="Tahoma"/>
          <w:sz w:val="28"/>
          <w:szCs w:val="28"/>
        </w:rPr>
        <w:t>vencia efectiva entre la pareja, pues le informó q</w:t>
      </w:r>
      <w:r w:rsidR="004D26EF">
        <w:rPr>
          <w:rFonts w:ascii="Arial Narrow" w:hAnsi="Arial Narrow" w:cs="Tahoma"/>
          <w:sz w:val="28"/>
          <w:szCs w:val="28"/>
        </w:rPr>
        <w:t>ue podía solicitar la indemnización sustitutiva de la pensión de sobrevivientes.</w:t>
      </w:r>
    </w:p>
    <w:p w:rsidR="00C4558D" w:rsidRPr="003D7A67" w:rsidRDefault="00C4558D" w:rsidP="003D7A67">
      <w:pPr>
        <w:pStyle w:val="Sinespaciado"/>
      </w:pPr>
    </w:p>
    <w:p w:rsidR="00182955" w:rsidRDefault="00182955" w:rsidP="00182955">
      <w:pPr>
        <w:shd w:val="clear" w:color="auto" w:fill="FFFFFF"/>
        <w:spacing w:line="360" w:lineRule="auto"/>
        <w:ind w:firstLine="708"/>
        <w:jc w:val="both"/>
        <w:rPr>
          <w:rFonts w:ascii="Arial Narrow" w:hAnsi="Arial Narrow" w:cs="Tahoma"/>
          <w:sz w:val="28"/>
          <w:szCs w:val="28"/>
        </w:rPr>
      </w:pPr>
      <w:r>
        <w:rPr>
          <w:rFonts w:ascii="Arial Narrow" w:hAnsi="Arial Narrow" w:cs="Tahoma"/>
          <w:sz w:val="28"/>
          <w:szCs w:val="28"/>
        </w:rPr>
        <w:t xml:space="preserve">Admitida la demanda, </w:t>
      </w:r>
      <w:r w:rsidR="001B397F">
        <w:rPr>
          <w:rFonts w:ascii="Arial Narrow" w:hAnsi="Arial Narrow" w:cs="Tahoma"/>
          <w:sz w:val="28"/>
          <w:szCs w:val="28"/>
        </w:rPr>
        <w:t xml:space="preserve">Colpensiones </w:t>
      </w:r>
      <w:r w:rsidR="0022246B">
        <w:rPr>
          <w:rFonts w:ascii="Arial Narrow" w:hAnsi="Arial Narrow" w:cs="Tahoma"/>
          <w:sz w:val="28"/>
          <w:szCs w:val="28"/>
        </w:rPr>
        <w:t>guardó silencio dentro del término otorgado para descorrer el traslado.</w:t>
      </w:r>
    </w:p>
    <w:p w:rsidR="00182955" w:rsidRPr="003D7A67" w:rsidRDefault="00182955" w:rsidP="003D7A67">
      <w:pPr>
        <w:pStyle w:val="Sinespaciado"/>
      </w:pPr>
    </w:p>
    <w:p w:rsidR="0035629E" w:rsidRDefault="0035629E" w:rsidP="0035629E">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Por auto </w:t>
      </w:r>
      <w:r w:rsidRPr="0035629E">
        <w:rPr>
          <w:rFonts w:ascii="Arial Narrow" w:hAnsi="Arial Narrow"/>
          <w:sz w:val="28"/>
          <w:szCs w:val="28"/>
        </w:rPr>
        <w:t xml:space="preserve">del 7 de julio de 2016 se ordenó vincular en calidad de litisconsortes necesarios a </w:t>
      </w:r>
      <w:r>
        <w:rPr>
          <w:rFonts w:ascii="Arial Narrow" w:hAnsi="Arial Narrow"/>
          <w:sz w:val="28"/>
          <w:szCs w:val="28"/>
        </w:rPr>
        <w:t xml:space="preserve">los jóvenes </w:t>
      </w:r>
      <w:r w:rsidRPr="0035629E">
        <w:rPr>
          <w:rFonts w:ascii="Arial Narrow" w:hAnsi="Arial Narrow"/>
          <w:sz w:val="28"/>
          <w:szCs w:val="28"/>
        </w:rPr>
        <w:t xml:space="preserve">Diego Alexander y Daniela Guapacha Calderón, </w:t>
      </w:r>
      <w:r w:rsidR="00D75EA4">
        <w:rPr>
          <w:rFonts w:ascii="Arial Narrow" w:hAnsi="Arial Narrow"/>
          <w:sz w:val="28"/>
          <w:szCs w:val="28"/>
        </w:rPr>
        <w:t>hijos de la causante, quienes a través de apoderado judicial allegaron respuesta, indicando que desisten del porcentaje de la pensión que les llegase a corresponder, a ef</w:t>
      </w:r>
      <w:r w:rsidR="00B25C09">
        <w:rPr>
          <w:rFonts w:ascii="Arial Narrow" w:hAnsi="Arial Narrow"/>
          <w:sz w:val="28"/>
          <w:szCs w:val="28"/>
        </w:rPr>
        <w:t xml:space="preserve">ectos de acrecentar en un 100 % el valor de la cuota parte de su señor padre, </w:t>
      </w:r>
      <w:r w:rsidR="006E0FC5">
        <w:rPr>
          <w:rFonts w:ascii="Arial Narrow" w:hAnsi="Arial Narrow"/>
          <w:sz w:val="28"/>
          <w:szCs w:val="28"/>
        </w:rPr>
        <w:t xml:space="preserve">Ancizar de Jesús Guapacha Largo. Se allanaron </w:t>
      </w:r>
      <w:r w:rsidR="00587AD1">
        <w:rPr>
          <w:rFonts w:ascii="Arial Narrow" w:hAnsi="Arial Narrow"/>
          <w:sz w:val="28"/>
          <w:szCs w:val="28"/>
        </w:rPr>
        <w:t>a las pretensiones del gestor</w:t>
      </w:r>
      <w:r w:rsidR="00B25C09">
        <w:rPr>
          <w:rFonts w:ascii="Arial Narrow" w:hAnsi="Arial Narrow"/>
          <w:sz w:val="28"/>
          <w:szCs w:val="28"/>
        </w:rPr>
        <w:t>.</w:t>
      </w:r>
    </w:p>
    <w:p w:rsidR="006E0FC5" w:rsidRPr="003D7A67" w:rsidRDefault="006E0FC5" w:rsidP="003D7A67">
      <w:pPr>
        <w:pStyle w:val="Sinespaciado"/>
      </w:pPr>
    </w:p>
    <w:p w:rsidR="006E0FC5" w:rsidRPr="0035629E" w:rsidRDefault="006E0FC5" w:rsidP="0035629E">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En la celebración de la audiencia de trámite y juzgamiento, el Ministerio Publico se notificó por conducta concluyente e intervino en el trámite del presente proceso, proponiendo como excepciones de fondo las de “Prescripción” e “Improcedencia de los intereses moratorios”.  </w:t>
      </w:r>
    </w:p>
    <w:p w:rsidR="000A0312" w:rsidRPr="003D7A67" w:rsidRDefault="000A0312" w:rsidP="003D7A67">
      <w:pPr>
        <w:pStyle w:val="Sinespaciado"/>
        <w:spacing w:line="360" w:lineRule="auto"/>
      </w:pPr>
    </w:p>
    <w:p w:rsidR="00182955" w:rsidRPr="00A0523C" w:rsidRDefault="00182955" w:rsidP="00182955">
      <w:pPr>
        <w:pStyle w:val="Prrafodelista"/>
        <w:numPr>
          <w:ilvl w:val="0"/>
          <w:numId w:val="1"/>
        </w:numPr>
        <w:shd w:val="clear" w:color="auto" w:fill="FFFFFF"/>
        <w:spacing w:line="360" w:lineRule="auto"/>
        <w:jc w:val="both"/>
        <w:rPr>
          <w:rFonts w:ascii="Arial Narrow" w:hAnsi="Arial Narrow" w:cs="Tahoma"/>
          <w:b/>
          <w:i/>
          <w:sz w:val="28"/>
          <w:szCs w:val="28"/>
        </w:rPr>
      </w:pPr>
      <w:r w:rsidRPr="00A0523C">
        <w:rPr>
          <w:rFonts w:ascii="Arial Narrow" w:hAnsi="Arial Narrow" w:cs="Tahoma"/>
          <w:b/>
          <w:i/>
          <w:sz w:val="28"/>
          <w:szCs w:val="28"/>
        </w:rPr>
        <w:t xml:space="preserve">SENTENCIA DEL JUZGADO </w:t>
      </w:r>
    </w:p>
    <w:p w:rsidR="00182955" w:rsidRPr="00F45700" w:rsidRDefault="00182955" w:rsidP="00F45700">
      <w:pPr>
        <w:pStyle w:val="Sinespaciado"/>
      </w:pPr>
    </w:p>
    <w:p w:rsidR="006E0FC5" w:rsidRDefault="006E0FC5" w:rsidP="00182955">
      <w:pPr>
        <w:spacing w:line="360" w:lineRule="auto"/>
        <w:ind w:firstLine="900"/>
        <w:jc w:val="both"/>
        <w:rPr>
          <w:rFonts w:ascii="Arial Narrow" w:hAnsi="Arial Narrow" w:cs="Tahoma"/>
          <w:sz w:val="28"/>
          <w:szCs w:val="28"/>
        </w:rPr>
      </w:pPr>
      <w:r>
        <w:rPr>
          <w:rFonts w:ascii="Arial Narrow" w:hAnsi="Arial Narrow" w:cs="Tahoma"/>
          <w:sz w:val="28"/>
          <w:szCs w:val="28"/>
        </w:rPr>
        <w:t xml:space="preserve">El Juzgado de conocimiento mediante fallo del </w:t>
      </w:r>
      <w:r w:rsidR="00DF0308">
        <w:rPr>
          <w:rFonts w:ascii="Arial Narrow" w:hAnsi="Arial Narrow" w:cs="Tahoma"/>
          <w:sz w:val="28"/>
          <w:szCs w:val="28"/>
        </w:rPr>
        <w:t xml:space="preserve">21 de noviembre de 2016, accedió a las pretensiones, declarando que la señora Blanca Lilia Calderón Cardona dejó causado el derecho a la pensión de sobrevivientes a sus beneficiarios, por haber cumplido los requisitos establecidos en el Acuerdo 049 de 1990, al paso que declaró como beneficiarios de la prestación, al </w:t>
      </w:r>
      <w:r w:rsidR="0049315A">
        <w:rPr>
          <w:rFonts w:ascii="Arial Narrow" w:hAnsi="Arial Narrow" w:cs="Tahoma"/>
          <w:sz w:val="28"/>
          <w:szCs w:val="28"/>
        </w:rPr>
        <w:t>demandante</w:t>
      </w:r>
      <w:r w:rsidR="00DF0308">
        <w:rPr>
          <w:rFonts w:ascii="Arial Narrow" w:hAnsi="Arial Narrow" w:cs="Tahoma"/>
          <w:sz w:val="28"/>
          <w:szCs w:val="28"/>
        </w:rPr>
        <w:t xml:space="preserve"> Ancizar de Jesús Guapacha Largo, en calidad de </w:t>
      </w:r>
      <w:r w:rsidR="0049315A">
        <w:rPr>
          <w:rFonts w:ascii="Arial Narrow" w:hAnsi="Arial Narrow" w:cs="Tahoma"/>
          <w:sz w:val="28"/>
          <w:szCs w:val="28"/>
        </w:rPr>
        <w:t>cónyuge</w:t>
      </w:r>
      <w:r w:rsidR="00DF0308">
        <w:rPr>
          <w:rFonts w:ascii="Arial Narrow" w:hAnsi="Arial Narrow" w:cs="Tahoma"/>
          <w:sz w:val="28"/>
          <w:szCs w:val="28"/>
        </w:rPr>
        <w:t xml:space="preserve"> supérstite, y a los jóvenes Diego Alexander y Daniela Guapacha </w:t>
      </w:r>
      <w:r w:rsidR="00DF0308">
        <w:rPr>
          <w:rFonts w:ascii="Arial Narrow" w:hAnsi="Arial Narrow" w:cs="Tahoma"/>
          <w:sz w:val="28"/>
          <w:szCs w:val="28"/>
        </w:rPr>
        <w:lastRenderedPageBreak/>
        <w:t xml:space="preserve">Calderón, </w:t>
      </w:r>
      <w:r w:rsidR="0049315A">
        <w:rPr>
          <w:rFonts w:ascii="Arial Narrow" w:hAnsi="Arial Narrow" w:cs="Tahoma"/>
          <w:sz w:val="28"/>
          <w:szCs w:val="28"/>
        </w:rPr>
        <w:t xml:space="preserve">hijos de la afiliada, </w:t>
      </w:r>
      <w:r w:rsidR="00824B82">
        <w:rPr>
          <w:rFonts w:ascii="Arial Narrow" w:hAnsi="Arial Narrow" w:cs="Tahoma"/>
          <w:sz w:val="28"/>
          <w:szCs w:val="28"/>
        </w:rPr>
        <w:t xml:space="preserve">frente a los cuales consideró que </w:t>
      </w:r>
      <w:r w:rsidR="00FA7ACB">
        <w:rPr>
          <w:rFonts w:ascii="Arial Narrow" w:hAnsi="Arial Narrow" w:cs="Tahoma"/>
          <w:sz w:val="28"/>
          <w:szCs w:val="28"/>
        </w:rPr>
        <w:t xml:space="preserve">no podían renunciar a su derecho, </w:t>
      </w:r>
      <w:r w:rsidR="0049315A">
        <w:rPr>
          <w:rFonts w:ascii="Arial Narrow" w:hAnsi="Arial Narrow" w:cs="Tahoma"/>
          <w:sz w:val="28"/>
          <w:szCs w:val="28"/>
        </w:rPr>
        <w:t xml:space="preserve">por </w:t>
      </w:r>
      <w:r w:rsidR="00824B82">
        <w:rPr>
          <w:rFonts w:ascii="Arial Narrow" w:hAnsi="Arial Narrow" w:cs="Tahoma"/>
          <w:sz w:val="28"/>
          <w:szCs w:val="28"/>
        </w:rPr>
        <w:t>ser</w:t>
      </w:r>
      <w:r w:rsidR="0049315A">
        <w:rPr>
          <w:rFonts w:ascii="Arial Narrow" w:hAnsi="Arial Narrow" w:cs="Tahoma"/>
          <w:sz w:val="28"/>
          <w:szCs w:val="28"/>
        </w:rPr>
        <w:t xml:space="preserve"> constitucional e irrenunciable. </w:t>
      </w:r>
      <w:r w:rsidR="00FA7ACB">
        <w:rPr>
          <w:rFonts w:ascii="Arial Narrow" w:hAnsi="Arial Narrow" w:cs="Tahoma"/>
          <w:sz w:val="28"/>
          <w:szCs w:val="28"/>
        </w:rPr>
        <w:t xml:space="preserve">No obstante, declaró próspera la excepción de prescripción formulada por el Ministerio Publico, respecto de las mesadas </w:t>
      </w:r>
      <w:r w:rsidR="00B57F30">
        <w:rPr>
          <w:rFonts w:ascii="Arial Narrow" w:hAnsi="Arial Narrow" w:cs="Tahoma"/>
          <w:sz w:val="28"/>
          <w:szCs w:val="28"/>
        </w:rPr>
        <w:t xml:space="preserve">causadas en </w:t>
      </w:r>
      <w:r w:rsidR="00FA7ACB">
        <w:rPr>
          <w:rFonts w:ascii="Arial Narrow" w:hAnsi="Arial Narrow" w:cs="Tahoma"/>
          <w:sz w:val="28"/>
          <w:szCs w:val="28"/>
        </w:rPr>
        <w:t xml:space="preserve">favor de los hijos de la causante, y respecto al señor Ancizar de Jesús Guapacha Largo, </w:t>
      </w:r>
      <w:r w:rsidR="00B57F30">
        <w:rPr>
          <w:rFonts w:ascii="Arial Narrow" w:hAnsi="Arial Narrow" w:cs="Tahoma"/>
          <w:sz w:val="28"/>
          <w:szCs w:val="28"/>
        </w:rPr>
        <w:t xml:space="preserve">a partir del 3 de mayo de 2010 pues la </w:t>
      </w:r>
      <w:r w:rsidR="00FA7ACB">
        <w:rPr>
          <w:rFonts w:ascii="Arial Narrow" w:hAnsi="Arial Narrow" w:cs="Tahoma"/>
          <w:sz w:val="28"/>
          <w:szCs w:val="28"/>
        </w:rPr>
        <w:t>reclamación administrativa data de ese mismo d</w:t>
      </w:r>
      <w:r w:rsidR="00B57F30">
        <w:rPr>
          <w:rFonts w:ascii="Arial Narrow" w:hAnsi="Arial Narrow" w:cs="Tahoma"/>
          <w:sz w:val="28"/>
          <w:szCs w:val="28"/>
        </w:rPr>
        <w:t xml:space="preserve">ía y mes del año 2013. </w:t>
      </w:r>
    </w:p>
    <w:p w:rsidR="00B57F30" w:rsidRPr="003D7A67" w:rsidRDefault="00B57F30" w:rsidP="003D7A67">
      <w:pPr>
        <w:pStyle w:val="Sinespaciado"/>
      </w:pPr>
    </w:p>
    <w:p w:rsidR="00182955" w:rsidRDefault="00B57F30" w:rsidP="00A57AC9">
      <w:pPr>
        <w:spacing w:line="360" w:lineRule="auto"/>
        <w:ind w:firstLine="900"/>
        <w:jc w:val="both"/>
        <w:rPr>
          <w:rFonts w:ascii="Arial Narrow" w:hAnsi="Arial Narrow" w:cs="Tahoma"/>
          <w:sz w:val="28"/>
          <w:szCs w:val="28"/>
        </w:rPr>
      </w:pPr>
      <w:r>
        <w:rPr>
          <w:rFonts w:ascii="Arial Narrow" w:hAnsi="Arial Narrow" w:cs="Tahoma"/>
          <w:sz w:val="28"/>
          <w:szCs w:val="28"/>
        </w:rPr>
        <w:t>En consecuencia, condenó a Colpensiones a pagar</w:t>
      </w:r>
      <w:r w:rsidR="003D7A67">
        <w:rPr>
          <w:rFonts w:ascii="Arial Narrow" w:hAnsi="Arial Narrow" w:cs="Tahoma"/>
          <w:sz w:val="28"/>
          <w:szCs w:val="28"/>
        </w:rPr>
        <w:t xml:space="preserve"> en pro del demandante </w:t>
      </w:r>
      <w:r>
        <w:rPr>
          <w:rFonts w:ascii="Arial Narrow" w:hAnsi="Arial Narrow" w:cs="Tahoma"/>
          <w:sz w:val="28"/>
          <w:szCs w:val="28"/>
        </w:rPr>
        <w:t xml:space="preserve">la pensión en un 50 % a partir del 3 de mayo de 2010 y hasta el 13 de octubre de 2011, y en un 100 % a partir del 14 de octubre de 2011 en adelante, en cuantía de un salario mínimo y con derecho a 14 mesadas anuales. Como retroactivo impuso </w:t>
      </w:r>
      <w:r w:rsidR="00A57AC9">
        <w:rPr>
          <w:rFonts w:ascii="Arial Narrow" w:hAnsi="Arial Narrow" w:cs="Tahoma"/>
          <w:sz w:val="28"/>
          <w:szCs w:val="28"/>
        </w:rPr>
        <w:t>la suma d</w:t>
      </w:r>
      <w:r>
        <w:rPr>
          <w:rFonts w:ascii="Arial Narrow" w:hAnsi="Arial Narrow" w:cs="Tahoma"/>
          <w:sz w:val="28"/>
          <w:szCs w:val="28"/>
        </w:rPr>
        <w:t xml:space="preserve">e </w:t>
      </w:r>
      <w:r w:rsidR="00A57AC9">
        <w:rPr>
          <w:rFonts w:ascii="Arial Narrow" w:hAnsi="Arial Narrow" w:cs="Tahoma"/>
          <w:sz w:val="28"/>
          <w:szCs w:val="28"/>
        </w:rPr>
        <w:t>$</w:t>
      </w:r>
      <w:r>
        <w:rPr>
          <w:rFonts w:ascii="Arial Narrow" w:hAnsi="Arial Narrow" w:cs="Tahoma"/>
          <w:sz w:val="28"/>
          <w:szCs w:val="28"/>
        </w:rPr>
        <w:t xml:space="preserve">48`678.224, </w:t>
      </w:r>
      <w:r w:rsidR="00A57AC9">
        <w:rPr>
          <w:rFonts w:ascii="Arial Narrow" w:hAnsi="Arial Narrow" w:cs="Tahoma"/>
          <w:sz w:val="28"/>
          <w:szCs w:val="28"/>
        </w:rPr>
        <w:t xml:space="preserve">más </w:t>
      </w:r>
      <w:r>
        <w:rPr>
          <w:rFonts w:ascii="Arial Narrow" w:hAnsi="Arial Narrow" w:cs="Tahoma"/>
          <w:sz w:val="28"/>
          <w:szCs w:val="28"/>
        </w:rPr>
        <w:t xml:space="preserve">la indexación hasta la fecha de ejecutoria de la sentencia y, </w:t>
      </w:r>
      <w:r w:rsidR="00A57AC9">
        <w:rPr>
          <w:rFonts w:ascii="Arial Narrow" w:hAnsi="Arial Narrow" w:cs="Tahoma"/>
          <w:sz w:val="28"/>
          <w:szCs w:val="28"/>
        </w:rPr>
        <w:t>los intereses</w:t>
      </w:r>
      <w:r>
        <w:rPr>
          <w:rFonts w:ascii="Arial Narrow" w:hAnsi="Arial Narrow" w:cs="Tahoma"/>
          <w:sz w:val="28"/>
          <w:szCs w:val="28"/>
        </w:rPr>
        <w:t xml:space="preserve"> de mora una vez ejecutoriada la misma. </w:t>
      </w:r>
    </w:p>
    <w:p w:rsidR="00A57AC9" w:rsidRPr="003D7A67" w:rsidRDefault="00A57AC9" w:rsidP="003D7A67">
      <w:pPr>
        <w:pStyle w:val="Sinespaciado"/>
      </w:pPr>
    </w:p>
    <w:p w:rsidR="00182955" w:rsidRDefault="00182955" w:rsidP="00182955">
      <w:pPr>
        <w:spacing w:line="360" w:lineRule="auto"/>
        <w:ind w:firstLine="900"/>
        <w:jc w:val="both"/>
        <w:rPr>
          <w:rFonts w:ascii="Arial Narrow" w:hAnsi="Arial Narrow" w:cs="Tahoma"/>
          <w:sz w:val="28"/>
          <w:szCs w:val="28"/>
        </w:rPr>
      </w:pPr>
      <w:r>
        <w:rPr>
          <w:rFonts w:ascii="Arial Narrow" w:hAnsi="Arial Narrow" w:cs="Tahoma"/>
          <w:sz w:val="28"/>
          <w:szCs w:val="28"/>
        </w:rPr>
        <w:t xml:space="preserve">En la motiva, luego de apoyarse en pronunciamientos de la Corte Constitucional, estimó que </w:t>
      </w:r>
      <w:r w:rsidR="00A57AC9">
        <w:rPr>
          <w:rFonts w:ascii="Arial Narrow" w:hAnsi="Arial Narrow" w:cs="Tahoma"/>
          <w:sz w:val="28"/>
          <w:szCs w:val="28"/>
        </w:rPr>
        <w:t xml:space="preserve">la afiliada </w:t>
      </w:r>
      <w:r>
        <w:rPr>
          <w:rFonts w:ascii="Arial Narrow" w:hAnsi="Arial Narrow" w:cs="Tahoma"/>
          <w:sz w:val="28"/>
          <w:szCs w:val="28"/>
        </w:rPr>
        <w:t>fallecid</w:t>
      </w:r>
      <w:r w:rsidR="00A57AC9">
        <w:rPr>
          <w:rFonts w:ascii="Arial Narrow" w:hAnsi="Arial Narrow" w:cs="Tahoma"/>
          <w:sz w:val="28"/>
          <w:szCs w:val="28"/>
        </w:rPr>
        <w:t>a</w:t>
      </w:r>
      <w:r>
        <w:rPr>
          <w:rFonts w:ascii="Arial Narrow" w:hAnsi="Arial Narrow" w:cs="Tahoma"/>
          <w:sz w:val="28"/>
          <w:szCs w:val="28"/>
        </w:rPr>
        <w:t xml:space="preserve"> dejó causado el derecho a la pensión, por haber colmado la densidad de semanas exigidas en el Acuerdo 049 de 1990, en aplicación del principio de la condición más beneficiosa. De otra parte, de las pruebas testimoniales recibidas en la actuación, dio por acred</w:t>
      </w:r>
      <w:r w:rsidR="00A57AC9">
        <w:rPr>
          <w:rFonts w:ascii="Arial Narrow" w:hAnsi="Arial Narrow" w:cs="Tahoma"/>
          <w:sz w:val="28"/>
          <w:szCs w:val="28"/>
        </w:rPr>
        <w:t>itada la calidad de beneficiario</w:t>
      </w:r>
      <w:r>
        <w:rPr>
          <w:rFonts w:ascii="Arial Narrow" w:hAnsi="Arial Narrow" w:cs="Tahoma"/>
          <w:sz w:val="28"/>
          <w:szCs w:val="28"/>
        </w:rPr>
        <w:t xml:space="preserve"> a la pensión de sobrevivientes de</w:t>
      </w:r>
      <w:r w:rsidR="00A57AC9">
        <w:rPr>
          <w:rFonts w:ascii="Arial Narrow" w:hAnsi="Arial Narrow" w:cs="Tahoma"/>
          <w:sz w:val="28"/>
          <w:szCs w:val="28"/>
        </w:rPr>
        <w:t>l actor</w:t>
      </w:r>
      <w:r>
        <w:rPr>
          <w:rFonts w:ascii="Arial Narrow" w:hAnsi="Arial Narrow" w:cs="Tahoma"/>
          <w:sz w:val="28"/>
          <w:szCs w:val="28"/>
        </w:rPr>
        <w:t xml:space="preserve">, por haber demostrado convivencia con </w:t>
      </w:r>
      <w:r w:rsidR="00A57AC9">
        <w:rPr>
          <w:rFonts w:ascii="Arial Narrow" w:hAnsi="Arial Narrow" w:cs="Tahoma"/>
          <w:sz w:val="28"/>
          <w:szCs w:val="28"/>
        </w:rPr>
        <w:t xml:space="preserve">la causante </w:t>
      </w:r>
      <w:r>
        <w:rPr>
          <w:rFonts w:ascii="Arial Narrow" w:hAnsi="Arial Narrow" w:cs="Tahoma"/>
          <w:sz w:val="28"/>
          <w:szCs w:val="28"/>
        </w:rPr>
        <w:t xml:space="preserve">por un lapso superior a 5 años antes de su deceso. De otra parte, encontró que </w:t>
      </w:r>
      <w:r w:rsidR="00A57AC9">
        <w:rPr>
          <w:rFonts w:ascii="Arial Narrow" w:hAnsi="Arial Narrow" w:cs="Tahoma"/>
          <w:sz w:val="28"/>
          <w:szCs w:val="28"/>
        </w:rPr>
        <w:t xml:space="preserve">los hijos menores de la </w:t>
      </w:r>
      <w:r>
        <w:rPr>
          <w:rFonts w:ascii="Arial Narrow" w:hAnsi="Arial Narrow" w:cs="Tahoma"/>
          <w:sz w:val="28"/>
          <w:szCs w:val="28"/>
        </w:rPr>
        <w:t>causante ostentab</w:t>
      </w:r>
      <w:r w:rsidR="00A57AC9">
        <w:rPr>
          <w:rFonts w:ascii="Arial Narrow" w:hAnsi="Arial Narrow" w:cs="Tahoma"/>
          <w:sz w:val="28"/>
          <w:szCs w:val="28"/>
        </w:rPr>
        <w:t>an</w:t>
      </w:r>
      <w:r>
        <w:rPr>
          <w:rFonts w:ascii="Arial Narrow" w:hAnsi="Arial Narrow" w:cs="Tahoma"/>
          <w:sz w:val="28"/>
          <w:szCs w:val="28"/>
        </w:rPr>
        <w:t xml:space="preserve"> la calidad de beneficiario</w:t>
      </w:r>
      <w:r w:rsidR="00A57AC9">
        <w:rPr>
          <w:rFonts w:ascii="Arial Narrow" w:hAnsi="Arial Narrow" w:cs="Tahoma"/>
          <w:sz w:val="28"/>
          <w:szCs w:val="28"/>
        </w:rPr>
        <w:t>s</w:t>
      </w:r>
      <w:r>
        <w:rPr>
          <w:rFonts w:ascii="Arial Narrow" w:hAnsi="Arial Narrow" w:cs="Tahoma"/>
          <w:sz w:val="28"/>
          <w:szCs w:val="28"/>
        </w:rPr>
        <w:t xml:space="preserve"> de la prestación, en los términos señalados por el artí</w:t>
      </w:r>
      <w:r w:rsidR="00BC73B0">
        <w:rPr>
          <w:rFonts w:ascii="Arial Narrow" w:hAnsi="Arial Narrow" w:cs="Tahoma"/>
          <w:sz w:val="28"/>
          <w:szCs w:val="28"/>
        </w:rPr>
        <w:t>culo 12 de la Ley 797 de 2003, pese a que su derecho se vio afectado por el fenómeno extintivo de la prescripción.</w:t>
      </w:r>
    </w:p>
    <w:p w:rsidR="00182955" w:rsidRDefault="00182955" w:rsidP="003D7A67">
      <w:pPr>
        <w:pStyle w:val="Sinespaciado"/>
        <w:spacing w:line="276" w:lineRule="auto"/>
      </w:pPr>
    </w:p>
    <w:p w:rsidR="00182955" w:rsidRPr="00A0523C" w:rsidRDefault="00182955" w:rsidP="00182955">
      <w:pPr>
        <w:pStyle w:val="Prrafodelista"/>
        <w:numPr>
          <w:ilvl w:val="0"/>
          <w:numId w:val="1"/>
        </w:numPr>
        <w:spacing w:line="360" w:lineRule="auto"/>
        <w:jc w:val="both"/>
        <w:rPr>
          <w:rFonts w:ascii="Arial Narrow" w:hAnsi="Arial Narrow" w:cs="Tahoma"/>
          <w:b/>
          <w:i/>
          <w:sz w:val="28"/>
          <w:szCs w:val="28"/>
        </w:rPr>
      </w:pPr>
      <w:r w:rsidRPr="00A0523C">
        <w:rPr>
          <w:rFonts w:ascii="Arial Narrow" w:hAnsi="Arial Narrow" w:cs="Tahoma"/>
          <w:b/>
          <w:i/>
          <w:sz w:val="28"/>
          <w:szCs w:val="28"/>
        </w:rPr>
        <w:t>CONSULTA</w:t>
      </w:r>
    </w:p>
    <w:p w:rsidR="00182955" w:rsidRDefault="00182955" w:rsidP="00182955">
      <w:pPr>
        <w:pStyle w:val="Sinespaciado"/>
        <w:rPr>
          <w:lang w:val="es-MX" w:eastAsia="es-CO"/>
        </w:rPr>
      </w:pPr>
    </w:p>
    <w:p w:rsidR="00182955" w:rsidRDefault="00182955" w:rsidP="00182955">
      <w:pPr>
        <w:tabs>
          <w:tab w:val="left" w:pos="709"/>
          <w:tab w:val="left" w:pos="8647"/>
        </w:tabs>
        <w:spacing w:line="360" w:lineRule="auto"/>
        <w:ind w:right="19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ab/>
        <w:t>Res</w:t>
      </w:r>
      <w:r w:rsidRPr="00171AC6">
        <w:rPr>
          <w:rFonts w:ascii="Arial Narrow" w:hAnsi="Arial Narrow" w:cs="Tahoma"/>
          <w:iCs/>
          <w:color w:val="000000"/>
          <w:sz w:val="28"/>
          <w:szCs w:val="28"/>
          <w:lang w:val="es-MX" w:eastAsia="es-CO"/>
        </w:rPr>
        <w:t xml:space="preserve">pecto del citado proveído se dispuso el grado jurisdiccional de consulta ante esta Sala y surtido como se encuentra el trámite procesal de la instancia, se procede a desatarlo. </w:t>
      </w:r>
    </w:p>
    <w:p w:rsidR="003D7A67" w:rsidRPr="00416E74" w:rsidRDefault="003D7A67" w:rsidP="003D7A67">
      <w:pPr>
        <w:pStyle w:val="Sinespaciado"/>
        <w:spacing w:line="276" w:lineRule="auto"/>
        <w:rPr>
          <w:lang w:eastAsia="es-CO"/>
        </w:rPr>
      </w:pPr>
    </w:p>
    <w:p w:rsidR="00182955" w:rsidRPr="00FE727A" w:rsidRDefault="00182955" w:rsidP="00182955">
      <w:pPr>
        <w:pStyle w:val="Prrafodelista"/>
        <w:numPr>
          <w:ilvl w:val="0"/>
          <w:numId w:val="1"/>
        </w:numPr>
        <w:tabs>
          <w:tab w:val="left" w:pos="0"/>
          <w:tab w:val="left" w:pos="8647"/>
        </w:tabs>
        <w:suppressAutoHyphens/>
        <w:spacing w:line="360" w:lineRule="auto"/>
        <w:jc w:val="both"/>
        <w:rPr>
          <w:rFonts w:ascii="Arial Narrow" w:hAnsi="Arial Narrow" w:cs="Tahoma"/>
          <w:sz w:val="28"/>
          <w:szCs w:val="28"/>
        </w:rPr>
      </w:pPr>
      <w:r w:rsidRPr="00FE727A">
        <w:rPr>
          <w:rFonts w:ascii="Arial Narrow" w:hAnsi="Arial Narrow" w:cs="Tahoma"/>
          <w:b/>
          <w:i/>
          <w:sz w:val="28"/>
          <w:szCs w:val="28"/>
        </w:rPr>
        <w:t>ALEGATOS EN ESTA INSTANCIA</w:t>
      </w:r>
      <w:r w:rsidRPr="00FE727A">
        <w:rPr>
          <w:rFonts w:ascii="Arial Narrow" w:hAnsi="Arial Narrow" w:cs="Tahoma"/>
          <w:sz w:val="28"/>
          <w:szCs w:val="28"/>
        </w:rPr>
        <w:t>:</w:t>
      </w:r>
    </w:p>
    <w:p w:rsidR="00182955" w:rsidRPr="003D7A67" w:rsidRDefault="00182955" w:rsidP="003D7A67">
      <w:pPr>
        <w:pStyle w:val="Sinespaciado"/>
      </w:pPr>
    </w:p>
    <w:p w:rsidR="00182955" w:rsidRDefault="00182955" w:rsidP="00182955">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w:t>
      </w:r>
      <w:r w:rsidRPr="006B4716">
        <w:rPr>
          <w:rFonts w:ascii="Arial Narrow" w:hAnsi="Arial Narrow"/>
          <w:sz w:val="28"/>
          <w:szCs w:val="28"/>
        </w:rPr>
        <w:lastRenderedPageBreak/>
        <w:t xml:space="preserve">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r>
        <w:rPr>
          <w:rFonts w:ascii="Arial Narrow" w:hAnsi="Arial Narrow"/>
          <w:sz w:val="28"/>
          <w:szCs w:val="28"/>
        </w:rPr>
        <w:t xml:space="preserve"> </w:t>
      </w:r>
      <w:r w:rsidRPr="006B4716">
        <w:rPr>
          <w:rFonts w:ascii="Arial Narrow" w:hAnsi="Arial Narrow"/>
          <w:sz w:val="28"/>
          <w:szCs w:val="28"/>
        </w:rPr>
        <w:t xml:space="preserve">Escuchadas las anteriores intervenciones que en síntesis reflejan los puntos debatidos por los integrantes de la Sala, se procede a decidir </w:t>
      </w:r>
      <w:r>
        <w:rPr>
          <w:rFonts w:ascii="Arial Narrow" w:hAnsi="Arial Narrow"/>
          <w:sz w:val="28"/>
          <w:szCs w:val="28"/>
        </w:rPr>
        <w:t>lo que corresponda, previas las siguientes:</w:t>
      </w:r>
    </w:p>
    <w:p w:rsidR="00182955" w:rsidRDefault="00182955" w:rsidP="00182955">
      <w:pPr>
        <w:pStyle w:val="Sinespaciado"/>
        <w:spacing w:line="360" w:lineRule="auto"/>
        <w:rPr>
          <w:lang w:val="es-MX" w:eastAsia="es-CO"/>
        </w:rPr>
      </w:pPr>
    </w:p>
    <w:p w:rsidR="00182955" w:rsidRPr="00CC6443" w:rsidRDefault="00182955" w:rsidP="00182955">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CONSIDERACIONES</w:t>
      </w:r>
    </w:p>
    <w:p w:rsidR="00182955" w:rsidRPr="00DA2885" w:rsidRDefault="00182955" w:rsidP="00182955">
      <w:pPr>
        <w:pStyle w:val="Sinespaciado"/>
      </w:pPr>
    </w:p>
    <w:p w:rsidR="00182955" w:rsidRDefault="00182955" w:rsidP="00182955">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182955" w:rsidRPr="00DA2885" w:rsidRDefault="00182955" w:rsidP="00182955">
      <w:pPr>
        <w:pStyle w:val="Sinespaciado"/>
      </w:pPr>
    </w:p>
    <w:p w:rsidR="00182955" w:rsidRDefault="00182955" w:rsidP="00182955">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orden a resolver el grado jurisdiccional de consulta, la Sala deberá abordar el siguiente problema jurídico: </w:t>
      </w:r>
    </w:p>
    <w:p w:rsidR="00182955" w:rsidRPr="003D7A67" w:rsidRDefault="00182955" w:rsidP="003D7A67">
      <w:pPr>
        <w:pStyle w:val="Sinespaciado"/>
      </w:pPr>
    </w:p>
    <w:p w:rsidR="00182955" w:rsidRPr="00DA2885" w:rsidRDefault="00182955" w:rsidP="00182955">
      <w:pPr>
        <w:shd w:val="clear" w:color="auto" w:fill="FFFFFF"/>
        <w:tabs>
          <w:tab w:val="left" w:pos="5197"/>
        </w:tabs>
        <w:ind w:firstLine="851"/>
        <w:jc w:val="both"/>
        <w:rPr>
          <w:rFonts w:ascii="Arial Narrow" w:hAnsi="Arial Narrow" w:cs="Tahoma"/>
          <w:i/>
          <w:color w:val="000000"/>
          <w:sz w:val="26"/>
          <w:szCs w:val="26"/>
          <w:lang w:eastAsia="es-CO"/>
        </w:rPr>
      </w:pPr>
      <w:r w:rsidRPr="00DA2885">
        <w:rPr>
          <w:rFonts w:ascii="Arial Narrow" w:hAnsi="Arial Narrow" w:cs="Tahoma"/>
          <w:i/>
          <w:color w:val="000000"/>
          <w:sz w:val="26"/>
          <w:szCs w:val="26"/>
          <w:lang w:eastAsia="es-CO"/>
        </w:rPr>
        <w:t>¿</w:t>
      </w:r>
      <w:r w:rsidR="00EE7308">
        <w:rPr>
          <w:rFonts w:ascii="Arial Narrow" w:hAnsi="Arial Narrow" w:cs="Tahoma"/>
          <w:i/>
          <w:color w:val="000000"/>
          <w:sz w:val="26"/>
          <w:szCs w:val="26"/>
          <w:lang w:eastAsia="es-CO"/>
        </w:rPr>
        <w:t>D</w:t>
      </w:r>
      <w:r w:rsidRPr="00DA2885">
        <w:rPr>
          <w:rFonts w:ascii="Arial Narrow" w:hAnsi="Arial Narrow" w:cs="Tahoma"/>
          <w:i/>
          <w:color w:val="000000"/>
          <w:sz w:val="26"/>
          <w:szCs w:val="26"/>
          <w:lang w:eastAsia="es-CO"/>
        </w:rPr>
        <w:t>ejó causado</w:t>
      </w:r>
      <w:r w:rsidR="00EE7308">
        <w:rPr>
          <w:rFonts w:ascii="Arial Narrow" w:hAnsi="Arial Narrow" w:cs="Tahoma"/>
          <w:i/>
          <w:color w:val="000000"/>
          <w:sz w:val="26"/>
          <w:szCs w:val="26"/>
          <w:lang w:eastAsia="es-CO"/>
        </w:rPr>
        <w:t xml:space="preserve"> la señora Blanca Lilia Calderón Cardona </w:t>
      </w:r>
      <w:r w:rsidRPr="00DA2885">
        <w:rPr>
          <w:rFonts w:ascii="Arial Narrow" w:hAnsi="Arial Narrow" w:cs="Tahoma"/>
          <w:i/>
          <w:color w:val="000000"/>
          <w:sz w:val="26"/>
          <w:szCs w:val="26"/>
          <w:lang w:eastAsia="es-CO"/>
        </w:rPr>
        <w:t xml:space="preserve">el derecho a la pensión de sobrevivientes, en aplicación del principio de la condición más beneficiosa? En caso positivo, </w:t>
      </w:r>
    </w:p>
    <w:p w:rsidR="00182955" w:rsidRPr="00037B48" w:rsidRDefault="00182955" w:rsidP="00182955">
      <w:pPr>
        <w:pStyle w:val="Sinespaciado"/>
      </w:pPr>
    </w:p>
    <w:p w:rsidR="00182955" w:rsidRDefault="00EE7308" w:rsidP="00182955">
      <w:pPr>
        <w:shd w:val="clear" w:color="auto" w:fill="FFFFFF"/>
        <w:tabs>
          <w:tab w:val="left" w:pos="5197"/>
        </w:tabs>
        <w:ind w:firstLine="851"/>
        <w:jc w:val="both"/>
        <w:rPr>
          <w:rFonts w:ascii="Arial Narrow" w:hAnsi="Arial Narrow" w:cs="Tahoma"/>
          <w:i/>
          <w:color w:val="000000"/>
          <w:sz w:val="26"/>
          <w:szCs w:val="26"/>
          <w:lang w:eastAsia="es-CO"/>
        </w:rPr>
      </w:pPr>
      <w:r>
        <w:rPr>
          <w:rFonts w:ascii="Arial Narrow" w:hAnsi="Arial Narrow" w:cs="Tahoma"/>
          <w:i/>
          <w:color w:val="000000"/>
          <w:sz w:val="26"/>
          <w:szCs w:val="26"/>
          <w:lang w:eastAsia="es-CO"/>
        </w:rPr>
        <w:t xml:space="preserve">¿Acreditó el señor Ancizar de Jesús Guapacha Largo y los litisconsortes vinculados al trámite, Diego Alexander y Daniela Guapacha Calderón </w:t>
      </w:r>
      <w:r w:rsidR="00182955" w:rsidRPr="00DA2885">
        <w:rPr>
          <w:rFonts w:ascii="Arial Narrow" w:hAnsi="Arial Narrow" w:cs="Tahoma"/>
          <w:i/>
          <w:color w:val="000000"/>
          <w:sz w:val="26"/>
          <w:szCs w:val="26"/>
          <w:lang w:eastAsia="es-CO"/>
        </w:rPr>
        <w:t>las condiciones necesarias para ser beneficiarios de la pensión de sobrevivientes reclamada?</w:t>
      </w:r>
    </w:p>
    <w:p w:rsidR="00EE7308" w:rsidRDefault="00EE7308" w:rsidP="00EE7308">
      <w:pPr>
        <w:pStyle w:val="Sinespaciado"/>
        <w:rPr>
          <w:lang w:eastAsia="es-CO"/>
        </w:rPr>
      </w:pPr>
    </w:p>
    <w:p w:rsidR="00EE7308" w:rsidRPr="00DA2885" w:rsidRDefault="00EE7308" w:rsidP="00182955">
      <w:pPr>
        <w:shd w:val="clear" w:color="auto" w:fill="FFFFFF"/>
        <w:tabs>
          <w:tab w:val="left" w:pos="5197"/>
        </w:tabs>
        <w:ind w:firstLine="851"/>
        <w:jc w:val="both"/>
        <w:rPr>
          <w:rFonts w:ascii="Arial Narrow" w:hAnsi="Arial Narrow" w:cs="Tahoma"/>
          <w:i/>
          <w:color w:val="000000"/>
          <w:sz w:val="26"/>
          <w:szCs w:val="26"/>
          <w:lang w:eastAsia="es-CO"/>
        </w:rPr>
      </w:pPr>
      <w:r>
        <w:rPr>
          <w:rFonts w:ascii="Arial Narrow" w:hAnsi="Arial Narrow" w:cs="Tahoma"/>
          <w:i/>
          <w:color w:val="000000"/>
          <w:sz w:val="26"/>
          <w:szCs w:val="26"/>
          <w:lang w:eastAsia="es-CO"/>
        </w:rPr>
        <w:t>¿Hay lugar a imponer condena por concepto de retroactivo pensional, indexación e intereses moratorios?</w:t>
      </w:r>
    </w:p>
    <w:p w:rsidR="00182955" w:rsidRPr="006B4716" w:rsidRDefault="00182955" w:rsidP="00182955">
      <w:pPr>
        <w:pStyle w:val="Sinespaciado"/>
        <w:spacing w:line="360" w:lineRule="auto"/>
      </w:pPr>
    </w:p>
    <w:p w:rsidR="00182955" w:rsidRDefault="00182955" w:rsidP="00182955">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182955" w:rsidRPr="00037B48" w:rsidRDefault="00182955" w:rsidP="00182955">
      <w:pPr>
        <w:pStyle w:val="Sinespaciado"/>
      </w:pPr>
    </w:p>
    <w:p w:rsidR="00182955" w:rsidRDefault="00182955" w:rsidP="00310D1C">
      <w:pPr>
        <w:spacing w:line="360" w:lineRule="auto"/>
        <w:ind w:firstLine="708"/>
        <w:jc w:val="both"/>
        <w:rPr>
          <w:rFonts w:ascii="Arial Narrow" w:hAnsi="Arial Narrow"/>
          <w:sz w:val="28"/>
          <w:szCs w:val="28"/>
          <w:lang w:eastAsia="en-US"/>
        </w:rPr>
      </w:pPr>
      <w:r>
        <w:rPr>
          <w:rFonts w:ascii="Arial Narrow" w:hAnsi="Arial Narrow"/>
          <w:sz w:val="28"/>
          <w:szCs w:val="28"/>
          <w:lang w:eastAsia="en-US"/>
        </w:rPr>
        <w:t>S</w:t>
      </w:r>
      <w:r w:rsidRPr="00F769BA">
        <w:rPr>
          <w:rFonts w:ascii="Arial Narrow" w:hAnsi="Arial Narrow"/>
          <w:sz w:val="28"/>
          <w:szCs w:val="28"/>
          <w:lang w:eastAsia="en-US"/>
        </w:rPr>
        <w:t>on supuestos fácticos no controvertido</w:t>
      </w:r>
      <w:r>
        <w:rPr>
          <w:rFonts w:ascii="Arial Narrow" w:hAnsi="Arial Narrow"/>
          <w:sz w:val="28"/>
          <w:szCs w:val="28"/>
          <w:lang w:eastAsia="en-US"/>
        </w:rPr>
        <w:t>s</w:t>
      </w:r>
      <w:r w:rsidR="00EE7308">
        <w:rPr>
          <w:rFonts w:ascii="Arial Narrow" w:hAnsi="Arial Narrow"/>
          <w:sz w:val="28"/>
          <w:szCs w:val="28"/>
          <w:lang w:eastAsia="en-US"/>
        </w:rPr>
        <w:t xml:space="preserve"> en esta actuación</w:t>
      </w:r>
      <w:r w:rsidRPr="00F769BA">
        <w:rPr>
          <w:rFonts w:ascii="Arial Narrow" w:hAnsi="Arial Narrow"/>
          <w:sz w:val="28"/>
          <w:szCs w:val="28"/>
          <w:lang w:eastAsia="en-US"/>
        </w:rPr>
        <w:t>: (i) que</w:t>
      </w:r>
      <w:r>
        <w:rPr>
          <w:rFonts w:ascii="Arial Narrow" w:hAnsi="Arial Narrow"/>
          <w:sz w:val="28"/>
          <w:szCs w:val="28"/>
          <w:lang w:eastAsia="en-US"/>
        </w:rPr>
        <w:t xml:space="preserve"> </w:t>
      </w:r>
      <w:r w:rsidR="00EE7308">
        <w:rPr>
          <w:rFonts w:ascii="Arial Narrow" w:hAnsi="Arial Narrow"/>
          <w:sz w:val="28"/>
          <w:szCs w:val="28"/>
          <w:lang w:eastAsia="en-US"/>
        </w:rPr>
        <w:t xml:space="preserve">la señora Blanca Lilia Calderón Cardona falleció el </w:t>
      </w:r>
      <w:r w:rsidR="00CC2FA5">
        <w:rPr>
          <w:rFonts w:ascii="Arial Narrow" w:hAnsi="Arial Narrow"/>
          <w:sz w:val="28"/>
          <w:szCs w:val="28"/>
          <w:lang w:eastAsia="en-US"/>
        </w:rPr>
        <w:t xml:space="preserve">29 de enero de 2007, pues así se colige del registro civil de defunción obrante a folio 25; (ii) que aquella </w:t>
      </w:r>
      <w:r w:rsidR="001D4EBF">
        <w:rPr>
          <w:rFonts w:ascii="Arial Narrow" w:hAnsi="Arial Narrow"/>
          <w:sz w:val="28"/>
          <w:szCs w:val="28"/>
          <w:lang w:eastAsia="en-US"/>
        </w:rPr>
        <w:t xml:space="preserve">sufragó </w:t>
      </w:r>
      <w:r w:rsidR="00CC2FA5">
        <w:rPr>
          <w:rFonts w:ascii="Arial Narrow" w:hAnsi="Arial Narrow"/>
          <w:sz w:val="28"/>
          <w:szCs w:val="28"/>
          <w:lang w:eastAsia="en-US"/>
        </w:rPr>
        <w:t xml:space="preserve">un total de  </w:t>
      </w:r>
      <w:r w:rsidR="00310D1C">
        <w:rPr>
          <w:rFonts w:ascii="Arial Narrow" w:hAnsi="Arial Narrow"/>
          <w:sz w:val="28"/>
          <w:szCs w:val="28"/>
          <w:lang w:eastAsia="en-US"/>
        </w:rPr>
        <w:t xml:space="preserve">582 semanas </w:t>
      </w:r>
      <w:r w:rsidR="001D4EBF">
        <w:rPr>
          <w:rFonts w:ascii="Arial Narrow" w:hAnsi="Arial Narrow"/>
          <w:sz w:val="28"/>
          <w:szCs w:val="28"/>
          <w:lang w:eastAsia="en-US"/>
        </w:rPr>
        <w:t xml:space="preserve">de aportes </w:t>
      </w:r>
      <w:r w:rsidR="00310D1C">
        <w:rPr>
          <w:rFonts w:ascii="Arial Narrow" w:hAnsi="Arial Narrow"/>
          <w:sz w:val="28"/>
          <w:szCs w:val="28"/>
          <w:lang w:eastAsia="en-US"/>
        </w:rPr>
        <w:t>al ISS entre el 3 de julio de 1986 y el 31 de diciembre de 1997, de las cuales más de 300 lo fuero</w:t>
      </w:r>
      <w:r w:rsidR="001D4EBF">
        <w:rPr>
          <w:rFonts w:ascii="Arial Narrow" w:hAnsi="Arial Narrow"/>
          <w:sz w:val="28"/>
          <w:szCs w:val="28"/>
          <w:lang w:eastAsia="en-US"/>
        </w:rPr>
        <w:t xml:space="preserve">n antes del 1º de abril de 1994, según se extracta de la </w:t>
      </w:r>
      <w:r w:rsidRPr="00E13461">
        <w:rPr>
          <w:rFonts w:ascii="Arial Narrow" w:hAnsi="Arial Narrow"/>
          <w:sz w:val="28"/>
          <w:szCs w:val="28"/>
          <w:lang w:eastAsia="en-US"/>
        </w:rPr>
        <w:t xml:space="preserve"> historia laboral que obra a fl.</w:t>
      </w:r>
      <w:r w:rsidR="00310D1C">
        <w:rPr>
          <w:rFonts w:ascii="Arial Narrow" w:hAnsi="Arial Narrow"/>
          <w:sz w:val="28"/>
          <w:szCs w:val="28"/>
          <w:lang w:eastAsia="en-US"/>
        </w:rPr>
        <w:t>67</w:t>
      </w:r>
      <w:r w:rsidR="001D4EBF">
        <w:rPr>
          <w:rFonts w:ascii="Arial Narrow" w:hAnsi="Arial Narrow"/>
          <w:sz w:val="28"/>
          <w:szCs w:val="28"/>
          <w:lang w:eastAsia="en-US"/>
        </w:rPr>
        <w:t>;</w:t>
      </w:r>
      <w:r w:rsidRPr="00E13461">
        <w:rPr>
          <w:rFonts w:ascii="Arial Narrow" w:hAnsi="Arial Narrow"/>
          <w:sz w:val="28"/>
          <w:szCs w:val="28"/>
          <w:lang w:eastAsia="en-US"/>
        </w:rPr>
        <w:t xml:space="preserve"> (iii) que </w:t>
      </w:r>
      <w:r w:rsidR="00310D1C">
        <w:rPr>
          <w:rFonts w:ascii="Arial Narrow" w:hAnsi="Arial Narrow"/>
          <w:sz w:val="28"/>
          <w:szCs w:val="28"/>
          <w:lang w:eastAsia="en-US"/>
        </w:rPr>
        <w:t>el actor y la causante c</w:t>
      </w:r>
      <w:r w:rsidRPr="00E13461">
        <w:rPr>
          <w:rFonts w:ascii="Arial Narrow" w:hAnsi="Arial Narrow"/>
          <w:sz w:val="28"/>
          <w:szCs w:val="28"/>
          <w:lang w:eastAsia="en-US"/>
        </w:rPr>
        <w:t xml:space="preserve">ontrajeron matrimonio </w:t>
      </w:r>
      <w:r w:rsidR="001D4EBF">
        <w:rPr>
          <w:rFonts w:ascii="Arial Narrow" w:hAnsi="Arial Narrow"/>
          <w:sz w:val="28"/>
          <w:szCs w:val="28"/>
          <w:lang w:eastAsia="en-US"/>
        </w:rPr>
        <w:t xml:space="preserve">por rito </w:t>
      </w:r>
      <w:r w:rsidRPr="00E13461">
        <w:rPr>
          <w:rFonts w:ascii="Arial Narrow" w:hAnsi="Arial Narrow"/>
          <w:sz w:val="28"/>
          <w:szCs w:val="28"/>
          <w:lang w:eastAsia="en-US"/>
        </w:rPr>
        <w:t xml:space="preserve">católico el </w:t>
      </w:r>
      <w:r w:rsidR="001D4EBF">
        <w:rPr>
          <w:rFonts w:ascii="Arial Narrow" w:hAnsi="Arial Narrow"/>
          <w:sz w:val="28"/>
          <w:szCs w:val="28"/>
          <w:lang w:eastAsia="en-US"/>
        </w:rPr>
        <w:t>día 1</w:t>
      </w:r>
      <w:r w:rsidR="00310D1C">
        <w:rPr>
          <w:rFonts w:ascii="Arial Narrow" w:hAnsi="Arial Narrow"/>
          <w:sz w:val="28"/>
          <w:szCs w:val="28"/>
          <w:lang w:eastAsia="en-US"/>
        </w:rPr>
        <w:t>8 de julio de 1987</w:t>
      </w:r>
      <w:r>
        <w:rPr>
          <w:rFonts w:ascii="Arial Narrow" w:hAnsi="Arial Narrow"/>
          <w:sz w:val="28"/>
          <w:szCs w:val="28"/>
          <w:lang w:eastAsia="en-US"/>
        </w:rPr>
        <w:t xml:space="preserve">, </w:t>
      </w:r>
      <w:r w:rsidR="001D4EBF">
        <w:rPr>
          <w:rFonts w:ascii="Arial Narrow" w:hAnsi="Arial Narrow" w:cs="Arial"/>
          <w:sz w:val="28"/>
          <w:szCs w:val="28"/>
          <w:lang w:val="es-ES"/>
        </w:rPr>
        <w:t>permaneciendo vigente dicho vínculo hasta la fecha del deceso de la afiliada</w:t>
      </w:r>
      <w:r w:rsidRPr="00C674D0">
        <w:rPr>
          <w:rFonts w:ascii="Arial Narrow" w:hAnsi="Arial Narrow" w:cs="Arial"/>
          <w:sz w:val="28"/>
          <w:szCs w:val="28"/>
          <w:lang w:val="es-ES"/>
        </w:rPr>
        <w:t>, sin que hubiera existido disolución y</w:t>
      </w:r>
      <w:r w:rsidR="001D4EBF">
        <w:rPr>
          <w:rFonts w:ascii="Arial Narrow" w:hAnsi="Arial Narrow" w:cs="Arial"/>
          <w:sz w:val="28"/>
          <w:szCs w:val="28"/>
          <w:lang w:val="es-ES"/>
        </w:rPr>
        <w:t xml:space="preserve">/o </w:t>
      </w:r>
      <w:r w:rsidRPr="00C674D0">
        <w:rPr>
          <w:rFonts w:ascii="Arial Narrow" w:hAnsi="Arial Narrow" w:cs="Arial"/>
          <w:sz w:val="28"/>
          <w:szCs w:val="28"/>
          <w:lang w:val="es-ES"/>
        </w:rPr>
        <w:t>liqui</w:t>
      </w:r>
      <w:r>
        <w:rPr>
          <w:rFonts w:ascii="Arial Narrow" w:hAnsi="Arial Narrow" w:cs="Arial"/>
          <w:sz w:val="28"/>
          <w:szCs w:val="28"/>
          <w:lang w:val="es-ES"/>
        </w:rPr>
        <w:t xml:space="preserve">dación de la sociedad conyugal, y (iv) </w:t>
      </w:r>
      <w:r>
        <w:rPr>
          <w:rFonts w:ascii="Arial Narrow" w:hAnsi="Arial Narrow"/>
          <w:sz w:val="28"/>
          <w:szCs w:val="28"/>
          <w:lang w:eastAsia="en-US"/>
        </w:rPr>
        <w:t xml:space="preserve">que la pareja procreó </w:t>
      </w:r>
      <w:r w:rsidR="001D4EBF">
        <w:rPr>
          <w:rFonts w:ascii="Arial Narrow" w:hAnsi="Arial Narrow"/>
          <w:sz w:val="28"/>
          <w:szCs w:val="28"/>
          <w:lang w:eastAsia="en-US"/>
        </w:rPr>
        <w:t xml:space="preserve">a </w:t>
      </w:r>
      <w:r w:rsidR="00310D1C">
        <w:rPr>
          <w:rFonts w:ascii="Arial Narrow" w:hAnsi="Arial Narrow"/>
          <w:sz w:val="28"/>
          <w:szCs w:val="28"/>
          <w:lang w:eastAsia="en-US"/>
        </w:rPr>
        <w:t xml:space="preserve">Diego Alexander y </w:t>
      </w:r>
      <w:r w:rsidR="001D4EBF">
        <w:rPr>
          <w:rFonts w:ascii="Arial Narrow" w:hAnsi="Arial Narrow"/>
          <w:sz w:val="28"/>
          <w:szCs w:val="28"/>
          <w:lang w:eastAsia="en-US"/>
        </w:rPr>
        <w:t xml:space="preserve">a </w:t>
      </w:r>
      <w:r w:rsidR="00310D1C">
        <w:rPr>
          <w:rFonts w:ascii="Arial Narrow" w:hAnsi="Arial Narrow"/>
          <w:sz w:val="28"/>
          <w:szCs w:val="28"/>
          <w:lang w:eastAsia="en-US"/>
        </w:rPr>
        <w:t xml:space="preserve">Daniela Guapacha Calderón, nacidos el 22 de mayo de 1991 y 13 de octubre de 1993, </w:t>
      </w:r>
      <w:r w:rsidR="001D4EBF">
        <w:rPr>
          <w:rFonts w:ascii="Arial Narrow" w:hAnsi="Arial Narrow"/>
          <w:sz w:val="28"/>
          <w:szCs w:val="28"/>
          <w:lang w:eastAsia="en-US"/>
        </w:rPr>
        <w:t>en su orden, de lo que se colige que arribaron a la mayoría de edad el 22 de mayo de 2</w:t>
      </w:r>
      <w:r w:rsidR="00021E62">
        <w:rPr>
          <w:rFonts w:ascii="Arial Narrow" w:hAnsi="Arial Narrow"/>
          <w:sz w:val="28"/>
          <w:szCs w:val="28"/>
          <w:lang w:eastAsia="en-US"/>
        </w:rPr>
        <w:t>009</w:t>
      </w:r>
      <w:r w:rsidR="001D4EBF">
        <w:rPr>
          <w:rFonts w:ascii="Arial Narrow" w:hAnsi="Arial Narrow"/>
          <w:sz w:val="28"/>
          <w:szCs w:val="28"/>
          <w:lang w:eastAsia="en-US"/>
        </w:rPr>
        <w:t xml:space="preserve"> y el 13 de octubre de 2011, respectivamente, según certificados de registro civil de nacimiento </w:t>
      </w:r>
      <w:r w:rsidR="00FA137F">
        <w:rPr>
          <w:rFonts w:ascii="Arial Narrow" w:hAnsi="Arial Narrow"/>
          <w:sz w:val="28"/>
          <w:szCs w:val="28"/>
          <w:lang w:eastAsia="en-US"/>
        </w:rPr>
        <w:t xml:space="preserve">visibles </w:t>
      </w:r>
      <w:r w:rsidR="001D4EBF">
        <w:rPr>
          <w:rFonts w:ascii="Arial Narrow" w:hAnsi="Arial Narrow"/>
          <w:sz w:val="28"/>
          <w:szCs w:val="28"/>
          <w:lang w:eastAsia="en-US"/>
        </w:rPr>
        <w:t xml:space="preserve">a folios 41 y 42. </w:t>
      </w:r>
    </w:p>
    <w:p w:rsidR="00182955" w:rsidRDefault="00182955" w:rsidP="00182955">
      <w:pPr>
        <w:pStyle w:val="Sinespaciado"/>
        <w:rPr>
          <w:lang w:eastAsia="en-US"/>
        </w:rPr>
      </w:pPr>
    </w:p>
    <w:p w:rsidR="00182955" w:rsidRDefault="00182955" w:rsidP="00182955">
      <w:pPr>
        <w:spacing w:line="360" w:lineRule="auto"/>
        <w:ind w:firstLine="708"/>
        <w:jc w:val="both"/>
        <w:rPr>
          <w:rFonts w:ascii="Arial Narrow" w:hAnsi="Arial Narrow"/>
          <w:sz w:val="28"/>
          <w:szCs w:val="28"/>
          <w:lang w:eastAsia="en-US"/>
        </w:rPr>
      </w:pPr>
      <w:r>
        <w:rPr>
          <w:rFonts w:ascii="Arial Narrow" w:hAnsi="Arial Narrow"/>
          <w:sz w:val="28"/>
          <w:szCs w:val="28"/>
          <w:lang w:eastAsia="en-US"/>
        </w:rPr>
        <w:lastRenderedPageBreak/>
        <w:t xml:space="preserve">Partiendo de esas bases, se adentrará la Colegiatura a resolver el primero de los dilemas jurídicos planteados, consistente en determinar si </w:t>
      </w:r>
      <w:r w:rsidR="004C1033">
        <w:rPr>
          <w:rFonts w:ascii="Arial Narrow" w:hAnsi="Arial Narrow"/>
          <w:sz w:val="28"/>
          <w:szCs w:val="28"/>
          <w:lang w:eastAsia="en-US"/>
        </w:rPr>
        <w:t xml:space="preserve">la afiliada fallecida </w:t>
      </w:r>
      <w:r>
        <w:rPr>
          <w:rFonts w:ascii="Arial Narrow" w:hAnsi="Arial Narrow"/>
          <w:sz w:val="28"/>
          <w:szCs w:val="28"/>
          <w:lang w:eastAsia="en-US"/>
        </w:rPr>
        <w:t>dejó causado el derecho a la pensión de sobrevivientes en favor de sus beneficiarios.</w:t>
      </w:r>
    </w:p>
    <w:p w:rsidR="00182955" w:rsidRPr="006878BE" w:rsidRDefault="00182955" w:rsidP="00182955">
      <w:pPr>
        <w:pStyle w:val="Sinespaciado"/>
      </w:pPr>
      <w:r w:rsidRPr="004171E4">
        <w:t xml:space="preserve"> </w:t>
      </w:r>
    </w:p>
    <w:p w:rsidR="00182955" w:rsidRDefault="00182955" w:rsidP="00182955">
      <w:pPr>
        <w:spacing w:line="360" w:lineRule="auto"/>
        <w:ind w:firstLine="708"/>
        <w:jc w:val="both"/>
        <w:rPr>
          <w:rFonts w:ascii="Arial Narrow" w:hAnsi="Arial Narrow" w:cs="Arial"/>
          <w:sz w:val="28"/>
          <w:szCs w:val="28"/>
        </w:rPr>
      </w:pPr>
      <w:r>
        <w:rPr>
          <w:rFonts w:ascii="Arial Narrow" w:hAnsi="Arial Narrow" w:cs="Arial"/>
          <w:sz w:val="28"/>
          <w:szCs w:val="28"/>
        </w:rPr>
        <w:t>Para ello, es menester precisar que la normatividad aplicable, por regla general, a la pensión de sobrevivientes, es la vigente al momento d</w:t>
      </w:r>
      <w:r w:rsidR="004C1033">
        <w:rPr>
          <w:rFonts w:ascii="Arial Narrow" w:hAnsi="Arial Narrow" w:cs="Arial"/>
          <w:sz w:val="28"/>
          <w:szCs w:val="28"/>
        </w:rPr>
        <w:t xml:space="preserve">el fallecimiento del afiliado </w:t>
      </w:r>
      <w:r>
        <w:rPr>
          <w:rFonts w:ascii="Arial Narrow" w:hAnsi="Arial Narrow" w:cs="Arial"/>
          <w:sz w:val="28"/>
          <w:szCs w:val="28"/>
        </w:rPr>
        <w:t xml:space="preserve">o pensionado, que para este caso era el artículo 12 de la Ley 797 de 2003, el cual </w:t>
      </w:r>
      <w:r w:rsidRPr="00F769BA">
        <w:rPr>
          <w:rFonts w:ascii="Arial Narrow" w:hAnsi="Arial Narrow" w:cs="Arial"/>
          <w:sz w:val="28"/>
          <w:szCs w:val="28"/>
        </w:rPr>
        <w:t>exige una densidad mínima de 50 semanas dentro de los tres</w:t>
      </w:r>
      <w:r>
        <w:rPr>
          <w:rFonts w:ascii="Arial Narrow" w:hAnsi="Arial Narrow" w:cs="Arial"/>
          <w:sz w:val="28"/>
          <w:szCs w:val="28"/>
        </w:rPr>
        <w:t xml:space="preserve"> años anteriores al </w:t>
      </w:r>
      <w:r w:rsidRPr="00F769BA">
        <w:rPr>
          <w:rFonts w:ascii="Arial Narrow" w:hAnsi="Arial Narrow" w:cs="Arial"/>
          <w:sz w:val="28"/>
          <w:szCs w:val="28"/>
        </w:rPr>
        <w:t>deceso</w:t>
      </w:r>
      <w:r>
        <w:rPr>
          <w:rFonts w:ascii="Arial Narrow" w:hAnsi="Arial Narrow" w:cs="Arial"/>
          <w:sz w:val="28"/>
          <w:szCs w:val="28"/>
        </w:rPr>
        <w:t xml:space="preserve"> del asegurad</w:t>
      </w:r>
      <w:r w:rsidR="004C1033">
        <w:rPr>
          <w:rFonts w:ascii="Arial Narrow" w:hAnsi="Arial Narrow" w:cs="Arial"/>
          <w:sz w:val="28"/>
          <w:szCs w:val="28"/>
        </w:rPr>
        <w:t>o (a)</w:t>
      </w:r>
      <w:r w:rsidRPr="00F769BA">
        <w:rPr>
          <w:rFonts w:ascii="Arial Narrow" w:hAnsi="Arial Narrow" w:cs="Arial"/>
          <w:sz w:val="28"/>
          <w:szCs w:val="28"/>
        </w:rPr>
        <w:t xml:space="preserve">; condición ésta que no </w:t>
      </w:r>
      <w:r>
        <w:rPr>
          <w:rFonts w:ascii="Arial Narrow" w:hAnsi="Arial Narrow" w:cs="Arial"/>
          <w:sz w:val="28"/>
          <w:szCs w:val="28"/>
        </w:rPr>
        <w:t xml:space="preserve">se </w:t>
      </w:r>
      <w:r w:rsidRPr="00F769BA">
        <w:rPr>
          <w:rFonts w:ascii="Arial Narrow" w:hAnsi="Arial Narrow" w:cs="Arial"/>
          <w:sz w:val="28"/>
          <w:szCs w:val="28"/>
        </w:rPr>
        <w:t xml:space="preserve">satisfizo </w:t>
      </w:r>
      <w:r>
        <w:rPr>
          <w:rFonts w:ascii="Arial Narrow" w:hAnsi="Arial Narrow" w:cs="Arial"/>
          <w:sz w:val="28"/>
          <w:szCs w:val="28"/>
        </w:rPr>
        <w:t xml:space="preserve">en el caso puntual, pues en este interregno </w:t>
      </w:r>
      <w:r w:rsidR="004C1033">
        <w:rPr>
          <w:rFonts w:ascii="Arial Narrow" w:hAnsi="Arial Narrow" w:cs="Arial"/>
          <w:sz w:val="28"/>
          <w:szCs w:val="28"/>
        </w:rPr>
        <w:t xml:space="preserve">la afiliada </w:t>
      </w:r>
      <w:r>
        <w:rPr>
          <w:rFonts w:ascii="Arial Narrow" w:hAnsi="Arial Narrow" w:cs="Arial"/>
          <w:sz w:val="28"/>
          <w:szCs w:val="28"/>
        </w:rPr>
        <w:t>no efectuó ninguna cotización.</w:t>
      </w:r>
    </w:p>
    <w:p w:rsidR="00182955" w:rsidRPr="00037B48" w:rsidRDefault="00182955" w:rsidP="00182955">
      <w:pPr>
        <w:pStyle w:val="Sinespaciado"/>
      </w:pPr>
    </w:p>
    <w:p w:rsidR="00182955" w:rsidRDefault="00182955" w:rsidP="00182955">
      <w:pPr>
        <w:spacing w:line="360" w:lineRule="auto"/>
        <w:jc w:val="both"/>
        <w:rPr>
          <w:rFonts w:ascii="Arial Narrow" w:hAnsi="Arial Narrow"/>
          <w:sz w:val="28"/>
          <w:szCs w:val="28"/>
        </w:rPr>
      </w:pPr>
      <w:r>
        <w:rPr>
          <w:rFonts w:ascii="Arial Narrow" w:hAnsi="Arial Narrow" w:cs="Arial"/>
          <w:sz w:val="28"/>
          <w:szCs w:val="28"/>
        </w:rPr>
        <w:tab/>
        <w:t xml:space="preserve">Bajo esas circunstancias, dado que </w:t>
      </w:r>
      <w:r w:rsidR="004C1033">
        <w:rPr>
          <w:rFonts w:ascii="Arial Narrow" w:hAnsi="Arial Narrow" w:cs="Arial"/>
          <w:sz w:val="28"/>
          <w:szCs w:val="28"/>
        </w:rPr>
        <w:t>al 1º de abril de 1994 la asegurada</w:t>
      </w:r>
      <w:r>
        <w:rPr>
          <w:rFonts w:ascii="Arial Narrow" w:hAnsi="Arial Narrow" w:cs="Arial"/>
          <w:sz w:val="28"/>
          <w:szCs w:val="28"/>
        </w:rPr>
        <w:t xml:space="preserve"> había </w:t>
      </w:r>
      <w:r>
        <w:rPr>
          <w:rFonts w:ascii="Arial Narrow" w:hAnsi="Arial Narrow"/>
          <w:sz w:val="28"/>
          <w:szCs w:val="28"/>
        </w:rPr>
        <w:t xml:space="preserve">aglutinado </w:t>
      </w:r>
      <w:r w:rsidRPr="006A4EB4">
        <w:rPr>
          <w:rFonts w:ascii="Arial Narrow" w:hAnsi="Arial Narrow"/>
          <w:sz w:val="28"/>
          <w:szCs w:val="28"/>
        </w:rPr>
        <w:t xml:space="preserve">más de 300 semanas sufragadas al sistema pensional, las que en vigencia del acuerdo 049 de 1990, hubieran sido suficientes para </w:t>
      </w:r>
      <w:r>
        <w:rPr>
          <w:rFonts w:ascii="Arial Narrow" w:hAnsi="Arial Narrow"/>
          <w:sz w:val="28"/>
          <w:szCs w:val="28"/>
        </w:rPr>
        <w:t>que sus causahabientes alcanzaran el derecho a la pensión de sobrevivientes, es preciso el análisis en torno a si en favor de las pretensiones de</w:t>
      </w:r>
      <w:r w:rsidR="004C1033">
        <w:rPr>
          <w:rFonts w:ascii="Arial Narrow" w:hAnsi="Arial Narrow"/>
          <w:sz w:val="28"/>
          <w:szCs w:val="28"/>
        </w:rPr>
        <w:t xml:space="preserve">l </w:t>
      </w:r>
      <w:r>
        <w:rPr>
          <w:rFonts w:ascii="Arial Narrow" w:hAnsi="Arial Narrow"/>
          <w:sz w:val="28"/>
          <w:szCs w:val="28"/>
        </w:rPr>
        <w:t xml:space="preserve">demandante y </w:t>
      </w:r>
      <w:r w:rsidR="004C1033">
        <w:rPr>
          <w:rFonts w:ascii="Arial Narrow" w:hAnsi="Arial Narrow"/>
          <w:sz w:val="28"/>
          <w:szCs w:val="28"/>
        </w:rPr>
        <w:t xml:space="preserve">los vinculados en calidad de litisconsortes necesarios </w:t>
      </w:r>
      <w:r>
        <w:rPr>
          <w:rFonts w:ascii="Arial Narrow" w:hAnsi="Arial Narrow"/>
          <w:sz w:val="28"/>
          <w:szCs w:val="28"/>
        </w:rPr>
        <w:t xml:space="preserve">juega el principio de la condición más beneficiosa. </w:t>
      </w:r>
    </w:p>
    <w:p w:rsidR="00182955" w:rsidRPr="006878BE" w:rsidRDefault="00182955" w:rsidP="00182955">
      <w:pPr>
        <w:pStyle w:val="Sinespaciado"/>
      </w:pPr>
    </w:p>
    <w:p w:rsidR="00182955" w:rsidRPr="006A4EB4" w:rsidRDefault="00182955" w:rsidP="00182955">
      <w:pPr>
        <w:pStyle w:val="Textoindependiente32"/>
        <w:ind w:firstLine="708"/>
        <w:rPr>
          <w:rFonts w:ascii="Arial Narrow" w:hAnsi="Arial Narrow"/>
          <w:sz w:val="28"/>
          <w:szCs w:val="28"/>
        </w:rPr>
      </w:pPr>
      <w:r>
        <w:rPr>
          <w:rFonts w:ascii="Arial Narrow" w:hAnsi="Arial Narrow"/>
          <w:sz w:val="28"/>
          <w:szCs w:val="28"/>
        </w:rPr>
        <w:t xml:space="preserve">En ese orden, </w:t>
      </w:r>
      <w:r w:rsidRPr="006A4EB4">
        <w:rPr>
          <w:rFonts w:ascii="Arial Narrow" w:hAnsi="Arial Narrow"/>
          <w:sz w:val="28"/>
          <w:szCs w:val="28"/>
        </w:rPr>
        <w:t xml:space="preserve">las altas Cortes han </w:t>
      </w:r>
      <w:r>
        <w:rPr>
          <w:rFonts w:ascii="Arial Narrow" w:hAnsi="Arial Narrow"/>
          <w:sz w:val="28"/>
          <w:szCs w:val="28"/>
        </w:rPr>
        <w:t xml:space="preserve">dimensionado la densidad de aportes exigidas en rigor de una norma anterior al del suceso de la muerte, </w:t>
      </w:r>
      <w:r w:rsidRPr="006A4EB4">
        <w:rPr>
          <w:rFonts w:ascii="Arial Narrow" w:hAnsi="Arial Narrow"/>
          <w:sz w:val="28"/>
          <w:szCs w:val="28"/>
        </w:rPr>
        <w:t>en aras de atender el principio de la condición más beneficiosa, fundada justamente en la expectativa legítima que la situación le envuelve a su titular, en instantes en que en palabras del órgano de cierre de la especialidad laboral</w:t>
      </w:r>
      <w:r>
        <w:rPr>
          <w:rFonts w:ascii="Arial Narrow" w:hAnsi="Arial Narrow"/>
          <w:sz w:val="28"/>
          <w:szCs w:val="28"/>
        </w:rPr>
        <w:t>, sus sentencias</w:t>
      </w:r>
      <w:r w:rsidRPr="006A4EB4">
        <w:rPr>
          <w:rFonts w:ascii="Arial Narrow" w:hAnsi="Arial Narrow"/>
          <w:sz w:val="28"/>
          <w:szCs w:val="28"/>
        </w:rPr>
        <w:t>:</w:t>
      </w:r>
      <w:r>
        <w:rPr>
          <w:rFonts w:ascii="Arial Narrow" w:hAnsi="Arial Narrow"/>
          <w:sz w:val="28"/>
          <w:szCs w:val="28"/>
        </w:rPr>
        <w:t xml:space="preserve"> 22 de octubre de 2013, 8 de mayo y 25 de julio de 2012, radicaciones: 39229, 35319 y 38674, entre otras.</w:t>
      </w:r>
      <w:r w:rsidRPr="006A4EB4">
        <w:rPr>
          <w:rFonts w:ascii="Arial Narrow" w:hAnsi="Arial Narrow"/>
          <w:sz w:val="28"/>
          <w:szCs w:val="28"/>
        </w:rPr>
        <w:t xml:space="preserve"> </w:t>
      </w:r>
    </w:p>
    <w:p w:rsidR="00182955" w:rsidRPr="00037B48" w:rsidRDefault="00182955" w:rsidP="00182955">
      <w:pPr>
        <w:pStyle w:val="Sinespaciado"/>
      </w:pPr>
    </w:p>
    <w:p w:rsidR="00182955" w:rsidRPr="006878BE" w:rsidRDefault="00182955" w:rsidP="00182955">
      <w:pPr>
        <w:pStyle w:val="Textoindependiente32"/>
        <w:spacing w:line="240" w:lineRule="auto"/>
        <w:ind w:firstLine="709"/>
        <w:rPr>
          <w:rFonts w:ascii="Arial Narrow" w:hAnsi="Arial Narrow"/>
          <w:sz w:val="28"/>
          <w:szCs w:val="28"/>
        </w:rPr>
      </w:pPr>
      <w:r w:rsidRPr="006878BE">
        <w:rPr>
          <w:rFonts w:ascii="Arial Narrow" w:hAnsi="Arial Narrow"/>
          <w:sz w:val="28"/>
          <w:szCs w:val="28"/>
        </w:rPr>
        <w:t>“</w:t>
      </w:r>
      <w:r w:rsidRPr="006878BE">
        <w:rPr>
          <w:rFonts w:ascii="Arial Narrow" w:hAnsi="Arial Narrow"/>
          <w:i/>
          <w:sz w:val="28"/>
          <w:szCs w:val="28"/>
        </w:rPr>
        <w:t xml:space="preserve">Bajo las anteriores perspectivas, el [principio de la condición más beneficiosa], tiene adoctrinado la Sala por línea general, entra en juego, no para proteger a quienes tienen una mera o simple expectativa, pues para ellos la nueva ley puede modificar el régimen pensional al cual estuvieran adscritos, sino a un grupo de personas, que si bien no tienen un derecho adquirido en sentido riguroso, se ubican en una posición intermedia, habida cuenta que poseen una situación jurídica y fáctica concreta, verbi gratia, haber cumplido íntegramente con la densidad de semanas necesarias que consagraba la ley derogada para obtener una prestación de índole pensional. A ellos, entonces, se les debe aplicar la disposición anterior, es decir, la vigente para el momento en que reunieron la densidad exigida para obtener la prestación. En ese horizonte, ha enseñado esta corporación que, tratándose de derechos que no se consolidan por un solo acto sino que suponen una situación que se integra mediante hechos sucesivos, hay lugar al derecho eventual, que no es definitivo o adquirido </w:t>
      </w:r>
      <w:r w:rsidRPr="006878BE">
        <w:rPr>
          <w:rFonts w:ascii="Arial Narrow" w:hAnsi="Arial Narrow"/>
          <w:i/>
          <w:sz w:val="28"/>
          <w:szCs w:val="28"/>
        </w:rPr>
        <w:lastRenderedPageBreak/>
        <w:t>mientras no se cumpla la última condición, pero que sí implica una situación concreta protegida por la ley, tanto en lo atinente al acreedor como al deudor, por lo que supera la mera o simple expectativa. Estas son las llamadas por la doctrina constitucional “expectativas legítimas</w:t>
      </w:r>
      <w:r w:rsidRPr="006878BE">
        <w:rPr>
          <w:rFonts w:ascii="Arial Narrow" w:hAnsi="Arial Narrow"/>
          <w:sz w:val="28"/>
          <w:szCs w:val="28"/>
        </w:rPr>
        <w:t>” (sentencia de 25 de julio de 2012 atrás reseñada).</w:t>
      </w:r>
    </w:p>
    <w:p w:rsidR="00182955" w:rsidRPr="006878BE" w:rsidRDefault="00182955" w:rsidP="00182955">
      <w:pPr>
        <w:pStyle w:val="Sinespaciado"/>
        <w:spacing w:line="360" w:lineRule="auto"/>
      </w:pPr>
    </w:p>
    <w:p w:rsidR="00182955" w:rsidRPr="006878BE" w:rsidRDefault="00182955" w:rsidP="00182955">
      <w:pPr>
        <w:pStyle w:val="Textoindependiente32"/>
        <w:ind w:firstLine="708"/>
        <w:rPr>
          <w:rFonts w:ascii="Arial Narrow" w:hAnsi="Arial Narrow"/>
          <w:sz w:val="28"/>
          <w:szCs w:val="28"/>
        </w:rPr>
      </w:pPr>
      <w:r w:rsidRPr="006878BE">
        <w:rPr>
          <w:rFonts w:ascii="Arial Narrow" w:hAnsi="Arial Narrow"/>
          <w:sz w:val="28"/>
          <w:szCs w:val="28"/>
        </w:rPr>
        <w:t xml:space="preserve">Tal manera de razonar, para justificar la condición más beneficiosa entre la ley 100 de 1993 y el acuerdo 049 de 1990, posee para la Corte Suprema de Justicia, otros ingredientes jurídicos, tomados tanto del derecho internacional como interno, al traer a cuento el artículo 19-8 de la Constitución de la OIT, el Convenio 128 de la OIT, relativo a las prestaciones de invalidez, vejez y sobrevivientes, que dispone: </w:t>
      </w:r>
    </w:p>
    <w:p w:rsidR="00182955" w:rsidRPr="006878BE" w:rsidRDefault="00182955" w:rsidP="00182955">
      <w:pPr>
        <w:pStyle w:val="Sinespaciado"/>
      </w:pPr>
    </w:p>
    <w:p w:rsidR="00182955" w:rsidRPr="006878BE" w:rsidRDefault="00182955" w:rsidP="00182955">
      <w:pPr>
        <w:pStyle w:val="Textoindependiente32"/>
        <w:spacing w:line="240" w:lineRule="auto"/>
        <w:ind w:firstLine="709"/>
        <w:rPr>
          <w:rFonts w:ascii="Arial Narrow" w:hAnsi="Arial Narrow"/>
          <w:sz w:val="28"/>
          <w:szCs w:val="28"/>
        </w:rPr>
      </w:pPr>
      <w:r w:rsidRPr="006878BE">
        <w:rPr>
          <w:rFonts w:ascii="Arial Narrow" w:hAnsi="Arial Narrow"/>
          <w:sz w:val="28"/>
          <w:szCs w:val="28"/>
        </w:rPr>
        <w:t>“</w:t>
      </w:r>
      <w:r w:rsidRPr="006878BE">
        <w:rPr>
          <w:rFonts w:ascii="Arial Narrow" w:hAnsi="Arial Narrow"/>
          <w:i/>
          <w:sz w:val="28"/>
          <w:szCs w:val="28"/>
        </w:rPr>
        <w:t>ART. 30.—La legislación nacional deberá, bajo condiciones prescritas, prever la conservación de los derechos en curso de adquisición respecto de las prestaciones contributivas de invalidez, vejez y sobrevivientes</w:t>
      </w:r>
      <w:r w:rsidRPr="006878BE">
        <w:rPr>
          <w:rFonts w:ascii="Arial Narrow" w:hAnsi="Arial Narrow"/>
          <w:sz w:val="28"/>
          <w:szCs w:val="28"/>
        </w:rPr>
        <w:t xml:space="preserve">”. </w:t>
      </w:r>
    </w:p>
    <w:p w:rsidR="00182955" w:rsidRPr="006878BE" w:rsidRDefault="00182955" w:rsidP="00182955">
      <w:pPr>
        <w:pStyle w:val="Sinespaciado"/>
        <w:rPr>
          <w:sz w:val="28"/>
          <w:szCs w:val="28"/>
        </w:rPr>
      </w:pPr>
    </w:p>
    <w:p w:rsidR="00182955" w:rsidRPr="006878BE" w:rsidRDefault="00182955" w:rsidP="00182955">
      <w:pPr>
        <w:pStyle w:val="Textoindependiente32"/>
        <w:spacing w:line="276" w:lineRule="auto"/>
        <w:ind w:firstLine="708"/>
        <w:rPr>
          <w:rFonts w:ascii="Arial Narrow" w:hAnsi="Arial Narrow"/>
          <w:sz w:val="28"/>
          <w:szCs w:val="28"/>
        </w:rPr>
      </w:pPr>
      <w:r w:rsidRPr="006878BE">
        <w:rPr>
          <w:rFonts w:ascii="Arial Narrow" w:hAnsi="Arial Narrow"/>
          <w:sz w:val="28"/>
          <w:szCs w:val="28"/>
        </w:rPr>
        <w:t>Al efecto, la alta Corporación hace notar que “</w:t>
      </w:r>
      <w:r w:rsidRPr="006878BE">
        <w:rPr>
          <w:rFonts w:ascii="Arial Narrow" w:hAnsi="Arial Narrow"/>
          <w:i/>
          <w:sz w:val="28"/>
          <w:szCs w:val="28"/>
        </w:rPr>
        <w:t>este convenio confiere un valor relevante a la preservación de “los derechos en curso de adquisición”, destacando con ello la obligación estatal de respetar aquellos requisitos que ya han sido consolidados por una persona, con miras a la obtención de un derecho en materia de pensiones, cuya efectividad se subordina al cumplimiento ulterior de una condición</w:t>
      </w:r>
      <w:r w:rsidRPr="006878BE">
        <w:rPr>
          <w:rFonts w:ascii="Arial Narrow" w:hAnsi="Arial Narrow"/>
          <w:sz w:val="28"/>
          <w:szCs w:val="28"/>
        </w:rPr>
        <w:t xml:space="preserve">” (ob. cit.). </w:t>
      </w:r>
    </w:p>
    <w:p w:rsidR="00182955" w:rsidRPr="00037B48" w:rsidRDefault="00182955" w:rsidP="00182955">
      <w:pPr>
        <w:pStyle w:val="Sinespaciado"/>
      </w:pPr>
    </w:p>
    <w:p w:rsidR="00182955" w:rsidRPr="006878BE" w:rsidRDefault="00182955" w:rsidP="00182955">
      <w:pPr>
        <w:pStyle w:val="Textoindependiente32"/>
        <w:ind w:firstLine="708"/>
        <w:rPr>
          <w:rFonts w:ascii="Arial Narrow" w:hAnsi="Arial Narrow"/>
          <w:sz w:val="28"/>
          <w:szCs w:val="28"/>
        </w:rPr>
      </w:pPr>
      <w:r w:rsidRPr="006878BE">
        <w:rPr>
          <w:rFonts w:ascii="Arial Narrow" w:hAnsi="Arial Narrow"/>
          <w:sz w:val="28"/>
          <w:szCs w:val="28"/>
        </w:rPr>
        <w:t>Por otra parte, también a manera ilustrativa, cita el Convenio 157 de la OIT, sobre el establecimiento de un sistema internacional para la conservación de los derechos en materia de seguridad social (1982), que versa sobre los llamados “derechos en curso de adquisición, en materia de pensiones de vejez, invalidez y sobrevivientes”.</w:t>
      </w:r>
    </w:p>
    <w:p w:rsidR="00182955" w:rsidRPr="00037B48" w:rsidRDefault="00182955" w:rsidP="00182955">
      <w:pPr>
        <w:pStyle w:val="Sinespaciado"/>
      </w:pPr>
      <w:r w:rsidRPr="006878BE">
        <w:t xml:space="preserve"> </w:t>
      </w:r>
    </w:p>
    <w:p w:rsidR="00182955" w:rsidRPr="006878BE" w:rsidRDefault="00182955" w:rsidP="00182955">
      <w:pPr>
        <w:pStyle w:val="Textoindependiente32"/>
        <w:ind w:firstLine="708"/>
        <w:rPr>
          <w:rFonts w:ascii="Arial Narrow" w:hAnsi="Arial Narrow"/>
          <w:sz w:val="28"/>
          <w:szCs w:val="28"/>
        </w:rPr>
      </w:pPr>
      <w:r w:rsidRPr="006878BE">
        <w:rPr>
          <w:rFonts w:ascii="Arial Narrow" w:hAnsi="Arial Narrow"/>
          <w:sz w:val="28"/>
          <w:szCs w:val="28"/>
        </w:rPr>
        <w:t>Así mismo, trae a cuento el artículo 2º de la declaración universal de los derechos humanos, y los convenios 100 y 101 sobre factores ilegítimos de discriminación, y remata con la legislación interna, artículo 13 superior, y 272 de la Ley 100 de 1993.</w:t>
      </w:r>
    </w:p>
    <w:p w:rsidR="00182955" w:rsidRPr="00037B48" w:rsidRDefault="00182955" w:rsidP="00182955">
      <w:pPr>
        <w:pStyle w:val="Sinespaciado"/>
      </w:pPr>
    </w:p>
    <w:p w:rsidR="00182955" w:rsidRPr="006878BE" w:rsidRDefault="00182955" w:rsidP="00182955">
      <w:pPr>
        <w:pStyle w:val="Textoindependiente32"/>
        <w:ind w:firstLine="708"/>
        <w:rPr>
          <w:rFonts w:ascii="Arial Narrow" w:hAnsi="Arial Narrow"/>
          <w:sz w:val="28"/>
          <w:szCs w:val="28"/>
        </w:rPr>
      </w:pPr>
      <w:r w:rsidRPr="006878BE">
        <w:rPr>
          <w:rFonts w:ascii="Arial Narrow" w:hAnsi="Arial Narrow"/>
          <w:sz w:val="28"/>
          <w:szCs w:val="28"/>
        </w:rPr>
        <w:t>En cuanto al primero, predica:</w:t>
      </w:r>
    </w:p>
    <w:p w:rsidR="00182955" w:rsidRPr="006878BE" w:rsidRDefault="00182955" w:rsidP="00182955">
      <w:pPr>
        <w:pStyle w:val="Sinespaciado"/>
      </w:pPr>
    </w:p>
    <w:p w:rsidR="00182955" w:rsidRDefault="00182955" w:rsidP="00182955">
      <w:pPr>
        <w:pStyle w:val="Textoindependiente32"/>
        <w:spacing w:line="240" w:lineRule="auto"/>
        <w:ind w:firstLine="709"/>
        <w:rPr>
          <w:rFonts w:ascii="Arial Narrow" w:hAnsi="Arial Narrow"/>
          <w:i/>
          <w:sz w:val="28"/>
          <w:szCs w:val="28"/>
        </w:rPr>
      </w:pPr>
      <w:r w:rsidRPr="006878BE">
        <w:rPr>
          <w:rFonts w:ascii="Arial Narrow" w:hAnsi="Arial Narrow"/>
          <w:sz w:val="28"/>
          <w:szCs w:val="28"/>
        </w:rPr>
        <w:t xml:space="preserve"> “</w:t>
      </w:r>
      <w:r w:rsidRPr="006878BE">
        <w:rPr>
          <w:rFonts w:ascii="Arial Narrow" w:hAnsi="Arial Narrow"/>
          <w:i/>
          <w:sz w:val="28"/>
          <w:szCs w:val="28"/>
        </w:rPr>
        <w:t xml:space="preserve">bajo la órbita del artículo 13 superior, imponer unas condiciones más exigentes a quien ha consolidado de hecho, bajo una determinada normativa, una “situación” de semanas cotizadas, que le confieren fundamento para reclamar ulteriormente una pensión de invalidez, o a sus sucesores una de sobrevivientes, constituye una forma de discriminación. Es decir, en este caso se está imponiendo un trato diferente, más gravoso, con un motivo no relevante, como lo es el hecho de que, no obstante su situación consolidada, deba acreditar adicionalmente mayores requisitos, en ausencia de los cuales no puede ser beneficiario de la respectiva pensión. Con otras apalabras, </w:t>
      </w:r>
      <w:r w:rsidRPr="006878BE">
        <w:rPr>
          <w:rFonts w:ascii="Arial Narrow" w:hAnsi="Arial Narrow"/>
          <w:i/>
          <w:sz w:val="28"/>
          <w:szCs w:val="28"/>
        </w:rPr>
        <w:lastRenderedPageBreak/>
        <w:t>se estaría contraviniendo lo proclamado por el artículo 53 superior, que ordena reconocer “la situación más favorable”…”.</w:t>
      </w:r>
    </w:p>
    <w:p w:rsidR="00182955" w:rsidRPr="00E13461" w:rsidRDefault="00182955" w:rsidP="00182955">
      <w:pPr>
        <w:pStyle w:val="Sinespaciado"/>
        <w:spacing w:line="360" w:lineRule="auto"/>
      </w:pPr>
    </w:p>
    <w:p w:rsidR="00182955" w:rsidRPr="00244AA1" w:rsidRDefault="00182955" w:rsidP="00182955">
      <w:pPr>
        <w:pStyle w:val="Textoindependiente31"/>
        <w:ind w:firstLine="851"/>
        <w:rPr>
          <w:rFonts w:ascii="Arial Narrow" w:hAnsi="Arial Narrow" w:cs="Tahoma"/>
          <w:szCs w:val="28"/>
        </w:rPr>
      </w:pPr>
      <w:r w:rsidRPr="00244AA1">
        <w:rPr>
          <w:rFonts w:ascii="Arial Narrow" w:hAnsi="Arial Narrow" w:cs="Tahoma"/>
          <w:szCs w:val="28"/>
        </w:rPr>
        <w:t>Al paso que el artículo 272 de la Ley 100 de 1993, establece que “los principios mínimos fundamentales consagrados en el artículo 53 de la Constitución Política tendrán plena validez y eficacia”. Y con ello pregona el órgano de cierre de la especialidad laboral, “</w:t>
      </w:r>
      <w:r w:rsidRPr="00244AA1">
        <w:rPr>
          <w:rFonts w:ascii="Arial Narrow" w:hAnsi="Arial Narrow" w:cs="Tahoma"/>
          <w:i/>
          <w:szCs w:val="28"/>
        </w:rPr>
        <w:t>la propia Carta Fundamental extiende a la seguridad social, sin ninguna duda, los principios que, en su origen, son propios del derecho laboral</w:t>
      </w:r>
      <w:r w:rsidRPr="00244AA1">
        <w:rPr>
          <w:rFonts w:ascii="Arial Narrow" w:hAnsi="Arial Narrow" w:cs="Tahoma"/>
          <w:szCs w:val="28"/>
        </w:rPr>
        <w:t>”.</w:t>
      </w:r>
    </w:p>
    <w:p w:rsidR="00182955" w:rsidRPr="008A1700" w:rsidRDefault="00182955" w:rsidP="00182955">
      <w:pPr>
        <w:pStyle w:val="Sinespaciado"/>
      </w:pPr>
    </w:p>
    <w:p w:rsidR="00182955" w:rsidRPr="00244AA1" w:rsidRDefault="00182955" w:rsidP="00182955">
      <w:pPr>
        <w:pStyle w:val="Textoindependiente31"/>
        <w:ind w:firstLine="851"/>
        <w:rPr>
          <w:rFonts w:ascii="Arial Narrow" w:hAnsi="Arial Narrow" w:cs="Tahoma"/>
          <w:szCs w:val="28"/>
        </w:rPr>
      </w:pPr>
      <w:r w:rsidRPr="00244AA1">
        <w:rPr>
          <w:rFonts w:ascii="Arial Narrow" w:hAnsi="Arial Narrow" w:cs="Tahoma"/>
          <w:szCs w:val="28"/>
        </w:rPr>
        <w:t xml:space="preserve">En lo que toca al principio de la sostenibilidad financiera del sistema de la seguridad social, </w:t>
      </w:r>
      <w:r>
        <w:rPr>
          <w:rFonts w:ascii="Arial Narrow" w:hAnsi="Arial Narrow" w:cs="Tahoma"/>
          <w:szCs w:val="28"/>
        </w:rPr>
        <w:t>introducido</w:t>
      </w:r>
      <w:r w:rsidRPr="00244AA1">
        <w:rPr>
          <w:rFonts w:ascii="Arial Narrow" w:hAnsi="Arial Narrow" w:cs="Tahoma"/>
          <w:szCs w:val="28"/>
        </w:rPr>
        <w:t xml:space="preserve"> por el Acto Legislativo 01 de 2005, señala la ameritada jurisprudencia de la Corte Suprema de Justicia:</w:t>
      </w:r>
    </w:p>
    <w:p w:rsidR="00182955" w:rsidRPr="00E13461" w:rsidRDefault="00182955" w:rsidP="00182955">
      <w:pPr>
        <w:pStyle w:val="Sinespaciado"/>
      </w:pPr>
    </w:p>
    <w:p w:rsidR="00182955" w:rsidRPr="001F629E" w:rsidRDefault="00182955" w:rsidP="00182955">
      <w:pPr>
        <w:pStyle w:val="Textoindependiente31"/>
        <w:spacing w:line="240" w:lineRule="auto"/>
        <w:ind w:firstLine="851"/>
        <w:rPr>
          <w:rFonts w:ascii="Arial Narrow" w:hAnsi="Arial Narrow" w:cs="Tahoma"/>
          <w:i/>
          <w:szCs w:val="28"/>
        </w:rPr>
      </w:pPr>
      <w:r w:rsidRPr="001F629E">
        <w:rPr>
          <w:rFonts w:ascii="Arial Narrow" w:hAnsi="Arial Narrow" w:cs="Tahoma"/>
          <w:i/>
          <w:szCs w:val="28"/>
        </w:rPr>
        <w:t xml:space="preserve">“la aplicación jurisprudencial del principio de la condición más beneficiosa no atenta contra la regla de la sostenibilidad financiera del sistema de pensiones, no solo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para ese momento. O sea, para el sistema vigente en ese momento, sus pensiones estaban financiadas al cumplir el tiempo exigido de cotización…el hecho de que una persona haya cumplido con los requerimientos de cotización impuestos bajo una determinada normativa, garantiza que la pensión para la cual ha cotizado está garantizada por el propio estado, con lo cual se cumple otro elemento normativo adicionado al artículo 48 de la Constitución por el Acto Legislativo 01 de 2005”. </w:t>
      </w:r>
    </w:p>
    <w:p w:rsidR="00182955" w:rsidRPr="00832CD7" w:rsidRDefault="00182955" w:rsidP="00182955">
      <w:pPr>
        <w:spacing w:line="276" w:lineRule="auto"/>
        <w:jc w:val="both"/>
        <w:rPr>
          <w:rFonts w:ascii="Arial Narrow" w:hAnsi="Arial Narrow" w:cs="Arial"/>
          <w:i/>
          <w:sz w:val="26"/>
          <w:szCs w:val="26"/>
        </w:rPr>
      </w:pPr>
    </w:p>
    <w:p w:rsidR="00182955" w:rsidRPr="00D61A41" w:rsidRDefault="00182955" w:rsidP="00182955">
      <w:pPr>
        <w:spacing w:line="360" w:lineRule="auto"/>
        <w:ind w:firstLine="708"/>
        <w:jc w:val="both"/>
        <w:rPr>
          <w:rFonts w:ascii="Arial Narrow" w:hAnsi="Arial Narrow" w:cs="Tahoma"/>
          <w:sz w:val="28"/>
          <w:szCs w:val="28"/>
        </w:rPr>
      </w:pPr>
      <w:r w:rsidRPr="00D61A41">
        <w:rPr>
          <w:rFonts w:ascii="Arial Narrow" w:hAnsi="Arial Narrow"/>
          <w:sz w:val="28"/>
          <w:szCs w:val="28"/>
          <w:lang w:eastAsia="en-US"/>
        </w:rPr>
        <w:t>En estos puntuales aspectos, es preciso indicar en respaldo de l</w:t>
      </w:r>
      <w:r w:rsidRPr="00D61A41">
        <w:rPr>
          <w:rFonts w:ascii="Arial Narrow" w:hAnsi="Arial Narrow" w:cs="Tahoma"/>
          <w:sz w:val="28"/>
          <w:szCs w:val="28"/>
        </w:rPr>
        <w:t>a tesis favorable a la condición más beneficiosa, en materia de pensión de sobrevivencia o invalidez, gracias al salto de las Leyes 797 u 860 de 2003 al Acuerdo 049 de 1990, que la misma se ve robustecida, primero, por cuanto si se sustentan en la expectativa legítima, ésta no admite límite en el tiempo, además, recientemente la Corte Constitucional (sentencia T SU-442) dijo:</w:t>
      </w:r>
    </w:p>
    <w:p w:rsidR="00182955" w:rsidRPr="00D61A41" w:rsidRDefault="00182955" w:rsidP="00182955">
      <w:pPr>
        <w:pStyle w:val="Sinespaciado"/>
      </w:pPr>
    </w:p>
    <w:p w:rsidR="00182955" w:rsidRPr="00D61A41" w:rsidRDefault="00182955" w:rsidP="00182955">
      <w:pPr>
        <w:pStyle w:val="Textoindependiente31"/>
        <w:spacing w:line="240" w:lineRule="auto"/>
        <w:ind w:firstLine="851"/>
        <w:rPr>
          <w:rFonts w:ascii="Arial Narrow" w:hAnsi="Arial Narrow" w:cs="Tahoma"/>
          <w:szCs w:val="28"/>
        </w:rPr>
      </w:pPr>
      <w:r w:rsidRPr="00D61A41">
        <w:rPr>
          <w:rFonts w:ascii="Arial Narrow" w:hAnsi="Arial Narrow" w:cs="Tahoma"/>
          <w:szCs w:val="28"/>
        </w:rPr>
        <w:t>“</w:t>
      </w:r>
      <w:r w:rsidRPr="00D61A41">
        <w:rPr>
          <w:rFonts w:ascii="Arial Narrow" w:hAnsi="Arial Narrow" w:cs="Tahoma"/>
          <w:i/>
          <w:szCs w:val="28"/>
        </w:rPr>
        <w:t xml:space="preserve">en virtud de la condición más beneficiosa, las expectativas legítimamente contraídas antes de entrar en vigencia el sistema general de pensiones de la Ley 100 de 1993 constituyen barreras, que limitan la competencia del legislador para agravar los requisitos ya cumplidos mediante reformas desprovistas de regímenes de transición. </w:t>
      </w:r>
      <w:r w:rsidRPr="00D61A41">
        <w:rPr>
          <w:rFonts w:ascii="Arial Narrow" w:hAnsi="Arial Narrow" w:cs="Tahoma"/>
          <w:i/>
          <w:szCs w:val="28"/>
        </w:rPr>
        <w:lastRenderedPageBreak/>
        <w:t>Este límite, de raigambre constitucional, es entonces oponible a la reforma introducida por la Ley 100 de 1993, en su versión original, e incluso por la Ley 860 de 2003</w:t>
      </w:r>
      <w:r w:rsidRPr="00D61A41">
        <w:rPr>
          <w:rFonts w:ascii="Arial Narrow" w:hAnsi="Arial Narrow" w:cs="Tahoma"/>
          <w:szCs w:val="28"/>
        </w:rPr>
        <w:t>”.</w:t>
      </w:r>
    </w:p>
    <w:p w:rsidR="00182955" w:rsidRPr="00335111" w:rsidRDefault="00182955" w:rsidP="00182955">
      <w:pPr>
        <w:pStyle w:val="Sinespaciado"/>
      </w:pPr>
    </w:p>
    <w:p w:rsidR="00182955" w:rsidRDefault="00182955" w:rsidP="00182955">
      <w:pPr>
        <w:pStyle w:val="Textoindependiente31"/>
        <w:ind w:firstLine="708"/>
        <w:rPr>
          <w:rFonts w:ascii="Arial Narrow" w:hAnsi="Arial Narrow" w:cs="Tahoma"/>
          <w:szCs w:val="28"/>
        </w:rPr>
      </w:pPr>
      <w:r w:rsidRPr="00D61A41">
        <w:rPr>
          <w:rFonts w:ascii="Arial Narrow" w:hAnsi="Arial Narrow" w:cs="Tahoma"/>
          <w:szCs w:val="28"/>
        </w:rPr>
        <w:t>En segundo lugar, resulta significativo el planteamiento del alto Tribunal Constitucional, en orden a que no sea estrictamente necesaria, en ejercicio de la condición más beneficiosa, la aplicación de la norma sucesivamente anterior, sobre el fundamento de que este principio se basa en la certeza y no en la duda.</w:t>
      </w:r>
    </w:p>
    <w:p w:rsidR="00182955" w:rsidRPr="007523E2" w:rsidRDefault="00182955" w:rsidP="007523E2">
      <w:pPr>
        <w:pStyle w:val="Sinespaciado"/>
      </w:pPr>
    </w:p>
    <w:p w:rsidR="00182955" w:rsidRPr="00D61A41" w:rsidRDefault="00182955" w:rsidP="00182955">
      <w:pPr>
        <w:pStyle w:val="Textoindependiente31"/>
        <w:ind w:firstLine="851"/>
        <w:rPr>
          <w:rFonts w:ascii="Arial Narrow" w:hAnsi="Arial Narrow" w:cs="Tahoma"/>
          <w:szCs w:val="28"/>
        </w:rPr>
      </w:pPr>
      <w:r w:rsidRPr="00D61A41">
        <w:rPr>
          <w:rFonts w:ascii="Arial Narrow" w:hAnsi="Arial Narrow" w:cs="Tahoma"/>
          <w:szCs w:val="28"/>
        </w:rPr>
        <w:t>Así lo expuso en sentencia de Tutela SU-442 de 2016 (18 de agosto), tras exp</w:t>
      </w:r>
      <w:r>
        <w:rPr>
          <w:rFonts w:ascii="Arial Narrow" w:hAnsi="Arial Narrow" w:cs="Tahoma"/>
          <w:szCs w:val="28"/>
        </w:rPr>
        <w:t xml:space="preserve">oner que como órgano de cierre </w:t>
      </w:r>
      <w:r w:rsidRPr="00D61A41">
        <w:rPr>
          <w:rFonts w:ascii="Arial Narrow" w:hAnsi="Arial Narrow" w:cs="Tahoma"/>
          <w:szCs w:val="28"/>
        </w:rPr>
        <w:t>en materia constitucional tiene competencia para unificar la interpretación correspondiente (CP. 241), prosigue que a diferencia de los principios de favorabilidad e indubio pro operario, “</w:t>
      </w:r>
      <w:r w:rsidRPr="00D61A41">
        <w:rPr>
          <w:rFonts w:ascii="Arial Narrow" w:hAnsi="Arial Narrow" w:cs="Tahoma"/>
          <w:i/>
          <w:szCs w:val="28"/>
        </w:rPr>
        <w:t>la condición más beneficiosa se desarrolla sobre la base de la certeza, pues el operador jurídico sabe cuál es la norma vigente y cuál, por ende, debería aplicar. Lo que sucede es que, al comprobar que dicha actuación tendría unos efectos desproporcionadamente injustos en un caso particular, acude a una excepción resolviendo la situación con una norma derogada</w:t>
      </w:r>
      <w:r w:rsidRPr="00D61A41">
        <w:rPr>
          <w:rFonts w:ascii="Arial Narrow" w:hAnsi="Arial Narrow" w:cs="Tahoma"/>
          <w:szCs w:val="28"/>
        </w:rPr>
        <w:t>”.</w:t>
      </w:r>
    </w:p>
    <w:p w:rsidR="00182955" w:rsidRPr="00335111" w:rsidRDefault="00182955" w:rsidP="00182955">
      <w:pPr>
        <w:pStyle w:val="Sinespaciado"/>
      </w:pPr>
    </w:p>
    <w:p w:rsidR="00182955" w:rsidRPr="00D61A41" w:rsidRDefault="00182955" w:rsidP="00182955">
      <w:pPr>
        <w:pStyle w:val="Textoindependiente31"/>
        <w:ind w:firstLine="851"/>
        <w:rPr>
          <w:rFonts w:ascii="Arial Narrow" w:hAnsi="Arial Narrow" w:cs="Tahoma"/>
          <w:szCs w:val="28"/>
        </w:rPr>
      </w:pPr>
      <w:r w:rsidRPr="00D61A41">
        <w:rPr>
          <w:rFonts w:ascii="Arial Narrow" w:hAnsi="Arial Narrow" w:cs="Tahoma"/>
          <w:szCs w:val="28"/>
        </w:rPr>
        <w:t>Finalmente remata, en torno a la carga argumentativa del juez, que el asunto:</w:t>
      </w:r>
    </w:p>
    <w:p w:rsidR="00182955" w:rsidRPr="00D65F20" w:rsidRDefault="00182955" w:rsidP="00182955">
      <w:pPr>
        <w:pStyle w:val="Sinespaciado"/>
      </w:pPr>
    </w:p>
    <w:p w:rsidR="00182955" w:rsidRPr="00510D5E" w:rsidRDefault="00182955" w:rsidP="00182955">
      <w:pPr>
        <w:pStyle w:val="Textoindependiente31"/>
        <w:spacing w:line="240" w:lineRule="auto"/>
        <w:ind w:firstLine="851"/>
        <w:rPr>
          <w:rFonts w:ascii="Arial Narrow" w:hAnsi="Arial Narrow" w:cs="Tahoma"/>
          <w:szCs w:val="28"/>
        </w:rPr>
      </w:pPr>
      <w:r w:rsidRPr="00D61A41">
        <w:rPr>
          <w:rFonts w:ascii="Arial Narrow" w:hAnsi="Arial Narrow" w:cs="Tahoma"/>
          <w:szCs w:val="28"/>
        </w:rPr>
        <w:t xml:space="preserve"> “</w:t>
      </w:r>
      <w:r w:rsidRPr="00D61A41">
        <w:rPr>
          <w:rFonts w:ascii="Arial Narrow" w:hAnsi="Arial Narrow" w:cs="Tahoma"/>
          <w:i/>
          <w:szCs w:val="28"/>
        </w:rPr>
        <w:t>versa sobre un derecho fundamental, como es el relativo al derecho a la seguridad social. Existe en este aspecto una prohibición de regresividad que incrementa la carga de argumentación judicial para retroceder en el alcance de protección alcanzado…. Esta prohibición ata a todas las autoridades, incluidas las judiciales. Por lo que para apartarse de la jurisprudencia en sentido restrictivo es preciso demostrar que hay argumentos poderosos para no incurrir en la prohibición de regresividad en los derechos sociales. Pues bien, la Corte considera que no se han aportado razones de esa naturaleza para cambiar la jurisprudencia constitucional vigente sobre la materia, o para apartarse de ella</w:t>
      </w:r>
      <w:r w:rsidRPr="00D61A41">
        <w:rPr>
          <w:rFonts w:ascii="Arial Narrow" w:hAnsi="Arial Narrow" w:cs="Tahoma"/>
          <w:szCs w:val="28"/>
        </w:rPr>
        <w:t>”.</w:t>
      </w:r>
      <w:r w:rsidRPr="00510D5E">
        <w:rPr>
          <w:rFonts w:ascii="Arial Narrow" w:hAnsi="Arial Narrow" w:cs="Tahoma"/>
          <w:szCs w:val="28"/>
        </w:rPr>
        <w:t xml:space="preserve"> </w:t>
      </w:r>
    </w:p>
    <w:p w:rsidR="00182955" w:rsidRPr="00335111" w:rsidRDefault="00182955" w:rsidP="00182955">
      <w:pPr>
        <w:pStyle w:val="Sinespaciado"/>
      </w:pPr>
    </w:p>
    <w:p w:rsidR="00182955" w:rsidRPr="005C6252" w:rsidRDefault="00182955" w:rsidP="00182955">
      <w:pPr>
        <w:pStyle w:val="Textoindependiente31"/>
        <w:ind w:firstLine="993"/>
        <w:rPr>
          <w:rFonts w:ascii="Arial Narrow" w:hAnsi="Arial Narrow" w:cs="Tahoma"/>
          <w:szCs w:val="28"/>
        </w:rPr>
      </w:pPr>
      <w:r w:rsidRPr="005C6252">
        <w:rPr>
          <w:rFonts w:ascii="Arial Narrow" w:hAnsi="Arial Narrow" w:cs="Tahoma"/>
          <w:szCs w:val="28"/>
        </w:rPr>
        <w:t>Con todo el material jurisprudencial</w:t>
      </w:r>
      <w:r>
        <w:rPr>
          <w:rFonts w:ascii="Arial Narrow" w:hAnsi="Arial Narrow" w:cs="Tahoma"/>
          <w:szCs w:val="28"/>
        </w:rPr>
        <w:t xml:space="preserve"> citado</w:t>
      </w:r>
      <w:r w:rsidRPr="005C6252">
        <w:rPr>
          <w:rFonts w:ascii="Arial Narrow" w:hAnsi="Arial Narrow" w:cs="Tahoma"/>
          <w:szCs w:val="28"/>
        </w:rPr>
        <w:t xml:space="preserve"> de que se ha hecho mérito, es menester recordar que más allá de acudir al concepto que en sí mismo encierra el principio de la condición más beneficiosa, a propósito de los cambios legislativos entorno a las pensiones de invalidez y sobrevivencia, a</w:t>
      </w:r>
      <w:r>
        <w:rPr>
          <w:rFonts w:ascii="Arial Narrow" w:hAnsi="Arial Narrow" w:cs="Tahoma"/>
          <w:szCs w:val="28"/>
        </w:rPr>
        <w:t xml:space="preserve"> lo que realmente se acude es al principio de favorabilidad, en los términos como lo entiende la Corte Constitucional, proporcionalidad, equidad, igualdad, buena fe y </w:t>
      </w:r>
      <w:r w:rsidRPr="005C6252">
        <w:rPr>
          <w:rFonts w:ascii="Arial Narrow" w:hAnsi="Arial Narrow" w:cs="Tahoma"/>
          <w:szCs w:val="28"/>
        </w:rPr>
        <w:t xml:space="preserve">confianza legítima, por cuanto en una sana lógica, no tendría explicación que quien apenas haya efectuado aportes por 26 o 50 semanas, cual ocurre en el ámbito de aplicación de las leyes 100 y 797 o 860, respectivamente, se causaría el derecho a sus beneficiarios, en cambio, quienes por no </w:t>
      </w:r>
      <w:r w:rsidRPr="005C6252">
        <w:rPr>
          <w:rFonts w:ascii="Arial Narrow" w:hAnsi="Arial Narrow" w:cs="Tahoma"/>
          <w:szCs w:val="28"/>
        </w:rPr>
        <w:lastRenderedPageBreak/>
        <w:t>haber colmado ese mínimo de cotizaciones, pero sí más de 150 o 300 con anterioridad a la Ley 100, quedarían por fuera de la protección legal.</w:t>
      </w:r>
    </w:p>
    <w:p w:rsidR="00182955" w:rsidRPr="0010703C" w:rsidRDefault="00182955" w:rsidP="00182955">
      <w:pPr>
        <w:pStyle w:val="Sinespaciado"/>
      </w:pPr>
    </w:p>
    <w:p w:rsidR="00182955" w:rsidRDefault="00182955" w:rsidP="00182955">
      <w:pPr>
        <w:pStyle w:val="Textoindependiente31"/>
        <w:ind w:firstLine="709"/>
        <w:rPr>
          <w:rFonts w:ascii="Arial Narrow" w:hAnsi="Arial Narrow" w:cs="Tahoma"/>
          <w:szCs w:val="28"/>
        </w:rPr>
      </w:pPr>
      <w:r>
        <w:rPr>
          <w:rFonts w:ascii="Arial Narrow" w:hAnsi="Arial Narrow" w:cs="Tahoma"/>
          <w:szCs w:val="28"/>
        </w:rPr>
        <w:t xml:space="preserve">Así las cosas y como en este caso </w:t>
      </w:r>
      <w:r w:rsidR="007523E2">
        <w:rPr>
          <w:rFonts w:ascii="Arial Narrow" w:hAnsi="Arial Narrow" w:cs="Tahoma"/>
          <w:szCs w:val="28"/>
        </w:rPr>
        <w:t xml:space="preserve">la señora Blanca Lilia Calderón Cardona </w:t>
      </w:r>
      <w:r>
        <w:rPr>
          <w:rFonts w:ascii="Arial Narrow" w:hAnsi="Arial Narrow" w:cs="Tahoma"/>
          <w:szCs w:val="28"/>
        </w:rPr>
        <w:t>antes del 1º de abril de 1</w:t>
      </w:r>
      <w:r w:rsidR="004C6284">
        <w:rPr>
          <w:rFonts w:ascii="Arial Narrow" w:hAnsi="Arial Narrow" w:cs="Tahoma"/>
          <w:szCs w:val="28"/>
        </w:rPr>
        <w:t>994 había cotizado un total de 404.14</w:t>
      </w:r>
      <w:r>
        <w:rPr>
          <w:rFonts w:ascii="Arial Narrow" w:hAnsi="Arial Narrow" w:cs="Tahoma"/>
          <w:szCs w:val="28"/>
        </w:rPr>
        <w:t xml:space="preserve"> semanas al sistema de pensiones, es evidente que en aplicación del aludido principio, debe entenderse que se dejó causado el derecho pensional, conforme a las pautas del Acuerdo 049 de 1990, que en su canon 6º, en concordancia con el 25, establece que deben ser 300 semanas en cualquier tiempo, densidad ampliamente superada.</w:t>
      </w:r>
    </w:p>
    <w:p w:rsidR="00182955" w:rsidRPr="00874003" w:rsidRDefault="00182955" w:rsidP="00182955">
      <w:pPr>
        <w:pStyle w:val="Sinespaciado"/>
      </w:pPr>
    </w:p>
    <w:p w:rsidR="00182955" w:rsidRDefault="00182955" w:rsidP="00D16D36">
      <w:pPr>
        <w:pStyle w:val="Textoindependiente31"/>
        <w:ind w:firstLine="709"/>
        <w:rPr>
          <w:rFonts w:ascii="Arial Narrow" w:hAnsi="Arial Narrow" w:cs="Tahoma"/>
          <w:szCs w:val="28"/>
        </w:rPr>
      </w:pPr>
      <w:r>
        <w:rPr>
          <w:rFonts w:ascii="Arial Narrow" w:hAnsi="Arial Narrow" w:cs="Tahoma"/>
          <w:szCs w:val="28"/>
        </w:rPr>
        <w:t xml:space="preserve">Por último, ha de estimarse que </w:t>
      </w:r>
      <w:r w:rsidR="00B13A29">
        <w:rPr>
          <w:rFonts w:ascii="Arial Narrow" w:hAnsi="Arial Narrow" w:cs="Tahoma"/>
          <w:szCs w:val="28"/>
        </w:rPr>
        <w:t xml:space="preserve">el órgano de cierre de esta especialidad laboral </w:t>
      </w:r>
      <w:r>
        <w:rPr>
          <w:rFonts w:ascii="Arial Narrow" w:hAnsi="Arial Narrow" w:cs="Tahoma"/>
          <w:szCs w:val="28"/>
        </w:rPr>
        <w:t xml:space="preserve">en sentencia </w:t>
      </w:r>
      <w:r w:rsidR="00B13A29">
        <w:rPr>
          <w:rFonts w:ascii="Arial Narrow" w:hAnsi="Arial Narrow" w:cs="Tahoma"/>
          <w:szCs w:val="28"/>
        </w:rPr>
        <w:t xml:space="preserve">del 4 de diciembre de 2006, radicación 28893, no le puso límite temporal a la pensión de sobrevivientes causada con 300 semanas anteriores a la entrada en vigencia de la Ley 100/93, como sí lo hizo en relación </w:t>
      </w:r>
      <w:r w:rsidR="00202B30">
        <w:rPr>
          <w:rFonts w:ascii="Arial Narrow" w:hAnsi="Arial Narrow" w:cs="Tahoma"/>
          <w:szCs w:val="28"/>
        </w:rPr>
        <w:t xml:space="preserve">con </w:t>
      </w:r>
      <w:r w:rsidR="00B13A29">
        <w:rPr>
          <w:rFonts w:ascii="Arial Narrow" w:hAnsi="Arial Narrow" w:cs="Tahoma"/>
          <w:szCs w:val="28"/>
        </w:rPr>
        <w:t>la</w:t>
      </w:r>
      <w:r w:rsidR="00202B30">
        <w:rPr>
          <w:rFonts w:ascii="Arial Narrow" w:hAnsi="Arial Narrow" w:cs="Tahoma"/>
          <w:szCs w:val="28"/>
        </w:rPr>
        <w:t xml:space="preserve"> causada con </w:t>
      </w:r>
      <w:r w:rsidR="00B13A29">
        <w:rPr>
          <w:rFonts w:ascii="Arial Narrow" w:hAnsi="Arial Narrow" w:cs="Tahoma"/>
          <w:szCs w:val="28"/>
        </w:rPr>
        <w:t>150 semanas dentro de los 6 año</w:t>
      </w:r>
      <w:r w:rsidR="00D16D36">
        <w:rPr>
          <w:rFonts w:ascii="Arial Narrow" w:hAnsi="Arial Narrow" w:cs="Tahoma"/>
          <w:szCs w:val="28"/>
        </w:rPr>
        <w:t xml:space="preserve">s anteriores al fallecimiento, y </w:t>
      </w:r>
      <w:r w:rsidR="00202B30">
        <w:rPr>
          <w:rFonts w:ascii="Arial Narrow" w:hAnsi="Arial Narrow" w:cs="Tahoma"/>
          <w:szCs w:val="28"/>
        </w:rPr>
        <w:t xml:space="preserve">más </w:t>
      </w:r>
      <w:r w:rsidR="00D16D36">
        <w:rPr>
          <w:rFonts w:ascii="Arial Narrow" w:hAnsi="Arial Narrow" w:cs="Tahoma"/>
          <w:szCs w:val="28"/>
        </w:rPr>
        <w:t xml:space="preserve">recientemente, en sentencia SL 2358 de 2017, en relación con la aplicación de la condición más beneficiosa en la órbita </w:t>
      </w:r>
      <w:r>
        <w:rPr>
          <w:rFonts w:ascii="Arial Narrow" w:hAnsi="Arial Narrow" w:cs="Tahoma"/>
          <w:szCs w:val="28"/>
        </w:rPr>
        <w:t xml:space="preserve">de la Ley 797 de 2003. </w:t>
      </w:r>
    </w:p>
    <w:p w:rsidR="00182955" w:rsidRPr="00874003" w:rsidRDefault="00182955" w:rsidP="00182955">
      <w:pPr>
        <w:pStyle w:val="Sinespaciado"/>
      </w:pPr>
    </w:p>
    <w:p w:rsidR="00182955" w:rsidRPr="002F6DDD" w:rsidRDefault="00182955" w:rsidP="00182955">
      <w:pPr>
        <w:pStyle w:val="Textoindependiente31"/>
        <w:ind w:firstLine="851"/>
        <w:rPr>
          <w:rFonts w:ascii="Arial Narrow" w:hAnsi="Arial Narrow" w:cs="Arial"/>
          <w:szCs w:val="28"/>
        </w:rPr>
      </w:pPr>
      <w:r>
        <w:rPr>
          <w:rFonts w:ascii="Arial Narrow" w:hAnsi="Arial Narrow" w:cs="Tahoma"/>
          <w:szCs w:val="28"/>
        </w:rPr>
        <w:t xml:space="preserve">Superado ese primer escollo, se adentrara la Sala en determinar si </w:t>
      </w:r>
      <w:r w:rsidR="004C6284">
        <w:rPr>
          <w:rFonts w:ascii="Arial Narrow" w:hAnsi="Arial Narrow" w:cs="Tahoma"/>
          <w:szCs w:val="28"/>
        </w:rPr>
        <w:t xml:space="preserve">el demandante </w:t>
      </w:r>
      <w:r>
        <w:rPr>
          <w:rFonts w:ascii="Arial Narrow" w:hAnsi="Arial Narrow" w:cs="Tahoma"/>
          <w:szCs w:val="28"/>
        </w:rPr>
        <w:t>ostenta la condición de beneficiar</w:t>
      </w:r>
      <w:r w:rsidR="004C6284">
        <w:rPr>
          <w:rFonts w:ascii="Arial Narrow" w:hAnsi="Arial Narrow" w:cs="Tahoma"/>
          <w:szCs w:val="28"/>
        </w:rPr>
        <w:t>io</w:t>
      </w:r>
      <w:r>
        <w:rPr>
          <w:rFonts w:ascii="Arial Narrow" w:hAnsi="Arial Narrow" w:cs="Tahoma"/>
          <w:szCs w:val="28"/>
        </w:rPr>
        <w:t xml:space="preserve"> de la pensión de sobrevivientes reclamada, la cual está </w:t>
      </w:r>
      <w:r w:rsidRPr="00BA6D17">
        <w:rPr>
          <w:rFonts w:ascii="Arial Narrow" w:hAnsi="Arial Narrow" w:cs="Arial"/>
          <w:szCs w:val="28"/>
          <w:lang w:val="es-ES"/>
        </w:rPr>
        <w:t>supeditada a que se evidencie que hubo</w:t>
      </w:r>
      <w:r>
        <w:rPr>
          <w:rFonts w:ascii="Arial Narrow" w:hAnsi="Arial Narrow" w:cs="Arial"/>
          <w:szCs w:val="28"/>
          <w:lang w:val="es-ES"/>
        </w:rPr>
        <w:t xml:space="preserve"> convivencia con </w:t>
      </w:r>
      <w:r w:rsidR="004C6284">
        <w:rPr>
          <w:rFonts w:ascii="Arial Narrow" w:hAnsi="Arial Narrow" w:cs="Arial"/>
          <w:szCs w:val="28"/>
          <w:lang w:val="es-ES"/>
        </w:rPr>
        <w:t xml:space="preserve">la afiliada fallecida </w:t>
      </w:r>
      <w:r>
        <w:rPr>
          <w:rFonts w:ascii="Arial Narrow" w:hAnsi="Arial Narrow" w:cs="Arial"/>
          <w:szCs w:val="28"/>
          <w:lang w:val="es-ES"/>
        </w:rPr>
        <w:t xml:space="preserve">durante -mínimo- los </w:t>
      </w:r>
      <w:r w:rsidRPr="00BA6D17">
        <w:rPr>
          <w:rFonts w:ascii="Arial Narrow" w:hAnsi="Arial Narrow" w:cs="Arial"/>
          <w:szCs w:val="28"/>
          <w:lang w:val="es-ES"/>
        </w:rPr>
        <w:t xml:space="preserve">cinco años que antecedieron </w:t>
      </w:r>
      <w:r>
        <w:rPr>
          <w:rFonts w:ascii="Arial Narrow" w:hAnsi="Arial Narrow" w:cs="Arial"/>
          <w:szCs w:val="28"/>
          <w:lang w:val="es-ES"/>
        </w:rPr>
        <w:t>su deceso.</w:t>
      </w:r>
    </w:p>
    <w:p w:rsidR="00182955" w:rsidRPr="0030771B" w:rsidRDefault="00182955" w:rsidP="00182955">
      <w:pPr>
        <w:pStyle w:val="Sinespaciado"/>
      </w:pPr>
    </w:p>
    <w:p w:rsidR="00182955" w:rsidRPr="00962966" w:rsidRDefault="004C6284" w:rsidP="00182955">
      <w:pPr>
        <w:spacing w:line="360" w:lineRule="auto"/>
        <w:ind w:firstLine="708"/>
        <w:jc w:val="both"/>
        <w:rPr>
          <w:rFonts w:ascii="Arial Narrow" w:hAnsi="Arial Narrow" w:cs="Arial"/>
          <w:szCs w:val="28"/>
          <w:lang w:val="es-ES"/>
        </w:rPr>
      </w:pPr>
      <w:r>
        <w:rPr>
          <w:rFonts w:ascii="Arial Narrow" w:hAnsi="Arial Narrow" w:cs="Arial"/>
          <w:sz w:val="28"/>
          <w:szCs w:val="28"/>
          <w:lang w:val="es-ES"/>
        </w:rPr>
        <w:t>Con tal propósito, el</w:t>
      </w:r>
      <w:r w:rsidR="00182955">
        <w:rPr>
          <w:rFonts w:ascii="Arial Narrow" w:hAnsi="Arial Narrow" w:cs="Arial"/>
          <w:sz w:val="28"/>
          <w:szCs w:val="28"/>
          <w:lang w:val="es-ES"/>
        </w:rPr>
        <w:t xml:space="preserve"> demandante citó a rendir declaración a los señores </w:t>
      </w:r>
      <w:r>
        <w:rPr>
          <w:rFonts w:ascii="Arial Narrow" w:hAnsi="Arial Narrow" w:cs="Arial"/>
          <w:sz w:val="28"/>
          <w:szCs w:val="28"/>
          <w:lang w:val="es-ES"/>
        </w:rPr>
        <w:t>Hector Jaime Zapata y Luis Alfonso Guapacha Hurtado</w:t>
      </w:r>
      <w:r w:rsidR="00182955">
        <w:rPr>
          <w:rFonts w:ascii="Arial Narrow" w:hAnsi="Arial Narrow" w:cs="Arial"/>
          <w:sz w:val="28"/>
          <w:szCs w:val="28"/>
          <w:lang w:val="es-ES"/>
        </w:rPr>
        <w:t xml:space="preserve">. El primero, indicó conocer a la pareja </w:t>
      </w:r>
      <w:r>
        <w:rPr>
          <w:rFonts w:ascii="Arial Narrow" w:hAnsi="Arial Narrow" w:cs="Arial"/>
          <w:sz w:val="28"/>
          <w:szCs w:val="28"/>
          <w:lang w:val="es-ES"/>
        </w:rPr>
        <w:t xml:space="preserve">GUapacha – Calderón </w:t>
      </w:r>
      <w:r w:rsidR="00182955">
        <w:rPr>
          <w:rFonts w:ascii="Arial Narrow" w:hAnsi="Arial Narrow" w:cs="Arial"/>
          <w:sz w:val="28"/>
          <w:szCs w:val="28"/>
          <w:lang w:val="es-ES"/>
        </w:rPr>
        <w:t>desde hace 2</w:t>
      </w:r>
      <w:r>
        <w:rPr>
          <w:rFonts w:ascii="Arial Narrow" w:hAnsi="Arial Narrow" w:cs="Arial"/>
          <w:sz w:val="28"/>
          <w:szCs w:val="28"/>
          <w:lang w:val="es-ES"/>
        </w:rPr>
        <w:t>0</w:t>
      </w:r>
      <w:r w:rsidR="00182955">
        <w:rPr>
          <w:rFonts w:ascii="Arial Narrow" w:hAnsi="Arial Narrow" w:cs="Arial"/>
          <w:sz w:val="28"/>
          <w:szCs w:val="28"/>
          <w:lang w:val="es-ES"/>
        </w:rPr>
        <w:t xml:space="preserve"> años, por razones de </w:t>
      </w:r>
      <w:r>
        <w:rPr>
          <w:rFonts w:ascii="Arial Narrow" w:hAnsi="Arial Narrow" w:cs="Arial"/>
          <w:sz w:val="28"/>
          <w:szCs w:val="28"/>
          <w:lang w:val="es-ES"/>
        </w:rPr>
        <w:t xml:space="preserve">amistad y </w:t>
      </w:r>
      <w:r w:rsidR="00182955">
        <w:rPr>
          <w:rFonts w:ascii="Arial Narrow" w:hAnsi="Arial Narrow" w:cs="Arial"/>
          <w:sz w:val="28"/>
          <w:szCs w:val="28"/>
          <w:lang w:val="es-ES"/>
        </w:rPr>
        <w:t xml:space="preserve">vecindad en el Barrio </w:t>
      </w:r>
      <w:r>
        <w:rPr>
          <w:rFonts w:ascii="Arial Narrow" w:hAnsi="Arial Narrow" w:cs="Arial"/>
          <w:sz w:val="28"/>
          <w:szCs w:val="28"/>
          <w:lang w:val="es-ES"/>
        </w:rPr>
        <w:t>La Magdalena, del Municipio de la Virginia Risaralda</w:t>
      </w:r>
      <w:r w:rsidR="00182955">
        <w:rPr>
          <w:rFonts w:ascii="Arial Narrow" w:hAnsi="Arial Narrow" w:cs="Arial"/>
          <w:sz w:val="28"/>
          <w:szCs w:val="28"/>
          <w:lang w:val="es-ES"/>
        </w:rPr>
        <w:t xml:space="preserve">; que la demandante y el causante eran casados, que procrearon dos hijos, </w:t>
      </w:r>
      <w:r>
        <w:rPr>
          <w:rFonts w:ascii="Arial Narrow" w:hAnsi="Arial Narrow" w:cs="Arial"/>
          <w:sz w:val="28"/>
          <w:szCs w:val="28"/>
          <w:lang w:val="es-ES"/>
        </w:rPr>
        <w:t>Diego Alexander y Daniela</w:t>
      </w:r>
      <w:r w:rsidR="00962966">
        <w:rPr>
          <w:rFonts w:ascii="Arial Narrow" w:hAnsi="Arial Narrow" w:cs="Arial"/>
          <w:sz w:val="28"/>
          <w:szCs w:val="28"/>
          <w:lang w:val="es-ES"/>
        </w:rPr>
        <w:t>, quienes actualmente tienen entre 22 y 24 años de edad</w:t>
      </w:r>
      <w:r w:rsidR="00182955">
        <w:rPr>
          <w:rFonts w:ascii="Arial Narrow" w:hAnsi="Arial Narrow" w:cs="Arial"/>
          <w:sz w:val="28"/>
          <w:szCs w:val="28"/>
          <w:lang w:val="es-ES"/>
        </w:rPr>
        <w:t xml:space="preserve">; que </w:t>
      </w:r>
      <w:r w:rsidR="00962966">
        <w:rPr>
          <w:rFonts w:ascii="Arial Narrow" w:hAnsi="Arial Narrow" w:cs="Arial"/>
          <w:sz w:val="28"/>
          <w:szCs w:val="28"/>
          <w:lang w:val="es-ES"/>
        </w:rPr>
        <w:t xml:space="preserve">el demandante se desempeña como pintor al paso que la afiliada fallecida laboraba en el colegio La Presentación. Indicó que </w:t>
      </w:r>
      <w:r w:rsidR="00E66E79">
        <w:rPr>
          <w:rFonts w:ascii="Arial Narrow" w:hAnsi="Arial Narrow" w:cs="Arial"/>
          <w:sz w:val="28"/>
          <w:szCs w:val="28"/>
          <w:lang w:val="es-ES"/>
        </w:rPr>
        <w:t xml:space="preserve">unos meses antes del fallecimiento de la señora Blanca Lilia él viajó a Florencia, Caquetá por razones de trabajo, y que por tal motivo no pudo asistir a las exequias, que </w:t>
      </w:r>
      <w:r w:rsidR="00962966">
        <w:rPr>
          <w:rFonts w:ascii="Arial Narrow" w:hAnsi="Arial Narrow" w:cs="Arial"/>
          <w:sz w:val="28"/>
          <w:szCs w:val="28"/>
          <w:lang w:val="es-ES"/>
        </w:rPr>
        <w:t xml:space="preserve">nunca tuvo noticia de rompimiento o separación </w:t>
      </w:r>
      <w:r w:rsidR="00E66E79">
        <w:rPr>
          <w:rFonts w:ascii="Arial Narrow" w:hAnsi="Arial Narrow" w:cs="Arial"/>
          <w:sz w:val="28"/>
          <w:szCs w:val="28"/>
          <w:lang w:val="es-ES"/>
        </w:rPr>
        <w:t xml:space="preserve">de la pareja, ni tampoco </w:t>
      </w:r>
      <w:r w:rsidR="006D5A7D">
        <w:rPr>
          <w:rFonts w:ascii="Arial Narrow" w:hAnsi="Arial Narrow" w:cs="Arial"/>
          <w:sz w:val="28"/>
          <w:szCs w:val="28"/>
          <w:lang w:val="es-ES"/>
        </w:rPr>
        <w:t xml:space="preserve">les conoció otras relaciones o hijos extramatrimoniales. </w:t>
      </w:r>
    </w:p>
    <w:p w:rsidR="00182955" w:rsidRPr="009A5A7E" w:rsidRDefault="00182955" w:rsidP="009A5A7E">
      <w:pPr>
        <w:pStyle w:val="Sinespaciado"/>
      </w:pPr>
    </w:p>
    <w:p w:rsidR="00A63415" w:rsidRDefault="00182955" w:rsidP="00A63415">
      <w:pPr>
        <w:pStyle w:val="Sinespaciado"/>
        <w:spacing w:line="360" w:lineRule="auto"/>
        <w:ind w:firstLine="708"/>
        <w:jc w:val="both"/>
        <w:rPr>
          <w:rFonts w:ascii="Arial Narrow" w:hAnsi="Arial Narrow"/>
          <w:sz w:val="28"/>
          <w:szCs w:val="28"/>
        </w:rPr>
      </w:pPr>
      <w:r>
        <w:rPr>
          <w:rFonts w:ascii="Arial Narrow" w:hAnsi="Arial Narrow"/>
          <w:sz w:val="28"/>
          <w:szCs w:val="28"/>
        </w:rPr>
        <w:t>Por su parte, el señor</w:t>
      </w:r>
      <w:r w:rsidR="00DE62D7">
        <w:rPr>
          <w:rFonts w:ascii="Arial Narrow" w:hAnsi="Arial Narrow"/>
          <w:sz w:val="28"/>
          <w:szCs w:val="28"/>
        </w:rPr>
        <w:t xml:space="preserve"> Gu</w:t>
      </w:r>
      <w:r w:rsidR="00901FFB">
        <w:rPr>
          <w:rFonts w:ascii="Arial Narrow" w:hAnsi="Arial Narrow"/>
          <w:sz w:val="28"/>
          <w:szCs w:val="28"/>
        </w:rPr>
        <w:t xml:space="preserve">apacha Hurtado relató </w:t>
      </w:r>
      <w:r w:rsidR="00DE62D7">
        <w:rPr>
          <w:rFonts w:ascii="Arial Narrow" w:hAnsi="Arial Narrow"/>
          <w:sz w:val="28"/>
          <w:szCs w:val="28"/>
        </w:rPr>
        <w:t>que cono</w:t>
      </w:r>
      <w:r w:rsidR="00901FFB">
        <w:rPr>
          <w:rFonts w:ascii="Arial Narrow" w:hAnsi="Arial Narrow"/>
          <w:sz w:val="28"/>
          <w:szCs w:val="28"/>
        </w:rPr>
        <w:t xml:space="preserve">ció </w:t>
      </w:r>
      <w:r w:rsidR="00DE62D7">
        <w:rPr>
          <w:rFonts w:ascii="Arial Narrow" w:hAnsi="Arial Narrow"/>
          <w:sz w:val="28"/>
          <w:szCs w:val="28"/>
        </w:rPr>
        <w:t>al demandante desde que tenía 14 años de edad; que t</w:t>
      </w:r>
      <w:r w:rsidR="00901FFB">
        <w:rPr>
          <w:rFonts w:ascii="Arial Narrow" w:hAnsi="Arial Narrow"/>
          <w:sz w:val="28"/>
          <w:szCs w:val="28"/>
        </w:rPr>
        <w:t xml:space="preserve">uvo </w:t>
      </w:r>
      <w:r w:rsidR="00DE62D7">
        <w:rPr>
          <w:rFonts w:ascii="Arial Narrow" w:hAnsi="Arial Narrow"/>
          <w:sz w:val="28"/>
          <w:szCs w:val="28"/>
        </w:rPr>
        <w:t xml:space="preserve">conocimiento que la pareja contrajo matrimonio por la iglesia hace muchos años, que procrearon dos hijos, referenciando </w:t>
      </w:r>
      <w:r w:rsidR="00901FFB">
        <w:rPr>
          <w:rFonts w:ascii="Arial Narrow" w:hAnsi="Arial Narrow"/>
          <w:sz w:val="28"/>
          <w:szCs w:val="28"/>
        </w:rPr>
        <w:t xml:space="preserve">sus respectivos nombres </w:t>
      </w:r>
      <w:r w:rsidR="00DE62D7">
        <w:rPr>
          <w:rFonts w:ascii="Arial Narrow" w:hAnsi="Arial Narrow"/>
          <w:sz w:val="28"/>
          <w:szCs w:val="28"/>
        </w:rPr>
        <w:t>e indicando que</w:t>
      </w:r>
      <w:r w:rsidR="00901FFB">
        <w:rPr>
          <w:rFonts w:ascii="Arial Narrow" w:hAnsi="Arial Narrow"/>
          <w:sz w:val="28"/>
          <w:szCs w:val="28"/>
        </w:rPr>
        <w:t xml:space="preserve"> en la actualidad </w:t>
      </w:r>
      <w:r w:rsidR="00DE62D7">
        <w:rPr>
          <w:rFonts w:ascii="Arial Narrow" w:hAnsi="Arial Narrow"/>
          <w:sz w:val="28"/>
          <w:szCs w:val="28"/>
        </w:rPr>
        <w:t xml:space="preserve">tienen entre 20 y 24 años, siendo el </w:t>
      </w:r>
      <w:r w:rsidR="00901FFB">
        <w:rPr>
          <w:rFonts w:ascii="Arial Narrow" w:hAnsi="Arial Narrow"/>
          <w:sz w:val="28"/>
          <w:szCs w:val="28"/>
        </w:rPr>
        <w:t xml:space="preserve">hombre el </w:t>
      </w:r>
      <w:r w:rsidR="00DE62D7">
        <w:rPr>
          <w:rFonts w:ascii="Arial Narrow" w:hAnsi="Arial Narrow"/>
          <w:sz w:val="28"/>
          <w:szCs w:val="28"/>
        </w:rPr>
        <w:t>mayor</w:t>
      </w:r>
      <w:r w:rsidR="00901FFB">
        <w:rPr>
          <w:rFonts w:ascii="Arial Narrow" w:hAnsi="Arial Narrow"/>
          <w:sz w:val="28"/>
          <w:szCs w:val="28"/>
        </w:rPr>
        <w:t xml:space="preserve">, </w:t>
      </w:r>
      <w:r w:rsidR="00A63415">
        <w:rPr>
          <w:rFonts w:ascii="Arial Narrow" w:hAnsi="Arial Narrow"/>
          <w:sz w:val="28"/>
          <w:szCs w:val="28"/>
        </w:rPr>
        <w:t xml:space="preserve">quien se desempeña como profesor de </w:t>
      </w:r>
      <w:r w:rsidR="00DE62D7">
        <w:rPr>
          <w:rFonts w:ascii="Arial Narrow" w:hAnsi="Arial Narrow"/>
          <w:sz w:val="28"/>
          <w:szCs w:val="28"/>
        </w:rPr>
        <w:t>idiomas</w:t>
      </w:r>
      <w:r w:rsidR="00A63415">
        <w:rPr>
          <w:rFonts w:ascii="Arial Narrow" w:hAnsi="Arial Narrow"/>
          <w:sz w:val="28"/>
          <w:szCs w:val="28"/>
        </w:rPr>
        <w:t xml:space="preserve">, </w:t>
      </w:r>
      <w:r w:rsidR="00DE62D7">
        <w:rPr>
          <w:rFonts w:ascii="Arial Narrow" w:hAnsi="Arial Narrow"/>
          <w:sz w:val="28"/>
          <w:szCs w:val="28"/>
        </w:rPr>
        <w:t>y la niña</w:t>
      </w:r>
      <w:r w:rsidR="00A63415">
        <w:rPr>
          <w:rFonts w:ascii="Arial Narrow" w:hAnsi="Arial Narrow"/>
          <w:sz w:val="28"/>
          <w:szCs w:val="28"/>
        </w:rPr>
        <w:t xml:space="preserve">, </w:t>
      </w:r>
      <w:r w:rsidR="00DE62D7">
        <w:rPr>
          <w:rFonts w:ascii="Arial Narrow" w:hAnsi="Arial Narrow"/>
          <w:sz w:val="28"/>
          <w:szCs w:val="28"/>
        </w:rPr>
        <w:t xml:space="preserve">en finanzas, </w:t>
      </w:r>
      <w:r w:rsidR="00A63415">
        <w:rPr>
          <w:rFonts w:ascii="Arial Narrow" w:hAnsi="Arial Narrow"/>
          <w:sz w:val="28"/>
          <w:szCs w:val="28"/>
        </w:rPr>
        <w:t xml:space="preserve">laborando en un banco. Indica que la señora Blanca Lilia falleció de cáncer en el hígado, que ella los últimos tiempos estuvo como ama de casa pero que con antelación había trabajado en el Colegio de Monjas La presentación; y finalmente, manifestó que el demandante y la de cujus nunca se separaron y siempre los vio juntos. </w:t>
      </w:r>
    </w:p>
    <w:p w:rsidR="00182955" w:rsidRPr="004368D6" w:rsidRDefault="00182955" w:rsidP="00182955">
      <w:pPr>
        <w:pStyle w:val="Sinespaciado"/>
      </w:pPr>
    </w:p>
    <w:p w:rsidR="00182955" w:rsidRDefault="00182955" w:rsidP="00182955">
      <w:pPr>
        <w:pStyle w:val="Sinespaciado"/>
        <w:spacing w:line="360" w:lineRule="auto"/>
        <w:ind w:firstLine="708"/>
        <w:jc w:val="both"/>
        <w:rPr>
          <w:rFonts w:ascii="Arial Narrow" w:hAnsi="Arial Narrow" w:cs="Tahoma"/>
          <w:sz w:val="28"/>
          <w:szCs w:val="28"/>
        </w:rPr>
      </w:pPr>
      <w:r>
        <w:rPr>
          <w:rFonts w:ascii="Arial Narrow" w:hAnsi="Arial Narrow"/>
          <w:sz w:val="28"/>
          <w:szCs w:val="28"/>
          <w:lang w:eastAsia="en-US"/>
        </w:rPr>
        <w:t xml:space="preserve">Dicha prueba testimonial permite dar por sentado que </w:t>
      </w:r>
      <w:r w:rsidR="00D02B6E">
        <w:rPr>
          <w:rFonts w:ascii="Arial Narrow" w:hAnsi="Arial Narrow"/>
          <w:sz w:val="28"/>
          <w:szCs w:val="28"/>
          <w:lang w:eastAsia="en-US"/>
        </w:rPr>
        <w:t>el demandante</w:t>
      </w:r>
      <w:r>
        <w:rPr>
          <w:rFonts w:ascii="Arial Narrow" w:hAnsi="Arial Narrow"/>
          <w:sz w:val="28"/>
          <w:szCs w:val="28"/>
          <w:lang w:eastAsia="en-US"/>
        </w:rPr>
        <w:t xml:space="preserve">, en calidad de cónyuge supérstite, </w:t>
      </w:r>
      <w:r w:rsidRPr="00BA6D17">
        <w:rPr>
          <w:rFonts w:ascii="Arial Narrow" w:hAnsi="Arial Narrow"/>
          <w:sz w:val="28"/>
          <w:szCs w:val="28"/>
          <w:lang w:eastAsia="en-US"/>
        </w:rPr>
        <w:t>hizo vida marital</w:t>
      </w:r>
      <w:r>
        <w:rPr>
          <w:rFonts w:ascii="Arial Narrow" w:hAnsi="Arial Narrow"/>
          <w:sz w:val="28"/>
          <w:szCs w:val="28"/>
          <w:lang w:eastAsia="en-US"/>
        </w:rPr>
        <w:t xml:space="preserve"> con </w:t>
      </w:r>
      <w:r w:rsidR="009128C3">
        <w:rPr>
          <w:rFonts w:ascii="Arial Narrow" w:hAnsi="Arial Narrow"/>
          <w:sz w:val="28"/>
          <w:szCs w:val="28"/>
          <w:lang w:eastAsia="en-US"/>
        </w:rPr>
        <w:t xml:space="preserve">la </w:t>
      </w:r>
      <w:r>
        <w:rPr>
          <w:rFonts w:ascii="Arial Narrow" w:hAnsi="Arial Narrow"/>
          <w:sz w:val="28"/>
          <w:szCs w:val="28"/>
          <w:lang w:eastAsia="en-US"/>
        </w:rPr>
        <w:t xml:space="preserve">causante por un lapso superior a cinco años anteriores </w:t>
      </w:r>
      <w:r w:rsidR="009128C3">
        <w:rPr>
          <w:rFonts w:ascii="Arial Narrow" w:hAnsi="Arial Narrow"/>
          <w:sz w:val="28"/>
          <w:szCs w:val="28"/>
          <w:lang w:eastAsia="en-US"/>
        </w:rPr>
        <w:t xml:space="preserve">al su deceso, </w:t>
      </w:r>
      <w:r>
        <w:rPr>
          <w:rFonts w:ascii="Arial Narrow" w:hAnsi="Arial Narrow"/>
          <w:sz w:val="28"/>
          <w:szCs w:val="28"/>
          <w:lang w:eastAsia="en-US"/>
        </w:rPr>
        <w:t xml:space="preserve">por lo que </w:t>
      </w:r>
      <w:r>
        <w:rPr>
          <w:rFonts w:ascii="Arial Narrow" w:hAnsi="Arial Narrow" w:cs="Tahoma"/>
          <w:sz w:val="28"/>
          <w:szCs w:val="28"/>
        </w:rPr>
        <w:t>se observa atino en la conclusión de la a-quo, en cuanto l</w:t>
      </w:r>
      <w:r w:rsidR="009128C3">
        <w:rPr>
          <w:rFonts w:ascii="Arial Narrow" w:hAnsi="Arial Narrow" w:cs="Tahoma"/>
          <w:sz w:val="28"/>
          <w:szCs w:val="28"/>
        </w:rPr>
        <w:t>o</w:t>
      </w:r>
      <w:r>
        <w:rPr>
          <w:rFonts w:ascii="Arial Narrow" w:hAnsi="Arial Narrow" w:cs="Tahoma"/>
          <w:sz w:val="28"/>
          <w:szCs w:val="28"/>
        </w:rPr>
        <w:t xml:space="preserve"> tuvo como beneficiari</w:t>
      </w:r>
      <w:r w:rsidR="009128C3">
        <w:rPr>
          <w:rFonts w:ascii="Arial Narrow" w:hAnsi="Arial Narrow" w:cs="Tahoma"/>
          <w:sz w:val="28"/>
          <w:szCs w:val="28"/>
        </w:rPr>
        <w:t>o</w:t>
      </w:r>
      <w:r>
        <w:rPr>
          <w:rFonts w:ascii="Arial Narrow" w:hAnsi="Arial Narrow" w:cs="Tahoma"/>
          <w:sz w:val="28"/>
          <w:szCs w:val="28"/>
        </w:rPr>
        <w:t xml:space="preserve"> de la pensión de sobrevivientes. </w:t>
      </w:r>
    </w:p>
    <w:p w:rsidR="00182955" w:rsidRPr="009A5A7E" w:rsidRDefault="00182955" w:rsidP="009A5A7E">
      <w:pPr>
        <w:pStyle w:val="Sinespaciado"/>
      </w:pPr>
    </w:p>
    <w:p w:rsidR="00182955" w:rsidRDefault="00D02B6E" w:rsidP="004420DA">
      <w:pPr>
        <w:pStyle w:val="Sinespaciado"/>
        <w:spacing w:line="360" w:lineRule="auto"/>
        <w:ind w:firstLine="708"/>
        <w:jc w:val="both"/>
        <w:rPr>
          <w:rFonts w:ascii="Arial Narrow" w:hAnsi="Arial Narrow" w:cs="Tahoma"/>
          <w:sz w:val="28"/>
          <w:szCs w:val="28"/>
        </w:rPr>
      </w:pPr>
      <w:r>
        <w:rPr>
          <w:rFonts w:ascii="Arial Narrow" w:hAnsi="Arial Narrow" w:cs="Tahoma"/>
          <w:sz w:val="28"/>
          <w:szCs w:val="28"/>
        </w:rPr>
        <w:t xml:space="preserve">Respecto a los jóvenes Diego Alexander y Daniela Guapacha Calderón, hijos de la causante, se tiene conforme al artículo 13 de la Ley 797 de 2003, que serán </w:t>
      </w:r>
      <w:r w:rsidR="004420DA" w:rsidRPr="008A2D53">
        <w:rPr>
          <w:rFonts w:ascii="Arial Narrow" w:hAnsi="Arial Narrow" w:cs="Tahoma"/>
          <w:sz w:val="28"/>
          <w:szCs w:val="28"/>
        </w:rPr>
        <w:t>beneficiarios</w:t>
      </w:r>
      <w:r w:rsidR="00182955" w:rsidRPr="008A2D53">
        <w:rPr>
          <w:rFonts w:ascii="Arial Narrow" w:hAnsi="Arial Narrow" w:cs="Tahoma"/>
          <w:sz w:val="28"/>
          <w:szCs w:val="28"/>
        </w:rPr>
        <w:t xml:space="preserve"> de la prestación hasta cuando cumplan 18 años de edad, o hasta los 25 años, cuando estuvieren incapacitados para la</w:t>
      </w:r>
      <w:r w:rsidR="00182955">
        <w:rPr>
          <w:rFonts w:ascii="Arial Narrow" w:hAnsi="Arial Narrow" w:cs="Tahoma"/>
          <w:sz w:val="28"/>
          <w:szCs w:val="28"/>
        </w:rPr>
        <w:t xml:space="preserve">borar en razón de sus estudios. De modo que, en el caso de autos no milita duda respecto a que </w:t>
      </w:r>
      <w:r w:rsidR="004420DA">
        <w:rPr>
          <w:rFonts w:ascii="Arial Narrow" w:hAnsi="Arial Narrow" w:cs="Tahoma"/>
          <w:sz w:val="28"/>
          <w:szCs w:val="28"/>
        </w:rPr>
        <w:t>aquellos</w:t>
      </w:r>
      <w:r w:rsidR="00182955">
        <w:rPr>
          <w:rFonts w:ascii="Arial Narrow" w:hAnsi="Arial Narrow" w:cs="Tahoma"/>
          <w:sz w:val="28"/>
          <w:szCs w:val="28"/>
        </w:rPr>
        <w:t>, en principio, l</w:t>
      </w:r>
      <w:r w:rsidR="004420DA">
        <w:rPr>
          <w:rFonts w:ascii="Arial Narrow" w:hAnsi="Arial Narrow" w:cs="Tahoma"/>
          <w:sz w:val="28"/>
          <w:szCs w:val="28"/>
        </w:rPr>
        <w:t xml:space="preserve">es asistía </w:t>
      </w:r>
      <w:r w:rsidR="00182955">
        <w:rPr>
          <w:rFonts w:ascii="Arial Narrow" w:hAnsi="Arial Narrow" w:cs="Tahoma"/>
          <w:sz w:val="28"/>
          <w:szCs w:val="28"/>
        </w:rPr>
        <w:t xml:space="preserve">el derecho a percibir la gracia pensional </w:t>
      </w:r>
      <w:r w:rsidR="004420DA">
        <w:rPr>
          <w:rFonts w:ascii="Arial Narrow" w:hAnsi="Arial Narrow" w:cs="Tahoma"/>
          <w:sz w:val="28"/>
          <w:szCs w:val="28"/>
        </w:rPr>
        <w:t>desde el 29 de enero de 2007</w:t>
      </w:r>
      <w:r w:rsidR="00182955">
        <w:rPr>
          <w:rFonts w:ascii="Arial Narrow" w:hAnsi="Arial Narrow" w:cs="Tahoma"/>
          <w:sz w:val="28"/>
          <w:szCs w:val="28"/>
        </w:rPr>
        <w:t>, fecha del deceso de</w:t>
      </w:r>
      <w:r w:rsidR="004420DA">
        <w:rPr>
          <w:rFonts w:ascii="Arial Narrow" w:hAnsi="Arial Narrow" w:cs="Tahoma"/>
          <w:sz w:val="28"/>
          <w:szCs w:val="28"/>
        </w:rPr>
        <w:t xml:space="preserve"> la </w:t>
      </w:r>
      <w:r w:rsidR="00182955">
        <w:rPr>
          <w:rFonts w:ascii="Arial Narrow" w:hAnsi="Arial Narrow" w:cs="Tahoma"/>
          <w:sz w:val="28"/>
          <w:szCs w:val="28"/>
        </w:rPr>
        <w:t>asegurad</w:t>
      </w:r>
      <w:r w:rsidR="004420DA">
        <w:rPr>
          <w:rFonts w:ascii="Arial Narrow" w:hAnsi="Arial Narrow" w:cs="Tahoma"/>
          <w:sz w:val="28"/>
          <w:szCs w:val="28"/>
        </w:rPr>
        <w:t>a</w:t>
      </w:r>
      <w:r w:rsidR="00182955">
        <w:rPr>
          <w:rFonts w:ascii="Arial Narrow" w:hAnsi="Arial Narrow" w:cs="Tahoma"/>
          <w:sz w:val="28"/>
          <w:szCs w:val="28"/>
        </w:rPr>
        <w:t xml:space="preserve"> y, hasta </w:t>
      </w:r>
      <w:r w:rsidR="004420DA">
        <w:rPr>
          <w:rFonts w:ascii="Arial Narrow" w:hAnsi="Arial Narrow" w:cs="Tahoma"/>
          <w:sz w:val="28"/>
          <w:szCs w:val="28"/>
        </w:rPr>
        <w:t>la fecha en que arribaron a la mayoría de edad,</w:t>
      </w:r>
      <w:r w:rsidR="007301BB">
        <w:rPr>
          <w:rFonts w:ascii="Arial Narrow" w:hAnsi="Arial Narrow" w:cs="Tahoma"/>
          <w:sz w:val="28"/>
          <w:szCs w:val="28"/>
        </w:rPr>
        <w:t xml:space="preserve"> esto es, el 22 de mayo de 2009 y el 13 de octubre de 2011, en su orden, </w:t>
      </w:r>
      <w:r w:rsidR="004420DA">
        <w:rPr>
          <w:rFonts w:ascii="Arial Narrow" w:hAnsi="Arial Narrow" w:cs="Tahoma"/>
          <w:sz w:val="28"/>
          <w:szCs w:val="28"/>
        </w:rPr>
        <w:t xml:space="preserve">pues no se acreditó en el </w:t>
      </w:r>
      <w:r w:rsidR="007F30FD">
        <w:rPr>
          <w:rFonts w:ascii="Arial Narrow" w:hAnsi="Arial Narrow" w:cs="Tahoma"/>
          <w:sz w:val="28"/>
          <w:szCs w:val="28"/>
        </w:rPr>
        <w:t xml:space="preserve">plenario </w:t>
      </w:r>
      <w:r w:rsidR="004420DA">
        <w:rPr>
          <w:rFonts w:ascii="Arial Narrow" w:hAnsi="Arial Narrow" w:cs="Tahoma"/>
          <w:sz w:val="28"/>
          <w:szCs w:val="28"/>
        </w:rPr>
        <w:t xml:space="preserve">que hubieren emprendido estudios con posterioridad </w:t>
      </w:r>
      <w:r w:rsidR="00A60DFD">
        <w:rPr>
          <w:rFonts w:ascii="Arial Narrow" w:hAnsi="Arial Narrow" w:cs="Tahoma"/>
          <w:sz w:val="28"/>
          <w:szCs w:val="28"/>
        </w:rPr>
        <w:t xml:space="preserve">a esas calendas </w:t>
      </w:r>
      <w:r w:rsidR="004420DA">
        <w:rPr>
          <w:rFonts w:ascii="Arial Narrow" w:hAnsi="Arial Narrow" w:cs="Tahoma"/>
          <w:sz w:val="28"/>
          <w:szCs w:val="28"/>
        </w:rPr>
        <w:t xml:space="preserve">para conservar su derecho a percibir la pensión hasta cumplir 25 años de edad. </w:t>
      </w:r>
    </w:p>
    <w:p w:rsidR="0031710C" w:rsidRPr="009A5A7E" w:rsidRDefault="0031710C" w:rsidP="009A5A7E">
      <w:pPr>
        <w:pStyle w:val="Sinespaciado"/>
      </w:pPr>
    </w:p>
    <w:p w:rsidR="009A5A7E" w:rsidRDefault="0031710C" w:rsidP="00047AA1">
      <w:pPr>
        <w:pStyle w:val="Textoindependiente31"/>
        <w:ind w:firstLine="851"/>
        <w:rPr>
          <w:rFonts w:ascii="Arial Narrow" w:hAnsi="Arial Narrow" w:cs="Tahoma"/>
          <w:szCs w:val="28"/>
        </w:rPr>
      </w:pPr>
      <w:r>
        <w:rPr>
          <w:rFonts w:ascii="Arial Narrow" w:hAnsi="Arial Narrow" w:cs="Tahoma"/>
          <w:szCs w:val="28"/>
        </w:rPr>
        <w:t>No obstante lo anterior,</w:t>
      </w:r>
      <w:r w:rsidR="002D0B85">
        <w:rPr>
          <w:rFonts w:ascii="Arial Narrow" w:hAnsi="Arial Narrow" w:cs="Tahoma"/>
          <w:szCs w:val="28"/>
        </w:rPr>
        <w:t xml:space="preserve"> </w:t>
      </w:r>
      <w:r w:rsidR="00047AA1">
        <w:rPr>
          <w:rFonts w:ascii="Arial Narrow" w:hAnsi="Arial Narrow" w:cs="Tahoma"/>
          <w:szCs w:val="28"/>
        </w:rPr>
        <w:t xml:space="preserve">es preciso indicar que esta Sala de Decisión se ha abstenido de hacer el reconocimiento de retroactivo pensional alguno antes de la ejecutoria de la sentencia, en la medida en que la prevalencia del derecho acá declarado, surge por una interpretación constitucional favorable. </w:t>
      </w:r>
    </w:p>
    <w:p w:rsidR="00047AA1" w:rsidRPr="00047AA1" w:rsidRDefault="00047AA1" w:rsidP="00047AA1">
      <w:pPr>
        <w:pStyle w:val="Sinespaciado"/>
      </w:pPr>
    </w:p>
    <w:p w:rsidR="009A5A7E" w:rsidRDefault="009A5A7E" w:rsidP="009A5A7E">
      <w:pPr>
        <w:pStyle w:val="Textoindependiente31"/>
        <w:ind w:firstLine="851"/>
        <w:rPr>
          <w:rFonts w:ascii="Arial Narrow" w:hAnsi="Arial Narrow" w:cs="Tahoma"/>
          <w:szCs w:val="28"/>
        </w:rPr>
      </w:pPr>
      <w:r>
        <w:rPr>
          <w:rFonts w:ascii="Arial Narrow" w:hAnsi="Arial Narrow" w:cs="Tahoma"/>
          <w:szCs w:val="28"/>
        </w:rPr>
        <w:t xml:space="preserve">Es ese el marco frente al cual el órgano de cierre de la especialidad laboral, en un caso análogo de interpretación constitucional favorable, indicó que se está en frente </w:t>
      </w:r>
      <w:r>
        <w:rPr>
          <w:rFonts w:ascii="Arial Narrow" w:hAnsi="Arial Narrow" w:cs="Tahoma"/>
          <w:szCs w:val="28"/>
        </w:rPr>
        <w:lastRenderedPageBreak/>
        <w:t>de un evento en que las actuaciones de las administradoras de pensiones, al no reconocer o pagar las prestaciones periódicas a su cargo, “</w:t>
      </w:r>
      <w:r w:rsidRPr="006C4E86">
        <w:rPr>
          <w:rFonts w:ascii="Arial Narrow" w:hAnsi="Arial Narrow" w:cs="Tahoma"/>
          <w:i/>
          <w:szCs w:val="28"/>
        </w:rPr>
        <w:t>encuentran plena justificación bien porque tengan respaldo normativo, ora porque su postura provenga de la aplicación minuciosa de la ley, sin los alcances o efectos que en un momento dado puedan darle los jueces en la función que le es propia de interpretar las normas  sociales y ajustarlas a los postulados y objetivos fundamentales de la seguridad social, y que a las entidades que la gestionan no les compete y les es imposible predecir</w:t>
      </w:r>
      <w:r>
        <w:rPr>
          <w:rFonts w:ascii="Arial Narrow" w:hAnsi="Arial Narrow" w:cs="Tahoma"/>
          <w:szCs w:val="28"/>
        </w:rPr>
        <w:t>”. (Sent.02 de octubre de 2013. Rad. 44.454 Cas. Laboral).</w:t>
      </w:r>
    </w:p>
    <w:p w:rsidR="009A5A7E" w:rsidRDefault="009A5A7E" w:rsidP="009A5A7E">
      <w:pPr>
        <w:pStyle w:val="Sinespaciado"/>
      </w:pPr>
    </w:p>
    <w:p w:rsidR="00047AA1" w:rsidRDefault="009A5A7E" w:rsidP="008141EE">
      <w:pPr>
        <w:pStyle w:val="Textoindependiente31"/>
        <w:ind w:firstLine="708"/>
        <w:rPr>
          <w:rFonts w:ascii="Arial Narrow" w:hAnsi="Arial Narrow" w:cs="Tahoma"/>
          <w:szCs w:val="28"/>
        </w:rPr>
      </w:pPr>
      <w:r>
        <w:rPr>
          <w:rFonts w:ascii="Arial Narrow" w:hAnsi="Arial Narrow" w:cs="Tahoma"/>
          <w:szCs w:val="28"/>
        </w:rPr>
        <w:t xml:space="preserve">En tal virtud, </w:t>
      </w:r>
      <w:r w:rsidR="00672909">
        <w:rPr>
          <w:rFonts w:ascii="Arial Narrow" w:hAnsi="Arial Narrow" w:cs="Tahoma"/>
          <w:szCs w:val="28"/>
        </w:rPr>
        <w:t>respecto a</w:t>
      </w:r>
      <w:r w:rsidR="00772F8A">
        <w:rPr>
          <w:rFonts w:ascii="Arial Narrow" w:hAnsi="Arial Narrow" w:cs="Tahoma"/>
          <w:szCs w:val="28"/>
        </w:rPr>
        <w:t xml:space="preserve">l </w:t>
      </w:r>
      <w:r w:rsidR="00047AA1">
        <w:rPr>
          <w:rFonts w:ascii="Arial Narrow" w:hAnsi="Arial Narrow" w:cs="Tahoma"/>
          <w:szCs w:val="28"/>
        </w:rPr>
        <w:t xml:space="preserve">cónyuge supérstite </w:t>
      </w:r>
      <w:r>
        <w:rPr>
          <w:rFonts w:ascii="Arial Narrow" w:hAnsi="Arial Narrow" w:cs="Tahoma"/>
          <w:szCs w:val="28"/>
        </w:rPr>
        <w:t>sólo procede el reconocimiento y pago de las mesadas pensionales a partir de la ejecutoria de este proveído.</w:t>
      </w:r>
      <w:r w:rsidR="00047AA1">
        <w:rPr>
          <w:rFonts w:ascii="Arial Narrow" w:hAnsi="Arial Narrow" w:cs="Tahoma"/>
          <w:szCs w:val="28"/>
        </w:rPr>
        <w:t xml:space="preserve"> En cuanto a los hijos de la causante, se observa que una </w:t>
      </w:r>
      <w:r w:rsidR="00047AA1">
        <w:rPr>
          <w:rFonts w:ascii="Arial Narrow" w:hAnsi="Arial Narrow" w:cs="Tahoma"/>
          <w:szCs w:val="28"/>
        </w:rPr>
        <w:t>vez adquirieron capacidad legal para actuar, dejaron transcurrir más de tres años para acudir ant</w:t>
      </w:r>
      <w:r w:rsidR="008141EE">
        <w:rPr>
          <w:rFonts w:ascii="Arial Narrow" w:hAnsi="Arial Narrow" w:cs="Tahoma"/>
          <w:szCs w:val="28"/>
        </w:rPr>
        <w:t xml:space="preserve">e la justicia a reclamar el derecho que les asistía, por lo que aun sin consideración de lo anterior, </w:t>
      </w:r>
      <w:r w:rsidR="00047AA1">
        <w:rPr>
          <w:rFonts w:ascii="Arial Narrow" w:hAnsi="Arial Narrow" w:cs="Tahoma"/>
          <w:szCs w:val="28"/>
        </w:rPr>
        <w:t xml:space="preserve"> su derecho a </w:t>
      </w:r>
      <w:r w:rsidR="00047AA1" w:rsidRPr="00265970">
        <w:rPr>
          <w:rFonts w:ascii="Arial Narrow" w:hAnsi="Arial Narrow" w:cs="Tahoma"/>
          <w:szCs w:val="28"/>
        </w:rPr>
        <w:t>devengar las mesadas pensionales antes referidas</w:t>
      </w:r>
      <w:r w:rsidR="00047AA1">
        <w:rPr>
          <w:rFonts w:ascii="Arial Narrow" w:hAnsi="Arial Narrow" w:cs="Tahoma"/>
          <w:szCs w:val="28"/>
        </w:rPr>
        <w:t>, est</w:t>
      </w:r>
      <w:r w:rsidR="008141EE">
        <w:rPr>
          <w:rFonts w:ascii="Arial Narrow" w:hAnsi="Arial Narrow" w:cs="Tahoma"/>
          <w:szCs w:val="28"/>
        </w:rPr>
        <w:t xml:space="preserve">aría cobijado </w:t>
      </w:r>
      <w:r w:rsidR="00047AA1">
        <w:rPr>
          <w:rFonts w:ascii="Arial Narrow" w:hAnsi="Arial Narrow" w:cs="Tahoma"/>
          <w:szCs w:val="28"/>
        </w:rPr>
        <w:t xml:space="preserve">por el fenómeno de la prescripción que alegó el Ministerio Publico, en los términos </w:t>
      </w:r>
      <w:r w:rsidR="008141EE">
        <w:rPr>
          <w:rFonts w:ascii="Arial Narrow" w:hAnsi="Arial Narrow" w:cs="Tahoma"/>
          <w:szCs w:val="28"/>
        </w:rPr>
        <w:t>d</w:t>
      </w:r>
      <w:r w:rsidR="00047AA1">
        <w:rPr>
          <w:rFonts w:ascii="Arial Narrow" w:hAnsi="Arial Narrow" w:cs="Tahoma"/>
          <w:szCs w:val="28"/>
        </w:rPr>
        <w:t>el artículo 488 del C.S.T. y 151 del C.P.T y de la S.S., tal como lo indicó la a-quo.</w:t>
      </w:r>
      <w:bookmarkStart w:id="0" w:name="_GoBack"/>
      <w:bookmarkEnd w:id="0"/>
    </w:p>
    <w:p w:rsidR="00135E21" w:rsidRPr="0031710C" w:rsidRDefault="00135E21" w:rsidP="0031710C">
      <w:pPr>
        <w:pStyle w:val="Sinespaciado"/>
      </w:pPr>
    </w:p>
    <w:p w:rsidR="00182955" w:rsidRPr="00763C12" w:rsidRDefault="00182955" w:rsidP="00182955">
      <w:pPr>
        <w:pStyle w:val="Sinespaciado"/>
        <w:spacing w:line="360" w:lineRule="auto"/>
        <w:ind w:firstLine="708"/>
        <w:jc w:val="both"/>
        <w:rPr>
          <w:rFonts w:ascii="Arial Narrow" w:hAnsi="Arial Narrow" w:cs="Tahoma"/>
          <w:sz w:val="28"/>
          <w:szCs w:val="28"/>
        </w:rPr>
      </w:pPr>
      <w:r w:rsidRPr="00981D91">
        <w:rPr>
          <w:rFonts w:ascii="Arial Narrow" w:hAnsi="Arial Narrow" w:cs="Tahoma"/>
          <w:sz w:val="28"/>
          <w:szCs w:val="28"/>
        </w:rPr>
        <w:t>Por ende, se revocará parcialmente la sentencia de primer grado, en virtud del grado de consulta que opera en favor de la entidad demandada</w:t>
      </w:r>
      <w:r w:rsidRPr="00265970">
        <w:rPr>
          <w:rFonts w:ascii="Arial Narrow" w:hAnsi="Arial Narrow" w:cs="Tahoma"/>
          <w:sz w:val="28"/>
          <w:szCs w:val="28"/>
        </w:rPr>
        <w:t>.</w:t>
      </w:r>
    </w:p>
    <w:p w:rsidR="00182955" w:rsidRPr="00EE2E6E" w:rsidRDefault="00182955" w:rsidP="00182955">
      <w:pPr>
        <w:pStyle w:val="Sinespaciado"/>
      </w:pPr>
    </w:p>
    <w:p w:rsidR="00182955" w:rsidRDefault="00182955" w:rsidP="00182955">
      <w:pPr>
        <w:pStyle w:val="Textoindependiente31"/>
        <w:ind w:firstLine="851"/>
        <w:rPr>
          <w:rFonts w:ascii="Arial Narrow" w:hAnsi="Arial Narrow" w:cs="Tahoma"/>
          <w:szCs w:val="28"/>
        </w:rPr>
      </w:pPr>
      <w:r>
        <w:rPr>
          <w:rFonts w:ascii="Arial Narrow" w:hAnsi="Arial Narrow" w:cs="Tahoma"/>
          <w:szCs w:val="28"/>
        </w:rPr>
        <w:t>Respecto d</w:t>
      </w:r>
      <w:r w:rsidR="00A5373C">
        <w:rPr>
          <w:rFonts w:ascii="Arial Narrow" w:hAnsi="Arial Narrow" w:cs="Tahoma"/>
          <w:szCs w:val="28"/>
        </w:rPr>
        <w:t xml:space="preserve">el valor de la mesada pensional, </w:t>
      </w:r>
      <w:r w:rsidR="00AD0829">
        <w:rPr>
          <w:rFonts w:ascii="Arial Narrow" w:hAnsi="Arial Narrow" w:cs="Tahoma"/>
          <w:szCs w:val="28"/>
        </w:rPr>
        <w:t xml:space="preserve">ésta </w:t>
      </w:r>
      <w:r w:rsidR="00A5373C">
        <w:rPr>
          <w:rFonts w:ascii="Arial Narrow" w:hAnsi="Arial Narrow" w:cs="Tahoma"/>
          <w:szCs w:val="28"/>
        </w:rPr>
        <w:t>será</w:t>
      </w:r>
      <w:r w:rsidR="00210965">
        <w:rPr>
          <w:rFonts w:ascii="Arial Narrow" w:hAnsi="Arial Narrow" w:cs="Tahoma"/>
          <w:szCs w:val="28"/>
        </w:rPr>
        <w:t xml:space="preserve"> equivalente a </w:t>
      </w:r>
      <w:r w:rsidR="00A5373C">
        <w:rPr>
          <w:rFonts w:ascii="Arial Narrow" w:hAnsi="Arial Narrow" w:cs="Tahoma"/>
          <w:szCs w:val="28"/>
        </w:rPr>
        <w:t xml:space="preserve">un salario </w:t>
      </w:r>
      <w:r w:rsidR="00210965">
        <w:rPr>
          <w:rFonts w:ascii="Arial Narrow" w:hAnsi="Arial Narrow" w:cs="Tahoma"/>
          <w:szCs w:val="28"/>
        </w:rPr>
        <w:t>mínimo</w:t>
      </w:r>
      <w:r w:rsidR="00A5373C">
        <w:rPr>
          <w:rFonts w:ascii="Arial Narrow" w:hAnsi="Arial Narrow" w:cs="Tahoma"/>
          <w:szCs w:val="28"/>
        </w:rPr>
        <w:t xml:space="preserve"> legal mensual vigente, </w:t>
      </w:r>
      <w:r w:rsidR="00210965">
        <w:rPr>
          <w:rFonts w:ascii="Arial Narrow" w:hAnsi="Arial Narrow" w:cs="Tahoma"/>
          <w:szCs w:val="28"/>
        </w:rPr>
        <w:t xml:space="preserve">como quiera que </w:t>
      </w:r>
      <w:r w:rsidR="00A5373C">
        <w:rPr>
          <w:rFonts w:ascii="Arial Narrow" w:hAnsi="Arial Narrow" w:cs="Tahoma"/>
          <w:szCs w:val="28"/>
        </w:rPr>
        <w:t>la afiliada cotizó en toda su vida sobre esa base salarial. En cuanto al número de mesadas, le corresponden al actor 1</w:t>
      </w:r>
      <w:r w:rsidR="003F3C84">
        <w:rPr>
          <w:rFonts w:ascii="Arial Narrow" w:hAnsi="Arial Narrow" w:cs="Tahoma"/>
          <w:szCs w:val="28"/>
        </w:rPr>
        <w:t>3</w:t>
      </w:r>
      <w:r w:rsidR="00A5373C">
        <w:rPr>
          <w:rFonts w:ascii="Arial Narrow" w:hAnsi="Arial Narrow" w:cs="Tahoma"/>
          <w:szCs w:val="28"/>
        </w:rPr>
        <w:t xml:space="preserve"> </w:t>
      </w:r>
      <w:r w:rsidR="003F3C84">
        <w:rPr>
          <w:rFonts w:ascii="Arial Narrow" w:hAnsi="Arial Narrow" w:cs="Tahoma"/>
          <w:szCs w:val="28"/>
        </w:rPr>
        <w:t xml:space="preserve">anuales, habida cuenta </w:t>
      </w:r>
      <w:r>
        <w:rPr>
          <w:rFonts w:ascii="Arial Narrow" w:hAnsi="Arial Narrow" w:cs="Tahoma"/>
          <w:szCs w:val="28"/>
        </w:rPr>
        <w:t>la causación del derecho a la gracia pensional se fijó a partir de la ejecutoria de este proveído, al tenor de lo establecido en el inciso 8º del Acto Legislativo 01 de 2005.</w:t>
      </w:r>
    </w:p>
    <w:p w:rsidR="00B82BD7" w:rsidRDefault="00B82BD7" w:rsidP="00210965">
      <w:pPr>
        <w:pStyle w:val="Sinespaciado"/>
      </w:pPr>
    </w:p>
    <w:p w:rsidR="00210965" w:rsidRDefault="00B82BD7" w:rsidP="00182955">
      <w:pPr>
        <w:pStyle w:val="Textoindependiente31"/>
        <w:ind w:firstLine="851"/>
        <w:rPr>
          <w:rFonts w:ascii="Arial Narrow" w:hAnsi="Arial Narrow" w:cs="Tahoma"/>
          <w:szCs w:val="28"/>
        </w:rPr>
      </w:pPr>
      <w:r>
        <w:rPr>
          <w:rFonts w:ascii="Arial Narrow" w:hAnsi="Arial Narrow" w:cs="Tahoma"/>
          <w:szCs w:val="28"/>
        </w:rPr>
        <w:t>En cu</w:t>
      </w:r>
      <w:r w:rsidR="00210965">
        <w:rPr>
          <w:rFonts w:ascii="Arial Narrow" w:hAnsi="Arial Narrow" w:cs="Tahoma"/>
          <w:szCs w:val="28"/>
        </w:rPr>
        <w:t>anto a los intereses moratorios, la indexación y las costas procesales, s</w:t>
      </w:r>
      <w:r w:rsidR="00182955">
        <w:rPr>
          <w:rFonts w:ascii="Arial Narrow" w:hAnsi="Arial Narrow" w:cs="Tahoma"/>
          <w:szCs w:val="28"/>
        </w:rPr>
        <w:t xml:space="preserve">e exonerará a la entidad demandada de su pago, por las mismas razones antes expuestas. </w:t>
      </w:r>
    </w:p>
    <w:p w:rsidR="00210965" w:rsidRDefault="00210965" w:rsidP="00210965">
      <w:pPr>
        <w:pStyle w:val="Sinespaciado"/>
      </w:pPr>
    </w:p>
    <w:p w:rsidR="00182955" w:rsidRPr="005C1F3C" w:rsidRDefault="00182955" w:rsidP="00182955">
      <w:pPr>
        <w:pStyle w:val="Textoindependiente31"/>
        <w:ind w:firstLine="851"/>
        <w:rPr>
          <w:rFonts w:ascii="Arial Narrow" w:hAnsi="Arial Narrow" w:cs="Tahoma"/>
          <w:szCs w:val="28"/>
        </w:rPr>
      </w:pPr>
      <w:r>
        <w:rPr>
          <w:rFonts w:ascii="Arial Narrow" w:hAnsi="Arial Narrow" w:cs="Arial"/>
          <w:szCs w:val="28"/>
          <w:lang w:val="es-ES"/>
        </w:rPr>
        <w:t xml:space="preserve">Sin costas en esta sede, por conocerse en </w:t>
      </w:r>
      <w:r w:rsidR="00210965">
        <w:rPr>
          <w:rFonts w:ascii="Arial Narrow" w:hAnsi="Arial Narrow" w:cs="Arial"/>
          <w:szCs w:val="28"/>
          <w:lang w:val="es-ES"/>
        </w:rPr>
        <w:t xml:space="preserve">grado jurisdiccional de </w:t>
      </w:r>
      <w:r>
        <w:rPr>
          <w:rFonts w:ascii="Arial Narrow" w:hAnsi="Arial Narrow" w:cs="Arial"/>
          <w:szCs w:val="28"/>
          <w:lang w:val="es-ES"/>
        </w:rPr>
        <w:t>consulta.</w:t>
      </w:r>
    </w:p>
    <w:p w:rsidR="00182955" w:rsidRPr="006B4716" w:rsidRDefault="00182955" w:rsidP="00182955">
      <w:pPr>
        <w:pStyle w:val="Sinespaciado"/>
        <w:rPr>
          <w:lang w:val="es-ES"/>
        </w:rPr>
      </w:pPr>
    </w:p>
    <w:p w:rsidR="00182955" w:rsidRPr="006B4716" w:rsidRDefault="00182955" w:rsidP="00182955">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lastRenderedPageBreak/>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2955" w:rsidRPr="00F46F6F" w:rsidRDefault="00182955" w:rsidP="00182955">
      <w:pPr>
        <w:pStyle w:val="Sinespaciado"/>
      </w:pPr>
    </w:p>
    <w:p w:rsidR="00182955" w:rsidRDefault="00182955" w:rsidP="00182955">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2955" w:rsidRPr="00835AC3" w:rsidRDefault="00182955" w:rsidP="00835AC3">
      <w:pPr>
        <w:pStyle w:val="Sinespaciado"/>
      </w:pPr>
    </w:p>
    <w:p w:rsidR="00835AC3" w:rsidRPr="00835AC3" w:rsidRDefault="00835AC3" w:rsidP="00835AC3">
      <w:pPr>
        <w:numPr>
          <w:ilvl w:val="0"/>
          <w:numId w:val="5"/>
        </w:numPr>
        <w:tabs>
          <w:tab w:val="left" w:pos="709"/>
        </w:tabs>
        <w:spacing w:line="360" w:lineRule="auto"/>
        <w:ind w:left="0" w:firstLine="284"/>
        <w:jc w:val="both"/>
        <w:rPr>
          <w:rFonts w:ascii="Arial Narrow" w:hAnsi="Arial Narrow" w:cs="Arial"/>
          <w:sz w:val="28"/>
          <w:szCs w:val="28"/>
        </w:rPr>
      </w:pPr>
      <w:r w:rsidRPr="00835AC3">
        <w:rPr>
          <w:rFonts w:ascii="Arial Narrow" w:hAnsi="Arial Narrow" w:cs="Arial"/>
          <w:b/>
          <w:spacing w:val="-2"/>
          <w:sz w:val="28"/>
          <w:szCs w:val="28"/>
        </w:rPr>
        <w:t>Revocar</w:t>
      </w:r>
      <w:r w:rsidRPr="00835AC3">
        <w:rPr>
          <w:rFonts w:ascii="Arial Narrow" w:hAnsi="Arial Narrow" w:cs="Arial"/>
          <w:i/>
          <w:spacing w:val="-2"/>
          <w:sz w:val="28"/>
          <w:szCs w:val="28"/>
        </w:rPr>
        <w:t xml:space="preserve"> </w:t>
      </w:r>
      <w:r w:rsidRPr="00835AC3">
        <w:rPr>
          <w:rFonts w:ascii="Arial Narrow" w:hAnsi="Arial Narrow" w:cs="Arial"/>
          <w:spacing w:val="-2"/>
          <w:sz w:val="28"/>
          <w:szCs w:val="28"/>
        </w:rPr>
        <w:t>el ordinal 3º y 4º de</w:t>
      </w:r>
      <w:r w:rsidRPr="00835AC3">
        <w:rPr>
          <w:rFonts w:ascii="Arial Narrow" w:hAnsi="Arial Narrow" w:cs="Arial"/>
          <w:i/>
          <w:spacing w:val="-2"/>
          <w:sz w:val="28"/>
          <w:szCs w:val="28"/>
        </w:rPr>
        <w:t xml:space="preserve"> </w:t>
      </w:r>
      <w:r w:rsidRPr="00835AC3">
        <w:rPr>
          <w:rFonts w:ascii="Arial Narrow" w:hAnsi="Arial Narrow" w:cs="Arial"/>
          <w:spacing w:val="-2"/>
          <w:sz w:val="28"/>
          <w:szCs w:val="28"/>
        </w:rPr>
        <w:t xml:space="preserve">la sentencia </w:t>
      </w:r>
      <w:r w:rsidRPr="00835AC3">
        <w:rPr>
          <w:rFonts w:ascii="Arial Narrow" w:hAnsi="Arial Narrow"/>
          <w:sz w:val="28"/>
          <w:szCs w:val="28"/>
        </w:rPr>
        <w:t xml:space="preserve">proferida el 21 de noviembre de 2016 por el Juzgado Segundo Laboral del Circuito de </w:t>
      </w:r>
      <w:r>
        <w:rPr>
          <w:rFonts w:ascii="Arial Narrow" w:hAnsi="Arial Narrow"/>
          <w:sz w:val="28"/>
          <w:szCs w:val="28"/>
        </w:rPr>
        <w:t>Pereira</w:t>
      </w:r>
      <w:r w:rsidRPr="00835AC3">
        <w:rPr>
          <w:rFonts w:ascii="Arial Narrow" w:hAnsi="Arial Narrow"/>
          <w:sz w:val="28"/>
          <w:szCs w:val="28"/>
        </w:rPr>
        <w:t xml:space="preserve">, dentro del proceso de </w:t>
      </w:r>
      <w:r>
        <w:rPr>
          <w:rFonts w:ascii="Arial Narrow" w:hAnsi="Arial Narrow"/>
          <w:sz w:val="28"/>
          <w:szCs w:val="28"/>
        </w:rPr>
        <w:t xml:space="preserve">la referencia. En consecuencia: </w:t>
      </w:r>
      <w:r w:rsidRPr="00835AC3">
        <w:rPr>
          <w:rFonts w:ascii="Arial Narrow" w:hAnsi="Arial Narrow"/>
          <w:b/>
          <w:sz w:val="28"/>
          <w:szCs w:val="28"/>
        </w:rPr>
        <w:t>Negar</w:t>
      </w:r>
      <w:r w:rsidRPr="00835AC3">
        <w:rPr>
          <w:rFonts w:ascii="Arial Narrow" w:hAnsi="Arial Narrow"/>
          <w:sz w:val="28"/>
          <w:szCs w:val="28"/>
        </w:rPr>
        <w:t xml:space="preserve"> el reconocimiento de la p</w:t>
      </w:r>
      <w:r>
        <w:rPr>
          <w:rFonts w:ascii="Arial Narrow" w:hAnsi="Arial Narrow"/>
          <w:sz w:val="28"/>
          <w:szCs w:val="28"/>
        </w:rPr>
        <w:t xml:space="preserve">ensión </w:t>
      </w:r>
      <w:r w:rsidRPr="00835AC3">
        <w:rPr>
          <w:rFonts w:ascii="Arial Narrow" w:hAnsi="Arial Narrow"/>
          <w:sz w:val="28"/>
          <w:szCs w:val="28"/>
        </w:rPr>
        <w:t xml:space="preserve">a Diego Alexander y Daniela Guapacha Calderón en lo que tienen que ver con el retroactivo pensional. Respecto de la prestación pensional en favor del señor Ancizar de Jesús Guapacha Largo, </w:t>
      </w:r>
      <w:r w:rsidRPr="00835AC3">
        <w:rPr>
          <w:rFonts w:ascii="Arial Narrow" w:hAnsi="Arial Narrow"/>
          <w:b/>
          <w:sz w:val="28"/>
          <w:szCs w:val="28"/>
        </w:rPr>
        <w:t>Disponer</w:t>
      </w:r>
      <w:r w:rsidRPr="00835AC3">
        <w:rPr>
          <w:rFonts w:ascii="Arial Narrow" w:hAnsi="Arial Narrow"/>
          <w:sz w:val="28"/>
          <w:szCs w:val="28"/>
        </w:rPr>
        <w:t xml:space="preserve"> </w:t>
      </w:r>
      <w:r w:rsidRPr="00835AC3">
        <w:rPr>
          <w:rFonts w:ascii="Arial Narrow" w:hAnsi="Arial Narrow" w:cs="Arial"/>
          <w:sz w:val="28"/>
          <w:szCs w:val="28"/>
        </w:rPr>
        <w:t xml:space="preserve">que le sea reconocida a partir de la ejecutoria de esta providencia, en cuantía de un salario mínimo legal mensual vigente, y a razón de 13 mesadas anuales. </w:t>
      </w:r>
    </w:p>
    <w:p w:rsidR="00835AC3" w:rsidRPr="00835AC3" w:rsidRDefault="00835AC3" w:rsidP="00835AC3">
      <w:pPr>
        <w:pStyle w:val="Sinespaciado"/>
      </w:pPr>
    </w:p>
    <w:p w:rsidR="00182955" w:rsidRPr="00835AC3" w:rsidRDefault="00182955" w:rsidP="00182955">
      <w:pPr>
        <w:pStyle w:val="Textoindependiente31"/>
        <w:numPr>
          <w:ilvl w:val="0"/>
          <w:numId w:val="5"/>
        </w:numPr>
        <w:tabs>
          <w:tab w:val="left" w:pos="709"/>
        </w:tabs>
        <w:ind w:left="0" w:firstLine="708"/>
        <w:rPr>
          <w:rFonts w:ascii="Arial Narrow" w:hAnsi="Arial Narrow" w:cs="Arial"/>
          <w:szCs w:val="28"/>
        </w:rPr>
      </w:pPr>
      <w:r w:rsidRPr="00835AC3">
        <w:rPr>
          <w:rFonts w:ascii="Arial Narrow" w:hAnsi="Arial Narrow" w:cs="Arial"/>
          <w:b/>
          <w:szCs w:val="28"/>
        </w:rPr>
        <w:t>Revocar</w:t>
      </w:r>
      <w:r w:rsidR="00835AC3" w:rsidRPr="00835AC3">
        <w:rPr>
          <w:rFonts w:ascii="Arial Narrow" w:hAnsi="Arial Narrow" w:cs="Arial"/>
          <w:szCs w:val="28"/>
        </w:rPr>
        <w:t xml:space="preserve"> los ordinales 5º, </w:t>
      </w:r>
      <w:r w:rsidRPr="00835AC3">
        <w:rPr>
          <w:rFonts w:ascii="Arial Narrow" w:hAnsi="Arial Narrow" w:cs="Arial"/>
          <w:szCs w:val="28"/>
        </w:rPr>
        <w:t xml:space="preserve">6º </w:t>
      </w:r>
      <w:r w:rsidR="00835AC3" w:rsidRPr="00835AC3">
        <w:rPr>
          <w:rFonts w:ascii="Arial Narrow" w:hAnsi="Arial Narrow" w:cs="Arial"/>
          <w:szCs w:val="28"/>
        </w:rPr>
        <w:t xml:space="preserve">y 7º </w:t>
      </w:r>
      <w:r w:rsidRPr="00835AC3">
        <w:rPr>
          <w:rFonts w:ascii="Arial Narrow" w:hAnsi="Arial Narrow" w:cs="Arial"/>
          <w:spacing w:val="-2"/>
          <w:szCs w:val="28"/>
        </w:rPr>
        <w:t>de la sentencia referida, y en su lugar, absolver a la Administradora Colombiana de Pensiones Colpensiones del</w:t>
      </w:r>
      <w:r w:rsidR="00835AC3" w:rsidRPr="00835AC3">
        <w:rPr>
          <w:rFonts w:ascii="Arial Narrow" w:hAnsi="Arial Narrow" w:cs="Arial"/>
          <w:spacing w:val="-2"/>
          <w:szCs w:val="28"/>
        </w:rPr>
        <w:t xml:space="preserve"> pago del retroactivo pensional, la indexación, los intereses moratorios y </w:t>
      </w:r>
      <w:r w:rsidRPr="00835AC3">
        <w:rPr>
          <w:rFonts w:ascii="Arial Narrow" w:hAnsi="Arial Narrow" w:cs="Arial"/>
          <w:spacing w:val="-2"/>
          <w:szCs w:val="28"/>
        </w:rPr>
        <w:t>las costas procesales de primera instancia.</w:t>
      </w:r>
    </w:p>
    <w:p w:rsidR="00182955" w:rsidRPr="00835AC3" w:rsidRDefault="00182955" w:rsidP="00182955">
      <w:pPr>
        <w:pStyle w:val="Prrafodelista"/>
        <w:rPr>
          <w:rFonts w:ascii="Arial Narrow" w:hAnsi="Arial Narrow"/>
          <w:sz w:val="28"/>
          <w:szCs w:val="28"/>
        </w:rPr>
      </w:pPr>
    </w:p>
    <w:p w:rsidR="00182955" w:rsidRPr="00835AC3" w:rsidRDefault="00182955" w:rsidP="00182955">
      <w:pPr>
        <w:pStyle w:val="Textoindependiente31"/>
        <w:numPr>
          <w:ilvl w:val="0"/>
          <w:numId w:val="5"/>
        </w:numPr>
        <w:ind w:left="0" w:firstLine="708"/>
        <w:rPr>
          <w:rFonts w:ascii="Arial Narrow" w:hAnsi="Arial Narrow" w:cs="Arial"/>
          <w:szCs w:val="28"/>
        </w:rPr>
      </w:pPr>
      <w:r w:rsidRPr="00835AC3">
        <w:rPr>
          <w:rFonts w:ascii="Arial Narrow" w:hAnsi="Arial Narrow" w:cs="Arial"/>
          <w:szCs w:val="28"/>
        </w:rPr>
        <w:t>Confirma todo lo demás.</w:t>
      </w:r>
    </w:p>
    <w:p w:rsidR="00182955" w:rsidRPr="00835AC3" w:rsidRDefault="00182955" w:rsidP="00835AC3">
      <w:pPr>
        <w:pStyle w:val="Sinespaciado"/>
      </w:pPr>
    </w:p>
    <w:p w:rsidR="00182955" w:rsidRPr="00835AC3" w:rsidRDefault="00182955" w:rsidP="00182955">
      <w:pPr>
        <w:pStyle w:val="Textoindependiente31"/>
        <w:numPr>
          <w:ilvl w:val="0"/>
          <w:numId w:val="5"/>
        </w:numPr>
        <w:ind w:left="0" w:firstLine="708"/>
        <w:rPr>
          <w:rFonts w:ascii="Arial Narrow" w:hAnsi="Arial Narrow" w:cs="Arial"/>
          <w:szCs w:val="28"/>
        </w:rPr>
      </w:pPr>
      <w:r w:rsidRPr="00835AC3">
        <w:rPr>
          <w:rFonts w:ascii="Arial Narrow" w:hAnsi="Arial Narrow" w:cs="Arial"/>
          <w:szCs w:val="28"/>
        </w:rPr>
        <w:t>Sin costas en esta instancia.</w:t>
      </w:r>
    </w:p>
    <w:p w:rsidR="00182955" w:rsidRDefault="00182955" w:rsidP="00182955">
      <w:pPr>
        <w:pStyle w:val="Sinespaciado"/>
      </w:pPr>
    </w:p>
    <w:p w:rsidR="00182955" w:rsidRPr="00E80808" w:rsidRDefault="00182955" w:rsidP="00182955">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182955" w:rsidRPr="00E80808" w:rsidRDefault="00182955" w:rsidP="00182955">
      <w:pPr>
        <w:pStyle w:val="Sinespaciado"/>
        <w:rPr>
          <w:lang w:val="es-ES"/>
        </w:rPr>
      </w:pPr>
    </w:p>
    <w:p w:rsidR="00182955" w:rsidRPr="00E80808" w:rsidRDefault="00182955" w:rsidP="00182955">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182955" w:rsidRPr="00E80808" w:rsidRDefault="00182955" w:rsidP="00182955">
      <w:pPr>
        <w:pStyle w:val="Sinespaciado"/>
        <w:rPr>
          <w:lang w:val="es-ES"/>
        </w:rPr>
      </w:pPr>
    </w:p>
    <w:p w:rsidR="00182955" w:rsidRPr="00E80808" w:rsidRDefault="00182955" w:rsidP="00182955">
      <w:pPr>
        <w:pStyle w:val="Sinespaciado"/>
        <w:rPr>
          <w:lang w:val="es-ES"/>
        </w:rPr>
      </w:pPr>
    </w:p>
    <w:p w:rsidR="00182955" w:rsidRDefault="00182955" w:rsidP="00182955">
      <w:pPr>
        <w:ind w:firstLine="900"/>
        <w:jc w:val="center"/>
        <w:rPr>
          <w:rFonts w:ascii="Arial Narrow" w:hAnsi="Arial Narrow" w:cs="Microsoft Sans Serif"/>
          <w:b/>
          <w:bCs/>
          <w:iCs/>
          <w:sz w:val="28"/>
          <w:szCs w:val="28"/>
          <w:lang w:val="es-ES"/>
        </w:rPr>
      </w:pPr>
    </w:p>
    <w:p w:rsidR="00182955" w:rsidRPr="00E80808" w:rsidRDefault="00182955" w:rsidP="00182955">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182955" w:rsidRPr="00E80808" w:rsidRDefault="00182955" w:rsidP="00182955">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182955" w:rsidRPr="00E80808" w:rsidRDefault="00182955" w:rsidP="00182955">
      <w:pPr>
        <w:ind w:firstLine="900"/>
        <w:jc w:val="both"/>
        <w:rPr>
          <w:rFonts w:ascii="Arial Narrow" w:hAnsi="Arial Narrow" w:cs="Microsoft Sans Serif"/>
          <w:b/>
          <w:sz w:val="28"/>
          <w:szCs w:val="28"/>
          <w:lang w:val="es-ES"/>
        </w:rPr>
      </w:pPr>
    </w:p>
    <w:p w:rsidR="00182955" w:rsidRDefault="00182955" w:rsidP="00182955">
      <w:pPr>
        <w:pStyle w:val="Sinespaciado"/>
        <w:rPr>
          <w:lang w:val="es-ES"/>
        </w:rPr>
      </w:pPr>
    </w:p>
    <w:p w:rsidR="00182955" w:rsidRPr="00E80808" w:rsidRDefault="00182955" w:rsidP="00182955">
      <w:pPr>
        <w:jc w:val="both"/>
        <w:rPr>
          <w:rFonts w:ascii="Arial Narrow" w:hAnsi="Arial Narrow" w:cs="Microsoft Sans Serif"/>
          <w:b/>
          <w:bCs/>
          <w:iCs/>
          <w:sz w:val="28"/>
          <w:szCs w:val="28"/>
          <w:lang w:val="es-ES"/>
        </w:rPr>
      </w:pPr>
    </w:p>
    <w:p w:rsidR="00182955" w:rsidRPr="00E80808" w:rsidRDefault="00182955" w:rsidP="00182955">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OLGA LUCIA HOYOS SEPÚLVEDA </w:t>
      </w:r>
      <w:r>
        <w:rPr>
          <w:rFonts w:ascii="Arial Narrow" w:hAnsi="Arial Narrow" w:cs="Microsoft Sans Serif"/>
          <w:b/>
          <w:bCs/>
          <w:iCs/>
          <w:sz w:val="28"/>
          <w:szCs w:val="28"/>
          <w:lang w:val="es-ES"/>
        </w:rPr>
        <w:tab/>
      </w:r>
      <w:r>
        <w:rPr>
          <w:rFonts w:ascii="Arial Narrow" w:hAnsi="Arial Narrow" w:cs="Microsoft Sans Serif"/>
          <w:b/>
          <w:bCs/>
          <w:iCs/>
          <w:sz w:val="28"/>
          <w:szCs w:val="28"/>
          <w:lang w:val="es-ES"/>
        </w:rPr>
        <w:tab/>
        <w:t xml:space="preserve">ANA LUCIA CAICEDO CALDERON </w:t>
      </w:r>
      <w:r w:rsidRPr="00E80808">
        <w:rPr>
          <w:rFonts w:ascii="Arial Narrow" w:hAnsi="Arial Narrow" w:cs="Microsoft Sans Serif"/>
          <w:b/>
          <w:bCs/>
          <w:iCs/>
          <w:sz w:val="28"/>
          <w:szCs w:val="28"/>
          <w:lang w:val="es-ES"/>
        </w:rPr>
        <w:t xml:space="preserve">                 </w:t>
      </w:r>
    </w:p>
    <w:p w:rsidR="00182955" w:rsidRDefault="00182955" w:rsidP="00182955">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Pr>
          <w:rFonts w:ascii="Arial Narrow" w:hAnsi="Arial Narrow" w:cs="Microsoft Sans Serif"/>
          <w:bCs/>
          <w:iCs/>
          <w:sz w:val="28"/>
          <w:szCs w:val="28"/>
          <w:lang w:val="es-ES"/>
        </w:rPr>
        <w:t xml:space="preserve">              Magistrada</w:t>
      </w:r>
      <w:r w:rsidRPr="00E80808">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Magistrad</w:t>
      </w:r>
      <w:r>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p>
    <w:p w:rsidR="00182955" w:rsidRPr="00723A66" w:rsidRDefault="00182955" w:rsidP="00182955">
      <w:pPr>
        <w:pStyle w:val="Prrafodelista"/>
        <w:numPr>
          <w:ilvl w:val="0"/>
          <w:numId w:val="6"/>
        </w:numPr>
        <w:ind w:left="1134"/>
        <w:jc w:val="both"/>
        <w:rPr>
          <w:rFonts w:ascii="Arial Narrow" w:hAnsi="Arial Narrow" w:cs="Microsoft Sans Serif"/>
          <w:bCs/>
          <w:iCs/>
          <w:sz w:val="28"/>
          <w:szCs w:val="28"/>
          <w:lang w:val="es-ES"/>
        </w:rPr>
      </w:pPr>
      <w:r w:rsidRPr="00723A66">
        <w:rPr>
          <w:rFonts w:ascii="Arial Narrow" w:hAnsi="Arial Narrow" w:cs="Microsoft Sans Serif"/>
          <w:bCs/>
          <w:iCs/>
          <w:sz w:val="28"/>
          <w:szCs w:val="28"/>
          <w:lang w:val="es-ES"/>
        </w:rPr>
        <w:t>Salva voto -</w:t>
      </w:r>
    </w:p>
    <w:p w:rsidR="00182955" w:rsidRDefault="00182955" w:rsidP="00835AC3">
      <w:pPr>
        <w:spacing w:line="360" w:lineRule="auto"/>
        <w:jc w:val="both"/>
        <w:rPr>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p>
    <w:p w:rsidR="00182955" w:rsidRPr="00E80808" w:rsidRDefault="00182955" w:rsidP="00182955">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Alonso Gaviria Ocampo</w:t>
      </w:r>
    </w:p>
    <w:p w:rsidR="00182955" w:rsidRDefault="00182955" w:rsidP="00FD302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Pr="00E80808">
        <w:rPr>
          <w:rFonts w:ascii="Arial Narrow" w:hAnsi="Arial Narrow" w:cs="Microsoft Sans Serif"/>
          <w:iCs/>
          <w:sz w:val="28"/>
          <w:szCs w:val="28"/>
          <w:lang w:val="es-ES"/>
        </w:rPr>
        <w:t>Secretari</w:t>
      </w:r>
      <w:r>
        <w:rPr>
          <w:rFonts w:ascii="Arial Narrow" w:hAnsi="Arial Narrow" w:cs="Microsoft Sans Serif"/>
          <w:iCs/>
          <w:sz w:val="28"/>
          <w:szCs w:val="28"/>
          <w:lang w:val="es-ES"/>
        </w:rPr>
        <w:t>o</w:t>
      </w:r>
    </w:p>
    <w:sectPr w:rsidR="00182955" w:rsidSect="00182955">
      <w:headerReference w:type="default" r:id="rId7"/>
      <w:footerReference w:type="even" r:id="rId8"/>
      <w:footerReference w:type="default" r:id="rId9"/>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02C" w:rsidRDefault="002A302C" w:rsidP="00182955">
      <w:r>
        <w:separator/>
      </w:r>
    </w:p>
  </w:endnote>
  <w:endnote w:type="continuationSeparator" w:id="0">
    <w:p w:rsidR="002A302C" w:rsidRDefault="002A302C" w:rsidP="0018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D1C" w:rsidRDefault="00310D1C" w:rsidP="0018295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10D1C" w:rsidRDefault="00310D1C" w:rsidP="001829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D1C" w:rsidRDefault="00310D1C" w:rsidP="0018295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141EE">
      <w:rPr>
        <w:rStyle w:val="Nmerodepgina"/>
        <w:noProof/>
      </w:rPr>
      <w:t>12</w:t>
    </w:r>
    <w:r>
      <w:rPr>
        <w:rStyle w:val="Nmerodepgina"/>
      </w:rPr>
      <w:fldChar w:fldCharType="end"/>
    </w:r>
  </w:p>
  <w:p w:rsidR="00310D1C" w:rsidRDefault="00310D1C" w:rsidP="0018295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02C" w:rsidRDefault="002A302C" w:rsidP="00182955">
      <w:r>
        <w:separator/>
      </w:r>
    </w:p>
  </w:footnote>
  <w:footnote w:type="continuationSeparator" w:id="0">
    <w:p w:rsidR="002A302C" w:rsidRDefault="002A302C" w:rsidP="00182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D1C" w:rsidRPr="00182955" w:rsidRDefault="00310D1C" w:rsidP="00182955">
    <w:pPr>
      <w:jc w:val="both"/>
      <w:rPr>
        <w:rFonts w:ascii="Arial Narrow" w:hAnsi="Arial Narrow" w:cs="Arial"/>
        <w:bCs/>
        <w:sz w:val="18"/>
        <w:szCs w:val="18"/>
      </w:rPr>
    </w:pPr>
    <w:r w:rsidRPr="00182955">
      <w:rPr>
        <w:rFonts w:ascii="Arial Narrow" w:hAnsi="Arial Narrow" w:cs="Arial"/>
        <w:bCs/>
        <w:sz w:val="18"/>
        <w:szCs w:val="18"/>
      </w:rPr>
      <w:t>Radicación No: 66001-31-05-002-201</w:t>
    </w:r>
    <w:r>
      <w:rPr>
        <w:rFonts w:ascii="Arial Narrow" w:hAnsi="Arial Narrow" w:cs="Arial"/>
        <w:bCs/>
        <w:sz w:val="18"/>
        <w:szCs w:val="18"/>
      </w:rPr>
      <w:t>5-00003-01</w:t>
    </w:r>
  </w:p>
  <w:p w:rsidR="00310D1C" w:rsidRPr="00182955" w:rsidRDefault="00310D1C" w:rsidP="00182955">
    <w:pPr>
      <w:jc w:val="both"/>
      <w:rPr>
        <w:rFonts w:ascii="Arial Narrow" w:hAnsi="Arial Narrow" w:cs="Arial"/>
        <w:bCs/>
        <w:sz w:val="18"/>
        <w:szCs w:val="18"/>
      </w:rPr>
    </w:pPr>
    <w:r>
      <w:rPr>
        <w:rFonts w:ascii="Arial Narrow" w:hAnsi="Arial Narrow" w:cs="Arial"/>
        <w:bCs/>
        <w:sz w:val="18"/>
        <w:szCs w:val="18"/>
      </w:rPr>
      <w:t xml:space="preserve">Ancizar de Jesús Guapacha Largo y otros vs Colpensiones </w:t>
    </w:r>
  </w:p>
  <w:p w:rsidR="00310D1C" w:rsidRDefault="00310D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82BE9"/>
    <w:multiLevelType w:val="hybridMultilevel"/>
    <w:tmpl w:val="ECF40DEE"/>
    <w:lvl w:ilvl="0" w:tplc="3A368CEE">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55E075F"/>
    <w:multiLevelType w:val="hybridMultilevel"/>
    <w:tmpl w:val="3972401A"/>
    <w:lvl w:ilvl="0" w:tplc="E3AE1EB4">
      <w:start w:val="1"/>
      <w:numFmt w:val="lowerLetter"/>
      <w:lvlText w:val="%1)"/>
      <w:lvlJc w:val="left"/>
      <w:pPr>
        <w:ind w:left="927" w:hanging="360"/>
      </w:pPr>
      <w:rPr>
        <w:rFonts w:hint="default"/>
        <w:b w:val="0"/>
        <w:i/>
        <w:color w:val="auto"/>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0FEA2490"/>
    <w:multiLevelType w:val="hybridMultilevel"/>
    <w:tmpl w:val="B8B0E652"/>
    <w:lvl w:ilvl="0" w:tplc="63D2E8F6">
      <w:start w:val="1"/>
      <w:numFmt w:val="upperRoman"/>
      <w:lvlText w:val="%1."/>
      <w:lvlJc w:val="left"/>
      <w:pPr>
        <w:ind w:left="1571" w:hanging="72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
    <w:nsid w:val="2AEC4B28"/>
    <w:multiLevelType w:val="hybridMultilevel"/>
    <w:tmpl w:val="D360C876"/>
    <w:lvl w:ilvl="0" w:tplc="8DD22F02">
      <w:start w:val="2"/>
      <w:numFmt w:val="bullet"/>
      <w:lvlText w:val="-"/>
      <w:lvlJc w:val="left"/>
      <w:pPr>
        <w:ind w:left="1320" w:hanging="360"/>
      </w:pPr>
      <w:rPr>
        <w:rFonts w:ascii="Arial Narrow" w:eastAsia="Times New Roman" w:hAnsi="Arial Narrow" w:cs="Microsoft Sans Serif" w:hint="default"/>
      </w:rPr>
    </w:lvl>
    <w:lvl w:ilvl="1" w:tplc="0C0A0003" w:tentative="1">
      <w:start w:val="1"/>
      <w:numFmt w:val="bullet"/>
      <w:lvlText w:val="o"/>
      <w:lvlJc w:val="left"/>
      <w:pPr>
        <w:ind w:left="2040" w:hanging="360"/>
      </w:pPr>
      <w:rPr>
        <w:rFonts w:ascii="Courier New" w:hAnsi="Courier New" w:cs="Courier New" w:hint="default"/>
      </w:rPr>
    </w:lvl>
    <w:lvl w:ilvl="2" w:tplc="0C0A0005" w:tentative="1">
      <w:start w:val="1"/>
      <w:numFmt w:val="bullet"/>
      <w:lvlText w:val=""/>
      <w:lvlJc w:val="left"/>
      <w:pPr>
        <w:ind w:left="2760" w:hanging="360"/>
      </w:pPr>
      <w:rPr>
        <w:rFonts w:ascii="Wingdings" w:hAnsi="Wingdings" w:hint="default"/>
      </w:rPr>
    </w:lvl>
    <w:lvl w:ilvl="3" w:tplc="0C0A0001" w:tentative="1">
      <w:start w:val="1"/>
      <w:numFmt w:val="bullet"/>
      <w:lvlText w:val=""/>
      <w:lvlJc w:val="left"/>
      <w:pPr>
        <w:ind w:left="3480" w:hanging="360"/>
      </w:pPr>
      <w:rPr>
        <w:rFonts w:ascii="Symbol" w:hAnsi="Symbol" w:hint="default"/>
      </w:rPr>
    </w:lvl>
    <w:lvl w:ilvl="4" w:tplc="0C0A0003" w:tentative="1">
      <w:start w:val="1"/>
      <w:numFmt w:val="bullet"/>
      <w:lvlText w:val="o"/>
      <w:lvlJc w:val="left"/>
      <w:pPr>
        <w:ind w:left="4200" w:hanging="360"/>
      </w:pPr>
      <w:rPr>
        <w:rFonts w:ascii="Courier New" w:hAnsi="Courier New" w:cs="Courier New" w:hint="default"/>
      </w:rPr>
    </w:lvl>
    <w:lvl w:ilvl="5" w:tplc="0C0A0005" w:tentative="1">
      <w:start w:val="1"/>
      <w:numFmt w:val="bullet"/>
      <w:lvlText w:val=""/>
      <w:lvlJc w:val="left"/>
      <w:pPr>
        <w:ind w:left="4920" w:hanging="360"/>
      </w:pPr>
      <w:rPr>
        <w:rFonts w:ascii="Wingdings" w:hAnsi="Wingdings" w:hint="default"/>
      </w:rPr>
    </w:lvl>
    <w:lvl w:ilvl="6" w:tplc="0C0A0001" w:tentative="1">
      <w:start w:val="1"/>
      <w:numFmt w:val="bullet"/>
      <w:lvlText w:val=""/>
      <w:lvlJc w:val="left"/>
      <w:pPr>
        <w:ind w:left="5640" w:hanging="360"/>
      </w:pPr>
      <w:rPr>
        <w:rFonts w:ascii="Symbol" w:hAnsi="Symbol" w:hint="default"/>
      </w:rPr>
    </w:lvl>
    <w:lvl w:ilvl="7" w:tplc="0C0A0003" w:tentative="1">
      <w:start w:val="1"/>
      <w:numFmt w:val="bullet"/>
      <w:lvlText w:val="o"/>
      <w:lvlJc w:val="left"/>
      <w:pPr>
        <w:ind w:left="6360" w:hanging="360"/>
      </w:pPr>
      <w:rPr>
        <w:rFonts w:ascii="Courier New" w:hAnsi="Courier New" w:cs="Courier New" w:hint="default"/>
      </w:rPr>
    </w:lvl>
    <w:lvl w:ilvl="8" w:tplc="0C0A0005" w:tentative="1">
      <w:start w:val="1"/>
      <w:numFmt w:val="bullet"/>
      <w:lvlText w:val=""/>
      <w:lvlJc w:val="left"/>
      <w:pPr>
        <w:ind w:left="7080" w:hanging="360"/>
      </w:pPr>
      <w:rPr>
        <w:rFonts w:ascii="Wingdings" w:hAnsi="Wingdings" w:hint="default"/>
      </w:rPr>
    </w:lvl>
  </w:abstractNum>
  <w:abstractNum w:abstractNumId="4">
    <w:nsid w:val="52A95206"/>
    <w:multiLevelType w:val="hybridMultilevel"/>
    <w:tmpl w:val="89C0146E"/>
    <w:lvl w:ilvl="0" w:tplc="717ACEC8">
      <w:start w:val="1"/>
      <w:numFmt w:val="decimal"/>
      <w:lvlText w:val="%1."/>
      <w:lvlJc w:val="left"/>
      <w:pPr>
        <w:ind w:left="1068" w:hanging="36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61387F11"/>
    <w:multiLevelType w:val="hybridMultilevel"/>
    <w:tmpl w:val="33A4A6EA"/>
    <w:lvl w:ilvl="0" w:tplc="0C0A000F">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55"/>
    <w:rsid w:val="00021E62"/>
    <w:rsid w:val="00047AA1"/>
    <w:rsid w:val="000A0312"/>
    <w:rsid w:val="00135E21"/>
    <w:rsid w:val="001417FE"/>
    <w:rsid w:val="00163190"/>
    <w:rsid w:val="00182955"/>
    <w:rsid w:val="00186E35"/>
    <w:rsid w:val="001B397F"/>
    <w:rsid w:val="001B684C"/>
    <w:rsid w:val="001D4EBF"/>
    <w:rsid w:val="00202B30"/>
    <w:rsid w:val="00210965"/>
    <w:rsid w:val="0022246B"/>
    <w:rsid w:val="002A302C"/>
    <w:rsid w:val="002D0B85"/>
    <w:rsid w:val="00310D1C"/>
    <w:rsid w:val="0031710C"/>
    <w:rsid w:val="0035629E"/>
    <w:rsid w:val="003D7A67"/>
    <w:rsid w:val="003F3C84"/>
    <w:rsid w:val="004420DA"/>
    <w:rsid w:val="0049315A"/>
    <w:rsid w:val="004C1033"/>
    <w:rsid w:val="004C6284"/>
    <w:rsid w:val="004D26EF"/>
    <w:rsid w:val="00587AD1"/>
    <w:rsid w:val="005D38E9"/>
    <w:rsid w:val="00672909"/>
    <w:rsid w:val="006D4F1B"/>
    <w:rsid w:val="006D5A7D"/>
    <w:rsid w:val="006E0FC5"/>
    <w:rsid w:val="007301BB"/>
    <w:rsid w:val="007523E2"/>
    <w:rsid w:val="00772F8A"/>
    <w:rsid w:val="007C28BA"/>
    <w:rsid w:val="007E4852"/>
    <w:rsid w:val="007F30FD"/>
    <w:rsid w:val="008141EE"/>
    <w:rsid w:val="00824B82"/>
    <w:rsid w:val="00835AC3"/>
    <w:rsid w:val="00901FFB"/>
    <w:rsid w:val="009128C3"/>
    <w:rsid w:val="00962966"/>
    <w:rsid w:val="0098495B"/>
    <w:rsid w:val="009A5A7E"/>
    <w:rsid w:val="00A5373C"/>
    <w:rsid w:val="00A57AC9"/>
    <w:rsid w:val="00A60DFD"/>
    <w:rsid w:val="00A63415"/>
    <w:rsid w:val="00AC76F8"/>
    <w:rsid w:val="00AD0829"/>
    <w:rsid w:val="00B13A29"/>
    <w:rsid w:val="00B25C09"/>
    <w:rsid w:val="00B57F30"/>
    <w:rsid w:val="00B6025E"/>
    <w:rsid w:val="00B82BD7"/>
    <w:rsid w:val="00BC73B0"/>
    <w:rsid w:val="00BE1DD1"/>
    <w:rsid w:val="00BE7032"/>
    <w:rsid w:val="00C35CA1"/>
    <w:rsid w:val="00C4558D"/>
    <w:rsid w:val="00CC2FA5"/>
    <w:rsid w:val="00D02B6E"/>
    <w:rsid w:val="00D16D36"/>
    <w:rsid w:val="00D6580A"/>
    <w:rsid w:val="00D75EA4"/>
    <w:rsid w:val="00DD08CF"/>
    <w:rsid w:val="00DE62D7"/>
    <w:rsid w:val="00DF0308"/>
    <w:rsid w:val="00E053D3"/>
    <w:rsid w:val="00E66E79"/>
    <w:rsid w:val="00EB3690"/>
    <w:rsid w:val="00EE7308"/>
    <w:rsid w:val="00F45700"/>
    <w:rsid w:val="00FA137F"/>
    <w:rsid w:val="00FA7ACB"/>
    <w:rsid w:val="00FD30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C5B0AA9-1F16-4BA2-BE02-C52F715D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955"/>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182955"/>
    <w:pPr>
      <w:tabs>
        <w:tab w:val="center" w:pos="4252"/>
        <w:tab w:val="right" w:pos="8504"/>
      </w:tabs>
    </w:pPr>
  </w:style>
  <w:style w:type="character" w:customStyle="1" w:styleId="PiedepginaCar">
    <w:name w:val="Pie de página Car"/>
    <w:basedOn w:val="Fuentedeprrafopredeter"/>
    <w:link w:val="Piedepgina"/>
    <w:rsid w:val="00182955"/>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2955"/>
  </w:style>
  <w:style w:type="paragraph" w:styleId="Encabezado">
    <w:name w:val="header"/>
    <w:basedOn w:val="Normal"/>
    <w:link w:val="EncabezadoCar"/>
    <w:rsid w:val="00182955"/>
    <w:pPr>
      <w:tabs>
        <w:tab w:val="center" w:pos="4252"/>
        <w:tab w:val="right" w:pos="8504"/>
      </w:tabs>
    </w:pPr>
  </w:style>
  <w:style w:type="character" w:customStyle="1" w:styleId="EncabezadoCar">
    <w:name w:val="Encabezado Car"/>
    <w:basedOn w:val="Fuentedeprrafopredeter"/>
    <w:link w:val="Encabezado"/>
    <w:rsid w:val="00182955"/>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2955"/>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182955"/>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182955"/>
    <w:pPr>
      <w:spacing w:line="360" w:lineRule="auto"/>
      <w:jc w:val="both"/>
    </w:pPr>
    <w:rPr>
      <w:rFonts w:ascii="Arial" w:hAnsi="Arial"/>
      <w:sz w:val="28"/>
    </w:rPr>
  </w:style>
  <w:style w:type="paragraph" w:styleId="Prrafodelista">
    <w:name w:val="List Paragraph"/>
    <w:basedOn w:val="Normal"/>
    <w:uiPriority w:val="34"/>
    <w:qFormat/>
    <w:rsid w:val="00182955"/>
    <w:pPr>
      <w:ind w:left="720"/>
      <w:contextualSpacing/>
    </w:pPr>
  </w:style>
  <w:style w:type="paragraph" w:customStyle="1" w:styleId="Textoindependiente32">
    <w:name w:val="Texto independiente 32"/>
    <w:basedOn w:val="Normal"/>
    <w:rsid w:val="00182955"/>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12</Pages>
  <Words>4320</Words>
  <Characters>23761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27</cp:revision>
  <dcterms:created xsi:type="dcterms:W3CDTF">2017-11-07T16:04:00Z</dcterms:created>
  <dcterms:modified xsi:type="dcterms:W3CDTF">2017-11-27T16:29:00Z</dcterms:modified>
</cp:coreProperties>
</file>