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553762">
        <w:rPr>
          <w:rFonts w:ascii="Arial Narrow" w:hAnsi="Arial Narrow" w:cs="Arial"/>
          <w:i/>
          <w:sz w:val="20"/>
        </w:rPr>
        <w:t>jueves</w:t>
      </w:r>
      <w:r w:rsidR="00241CF7">
        <w:rPr>
          <w:rFonts w:ascii="Arial Narrow" w:hAnsi="Arial Narrow" w:cs="Arial"/>
          <w:i/>
          <w:sz w:val="20"/>
        </w:rPr>
        <w:t xml:space="preserve"> </w:t>
      </w:r>
      <w:r w:rsidR="00553762">
        <w:rPr>
          <w:rFonts w:ascii="Arial Narrow" w:hAnsi="Arial Narrow" w:cs="Arial"/>
          <w:i/>
          <w:sz w:val="20"/>
        </w:rPr>
        <w:t>16</w:t>
      </w:r>
      <w:r w:rsidR="00FF75A4">
        <w:rPr>
          <w:rFonts w:ascii="Arial Narrow" w:hAnsi="Arial Narrow" w:cs="Arial"/>
          <w:i/>
          <w:sz w:val="20"/>
        </w:rPr>
        <w:t xml:space="preserve"> de </w:t>
      </w:r>
      <w:r w:rsidR="00553762">
        <w:rPr>
          <w:rFonts w:ascii="Arial Narrow" w:hAnsi="Arial Narrow" w:cs="Arial"/>
          <w:i/>
          <w:sz w:val="20"/>
        </w:rPr>
        <w:t>noviembre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882FD8">
        <w:rPr>
          <w:rFonts w:ascii="Arial Narrow" w:hAnsi="Arial Narrow" w:cs="Arial"/>
          <w:bCs/>
          <w:i/>
          <w:sz w:val="20"/>
        </w:rPr>
        <w:t>3</w:t>
      </w:r>
      <w:r>
        <w:rPr>
          <w:rFonts w:ascii="Arial Narrow" w:hAnsi="Arial Narrow" w:cs="Arial"/>
          <w:bCs/>
          <w:i/>
          <w:sz w:val="20"/>
        </w:rPr>
        <w:t>-201</w:t>
      </w:r>
      <w:r w:rsidR="00553762">
        <w:rPr>
          <w:rFonts w:ascii="Arial Narrow" w:hAnsi="Arial Narrow" w:cs="Arial"/>
          <w:bCs/>
          <w:i/>
          <w:sz w:val="20"/>
        </w:rPr>
        <w:t>5</w:t>
      </w:r>
      <w:r>
        <w:rPr>
          <w:rFonts w:ascii="Arial Narrow" w:hAnsi="Arial Narrow" w:cs="Arial"/>
          <w:bCs/>
          <w:i/>
          <w:sz w:val="20"/>
        </w:rPr>
        <w:t>-00</w:t>
      </w:r>
      <w:r w:rsidR="00553762">
        <w:rPr>
          <w:rFonts w:ascii="Arial Narrow" w:hAnsi="Arial Narrow" w:cs="Arial"/>
          <w:bCs/>
          <w:i/>
          <w:sz w:val="20"/>
        </w:rPr>
        <w:t>533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53762">
        <w:rPr>
          <w:rFonts w:ascii="Arial Narrow" w:hAnsi="Arial Narrow" w:cs="Arial"/>
          <w:i/>
          <w:iCs/>
          <w:sz w:val="20"/>
        </w:rPr>
        <w:t>Marleny Betancur Bedoya</w:t>
      </w:r>
    </w:p>
    <w:p w:rsidR="00181D67" w:rsidRPr="00882FD8" w:rsidRDefault="00181D67" w:rsidP="00181D67">
      <w:pPr>
        <w:ind w:firstLine="6"/>
        <w:jc w:val="both"/>
        <w:rPr>
          <w:rFonts w:ascii="Arial Narrow" w:hAnsi="Arial Narrow" w:cs="Arial"/>
          <w:bCs/>
          <w:i/>
          <w:sz w:val="20"/>
          <w:lang w:val="es-CO"/>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882FD8">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882FD8">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E478D9"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E478D9">
        <w:rPr>
          <w:rFonts w:ascii="Arial Narrow" w:hAnsi="Arial Narrow" w:cs="Tahoma"/>
          <w:b/>
          <w:bCs/>
          <w:i/>
          <w:sz w:val="20"/>
          <w:szCs w:val="18"/>
        </w:rPr>
        <w:t xml:space="preserve">Dependencia económica. Hijo discapacitado. </w:t>
      </w:r>
      <w:r w:rsidR="00E478D9" w:rsidRPr="00E478D9">
        <w:rPr>
          <w:rFonts w:ascii="Arial Narrow" w:hAnsi="Arial Narrow" w:cs="Tahoma"/>
          <w:bCs/>
          <w:i/>
          <w:sz w:val="20"/>
          <w:szCs w:val="18"/>
        </w:rPr>
        <w:t>Tal situación, aunada a lo que relataron los testigos antes mencionados, permiten inferir que la señora Quintero Betancur dependía enteramente de su progenitor, pues ella nunca ha podido proveerse sus necesidades básicas, amén que padece una discapacidad irreversible y congénita como lo es el síndrome de down, además de padecer de sindactilia y ceguera del ojo derecho, lo que ha generado un diagnóstico de retraso mental moderado. Tal condición claramente hace que ella sea totalmente dependiente y la imposibilita de ingresar al mercado laboral, por lo que cumple claramente las condiciones para ser beneficiaria de la pensión de sobrevivientes y, como lo dijo la a-quo, si bien tal pedido no se elevó, es necesario que se proteja a la litisconsorte atendiendo su condición especial, que la pone claramente en situación de debilidad manifiesta y que necesita de medidas afirmativas, en este caso de la administración de justicia, para su debida protección</w:t>
      </w:r>
      <w:r w:rsidR="00E478D9" w:rsidRPr="00E478D9">
        <w:rPr>
          <w:rFonts w:ascii="Arial Narrow" w:hAnsi="Arial Narrow" w:cs="Tahoma"/>
          <w:b/>
          <w:bCs/>
          <w:i/>
          <w:sz w:val="20"/>
          <w:szCs w:val="18"/>
        </w:rPr>
        <w:t>.</w:t>
      </w:r>
      <w:r w:rsidR="00E478D9">
        <w:rPr>
          <w:rFonts w:ascii="Arial Narrow" w:hAnsi="Arial Narrow" w:cs="Tahoma"/>
          <w:b/>
          <w:bCs/>
          <w:i/>
          <w:sz w:val="20"/>
          <w:szCs w:val="18"/>
        </w:rPr>
        <w:t xml:space="preserve"> </w:t>
      </w:r>
      <w:r w:rsidR="00E478D9" w:rsidRPr="00E478D9">
        <w:rPr>
          <w:rFonts w:ascii="Arial Narrow" w:hAnsi="Arial Narrow" w:cs="Tahoma"/>
          <w:b/>
          <w:bCs/>
          <w:i/>
          <w:sz w:val="20"/>
          <w:szCs w:val="18"/>
        </w:rPr>
        <w:t>Suspensión de la prescripción</w:t>
      </w:r>
      <w:r w:rsidR="00E478D9">
        <w:rPr>
          <w:rFonts w:ascii="Arial Narrow" w:hAnsi="Arial Narrow" w:cs="Tahoma"/>
          <w:b/>
          <w:bCs/>
          <w:i/>
          <w:sz w:val="20"/>
          <w:szCs w:val="18"/>
        </w:rPr>
        <w:t xml:space="preserve">. </w:t>
      </w:r>
      <w:r w:rsidR="00E478D9" w:rsidRPr="00E478D9">
        <w:rPr>
          <w:rFonts w:ascii="Arial Narrow" w:hAnsi="Arial Narrow" w:cs="Tahoma"/>
          <w:bCs/>
          <w:i/>
          <w:sz w:val="20"/>
          <w:szCs w:val="18"/>
        </w:rPr>
        <w:t>Frente al tema de la prescripción y su suspensión, se tiene que las normas laborales y procesales laborales no contemplan está figura más que para la reclamación administrativa –Art. 6 CPLSS-. No obstante, tal vacío normativo no implica que la suspensión del lapso prescriptivo no tenga aplicación en materia laboral, pues claramente, por analogía autorizada en el canon 145 del CPLSS, se puede acudir a la legislación civil que regula el tema.</w:t>
      </w:r>
      <w:r w:rsidR="00E478D9">
        <w:rPr>
          <w:rFonts w:ascii="Arial Narrow" w:hAnsi="Arial Narrow" w:cs="Tahoma"/>
          <w:bCs/>
          <w:i/>
          <w:sz w:val="20"/>
          <w:szCs w:val="18"/>
        </w:rPr>
        <w:t xml:space="preserve"> </w:t>
      </w:r>
      <w:r w:rsidR="00E478D9" w:rsidRPr="00E478D9">
        <w:rPr>
          <w:rFonts w:ascii="Arial Narrow" w:hAnsi="Arial Narrow" w:cs="Tahoma"/>
          <w:bCs/>
          <w:i/>
          <w:sz w:val="20"/>
          <w:szCs w:val="18"/>
        </w:rPr>
        <w:t>Tal posición, a pesar de referirse a la suspensión de la prescripción para menores de edad, tiene plena aplicabilidad al caso de las personas incapacitadas para reclamar por si mismos sus derechos, pues el sustento fáctico de ambas hipótesis es igual, esto es, la imposibilidad del titular de pedir por sí mismo la protección de sus derechos. Por ello, en el caso de las personas incapaces, en materia laboral también opera el fenómeno de la suspensión.</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553762">
        <w:rPr>
          <w:rFonts w:ascii="Arial Narrow" w:eastAsia="Calibri" w:hAnsi="Arial Narrow" w:cs="Arial"/>
          <w:sz w:val="28"/>
          <w:szCs w:val="28"/>
          <w:lang w:val="es-CO" w:eastAsia="en-US"/>
        </w:rPr>
        <w:t>dieciséis</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w:t>
      </w:r>
      <w:r w:rsidR="00553762">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553762">
        <w:rPr>
          <w:rFonts w:ascii="Arial Narrow" w:eastAsia="Calibri" w:hAnsi="Arial Narrow" w:cs="Arial"/>
          <w:sz w:val="28"/>
          <w:szCs w:val="28"/>
          <w:lang w:val="es-CO" w:eastAsia="en-US"/>
        </w:rPr>
        <w:t>noviembre</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53762">
        <w:rPr>
          <w:rFonts w:ascii="Arial Narrow" w:eastAsia="Calibri" w:hAnsi="Arial Narrow" w:cs="Arial"/>
          <w:sz w:val="28"/>
          <w:szCs w:val="28"/>
          <w:lang w:val="es-CO" w:eastAsia="en-US"/>
        </w:rPr>
        <w:t>ocho</w:t>
      </w:r>
      <w:r w:rsidR="00F52C50">
        <w:rPr>
          <w:rFonts w:ascii="Arial Narrow" w:eastAsia="Calibri" w:hAnsi="Arial Narrow" w:cs="Arial"/>
          <w:sz w:val="28"/>
          <w:szCs w:val="28"/>
          <w:lang w:val="es-CO" w:eastAsia="en-US"/>
        </w:rPr>
        <w:t xml:space="preserve"> y </w:t>
      </w:r>
      <w:r w:rsidR="00553762">
        <w:rPr>
          <w:rFonts w:ascii="Arial Narrow" w:eastAsia="Calibri" w:hAnsi="Arial Narrow" w:cs="Arial"/>
          <w:sz w:val="28"/>
          <w:szCs w:val="28"/>
          <w:lang w:val="es-CO" w:eastAsia="en-US"/>
        </w:rPr>
        <w:t>quince</w:t>
      </w:r>
      <w:r w:rsidR="00F52C5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53762">
        <w:rPr>
          <w:rFonts w:ascii="Arial Narrow" w:eastAsia="Calibri" w:hAnsi="Arial Narrow" w:cs="Arial"/>
          <w:sz w:val="28"/>
          <w:szCs w:val="28"/>
          <w:lang w:val="es-CO" w:eastAsia="en-US"/>
        </w:rPr>
        <w:t>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F3E23">
        <w:rPr>
          <w:rFonts w:ascii="Arial Narrow" w:eastAsia="Calibri" w:hAnsi="Arial Narrow" w:cs="Arial"/>
          <w:sz w:val="28"/>
          <w:szCs w:val="28"/>
          <w:lang w:val="es-CO" w:eastAsia="en-US"/>
        </w:rPr>
        <w:t>0</w:t>
      </w:r>
      <w:r w:rsidR="0055376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882FD8">
        <w:rPr>
          <w:rFonts w:ascii="Arial Narrow" w:eastAsia="Calibri" w:hAnsi="Arial Narrow" w:cs="Arial"/>
          <w:sz w:val="28"/>
          <w:szCs w:val="28"/>
          <w:lang w:val="es-CO" w:eastAsia="en-US"/>
        </w:rPr>
        <w:t>1</w:t>
      </w:r>
      <w:r w:rsidR="005537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sidR="00553762">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882FD8">
        <w:rPr>
          <w:rFonts w:ascii="Arial Narrow" w:hAnsi="Arial Narrow" w:cs="Tahoma"/>
          <w:bCs/>
          <w:color w:val="000000"/>
          <w:sz w:val="28"/>
          <w:szCs w:val="28"/>
          <w:lang w:eastAsia="es-CO"/>
        </w:rPr>
        <w:t xml:space="preserve">los recursos de apelación propuestos por la demandante y la </w:t>
      </w:r>
      <w:r w:rsidR="00553762">
        <w:rPr>
          <w:rFonts w:ascii="Arial Narrow" w:hAnsi="Arial Narrow" w:cs="Tahoma"/>
          <w:bCs/>
          <w:color w:val="000000"/>
          <w:sz w:val="28"/>
          <w:szCs w:val="28"/>
          <w:lang w:eastAsia="es-CO"/>
        </w:rPr>
        <w:t>litisconsorte necesaria</w:t>
      </w:r>
      <w:r w:rsidR="004D7302">
        <w:rPr>
          <w:rFonts w:ascii="Arial Narrow" w:hAnsi="Arial Narrow" w:cs="Tahoma"/>
          <w:bCs/>
          <w:color w:val="000000"/>
          <w:sz w:val="28"/>
          <w:szCs w:val="28"/>
          <w:lang w:eastAsia="es-CO"/>
        </w:rPr>
        <w:t>, así como el grado jurisdiccional</w:t>
      </w:r>
      <w:r w:rsidR="00882FD8">
        <w:rPr>
          <w:rFonts w:ascii="Arial Narrow" w:hAnsi="Arial Narrow" w:cs="Tahoma"/>
          <w:bCs/>
          <w:color w:val="000000"/>
          <w:sz w:val="28"/>
          <w:szCs w:val="28"/>
          <w:lang w:eastAsia="es-CO"/>
        </w:rPr>
        <w:t xml:space="preserve"> </w:t>
      </w:r>
      <w:r w:rsidR="004D7302">
        <w:rPr>
          <w:rFonts w:ascii="Arial Narrow" w:hAnsi="Arial Narrow" w:cs="Tahoma"/>
          <w:bCs/>
          <w:color w:val="000000"/>
          <w:sz w:val="28"/>
          <w:szCs w:val="28"/>
          <w:lang w:eastAsia="es-CO"/>
        </w:rPr>
        <w:t>de</w:t>
      </w:r>
      <w:r w:rsidR="00553762">
        <w:rPr>
          <w:rFonts w:ascii="Arial Narrow" w:hAnsi="Arial Narrow" w:cs="Tahoma"/>
          <w:bCs/>
          <w:color w:val="000000"/>
          <w:sz w:val="28"/>
          <w:szCs w:val="28"/>
          <w:lang w:eastAsia="es-CO"/>
        </w:rPr>
        <w:t xml:space="preserve"> consulta de</w:t>
      </w:r>
      <w:r w:rsidR="00882FD8">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553762">
        <w:rPr>
          <w:rFonts w:ascii="Arial Narrow" w:hAnsi="Arial Narrow" w:cs="Tahoma"/>
          <w:bCs/>
          <w:color w:val="000000"/>
          <w:sz w:val="28"/>
          <w:szCs w:val="28"/>
          <w:lang w:eastAsia="es-CO"/>
        </w:rPr>
        <w:t>07</w:t>
      </w:r>
      <w:r w:rsidR="009C6364">
        <w:rPr>
          <w:rFonts w:ascii="Arial Narrow" w:hAnsi="Arial Narrow" w:cs="Tahoma"/>
          <w:bCs/>
          <w:color w:val="000000"/>
          <w:sz w:val="28"/>
          <w:szCs w:val="28"/>
          <w:lang w:eastAsia="es-CO"/>
        </w:rPr>
        <w:t xml:space="preserve"> de </w:t>
      </w:r>
      <w:r w:rsidR="00553762">
        <w:rPr>
          <w:rFonts w:ascii="Arial Narrow" w:hAnsi="Arial Narrow" w:cs="Tahoma"/>
          <w:bCs/>
          <w:color w:val="000000"/>
          <w:sz w:val="28"/>
          <w:szCs w:val="28"/>
          <w:lang w:eastAsia="es-CO"/>
        </w:rPr>
        <w:t>diciembre</w:t>
      </w:r>
      <w:r w:rsidR="009C6364">
        <w:rPr>
          <w:rFonts w:ascii="Arial Narrow" w:hAnsi="Arial Narrow" w:cs="Tahoma"/>
          <w:bCs/>
          <w:color w:val="000000"/>
          <w:sz w:val="28"/>
          <w:szCs w:val="28"/>
          <w:lang w:eastAsia="es-CO"/>
        </w:rPr>
        <w:t xml:space="preserve"> de 201</w:t>
      </w:r>
      <w:r w:rsidR="00F52C50">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882FD8">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553762">
        <w:rPr>
          <w:rFonts w:ascii="Arial Narrow" w:hAnsi="Arial Narrow" w:cs="Tahoma"/>
          <w:b/>
          <w:bCs/>
          <w:i/>
          <w:color w:val="000000"/>
          <w:sz w:val="28"/>
          <w:szCs w:val="28"/>
          <w:lang w:eastAsia="es-CO"/>
        </w:rPr>
        <w:t>Marleny Betancur Bedoya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553762">
        <w:rPr>
          <w:rFonts w:ascii="Arial Narrow" w:hAnsi="Arial Narrow" w:cs="Tahoma"/>
          <w:b/>
          <w:bCs/>
          <w:i/>
          <w:color w:val="000000"/>
          <w:sz w:val="28"/>
          <w:szCs w:val="28"/>
          <w:lang w:eastAsia="es-CO"/>
        </w:rPr>
        <w:t xml:space="preserve"> </w:t>
      </w:r>
      <w:r w:rsidR="00553762" w:rsidRPr="00553762">
        <w:rPr>
          <w:rFonts w:ascii="Arial Narrow" w:hAnsi="Arial Narrow" w:cs="Tahoma"/>
          <w:bCs/>
          <w:color w:val="000000"/>
          <w:sz w:val="28"/>
          <w:szCs w:val="28"/>
          <w:lang w:eastAsia="es-CO"/>
        </w:rPr>
        <w:t>siendo convocada como</w:t>
      </w:r>
      <w:r w:rsidR="00553762">
        <w:rPr>
          <w:rFonts w:ascii="Arial Narrow" w:hAnsi="Arial Narrow" w:cs="Tahoma"/>
          <w:bCs/>
          <w:i/>
          <w:color w:val="000000"/>
          <w:sz w:val="28"/>
          <w:szCs w:val="28"/>
          <w:lang w:eastAsia="es-CO"/>
        </w:rPr>
        <w:t xml:space="preserve"> </w:t>
      </w:r>
      <w:r w:rsidR="00553762">
        <w:rPr>
          <w:rFonts w:ascii="Arial Narrow" w:hAnsi="Arial Narrow" w:cs="Tahoma"/>
          <w:bCs/>
          <w:color w:val="000000"/>
          <w:sz w:val="28"/>
          <w:szCs w:val="28"/>
          <w:lang w:eastAsia="es-CO"/>
        </w:rPr>
        <w:t xml:space="preserve">litosconsorte necesaria </w:t>
      </w:r>
      <w:r w:rsidR="00553762" w:rsidRPr="00553762">
        <w:rPr>
          <w:rFonts w:ascii="Arial Narrow" w:hAnsi="Arial Narrow" w:cs="Tahoma"/>
          <w:b/>
          <w:bCs/>
          <w:color w:val="000000"/>
          <w:sz w:val="28"/>
          <w:szCs w:val="28"/>
          <w:lang w:eastAsia="es-CO"/>
        </w:rPr>
        <w:t>María Eugenia Quintero Betancourt</w:t>
      </w:r>
      <w:r w:rsidR="00553762">
        <w:rPr>
          <w:rFonts w:ascii="Arial Narrow" w:hAnsi="Arial Narrow" w:cs="Tahoma"/>
          <w:bCs/>
          <w:color w:val="000000"/>
          <w:sz w:val="28"/>
          <w:szCs w:val="28"/>
          <w:lang w:eastAsia="es-CO"/>
        </w:rPr>
        <w:t>, representa por Curador Ad-hoc.</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F3362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w:t>
      </w:r>
      <w:r w:rsidR="00E1508D">
        <w:rPr>
          <w:rFonts w:ascii="Arial Narrow" w:hAnsi="Arial Narrow" w:cs="Tahoma"/>
          <w:sz w:val="28"/>
          <w:szCs w:val="28"/>
        </w:rPr>
        <w:t xml:space="preserve">que se declare </w:t>
      </w:r>
      <w:r w:rsidR="00F3362F">
        <w:rPr>
          <w:rFonts w:ascii="Arial Narrow" w:hAnsi="Arial Narrow" w:cs="Tahoma"/>
          <w:sz w:val="28"/>
          <w:szCs w:val="28"/>
        </w:rPr>
        <w:t>que el señor Milton Quintero López fue beneficiario de la pensión de invalidez desde el 25 de enero de 2006 y que en consecuencia se condene a Colpensiones a reconcoer y pagar la pensión de sobrevivientes a la demandante desde la fecha de estructuración de la invalidez del mencionado señor  con el correspondiente retroactivo más los intereses moratorios de que trata el canon 141 de la Ley 100 de 1993 o la indexación de las condenas y las costas del proceso.</w:t>
      </w:r>
    </w:p>
    <w:p w:rsidR="00F3362F" w:rsidRDefault="00F3362F" w:rsidP="00181D67">
      <w:pPr>
        <w:shd w:val="clear" w:color="auto" w:fill="FFFFFF"/>
        <w:spacing w:line="360" w:lineRule="auto"/>
        <w:ind w:firstLine="851"/>
        <w:jc w:val="both"/>
        <w:rPr>
          <w:rFonts w:ascii="Arial Narrow" w:hAnsi="Arial Narrow" w:cs="Tahoma"/>
          <w:sz w:val="28"/>
          <w:szCs w:val="28"/>
        </w:rPr>
      </w:pPr>
    </w:p>
    <w:p w:rsidR="00A310E0" w:rsidRDefault="0073392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de hecho de tales pedidos se relata que el señor Milton Quintero López estaba afiliado al sistema de pensiones en el régimen de prima media con prestación definida, que la junta de Calificación de Invalidez le dictaminó una pérdida de la capacidad laboral del 65%, estructurada el 25 de enero de 2006, que el 01 de junio de 2008 el mencionado reclamó el reconocimiento de la pensión de invalidez, que el ISS negó la prestación argumentando que el afiliado si bien contaba con la densidad de cotizaciones, no cumplía la exigencia de fidelidad al sistema que hacia la Ley 860 de 2003, que el aludido requisito fue declarado inexequible por la Corte Constitucional, que el señor Milton Quintero López falleció el 11 de abril de 2009, que éste convivió con la señora Marleny Betancur Bedoya por espacio de más de 15 años hasta el momento del deceso de aquel, que de tal unión se procrearon tres hijos todos mayores de edad, que en los tres años anteriores a la estructuración de la pérdida de capacidad laboral contaba con 69 semanas, que e</w:t>
      </w:r>
      <w:r w:rsidR="00A310E0">
        <w:rPr>
          <w:rFonts w:ascii="Arial Narrow" w:hAnsi="Arial Narrow" w:cs="Tahoma"/>
          <w:sz w:val="28"/>
          <w:szCs w:val="28"/>
        </w:rPr>
        <w:t>l 22 de septiembre de 2014 la demandnate solicitó la revocatoria directa de la resolución mediante la cual se negó la pensión de invalidez y pidió el reconocimiento de la pensión de sobrevivientes, que tal pedido fue despachado negativamente por la entidad.</w:t>
      </w:r>
    </w:p>
    <w:p w:rsidR="004D7302" w:rsidRDefault="004D7302" w:rsidP="00181D67">
      <w:pPr>
        <w:shd w:val="clear" w:color="auto" w:fill="FFFFFF"/>
        <w:spacing w:line="360" w:lineRule="auto"/>
        <w:ind w:firstLine="851"/>
        <w:jc w:val="both"/>
        <w:rPr>
          <w:rFonts w:ascii="Arial Narrow" w:hAnsi="Arial Narrow" w:cs="Tahoma"/>
          <w:sz w:val="28"/>
          <w:szCs w:val="28"/>
        </w:rPr>
      </w:pPr>
    </w:p>
    <w:p w:rsidR="00A310E0" w:rsidRDefault="00A310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 la cual allegó respuesta por medio de profesional del derecho, quien aceptó la calidad de afiliado del demandante, la reclamación de la pensión de invalidez por parte del señor Quintero López, la negativa de la entidad, la inexequibilidad del requisito de fidelidad, la calenda de muerte de éste, la petición de revocatoria directa por parte de la demandante y la negativa de la entidad. Respecto a los restantes hechos no le constan. Se opone a todas las pretensiones de la demanda y excepcionó de fondo “Inexistencia de la obligación demandada”, “Improcedencia de los intereses de mora en aplicación de la condición más beneficiosa” y “Prescripción”.</w:t>
      </w:r>
    </w:p>
    <w:p w:rsidR="00A310E0" w:rsidRDefault="00A310E0" w:rsidP="00181D67">
      <w:pPr>
        <w:shd w:val="clear" w:color="auto" w:fill="FFFFFF"/>
        <w:spacing w:line="360" w:lineRule="auto"/>
        <w:ind w:firstLine="851"/>
        <w:jc w:val="both"/>
        <w:rPr>
          <w:rFonts w:ascii="Arial Narrow" w:hAnsi="Arial Narrow" w:cs="Tahoma"/>
          <w:sz w:val="28"/>
          <w:szCs w:val="28"/>
        </w:rPr>
      </w:pPr>
    </w:p>
    <w:p w:rsidR="00BA253A" w:rsidRDefault="00A310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Posteriormente, se decidió vincular a la señora María Eugenia Quintero Betancur, en su calidad de hija discapacitada del causante, integrándose por medio de curador ad-litem, el que se pronunció frente a los hechos de la demanda, aceptando todos los hechos de la demanda, salvo los atinentes a la convivencia y a la procreación de los hijos. No se opone a las pretensiones de la demanda</w:t>
      </w:r>
      <w:r w:rsidR="00BA253A">
        <w:rPr>
          <w:rFonts w:ascii="Arial Narrow" w:hAnsi="Arial Narrow" w:cs="Tahoma"/>
          <w:sz w:val="28"/>
          <w:szCs w:val="28"/>
        </w:rPr>
        <w:t>, antes las coadyuva dejando a salvo el derecho de su representada.</w:t>
      </w:r>
    </w:p>
    <w:p w:rsidR="00F2423F" w:rsidRDefault="00A310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C70C7C" w:rsidRDefault="008748D1"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w:t>
      </w:r>
      <w:r w:rsidR="007205B0">
        <w:rPr>
          <w:rFonts w:ascii="Arial Narrow" w:hAnsi="Arial Narrow" w:cs="Tahoma"/>
          <w:sz w:val="28"/>
          <w:szCs w:val="28"/>
        </w:rPr>
        <w:t>dictó sentencia en la que</w:t>
      </w:r>
      <w:r w:rsidR="00BA253A">
        <w:rPr>
          <w:rFonts w:ascii="Arial Narrow" w:hAnsi="Arial Narrow" w:cs="Tahoma"/>
          <w:sz w:val="28"/>
          <w:szCs w:val="28"/>
        </w:rPr>
        <w:t xml:space="preserve"> encontró que el causante dejó causada la pensión de invalidez, puesto que contaba con más de 50 semanas en los tres años anteriores a la estructuración de la invalidez, debiéndose inaplicar para el caso puntual el requisito de fidelidad por ser contrario a la Carta Política, sin embargo, se abstuvo de imponer el pago de las mesadas pensionales que le hubieren correspondido al fallecido, amén que operó el fenómeno extintivo de la prescripción. Se adentró la a-quo, posteriormente, a estudiar el derecho a la pensión de sobrevivientes reclamado, encontrando que la demandante debía acreditar haber hecho vida marital con el causante por al menos los últimos cinco años de vida de éste, carga que cumplió en debida forma, pues los testigos traídos al proceso dan plena fe de que la pareja convivió por largo tiempo, sin que entre ellos mediara separación alguna, por lo que encuentra que es beneficiaria</w:t>
      </w:r>
      <w:r w:rsidR="00C70C7C">
        <w:rPr>
          <w:rFonts w:ascii="Arial Narrow" w:hAnsi="Arial Narrow" w:cs="Tahoma"/>
          <w:sz w:val="28"/>
          <w:szCs w:val="28"/>
        </w:rPr>
        <w:t xml:space="preserve"> vitalicia de la prestación en calidad de compañera permanente. Ademàs de la demandante, encontró que la hija del causante Maria Eugenia Quintero Betancur, también tiene derecho a la prestación, amén que es discapacitada de nacimiento, con un porcentaje de pérdida de capacidad laboral del 71.75%, </w:t>
      </w:r>
      <w:r w:rsidR="00BA253A">
        <w:rPr>
          <w:rFonts w:ascii="Arial Narrow" w:hAnsi="Arial Narrow" w:cs="Tahoma"/>
          <w:sz w:val="28"/>
          <w:szCs w:val="28"/>
        </w:rPr>
        <w:t xml:space="preserve"> y que</w:t>
      </w:r>
      <w:r w:rsidR="00C70C7C">
        <w:rPr>
          <w:rFonts w:ascii="Arial Narrow" w:hAnsi="Arial Narrow" w:cs="Tahoma"/>
          <w:sz w:val="28"/>
          <w:szCs w:val="28"/>
        </w:rPr>
        <w:t>dó acreditado que era el progenitor el encargado de velar por su sostenimiento económico. Por tal razón, encontró que se debía reconocer el 50% de la prestación a cada una de las beneficiarias, con la posibilidad de acrecimiento cuando alguna pierda el derecho.</w:t>
      </w:r>
    </w:p>
    <w:p w:rsidR="00C70C7C" w:rsidRDefault="00C70C7C" w:rsidP="0010743C">
      <w:pPr>
        <w:shd w:val="clear" w:color="auto" w:fill="FFFFFF"/>
        <w:spacing w:line="360" w:lineRule="auto"/>
        <w:ind w:firstLine="851"/>
        <w:jc w:val="both"/>
        <w:rPr>
          <w:rFonts w:ascii="Arial Narrow" w:hAnsi="Arial Narrow" w:cs="Tahoma"/>
          <w:sz w:val="28"/>
          <w:szCs w:val="28"/>
        </w:rPr>
      </w:pPr>
    </w:p>
    <w:p w:rsidR="00C70C7C" w:rsidRDefault="00C70C7C"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Impuso el reconocimiento del retroactivo pensional, previa aplicación de la prescripción, dejando a salvo únicamente las mesadas causadas con posterioridad al mes de noviembre de 2011. Se abstuvo de imponer intereses moratorios desde la época de la reclamación pensional, amén que la entidad fundamentó su negativa en la norma aplicable, reconociéndose la prestación mediante este pronunciamiento, por una interpretación favorable. Por lo tanto, fulminó la condena a estos, si a partir de la ejecutoria de la providencia no se cumple lo dispuesto en ella.</w:t>
      </w:r>
    </w:p>
    <w:p w:rsidR="00E478D9" w:rsidRDefault="00E478D9" w:rsidP="0010743C">
      <w:pPr>
        <w:shd w:val="clear" w:color="auto" w:fill="FFFFFF"/>
        <w:spacing w:line="360" w:lineRule="auto"/>
        <w:ind w:firstLine="851"/>
        <w:jc w:val="both"/>
        <w:rPr>
          <w:rFonts w:ascii="Arial Narrow" w:hAnsi="Arial Narrow" w:cs="Tahoma"/>
          <w:sz w:val="28"/>
          <w:szCs w:val="28"/>
        </w:rPr>
      </w:pPr>
    </w:p>
    <w:p w:rsidR="007710DB" w:rsidRPr="00F53C04" w:rsidRDefault="00F53C04" w:rsidP="00181D67">
      <w:pPr>
        <w:shd w:val="clear" w:color="auto" w:fill="FFFFFF"/>
        <w:spacing w:line="360" w:lineRule="auto"/>
        <w:ind w:firstLine="851"/>
        <w:jc w:val="both"/>
        <w:rPr>
          <w:rFonts w:ascii="Arial Narrow" w:hAnsi="Arial Narrow" w:cs="Tahoma"/>
          <w:b/>
          <w:i/>
          <w:sz w:val="28"/>
          <w:szCs w:val="28"/>
        </w:rPr>
      </w:pPr>
      <w:r w:rsidRPr="00F53C04">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C61512" w:rsidRDefault="0029219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parte actora estuvo inconforme con la determinación judicial, por lo que propuso recurso de apelación</w:t>
      </w:r>
      <w:r w:rsidR="000B2A8B">
        <w:rPr>
          <w:rFonts w:ascii="Arial Narrow" w:hAnsi="Arial Narrow" w:cs="Tahoma"/>
          <w:sz w:val="28"/>
          <w:szCs w:val="28"/>
        </w:rPr>
        <w:t xml:space="preserve">, </w:t>
      </w:r>
      <w:r w:rsidR="00C70C7C">
        <w:rPr>
          <w:rFonts w:ascii="Arial Narrow" w:hAnsi="Arial Narrow" w:cs="Tahoma"/>
          <w:sz w:val="28"/>
          <w:szCs w:val="28"/>
        </w:rPr>
        <w:t xml:space="preserve">indicando que su inconformidad, radica en que la </w:t>
      </w:r>
      <w:r w:rsidR="00C61512">
        <w:rPr>
          <w:rFonts w:ascii="Arial Narrow" w:hAnsi="Arial Narrow" w:cs="Tahoma"/>
          <w:sz w:val="28"/>
          <w:szCs w:val="28"/>
        </w:rPr>
        <w:t>no se debió aplicar el fenómeno de la prescripción frente a la hija del causante, amen que existe una causal legal de suspensión de tal fenómeno en la Legislación Civil. Igualmente centra su desacuerdo en la no imposición de los intereses moratorios, pues estima que la entidad contaba con todos los elementos para resolver sobre el reconocimiento de la prestación.</w:t>
      </w:r>
    </w:p>
    <w:p w:rsidR="00C61512" w:rsidRDefault="00C61512" w:rsidP="00181D67">
      <w:pPr>
        <w:shd w:val="clear" w:color="auto" w:fill="FFFFFF"/>
        <w:spacing w:line="360" w:lineRule="auto"/>
        <w:ind w:firstLine="851"/>
        <w:jc w:val="both"/>
        <w:rPr>
          <w:rFonts w:ascii="Arial Narrow" w:hAnsi="Arial Narrow" w:cs="Tahoma"/>
          <w:sz w:val="28"/>
          <w:szCs w:val="28"/>
        </w:rPr>
      </w:pPr>
    </w:p>
    <w:p w:rsidR="00496F9C" w:rsidRDefault="00C6151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curador Ad-litem de la litisconsorte estuvo también inconforme con la determinación sobre la aplicación de los efectos de la prescripción para </w:t>
      </w:r>
      <w:r w:rsidR="009A7B91">
        <w:rPr>
          <w:rFonts w:ascii="Arial Narrow" w:hAnsi="Arial Narrow" w:cs="Tahoma"/>
          <w:sz w:val="28"/>
          <w:szCs w:val="28"/>
        </w:rPr>
        <w:t>su representada</w:t>
      </w:r>
      <w:r w:rsidR="00496F9C">
        <w:rPr>
          <w:rFonts w:ascii="Arial Narrow" w:hAnsi="Arial Narrow" w:cs="Tahoma"/>
          <w:sz w:val="28"/>
          <w:szCs w:val="28"/>
        </w:rPr>
        <w:t>, indicando que es una persona con discapacidad desde su nacimiento, lo que le impide agenciar sus propios asuntos y, además, destaca que la persona llamada a defender sus intereses –su progenitora- es una persona de baja escolaridad que desconocía la posibilidad de reclamar a favor de su hija los derechos correspondientes.</w:t>
      </w:r>
    </w:p>
    <w:p w:rsidR="009C0945" w:rsidRDefault="009C0945" w:rsidP="00181D67">
      <w:pPr>
        <w:shd w:val="clear" w:color="auto" w:fill="FFFFFF"/>
        <w:spacing w:line="360" w:lineRule="auto"/>
        <w:ind w:firstLine="851"/>
        <w:jc w:val="both"/>
        <w:rPr>
          <w:rFonts w:ascii="Arial Narrow" w:hAnsi="Arial Narrow" w:cs="Tahoma"/>
          <w:sz w:val="28"/>
          <w:szCs w:val="28"/>
        </w:rPr>
      </w:pPr>
    </w:p>
    <w:p w:rsidR="009C0945" w:rsidRDefault="009C0945" w:rsidP="009C094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Al ser adversa la decisión respecto a Colpensiones, se dispuso además el grado jurisdiccional de consulta de la misma, al tenor del canon 69 del CPLSS.</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el grado jurisdiccional de consulta</w:t>
      </w:r>
      <w:r w:rsidR="001E3021">
        <w:rPr>
          <w:rFonts w:ascii="Arial Narrow" w:hAnsi="Arial Narrow" w:cs="Tahoma"/>
          <w:color w:val="000000"/>
          <w:sz w:val="28"/>
          <w:szCs w:val="28"/>
          <w:lang w:eastAsia="es-CO"/>
        </w:rPr>
        <w:t xml:space="preserve"> y las alzadas propuestas</w:t>
      </w:r>
      <w:r>
        <w:rPr>
          <w:rFonts w:ascii="Arial Narrow" w:hAnsi="Arial Narrow" w:cs="Tahoma"/>
          <w:color w:val="000000"/>
          <w:sz w:val="28"/>
          <w:szCs w:val="28"/>
          <w:lang w:eastAsia="es-CO"/>
        </w:rPr>
        <w:t xml:space="preserve">, la Sala deberá abordar </w:t>
      </w:r>
      <w:r w:rsidR="001E3021">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problema</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jurídico</w:t>
      </w:r>
      <w:r w:rsidR="001E3021">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1E3021">
        <w:rPr>
          <w:rFonts w:ascii="Arial Narrow" w:hAnsi="Arial Narrow" w:cs="Tahoma"/>
          <w:i/>
          <w:color w:val="000000"/>
          <w:sz w:val="28"/>
          <w:szCs w:val="28"/>
          <w:lang w:eastAsia="es-CO"/>
        </w:rPr>
        <w:t>Alcanzó el causante a cumplir los requisitos para pensionarse por invalidez</w:t>
      </w:r>
      <w:r w:rsidR="007D7D00">
        <w:rPr>
          <w:rFonts w:ascii="Arial Narrow" w:hAnsi="Arial Narrow" w:cs="Tahoma"/>
          <w:i/>
          <w:color w:val="000000"/>
          <w:sz w:val="28"/>
          <w:szCs w:val="28"/>
          <w:lang w:eastAsia="es-CO"/>
        </w:rPr>
        <w:t>?</w:t>
      </w: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1E3021">
        <w:rPr>
          <w:rFonts w:ascii="Arial Narrow" w:hAnsi="Arial Narrow" w:cs="Tahoma"/>
          <w:i/>
          <w:color w:val="000000"/>
          <w:sz w:val="28"/>
          <w:szCs w:val="28"/>
          <w:lang w:eastAsia="es-CO"/>
        </w:rPr>
        <w:t>Acreditaron las interesadas, las condiciones para ser consideradas como beneficiarias de la pensión de sobrevivientes</w:t>
      </w:r>
      <w:r>
        <w:rPr>
          <w:rFonts w:ascii="Arial Narrow" w:hAnsi="Arial Narrow" w:cs="Tahoma"/>
          <w:i/>
          <w:color w:val="000000"/>
          <w:sz w:val="28"/>
          <w:szCs w:val="28"/>
          <w:lang w:eastAsia="es-CO"/>
        </w:rPr>
        <w:t>?</w:t>
      </w: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pueden aplicar los efectos de la prescripción a una persona que se encuentra en estado de discapacidad desde su nacimiento?</w:t>
      </w: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E3021" w:rsidRDefault="001E302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debieron reconocer los intereses moratorios de que trata el canon 141 de la Ley 100 de1993?</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860E5A" w:rsidRDefault="00F373CF" w:rsidP="00505F81">
      <w:pPr>
        <w:spacing w:line="360" w:lineRule="auto"/>
        <w:ind w:firstLine="851"/>
        <w:jc w:val="both"/>
        <w:rPr>
          <w:rFonts w:ascii="Arial Narrow" w:hAnsi="Arial Narrow" w:cs="Arial"/>
          <w:b/>
          <w:sz w:val="28"/>
          <w:szCs w:val="28"/>
          <w:lang w:val="es-ES"/>
        </w:rPr>
      </w:pPr>
      <w:r>
        <w:rPr>
          <w:rFonts w:ascii="Arial Narrow" w:hAnsi="Arial Narrow" w:cs="Arial"/>
          <w:b/>
          <w:sz w:val="28"/>
          <w:szCs w:val="28"/>
          <w:lang w:val="es-ES"/>
        </w:rPr>
        <w:t>Pensión de invalidez</w:t>
      </w:r>
      <w:r w:rsidR="00860E5A">
        <w:rPr>
          <w:rFonts w:ascii="Arial Narrow" w:hAnsi="Arial Narrow" w:cs="Arial"/>
          <w:b/>
          <w:sz w:val="28"/>
          <w:szCs w:val="28"/>
          <w:lang w:val="es-ES"/>
        </w:rPr>
        <w:t>.</w:t>
      </w:r>
    </w:p>
    <w:p w:rsidR="00860E5A" w:rsidRDefault="00860E5A" w:rsidP="00505F81">
      <w:pPr>
        <w:spacing w:line="360" w:lineRule="auto"/>
        <w:ind w:firstLine="851"/>
        <w:jc w:val="both"/>
        <w:rPr>
          <w:rFonts w:ascii="Arial Narrow" w:hAnsi="Arial Narrow" w:cs="Arial"/>
          <w:b/>
          <w:sz w:val="28"/>
          <w:szCs w:val="28"/>
          <w:lang w:val="es-ES"/>
        </w:rPr>
      </w:pPr>
    </w:p>
    <w:p w:rsidR="00135329" w:rsidRDefault="00860E5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 paso obligado estudiar, primigeniamente, si el causante alcanzó a satisfacer las exigencias legales para ser pensionado por invalidez. Pues bien, debe decirse que de conformidad con el dictamen visible a folio 195, el señor Quintero López padeció en vida una merma en su capacidad laboral del 65.8% estru</w:t>
      </w:r>
      <w:r w:rsidR="001C71C5">
        <w:rPr>
          <w:rFonts w:ascii="Arial Narrow" w:hAnsi="Arial Narrow" w:cs="Arial"/>
          <w:sz w:val="28"/>
          <w:szCs w:val="28"/>
          <w:lang w:val="es-ES"/>
        </w:rPr>
        <w:t>c</w:t>
      </w:r>
      <w:r>
        <w:rPr>
          <w:rFonts w:ascii="Arial Narrow" w:hAnsi="Arial Narrow" w:cs="Arial"/>
          <w:sz w:val="28"/>
          <w:szCs w:val="28"/>
          <w:lang w:val="es-ES"/>
        </w:rPr>
        <w:t xml:space="preserve">turada el 25 de enero de 2006. Lo anterior permite colegir, que la normatividad que regía el derecho pensional de invalidez del afiliado, era la Ley 100 de 1993 en su artículo 39, modificado por el artículo 1º de la Ley 860 de 2003. Esa norma exigía que para acceder a la prestación, era necesario, amén de contar con una merma en la capacidad de trabajo igual o superior al 50%, acreditar un total de 50 semanas cotizadas en los 3 años inmediatamente anteriores a la calenda que se estructuró la situación médica y cumplir el presupuesto de fidelidad al sistema, consistente en contar con al menos un 20% de tiempo cotizado entre la fecha en que se cumplieron los 20 años de edad y la fecha de la primera calificación. </w:t>
      </w:r>
      <w:r w:rsidR="00984C55">
        <w:rPr>
          <w:rFonts w:ascii="Arial Narrow" w:hAnsi="Arial Narrow" w:cs="Arial"/>
          <w:sz w:val="28"/>
          <w:szCs w:val="28"/>
          <w:lang w:val="es-ES"/>
        </w:rPr>
        <w:t>Por lo tanto, eran estos supuestos los que debían cumplirse por parte del señor Quintero para acceder a la prestación por invalidez</w:t>
      </w:r>
      <w:r w:rsidR="00135329">
        <w:rPr>
          <w:rFonts w:ascii="Arial Narrow" w:hAnsi="Arial Narrow" w:cs="Arial"/>
          <w:sz w:val="28"/>
          <w:szCs w:val="28"/>
          <w:lang w:val="es-ES"/>
        </w:rPr>
        <w:t xml:space="preserve"> y, como se evidencia en la Resolución No. 06868 de 2008 –fl. 24-, el mencionado no cumplía con la condición de fidelidad</w:t>
      </w:r>
      <w:r w:rsidR="001A338A">
        <w:rPr>
          <w:rFonts w:ascii="Arial Narrow" w:hAnsi="Arial Narrow" w:cs="Arial"/>
          <w:sz w:val="28"/>
          <w:szCs w:val="28"/>
          <w:lang w:val="es-ES"/>
        </w:rPr>
        <w:t>, aunque si contaba con 69 semanas en los tres años anteriores a la estructuración de su pérdida de capacidad laboral</w:t>
      </w:r>
      <w:r w:rsidR="00135329">
        <w:rPr>
          <w:rFonts w:ascii="Arial Narrow" w:hAnsi="Arial Narrow" w:cs="Arial"/>
          <w:sz w:val="28"/>
          <w:szCs w:val="28"/>
          <w:lang w:val="es-ES"/>
        </w:rPr>
        <w:t>.</w:t>
      </w:r>
    </w:p>
    <w:p w:rsidR="00135329" w:rsidRDefault="00135329" w:rsidP="00505F81">
      <w:pPr>
        <w:spacing w:line="360" w:lineRule="auto"/>
        <w:ind w:firstLine="851"/>
        <w:jc w:val="both"/>
        <w:rPr>
          <w:rFonts w:ascii="Arial Narrow" w:hAnsi="Arial Narrow" w:cs="Arial"/>
          <w:sz w:val="28"/>
          <w:szCs w:val="28"/>
          <w:lang w:val="es-ES"/>
        </w:rPr>
      </w:pPr>
    </w:p>
    <w:p w:rsidR="00135329" w:rsidRDefault="00860E5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último presupuesto, sin embargo</w:t>
      </w:r>
      <w:r w:rsidR="000F61F8">
        <w:rPr>
          <w:rFonts w:ascii="Arial Narrow" w:hAnsi="Arial Narrow" w:cs="Arial"/>
          <w:sz w:val="28"/>
          <w:szCs w:val="28"/>
          <w:lang w:val="es-ES"/>
        </w:rPr>
        <w:t xml:space="preserve"> fue declarado inexequible por la sentencia C-428 de 2009, al encontrarse que era una medida regresiva que atentaba contra la progresión que tienen los derechos sociales. Y dígase que si bien </w:t>
      </w:r>
      <w:r w:rsidR="00E86D23">
        <w:rPr>
          <w:rFonts w:ascii="Arial Narrow" w:hAnsi="Arial Narrow" w:cs="Arial"/>
          <w:sz w:val="28"/>
          <w:szCs w:val="28"/>
          <w:lang w:val="es-ES"/>
        </w:rPr>
        <w:t xml:space="preserve">a </w:t>
      </w:r>
      <w:r w:rsidR="000F61F8">
        <w:rPr>
          <w:rFonts w:ascii="Arial Narrow" w:hAnsi="Arial Narrow" w:cs="Arial"/>
          <w:sz w:val="28"/>
          <w:szCs w:val="28"/>
          <w:lang w:val="es-ES"/>
        </w:rPr>
        <w:t>tal</w:t>
      </w:r>
      <w:r w:rsidR="00E86D23">
        <w:rPr>
          <w:rFonts w:ascii="Arial Narrow" w:hAnsi="Arial Narrow" w:cs="Arial"/>
          <w:sz w:val="28"/>
          <w:szCs w:val="28"/>
          <w:lang w:val="es-ES"/>
        </w:rPr>
        <w:t xml:space="preserve"> decisión no se le dieron efectos retroactivos, los fundamentos allí adoptados claramente dan pie a</w:t>
      </w:r>
      <w:r w:rsidR="00135329">
        <w:rPr>
          <w:rFonts w:ascii="Arial Narrow" w:hAnsi="Arial Narrow" w:cs="Arial"/>
          <w:sz w:val="28"/>
          <w:szCs w:val="28"/>
          <w:lang w:val="es-ES"/>
        </w:rPr>
        <w:t xml:space="preserve"> que se estudie si es posible, para el caso concreto y con apoyo en el canon 4º de la Carta Política, la inaplicación de la aludida exigencia.</w:t>
      </w:r>
    </w:p>
    <w:p w:rsidR="00135329" w:rsidRDefault="00135329" w:rsidP="00505F81">
      <w:pPr>
        <w:spacing w:line="360" w:lineRule="auto"/>
        <w:ind w:firstLine="851"/>
        <w:jc w:val="both"/>
        <w:rPr>
          <w:rFonts w:ascii="Arial Narrow" w:hAnsi="Arial Narrow" w:cs="Arial"/>
          <w:sz w:val="28"/>
          <w:szCs w:val="28"/>
          <w:lang w:val="es-ES"/>
        </w:rPr>
      </w:pPr>
    </w:p>
    <w:p w:rsidR="00135329" w:rsidRDefault="001353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ha de decirse que el tema ha sido abordado ampliamente por la Sala de Casación Laboral de la Corte Suprema de Justicia, concluyendo que se debe inaplicar el aludido requisito por su carácter claramente contrario a la Carta Política. Vale la pena, para mejor claridad del tema, citar uno de los pronunciamientos recientes de dicha Corporación:</w:t>
      </w:r>
    </w:p>
    <w:p w:rsidR="00135329" w:rsidRDefault="00135329" w:rsidP="00505F81">
      <w:pPr>
        <w:spacing w:line="360" w:lineRule="auto"/>
        <w:ind w:firstLine="851"/>
        <w:jc w:val="both"/>
        <w:rPr>
          <w:rFonts w:ascii="Arial Narrow" w:hAnsi="Arial Narrow" w:cs="Arial"/>
          <w:sz w:val="28"/>
          <w:szCs w:val="28"/>
          <w:lang w:val="es-ES"/>
        </w:rPr>
      </w:pPr>
    </w:p>
    <w:p w:rsidR="00135329" w:rsidRPr="00135329" w:rsidRDefault="00135329" w:rsidP="00135329">
      <w:pPr>
        <w:spacing w:line="360" w:lineRule="auto"/>
        <w:ind w:firstLine="851"/>
        <w:jc w:val="both"/>
        <w:rPr>
          <w:rFonts w:ascii="Arial Narrow" w:hAnsi="Arial Narrow" w:cs="Arial"/>
          <w:i/>
          <w:sz w:val="28"/>
          <w:szCs w:val="28"/>
          <w:lang w:val="es-CO"/>
        </w:rPr>
      </w:pPr>
      <w:r>
        <w:rPr>
          <w:rFonts w:ascii="Arial Narrow" w:hAnsi="Arial Narrow" w:cs="Arial"/>
          <w:i/>
          <w:sz w:val="28"/>
          <w:szCs w:val="28"/>
          <w:lang w:val="es-CO"/>
        </w:rPr>
        <w:t>“</w:t>
      </w:r>
      <w:r w:rsidRPr="00135329">
        <w:rPr>
          <w:rFonts w:ascii="Arial Narrow" w:hAnsi="Arial Narrow" w:cs="Arial"/>
          <w:i/>
          <w:sz w:val="28"/>
          <w:szCs w:val="28"/>
          <w:lang w:val="es-CO"/>
        </w:rPr>
        <w:t>En lo que tiene que ver con el requisito de fidelidad al sistema de pensiones, esta Corporación en sentencias CSJ SL, 8 may. 2012, rad. 41832 y CSJ SL, 10 jul. 2010, rad. 42423 (pensión de invalidez), y luego, en providencias CSJ SL, 20 jun. 2012, rad. 42540 y CSJ SL, 25 jul. 2012, rad. 42501 (pensión de sobrevivientes), cambió su criterio para señalar que el requisito de fidelidad incorporado en las reformas pensionales (Ley 797 y Ley 860 de 2003) del sistema general de pensiones, impuso una evidente condición regresiva en relación con lo establecido originalmente en la Ley 100 de 1993, motivo por el cual, los juzgadores tienen el deber de abstenerse de aplicar esa exigencia, por resultar abiertamente incompatible con los contenidos materiales de la Carta Política, especialmente con el principio de progresividad y no regresividad.</w:t>
      </w:r>
    </w:p>
    <w:p w:rsidR="00135329" w:rsidRPr="00135329" w:rsidRDefault="00135329" w:rsidP="00135329">
      <w:pPr>
        <w:spacing w:line="360" w:lineRule="auto"/>
        <w:ind w:firstLine="851"/>
        <w:jc w:val="both"/>
        <w:rPr>
          <w:rFonts w:ascii="Arial Narrow" w:hAnsi="Arial Narrow" w:cs="Arial"/>
          <w:i/>
          <w:sz w:val="28"/>
          <w:szCs w:val="28"/>
          <w:lang w:val="es-CO"/>
        </w:rPr>
      </w:pPr>
      <w:r w:rsidRPr="00135329">
        <w:rPr>
          <w:rFonts w:ascii="Arial Narrow" w:hAnsi="Arial Narrow" w:cs="Arial"/>
          <w:i/>
          <w:sz w:val="28"/>
          <w:szCs w:val="28"/>
          <w:lang w:val="es-CO"/>
        </w:rPr>
        <w:tab/>
      </w:r>
    </w:p>
    <w:p w:rsidR="00135329" w:rsidRPr="00135329" w:rsidRDefault="00135329" w:rsidP="00135329">
      <w:pPr>
        <w:spacing w:line="360" w:lineRule="auto"/>
        <w:ind w:firstLine="851"/>
        <w:jc w:val="both"/>
        <w:rPr>
          <w:rFonts w:ascii="Arial Narrow" w:hAnsi="Arial Narrow" w:cs="Arial"/>
          <w:i/>
          <w:sz w:val="28"/>
          <w:szCs w:val="28"/>
          <w:lang w:val="es-CO"/>
        </w:rPr>
      </w:pPr>
      <w:r w:rsidRPr="00135329">
        <w:rPr>
          <w:rFonts w:ascii="Arial Narrow" w:hAnsi="Arial Narrow" w:cs="Arial"/>
          <w:i/>
          <w:sz w:val="28"/>
          <w:szCs w:val="28"/>
          <w:lang w:val="es-CO"/>
        </w:rPr>
        <w:t>Tal decisión no implica darle retroactividad a la sentencia C-428 de 2009, sino más bien, constituye una expresión del deber de los jueces de inaplicar en ejercicio de la excepción de inconstitucionalidad (art. 4 C.P.), las normas legales que sean manifiestamente contrarias e incompatibles con el marco axiológico de la Constitución Política</w:t>
      </w:r>
      <w:r>
        <w:rPr>
          <w:rFonts w:ascii="Arial Narrow" w:hAnsi="Arial Narrow" w:cs="Arial"/>
          <w:i/>
          <w:sz w:val="28"/>
          <w:szCs w:val="28"/>
          <w:lang w:val="es-CO"/>
        </w:rPr>
        <w:t>” (sentencia SL 8615 de 2017)</w:t>
      </w:r>
      <w:r w:rsidRPr="00135329">
        <w:rPr>
          <w:rFonts w:ascii="Arial Narrow" w:hAnsi="Arial Narrow" w:cs="Arial"/>
          <w:i/>
          <w:sz w:val="28"/>
          <w:szCs w:val="28"/>
          <w:lang w:val="es-CO"/>
        </w:rPr>
        <w:t>.</w:t>
      </w:r>
    </w:p>
    <w:p w:rsidR="00135329" w:rsidRPr="00135329" w:rsidRDefault="00135329" w:rsidP="00505F81">
      <w:pPr>
        <w:spacing w:line="360" w:lineRule="auto"/>
        <w:ind w:firstLine="851"/>
        <w:jc w:val="both"/>
        <w:rPr>
          <w:rFonts w:ascii="Arial Narrow" w:hAnsi="Arial Narrow" w:cs="Arial"/>
          <w:sz w:val="28"/>
          <w:szCs w:val="28"/>
          <w:lang w:val="es-CO"/>
        </w:rPr>
      </w:pPr>
    </w:p>
    <w:p w:rsidR="001A338A" w:rsidRDefault="001353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al ser evidente la contrariedad de la exigencia de fidelidad con el mandato de progresividad contenido en el Bloque de Constitucionalidad </w:t>
      </w:r>
      <w:r w:rsidR="001A338A">
        <w:rPr>
          <w:rFonts w:ascii="Arial Narrow" w:hAnsi="Arial Narrow" w:cs="Arial"/>
          <w:sz w:val="28"/>
          <w:szCs w:val="28"/>
          <w:lang w:val="es-ES"/>
        </w:rPr>
        <w:t>de los derechos sociales, resulta pertinente aplicar la supremacía de la Carta Política y dejar de aplicar en el sub-judice dicha exigencia de fidelidad, lo que conlleva a que el señor Quintero López, sí cumplió con las exigencias para pensionarse por invalidez, es decir, para efectos del objeto de este proceso, al momento de su deceso tenía el status de pensionado.</w:t>
      </w:r>
    </w:p>
    <w:p w:rsidR="001A338A" w:rsidRDefault="001A338A" w:rsidP="00505F81">
      <w:pPr>
        <w:spacing w:line="360" w:lineRule="auto"/>
        <w:ind w:firstLine="851"/>
        <w:jc w:val="both"/>
        <w:rPr>
          <w:rFonts w:ascii="Arial Narrow" w:hAnsi="Arial Narrow" w:cs="Arial"/>
          <w:sz w:val="28"/>
          <w:szCs w:val="28"/>
          <w:lang w:val="es-ES"/>
        </w:rPr>
      </w:pPr>
    </w:p>
    <w:p w:rsidR="001A338A" w:rsidRPr="001A338A" w:rsidRDefault="001A338A" w:rsidP="00505F81">
      <w:pPr>
        <w:spacing w:line="360" w:lineRule="auto"/>
        <w:ind w:firstLine="851"/>
        <w:jc w:val="both"/>
        <w:rPr>
          <w:rFonts w:ascii="Arial Narrow" w:hAnsi="Arial Narrow" w:cs="Arial"/>
          <w:b/>
          <w:sz w:val="28"/>
          <w:szCs w:val="28"/>
          <w:lang w:val="es-ES"/>
        </w:rPr>
      </w:pPr>
      <w:r>
        <w:rPr>
          <w:rFonts w:ascii="Arial Narrow" w:hAnsi="Arial Narrow" w:cs="Arial"/>
          <w:b/>
          <w:sz w:val="28"/>
          <w:szCs w:val="28"/>
          <w:lang w:val="es-ES"/>
        </w:rPr>
        <w:t>Pensión de sobrevivientes.</w:t>
      </w:r>
    </w:p>
    <w:p w:rsidR="001A338A" w:rsidRDefault="001A338A" w:rsidP="00505F81">
      <w:pPr>
        <w:spacing w:line="360" w:lineRule="auto"/>
        <w:ind w:firstLine="851"/>
        <w:jc w:val="both"/>
        <w:rPr>
          <w:rFonts w:ascii="Arial Narrow" w:hAnsi="Arial Narrow" w:cs="Arial"/>
          <w:sz w:val="28"/>
          <w:szCs w:val="28"/>
          <w:lang w:val="es-ES"/>
        </w:rPr>
      </w:pPr>
    </w:p>
    <w:p w:rsidR="00DD0F03" w:rsidRDefault="001A338A" w:rsidP="00507E8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prestación de sobrevivientes, lo primero que debe decirse es que atendiendo la fecha de fallecimiento del señor Quintero López</w:t>
      </w:r>
      <w:r w:rsidR="000442C7">
        <w:rPr>
          <w:rFonts w:ascii="Arial Narrow" w:hAnsi="Arial Narrow" w:cs="Arial"/>
          <w:sz w:val="28"/>
          <w:szCs w:val="28"/>
          <w:lang w:val="es-ES"/>
        </w:rPr>
        <w:t xml:space="preserve"> -11 de abril de 2009- la norma aplicable es la Ley 100 de 1993, artículos 46 y 47, modificados por los cánones 12 y 13 de la Ley 797 de 2003</w:t>
      </w:r>
      <w:r w:rsidR="00DD0F03">
        <w:rPr>
          <w:rFonts w:ascii="Arial Narrow" w:hAnsi="Arial Narrow" w:cs="Arial"/>
          <w:sz w:val="28"/>
          <w:szCs w:val="28"/>
          <w:lang w:val="es-ES"/>
        </w:rPr>
        <w:t>. Teniendo claro que el fallecido ostentaba la condición de pensionado por invalidez, como se dijo líneas atrás, es claro que se dejó causado el derecho a sus beneficiarios. En cuanto a la calidad de estos, es necesario por partir la vocación que ostenta la demandante, esto es, la de compañera permanente.</w:t>
      </w:r>
    </w:p>
    <w:p w:rsidR="00F941C5" w:rsidRDefault="00F941C5" w:rsidP="00505F81">
      <w:pPr>
        <w:spacing w:line="360" w:lineRule="auto"/>
        <w:ind w:firstLine="851"/>
        <w:jc w:val="both"/>
        <w:rPr>
          <w:rFonts w:ascii="Arial Narrow" w:hAnsi="Arial Narrow" w:cs="Arial"/>
          <w:sz w:val="28"/>
          <w:szCs w:val="28"/>
          <w:lang w:val="es-ES"/>
        </w:rPr>
      </w:pPr>
    </w:p>
    <w:p w:rsidR="00E90FC3" w:rsidRDefault="00DD0F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ha de decirse que 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58085F"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E565F3">
        <w:rPr>
          <w:rFonts w:ascii="Arial Narrow" w:hAnsi="Arial Narrow" w:cs="Arial"/>
          <w:sz w:val="28"/>
          <w:szCs w:val="28"/>
          <w:lang w:val="es-ES"/>
        </w:rPr>
        <w:t>, siempre y cuando se acredite que se mantuvieron los lazos familiares, el ánimo de ayuda mutua y de socorro</w:t>
      </w:r>
      <w:r w:rsidR="00A34493">
        <w:rPr>
          <w:rFonts w:ascii="Arial Narrow" w:hAnsi="Arial Narrow" w:cs="Arial"/>
          <w:sz w:val="28"/>
          <w:szCs w:val="28"/>
          <w:lang w:val="es-ES"/>
        </w:rPr>
        <w:t xml:space="preserve"> (</w:t>
      </w:r>
      <w:r w:rsidR="00E565F3">
        <w:rPr>
          <w:rFonts w:ascii="Arial Narrow" w:hAnsi="Arial Narrow" w:cs="Arial"/>
          <w:sz w:val="28"/>
          <w:szCs w:val="28"/>
          <w:lang w:val="es-ES"/>
        </w:rPr>
        <w:t>SL 16949</w:t>
      </w:r>
      <w:r w:rsidR="0058085F">
        <w:rPr>
          <w:rFonts w:ascii="Arial Narrow" w:hAnsi="Arial Narrow" w:cs="Arial"/>
          <w:sz w:val="28"/>
          <w:szCs w:val="28"/>
          <w:lang w:val="es-ES"/>
        </w:rPr>
        <w:t xml:space="preserve"> del 23 de noviembre de 2016</w:t>
      </w:r>
      <w:r w:rsidR="00A34493">
        <w:rPr>
          <w:rFonts w:ascii="Arial Narrow" w:hAnsi="Arial Narrow" w:cs="Arial"/>
          <w:sz w:val="28"/>
          <w:szCs w:val="28"/>
          <w:lang w:val="es-ES"/>
        </w:rPr>
        <w:t>).</w:t>
      </w:r>
    </w:p>
    <w:p w:rsidR="0058085F" w:rsidRPr="0058085F" w:rsidRDefault="0058085F"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D774DA"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58085F">
        <w:rPr>
          <w:rFonts w:ascii="Arial Narrow" w:hAnsi="Arial Narrow" w:cs="Arial"/>
          <w:sz w:val="28"/>
          <w:szCs w:val="28"/>
          <w:lang w:val="es-ES"/>
        </w:rPr>
        <w:t>, incluso así se romp</w:t>
      </w:r>
      <w:r w:rsidR="00D774DA">
        <w:rPr>
          <w:rFonts w:ascii="Arial Narrow" w:hAnsi="Arial Narrow" w:cs="Arial"/>
          <w:sz w:val="28"/>
          <w:szCs w:val="28"/>
          <w:lang w:val="es-ES"/>
        </w:rPr>
        <w:t>e</w:t>
      </w:r>
      <w:r w:rsidR="0058085F">
        <w:rPr>
          <w:rFonts w:ascii="Arial Narrow" w:hAnsi="Arial Narrow" w:cs="Arial"/>
          <w:sz w:val="28"/>
          <w:szCs w:val="28"/>
          <w:lang w:val="es-ES"/>
        </w:rPr>
        <w:t xml:space="preserve"> la convivencia física</w:t>
      </w:r>
      <w:r w:rsidR="00D774DA">
        <w:rPr>
          <w:rFonts w:ascii="Arial Narrow" w:hAnsi="Arial Narrow" w:cs="Arial"/>
          <w:sz w:val="28"/>
          <w:szCs w:val="28"/>
          <w:lang w:val="es-ES"/>
        </w:rPr>
        <w:t>, por cuestiones laborales o de salud</w:t>
      </w:r>
      <w:r>
        <w:rPr>
          <w:rFonts w:ascii="Arial Narrow" w:hAnsi="Arial Narrow" w:cs="Arial"/>
          <w:sz w:val="28"/>
          <w:szCs w:val="28"/>
          <w:lang w:val="es-ES"/>
        </w:rPr>
        <w:t>.</w:t>
      </w:r>
    </w:p>
    <w:p w:rsidR="00421AF7" w:rsidRDefault="007D7D0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3778D6" w:rsidRDefault="00B64B9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D774DA">
        <w:rPr>
          <w:rFonts w:ascii="Arial Narrow" w:hAnsi="Arial Narrow" w:cs="Arial"/>
          <w:sz w:val="28"/>
          <w:szCs w:val="28"/>
          <w:lang w:val="es-ES"/>
        </w:rPr>
        <w:t>que las declaraciones de</w:t>
      </w:r>
      <w:r w:rsidR="00FC2489">
        <w:rPr>
          <w:rFonts w:ascii="Arial Narrow" w:hAnsi="Arial Narrow" w:cs="Arial"/>
          <w:sz w:val="28"/>
          <w:szCs w:val="28"/>
          <w:lang w:val="es-ES"/>
        </w:rPr>
        <w:t xml:space="preserve"> los señores José Aurelio e Irene del Socorro Betancur Bedoya, dan cuenta de que la pareja conformada por su hermana Marleny y el señor Milton tuvo una relación de larga data –mayor a los 28 años-, además que fue duradera y permanente, sin presentarse rompimiento alguno, en la que ambos, junto a sus hijos, conformaron una familia, unida por lazos de solidaridad, afecto y apoyo mutuo</w:t>
      </w:r>
      <w:r w:rsidR="003778D6">
        <w:rPr>
          <w:rFonts w:ascii="Arial Narrow" w:hAnsi="Arial Narrow" w:cs="Arial"/>
          <w:sz w:val="28"/>
          <w:szCs w:val="28"/>
          <w:lang w:val="es-ES"/>
        </w:rPr>
        <w:t>. Estas versiones se mostraron coherentes, veraces y especialmente conocedoras de la realidad familiar de la demandante y el causante, por su cercanía, lo que las hace merecedoras de total credibilidad para la Sala, en cuanto a la demostración del vínculo de hecho que existió entre la actora y el fallecido y su larga permanencia en el tiempo. Por lo tanto, está claramente demostrada la condición de beneficiaria de la demandante.</w:t>
      </w:r>
    </w:p>
    <w:p w:rsidR="003778D6" w:rsidRDefault="003778D6" w:rsidP="00D309A3">
      <w:pPr>
        <w:spacing w:line="360" w:lineRule="auto"/>
        <w:ind w:firstLine="851"/>
        <w:jc w:val="both"/>
        <w:rPr>
          <w:rFonts w:ascii="Arial Narrow" w:hAnsi="Arial Narrow" w:cs="Arial"/>
          <w:sz w:val="28"/>
          <w:szCs w:val="28"/>
          <w:lang w:val="es-ES"/>
        </w:rPr>
      </w:pPr>
    </w:p>
    <w:p w:rsidR="00855CF7" w:rsidRDefault="003778D6"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 la condición de beneficiaria de la hija del señor Quintero </w:t>
      </w:r>
      <w:r w:rsidR="00524EDF">
        <w:rPr>
          <w:rFonts w:ascii="Arial Narrow" w:hAnsi="Arial Narrow" w:cs="Arial"/>
          <w:sz w:val="28"/>
          <w:szCs w:val="28"/>
          <w:lang w:val="es-ES"/>
        </w:rPr>
        <w:t>López</w:t>
      </w:r>
      <w:r>
        <w:rPr>
          <w:rFonts w:ascii="Arial Narrow" w:hAnsi="Arial Narrow" w:cs="Arial"/>
          <w:sz w:val="28"/>
          <w:szCs w:val="28"/>
          <w:lang w:val="es-ES"/>
        </w:rPr>
        <w:t>,</w:t>
      </w:r>
      <w:r w:rsidR="00524EDF">
        <w:rPr>
          <w:rFonts w:ascii="Arial Narrow" w:hAnsi="Arial Narrow" w:cs="Arial"/>
          <w:sz w:val="28"/>
          <w:szCs w:val="28"/>
          <w:lang w:val="es-ES"/>
        </w:rPr>
        <w:t xml:space="preserve"> María</w:t>
      </w:r>
      <w:r>
        <w:rPr>
          <w:rFonts w:ascii="Arial Narrow" w:hAnsi="Arial Narrow" w:cs="Arial"/>
          <w:sz w:val="28"/>
          <w:szCs w:val="28"/>
          <w:lang w:val="es-ES"/>
        </w:rPr>
        <w:t xml:space="preserve"> Eugenia Qui</w:t>
      </w:r>
      <w:r w:rsidR="00524EDF">
        <w:rPr>
          <w:rFonts w:ascii="Arial Narrow" w:hAnsi="Arial Narrow" w:cs="Arial"/>
          <w:sz w:val="28"/>
          <w:szCs w:val="28"/>
          <w:lang w:val="es-ES"/>
        </w:rPr>
        <w:t xml:space="preserve">ntero Betancourt, ha de decirse que el literal c del canon 47 anteriormente citado, vigente para el momento en que se causó la pensión de sobrevivientes establece que los hijos discapacitados del causante tienen derecho a la pensión de </w:t>
      </w:r>
      <w:r w:rsidR="00855CF7">
        <w:rPr>
          <w:rFonts w:ascii="Arial Narrow" w:hAnsi="Arial Narrow" w:cs="Arial"/>
          <w:sz w:val="28"/>
          <w:szCs w:val="28"/>
          <w:lang w:val="es-ES"/>
        </w:rPr>
        <w:t>sobrevivientes “</w:t>
      </w:r>
      <w:r w:rsidR="00855CF7" w:rsidRPr="00855CF7">
        <w:rPr>
          <w:rFonts w:ascii="Arial Narrow" w:hAnsi="Arial Narrow" w:cs="Arial"/>
          <w:i/>
          <w:sz w:val="28"/>
          <w:szCs w:val="28"/>
          <w:lang w:val="es-ES"/>
        </w:rPr>
        <w:t>si dependían económicamente del causante, esto es, que no tienen ingresos adicionales, mientras subsistan las condiciones de invalidez</w:t>
      </w:r>
      <w:r w:rsidR="00855CF7">
        <w:rPr>
          <w:rFonts w:ascii="Arial Narrow" w:hAnsi="Arial Narrow" w:cs="Arial"/>
          <w:i/>
          <w:sz w:val="28"/>
          <w:szCs w:val="28"/>
          <w:lang w:val="es-ES"/>
        </w:rPr>
        <w:t>”</w:t>
      </w:r>
      <w:r w:rsidR="00855CF7" w:rsidRPr="00855CF7">
        <w:rPr>
          <w:rFonts w:ascii="Arial Narrow" w:hAnsi="Arial Narrow" w:cs="Arial"/>
          <w:sz w:val="28"/>
          <w:szCs w:val="28"/>
          <w:lang w:val="es-ES"/>
        </w:rPr>
        <w:t>.</w:t>
      </w:r>
    </w:p>
    <w:p w:rsidR="00855CF7" w:rsidRDefault="00855CF7" w:rsidP="00D309A3">
      <w:pPr>
        <w:spacing w:line="360" w:lineRule="auto"/>
        <w:ind w:firstLine="851"/>
        <w:jc w:val="both"/>
        <w:rPr>
          <w:rFonts w:ascii="Arial Narrow" w:hAnsi="Arial Narrow" w:cs="Arial"/>
          <w:sz w:val="28"/>
          <w:szCs w:val="28"/>
          <w:lang w:val="es-ES"/>
        </w:rPr>
      </w:pPr>
    </w:p>
    <w:p w:rsidR="00166230" w:rsidRDefault="00855CF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en cuanto a la calidad de inválida de la señora María Eugenia Quintero Betancur, se cuenta con el dictamen emitido por Colpensiones el 15 de enero de 2015 –fls. 240 y ss-, en el que se indica que tiene un 71.75% de pérdida de capacidad laboral, estructurada el 07 de junio de 1986, esto es</w:t>
      </w:r>
      <w:r w:rsidR="000D15B6">
        <w:rPr>
          <w:rFonts w:ascii="Arial Narrow" w:hAnsi="Arial Narrow" w:cs="Arial"/>
          <w:sz w:val="28"/>
          <w:szCs w:val="28"/>
          <w:lang w:val="es-ES"/>
        </w:rPr>
        <w:t xml:space="preserve">, el día de su nacimiento, tal como se constata con su registro civil de nacimiento –fl. 231-. Tal situación, aunada a lo que relataron los testigos antes mencionados, permiten inferir que la señora Quintero Betancur dependía enteramente de su progenitor, pues ella nunca ha podido proveerse sus necesidades básicas, amén que padece una discapacidad irreversible y congénita como lo es el síndrome de down, además de padecer de sindactilia y ceguera del ojo derecho, </w:t>
      </w:r>
      <w:r w:rsidR="000B6F1B">
        <w:rPr>
          <w:rFonts w:ascii="Arial Narrow" w:hAnsi="Arial Narrow" w:cs="Arial"/>
          <w:sz w:val="28"/>
          <w:szCs w:val="28"/>
          <w:lang w:val="es-ES"/>
        </w:rPr>
        <w:t xml:space="preserve">padecimientos </w:t>
      </w:r>
      <w:r w:rsidR="000D15B6">
        <w:rPr>
          <w:rFonts w:ascii="Arial Narrow" w:hAnsi="Arial Narrow" w:cs="Arial"/>
          <w:sz w:val="28"/>
          <w:szCs w:val="28"/>
          <w:lang w:val="es-ES"/>
        </w:rPr>
        <w:t xml:space="preserve">que </w:t>
      </w:r>
      <w:r w:rsidR="000B6F1B">
        <w:rPr>
          <w:rFonts w:ascii="Arial Narrow" w:hAnsi="Arial Narrow" w:cs="Arial"/>
          <w:sz w:val="28"/>
          <w:szCs w:val="28"/>
          <w:lang w:val="es-ES"/>
        </w:rPr>
        <w:t xml:space="preserve">le </w:t>
      </w:r>
      <w:r w:rsidR="000D15B6">
        <w:rPr>
          <w:rFonts w:ascii="Arial Narrow" w:hAnsi="Arial Narrow" w:cs="Arial"/>
          <w:sz w:val="28"/>
          <w:szCs w:val="28"/>
          <w:lang w:val="es-ES"/>
        </w:rPr>
        <w:t>ha</w:t>
      </w:r>
      <w:r w:rsidR="000B6F1B">
        <w:rPr>
          <w:rFonts w:ascii="Arial Narrow" w:hAnsi="Arial Narrow" w:cs="Arial"/>
          <w:sz w:val="28"/>
          <w:szCs w:val="28"/>
          <w:lang w:val="es-ES"/>
        </w:rPr>
        <w:t>n</w:t>
      </w:r>
      <w:r w:rsidR="000D15B6">
        <w:rPr>
          <w:rFonts w:ascii="Arial Narrow" w:hAnsi="Arial Narrow" w:cs="Arial"/>
          <w:sz w:val="28"/>
          <w:szCs w:val="28"/>
          <w:lang w:val="es-ES"/>
        </w:rPr>
        <w:t xml:space="preserve"> generado un diagnóstico de retraso mental moderado. Tal condición claramente hace que ella sea totalmente dependiente y la imposibilita de ingresar al mercado laboral, por lo que cumple claramente las condiciones para ser beneficiaria de la pensión de sobrevivientes y, como lo dijo la a-quo, si bien tal pedido no se elevó, es necesario que se proteja </w:t>
      </w:r>
      <w:r w:rsidR="00166230">
        <w:rPr>
          <w:rFonts w:ascii="Arial Narrow" w:hAnsi="Arial Narrow" w:cs="Arial"/>
          <w:sz w:val="28"/>
          <w:szCs w:val="28"/>
          <w:lang w:val="es-ES"/>
        </w:rPr>
        <w:t>a la litisconsorte atendiendo su condición especial, que la pone claramente en situación de debilidad manifiesta y que necesita de medidas afirmativas, en este caso de la administración de justicia, para su debida protección.</w:t>
      </w:r>
    </w:p>
    <w:p w:rsidR="00166230" w:rsidRDefault="00166230" w:rsidP="00D309A3">
      <w:pPr>
        <w:spacing w:line="360" w:lineRule="auto"/>
        <w:ind w:firstLine="851"/>
        <w:jc w:val="both"/>
        <w:rPr>
          <w:rFonts w:ascii="Arial Narrow" w:hAnsi="Arial Narrow" w:cs="Arial"/>
          <w:sz w:val="28"/>
          <w:szCs w:val="28"/>
          <w:lang w:val="es-ES"/>
        </w:rPr>
      </w:pPr>
    </w:p>
    <w:p w:rsidR="00166230" w:rsidRDefault="0016623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claramente se observa que la decisión en cuanto a reconocer la prestación de sobrevivientes, tanto a la demandante como a la hija discapacitada del causan</w:t>
      </w:r>
      <w:r w:rsidR="00F27D5B">
        <w:rPr>
          <w:rFonts w:ascii="Arial Narrow" w:hAnsi="Arial Narrow" w:cs="Arial"/>
          <w:sz w:val="28"/>
          <w:szCs w:val="28"/>
          <w:lang w:val="es-ES"/>
        </w:rPr>
        <w:t>te, es acertada y se confirmará, debiéndose eso si precisar que el pago efectivo de la prestación y del retroactivo que más adelante se impondrá a favor de la señora María Eugenia se hará por medio del curador que de manera provisional o definitiva asigne el Juez de Familia.</w:t>
      </w:r>
    </w:p>
    <w:p w:rsidR="00166230" w:rsidRDefault="00166230" w:rsidP="00D309A3">
      <w:pPr>
        <w:spacing w:line="360" w:lineRule="auto"/>
        <w:ind w:firstLine="851"/>
        <w:jc w:val="both"/>
        <w:rPr>
          <w:rFonts w:ascii="Arial Narrow" w:hAnsi="Arial Narrow" w:cs="Arial"/>
          <w:sz w:val="28"/>
          <w:szCs w:val="28"/>
          <w:lang w:val="es-ES"/>
        </w:rPr>
      </w:pPr>
    </w:p>
    <w:p w:rsidR="00AD17CE" w:rsidRDefault="0016623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w:t>
      </w:r>
      <w:r w:rsidR="00166A1D">
        <w:rPr>
          <w:rFonts w:ascii="Arial Narrow" w:hAnsi="Arial Narrow" w:cs="Arial"/>
          <w:sz w:val="28"/>
          <w:szCs w:val="28"/>
          <w:lang w:val="es-ES"/>
        </w:rPr>
        <w:t>ente al tema de la prescripción</w:t>
      </w:r>
      <w:r w:rsidR="004850FE">
        <w:rPr>
          <w:rFonts w:ascii="Arial Narrow" w:hAnsi="Arial Narrow" w:cs="Arial"/>
          <w:sz w:val="28"/>
          <w:szCs w:val="28"/>
          <w:lang w:val="es-ES"/>
        </w:rPr>
        <w:t xml:space="preserve"> y su suspensión, se tiene que las normas laborales y procesales laborales no contemplan está figura más que para la reclamación administrativa –Art. 6 CPLSS-</w:t>
      </w:r>
      <w:r w:rsidR="00AD17CE">
        <w:rPr>
          <w:rFonts w:ascii="Arial Narrow" w:hAnsi="Arial Narrow" w:cs="Arial"/>
          <w:sz w:val="28"/>
          <w:szCs w:val="28"/>
          <w:lang w:val="es-ES"/>
        </w:rPr>
        <w:t>. No obstante, tal vacío normativo no implica que la suspensión del lapso prescriptivo no tenga aplicación en materia laboral, pues claramente, por analogía autorizada en el canon 145 del CPLSS, se puede acudir a la legislación civil que regula el tema. Sobre la posibilidad de acudir a esta figura por analogía en materia laboral, para menores de edad, la Corte Suprema de Justicia recientemente se ha pronunciado:</w:t>
      </w:r>
    </w:p>
    <w:p w:rsidR="00AD17CE" w:rsidRDefault="00AD17CE" w:rsidP="00D309A3">
      <w:pPr>
        <w:spacing w:line="360" w:lineRule="auto"/>
        <w:ind w:firstLine="851"/>
        <w:jc w:val="both"/>
        <w:rPr>
          <w:rFonts w:ascii="Arial Narrow" w:hAnsi="Arial Narrow" w:cs="Arial"/>
          <w:sz w:val="28"/>
          <w:szCs w:val="28"/>
          <w:lang w:val="es-ES"/>
        </w:rPr>
      </w:pPr>
    </w:p>
    <w:p w:rsidR="00AD17CE" w:rsidRPr="00AD17CE" w:rsidRDefault="00AD17CE" w:rsidP="00AD17CE">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AD17CE">
        <w:rPr>
          <w:rFonts w:ascii="Arial Narrow" w:hAnsi="Arial Narrow" w:cs="Arial"/>
          <w:i/>
          <w:sz w:val="28"/>
          <w:szCs w:val="28"/>
          <w:lang w:val="es-ES"/>
        </w:rPr>
        <w:t>Desde esta óptica, es viable acudir a otros preceptos normativos para atender el tema puesto en discusión, que en este caso lo es la prescripción de las mesadas pensionales, solo si no existen cánones legales que regulen la discusión planteada en el estatuto del procedimiento del trabajo.</w:t>
      </w:r>
    </w:p>
    <w:p w:rsidR="00AD17CE" w:rsidRPr="00AD17CE" w:rsidRDefault="00AD17CE" w:rsidP="00AD17CE">
      <w:pPr>
        <w:spacing w:line="360" w:lineRule="auto"/>
        <w:ind w:firstLine="851"/>
        <w:jc w:val="both"/>
        <w:rPr>
          <w:rFonts w:ascii="Arial Narrow" w:hAnsi="Arial Narrow" w:cs="Arial"/>
          <w:i/>
          <w:sz w:val="28"/>
          <w:szCs w:val="28"/>
          <w:lang w:val="es-ES"/>
        </w:rPr>
      </w:pPr>
    </w:p>
    <w:p w:rsidR="00AD17CE" w:rsidRPr="00AD17CE" w:rsidRDefault="00AD17CE" w:rsidP="00AD17CE">
      <w:pPr>
        <w:spacing w:line="360" w:lineRule="auto"/>
        <w:ind w:firstLine="851"/>
        <w:jc w:val="both"/>
        <w:rPr>
          <w:rFonts w:ascii="Arial Narrow" w:hAnsi="Arial Narrow" w:cs="Arial"/>
          <w:i/>
          <w:sz w:val="28"/>
          <w:szCs w:val="28"/>
          <w:lang w:val="es-ES"/>
        </w:rPr>
      </w:pPr>
      <w:r w:rsidRPr="00AD17CE">
        <w:rPr>
          <w:rFonts w:ascii="Arial Narrow" w:hAnsi="Arial Narrow" w:cs="Arial"/>
          <w:i/>
          <w:sz w:val="28"/>
          <w:szCs w:val="28"/>
          <w:lang w:val="es-ES"/>
        </w:rPr>
        <w:t>Ahora bien, el caso bajo estudio compromete derechos para la esposa e hijo del causante, este último, siendo menor de edad a la fecha de la muerte de su padre cotizante y por ello, protegido especialmente por nuestro estatuto constitucional, como en forma reiterada lo ha señalado la Sala de Casación Laboral de la Corte y por tanto opera la suspensión de la prescripción para el menor hijo, desde la fecha de la muerte de su progenitor, en este caso el 18 de noviembre de 1998, hasta cuando cumpla la mayoría de edad, o sea el 6 de abril de 2009.</w:t>
      </w:r>
    </w:p>
    <w:p w:rsidR="00AD17CE" w:rsidRPr="00AD17CE" w:rsidRDefault="00AD17CE" w:rsidP="00AD17CE">
      <w:pPr>
        <w:spacing w:line="360" w:lineRule="auto"/>
        <w:ind w:firstLine="851"/>
        <w:jc w:val="both"/>
        <w:rPr>
          <w:rFonts w:ascii="Arial Narrow" w:hAnsi="Arial Narrow" w:cs="Arial"/>
          <w:i/>
          <w:sz w:val="28"/>
          <w:szCs w:val="28"/>
          <w:lang w:val="es-ES"/>
        </w:rPr>
      </w:pPr>
    </w:p>
    <w:p w:rsidR="00AD17CE" w:rsidRDefault="00AD17CE" w:rsidP="00AD17CE">
      <w:pPr>
        <w:spacing w:line="360" w:lineRule="auto"/>
        <w:ind w:firstLine="851"/>
        <w:jc w:val="both"/>
        <w:rPr>
          <w:rFonts w:ascii="Arial Narrow" w:hAnsi="Arial Narrow" w:cs="Arial"/>
          <w:i/>
          <w:sz w:val="28"/>
          <w:szCs w:val="28"/>
          <w:lang w:val="es-ES"/>
        </w:rPr>
      </w:pPr>
      <w:r w:rsidRPr="00AD17CE">
        <w:rPr>
          <w:rFonts w:ascii="Arial Narrow" w:hAnsi="Arial Narrow" w:cs="Arial"/>
          <w:i/>
          <w:sz w:val="28"/>
          <w:szCs w:val="28"/>
          <w:lang w:val="es-ES"/>
        </w:rPr>
        <w:t>Es así como el juez colegiado si debió acudir a los preceptos del Código Civil que acusa la censura, por remisión de la disposición citada anteriormente, en razón a que la normativa laboral no contiene artículos que regulen la suspensión de la prescripción para menores de edad, luego, necesario era acudir a los mandatos 2530 y 2541 del estatuto civil que si la contienen, y para este caso, es beneficiario Santiago Andrés Guerrero Tuñón, ya que los aplicados por el Tribunal, o sea el 488 del CST y 151 del CPTSS no tutelan este puntual tema</w:t>
      </w:r>
      <w:r>
        <w:rPr>
          <w:rFonts w:ascii="Arial Narrow" w:hAnsi="Arial Narrow" w:cs="Arial"/>
          <w:i/>
          <w:sz w:val="28"/>
          <w:szCs w:val="28"/>
          <w:lang w:val="es-ES"/>
        </w:rPr>
        <w:t>” (SL 15566 de 2017)</w:t>
      </w:r>
      <w:r w:rsidRPr="00AD17CE">
        <w:rPr>
          <w:rFonts w:ascii="Arial Narrow" w:hAnsi="Arial Narrow" w:cs="Arial"/>
          <w:i/>
          <w:sz w:val="28"/>
          <w:szCs w:val="28"/>
          <w:lang w:val="es-ES"/>
        </w:rPr>
        <w:t>.</w:t>
      </w:r>
    </w:p>
    <w:p w:rsidR="00AD17CE" w:rsidRDefault="00AD17CE" w:rsidP="00AD17CE">
      <w:pPr>
        <w:spacing w:line="360" w:lineRule="auto"/>
        <w:ind w:firstLine="851"/>
        <w:jc w:val="both"/>
        <w:rPr>
          <w:rFonts w:ascii="Arial Narrow" w:hAnsi="Arial Narrow" w:cs="Arial"/>
          <w:i/>
          <w:sz w:val="28"/>
          <w:szCs w:val="28"/>
          <w:lang w:val="es-ES"/>
        </w:rPr>
      </w:pPr>
    </w:p>
    <w:p w:rsidR="00AD17CE" w:rsidRDefault="00AD17CE" w:rsidP="00AD17C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 posición, a pesar de referirse a la suspensión de la prescripción para menores de edad, tiene plena aplicabilidad al caso de las personas incapacitadas para reclamar por si mismos sus derechos, pues el sustento fáctico de ambas hipótesis es igual, esto es, la imposibilidad del titular de pedir por sí mismo la protección de sus derechos. Por ello, en el caso de las personas incapaces, en materia laboral también opera el fenómeno de la suspensión</w:t>
      </w:r>
      <w:r w:rsidR="00F27D5B">
        <w:rPr>
          <w:rFonts w:ascii="Arial Narrow" w:hAnsi="Arial Narrow" w:cs="Arial"/>
          <w:sz w:val="28"/>
          <w:szCs w:val="28"/>
          <w:lang w:val="es-ES"/>
        </w:rPr>
        <w:t xml:space="preserve"> de la prescripción</w:t>
      </w:r>
      <w:r>
        <w:rPr>
          <w:rFonts w:ascii="Arial Narrow" w:hAnsi="Arial Narrow" w:cs="Arial"/>
          <w:sz w:val="28"/>
          <w:szCs w:val="28"/>
          <w:lang w:val="es-ES"/>
        </w:rPr>
        <w:t>.</w:t>
      </w:r>
    </w:p>
    <w:p w:rsidR="00AD17CE" w:rsidRDefault="00AD17CE" w:rsidP="00AD17CE">
      <w:pPr>
        <w:spacing w:line="360" w:lineRule="auto"/>
        <w:ind w:firstLine="851"/>
        <w:jc w:val="both"/>
        <w:rPr>
          <w:rFonts w:ascii="Arial Narrow" w:hAnsi="Arial Narrow" w:cs="Arial"/>
          <w:sz w:val="28"/>
          <w:szCs w:val="28"/>
          <w:lang w:val="es-ES"/>
        </w:rPr>
      </w:pPr>
    </w:p>
    <w:p w:rsidR="002D52C3" w:rsidRDefault="00AD17CE" w:rsidP="00AD17C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dígase que en el caso presente, claramente la Jueza omitió dar aplicación a la figura de la suspensión de la prescripción frente a las mesadas de </w:t>
      </w:r>
      <w:r w:rsidR="000F491E">
        <w:rPr>
          <w:rFonts w:ascii="Arial Narrow" w:hAnsi="Arial Narrow" w:cs="Arial"/>
          <w:sz w:val="28"/>
          <w:szCs w:val="28"/>
          <w:lang w:val="es-ES"/>
        </w:rPr>
        <w:t>María Eugenia Quintero Betancur, pues si bien ella no ha sido declarada incapaz</w:t>
      </w:r>
      <w:r w:rsidR="00F27D5B">
        <w:rPr>
          <w:rFonts w:ascii="Arial Narrow" w:hAnsi="Arial Narrow" w:cs="Arial"/>
          <w:sz w:val="28"/>
          <w:szCs w:val="28"/>
          <w:lang w:val="es-ES"/>
        </w:rPr>
        <w:t xml:space="preserve"> judicialmente</w:t>
      </w:r>
      <w:r w:rsidR="000F491E">
        <w:rPr>
          <w:rFonts w:ascii="Arial Narrow" w:hAnsi="Arial Narrow" w:cs="Arial"/>
          <w:sz w:val="28"/>
          <w:szCs w:val="28"/>
          <w:lang w:val="es-ES"/>
        </w:rPr>
        <w:t xml:space="preserve">, salta de bulto tal condición ante su avanzada merma en la capacidad, certificada por Colpensiones y, especialmente, por la calenda </w:t>
      </w:r>
      <w:r w:rsidR="00F27D5B">
        <w:rPr>
          <w:rFonts w:ascii="Arial Narrow" w:hAnsi="Arial Narrow" w:cs="Arial"/>
          <w:sz w:val="28"/>
          <w:szCs w:val="28"/>
          <w:lang w:val="es-ES"/>
        </w:rPr>
        <w:t>y la profundidad de</w:t>
      </w:r>
      <w:r w:rsidR="000F491E">
        <w:rPr>
          <w:rFonts w:ascii="Arial Narrow" w:hAnsi="Arial Narrow" w:cs="Arial"/>
          <w:sz w:val="28"/>
          <w:szCs w:val="28"/>
          <w:lang w:val="es-ES"/>
        </w:rPr>
        <w:t xml:space="preserve"> tal situación –desde su nacimiento</w:t>
      </w:r>
      <w:r w:rsidR="00F27D5B">
        <w:rPr>
          <w:rFonts w:ascii="Arial Narrow" w:hAnsi="Arial Narrow" w:cs="Arial"/>
          <w:sz w:val="28"/>
          <w:szCs w:val="28"/>
          <w:lang w:val="es-ES"/>
        </w:rPr>
        <w:t xml:space="preserve"> y un total de 71.75% por padecer de síndrome de down</w:t>
      </w:r>
      <w:r w:rsidR="000F491E">
        <w:rPr>
          <w:rFonts w:ascii="Arial Narrow" w:hAnsi="Arial Narrow" w:cs="Arial"/>
          <w:sz w:val="28"/>
          <w:szCs w:val="28"/>
          <w:lang w:val="es-ES"/>
        </w:rPr>
        <w:t xml:space="preserve">- lo que pone claramente en evidencia que la interesada nunca ha sido capaz de agenciar personalmente sus derechos, quedando al arbitrio de los </w:t>
      </w:r>
      <w:r w:rsidR="002D52C3">
        <w:rPr>
          <w:rFonts w:ascii="Arial Narrow" w:hAnsi="Arial Narrow" w:cs="Arial"/>
          <w:sz w:val="28"/>
          <w:szCs w:val="28"/>
          <w:lang w:val="es-ES"/>
        </w:rPr>
        <w:t>demás su protección, siendo por tanto improcedente, en este caso, contabilizar el lapso prescriptivo para sus mesadas pensionales, asistiéndole por tanto razón a los recurrentes. Así las cosas se deberá modificar la sentencia en lo pertinente</w:t>
      </w:r>
      <w:r w:rsidR="001C71C5">
        <w:rPr>
          <w:rFonts w:ascii="Arial Narrow" w:hAnsi="Arial Narrow" w:cs="Arial"/>
          <w:sz w:val="28"/>
          <w:szCs w:val="28"/>
          <w:lang w:val="es-ES"/>
        </w:rPr>
        <w:t xml:space="preserve">, especialmente en el valor del retroactivo que </w:t>
      </w:r>
      <w:r w:rsidR="002D52C3">
        <w:rPr>
          <w:rFonts w:ascii="Arial Narrow" w:hAnsi="Arial Narrow" w:cs="Arial"/>
          <w:sz w:val="28"/>
          <w:szCs w:val="28"/>
          <w:lang w:val="es-ES"/>
        </w:rPr>
        <w:t>le corresponde a la señora Quintero Betancur</w:t>
      </w:r>
      <w:r w:rsidR="001C71C5">
        <w:rPr>
          <w:rFonts w:ascii="Arial Narrow" w:hAnsi="Arial Narrow" w:cs="Arial"/>
          <w:sz w:val="28"/>
          <w:szCs w:val="28"/>
          <w:lang w:val="es-ES"/>
        </w:rPr>
        <w:t xml:space="preserve">, el cual </w:t>
      </w:r>
      <w:r w:rsidR="002D52C3">
        <w:rPr>
          <w:rFonts w:ascii="Arial Narrow" w:hAnsi="Arial Narrow" w:cs="Arial"/>
          <w:sz w:val="28"/>
          <w:szCs w:val="28"/>
          <w:lang w:val="es-ES"/>
        </w:rPr>
        <w:t>se le deberá pagar desde el día del fallecimiento del señor Milton Quintero López, así:</w:t>
      </w:r>
    </w:p>
    <w:p w:rsidR="002D52C3" w:rsidRDefault="002D52C3" w:rsidP="00AD17CE">
      <w:pPr>
        <w:spacing w:line="360" w:lineRule="auto"/>
        <w:ind w:firstLine="851"/>
        <w:jc w:val="both"/>
        <w:rPr>
          <w:rFonts w:ascii="Arial Narrow" w:hAnsi="Arial Narrow" w:cs="Arial"/>
          <w:sz w:val="28"/>
          <w:szCs w:val="28"/>
          <w:lang w:val="es-ES"/>
        </w:rPr>
      </w:pPr>
    </w:p>
    <w:p w:rsidR="002D52C3" w:rsidRDefault="00F127E5" w:rsidP="00AD17CE">
      <w:pPr>
        <w:spacing w:line="360" w:lineRule="auto"/>
        <w:ind w:firstLine="851"/>
        <w:jc w:val="both"/>
        <w:rPr>
          <w:rFonts w:ascii="Arial Narrow" w:hAnsi="Arial Narrow" w:cs="Arial"/>
          <w:sz w:val="28"/>
          <w:szCs w:val="28"/>
          <w:lang w:val="es-ES"/>
        </w:rPr>
      </w:pPr>
      <w:r w:rsidRPr="00F127E5">
        <w:rPr>
          <w:noProof/>
          <w:lang w:val="es-ES"/>
        </w:rPr>
        <w:drawing>
          <wp:inline distT="0" distB="0" distL="0" distR="0">
            <wp:extent cx="4695825" cy="2524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2524125"/>
                    </a:xfrm>
                    <a:prstGeom prst="rect">
                      <a:avLst/>
                    </a:prstGeom>
                    <a:noFill/>
                    <a:ln>
                      <a:noFill/>
                    </a:ln>
                  </pic:spPr>
                </pic:pic>
              </a:graphicData>
            </a:graphic>
          </wp:inline>
        </w:drawing>
      </w:r>
    </w:p>
    <w:p w:rsidR="00E478D9" w:rsidRDefault="00E478D9" w:rsidP="00AD2076">
      <w:pPr>
        <w:spacing w:line="360" w:lineRule="auto"/>
        <w:ind w:firstLine="851"/>
        <w:jc w:val="both"/>
        <w:rPr>
          <w:rFonts w:ascii="Arial Narrow" w:hAnsi="Arial Narrow" w:cs="Arial"/>
          <w:sz w:val="28"/>
          <w:szCs w:val="28"/>
          <w:lang w:val="es-ES"/>
        </w:rPr>
      </w:pPr>
    </w:p>
    <w:p w:rsidR="00AD2076" w:rsidRPr="000D2B23" w:rsidRDefault="00F127E5" w:rsidP="00AD2076">
      <w:pPr>
        <w:spacing w:line="360" w:lineRule="auto"/>
        <w:ind w:firstLine="851"/>
        <w:jc w:val="both"/>
        <w:rPr>
          <w:rFonts w:ascii="Arial Narrow" w:hAnsi="Arial Narrow" w:cs="Tahoma"/>
          <w:sz w:val="28"/>
          <w:szCs w:val="28"/>
        </w:rPr>
      </w:pPr>
      <w:r>
        <w:rPr>
          <w:rFonts w:ascii="Arial Narrow" w:hAnsi="Arial Narrow" w:cs="Arial"/>
          <w:sz w:val="28"/>
          <w:szCs w:val="28"/>
          <w:lang w:val="es-ES"/>
        </w:rPr>
        <w:t xml:space="preserve">En cuanto a los réditos moratorios, observa la Sala que no hay lugar a su imposición, porque la entidad demandada, al momento de desatar la petición de invalidez del causante se fundamentó en la aplicación de la legislación positiva vigente para esa época y solamente, mediante la interpretación constitucional favorable del asunto que se hizo por la a-quo en este proceso, se logró llegar a la conclusión de que el causante alcanzó a consolidar el derecho pensional de invalidez y, consecuentemente, legarlo a sus causahabientes. </w:t>
      </w:r>
      <w:r w:rsidR="00AD2076">
        <w:rPr>
          <w:rFonts w:ascii="Arial Narrow" w:hAnsi="Arial Narrow" w:cs="Arial"/>
          <w:sz w:val="28"/>
          <w:szCs w:val="28"/>
          <w:lang w:val="es-ES"/>
        </w:rPr>
        <w:t xml:space="preserve">Sobre este punto, se puede consultar, entre otras </w:t>
      </w:r>
      <w:r w:rsidR="00AD2076">
        <w:rPr>
          <w:rFonts w:ascii="Arial Narrow" w:hAnsi="Arial Narrow" w:cs="Tahoma"/>
          <w:sz w:val="28"/>
          <w:szCs w:val="28"/>
        </w:rPr>
        <w:t xml:space="preserve">la Sentencia del 02 de octubre de 2013. Rad. 44.454 de la Sala de Casación Laboral y más recientemente en pronunciamiento del 25 de enero de 2017, providencia SL 4617 de 2017, en la que se indica literalmente que: </w:t>
      </w:r>
      <w:r w:rsidR="00AD2076">
        <w:rPr>
          <w:rFonts w:ascii="Arial Narrow" w:hAnsi="Arial Narrow" w:cs="Tahoma"/>
          <w:i/>
          <w:sz w:val="28"/>
          <w:szCs w:val="28"/>
        </w:rPr>
        <w:t>“</w:t>
      </w:r>
      <w:r w:rsidR="00AD2076" w:rsidRPr="000D2B23">
        <w:rPr>
          <w:rFonts w:ascii="Arial Narrow" w:hAnsi="Arial Narrow" w:cs="Tahoma"/>
          <w:i/>
          <w:sz w:val="28"/>
          <w:szCs w:val="28"/>
        </w:rPr>
        <w:t>Como la condena impuesta al Instituto de Seguros Sociales surge de la creación jurisprudencial no hay lugar a la condena por este concepto</w:t>
      </w:r>
      <w:r w:rsidR="00AD2076">
        <w:rPr>
          <w:rFonts w:ascii="Arial Narrow" w:hAnsi="Arial Narrow" w:cs="Tahoma"/>
          <w:i/>
          <w:sz w:val="28"/>
          <w:szCs w:val="28"/>
        </w:rPr>
        <w:t xml:space="preserve">”, </w:t>
      </w:r>
      <w:r w:rsidR="00AD2076">
        <w:rPr>
          <w:rFonts w:ascii="Arial Narrow" w:hAnsi="Arial Narrow" w:cs="Tahoma"/>
          <w:sz w:val="28"/>
          <w:szCs w:val="28"/>
        </w:rPr>
        <w:t xml:space="preserve">de lo que se puede colegir fácilmente que cuando el apoyo del reconocimiento pensional sea una interpretación judicial, los intereses moratorios no proceden. </w:t>
      </w:r>
    </w:p>
    <w:p w:rsidR="00AD17CE" w:rsidRDefault="00F127E5" w:rsidP="00AD17CE">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2D52C3">
        <w:rPr>
          <w:rFonts w:ascii="Arial Narrow" w:hAnsi="Arial Narrow" w:cs="Arial"/>
          <w:sz w:val="28"/>
          <w:szCs w:val="28"/>
          <w:lang w:val="es-ES"/>
        </w:rPr>
        <w:t xml:space="preserve"> </w:t>
      </w:r>
      <w:r w:rsidR="000F491E">
        <w:rPr>
          <w:rFonts w:ascii="Arial Narrow" w:hAnsi="Arial Narrow" w:cs="Arial"/>
          <w:sz w:val="28"/>
          <w:szCs w:val="28"/>
          <w:lang w:val="es-ES"/>
        </w:rPr>
        <w:t xml:space="preserve"> </w:t>
      </w:r>
      <w:r w:rsidR="00AD17CE">
        <w:rPr>
          <w:rFonts w:ascii="Arial Narrow" w:hAnsi="Arial Narrow" w:cs="Arial"/>
          <w:sz w:val="28"/>
          <w:szCs w:val="28"/>
          <w:lang w:val="es-ES"/>
        </w:rPr>
        <w:t xml:space="preserve"> </w:t>
      </w:r>
    </w:p>
    <w:p w:rsidR="000A03AE" w:rsidRDefault="00AD2076" w:rsidP="00D7701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deberá actualizar el retroactivo a pagar a la demandante Marleny Betancur Bedoya, hasta la fecha de esta providencia, así: </w:t>
      </w:r>
    </w:p>
    <w:p w:rsidR="00AD2076" w:rsidRDefault="00AD2076" w:rsidP="00D77017">
      <w:pPr>
        <w:spacing w:line="360" w:lineRule="auto"/>
        <w:ind w:firstLine="851"/>
        <w:jc w:val="both"/>
        <w:rPr>
          <w:rFonts w:ascii="Arial Narrow" w:hAnsi="Arial Narrow" w:cs="Arial"/>
          <w:sz w:val="28"/>
          <w:szCs w:val="28"/>
          <w:lang w:val="es-ES"/>
        </w:rPr>
      </w:pPr>
    </w:p>
    <w:p w:rsidR="00AD2076" w:rsidRPr="000A03AE" w:rsidRDefault="00AD2076" w:rsidP="00D77017">
      <w:pPr>
        <w:spacing w:line="360" w:lineRule="auto"/>
        <w:ind w:firstLine="851"/>
        <w:jc w:val="both"/>
        <w:rPr>
          <w:rFonts w:ascii="Arial Narrow" w:hAnsi="Arial Narrow" w:cs="Arial"/>
          <w:sz w:val="28"/>
          <w:szCs w:val="28"/>
          <w:lang w:val="es-ES"/>
        </w:rPr>
      </w:pPr>
      <w:r w:rsidRPr="00AD2076">
        <w:rPr>
          <w:noProof/>
          <w:lang w:val="es-ES"/>
        </w:rPr>
        <w:drawing>
          <wp:inline distT="0" distB="0" distL="0" distR="0">
            <wp:extent cx="4695825" cy="206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066925"/>
                    </a:xfrm>
                    <a:prstGeom prst="rect">
                      <a:avLst/>
                    </a:prstGeom>
                    <a:noFill/>
                    <a:ln>
                      <a:noFill/>
                    </a:ln>
                  </pic:spPr>
                </pic:pic>
              </a:graphicData>
            </a:graphic>
          </wp:inline>
        </w:drawing>
      </w:r>
    </w:p>
    <w:p w:rsidR="000A03AE" w:rsidRDefault="000A03AE" w:rsidP="00D309A3">
      <w:pPr>
        <w:spacing w:line="360" w:lineRule="auto"/>
        <w:ind w:firstLine="851"/>
        <w:jc w:val="both"/>
        <w:rPr>
          <w:rFonts w:ascii="Arial Narrow" w:hAnsi="Arial Narrow" w:cs="Arial"/>
          <w:sz w:val="28"/>
          <w:szCs w:val="28"/>
          <w:lang w:val="es-ES"/>
        </w:rPr>
      </w:pPr>
    </w:p>
    <w:p w:rsidR="005536E0" w:rsidRDefault="00D7701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las </w:t>
      </w:r>
      <w:r w:rsidR="005536E0">
        <w:rPr>
          <w:rFonts w:ascii="Arial Narrow" w:hAnsi="Arial Narrow" w:cs="Arial"/>
          <w:sz w:val="28"/>
          <w:szCs w:val="28"/>
          <w:lang w:val="es-ES"/>
        </w:rPr>
        <w:t xml:space="preserve">costas en esta instancia, </w:t>
      </w:r>
      <w:r>
        <w:rPr>
          <w:rFonts w:ascii="Arial Narrow" w:hAnsi="Arial Narrow" w:cs="Arial"/>
          <w:sz w:val="28"/>
          <w:szCs w:val="28"/>
          <w:lang w:val="es-ES"/>
        </w:rPr>
        <w:t xml:space="preserve">las mismas serán a favor de la demandante y </w:t>
      </w:r>
      <w:r w:rsidR="00AD2076">
        <w:rPr>
          <w:rFonts w:ascii="Arial Narrow" w:hAnsi="Arial Narrow" w:cs="Arial"/>
          <w:sz w:val="28"/>
          <w:szCs w:val="28"/>
          <w:lang w:val="es-ES"/>
        </w:rPr>
        <w:t xml:space="preserve">de la Litis consorte y </w:t>
      </w:r>
      <w:r>
        <w:rPr>
          <w:rFonts w:ascii="Arial Narrow" w:hAnsi="Arial Narrow" w:cs="Arial"/>
          <w:sz w:val="28"/>
          <w:szCs w:val="28"/>
          <w:lang w:val="es-ES"/>
        </w:rPr>
        <w:t xml:space="preserve">a cargo de </w:t>
      </w:r>
      <w:r w:rsidR="00AD2076">
        <w:rPr>
          <w:rFonts w:ascii="Arial Narrow" w:hAnsi="Arial Narrow" w:cs="Arial"/>
          <w:sz w:val="28"/>
          <w:szCs w:val="28"/>
          <w:lang w:val="es-ES"/>
        </w:rPr>
        <w:t>Colpensiones</w:t>
      </w:r>
      <w:r>
        <w:rPr>
          <w:rFonts w:ascii="Arial Narrow" w:hAnsi="Arial Narrow" w:cs="Arial"/>
          <w:sz w:val="28"/>
          <w:szCs w:val="28"/>
          <w:lang w:val="es-ES"/>
        </w:rPr>
        <w:t xml:space="preserve">. </w:t>
      </w:r>
    </w:p>
    <w:p w:rsidR="00BD5518" w:rsidRDefault="000A03AE" w:rsidP="005536E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F76F6D">
        <w:rPr>
          <w:rFonts w:ascii="Arial Narrow" w:hAnsi="Arial Narrow" w:cs="Arial"/>
          <w:sz w:val="28"/>
          <w:szCs w:val="28"/>
          <w:lang w:val="es-E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AD2076" w:rsidRDefault="00AD2076"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Modifica </w:t>
      </w:r>
      <w:r>
        <w:rPr>
          <w:rFonts w:ascii="Arial Narrow" w:hAnsi="Arial Narrow" w:cs="Arial"/>
          <w:spacing w:val="-2"/>
          <w:szCs w:val="28"/>
        </w:rPr>
        <w:t>el ordinal noveno de</w:t>
      </w:r>
      <w:r w:rsidR="00734777">
        <w:rPr>
          <w:rFonts w:ascii="Arial Narrow" w:hAnsi="Arial Narrow" w:cs="Arial"/>
          <w:b/>
          <w:i/>
          <w:spacing w:val="-2"/>
          <w:szCs w:val="28"/>
        </w:rPr>
        <w:t xml:space="preserve"> </w:t>
      </w:r>
      <w:r w:rsidR="00D77017">
        <w:rPr>
          <w:rFonts w:ascii="Arial Narrow" w:hAnsi="Arial Narrow" w:cs="Arial"/>
          <w:spacing w:val="-2"/>
          <w:szCs w:val="28"/>
        </w:rPr>
        <w:t xml:space="preserve">la sentencia del </w:t>
      </w:r>
      <w:r>
        <w:rPr>
          <w:rFonts w:ascii="Arial Narrow" w:hAnsi="Arial Narrow" w:cs="Arial"/>
          <w:spacing w:val="-2"/>
          <w:szCs w:val="28"/>
        </w:rPr>
        <w:t>07</w:t>
      </w:r>
      <w:r w:rsidR="00D77017">
        <w:rPr>
          <w:rFonts w:ascii="Arial Narrow" w:hAnsi="Arial Narrow" w:cs="Arial"/>
          <w:spacing w:val="-2"/>
          <w:szCs w:val="28"/>
        </w:rPr>
        <w:t xml:space="preserve"> de </w:t>
      </w:r>
      <w:r>
        <w:rPr>
          <w:rFonts w:ascii="Arial Narrow" w:hAnsi="Arial Narrow" w:cs="Arial"/>
          <w:spacing w:val="-2"/>
          <w:szCs w:val="28"/>
        </w:rPr>
        <w:t>diciembre</w:t>
      </w:r>
      <w:r w:rsidR="00D77017">
        <w:rPr>
          <w:rFonts w:ascii="Arial Narrow" w:hAnsi="Arial Narrow" w:cs="Arial"/>
          <w:spacing w:val="-2"/>
          <w:szCs w:val="28"/>
        </w:rPr>
        <w:t xml:space="preserve"> de 2016 </w:t>
      </w:r>
      <w:r w:rsidR="007E480D" w:rsidRPr="00E80808">
        <w:rPr>
          <w:rFonts w:ascii="Arial Narrow" w:hAnsi="Arial Narrow" w:cs="Arial"/>
          <w:szCs w:val="28"/>
        </w:rPr>
        <w:t xml:space="preserve">por el Juzgado </w:t>
      </w:r>
      <w:r w:rsidR="005536E0">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5536E0">
        <w:rPr>
          <w:rFonts w:ascii="Arial Narrow" w:hAnsi="Arial Narrow" w:cs="Arial"/>
          <w:szCs w:val="28"/>
        </w:rPr>
        <w:t xml:space="preserve">, </w:t>
      </w:r>
      <w:r>
        <w:rPr>
          <w:rFonts w:ascii="Arial Narrow" w:hAnsi="Arial Narrow" w:cs="Arial"/>
          <w:szCs w:val="28"/>
        </w:rPr>
        <w:t>en el sentido de que la declaratoria de la excepción de prescripción es parcial y surte efectos solamente frente a la demandante Betancur Bedoya.</w:t>
      </w:r>
    </w:p>
    <w:p w:rsidR="00AD2076" w:rsidRPr="00AD2076" w:rsidRDefault="00AD2076"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Modifica y actualiza </w:t>
      </w:r>
      <w:r>
        <w:rPr>
          <w:rFonts w:ascii="Arial Narrow" w:hAnsi="Arial Narrow" w:cs="Arial"/>
          <w:spacing w:val="-2"/>
          <w:szCs w:val="28"/>
        </w:rPr>
        <w:t>el ordinal quinto de la sentencia en lo tocante al valor del retroactivo pensional, los cuales quedan así:</w:t>
      </w:r>
    </w:p>
    <w:p w:rsidR="00AD2076" w:rsidRDefault="00AD2076" w:rsidP="00AD2076">
      <w:pPr>
        <w:pStyle w:val="Textoindependiente31"/>
        <w:ind w:left="1068"/>
        <w:rPr>
          <w:rFonts w:ascii="Arial Narrow" w:hAnsi="Arial Narrow" w:cs="Arial"/>
          <w:szCs w:val="28"/>
        </w:rPr>
      </w:pPr>
    </w:p>
    <w:p w:rsidR="00F27D5B" w:rsidRDefault="00AD2076" w:rsidP="00D77017">
      <w:pPr>
        <w:pStyle w:val="Textoindependiente31"/>
        <w:ind w:left="1068"/>
        <w:rPr>
          <w:rFonts w:ascii="Arial Narrow" w:hAnsi="Arial Narrow" w:cs="Arial"/>
          <w:szCs w:val="28"/>
          <w:lang w:val="es-ES"/>
        </w:rPr>
      </w:pPr>
      <w:r>
        <w:rPr>
          <w:rFonts w:ascii="Arial Narrow" w:hAnsi="Arial Narrow" w:cs="Arial"/>
          <w:szCs w:val="28"/>
        </w:rPr>
        <w:t>- A Maria Eugenia Quintero Betancourt le corresponde la suma de $33.032.009,50, correspondiente al retroactivo causado entre el 11 de abril de 2009 y la fecha de esta sentencia, sin perjuicio de las que se sigan causando</w:t>
      </w:r>
      <w:r w:rsidR="00F27D5B">
        <w:rPr>
          <w:rFonts w:ascii="Arial Narrow" w:hAnsi="Arial Narrow" w:cs="Arial"/>
          <w:szCs w:val="28"/>
        </w:rPr>
        <w:t xml:space="preserve">. </w:t>
      </w:r>
      <w:r w:rsidR="00F27D5B">
        <w:rPr>
          <w:rFonts w:ascii="Arial Narrow" w:hAnsi="Arial Narrow" w:cs="Arial"/>
          <w:szCs w:val="28"/>
          <w:lang w:val="es-ES"/>
        </w:rPr>
        <w:t>E</w:t>
      </w:r>
      <w:r w:rsidR="00F27D5B">
        <w:rPr>
          <w:rFonts w:ascii="Arial Narrow" w:hAnsi="Arial Narrow" w:cs="Arial"/>
          <w:szCs w:val="28"/>
          <w:lang w:val="es-ES"/>
        </w:rPr>
        <w:t>l pago efectivo de la prestación y del retroactivo se hará por medio del curador que de manera provisional o definitiva asigne el Juez de Familia.</w:t>
      </w:r>
    </w:p>
    <w:p w:rsidR="00AD2076" w:rsidRDefault="00AD2076" w:rsidP="00D77017">
      <w:pPr>
        <w:pStyle w:val="Textoindependiente31"/>
        <w:ind w:left="1068"/>
        <w:rPr>
          <w:rFonts w:ascii="Arial Narrow" w:hAnsi="Arial Narrow" w:cs="Arial"/>
          <w:szCs w:val="28"/>
        </w:rPr>
      </w:pPr>
      <w:r>
        <w:rPr>
          <w:rFonts w:ascii="Arial Narrow" w:hAnsi="Arial Narrow" w:cs="Arial"/>
          <w:szCs w:val="28"/>
        </w:rPr>
        <w:t>- A Marleny Betancur Bedoya le corresponde la suma de $24.681.017,50, correspondiente al retroactivo causado entre el mes de noviembre de 2011 y la fecha de esta sentencia, sin perjuicio de las que se sigan causando.</w:t>
      </w:r>
    </w:p>
    <w:p w:rsidR="00AD2076" w:rsidRDefault="00AD2076" w:rsidP="00D77017">
      <w:pPr>
        <w:pStyle w:val="Textoindependiente31"/>
        <w:ind w:left="1068"/>
        <w:rPr>
          <w:rFonts w:ascii="Arial Narrow" w:hAnsi="Arial Narrow" w:cs="Arial"/>
          <w:szCs w:val="28"/>
        </w:rPr>
      </w:pPr>
    </w:p>
    <w:p w:rsidR="00AD2076" w:rsidRPr="00AD2076" w:rsidRDefault="00AD2076"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 </w:t>
      </w:r>
      <w:r w:rsidRPr="00AD2076">
        <w:rPr>
          <w:rFonts w:ascii="Arial Narrow" w:hAnsi="Arial Narrow" w:cs="Arial"/>
          <w:spacing w:val="-2"/>
          <w:szCs w:val="28"/>
        </w:rPr>
        <w:t>la sentencia en todo lo demás.</w:t>
      </w:r>
    </w:p>
    <w:p w:rsidR="00D77017" w:rsidRDefault="00D77017" w:rsidP="00D77017">
      <w:pPr>
        <w:pStyle w:val="Prrafodelista"/>
        <w:rPr>
          <w:rFonts w:ascii="Arial Narrow" w:hAnsi="Arial Narrow" w:cs="Arial"/>
          <w:spacing w:val="-2"/>
          <w:szCs w:val="28"/>
        </w:rPr>
      </w:pPr>
    </w:p>
    <w:p w:rsidR="00734777" w:rsidRPr="00AD2076" w:rsidRDefault="00D77017" w:rsidP="00322A60">
      <w:pPr>
        <w:pStyle w:val="Textoindependiente31"/>
        <w:numPr>
          <w:ilvl w:val="0"/>
          <w:numId w:val="4"/>
        </w:numPr>
        <w:rPr>
          <w:rFonts w:ascii="Arial Narrow" w:hAnsi="Arial Narrow" w:cs="Arial"/>
          <w:szCs w:val="28"/>
        </w:rPr>
      </w:pPr>
      <w:r w:rsidRPr="00AD2076">
        <w:rPr>
          <w:rFonts w:ascii="Arial Narrow" w:hAnsi="Arial Narrow" w:cs="Arial"/>
          <w:b/>
          <w:spacing w:val="-2"/>
          <w:szCs w:val="28"/>
        </w:rPr>
        <w:t xml:space="preserve">Condenar </w:t>
      </w:r>
      <w:r w:rsidRPr="00AD2076">
        <w:rPr>
          <w:rFonts w:ascii="Arial Narrow" w:hAnsi="Arial Narrow" w:cs="Arial"/>
          <w:spacing w:val="-2"/>
          <w:szCs w:val="28"/>
        </w:rPr>
        <w:t xml:space="preserve">a la </w:t>
      </w:r>
      <w:r w:rsidRPr="00AD2076">
        <w:rPr>
          <w:rFonts w:ascii="Arial Narrow" w:hAnsi="Arial Narrow" w:cs="Arial"/>
          <w:b/>
          <w:spacing w:val="-2"/>
          <w:szCs w:val="28"/>
        </w:rPr>
        <w:t>Administradora Colombiana de Pensiones – Colpensiones</w:t>
      </w:r>
      <w:r w:rsidRPr="00AD2076">
        <w:rPr>
          <w:rFonts w:ascii="Arial Narrow" w:hAnsi="Arial Narrow" w:cs="Arial"/>
          <w:spacing w:val="-2"/>
          <w:szCs w:val="28"/>
        </w:rPr>
        <w:t xml:space="preserve"> a reconocer y pagar </w:t>
      </w:r>
      <w:r w:rsidR="00AD2076" w:rsidRPr="00AD2076">
        <w:rPr>
          <w:rFonts w:ascii="Arial Narrow" w:hAnsi="Arial Narrow" w:cs="Arial"/>
          <w:spacing w:val="-2"/>
          <w:szCs w:val="28"/>
        </w:rPr>
        <w:t xml:space="preserve">a la demandante y a la Litis consorte necesaria las costas causadas en esta instancia. </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bookmarkStart w:id="0" w:name="_GoBack"/>
      <w:bookmarkEnd w:id="0"/>
    </w:p>
    <w:sectPr w:rsidR="00465CF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66" w:rsidRDefault="00036366" w:rsidP="00181D67">
      <w:r>
        <w:separator/>
      </w:r>
    </w:p>
  </w:endnote>
  <w:endnote w:type="continuationSeparator" w:id="0">
    <w:p w:rsidR="00036366" w:rsidRDefault="0003636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30" w:rsidRDefault="0016623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6230" w:rsidRDefault="00166230"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30" w:rsidRDefault="0016623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6366">
      <w:rPr>
        <w:rStyle w:val="Nmerodepgina"/>
        <w:noProof/>
      </w:rPr>
      <w:t>1</w:t>
    </w:r>
    <w:r>
      <w:rPr>
        <w:rStyle w:val="Nmerodepgina"/>
      </w:rPr>
      <w:fldChar w:fldCharType="end"/>
    </w:r>
  </w:p>
  <w:p w:rsidR="00166230" w:rsidRDefault="00166230"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66" w:rsidRDefault="00036366" w:rsidP="00181D67">
      <w:r>
        <w:separator/>
      </w:r>
    </w:p>
  </w:footnote>
  <w:footnote w:type="continuationSeparator" w:id="0">
    <w:p w:rsidR="00036366" w:rsidRDefault="0003636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30" w:rsidRDefault="00166230"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 xml:space="preserve">003-2015-00533-01 </w:t>
    </w:r>
  </w:p>
  <w:p w:rsidR="00166230" w:rsidRDefault="00166230" w:rsidP="00FB2365">
    <w:pPr>
      <w:jc w:val="both"/>
      <w:rPr>
        <w:rFonts w:ascii="Arial" w:hAnsi="Arial" w:cs="Arial"/>
        <w:bCs/>
        <w:i/>
        <w:sz w:val="16"/>
        <w:szCs w:val="16"/>
      </w:rPr>
    </w:pPr>
    <w:r>
      <w:rPr>
        <w:rFonts w:ascii="Arial" w:hAnsi="Arial" w:cs="Arial"/>
        <w:bCs/>
        <w:i/>
        <w:sz w:val="16"/>
        <w:szCs w:val="16"/>
      </w:rPr>
      <w:t>Marleny Betancur Bedoya vs Colpensiones.</w:t>
    </w:r>
  </w:p>
  <w:p w:rsidR="00166230" w:rsidRDefault="00166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366"/>
    <w:rsid w:val="00036CF3"/>
    <w:rsid w:val="0004269F"/>
    <w:rsid w:val="000442C7"/>
    <w:rsid w:val="00046728"/>
    <w:rsid w:val="00057514"/>
    <w:rsid w:val="0006495E"/>
    <w:rsid w:val="00064DF8"/>
    <w:rsid w:val="000667FF"/>
    <w:rsid w:val="000700E7"/>
    <w:rsid w:val="00071203"/>
    <w:rsid w:val="000745A2"/>
    <w:rsid w:val="00074981"/>
    <w:rsid w:val="0008294C"/>
    <w:rsid w:val="00083ED6"/>
    <w:rsid w:val="000A03AE"/>
    <w:rsid w:val="000A13F4"/>
    <w:rsid w:val="000A26AC"/>
    <w:rsid w:val="000B2A8B"/>
    <w:rsid w:val="000B2E37"/>
    <w:rsid w:val="000B5AFB"/>
    <w:rsid w:val="000B6979"/>
    <w:rsid w:val="000B6F1B"/>
    <w:rsid w:val="000C0A92"/>
    <w:rsid w:val="000C6187"/>
    <w:rsid w:val="000D15B6"/>
    <w:rsid w:val="000D6F62"/>
    <w:rsid w:val="000E1BFD"/>
    <w:rsid w:val="000E3687"/>
    <w:rsid w:val="000E6C80"/>
    <w:rsid w:val="000E7F42"/>
    <w:rsid w:val="000F3E39"/>
    <w:rsid w:val="000F491E"/>
    <w:rsid w:val="000F604F"/>
    <w:rsid w:val="000F61F8"/>
    <w:rsid w:val="0010743C"/>
    <w:rsid w:val="001116B7"/>
    <w:rsid w:val="00111B77"/>
    <w:rsid w:val="00113DFF"/>
    <w:rsid w:val="00114E6E"/>
    <w:rsid w:val="0012034D"/>
    <w:rsid w:val="00122B74"/>
    <w:rsid w:val="0013363D"/>
    <w:rsid w:val="001342E2"/>
    <w:rsid w:val="00135329"/>
    <w:rsid w:val="00142977"/>
    <w:rsid w:val="00143700"/>
    <w:rsid w:val="00151FAB"/>
    <w:rsid w:val="00152252"/>
    <w:rsid w:val="00154B11"/>
    <w:rsid w:val="0015539E"/>
    <w:rsid w:val="0015632C"/>
    <w:rsid w:val="00156587"/>
    <w:rsid w:val="00160D05"/>
    <w:rsid w:val="0016407C"/>
    <w:rsid w:val="00166230"/>
    <w:rsid w:val="00166A1D"/>
    <w:rsid w:val="00170637"/>
    <w:rsid w:val="00172834"/>
    <w:rsid w:val="00180051"/>
    <w:rsid w:val="00180C77"/>
    <w:rsid w:val="001818C1"/>
    <w:rsid w:val="00181D67"/>
    <w:rsid w:val="00181DBB"/>
    <w:rsid w:val="00185F4E"/>
    <w:rsid w:val="00194459"/>
    <w:rsid w:val="00194763"/>
    <w:rsid w:val="00197A7F"/>
    <w:rsid w:val="001A1F95"/>
    <w:rsid w:val="001A338A"/>
    <w:rsid w:val="001A41C0"/>
    <w:rsid w:val="001A5860"/>
    <w:rsid w:val="001A6C06"/>
    <w:rsid w:val="001B0456"/>
    <w:rsid w:val="001C1A3A"/>
    <w:rsid w:val="001C71C5"/>
    <w:rsid w:val="001C7D78"/>
    <w:rsid w:val="001D2ABA"/>
    <w:rsid w:val="001E3021"/>
    <w:rsid w:val="001E602F"/>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66DD"/>
    <w:rsid w:val="00266B50"/>
    <w:rsid w:val="00270BAE"/>
    <w:rsid w:val="002716B2"/>
    <w:rsid w:val="002817B2"/>
    <w:rsid w:val="00281AC7"/>
    <w:rsid w:val="00281AF3"/>
    <w:rsid w:val="00282824"/>
    <w:rsid w:val="0028369F"/>
    <w:rsid w:val="002851A2"/>
    <w:rsid w:val="00287849"/>
    <w:rsid w:val="00292190"/>
    <w:rsid w:val="002929F0"/>
    <w:rsid w:val="002966CB"/>
    <w:rsid w:val="002971B9"/>
    <w:rsid w:val="002A1875"/>
    <w:rsid w:val="002A3132"/>
    <w:rsid w:val="002B11F5"/>
    <w:rsid w:val="002B2F11"/>
    <w:rsid w:val="002B4B0A"/>
    <w:rsid w:val="002B5701"/>
    <w:rsid w:val="002B5A38"/>
    <w:rsid w:val="002C2388"/>
    <w:rsid w:val="002C3B7B"/>
    <w:rsid w:val="002C4647"/>
    <w:rsid w:val="002C62E6"/>
    <w:rsid w:val="002C70E2"/>
    <w:rsid w:val="002C76A9"/>
    <w:rsid w:val="002C7ACC"/>
    <w:rsid w:val="002D1602"/>
    <w:rsid w:val="002D52C3"/>
    <w:rsid w:val="002D633D"/>
    <w:rsid w:val="002E19D4"/>
    <w:rsid w:val="002E1ABE"/>
    <w:rsid w:val="002E659E"/>
    <w:rsid w:val="002F21EF"/>
    <w:rsid w:val="00310A39"/>
    <w:rsid w:val="0031390A"/>
    <w:rsid w:val="003152EE"/>
    <w:rsid w:val="00324A72"/>
    <w:rsid w:val="00330E76"/>
    <w:rsid w:val="00331A84"/>
    <w:rsid w:val="00333762"/>
    <w:rsid w:val="00336F17"/>
    <w:rsid w:val="003400C8"/>
    <w:rsid w:val="00342568"/>
    <w:rsid w:val="003448FE"/>
    <w:rsid w:val="00346FC0"/>
    <w:rsid w:val="00351220"/>
    <w:rsid w:val="00353032"/>
    <w:rsid w:val="00355D5D"/>
    <w:rsid w:val="0035748B"/>
    <w:rsid w:val="00360979"/>
    <w:rsid w:val="00365ECD"/>
    <w:rsid w:val="003660A2"/>
    <w:rsid w:val="003778D6"/>
    <w:rsid w:val="00384FB1"/>
    <w:rsid w:val="00385159"/>
    <w:rsid w:val="00392CBC"/>
    <w:rsid w:val="0039648B"/>
    <w:rsid w:val="003B30B8"/>
    <w:rsid w:val="003B35A1"/>
    <w:rsid w:val="003D2568"/>
    <w:rsid w:val="003D2F2C"/>
    <w:rsid w:val="003E1E11"/>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1055"/>
    <w:rsid w:val="00483406"/>
    <w:rsid w:val="004850FE"/>
    <w:rsid w:val="0049276B"/>
    <w:rsid w:val="00496F9C"/>
    <w:rsid w:val="004A18E6"/>
    <w:rsid w:val="004A359A"/>
    <w:rsid w:val="004A7539"/>
    <w:rsid w:val="004B1525"/>
    <w:rsid w:val="004B3006"/>
    <w:rsid w:val="004B38EA"/>
    <w:rsid w:val="004B6F6B"/>
    <w:rsid w:val="004B7AFD"/>
    <w:rsid w:val="004C37BF"/>
    <w:rsid w:val="004D01C5"/>
    <w:rsid w:val="004D1CFD"/>
    <w:rsid w:val="004D5EFB"/>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24EDF"/>
    <w:rsid w:val="005417FF"/>
    <w:rsid w:val="005446D5"/>
    <w:rsid w:val="00545999"/>
    <w:rsid w:val="00550CEE"/>
    <w:rsid w:val="005536E0"/>
    <w:rsid w:val="00553762"/>
    <w:rsid w:val="00560715"/>
    <w:rsid w:val="00561DB0"/>
    <w:rsid w:val="00563496"/>
    <w:rsid w:val="00565DD2"/>
    <w:rsid w:val="0057078F"/>
    <w:rsid w:val="0057299F"/>
    <w:rsid w:val="005757BB"/>
    <w:rsid w:val="00576F82"/>
    <w:rsid w:val="00580741"/>
    <w:rsid w:val="0058085F"/>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1BD3"/>
    <w:rsid w:val="006C408E"/>
    <w:rsid w:val="006D765D"/>
    <w:rsid w:val="006E1DE4"/>
    <w:rsid w:val="006E3C7C"/>
    <w:rsid w:val="006E55C7"/>
    <w:rsid w:val="006E56E0"/>
    <w:rsid w:val="006F2FF3"/>
    <w:rsid w:val="006F3382"/>
    <w:rsid w:val="006F3E23"/>
    <w:rsid w:val="0070151B"/>
    <w:rsid w:val="00712B22"/>
    <w:rsid w:val="007170BC"/>
    <w:rsid w:val="007205B0"/>
    <w:rsid w:val="00726095"/>
    <w:rsid w:val="007264E4"/>
    <w:rsid w:val="0073392C"/>
    <w:rsid w:val="00734777"/>
    <w:rsid w:val="0073730E"/>
    <w:rsid w:val="00740103"/>
    <w:rsid w:val="00740681"/>
    <w:rsid w:val="0074280E"/>
    <w:rsid w:val="00745F82"/>
    <w:rsid w:val="007464A2"/>
    <w:rsid w:val="00753789"/>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5CF7"/>
    <w:rsid w:val="008571B9"/>
    <w:rsid w:val="008605F1"/>
    <w:rsid w:val="00860E5A"/>
    <w:rsid w:val="00862C38"/>
    <w:rsid w:val="008748D1"/>
    <w:rsid w:val="00882FD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4C55"/>
    <w:rsid w:val="00985D6A"/>
    <w:rsid w:val="009873D3"/>
    <w:rsid w:val="009A2908"/>
    <w:rsid w:val="009A40BE"/>
    <w:rsid w:val="009A4ADD"/>
    <w:rsid w:val="009A6DEB"/>
    <w:rsid w:val="009A7B91"/>
    <w:rsid w:val="009B25F5"/>
    <w:rsid w:val="009B52E7"/>
    <w:rsid w:val="009C06AF"/>
    <w:rsid w:val="009C0945"/>
    <w:rsid w:val="009C4F42"/>
    <w:rsid w:val="009C6364"/>
    <w:rsid w:val="009D16AB"/>
    <w:rsid w:val="009D7FAB"/>
    <w:rsid w:val="009E1591"/>
    <w:rsid w:val="009F29A4"/>
    <w:rsid w:val="009F2B8B"/>
    <w:rsid w:val="00A00606"/>
    <w:rsid w:val="00A20DD9"/>
    <w:rsid w:val="00A23CFA"/>
    <w:rsid w:val="00A310E0"/>
    <w:rsid w:val="00A31A93"/>
    <w:rsid w:val="00A32022"/>
    <w:rsid w:val="00A34493"/>
    <w:rsid w:val="00A41CF2"/>
    <w:rsid w:val="00A45535"/>
    <w:rsid w:val="00A46AF9"/>
    <w:rsid w:val="00A5161A"/>
    <w:rsid w:val="00A53C0F"/>
    <w:rsid w:val="00A570D1"/>
    <w:rsid w:val="00A57C44"/>
    <w:rsid w:val="00A57F25"/>
    <w:rsid w:val="00A57FE3"/>
    <w:rsid w:val="00A6294A"/>
    <w:rsid w:val="00A649B9"/>
    <w:rsid w:val="00A65B0D"/>
    <w:rsid w:val="00A7415F"/>
    <w:rsid w:val="00A748A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D39"/>
    <w:rsid w:val="00AC0389"/>
    <w:rsid w:val="00AC1055"/>
    <w:rsid w:val="00AC55D8"/>
    <w:rsid w:val="00AC5B3F"/>
    <w:rsid w:val="00AC5DB9"/>
    <w:rsid w:val="00AC6A0E"/>
    <w:rsid w:val="00AC7AC9"/>
    <w:rsid w:val="00AC7EB6"/>
    <w:rsid w:val="00AD0587"/>
    <w:rsid w:val="00AD17CE"/>
    <w:rsid w:val="00AD2076"/>
    <w:rsid w:val="00AD2DDE"/>
    <w:rsid w:val="00AD5314"/>
    <w:rsid w:val="00AD7619"/>
    <w:rsid w:val="00AF0D26"/>
    <w:rsid w:val="00AF1D5C"/>
    <w:rsid w:val="00B0615A"/>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A253A"/>
    <w:rsid w:val="00BC6A9B"/>
    <w:rsid w:val="00BD418C"/>
    <w:rsid w:val="00BD5518"/>
    <w:rsid w:val="00BE3E90"/>
    <w:rsid w:val="00BE7CCC"/>
    <w:rsid w:val="00BF1A6D"/>
    <w:rsid w:val="00BF7955"/>
    <w:rsid w:val="00C00BF3"/>
    <w:rsid w:val="00C01FFD"/>
    <w:rsid w:val="00C05675"/>
    <w:rsid w:val="00C11813"/>
    <w:rsid w:val="00C12862"/>
    <w:rsid w:val="00C1629B"/>
    <w:rsid w:val="00C23D0F"/>
    <w:rsid w:val="00C305BF"/>
    <w:rsid w:val="00C34BB9"/>
    <w:rsid w:val="00C3741E"/>
    <w:rsid w:val="00C43685"/>
    <w:rsid w:val="00C43DA4"/>
    <w:rsid w:val="00C449F0"/>
    <w:rsid w:val="00C52F1F"/>
    <w:rsid w:val="00C54246"/>
    <w:rsid w:val="00C560DC"/>
    <w:rsid w:val="00C61512"/>
    <w:rsid w:val="00C623C0"/>
    <w:rsid w:val="00C635A1"/>
    <w:rsid w:val="00C659E7"/>
    <w:rsid w:val="00C70C7C"/>
    <w:rsid w:val="00C7406F"/>
    <w:rsid w:val="00C741F1"/>
    <w:rsid w:val="00C802C2"/>
    <w:rsid w:val="00C87C62"/>
    <w:rsid w:val="00C9735B"/>
    <w:rsid w:val="00CA0C22"/>
    <w:rsid w:val="00CA39C8"/>
    <w:rsid w:val="00CA4895"/>
    <w:rsid w:val="00CA7F07"/>
    <w:rsid w:val="00CB5453"/>
    <w:rsid w:val="00CB65C9"/>
    <w:rsid w:val="00CC5986"/>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17743"/>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77017"/>
    <w:rsid w:val="00D774DA"/>
    <w:rsid w:val="00D838E4"/>
    <w:rsid w:val="00D907A0"/>
    <w:rsid w:val="00D9182E"/>
    <w:rsid w:val="00D918F4"/>
    <w:rsid w:val="00D95679"/>
    <w:rsid w:val="00DA0CBD"/>
    <w:rsid w:val="00DA1556"/>
    <w:rsid w:val="00DA5010"/>
    <w:rsid w:val="00DB0F6F"/>
    <w:rsid w:val="00DC19C5"/>
    <w:rsid w:val="00DC26F7"/>
    <w:rsid w:val="00DC2A03"/>
    <w:rsid w:val="00DC30A2"/>
    <w:rsid w:val="00DC64EC"/>
    <w:rsid w:val="00DD0F03"/>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478D9"/>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86D23"/>
    <w:rsid w:val="00E90FC3"/>
    <w:rsid w:val="00E94BD7"/>
    <w:rsid w:val="00EA18B9"/>
    <w:rsid w:val="00EA2380"/>
    <w:rsid w:val="00EA2C52"/>
    <w:rsid w:val="00EB7DB4"/>
    <w:rsid w:val="00EC3FD6"/>
    <w:rsid w:val="00EC6E17"/>
    <w:rsid w:val="00EE6ED3"/>
    <w:rsid w:val="00EF1CD4"/>
    <w:rsid w:val="00EF5B4C"/>
    <w:rsid w:val="00EF6970"/>
    <w:rsid w:val="00F01D45"/>
    <w:rsid w:val="00F10C26"/>
    <w:rsid w:val="00F127E5"/>
    <w:rsid w:val="00F154F1"/>
    <w:rsid w:val="00F2423F"/>
    <w:rsid w:val="00F27D5B"/>
    <w:rsid w:val="00F32387"/>
    <w:rsid w:val="00F32A90"/>
    <w:rsid w:val="00F3362F"/>
    <w:rsid w:val="00F34085"/>
    <w:rsid w:val="00F35E28"/>
    <w:rsid w:val="00F373CF"/>
    <w:rsid w:val="00F3750E"/>
    <w:rsid w:val="00F37961"/>
    <w:rsid w:val="00F41C51"/>
    <w:rsid w:val="00F438BF"/>
    <w:rsid w:val="00F449F7"/>
    <w:rsid w:val="00F44E84"/>
    <w:rsid w:val="00F455AE"/>
    <w:rsid w:val="00F46F6F"/>
    <w:rsid w:val="00F50D17"/>
    <w:rsid w:val="00F52C50"/>
    <w:rsid w:val="00F53C04"/>
    <w:rsid w:val="00F54648"/>
    <w:rsid w:val="00F54D0A"/>
    <w:rsid w:val="00F60732"/>
    <w:rsid w:val="00F63B6C"/>
    <w:rsid w:val="00F6451D"/>
    <w:rsid w:val="00F65645"/>
    <w:rsid w:val="00F662FC"/>
    <w:rsid w:val="00F66E8C"/>
    <w:rsid w:val="00F702BE"/>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2489"/>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35BC-8FC0-4B9A-93D4-B77F3BF2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14</Pages>
  <Words>4309</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21</cp:revision>
  <cp:lastPrinted>2017-11-15T20:48:00Z</cp:lastPrinted>
  <dcterms:created xsi:type="dcterms:W3CDTF">2017-11-08T12:03:00Z</dcterms:created>
  <dcterms:modified xsi:type="dcterms:W3CDTF">2017-11-15T20:48:00Z</dcterms:modified>
</cp:coreProperties>
</file>