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8354D6" w:rsidRPr="008354D6" w:rsidRDefault="008354D6" w:rsidP="008354D6">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sz w:val="16"/>
          <w:szCs w:val="16"/>
          <w:lang w:val="es-CO" w:eastAsia="fr-FR"/>
        </w:rPr>
      </w:pPr>
      <w:r w:rsidRPr="008354D6">
        <w:rPr>
          <w:rFonts w:ascii="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el audio que reposa en la Secretaría de esta Sala.</w:t>
      </w:r>
      <w:r w:rsidRPr="008354D6">
        <w:rPr>
          <w:rFonts w:ascii="Calibri" w:hAnsi="Calibri" w:cs="Calibri"/>
          <w:color w:val="222222"/>
          <w:sz w:val="16"/>
          <w:szCs w:val="16"/>
          <w:lang w:val="es-CO" w:eastAsia="fr-FR"/>
        </w:rPr>
        <w:t> </w:t>
      </w:r>
    </w:p>
    <w:p w:rsidR="008354D6" w:rsidRPr="008354D6" w:rsidRDefault="008354D6" w:rsidP="008354D6">
      <w:pPr>
        <w:widowControl w:val="0"/>
        <w:autoSpaceDE w:val="0"/>
        <w:autoSpaceDN w:val="0"/>
        <w:adjustRightInd w:val="0"/>
        <w:jc w:val="both"/>
        <w:rPr>
          <w:rFonts w:ascii="Tahoma" w:hAnsi="Tahoma" w:cs="Tahoma"/>
          <w:b/>
          <w:sz w:val="18"/>
          <w:szCs w:val="18"/>
          <w:lang w:val="es-CO"/>
        </w:rPr>
      </w:pPr>
    </w:p>
    <w:p w:rsidR="008B7665" w:rsidRPr="00BF4F59" w:rsidRDefault="008B7665" w:rsidP="008B7665">
      <w:pPr>
        <w:pStyle w:val="Titre"/>
        <w:spacing w:line="240" w:lineRule="auto"/>
        <w:jc w:val="both"/>
        <w:rPr>
          <w:rFonts w:ascii="Tahoma" w:hAnsi="Tahoma" w:cs="Tahoma"/>
          <w:b w:val="0"/>
          <w:sz w:val="18"/>
          <w:szCs w:val="18"/>
        </w:rPr>
      </w:pPr>
      <w:r w:rsidRPr="00BF4F59">
        <w:rPr>
          <w:rFonts w:ascii="Tahoma" w:hAnsi="Tahoma" w:cs="Tahoma"/>
          <w:sz w:val="18"/>
          <w:szCs w:val="18"/>
        </w:rPr>
        <w:t>Providencia:</w:t>
      </w:r>
      <w:r w:rsidRPr="00BF4F59">
        <w:rPr>
          <w:rFonts w:ascii="Tahoma" w:hAnsi="Tahoma" w:cs="Tahoma"/>
          <w:b w:val="0"/>
          <w:sz w:val="18"/>
          <w:szCs w:val="18"/>
        </w:rPr>
        <w:t xml:space="preserve"> </w:t>
      </w:r>
      <w:r w:rsidRPr="00BF4F59">
        <w:rPr>
          <w:rFonts w:ascii="Tahoma" w:hAnsi="Tahoma" w:cs="Tahoma"/>
          <w:b w:val="0"/>
          <w:sz w:val="18"/>
          <w:szCs w:val="18"/>
        </w:rPr>
        <w:tab/>
      </w:r>
      <w:r w:rsidRPr="00BF4F59">
        <w:rPr>
          <w:rFonts w:ascii="Tahoma" w:hAnsi="Tahoma" w:cs="Tahoma"/>
          <w:b w:val="0"/>
          <w:sz w:val="18"/>
          <w:szCs w:val="18"/>
        </w:rPr>
        <w:tab/>
      </w:r>
      <w:r w:rsidRPr="00BF4F59">
        <w:rPr>
          <w:rFonts w:ascii="Tahoma" w:hAnsi="Tahoma" w:cs="Tahoma"/>
          <w:b w:val="0"/>
          <w:bCs/>
          <w:sz w:val="18"/>
          <w:szCs w:val="18"/>
        </w:rPr>
        <w:t xml:space="preserve">Sentencia </w:t>
      </w:r>
      <w:r w:rsidR="008354D6">
        <w:rPr>
          <w:rFonts w:ascii="Tahoma" w:hAnsi="Tahoma" w:cs="Tahoma"/>
          <w:b w:val="0"/>
          <w:bCs/>
          <w:sz w:val="18"/>
          <w:szCs w:val="18"/>
        </w:rPr>
        <w:t>-</w:t>
      </w:r>
      <w:bookmarkStart w:id="0" w:name="_GoBack"/>
      <w:bookmarkEnd w:id="0"/>
      <w:r w:rsidR="008354D6">
        <w:rPr>
          <w:rFonts w:ascii="Tahoma" w:hAnsi="Tahoma" w:cs="Tahoma"/>
          <w:b w:val="0"/>
          <w:bCs/>
          <w:sz w:val="18"/>
          <w:szCs w:val="18"/>
        </w:rPr>
        <w:t xml:space="preserve"> 2ª instancia -</w:t>
      </w:r>
      <w:r w:rsidRPr="00BF4F59">
        <w:rPr>
          <w:rFonts w:ascii="Tahoma" w:hAnsi="Tahoma" w:cs="Tahoma"/>
          <w:b w:val="0"/>
          <w:bCs/>
          <w:sz w:val="18"/>
          <w:szCs w:val="18"/>
        </w:rPr>
        <w:t xml:space="preserve"> </w:t>
      </w:r>
      <w:r w:rsidR="00702DCF">
        <w:rPr>
          <w:rFonts w:ascii="Tahoma" w:hAnsi="Tahoma" w:cs="Tahoma"/>
          <w:b w:val="0"/>
          <w:bCs/>
          <w:sz w:val="18"/>
          <w:szCs w:val="18"/>
        </w:rPr>
        <w:t>27</w:t>
      </w:r>
      <w:r w:rsidR="004E4E43">
        <w:rPr>
          <w:rFonts w:ascii="Tahoma" w:hAnsi="Tahoma" w:cs="Tahoma"/>
          <w:b w:val="0"/>
          <w:bCs/>
          <w:sz w:val="18"/>
          <w:szCs w:val="18"/>
        </w:rPr>
        <w:t xml:space="preserve"> de enero de 2017</w:t>
      </w:r>
      <w:r w:rsidRPr="00BF4F59">
        <w:rPr>
          <w:rFonts w:ascii="Tahoma" w:hAnsi="Tahoma" w:cs="Tahoma"/>
          <w:b w:val="0"/>
          <w:bCs/>
          <w:sz w:val="18"/>
          <w:szCs w:val="18"/>
        </w:rPr>
        <w:t xml:space="preserve"> </w:t>
      </w:r>
    </w:p>
    <w:p w:rsidR="008B7665" w:rsidRPr="00BF4F59" w:rsidRDefault="008B7665" w:rsidP="008B7665">
      <w:pPr>
        <w:pStyle w:val="Titre"/>
        <w:spacing w:line="240" w:lineRule="auto"/>
        <w:jc w:val="both"/>
        <w:rPr>
          <w:rFonts w:ascii="Tahoma" w:hAnsi="Tahoma" w:cs="Tahoma"/>
          <w:b w:val="0"/>
          <w:sz w:val="18"/>
          <w:szCs w:val="18"/>
        </w:rPr>
      </w:pPr>
      <w:r w:rsidRPr="00BF4F59">
        <w:rPr>
          <w:rFonts w:ascii="Tahoma" w:hAnsi="Tahoma" w:cs="Tahoma"/>
          <w:sz w:val="18"/>
          <w:szCs w:val="18"/>
        </w:rPr>
        <w:t>Radicación No.:</w:t>
      </w:r>
      <w:r w:rsidRPr="00BF4F59">
        <w:rPr>
          <w:rFonts w:ascii="Tahoma" w:hAnsi="Tahoma" w:cs="Tahoma"/>
          <w:b w:val="0"/>
          <w:sz w:val="18"/>
          <w:szCs w:val="18"/>
        </w:rPr>
        <w:tab/>
      </w:r>
      <w:r w:rsidRPr="00BF4F59">
        <w:rPr>
          <w:rFonts w:ascii="Tahoma" w:hAnsi="Tahoma" w:cs="Tahoma"/>
          <w:b w:val="0"/>
          <w:sz w:val="18"/>
          <w:szCs w:val="18"/>
        </w:rPr>
        <w:tab/>
        <w:t>66001-31-05-00</w:t>
      </w:r>
      <w:r w:rsidR="00702DCF">
        <w:rPr>
          <w:rFonts w:ascii="Tahoma" w:hAnsi="Tahoma" w:cs="Tahoma"/>
          <w:b w:val="0"/>
          <w:sz w:val="18"/>
          <w:szCs w:val="18"/>
        </w:rPr>
        <w:t>5</w:t>
      </w:r>
      <w:r w:rsidRPr="00BF4F59">
        <w:rPr>
          <w:rFonts w:ascii="Tahoma" w:hAnsi="Tahoma" w:cs="Tahoma"/>
          <w:b w:val="0"/>
          <w:sz w:val="18"/>
          <w:szCs w:val="18"/>
        </w:rPr>
        <w:t>-201</w:t>
      </w:r>
      <w:r w:rsidR="00702DCF">
        <w:rPr>
          <w:rFonts w:ascii="Tahoma" w:hAnsi="Tahoma" w:cs="Tahoma"/>
          <w:b w:val="0"/>
          <w:sz w:val="18"/>
          <w:szCs w:val="18"/>
        </w:rPr>
        <w:t>4</w:t>
      </w:r>
      <w:r w:rsidRPr="00BF4F59">
        <w:rPr>
          <w:rFonts w:ascii="Tahoma" w:hAnsi="Tahoma" w:cs="Tahoma"/>
          <w:b w:val="0"/>
          <w:sz w:val="18"/>
          <w:szCs w:val="18"/>
        </w:rPr>
        <w:t>-00</w:t>
      </w:r>
      <w:r w:rsidR="00702DCF">
        <w:rPr>
          <w:rFonts w:ascii="Tahoma" w:hAnsi="Tahoma" w:cs="Tahoma"/>
          <w:b w:val="0"/>
          <w:sz w:val="18"/>
          <w:szCs w:val="18"/>
        </w:rPr>
        <w:t>597</w:t>
      </w:r>
      <w:r w:rsidRPr="00BF4F59">
        <w:rPr>
          <w:rFonts w:ascii="Tahoma" w:hAnsi="Tahoma" w:cs="Tahoma"/>
          <w:b w:val="0"/>
          <w:sz w:val="18"/>
          <w:szCs w:val="18"/>
        </w:rPr>
        <w:t>-01</w:t>
      </w:r>
    </w:p>
    <w:p w:rsidR="008B7665" w:rsidRPr="00BF4F59" w:rsidRDefault="008B7665" w:rsidP="008B7665">
      <w:pPr>
        <w:pStyle w:val="Titre"/>
        <w:spacing w:line="240" w:lineRule="auto"/>
        <w:jc w:val="both"/>
        <w:rPr>
          <w:rFonts w:ascii="Tahoma" w:hAnsi="Tahoma" w:cs="Tahoma"/>
          <w:b w:val="0"/>
          <w:sz w:val="18"/>
          <w:szCs w:val="18"/>
        </w:rPr>
      </w:pPr>
      <w:r w:rsidRPr="00BF4F59">
        <w:rPr>
          <w:rFonts w:ascii="Tahoma" w:hAnsi="Tahoma" w:cs="Tahoma"/>
          <w:sz w:val="18"/>
          <w:szCs w:val="18"/>
        </w:rPr>
        <w:t>Proceso:</w:t>
      </w:r>
      <w:r w:rsidRPr="00BF4F59">
        <w:rPr>
          <w:rFonts w:ascii="Tahoma" w:hAnsi="Tahoma" w:cs="Tahoma"/>
          <w:b w:val="0"/>
          <w:sz w:val="18"/>
          <w:szCs w:val="18"/>
        </w:rPr>
        <w:tab/>
      </w:r>
      <w:r w:rsidRPr="00BF4F59">
        <w:rPr>
          <w:rFonts w:ascii="Tahoma" w:hAnsi="Tahoma" w:cs="Tahoma"/>
          <w:b w:val="0"/>
          <w:sz w:val="18"/>
          <w:szCs w:val="18"/>
        </w:rPr>
        <w:tab/>
        <w:t>Ordinario laboral</w:t>
      </w:r>
      <w:r w:rsidR="008354D6">
        <w:rPr>
          <w:rFonts w:ascii="Tahoma" w:hAnsi="Tahoma" w:cs="Tahoma"/>
          <w:b w:val="0"/>
          <w:sz w:val="18"/>
          <w:szCs w:val="18"/>
        </w:rPr>
        <w:t xml:space="preserve"> – Confirma y modifica decisión del a quo que accedió a las pretensiones</w:t>
      </w:r>
      <w:r w:rsidRPr="00BF4F59">
        <w:rPr>
          <w:rFonts w:ascii="Tahoma" w:hAnsi="Tahoma" w:cs="Tahoma"/>
          <w:b w:val="0"/>
          <w:sz w:val="18"/>
          <w:szCs w:val="18"/>
        </w:rPr>
        <w:t xml:space="preserve"> </w:t>
      </w:r>
    </w:p>
    <w:p w:rsidR="008B7665" w:rsidRPr="00BF4F59" w:rsidRDefault="008B7665" w:rsidP="008B7665">
      <w:pPr>
        <w:pStyle w:val="Titre"/>
        <w:spacing w:line="240" w:lineRule="auto"/>
        <w:jc w:val="both"/>
        <w:rPr>
          <w:rFonts w:ascii="Tahoma" w:hAnsi="Tahoma" w:cs="Tahoma"/>
          <w:b w:val="0"/>
          <w:sz w:val="18"/>
          <w:szCs w:val="18"/>
        </w:rPr>
      </w:pPr>
      <w:r w:rsidRPr="00BF4F59">
        <w:rPr>
          <w:rFonts w:ascii="Tahoma" w:hAnsi="Tahoma" w:cs="Tahoma"/>
          <w:sz w:val="18"/>
          <w:szCs w:val="18"/>
        </w:rPr>
        <w:t>Demandantes:</w:t>
      </w:r>
      <w:r w:rsidRPr="00BF4F59">
        <w:rPr>
          <w:rFonts w:ascii="Tahoma" w:hAnsi="Tahoma" w:cs="Tahoma"/>
          <w:b w:val="0"/>
          <w:sz w:val="18"/>
          <w:szCs w:val="18"/>
        </w:rPr>
        <w:tab/>
      </w:r>
      <w:r w:rsidRPr="00BF4F59">
        <w:rPr>
          <w:rFonts w:ascii="Tahoma" w:hAnsi="Tahoma" w:cs="Tahoma"/>
          <w:b w:val="0"/>
          <w:sz w:val="18"/>
          <w:szCs w:val="18"/>
        </w:rPr>
        <w:tab/>
      </w:r>
      <w:r w:rsidR="00702DCF">
        <w:rPr>
          <w:rFonts w:ascii="Tahoma" w:hAnsi="Tahoma" w:cs="Tahoma"/>
          <w:b w:val="0"/>
          <w:sz w:val="18"/>
          <w:szCs w:val="18"/>
        </w:rPr>
        <w:t xml:space="preserve">María Ligia Serna de Ospina </w:t>
      </w:r>
      <w:r w:rsidR="000A18CA">
        <w:rPr>
          <w:rFonts w:ascii="Tahoma" w:hAnsi="Tahoma" w:cs="Tahoma"/>
          <w:b w:val="0"/>
          <w:sz w:val="18"/>
          <w:szCs w:val="18"/>
        </w:rPr>
        <w:t xml:space="preserve"> </w:t>
      </w:r>
    </w:p>
    <w:p w:rsidR="008B7665" w:rsidRPr="00BF4F59" w:rsidRDefault="008B7665" w:rsidP="008B7665">
      <w:pPr>
        <w:pStyle w:val="Titre"/>
        <w:spacing w:line="240" w:lineRule="auto"/>
        <w:ind w:left="708" w:hanging="708"/>
        <w:jc w:val="both"/>
        <w:rPr>
          <w:rFonts w:ascii="Tahoma" w:hAnsi="Tahoma" w:cs="Tahoma"/>
          <w:b w:val="0"/>
          <w:sz w:val="18"/>
          <w:szCs w:val="18"/>
        </w:rPr>
      </w:pPr>
      <w:r w:rsidRPr="00BF4F59">
        <w:rPr>
          <w:rFonts w:ascii="Tahoma" w:hAnsi="Tahoma" w:cs="Tahoma"/>
          <w:sz w:val="18"/>
          <w:szCs w:val="18"/>
        </w:rPr>
        <w:t>Demandado:</w:t>
      </w:r>
      <w:r w:rsidRPr="00BF4F59">
        <w:rPr>
          <w:rFonts w:ascii="Tahoma" w:hAnsi="Tahoma" w:cs="Tahoma"/>
          <w:b w:val="0"/>
          <w:sz w:val="18"/>
          <w:szCs w:val="18"/>
        </w:rPr>
        <w:tab/>
      </w:r>
      <w:r w:rsidRPr="00BF4F59">
        <w:rPr>
          <w:rFonts w:ascii="Tahoma" w:hAnsi="Tahoma" w:cs="Tahoma"/>
          <w:b w:val="0"/>
          <w:sz w:val="18"/>
          <w:szCs w:val="18"/>
        </w:rPr>
        <w:tab/>
        <w:t xml:space="preserve">Colpensiones  </w:t>
      </w:r>
    </w:p>
    <w:p w:rsidR="008B7665" w:rsidRPr="00BF4F59" w:rsidRDefault="008B7665" w:rsidP="008B7665">
      <w:pPr>
        <w:pStyle w:val="Titre"/>
        <w:spacing w:line="240" w:lineRule="auto"/>
        <w:jc w:val="both"/>
        <w:rPr>
          <w:rFonts w:ascii="Tahoma" w:hAnsi="Tahoma" w:cs="Tahoma"/>
          <w:b w:val="0"/>
          <w:sz w:val="18"/>
          <w:szCs w:val="18"/>
        </w:rPr>
      </w:pPr>
      <w:r w:rsidRPr="00BF4F59">
        <w:rPr>
          <w:rFonts w:ascii="Tahoma" w:hAnsi="Tahoma" w:cs="Tahoma"/>
          <w:sz w:val="18"/>
          <w:szCs w:val="18"/>
        </w:rPr>
        <w:t>Juzgado de origen:</w:t>
      </w:r>
      <w:r w:rsidRPr="00BF4F59">
        <w:rPr>
          <w:rFonts w:ascii="Tahoma" w:hAnsi="Tahoma" w:cs="Tahoma"/>
          <w:b w:val="0"/>
          <w:sz w:val="18"/>
          <w:szCs w:val="18"/>
        </w:rPr>
        <w:t xml:space="preserve"> </w:t>
      </w:r>
      <w:r w:rsidRPr="00BF4F59">
        <w:rPr>
          <w:rFonts w:ascii="Tahoma" w:hAnsi="Tahoma" w:cs="Tahoma"/>
          <w:b w:val="0"/>
          <w:sz w:val="18"/>
          <w:szCs w:val="18"/>
        </w:rPr>
        <w:tab/>
      </w:r>
      <w:r w:rsidR="00702DCF">
        <w:rPr>
          <w:rFonts w:ascii="Tahoma" w:hAnsi="Tahoma" w:cs="Tahoma"/>
          <w:b w:val="0"/>
          <w:sz w:val="18"/>
          <w:szCs w:val="18"/>
        </w:rPr>
        <w:t xml:space="preserve">Quinto </w:t>
      </w:r>
      <w:r w:rsidRPr="00BF4F59">
        <w:rPr>
          <w:rFonts w:ascii="Tahoma" w:hAnsi="Tahoma" w:cs="Tahoma"/>
          <w:b w:val="0"/>
          <w:sz w:val="18"/>
          <w:szCs w:val="18"/>
        </w:rPr>
        <w:t>Laboral del Circuito de Pereira</w:t>
      </w:r>
    </w:p>
    <w:p w:rsidR="008B7665" w:rsidRPr="00BF4F59" w:rsidRDefault="008B7665" w:rsidP="008B7665">
      <w:pPr>
        <w:pStyle w:val="Titre"/>
        <w:spacing w:line="240" w:lineRule="auto"/>
        <w:jc w:val="both"/>
        <w:rPr>
          <w:rFonts w:ascii="Tahoma" w:hAnsi="Tahoma" w:cs="Tahoma"/>
          <w:b w:val="0"/>
          <w:sz w:val="18"/>
          <w:szCs w:val="18"/>
        </w:rPr>
      </w:pPr>
      <w:r w:rsidRPr="00BF4F59">
        <w:rPr>
          <w:rFonts w:ascii="Tahoma" w:hAnsi="Tahoma" w:cs="Tahoma"/>
          <w:sz w:val="18"/>
          <w:szCs w:val="18"/>
        </w:rPr>
        <w:t>Magistrada ponente:</w:t>
      </w:r>
      <w:r w:rsidRPr="00BF4F59">
        <w:rPr>
          <w:rFonts w:ascii="Tahoma" w:hAnsi="Tahoma" w:cs="Tahoma"/>
          <w:b w:val="0"/>
          <w:sz w:val="18"/>
          <w:szCs w:val="18"/>
        </w:rPr>
        <w:tab/>
        <w:t>Dra. Ana Lucía Caicedo Calderón</w:t>
      </w:r>
    </w:p>
    <w:p w:rsidR="00080145" w:rsidRPr="00BF4F59" w:rsidRDefault="008B7665" w:rsidP="008B7665">
      <w:pPr>
        <w:pStyle w:val="Titre"/>
        <w:spacing w:line="240" w:lineRule="auto"/>
        <w:ind w:left="2127" w:hanging="2127"/>
        <w:jc w:val="both"/>
        <w:rPr>
          <w:rFonts w:ascii="Tahoma" w:hAnsi="Tahoma" w:cs="Tahoma"/>
          <w:sz w:val="18"/>
          <w:szCs w:val="18"/>
        </w:rPr>
      </w:pPr>
      <w:r w:rsidRPr="00BF4F59">
        <w:rPr>
          <w:rFonts w:ascii="Tahoma" w:hAnsi="Tahoma" w:cs="Tahoma"/>
          <w:sz w:val="18"/>
          <w:szCs w:val="18"/>
        </w:rPr>
        <w:t>Tema:</w:t>
      </w:r>
      <w:r w:rsidRPr="00BF4F59">
        <w:rPr>
          <w:rFonts w:ascii="Tahoma" w:hAnsi="Tahoma" w:cs="Tahoma"/>
          <w:sz w:val="18"/>
          <w:szCs w:val="18"/>
        </w:rPr>
        <w:tab/>
      </w:r>
    </w:p>
    <w:p w:rsidR="008B7665" w:rsidRPr="00F056ED" w:rsidRDefault="00F056ED" w:rsidP="00F056ED">
      <w:pPr>
        <w:pStyle w:val="Titre"/>
        <w:spacing w:line="240" w:lineRule="auto"/>
        <w:ind w:left="2127" w:hanging="3"/>
        <w:jc w:val="both"/>
        <w:rPr>
          <w:rFonts w:ascii="Tahoma" w:hAnsi="Tahoma" w:cs="Tahoma"/>
          <w:b w:val="0"/>
          <w:sz w:val="18"/>
          <w:szCs w:val="18"/>
          <w:u w:val="single"/>
        </w:rPr>
      </w:pPr>
      <w:r w:rsidRPr="00F056ED">
        <w:rPr>
          <w:rFonts w:ascii="Tahoma" w:hAnsi="Tahoma" w:cs="Tahoma"/>
          <w:sz w:val="18"/>
          <w:szCs w:val="18"/>
          <w:lang w:val="es-CO"/>
        </w:rPr>
        <w:t>Aplicabilidad de la norma que consagra el derecho al incremento pensional por personas a cargo en el régimen de prima media con prestación definida</w:t>
      </w:r>
      <w:r w:rsidR="00EE586E" w:rsidRPr="00F056ED">
        <w:rPr>
          <w:rFonts w:ascii="Tahoma" w:hAnsi="Tahoma" w:cs="Tahoma"/>
          <w:sz w:val="18"/>
          <w:szCs w:val="18"/>
        </w:rPr>
        <w:t>:</w:t>
      </w:r>
      <w:r w:rsidR="00EE586E" w:rsidRPr="00F056ED">
        <w:rPr>
          <w:rFonts w:ascii="Tahoma" w:hAnsi="Tahoma" w:cs="Tahoma"/>
          <w:b w:val="0"/>
          <w:sz w:val="18"/>
          <w:szCs w:val="18"/>
        </w:rPr>
        <w:t xml:space="preserve"> </w:t>
      </w:r>
      <w:r w:rsidRPr="00F056ED">
        <w:rPr>
          <w:rFonts w:ascii="Tahoma" w:hAnsi="Tahoma" w:cs="Tahoma"/>
          <w:b w:val="0"/>
          <w:sz w:val="18"/>
          <w:szCs w:val="18"/>
        </w:rPr>
        <w:t xml:space="preserve">Esta </w:t>
      </w:r>
      <w:r w:rsidR="00EE586E" w:rsidRPr="00F056ED">
        <w:rPr>
          <w:rFonts w:ascii="Tahoma" w:hAnsi="Tahoma" w:cs="Tahoma"/>
          <w:b w:val="0"/>
          <w:sz w:val="18"/>
          <w:szCs w:val="18"/>
        </w:rPr>
        <w:t xml:space="preserve">Corporación mediante sentencia del 21 de mayo de 2014, proferida dentro del proceso radicado bajo el denominativo serial abreviado No. </w:t>
      </w:r>
      <w:r w:rsidR="00EE586E" w:rsidRPr="00F056ED">
        <w:rPr>
          <w:rFonts w:ascii="Tahoma" w:hAnsi="Tahoma" w:cs="Tahoma"/>
          <w:b w:val="0"/>
          <w:bCs/>
          <w:sz w:val="18"/>
          <w:szCs w:val="18"/>
        </w:rPr>
        <w:t>2012-00673, M.P. Julio César Salazar Muñoz, atendiendo a lo resuelto por la</w:t>
      </w:r>
      <w:r w:rsidR="00EE586E" w:rsidRPr="00F056ED">
        <w:rPr>
          <w:rFonts w:ascii="Tahoma" w:hAnsi="Tahoma" w:cs="Tahoma"/>
          <w:b w:val="0"/>
          <w:sz w:val="18"/>
          <w:szCs w:val="18"/>
        </w:rPr>
        <w:t xml:space="preserve"> Corte de Suprema de Justicia mediante fallo de tutela del 23 de abril de 2014, Radicado No. 36036, asumió el criterio de la Sala de Casación Laboral respecto a los incrementos pensionales por personas a cargo, consagrado en el artículo 21 del Acuerdo 049 de 1990 aprobado por el Decreto 758 del mismo año, el cual sigue la línea trazada, entre otras, en las sentencias del 27 de julio de 2005, con ponencia de los Magistrados Isaura Vargas y Jaime Moreno García, radicado No. 21517, la del 5 de diciembre de 2007, con ponencia del Magistrado Luis Javier Osorio López, radicado No. 29531 y la sentencia de agosto de 2010, radicado No. 35345, en las que se indicó que el incremento pensional no fue derogado tácitamente con la entrada en vigencia de la Ley 100 de 1993 y que se aplica en la actualidad para las personas que accedan al derecho pensional con base en el Acuerdo 049 de 1990, así sea bajo los postulados del régimen de transición, el cual se entiende extendido hasta el 31 de julio de 2010, </w:t>
      </w:r>
      <w:r w:rsidR="00EE586E" w:rsidRPr="00F056ED">
        <w:rPr>
          <w:rFonts w:ascii="Tahoma" w:hAnsi="Tahoma" w:cs="Tahoma"/>
          <w:b w:val="0"/>
          <w:color w:val="000000"/>
          <w:sz w:val="18"/>
          <w:szCs w:val="18"/>
        </w:rPr>
        <w:t xml:space="preserve">excepto para los trabajadores que estando en dicho régimen, además, tengan cotizadas al menos 750 semanas o su equivalente en tiempo de servicios a la entrada en vigencia del presente Acto Legislativo, a los cuales se les mantendrá dicho régimen hasta el año 2014, conforme a lo previsto en el parágrafo transitorio No. 4 del </w:t>
      </w:r>
      <w:r w:rsidR="00F47491" w:rsidRPr="00F056ED">
        <w:rPr>
          <w:rFonts w:ascii="Tahoma" w:hAnsi="Tahoma" w:cs="Tahoma"/>
          <w:b w:val="0"/>
          <w:color w:val="000000"/>
          <w:sz w:val="18"/>
          <w:szCs w:val="18"/>
        </w:rPr>
        <w:t xml:space="preserve">Acto Legislativo </w:t>
      </w:r>
      <w:r w:rsidR="00EE586E" w:rsidRPr="00F056ED">
        <w:rPr>
          <w:rFonts w:ascii="Tahoma" w:hAnsi="Tahoma" w:cs="Tahoma"/>
          <w:b w:val="0"/>
          <w:color w:val="000000"/>
          <w:sz w:val="18"/>
          <w:szCs w:val="18"/>
        </w:rPr>
        <w:t>01 de 2005, que modificó el artículo 48 de la Constitución Política.</w:t>
      </w:r>
      <w:r w:rsidR="00EE586E" w:rsidRPr="00F056ED">
        <w:rPr>
          <w:rFonts w:ascii="Tahoma" w:hAnsi="Tahoma" w:cs="Tahoma"/>
          <w:b w:val="0"/>
          <w:sz w:val="18"/>
          <w:szCs w:val="18"/>
        </w:rPr>
        <w:t xml:space="preserve"> De esta manera, conforme lo establecido por el artículo 21 del Acuerdo 049 de 1990, aprobado por el Decreto 758 de la misma </w:t>
      </w:r>
      <w:r w:rsidR="00F47491">
        <w:rPr>
          <w:rFonts w:ascii="Tahoma" w:hAnsi="Tahoma" w:cs="Tahoma"/>
          <w:b w:val="0"/>
          <w:sz w:val="18"/>
          <w:szCs w:val="18"/>
        </w:rPr>
        <w:t>anualidad</w:t>
      </w:r>
      <w:r w:rsidR="00EE586E" w:rsidRPr="00F056ED">
        <w:rPr>
          <w:rFonts w:ascii="Tahoma" w:hAnsi="Tahoma" w:cs="Tahoma"/>
          <w:b w:val="0"/>
          <w:sz w:val="18"/>
          <w:szCs w:val="18"/>
        </w:rPr>
        <w:t>, para que surjan a la vida jurídica dichos incrementos adicionales por el o la cónyuge, bastará que:</w:t>
      </w:r>
      <w:r w:rsidR="00EE586E" w:rsidRPr="00F056ED">
        <w:rPr>
          <w:rFonts w:ascii="Tahoma" w:hAnsi="Tahoma" w:cs="Tahoma"/>
          <w:b w:val="0"/>
          <w:i/>
          <w:sz w:val="18"/>
          <w:szCs w:val="18"/>
        </w:rPr>
        <w:t xml:space="preserve"> i)</w:t>
      </w:r>
      <w:r w:rsidR="00EE586E" w:rsidRPr="00F056ED">
        <w:rPr>
          <w:rFonts w:ascii="Tahoma" w:hAnsi="Tahoma" w:cs="Tahoma"/>
          <w:b w:val="0"/>
          <w:sz w:val="18"/>
          <w:szCs w:val="18"/>
        </w:rPr>
        <w:t xml:space="preserve"> la pensión de la cual se deriven surja de la aplicación de Acuerdo 049 de 1990</w:t>
      </w:r>
      <w:r w:rsidR="00EE586E" w:rsidRPr="00F056ED">
        <w:rPr>
          <w:rFonts w:ascii="Tahoma" w:hAnsi="Tahoma" w:cs="Tahoma"/>
          <w:b w:val="0"/>
          <w:sz w:val="18"/>
          <w:szCs w:val="18"/>
          <w:lang w:val="es-ES_tradnl"/>
        </w:rPr>
        <w:t xml:space="preserve"> y,</w:t>
      </w:r>
      <w:r w:rsidR="00EE586E" w:rsidRPr="00F056ED">
        <w:rPr>
          <w:rFonts w:ascii="Tahoma" w:hAnsi="Tahoma" w:cs="Tahoma"/>
          <w:b w:val="0"/>
          <w:i/>
          <w:sz w:val="18"/>
          <w:szCs w:val="18"/>
          <w:lang w:val="es-ES_tradnl"/>
        </w:rPr>
        <w:t xml:space="preserve"> ii) </w:t>
      </w:r>
      <w:r w:rsidR="00EE586E" w:rsidRPr="00F056ED">
        <w:rPr>
          <w:rFonts w:ascii="Tahoma" w:hAnsi="Tahoma" w:cs="Tahoma"/>
          <w:b w:val="0"/>
          <w:sz w:val="18"/>
          <w:szCs w:val="18"/>
          <w:lang w:val="es-ES_tradnl"/>
        </w:rPr>
        <w:t>que la cónyuge no tenga pensión propia y dependa económicamente del pensionado.</w:t>
      </w:r>
    </w:p>
    <w:p w:rsidR="003E491B" w:rsidRDefault="003E491B" w:rsidP="008B7665">
      <w:pPr>
        <w:pStyle w:val="Titre4"/>
        <w:widowControl w:val="0"/>
        <w:tabs>
          <w:tab w:val="clear" w:pos="0"/>
        </w:tabs>
        <w:spacing w:line="276" w:lineRule="auto"/>
        <w:rPr>
          <w:rFonts w:ascii="Tahoma" w:hAnsi="Tahoma" w:cs="Tahoma"/>
          <w:bCs/>
          <w:szCs w:val="24"/>
          <w:lang w:eastAsia="es-MX"/>
        </w:rPr>
      </w:pPr>
    </w:p>
    <w:p w:rsidR="008B7665" w:rsidRPr="004B5DE4" w:rsidRDefault="008B7665" w:rsidP="008B7665">
      <w:pPr>
        <w:pStyle w:val="Titre4"/>
        <w:widowControl w:val="0"/>
        <w:tabs>
          <w:tab w:val="clear" w:pos="0"/>
        </w:tabs>
        <w:spacing w:line="276" w:lineRule="auto"/>
        <w:rPr>
          <w:rFonts w:ascii="Tahoma" w:hAnsi="Tahoma" w:cs="Tahoma"/>
          <w:bCs/>
          <w:szCs w:val="24"/>
          <w:lang w:eastAsia="es-MX"/>
        </w:rPr>
      </w:pPr>
      <w:r w:rsidRPr="004B5DE4">
        <w:rPr>
          <w:rFonts w:ascii="Tahoma" w:hAnsi="Tahoma" w:cs="Tahoma"/>
          <w:bCs/>
          <w:szCs w:val="24"/>
          <w:lang w:eastAsia="es-MX"/>
        </w:rPr>
        <w:t>TRIBUNAL SUPERIOR DEL DISTRITO JUDICIAL DE PEREIRA</w:t>
      </w:r>
    </w:p>
    <w:p w:rsidR="008B7665" w:rsidRPr="004B5DE4" w:rsidRDefault="008B7665" w:rsidP="008B7665">
      <w:pPr>
        <w:pStyle w:val="Titre4"/>
        <w:widowControl w:val="0"/>
        <w:tabs>
          <w:tab w:val="clear" w:pos="0"/>
        </w:tabs>
        <w:spacing w:line="276" w:lineRule="auto"/>
        <w:rPr>
          <w:rFonts w:ascii="Tahoma" w:hAnsi="Tahoma" w:cs="Tahoma"/>
          <w:bCs/>
          <w:szCs w:val="24"/>
          <w:lang w:eastAsia="es-MX"/>
        </w:rPr>
      </w:pPr>
      <w:r w:rsidRPr="004B5DE4">
        <w:rPr>
          <w:rFonts w:ascii="Tahoma" w:hAnsi="Tahoma" w:cs="Tahoma"/>
          <w:bCs/>
          <w:szCs w:val="24"/>
          <w:lang w:eastAsia="es-MX"/>
        </w:rPr>
        <w:t xml:space="preserve">SALA </w:t>
      </w:r>
      <w:r>
        <w:rPr>
          <w:rFonts w:ascii="Tahoma" w:hAnsi="Tahoma" w:cs="Tahoma"/>
          <w:bCs/>
          <w:szCs w:val="24"/>
          <w:lang w:eastAsia="es-MX"/>
        </w:rPr>
        <w:t xml:space="preserve">DE DECISION </w:t>
      </w:r>
      <w:r w:rsidRPr="004B5DE4">
        <w:rPr>
          <w:rFonts w:ascii="Tahoma" w:hAnsi="Tahoma" w:cs="Tahoma"/>
          <w:bCs/>
          <w:szCs w:val="24"/>
          <w:lang w:eastAsia="es-MX"/>
        </w:rPr>
        <w:t>LABORAL</w:t>
      </w:r>
      <w:r>
        <w:rPr>
          <w:rFonts w:ascii="Tahoma" w:hAnsi="Tahoma" w:cs="Tahoma"/>
          <w:bCs/>
          <w:szCs w:val="24"/>
          <w:lang w:eastAsia="es-MX"/>
        </w:rPr>
        <w:t xml:space="preserve"> No. 1</w:t>
      </w:r>
    </w:p>
    <w:p w:rsidR="008B7665" w:rsidRPr="007834F9" w:rsidRDefault="008B7665" w:rsidP="008B7665">
      <w:pPr>
        <w:jc w:val="center"/>
        <w:rPr>
          <w:rFonts w:ascii="Tahoma" w:hAnsi="Tahoma" w:cs="Tahoma"/>
          <w:bCs/>
          <w:sz w:val="22"/>
          <w:szCs w:val="22"/>
        </w:rPr>
      </w:pPr>
    </w:p>
    <w:p w:rsidR="008B7665" w:rsidRDefault="008B7665" w:rsidP="004E4E43">
      <w:pPr>
        <w:jc w:val="center"/>
        <w:rPr>
          <w:rFonts w:ascii="Tahoma" w:hAnsi="Tahoma" w:cs="Tahoma"/>
          <w:b/>
          <w:bCs/>
          <w:sz w:val="22"/>
          <w:szCs w:val="22"/>
        </w:rPr>
      </w:pPr>
      <w:r w:rsidRPr="007834F9">
        <w:rPr>
          <w:rFonts w:ascii="Tahoma" w:hAnsi="Tahoma" w:cs="Tahoma"/>
          <w:bCs/>
          <w:sz w:val="22"/>
          <w:szCs w:val="22"/>
        </w:rPr>
        <w:t>Magistrada Ponente:</w:t>
      </w:r>
      <w:r w:rsidRPr="007834F9">
        <w:rPr>
          <w:rFonts w:ascii="Tahoma" w:hAnsi="Tahoma" w:cs="Tahoma"/>
          <w:b/>
          <w:bCs/>
          <w:sz w:val="22"/>
          <w:szCs w:val="22"/>
        </w:rPr>
        <w:t xml:space="preserve"> Ana Lucía Caicedo Calderón</w:t>
      </w:r>
    </w:p>
    <w:p w:rsidR="008B7665" w:rsidRPr="004B5DE4" w:rsidRDefault="008B7665" w:rsidP="004E4E43">
      <w:pPr>
        <w:jc w:val="center"/>
        <w:rPr>
          <w:rFonts w:ascii="Tahoma" w:hAnsi="Tahoma" w:cs="Tahoma"/>
          <w:b/>
          <w:bCs/>
          <w:sz w:val="22"/>
          <w:szCs w:val="22"/>
        </w:rPr>
      </w:pPr>
    </w:p>
    <w:p w:rsidR="008B7665" w:rsidRPr="000A18CA" w:rsidRDefault="008B7665" w:rsidP="004E4E43">
      <w:pPr>
        <w:jc w:val="center"/>
        <w:rPr>
          <w:rFonts w:ascii="Tahoma" w:hAnsi="Tahoma" w:cs="Tahoma"/>
          <w:b/>
          <w:sz w:val="22"/>
          <w:szCs w:val="22"/>
        </w:rPr>
      </w:pPr>
      <w:r w:rsidRPr="000A18CA">
        <w:rPr>
          <w:rFonts w:ascii="Tahoma" w:hAnsi="Tahoma" w:cs="Tahoma"/>
          <w:b/>
          <w:sz w:val="22"/>
          <w:szCs w:val="22"/>
        </w:rPr>
        <w:t>Acta No. ____</w:t>
      </w:r>
    </w:p>
    <w:p w:rsidR="008B7665" w:rsidRPr="000A18CA" w:rsidRDefault="008B7665" w:rsidP="004E4E43">
      <w:pPr>
        <w:jc w:val="center"/>
        <w:rPr>
          <w:rFonts w:ascii="Tahoma" w:hAnsi="Tahoma" w:cs="Tahoma"/>
          <w:b/>
          <w:sz w:val="22"/>
          <w:szCs w:val="22"/>
        </w:rPr>
      </w:pPr>
      <w:r w:rsidRPr="000A18CA">
        <w:rPr>
          <w:rFonts w:ascii="Tahoma" w:hAnsi="Tahoma" w:cs="Tahoma"/>
          <w:b/>
          <w:sz w:val="22"/>
          <w:szCs w:val="22"/>
        </w:rPr>
        <w:t>(</w:t>
      </w:r>
      <w:r w:rsidR="004E4E43" w:rsidRPr="000A18CA">
        <w:rPr>
          <w:rFonts w:ascii="Tahoma" w:hAnsi="Tahoma" w:cs="Tahoma"/>
          <w:b/>
          <w:sz w:val="22"/>
          <w:szCs w:val="22"/>
        </w:rPr>
        <w:t>Enero 2</w:t>
      </w:r>
      <w:r w:rsidR="00702DCF">
        <w:rPr>
          <w:rFonts w:ascii="Tahoma" w:hAnsi="Tahoma" w:cs="Tahoma"/>
          <w:b/>
          <w:sz w:val="22"/>
          <w:szCs w:val="22"/>
        </w:rPr>
        <w:t>7</w:t>
      </w:r>
      <w:r w:rsidR="004E4E43" w:rsidRPr="000A18CA">
        <w:rPr>
          <w:rFonts w:ascii="Tahoma" w:hAnsi="Tahoma" w:cs="Tahoma"/>
          <w:b/>
          <w:sz w:val="22"/>
          <w:szCs w:val="22"/>
        </w:rPr>
        <w:t xml:space="preserve"> de 2017</w:t>
      </w:r>
      <w:r w:rsidRPr="000A18CA">
        <w:rPr>
          <w:rFonts w:ascii="Tahoma" w:hAnsi="Tahoma" w:cs="Tahoma"/>
          <w:b/>
          <w:sz w:val="22"/>
          <w:szCs w:val="22"/>
        </w:rPr>
        <w:t>)</w:t>
      </w:r>
    </w:p>
    <w:p w:rsidR="008B7665" w:rsidRPr="000A18CA" w:rsidRDefault="008B7665" w:rsidP="004E4E43">
      <w:pPr>
        <w:jc w:val="center"/>
        <w:rPr>
          <w:rFonts w:ascii="Tahoma" w:hAnsi="Tahoma" w:cs="Tahoma"/>
          <w:b/>
          <w:sz w:val="22"/>
          <w:szCs w:val="22"/>
        </w:rPr>
      </w:pPr>
    </w:p>
    <w:p w:rsidR="008B7665" w:rsidRPr="000A18CA" w:rsidRDefault="008B7665" w:rsidP="004E4E43">
      <w:pPr>
        <w:pStyle w:val="Titre5"/>
        <w:spacing w:line="240" w:lineRule="auto"/>
        <w:ind w:firstLine="0"/>
        <w:jc w:val="center"/>
        <w:rPr>
          <w:rFonts w:ascii="Tahoma" w:hAnsi="Tahoma" w:cs="Tahoma"/>
          <w:sz w:val="22"/>
          <w:szCs w:val="22"/>
        </w:rPr>
      </w:pPr>
      <w:r w:rsidRPr="000A18CA">
        <w:rPr>
          <w:rFonts w:ascii="Tahoma" w:hAnsi="Tahoma" w:cs="Tahoma"/>
          <w:sz w:val="22"/>
          <w:szCs w:val="22"/>
        </w:rPr>
        <w:t>Sistema oral - Audiencia de juzgamiento</w:t>
      </w:r>
    </w:p>
    <w:p w:rsidR="008B7665" w:rsidRPr="000A18CA" w:rsidRDefault="008B7665" w:rsidP="008B7665">
      <w:pPr>
        <w:jc w:val="both"/>
        <w:rPr>
          <w:rFonts w:ascii="Tahoma" w:hAnsi="Tahoma" w:cs="Tahoma"/>
          <w:sz w:val="22"/>
          <w:szCs w:val="22"/>
          <w:lang w:val="es-ES_tradnl"/>
        </w:rPr>
      </w:pPr>
      <w:r w:rsidRPr="000A18CA">
        <w:rPr>
          <w:rFonts w:ascii="Tahoma" w:hAnsi="Tahoma" w:cs="Tahoma"/>
          <w:b/>
          <w:sz w:val="22"/>
          <w:szCs w:val="22"/>
        </w:rPr>
        <w:tab/>
      </w:r>
    </w:p>
    <w:p w:rsidR="008B7665" w:rsidRPr="000A18CA" w:rsidRDefault="008B7665" w:rsidP="008B7665">
      <w:pPr>
        <w:spacing w:line="276" w:lineRule="auto"/>
        <w:ind w:firstLine="708"/>
        <w:jc w:val="both"/>
        <w:rPr>
          <w:rFonts w:ascii="Tahoma" w:hAnsi="Tahoma" w:cs="Tahoma"/>
          <w:sz w:val="22"/>
          <w:szCs w:val="22"/>
        </w:rPr>
      </w:pPr>
      <w:r w:rsidRPr="000A18CA">
        <w:rPr>
          <w:rFonts w:ascii="Tahoma" w:hAnsi="Tahoma" w:cs="Tahoma"/>
          <w:sz w:val="22"/>
          <w:szCs w:val="22"/>
          <w:lang w:val="es-ES_tradnl"/>
        </w:rPr>
        <w:t xml:space="preserve">Siendo las </w:t>
      </w:r>
      <w:r w:rsidR="000A18CA" w:rsidRPr="000A18CA">
        <w:rPr>
          <w:rFonts w:ascii="Tahoma" w:hAnsi="Tahoma" w:cs="Tahoma"/>
          <w:sz w:val="22"/>
          <w:szCs w:val="22"/>
          <w:lang w:val="es-ES_tradnl"/>
        </w:rPr>
        <w:t>2</w:t>
      </w:r>
      <w:r w:rsidR="00B56BEF" w:rsidRPr="000A18CA">
        <w:rPr>
          <w:rFonts w:ascii="Tahoma" w:hAnsi="Tahoma" w:cs="Tahoma"/>
          <w:sz w:val="22"/>
          <w:szCs w:val="22"/>
          <w:lang w:val="es-ES_tradnl"/>
        </w:rPr>
        <w:t>:</w:t>
      </w:r>
      <w:r w:rsidR="004E4E43" w:rsidRPr="000A18CA">
        <w:rPr>
          <w:rFonts w:ascii="Tahoma" w:hAnsi="Tahoma" w:cs="Tahoma"/>
          <w:sz w:val="22"/>
          <w:szCs w:val="22"/>
          <w:lang w:val="es-ES_tradnl"/>
        </w:rPr>
        <w:t>30</w:t>
      </w:r>
      <w:r w:rsidRPr="000A18CA">
        <w:rPr>
          <w:rFonts w:ascii="Tahoma" w:hAnsi="Tahoma" w:cs="Tahoma"/>
          <w:sz w:val="22"/>
          <w:szCs w:val="22"/>
          <w:lang w:val="es-ES_tradnl"/>
        </w:rPr>
        <w:t xml:space="preserve"> </w:t>
      </w:r>
      <w:r w:rsidR="000A18CA" w:rsidRPr="000A18CA">
        <w:rPr>
          <w:rFonts w:ascii="Tahoma" w:hAnsi="Tahoma" w:cs="Tahoma"/>
          <w:sz w:val="22"/>
          <w:szCs w:val="22"/>
          <w:lang w:val="es-ES_tradnl"/>
        </w:rPr>
        <w:t>p</w:t>
      </w:r>
      <w:r w:rsidR="0072543C" w:rsidRPr="000A18CA">
        <w:rPr>
          <w:rFonts w:ascii="Tahoma" w:hAnsi="Tahoma" w:cs="Tahoma"/>
          <w:sz w:val="22"/>
          <w:szCs w:val="22"/>
          <w:lang w:val="es-ES_tradnl"/>
        </w:rPr>
        <w:t xml:space="preserve">.m. </w:t>
      </w:r>
      <w:r w:rsidRPr="000A18CA">
        <w:rPr>
          <w:rFonts w:ascii="Tahoma" w:hAnsi="Tahoma" w:cs="Tahoma"/>
          <w:sz w:val="22"/>
          <w:szCs w:val="22"/>
          <w:lang w:val="es-ES_tradnl"/>
        </w:rPr>
        <w:t xml:space="preserve">de hoy, </w:t>
      </w:r>
      <w:r w:rsidR="004E4E43" w:rsidRPr="000A18CA">
        <w:rPr>
          <w:rFonts w:ascii="Tahoma" w:hAnsi="Tahoma" w:cs="Tahoma"/>
          <w:sz w:val="22"/>
          <w:szCs w:val="22"/>
          <w:lang w:val="es-ES_tradnl"/>
        </w:rPr>
        <w:t>2</w:t>
      </w:r>
      <w:r w:rsidR="00702DCF">
        <w:rPr>
          <w:rFonts w:ascii="Tahoma" w:hAnsi="Tahoma" w:cs="Tahoma"/>
          <w:sz w:val="22"/>
          <w:szCs w:val="22"/>
          <w:lang w:val="es-ES_tradnl"/>
        </w:rPr>
        <w:t>7</w:t>
      </w:r>
      <w:r w:rsidR="004E4E43" w:rsidRPr="000A18CA">
        <w:rPr>
          <w:rFonts w:ascii="Tahoma" w:hAnsi="Tahoma" w:cs="Tahoma"/>
          <w:sz w:val="22"/>
          <w:szCs w:val="22"/>
          <w:lang w:val="es-ES_tradnl"/>
        </w:rPr>
        <w:t xml:space="preserve"> de enero de 2017</w:t>
      </w:r>
      <w:r w:rsidRPr="000A18CA">
        <w:rPr>
          <w:rFonts w:ascii="Tahoma" w:hAnsi="Tahoma" w:cs="Tahoma"/>
          <w:sz w:val="22"/>
          <w:szCs w:val="22"/>
          <w:lang w:val="es-ES_tradnl"/>
        </w:rPr>
        <w:t xml:space="preserve">, la Sala de Decisión Laboral No. 1 del Tribunal Superior de Pereira se constituye en audiencia pública de juzgamiento en el proceso ordinario laboral instaurado por </w:t>
      </w:r>
      <w:r w:rsidR="00702DCF">
        <w:rPr>
          <w:rFonts w:ascii="Tahoma" w:hAnsi="Tahoma" w:cs="Tahoma"/>
          <w:b/>
          <w:sz w:val="22"/>
          <w:szCs w:val="22"/>
          <w:lang w:val="es-ES_tradnl"/>
        </w:rPr>
        <w:t>María Ligia Serna de Ospina</w:t>
      </w:r>
      <w:r w:rsidR="00F21123" w:rsidRPr="000A18CA">
        <w:rPr>
          <w:rFonts w:ascii="Tahoma" w:hAnsi="Tahoma" w:cs="Tahoma"/>
          <w:b/>
          <w:sz w:val="22"/>
          <w:szCs w:val="22"/>
          <w:lang w:val="es-ES_tradnl"/>
        </w:rPr>
        <w:t xml:space="preserve"> </w:t>
      </w:r>
      <w:r w:rsidRPr="000A18CA">
        <w:rPr>
          <w:rFonts w:ascii="Tahoma" w:hAnsi="Tahoma" w:cs="Tahoma"/>
          <w:sz w:val="22"/>
          <w:szCs w:val="22"/>
          <w:lang w:val="es-ES_tradnl"/>
        </w:rPr>
        <w:t xml:space="preserve">en contra de la </w:t>
      </w:r>
      <w:r w:rsidRPr="000A18CA">
        <w:rPr>
          <w:rFonts w:ascii="Tahoma" w:hAnsi="Tahoma" w:cs="Tahoma"/>
          <w:b/>
          <w:sz w:val="22"/>
          <w:szCs w:val="22"/>
          <w:lang w:val="es-ES_tradnl"/>
        </w:rPr>
        <w:t>Administradora Colombiana de Pensiones –</w:t>
      </w:r>
      <w:r w:rsidR="00F21123" w:rsidRPr="000A18CA">
        <w:rPr>
          <w:rFonts w:ascii="Tahoma" w:hAnsi="Tahoma" w:cs="Tahoma"/>
          <w:b/>
          <w:sz w:val="22"/>
          <w:szCs w:val="22"/>
          <w:lang w:val="es-ES_tradnl"/>
        </w:rPr>
        <w:t xml:space="preserve"> </w:t>
      </w:r>
      <w:r w:rsidR="00B56BEF" w:rsidRPr="000A18CA">
        <w:rPr>
          <w:rFonts w:ascii="Tahoma" w:hAnsi="Tahoma" w:cs="Tahoma"/>
          <w:b/>
          <w:sz w:val="22"/>
          <w:szCs w:val="22"/>
          <w:lang w:val="es-ES_tradnl"/>
        </w:rPr>
        <w:t>Colpensiones</w:t>
      </w:r>
      <w:r w:rsidR="00F21123" w:rsidRPr="000A18CA">
        <w:rPr>
          <w:rFonts w:ascii="Tahoma" w:hAnsi="Tahoma" w:cs="Tahoma"/>
          <w:b/>
          <w:sz w:val="22"/>
          <w:szCs w:val="22"/>
          <w:lang w:val="es-ES_tradnl"/>
        </w:rPr>
        <w:t>.</w:t>
      </w:r>
    </w:p>
    <w:p w:rsidR="008B7665" w:rsidRPr="00480896" w:rsidRDefault="008B7665" w:rsidP="008B7665">
      <w:pPr>
        <w:ind w:firstLine="708"/>
        <w:jc w:val="both"/>
        <w:rPr>
          <w:rFonts w:ascii="Tahoma" w:hAnsi="Tahoma" w:cs="Tahoma"/>
          <w:sz w:val="22"/>
          <w:szCs w:val="22"/>
        </w:rPr>
      </w:pPr>
    </w:p>
    <w:p w:rsidR="008B7665" w:rsidRPr="007834F9" w:rsidRDefault="008B7665" w:rsidP="008B7665">
      <w:pPr>
        <w:spacing w:line="276" w:lineRule="auto"/>
        <w:ind w:firstLine="708"/>
        <w:jc w:val="both"/>
        <w:rPr>
          <w:rFonts w:ascii="Tahoma" w:hAnsi="Tahoma" w:cs="Tahoma"/>
          <w:sz w:val="22"/>
          <w:szCs w:val="22"/>
          <w:lang w:val="es-ES_tradnl"/>
        </w:rPr>
      </w:pPr>
      <w:r w:rsidRPr="007834F9">
        <w:rPr>
          <w:rFonts w:ascii="Tahoma" w:hAnsi="Tahoma" w:cs="Tahoma"/>
          <w:sz w:val="22"/>
          <w:szCs w:val="22"/>
          <w:lang w:val="es-ES_tradnl"/>
        </w:rPr>
        <w:t>Para el efecto, se verifica la asistencia de las partes a la presente diligencia: Por la parte demandante… Por la demandada…</w:t>
      </w:r>
    </w:p>
    <w:p w:rsidR="008B7665" w:rsidRPr="00C75CBF" w:rsidRDefault="008B7665" w:rsidP="008B7665">
      <w:pPr>
        <w:ind w:firstLine="1122"/>
        <w:jc w:val="both"/>
        <w:rPr>
          <w:rFonts w:ascii="Tahoma" w:hAnsi="Tahoma" w:cs="Tahoma"/>
          <w:caps/>
          <w:sz w:val="22"/>
          <w:szCs w:val="22"/>
          <w:lang w:val="es-ES_tradnl"/>
        </w:rPr>
      </w:pPr>
    </w:p>
    <w:p w:rsidR="008B7665" w:rsidRPr="00C75CBF" w:rsidRDefault="00581FD6" w:rsidP="008B7665">
      <w:pPr>
        <w:widowControl w:val="0"/>
        <w:autoSpaceDE w:val="0"/>
        <w:autoSpaceDN w:val="0"/>
        <w:adjustRightInd w:val="0"/>
        <w:spacing w:line="276" w:lineRule="auto"/>
        <w:jc w:val="center"/>
        <w:rPr>
          <w:rFonts w:ascii="Tahoma" w:hAnsi="Tahoma" w:cs="Tahoma"/>
          <w:b/>
          <w:caps/>
          <w:sz w:val="22"/>
          <w:szCs w:val="22"/>
        </w:rPr>
      </w:pPr>
      <w:r w:rsidRPr="00C75CBF">
        <w:rPr>
          <w:rFonts w:ascii="Tahoma" w:hAnsi="Tahoma" w:cs="Tahoma"/>
          <w:b/>
          <w:sz w:val="22"/>
          <w:szCs w:val="22"/>
        </w:rPr>
        <w:t>Alegatos de conclusión</w:t>
      </w:r>
    </w:p>
    <w:p w:rsidR="008B7665" w:rsidRPr="007834F9" w:rsidRDefault="008B7665" w:rsidP="008B7665">
      <w:pPr>
        <w:widowControl w:val="0"/>
        <w:autoSpaceDE w:val="0"/>
        <w:autoSpaceDN w:val="0"/>
        <w:adjustRightInd w:val="0"/>
        <w:jc w:val="both"/>
        <w:rPr>
          <w:rFonts w:ascii="Tahoma" w:hAnsi="Tahoma" w:cs="Tahoma"/>
          <w:sz w:val="22"/>
          <w:szCs w:val="22"/>
        </w:rPr>
      </w:pPr>
    </w:p>
    <w:p w:rsidR="008B7665" w:rsidRPr="007834F9" w:rsidRDefault="008B7665" w:rsidP="008B7665">
      <w:pPr>
        <w:spacing w:line="276" w:lineRule="auto"/>
        <w:ind w:firstLine="708"/>
        <w:jc w:val="both"/>
        <w:rPr>
          <w:rFonts w:ascii="Tahoma" w:hAnsi="Tahoma" w:cs="Tahoma"/>
          <w:sz w:val="22"/>
          <w:szCs w:val="22"/>
          <w:lang w:val="es-ES_tradnl"/>
        </w:rPr>
      </w:pPr>
      <w:r w:rsidRPr="007834F9">
        <w:rPr>
          <w:rFonts w:ascii="Tahoma" w:hAnsi="Tahoma" w:cs="Tahoma"/>
          <w:sz w:val="22"/>
          <w:szCs w:val="22"/>
          <w:lang w:val="es-ES_tradnl"/>
        </w:rPr>
        <w:t>De conformidad con el artículo 82 del C.P.T y de la s.s., modificado por el artículo 13 de la Ley 1149 de 2007, se concede el uso de la palabra a las partes para que presenten sus alegatos de conclusión. Por la parte demandante… Por la parte demandada…</w:t>
      </w:r>
    </w:p>
    <w:p w:rsidR="008B7665" w:rsidRPr="007834F9" w:rsidRDefault="008B7665" w:rsidP="008B7665">
      <w:pPr>
        <w:ind w:firstLine="708"/>
        <w:jc w:val="both"/>
        <w:rPr>
          <w:rFonts w:ascii="Tahoma" w:hAnsi="Tahoma" w:cs="Tahoma"/>
          <w:sz w:val="22"/>
          <w:szCs w:val="22"/>
          <w:lang w:val="es-ES_tradnl"/>
        </w:rPr>
      </w:pPr>
    </w:p>
    <w:p w:rsidR="008B7665" w:rsidRPr="007834F9" w:rsidRDefault="008B7665" w:rsidP="008B7665">
      <w:pPr>
        <w:widowControl w:val="0"/>
        <w:autoSpaceDE w:val="0"/>
        <w:autoSpaceDN w:val="0"/>
        <w:adjustRightInd w:val="0"/>
        <w:spacing w:line="276" w:lineRule="auto"/>
        <w:jc w:val="center"/>
        <w:rPr>
          <w:rFonts w:ascii="Tahoma" w:hAnsi="Tahoma" w:cs="Tahoma"/>
          <w:b/>
          <w:sz w:val="22"/>
          <w:szCs w:val="22"/>
        </w:rPr>
      </w:pPr>
      <w:r w:rsidRPr="007834F9">
        <w:rPr>
          <w:rFonts w:ascii="Tahoma" w:hAnsi="Tahoma" w:cs="Tahoma"/>
          <w:b/>
          <w:sz w:val="22"/>
          <w:szCs w:val="22"/>
        </w:rPr>
        <w:t>SENTENCIA</w:t>
      </w:r>
    </w:p>
    <w:p w:rsidR="008B7665" w:rsidRPr="007834F9" w:rsidRDefault="008B7665" w:rsidP="008B7665">
      <w:pPr>
        <w:widowControl w:val="0"/>
        <w:autoSpaceDE w:val="0"/>
        <w:autoSpaceDN w:val="0"/>
        <w:adjustRightInd w:val="0"/>
        <w:jc w:val="center"/>
        <w:rPr>
          <w:rFonts w:ascii="Tahoma" w:hAnsi="Tahoma" w:cs="Tahoma"/>
          <w:b/>
          <w:sz w:val="22"/>
          <w:szCs w:val="22"/>
        </w:rPr>
      </w:pPr>
    </w:p>
    <w:p w:rsidR="00B56BEF" w:rsidRDefault="008B7665" w:rsidP="00306E24">
      <w:pPr>
        <w:widowControl w:val="0"/>
        <w:autoSpaceDE w:val="0"/>
        <w:autoSpaceDN w:val="0"/>
        <w:adjustRightInd w:val="0"/>
        <w:spacing w:line="276" w:lineRule="auto"/>
        <w:ind w:firstLine="708"/>
        <w:jc w:val="both"/>
        <w:rPr>
          <w:rFonts w:ascii="Tahoma" w:hAnsi="Tahoma" w:cs="Tahoma"/>
          <w:sz w:val="22"/>
          <w:szCs w:val="22"/>
        </w:rPr>
      </w:pPr>
      <w:r w:rsidRPr="007834F9">
        <w:rPr>
          <w:rFonts w:ascii="Tahoma" w:hAnsi="Tahoma" w:cs="Tahoma"/>
          <w:sz w:val="22"/>
          <w:szCs w:val="22"/>
        </w:rPr>
        <w:t>Como quiera que los argumentos expuestos en las alegaciones fueron tenidos en cuenta en la discu</w:t>
      </w:r>
      <w:r w:rsidRPr="00B56BEF">
        <w:rPr>
          <w:rFonts w:ascii="Tahoma" w:hAnsi="Tahoma" w:cs="Tahoma"/>
          <w:sz w:val="22"/>
          <w:szCs w:val="22"/>
        </w:rPr>
        <w:t>sión del proyecto, procede la Sala a resolver el grado jurisdiccional de consulta</w:t>
      </w:r>
      <w:r w:rsidR="00B56BEF" w:rsidRPr="00B56BEF">
        <w:rPr>
          <w:rFonts w:ascii="Tahoma" w:hAnsi="Tahoma" w:cs="Tahoma"/>
          <w:sz w:val="22"/>
          <w:szCs w:val="22"/>
        </w:rPr>
        <w:t xml:space="preserve"> de la </w:t>
      </w:r>
      <w:r w:rsidRPr="00B56BEF">
        <w:rPr>
          <w:rFonts w:ascii="Tahoma" w:hAnsi="Tahoma" w:cs="Tahoma"/>
          <w:sz w:val="22"/>
          <w:szCs w:val="22"/>
        </w:rPr>
        <w:t>sentencia</w:t>
      </w:r>
      <w:r w:rsidRPr="007834F9">
        <w:rPr>
          <w:rFonts w:ascii="Tahoma" w:hAnsi="Tahoma" w:cs="Tahoma"/>
          <w:sz w:val="22"/>
          <w:szCs w:val="22"/>
        </w:rPr>
        <w:t xml:space="preserve"> emitida por el Juzgado </w:t>
      </w:r>
      <w:r w:rsidR="00702DCF">
        <w:rPr>
          <w:rFonts w:ascii="Tahoma" w:hAnsi="Tahoma" w:cs="Tahoma"/>
          <w:sz w:val="22"/>
          <w:szCs w:val="22"/>
        </w:rPr>
        <w:t>Quinto</w:t>
      </w:r>
      <w:r w:rsidRPr="007834F9">
        <w:rPr>
          <w:rFonts w:ascii="Tahoma" w:hAnsi="Tahoma" w:cs="Tahoma"/>
          <w:sz w:val="22"/>
          <w:szCs w:val="22"/>
        </w:rPr>
        <w:t xml:space="preserve"> Laboral del Circuito de Pereira el </w:t>
      </w:r>
      <w:r w:rsidR="00702DCF">
        <w:rPr>
          <w:rFonts w:ascii="Tahoma" w:hAnsi="Tahoma" w:cs="Tahoma"/>
          <w:sz w:val="22"/>
          <w:szCs w:val="22"/>
        </w:rPr>
        <w:t>23</w:t>
      </w:r>
      <w:r w:rsidRPr="007834F9">
        <w:rPr>
          <w:rFonts w:ascii="Tahoma" w:hAnsi="Tahoma" w:cs="Tahoma"/>
          <w:sz w:val="22"/>
          <w:szCs w:val="22"/>
        </w:rPr>
        <w:t xml:space="preserve"> de </w:t>
      </w:r>
      <w:r w:rsidR="000A18CA">
        <w:rPr>
          <w:rFonts w:ascii="Tahoma" w:hAnsi="Tahoma" w:cs="Tahoma"/>
          <w:sz w:val="22"/>
          <w:szCs w:val="22"/>
        </w:rPr>
        <w:t>julio</w:t>
      </w:r>
      <w:r w:rsidR="004E4E43">
        <w:rPr>
          <w:rFonts w:ascii="Tahoma" w:hAnsi="Tahoma" w:cs="Tahoma"/>
          <w:sz w:val="22"/>
          <w:szCs w:val="22"/>
        </w:rPr>
        <w:t xml:space="preserve"> de 20</w:t>
      </w:r>
      <w:r w:rsidR="00B56BEF">
        <w:rPr>
          <w:rFonts w:ascii="Tahoma" w:hAnsi="Tahoma" w:cs="Tahoma"/>
          <w:sz w:val="22"/>
          <w:szCs w:val="22"/>
        </w:rPr>
        <w:t>15</w:t>
      </w:r>
      <w:r w:rsidRPr="007834F9">
        <w:rPr>
          <w:rFonts w:ascii="Tahoma" w:hAnsi="Tahoma" w:cs="Tahoma"/>
          <w:sz w:val="22"/>
          <w:szCs w:val="22"/>
        </w:rPr>
        <w:t xml:space="preserve">, que resultara </w:t>
      </w:r>
      <w:r w:rsidRPr="007834F9">
        <w:rPr>
          <w:rFonts w:ascii="Tahoma" w:hAnsi="Tahoma" w:cs="Tahoma"/>
          <w:sz w:val="22"/>
          <w:szCs w:val="22"/>
        </w:rPr>
        <w:lastRenderedPageBreak/>
        <w:t>desfavorable a</w:t>
      </w:r>
      <w:r w:rsidR="00702DCF">
        <w:rPr>
          <w:rFonts w:ascii="Tahoma" w:hAnsi="Tahoma" w:cs="Tahoma"/>
          <w:sz w:val="22"/>
          <w:szCs w:val="22"/>
        </w:rPr>
        <w:t xml:space="preserve"> Colpensiones,</w:t>
      </w:r>
      <w:r w:rsidRPr="007834F9">
        <w:rPr>
          <w:rFonts w:ascii="Tahoma" w:hAnsi="Tahoma" w:cs="Tahoma"/>
          <w:sz w:val="22"/>
          <w:szCs w:val="22"/>
        </w:rPr>
        <w:t xml:space="preserve"> </w:t>
      </w:r>
      <w:r w:rsidR="00702DCF">
        <w:rPr>
          <w:rFonts w:ascii="Tahoma" w:hAnsi="Tahoma" w:cs="Tahoma"/>
          <w:sz w:val="22"/>
          <w:szCs w:val="22"/>
        </w:rPr>
        <w:t xml:space="preserve">así como la apelación interpuesta por el demandante, </w:t>
      </w:r>
      <w:r w:rsidRPr="007834F9">
        <w:rPr>
          <w:rFonts w:ascii="Tahoma" w:hAnsi="Tahoma" w:cs="Tahoma"/>
          <w:sz w:val="22"/>
          <w:szCs w:val="22"/>
        </w:rPr>
        <w:t xml:space="preserve">dentro del proceso ordinario laboral reseñado con anterioridad. </w:t>
      </w:r>
    </w:p>
    <w:p w:rsidR="00702DCF" w:rsidRDefault="00702DCF" w:rsidP="00306E24">
      <w:pPr>
        <w:widowControl w:val="0"/>
        <w:autoSpaceDE w:val="0"/>
        <w:autoSpaceDN w:val="0"/>
        <w:adjustRightInd w:val="0"/>
        <w:spacing w:line="276" w:lineRule="auto"/>
        <w:ind w:firstLine="708"/>
        <w:jc w:val="both"/>
        <w:rPr>
          <w:rFonts w:ascii="Tahoma" w:hAnsi="Tahoma" w:cs="Tahoma"/>
          <w:sz w:val="22"/>
          <w:szCs w:val="22"/>
        </w:rPr>
      </w:pPr>
    </w:p>
    <w:p w:rsidR="008B7665" w:rsidRPr="00C75CBF" w:rsidRDefault="00581FD6" w:rsidP="008B7665">
      <w:pPr>
        <w:widowControl w:val="0"/>
        <w:autoSpaceDE w:val="0"/>
        <w:autoSpaceDN w:val="0"/>
        <w:adjustRightInd w:val="0"/>
        <w:spacing w:line="276" w:lineRule="auto"/>
        <w:jc w:val="center"/>
        <w:rPr>
          <w:rFonts w:ascii="Tahoma" w:hAnsi="Tahoma" w:cs="Tahoma"/>
          <w:b/>
          <w:bCs/>
          <w:caps/>
          <w:sz w:val="22"/>
          <w:szCs w:val="22"/>
        </w:rPr>
      </w:pPr>
      <w:r w:rsidRPr="00C75CBF">
        <w:rPr>
          <w:rFonts w:ascii="Tahoma" w:hAnsi="Tahoma" w:cs="Tahoma"/>
          <w:b/>
          <w:bCs/>
          <w:sz w:val="22"/>
          <w:szCs w:val="22"/>
        </w:rPr>
        <w:t>Problema jurídico por resolver</w:t>
      </w:r>
    </w:p>
    <w:p w:rsidR="008B7665" w:rsidRPr="007834F9" w:rsidRDefault="008B7665" w:rsidP="008B7665">
      <w:pPr>
        <w:widowControl w:val="0"/>
        <w:tabs>
          <w:tab w:val="left" w:pos="748"/>
        </w:tabs>
        <w:autoSpaceDE w:val="0"/>
        <w:autoSpaceDN w:val="0"/>
        <w:adjustRightInd w:val="0"/>
        <w:ind w:left="748"/>
        <w:jc w:val="center"/>
        <w:rPr>
          <w:rFonts w:ascii="Tahoma" w:hAnsi="Tahoma" w:cs="Tahoma"/>
          <w:b/>
          <w:bCs/>
          <w:sz w:val="22"/>
          <w:szCs w:val="22"/>
        </w:rPr>
      </w:pPr>
    </w:p>
    <w:p w:rsidR="008B7665" w:rsidRDefault="008B7665" w:rsidP="008B7665">
      <w:pPr>
        <w:tabs>
          <w:tab w:val="left" w:pos="567"/>
        </w:tabs>
        <w:spacing w:line="276" w:lineRule="auto"/>
        <w:jc w:val="both"/>
        <w:rPr>
          <w:rFonts w:ascii="Tahoma" w:hAnsi="Tahoma" w:cs="Tahoma"/>
          <w:sz w:val="22"/>
          <w:szCs w:val="22"/>
        </w:rPr>
      </w:pPr>
      <w:r w:rsidRPr="007834F9">
        <w:rPr>
          <w:rFonts w:ascii="Tahoma" w:hAnsi="Tahoma" w:cs="Tahoma"/>
          <w:sz w:val="22"/>
          <w:szCs w:val="22"/>
        </w:rPr>
        <w:tab/>
      </w:r>
      <w:r w:rsidRPr="007834F9">
        <w:rPr>
          <w:rFonts w:ascii="Tahoma" w:hAnsi="Tahoma" w:cs="Tahoma"/>
          <w:sz w:val="22"/>
          <w:szCs w:val="22"/>
        </w:rPr>
        <w:tab/>
        <w:t>De acuerdo a lo expuesto en la</w:t>
      </w:r>
      <w:r w:rsidR="00F21123">
        <w:rPr>
          <w:rFonts w:ascii="Tahoma" w:hAnsi="Tahoma" w:cs="Tahoma"/>
          <w:sz w:val="22"/>
          <w:szCs w:val="22"/>
        </w:rPr>
        <w:t xml:space="preserve"> sentencia de primera instancia</w:t>
      </w:r>
      <w:r w:rsidRPr="007834F9">
        <w:rPr>
          <w:rFonts w:ascii="Tahoma" w:hAnsi="Tahoma" w:cs="Tahoma"/>
          <w:sz w:val="22"/>
          <w:szCs w:val="22"/>
        </w:rPr>
        <w:t xml:space="preserve">, le </w:t>
      </w:r>
      <w:r w:rsidRPr="00581FD6">
        <w:rPr>
          <w:rFonts w:ascii="Tahoma" w:hAnsi="Tahoma" w:cs="Tahoma"/>
          <w:sz w:val="22"/>
          <w:szCs w:val="22"/>
        </w:rPr>
        <w:t>corresponde a la Sala determinar</w:t>
      </w:r>
      <w:r w:rsidR="004A6CA2">
        <w:rPr>
          <w:rFonts w:ascii="Tahoma" w:hAnsi="Tahoma" w:cs="Tahoma"/>
          <w:sz w:val="22"/>
          <w:szCs w:val="22"/>
        </w:rPr>
        <w:t xml:space="preserve"> </w:t>
      </w:r>
      <w:r w:rsidR="004A6CA2" w:rsidRPr="00443FE7">
        <w:rPr>
          <w:rFonts w:ascii="Tahoma" w:hAnsi="Tahoma" w:cs="Tahoma"/>
          <w:sz w:val="22"/>
          <w:szCs w:val="22"/>
        </w:rPr>
        <w:t>si a la demandante le asiste derecho a</w:t>
      </w:r>
      <w:r w:rsidR="00702DCF">
        <w:rPr>
          <w:rFonts w:ascii="Tahoma" w:hAnsi="Tahoma" w:cs="Tahoma"/>
          <w:sz w:val="22"/>
          <w:szCs w:val="22"/>
        </w:rPr>
        <w:t xml:space="preserve"> l</w:t>
      </w:r>
      <w:r w:rsidR="008862EE" w:rsidRPr="00443FE7">
        <w:rPr>
          <w:rFonts w:ascii="Tahoma" w:hAnsi="Tahoma" w:cs="Tahoma"/>
          <w:sz w:val="22"/>
          <w:szCs w:val="22"/>
        </w:rPr>
        <w:t>os incrementos pe</w:t>
      </w:r>
      <w:r w:rsidR="004A6CA2" w:rsidRPr="00443FE7">
        <w:rPr>
          <w:rFonts w:ascii="Tahoma" w:hAnsi="Tahoma" w:cs="Tahoma"/>
          <w:sz w:val="22"/>
          <w:szCs w:val="22"/>
        </w:rPr>
        <w:t>nsional</w:t>
      </w:r>
      <w:r w:rsidR="008862EE" w:rsidRPr="00443FE7">
        <w:rPr>
          <w:rFonts w:ascii="Tahoma" w:hAnsi="Tahoma" w:cs="Tahoma"/>
          <w:sz w:val="22"/>
          <w:szCs w:val="22"/>
        </w:rPr>
        <w:t>es</w:t>
      </w:r>
      <w:r w:rsidR="004A6CA2" w:rsidRPr="00443FE7">
        <w:rPr>
          <w:rFonts w:ascii="Tahoma" w:hAnsi="Tahoma" w:cs="Tahoma"/>
          <w:sz w:val="22"/>
          <w:szCs w:val="22"/>
        </w:rPr>
        <w:t xml:space="preserve"> reclamado</w:t>
      </w:r>
      <w:r w:rsidR="008862EE" w:rsidRPr="00443FE7">
        <w:rPr>
          <w:rFonts w:ascii="Tahoma" w:hAnsi="Tahoma" w:cs="Tahoma"/>
          <w:sz w:val="22"/>
          <w:szCs w:val="22"/>
        </w:rPr>
        <w:t>s</w:t>
      </w:r>
      <w:r w:rsidR="00702DCF">
        <w:rPr>
          <w:rFonts w:ascii="Tahoma" w:hAnsi="Tahoma" w:cs="Tahoma"/>
          <w:sz w:val="22"/>
          <w:szCs w:val="22"/>
        </w:rPr>
        <w:t xml:space="preserve"> y, en caso afirmativo, si los mismos se vieron afectados por el fenómeno extintivo de la prescripción.</w:t>
      </w:r>
    </w:p>
    <w:p w:rsidR="00702DCF" w:rsidRDefault="00702DCF" w:rsidP="008B7665">
      <w:pPr>
        <w:tabs>
          <w:tab w:val="left" w:pos="567"/>
        </w:tabs>
        <w:spacing w:line="276" w:lineRule="auto"/>
        <w:jc w:val="both"/>
        <w:rPr>
          <w:rFonts w:ascii="Tahoma" w:hAnsi="Tahoma" w:cs="Tahoma"/>
          <w:sz w:val="22"/>
          <w:szCs w:val="22"/>
        </w:rPr>
      </w:pPr>
    </w:p>
    <w:p w:rsidR="008B7665" w:rsidRDefault="00581FD6" w:rsidP="008B7665">
      <w:pPr>
        <w:widowControl w:val="0"/>
        <w:numPr>
          <w:ilvl w:val="0"/>
          <w:numId w:val="1"/>
        </w:numPr>
        <w:tabs>
          <w:tab w:val="clear" w:pos="1080"/>
          <w:tab w:val="num" w:pos="374"/>
          <w:tab w:val="left" w:pos="561"/>
          <w:tab w:val="left" w:pos="935"/>
        </w:tabs>
        <w:autoSpaceDE w:val="0"/>
        <w:autoSpaceDN w:val="0"/>
        <w:adjustRightInd w:val="0"/>
        <w:spacing w:line="276" w:lineRule="auto"/>
        <w:ind w:left="0" w:firstLine="0"/>
        <w:jc w:val="center"/>
        <w:rPr>
          <w:rFonts w:ascii="Tahoma" w:hAnsi="Tahoma" w:cs="Tahoma"/>
          <w:b/>
          <w:caps/>
          <w:sz w:val="22"/>
          <w:szCs w:val="22"/>
        </w:rPr>
      </w:pPr>
      <w:r w:rsidRPr="00C75CBF">
        <w:rPr>
          <w:rFonts w:ascii="Tahoma" w:hAnsi="Tahoma" w:cs="Tahoma"/>
          <w:b/>
          <w:sz w:val="22"/>
          <w:szCs w:val="22"/>
        </w:rPr>
        <w:t>La demanda y su contestación</w:t>
      </w:r>
    </w:p>
    <w:p w:rsidR="008B7665" w:rsidRPr="004B5DE4" w:rsidRDefault="008B7665" w:rsidP="008B7665">
      <w:pPr>
        <w:widowControl w:val="0"/>
        <w:tabs>
          <w:tab w:val="left" w:pos="561"/>
          <w:tab w:val="left" w:pos="935"/>
        </w:tabs>
        <w:autoSpaceDE w:val="0"/>
        <w:autoSpaceDN w:val="0"/>
        <w:adjustRightInd w:val="0"/>
        <w:spacing w:line="276" w:lineRule="auto"/>
        <w:jc w:val="center"/>
        <w:rPr>
          <w:rFonts w:ascii="Tahoma" w:hAnsi="Tahoma" w:cs="Tahoma"/>
          <w:b/>
          <w:caps/>
          <w:sz w:val="22"/>
          <w:szCs w:val="22"/>
        </w:rPr>
      </w:pPr>
    </w:p>
    <w:p w:rsidR="00AD5181" w:rsidRDefault="00F9456C" w:rsidP="008B7665">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La</w:t>
      </w:r>
      <w:r w:rsidR="00306E24">
        <w:rPr>
          <w:rFonts w:ascii="Tahoma" w:hAnsi="Tahoma" w:cs="Tahoma"/>
          <w:sz w:val="22"/>
          <w:szCs w:val="22"/>
        </w:rPr>
        <w:t xml:space="preserve"> citad</w:t>
      </w:r>
      <w:r w:rsidR="00702DCF">
        <w:rPr>
          <w:rFonts w:ascii="Tahoma" w:hAnsi="Tahoma" w:cs="Tahoma"/>
          <w:sz w:val="22"/>
          <w:szCs w:val="22"/>
        </w:rPr>
        <w:t xml:space="preserve">a demandante </w:t>
      </w:r>
      <w:r>
        <w:rPr>
          <w:rFonts w:ascii="Tahoma" w:hAnsi="Tahoma" w:cs="Tahoma"/>
          <w:sz w:val="22"/>
          <w:szCs w:val="22"/>
        </w:rPr>
        <w:t xml:space="preserve">solicitó </w:t>
      </w:r>
      <w:r w:rsidR="00702DCF">
        <w:rPr>
          <w:rFonts w:ascii="Tahoma" w:hAnsi="Tahoma" w:cs="Tahoma"/>
          <w:sz w:val="22"/>
          <w:szCs w:val="22"/>
        </w:rPr>
        <w:t xml:space="preserve">inicialmente que, en su calidad de beneficiaria del régimen de transición, </w:t>
      </w:r>
      <w:r w:rsidR="003F5689">
        <w:rPr>
          <w:rFonts w:ascii="Tahoma" w:hAnsi="Tahoma" w:cs="Tahoma"/>
          <w:sz w:val="22"/>
          <w:szCs w:val="22"/>
        </w:rPr>
        <w:t xml:space="preserve">se ordenara </w:t>
      </w:r>
      <w:r>
        <w:rPr>
          <w:rFonts w:ascii="Tahoma" w:hAnsi="Tahoma" w:cs="Tahoma"/>
          <w:sz w:val="22"/>
          <w:szCs w:val="22"/>
        </w:rPr>
        <w:t xml:space="preserve">a </w:t>
      </w:r>
      <w:proofErr w:type="spellStart"/>
      <w:r>
        <w:rPr>
          <w:rFonts w:ascii="Tahoma" w:hAnsi="Tahoma" w:cs="Tahoma"/>
          <w:sz w:val="22"/>
          <w:szCs w:val="22"/>
        </w:rPr>
        <w:t>Colpensiones</w:t>
      </w:r>
      <w:proofErr w:type="spellEnd"/>
      <w:r>
        <w:rPr>
          <w:rFonts w:ascii="Tahoma" w:hAnsi="Tahoma" w:cs="Tahoma"/>
          <w:sz w:val="22"/>
          <w:szCs w:val="22"/>
        </w:rPr>
        <w:t xml:space="preserve"> que </w:t>
      </w:r>
      <w:proofErr w:type="spellStart"/>
      <w:r>
        <w:rPr>
          <w:rFonts w:ascii="Tahoma" w:hAnsi="Tahoma" w:cs="Tahoma"/>
          <w:sz w:val="22"/>
          <w:szCs w:val="22"/>
        </w:rPr>
        <w:t>reliquidara</w:t>
      </w:r>
      <w:proofErr w:type="spellEnd"/>
      <w:r>
        <w:rPr>
          <w:rFonts w:ascii="Tahoma" w:hAnsi="Tahoma" w:cs="Tahoma"/>
          <w:sz w:val="22"/>
          <w:szCs w:val="22"/>
        </w:rPr>
        <w:t xml:space="preserve"> su </w:t>
      </w:r>
      <w:r w:rsidR="003F5689">
        <w:rPr>
          <w:rFonts w:ascii="Tahoma" w:hAnsi="Tahoma" w:cs="Tahoma"/>
          <w:sz w:val="22"/>
          <w:szCs w:val="22"/>
        </w:rPr>
        <w:t>pensión de vejez en aplicación del Acuerdo 049 de 1990</w:t>
      </w:r>
      <w:r w:rsidR="0084231A">
        <w:rPr>
          <w:rFonts w:ascii="Tahoma" w:hAnsi="Tahoma" w:cs="Tahoma"/>
          <w:sz w:val="22"/>
          <w:szCs w:val="22"/>
        </w:rPr>
        <w:t>, en su calidad de beneficiaria del régimen de transición,</w:t>
      </w:r>
      <w:r w:rsidR="003F5689">
        <w:rPr>
          <w:rFonts w:ascii="Tahoma" w:hAnsi="Tahoma" w:cs="Tahoma"/>
          <w:sz w:val="22"/>
          <w:szCs w:val="22"/>
        </w:rPr>
        <w:t xml:space="preserve"> y </w:t>
      </w:r>
      <w:r>
        <w:rPr>
          <w:rFonts w:ascii="Tahoma" w:hAnsi="Tahoma" w:cs="Tahoma"/>
          <w:sz w:val="22"/>
          <w:szCs w:val="22"/>
        </w:rPr>
        <w:t>cancelara</w:t>
      </w:r>
      <w:r w:rsidR="00C9084E">
        <w:rPr>
          <w:rFonts w:ascii="Tahoma" w:hAnsi="Tahoma" w:cs="Tahoma"/>
          <w:sz w:val="22"/>
          <w:szCs w:val="22"/>
        </w:rPr>
        <w:t>,</w:t>
      </w:r>
      <w:r>
        <w:rPr>
          <w:rFonts w:ascii="Tahoma" w:hAnsi="Tahoma" w:cs="Tahoma"/>
          <w:sz w:val="22"/>
          <w:szCs w:val="22"/>
        </w:rPr>
        <w:t xml:space="preserve"> </w:t>
      </w:r>
      <w:r w:rsidR="00C9084E">
        <w:rPr>
          <w:rFonts w:ascii="Tahoma" w:hAnsi="Tahoma" w:cs="Tahoma"/>
          <w:sz w:val="22"/>
          <w:szCs w:val="22"/>
        </w:rPr>
        <w:t xml:space="preserve">debidamente indexado desde el 30 de julio de 2009, </w:t>
      </w:r>
      <w:r w:rsidR="003F5689">
        <w:rPr>
          <w:rFonts w:ascii="Tahoma" w:hAnsi="Tahoma" w:cs="Tahoma"/>
          <w:sz w:val="22"/>
          <w:szCs w:val="22"/>
        </w:rPr>
        <w:t>el incremento pensional</w:t>
      </w:r>
      <w:r>
        <w:rPr>
          <w:rFonts w:ascii="Tahoma" w:hAnsi="Tahoma" w:cs="Tahoma"/>
          <w:sz w:val="22"/>
          <w:szCs w:val="22"/>
        </w:rPr>
        <w:t xml:space="preserve"> del 14% por tener a cargo a su cónyuge</w:t>
      </w:r>
      <w:r w:rsidR="00AD5181">
        <w:rPr>
          <w:rFonts w:ascii="Tahoma" w:hAnsi="Tahoma" w:cs="Tahoma"/>
          <w:sz w:val="22"/>
          <w:szCs w:val="22"/>
        </w:rPr>
        <w:t>. N</w:t>
      </w:r>
      <w:r>
        <w:rPr>
          <w:rFonts w:ascii="Tahoma" w:hAnsi="Tahoma" w:cs="Tahoma"/>
          <w:sz w:val="22"/>
          <w:szCs w:val="22"/>
        </w:rPr>
        <w:t xml:space="preserve">o obstante, como en el curso del proceso </w:t>
      </w:r>
      <w:r w:rsidR="00AD5181">
        <w:rPr>
          <w:rFonts w:ascii="Tahoma" w:hAnsi="Tahoma" w:cs="Tahoma"/>
          <w:sz w:val="22"/>
          <w:szCs w:val="22"/>
        </w:rPr>
        <w:t xml:space="preserve">dicha </w:t>
      </w:r>
      <w:r>
        <w:rPr>
          <w:rFonts w:ascii="Tahoma" w:hAnsi="Tahoma" w:cs="Tahoma"/>
          <w:sz w:val="22"/>
          <w:szCs w:val="22"/>
        </w:rPr>
        <w:t xml:space="preserve">entidad </w:t>
      </w:r>
      <w:proofErr w:type="spellStart"/>
      <w:r w:rsidR="00AD5181">
        <w:rPr>
          <w:rFonts w:ascii="Tahoma" w:hAnsi="Tahoma" w:cs="Tahoma"/>
          <w:sz w:val="22"/>
          <w:szCs w:val="22"/>
        </w:rPr>
        <w:t>reliquidó</w:t>
      </w:r>
      <w:proofErr w:type="spellEnd"/>
      <w:r w:rsidR="00AD5181">
        <w:rPr>
          <w:rFonts w:ascii="Tahoma" w:hAnsi="Tahoma" w:cs="Tahoma"/>
          <w:sz w:val="22"/>
          <w:szCs w:val="22"/>
        </w:rPr>
        <w:t xml:space="preserve"> la pensión conforme se solicitó en la primera de las pretensiones, el litigio se fijó exclusivamente en lo relacionado con el pago de los aludidos incrementos.</w:t>
      </w:r>
    </w:p>
    <w:p w:rsidR="00AD5181" w:rsidRDefault="00AD5181" w:rsidP="008B7665">
      <w:pPr>
        <w:widowControl w:val="0"/>
        <w:autoSpaceDE w:val="0"/>
        <w:autoSpaceDN w:val="0"/>
        <w:adjustRightInd w:val="0"/>
        <w:spacing w:line="276" w:lineRule="auto"/>
        <w:ind w:firstLine="708"/>
        <w:jc w:val="both"/>
        <w:rPr>
          <w:rFonts w:ascii="Tahoma" w:hAnsi="Tahoma" w:cs="Tahoma"/>
          <w:sz w:val="22"/>
          <w:szCs w:val="22"/>
        </w:rPr>
      </w:pPr>
    </w:p>
    <w:p w:rsidR="00702DCF" w:rsidRDefault="00AD5181" w:rsidP="008B7665">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De esta manera, para fundar aquella pretensión </w:t>
      </w:r>
      <w:r w:rsidR="00EC7F8D">
        <w:rPr>
          <w:rFonts w:ascii="Tahoma" w:hAnsi="Tahoma" w:cs="Tahoma"/>
          <w:sz w:val="22"/>
          <w:szCs w:val="22"/>
        </w:rPr>
        <w:t xml:space="preserve">aduce </w:t>
      </w:r>
      <w:r>
        <w:rPr>
          <w:rFonts w:ascii="Tahoma" w:hAnsi="Tahoma" w:cs="Tahoma"/>
          <w:sz w:val="22"/>
          <w:szCs w:val="22"/>
        </w:rPr>
        <w:t>la actora que mediante la Resolución No. 103.874 de 2010</w:t>
      </w:r>
      <w:r w:rsidR="003F5689">
        <w:rPr>
          <w:rFonts w:ascii="Tahoma" w:hAnsi="Tahoma" w:cs="Tahoma"/>
          <w:sz w:val="22"/>
          <w:szCs w:val="22"/>
        </w:rPr>
        <w:t xml:space="preserve"> </w:t>
      </w:r>
      <w:r w:rsidR="0084231A">
        <w:rPr>
          <w:rFonts w:ascii="Tahoma" w:hAnsi="Tahoma" w:cs="Tahoma"/>
          <w:sz w:val="22"/>
          <w:szCs w:val="22"/>
        </w:rPr>
        <w:t xml:space="preserve">el </w:t>
      </w:r>
      <w:r w:rsidR="00A27639">
        <w:rPr>
          <w:rFonts w:ascii="Tahoma" w:hAnsi="Tahoma" w:cs="Tahoma"/>
          <w:sz w:val="22"/>
          <w:szCs w:val="22"/>
        </w:rPr>
        <w:t xml:space="preserve">entonces </w:t>
      </w:r>
      <w:r w:rsidR="0084231A">
        <w:rPr>
          <w:rFonts w:ascii="Tahoma" w:hAnsi="Tahoma" w:cs="Tahoma"/>
          <w:sz w:val="22"/>
          <w:szCs w:val="22"/>
        </w:rPr>
        <w:t xml:space="preserve">I.S.S. le </w:t>
      </w:r>
      <w:r w:rsidR="006E4D61">
        <w:rPr>
          <w:rFonts w:ascii="Tahoma" w:hAnsi="Tahoma" w:cs="Tahoma"/>
          <w:sz w:val="22"/>
          <w:szCs w:val="22"/>
        </w:rPr>
        <w:t xml:space="preserve">concedió </w:t>
      </w:r>
      <w:r w:rsidR="0084231A">
        <w:rPr>
          <w:rFonts w:ascii="Tahoma" w:hAnsi="Tahoma" w:cs="Tahoma"/>
          <w:sz w:val="22"/>
          <w:szCs w:val="22"/>
        </w:rPr>
        <w:t xml:space="preserve">la pensión de vejez al tenor de lo dispuesto en el artículo 9º de la Ley </w:t>
      </w:r>
      <w:r w:rsidR="006E4D61">
        <w:rPr>
          <w:rFonts w:ascii="Tahoma" w:hAnsi="Tahoma" w:cs="Tahoma"/>
          <w:sz w:val="22"/>
          <w:szCs w:val="22"/>
        </w:rPr>
        <w:t>797 de 2003</w:t>
      </w:r>
      <w:r w:rsidR="00A27639">
        <w:rPr>
          <w:rFonts w:ascii="Tahoma" w:hAnsi="Tahoma" w:cs="Tahoma"/>
          <w:sz w:val="22"/>
          <w:szCs w:val="22"/>
        </w:rPr>
        <w:t>,</w:t>
      </w:r>
      <w:r w:rsidR="006E4D61">
        <w:rPr>
          <w:rFonts w:ascii="Tahoma" w:hAnsi="Tahoma" w:cs="Tahoma"/>
          <w:sz w:val="22"/>
          <w:szCs w:val="22"/>
        </w:rPr>
        <w:t xml:space="preserve"> y que mediante escrito del 24 de julio de 2014 solicitó el reconocimiento pensional con las disposiciones del Acuerdo 049 de 1990, al cual no se le había dado respuesta al momento de presentar la demanda.</w:t>
      </w:r>
    </w:p>
    <w:p w:rsidR="006E4D61" w:rsidRDefault="006E4D61" w:rsidP="008B7665">
      <w:pPr>
        <w:widowControl w:val="0"/>
        <w:autoSpaceDE w:val="0"/>
        <w:autoSpaceDN w:val="0"/>
        <w:adjustRightInd w:val="0"/>
        <w:spacing w:line="276" w:lineRule="auto"/>
        <w:ind w:firstLine="708"/>
        <w:jc w:val="both"/>
        <w:rPr>
          <w:rFonts w:ascii="Tahoma" w:hAnsi="Tahoma" w:cs="Tahoma"/>
          <w:sz w:val="22"/>
          <w:szCs w:val="22"/>
        </w:rPr>
      </w:pPr>
    </w:p>
    <w:p w:rsidR="006E4D61" w:rsidRDefault="006E4D61" w:rsidP="008B7665">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Agrega que tiene vínculo matrimonial desde el 19 de noviembre de 1977 con Pedro Javier Ospina</w:t>
      </w:r>
      <w:r w:rsidR="009A3646">
        <w:rPr>
          <w:rFonts w:ascii="Tahoma" w:hAnsi="Tahoma" w:cs="Tahoma"/>
          <w:sz w:val="22"/>
          <w:szCs w:val="22"/>
        </w:rPr>
        <w:t>, con quien ha convivido de manera ininterrumpida desde esa calenda y quien depende económicamente de ella, ya que no labora, no tiene ingresos económicos ni posee bienes por los que devengue rentas civiles</w:t>
      </w:r>
      <w:r w:rsidR="00EC7F8D">
        <w:rPr>
          <w:rFonts w:ascii="Tahoma" w:hAnsi="Tahoma" w:cs="Tahoma"/>
          <w:sz w:val="22"/>
          <w:szCs w:val="22"/>
        </w:rPr>
        <w:t>;</w:t>
      </w:r>
      <w:r w:rsidR="009A3646">
        <w:rPr>
          <w:rFonts w:ascii="Tahoma" w:hAnsi="Tahoma" w:cs="Tahoma"/>
          <w:sz w:val="22"/>
          <w:szCs w:val="22"/>
        </w:rPr>
        <w:t xml:space="preserve"> por lo cual tiene derecho a percibir el 14% sobre el salario mínimo legal, tal como lo reclamó el 22 de marzo de 2011.</w:t>
      </w:r>
      <w:r>
        <w:rPr>
          <w:rFonts w:ascii="Tahoma" w:hAnsi="Tahoma" w:cs="Tahoma"/>
          <w:sz w:val="22"/>
          <w:szCs w:val="22"/>
        </w:rPr>
        <w:t xml:space="preserve"> </w:t>
      </w:r>
    </w:p>
    <w:p w:rsidR="008E316E" w:rsidRDefault="008E316E" w:rsidP="00E54AF1">
      <w:pPr>
        <w:widowControl w:val="0"/>
        <w:autoSpaceDE w:val="0"/>
        <w:autoSpaceDN w:val="0"/>
        <w:adjustRightInd w:val="0"/>
        <w:spacing w:line="276" w:lineRule="auto"/>
        <w:ind w:firstLine="708"/>
        <w:jc w:val="both"/>
        <w:rPr>
          <w:rFonts w:ascii="Tahoma" w:hAnsi="Tahoma" w:cs="Tahoma"/>
          <w:sz w:val="22"/>
          <w:szCs w:val="22"/>
        </w:rPr>
      </w:pPr>
    </w:p>
    <w:p w:rsidR="002A10EF" w:rsidRDefault="001250D7" w:rsidP="00AD15CD">
      <w:pPr>
        <w:widowControl w:val="0"/>
        <w:autoSpaceDE w:val="0"/>
        <w:autoSpaceDN w:val="0"/>
        <w:adjustRightInd w:val="0"/>
        <w:spacing w:line="276" w:lineRule="auto"/>
        <w:ind w:firstLine="708"/>
        <w:jc w:val="both"/>
        <w:rPr>
          <w:rFonts w:ascii="Tahoma" w:hAnsi="Tahoma" w:cs="Tahoma"/>
          <w:sz w:val="22"/>
          <w:szCs w:val="22"/>
        </w:rPr>
      </w:pPr>
      <w:r w:rsidRPr="001250D7">
        <w:rPr>
          <w:rFonts w:ascii="Tahoma" w:hAnsi="Tahoma" w:cs="Tahoma"/>
          <w:sz w:val="22"/>
          <w:szCs w:val="22"/>
        </w:rPr>
        <w:t>Colpensiones</w:t>
      </w:r>
      <w:r w:rsidRPr="007834F9">
        <w:rPr>
          <w:rFonts w:ascii="Tahoma" w:hAnsi="Tahoma" w:cs="Tahoma"/>
          <w:sz w:val="22"/>
          <w:szCs w:val="22"/>
        </w:rPr>
        <w:t xml:space="preserve"> </w:t>
      </w:r>
      <w:r w:rsidR="00271868">
        <w:rPr>
          <w:rFonts w:ascii="Tahoma" w:hAnsi="Tahoma" w:cs="Tahoma"/>
          <w:sz w:val="22"/>
          <w:szCs w:val="22"/>
        </w:rPr>
        <w:t xml:space="preserve">aceptó los hechos relacionados con el contenido de la Resolución </w:t>
      </w:r>
      <w:r w:rsidR="002A10EF">
        <w:rPr>
          <w:rFonts w:ascii="Tahoma" w:hAnsi="Tahoma" w:cs="Tahoma"/>
          <w:sz w:val="22"/>
          <w:szCs w:val="22"/>
        </w:rPr>
        <w:t>0103874 del 12 de agosto de 2010; la reclamación presentada el 24 de julio de 2014; que la demandante tiene un vínculo matrimonial con el señor Pedro Ja</w:t>
      </w:r>
      <w:r w:rsidR="00274D7C">
        <w:rPr>
          <w:rFonts w:ascii="Tahoma" w:hAnsi="Tahoma" w:cs="Tahoma"/>
          <w:sz w:val="22"/>
          <w:szCs w:val="22"/>
        </w:rPr>
        <w:t>ir Ospina Torres y que el 22 de marzo de 2011 solicitó el reconocimiento de los incrementos pensionales. Frente a los demás hechos manifestó que no eran ciertos o que no le constaban.</w:t>
      </w:r>
    </w:p>
    <w:p w:rsidR="00274D7C" w:rsidRDefault="00274D7C" w:rsidP="00AD15CD">
      <w:pPr>
        <w:widowControl w:val="0"/>
        <w:autoSpaceDE w:val="0"/>
        <w:autoSpaceDN w:val="0"/>
        <w:adjustRightInd w:val="0"/>
        <w:spacing w:line="276" w:lineRule="auto"/>
        <w:ind w:firstLine="708"/>
        <w:jc w:val="both"/>
        <w:rPr>
          <w:rFonts w:ascii="Tahoma" w:hAnsi="Tahoma" w:cs="Tahoma"/>
          <w:sz w:val="22"/>
          <w:szCs w:val="22"/>
        </w:rPr>
      </w:pPr>
    </w:p>
    <w:p w:rsidR="00274D7C" w:rsidRDefault="00274D7C" w:rsidP="00AD15CD">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Seguidamente se opuso a las pretensiones de la demanda y propuso como excepciones</w:t>
      </w:r>
      <w:r w:rsidR="00EC7F8D">
        <w:rPr>
          <w:rFonts w:ascii="Tahoma" w:hAnsi="Tahoma" w:cs="Tahoma"/>
          <w:sz w:val="22"/>
          <w:szCs w:val="22"/>
        </w:rPr>
        <w:t xml:space="preserve"> perentorias</w:t>
      </w:r>
      <w:r>
        <w:rPr>
          <w:rFonts w:ascii="Tahoma" w:hAnsi="Tahoma" w:cs="Tahoma"/>
          <w:sz w:val="22"/>
          <w:szCs w:val="22"/>
        </w:rPr>
        <w:t xml:space="preserve"> las que denominó</w:t>
      </w:r>
      <w:r w:rsidR="00295F6A">
        <w:rPr>
          <w:rFonts w:ascii="Tahoma" w:hAnsi="Tahoma" w:cs="Tahoma"/>
          <w:sz w:val="22"/>
          <w:szCs w:val="22"/>
        </w:rPr>
        <w:t xml:space="preserve"> “Inexistencia de la obligación demandada”; “Improcedencia del reconocimiento de intereses moratorios o indexación de montos”; </w:t>
      </w:r>
      <w:r w:rsidR="00E47FAC">
        <w:rPr>
          <w:rFonts w:ascii="Tahoma" w:hAnsi="Tahoma" w:cs="Tahoma"/>
          <w:sz w:val="22"/>
          <w:szCs w:val="22"/>
        </w:rPr>
        <w:t>“Cobro de lo no debido”; “Prescripción”; “Buena fe” y “Genéricas”.</w:t>
      </w:r>
    </w:p>
    <w:p w:rsidR="008C7E33" w:rsidRDefault="008C7E33" w:rsidP="00AD15CD">
      <w:pPr>
        <w:widowControl w:val="0"/>
        <w:autoSpaceDE w:val="0"/>
        <w:autoSpaceDN w:val="0"/>
        <w:adjustRightInd w:val="0"/>
        <w:spacing w:line="276" w:lineRule="auto"/>
        <w:ind w:firstLine="708"/>
        <w:jc w:val="both"/>
        <w:rPr>
          <w:rFonts w:ascii="Tahoma" w:hAnsi="Tahoma" w:cs="Tahoma"/>
          <w:sz w:val="22"/>
          <w:szCs w:val="22"/>
        </w:rPr>
      </w:pPr>
    </w:p>
    <w:p w:rsidR="008B7665" w:rsidRPr="00C75CBF" w:rsidRDefault="00581FD6" w:rsidP="008B7665">
      <w:pPr>
        <w:widowControl w:val="0"/>
        <w:numPr>
          <w:ilvl w:val="0"/>
          <w:numId w:val="1"/>
        </w:numPr>
        <w:tabs>
          <w:tab w:val="clear" w:pos="1080"/>
          <w:tab w:val="num" w:pos="561"/>
        </w:tabs>
        <w:autoSpaceDE w:val="0"/>
        <w:autoSpaceDN w:val="0"/>
        <w:adjustRightInd w:val="0"/>
        <w:spacing w:line="276" w:lineRule="auto"/>
        <w:ind w:left="0" w:firstLine="0"/>
        <w:jc w:val="center"/>
        <w:rPr>
          <w:rFonts w:ascii="Tahoma" w:hAnsi="Tahoma" w:cs="Tahoma"/>
          <w:b/>
          <w:caps/>
          <w:sz w:val="22"/>
          <w:szCs w:val="22"/>
        </w:rPr>
      </w:pPr>
      <w:r w:rsidRPr="00C75CBF">
        <w:rPr>
          <w:rFonts w:ascii="Tahoma" w:hAnsi="Tahoma" w:cs="Tahoma"/>
          <w:b/>
          <w:sz w:val="22"/>
          <w:szCs w:val="22"/>
        </w:rPr>
        <w:t>La sentencia de primera instancia</w:t>
      </w:r>
    </w:p>
    <w:p w:rsidR="008B7665" w:rsidRPr="007834F9" w:rsidRDefault="008B7665" w:rsidP="008B7665">
      <w:pPr>
        <w:widowControl w:val="0"/>
        <w:autoSpaceDE w:val="0"/>
        <w:autoSpaceDN w:val="0"/>
        <w:adjustRightInd w:val="0"/>
        <w:jc w:val="center"/>
        <w:rPr>
          <w:rFonts w:ascii="Tahoma" w:hAnsi="Tahoma" w:cs="Tahoma"/>
          <w:b/>
          <w:sz w:val="22"/>
          <w:szCs w:val="22"/>
        </w:rPr>
      </w:pPr>
    </w:p>
    <w:p w:rsidR="00222937" w:rsidRDefault="008B7665" w:rsidP="008B7665">
      <w:pPr>
        <w:tabs>
          <w:tab w:val="left" w:pos="748"/>
        </w:tabs>
        <w:spacing w:line="276" w:lineRule="auto"/>
        <w:jc w:val="both"/>
        <w:rPr>
          <w:rFonts w:ascii="Tahoma" w:hAnsi="Tahoma" w:cs="Tahoma"/>
          <w:sz w:val="22"/>
          <w:szCs w:val="22"/>
        </w:rPr>
      </w:pPr>
      <w:r w:rsidRPr="007834F9">
        <w:rPr>
          <w:rFonts w:ascii="Tahoma" w:hAnsi="Tahoma" w:cs="Tahoma"/>
          <w:sz w:val="22"/>
          <w:szCs w:val="22"/>
        </w:rPr>
        <w:tab/>
        <w:t xml:space="preserve">La Jueza de conocimiento </w:t>
      </w:r>
      <w:r w:rsidR="00222937">
        <w:rPr>
          <w:rFonts w:ascii="Tahoma" w:hAnsi="Tahoma" w:cs="Tahoma"/>
          <w:sz w:val="22"/>
          <w:szCs w:val="22"/>
        </w:rPr>
        <w:t xml:space="preserve">declaró probada parcialmente la excepción de prescripción y ordenó a la Administradora Colombiana de Pensiones </w:t>
      </w:r>
      <w:r w:rsidR="004C362C">
        <w:rPr>
          <w:rFonts w:ascii="Tahoma" w:hAnsi="Tahoma" w:cs="Tahoma"/>
          <w:sz w:val="22"/>
          <w:szCs w:val="22"/>
        </w:rPr>
        <w:t xml:space="preserve">que reconozca y pague a la señora María Ligia Serna la suma de $8.384.706, correspondiente al incremento pensional </w:t>
      </w:r>
      <w:r w:rsidR="00211A5F">
        <w:rPr>
          <w:rFonts w:ascii="Tahoma" w:hAnsi="Tahoma" w:cs="Tahoma"/>
          <w:sz w:val="22"/>
          <w:szCs w:val="22"/>
        </w:rPr>
        <w:t>del 14% causado desde el 2 de octubre de 2011, monto cuya indexación asciende a $690.449,</w:t>
      </w:r>
      <w:r w:rsidR="00343DFC">
        <w:rPr>
          <w:rFonts w:ascii="Tahoma" w:hAnsi="Tahoma" w:cs="Tahoma"/>
          <w:sz w:val="22"/>
          <w:szCs w:val="22"/>
        </w:rPr>
        <w:t xml:space="preserve"> así como las costas procesales.</w:t>
      </w:r>
    </w:p>
    <w:p w:rsidR="00343DFC" w:rsidRDefault="00343DFC" w:rsidP="008B7665">
      <w:pPr>
        <w:tabs>
          <w:tab w:val="left" w:pos="748"/>
        </w:tabs>
        <w:spacing w:line="276" w:lineRule="auto"/>
        <w:jc w:val="both"/>
        <w:rPr>
          <w:rFonts w:ascii="Tahoma" w:hAnsi="Tahoma" w:cs="Tahoma"/>
          <w:sz w:val="22"/>
          <w:szCs w:val="22"/>
        </w:rPr>
      </w:pPr>
    </w:p>
    <w:p w:rsidR="00343DFC" w:rsidRDefault="00343DFC" w:rsidP="008B7665">
      <w:pPr>
        <w:tabs>
          <w:tab w:val="left" w:pos="748"/>
        </w:tabs>
        <w:spacing w:line="276" w:lineRule="auto"/>
        <w:jc w:val="both"/>
        <w:rPr>
          <w:rFonts w:ascii="Tahoma" w:hAnsi="Tahoma" w:cs="Tahoma"/>
          <w:sz w:val="22"/>
          <w:szCs w:val="22"/>
        </w:rPr>
      </w:pPr>
      <w:r>
        <w:rPr>
          <w:rFonts w:ascii="Tahoma" w:hAnsi="Tahoma" w:cs="Tahoma"/>
          <w:sz w:val="22"/>
          <w:szCs w:val="22"/>
        </w:rPr>
        <w:tab/>
        <w:t xml:space="preserve">Para llegar a tal determinación la A-quo consideró, en síntesis, que </w:t>
      </w:r>
      <w:r w:rsidR="007E2E93">
        <w:rPr>
          <w:rFonts w:ascii="Tahoma" w:hAnsi="Tahoma" w:cs="Tahoma"/>
          <w:sz w:val="22"/>
          <w:szCs w:val="22"/>
        </w:rPr>
        <w:t xml:space="preserve">al haber sido concedida la pensión con base en el Acuerdo 049 de 1990, </w:t>
      </w:r>
      <w:r w:rsidR="0036244D">
        <w:rPr>
          <w:rFonts w:ascii="Tahoma" w:hAnsi="Tahoma" w:cs="Tahoma"/>
          <w:sz w:val="22"/>
          <w:szCs w:val="22"/>
        </w:rPr>
        <w:t>la promotora del litigio tenía derecho a</w:t>
      </w:r>
      <w:r w:rsidR="007E2E93">
        <w:rPr>
          <w:rFonts w:ascii="Tahoma" w:hAnsi="Tahoma" w:cs="Tahoma"/>
          <w:sz w:val="22"/>
          <w:szCs w:val="22"/>
        </w:rPr>
        <w:t>l</w:t>
      </w:r>
      <w:r w:rsidR="0036244D">
        <w:rPr>
          <w:rFonts w:ascii="Tahoma" w:hAnsi="Tahoma" w:cs="Tahoma"/>
          <w:sz w:val="22"/>
          <w:szCs w:val="22"/>
        </w:rPr>
        <w:t xml:space="preserve"> incremento pensional reclamado</w:t>
      </w:r>
      <w:r w:rsidR="007E2E93">
        <w:rPr>
          <w:rFonts w:ascii="Tahoma" w:hAnsi="Tahoma" w:cs="Tahoma"/>
          <w:sz w:val="22"/>
          <w:szCs w:val="22"/>
        </w:rPr>
        <w:t xml:space="preserve">, pues quedó demostrado dentro del proceso que su cónyuge depende </w:t>
      </w:r>
      <w:r w:rsidR="007E2E93">
        <w:rPr>
          <w:rFonts w:ascii="Tahoma" w:hAnsi="Tahoma" w:cs="Tahoma"/>
          <w:sz w:val="22"/>
          <w:szCs w:val="22"/>
        </w:rPr>
        <w:lastRenderedPageBreak/>
        <w:t xml:space="preserve">económicamente de ella. </w:t>
      </w:r>
      <w:r w:rsidR="0036244D">
        <w:rPr>
          <w:rFonts w:ascii="Tahoma" w:hAnsi="Tahoma" w:cs="Tahoma"/>
          <w:sz w:val="22"/>
          <w:szCs w:val="22"/>
        </w:rPr>
        <w:t xml:space="preserve">Así las cosas, </w:t>
      </w:r>
      <w:r w:rsidR="007E2E93">
        <w:rPr>
          <w:rFonts w:ascii="Tahoma" w:hAnsi="Tahoma" w:cs="Tahoma"/>
          <w:sz w:val="22"/>
          <w:szCs w:val="22"/>
        </w:rPr>
        <w:t>procedió a liquidar el retroactivo causado por esos emolumentos, indicando previamente que como la demanda se presentó el 1º de octubre de 2014, todos aquellos valores causados antes del 2 de octubre de 2011 prescribieron</w:t>
      </w:r>
      <w:r w:rsidR="0036244D">
        <w:rPr>
          <w:rFonts w:ascii="Tahoma" w:hAnsi="Tahoma" w:cs="Tahoma"/>
          <w:sz w:val="22"/>
          <w:szCs w:val="22"/>
        </w:rPr>
        <w:t>; d</w:t>
      </w:r>
      <w:r w:rsidR="007E2E93">
        <w:rPr>
          <w:rFonts w:ascii="Tahoma" w:hAnsi="Tahoma" w:cs="Tahoma"/>
          <w:sz w:val="22"/>
          <w:szCs w:val="22"/>
        </w:rPr>
        <w:t>e esta manera</w:t>
      </w:r>
      <w:r w:rsidR="005724C1">
        <w:rPr>
          <w:rFonts w:ascii="Tahoma" w:hAnsi="Tahoma" w:cs="Tahoma"/>
          <w:sz w:val="22"/>
          <w:szCs w:val="22"/>
        </w:rPr>
        <w:t>, calculó el monto a pagar en cuantía de $8.384.706</w:t>
      </w:r>
      <w:r w:rsidR="00A756FE">
        <w:rPr>
          <w:rFonts w:ascii="Tahoma" w:hAnsi="Tahoma" w:cs="Tahoma"/>
          <w:sz w:val="22"/>
          <w:szCs w:val="22"/>
        </w:rPr>
        <w:t xml:space="preserve">, resultado de aplicar el 14% al salario total devengado por el actor desde el año 2011, </w:t>
      </w:r>
      <w:r w:rsidR="0059295C">
        <w:rPr>
          <w:rFonts w:ascii="Tahoma" w:hAnsi="Tahoma" w:cs="Tahoma"/>
          <w:sz w:val="22"/>
          <w:szCs w:val="22"/>
        </w:rPr>
        <w:t>retroactivo cuya indexación estimó en $690.449.</w:t>
      </w:r>
    </w:p>
    <w:p w:rsidR="001F4FC5" w:rsidRPr="00BF4F59" w:rsidRDefault="001F4FC5" w:rsidP="001F4FC5">
      <w:pPr>
        <w:tabs>
          <w:tab w:val="left" w:pos="0"/>
        </w:tabs>
        <w:spacing w:line="276" w:lineRule="auto"/>
        <w:jc w:val="both"/>
        <w:rPr>
          <w:rFonts w:ascii="Tahoma" w:hAnsi="Tahoma" w:cs="Tahoma"/>
          <w:sz w:val="22"/>
          <w:szCs w:val="22"/>
        </w:rPr>
      </w:pPr>
    </w:p>
    <w:p w:rsidR="00BF4F59" w:rsidRPr="00BF4F59" w:rsidRDefault="0059295C" w:rsidP="00BF4F59">
      <w:pPr>
        <w:widowControl w:val="0"/>
        <w:numPr>
          <w:ilvl w:val="0"/>
          <w:numId w:val="1"/>
        </w:numPr>
        <w:tabs>
          <w:tab w:val="clear" w:pos="1080"/>
          <w:tab w:val="num" w:pos="374"/>
        </w:tabs>
        <w:autoSpaceDE w:val="0"/>
        <w:autoSpaceDN w:val="0"/>
        <w:adjustRightInd w:val="0"/>
        <w:spacing w:line="276" w:lineRule="auto"/>
        <w:ind w:left="0" w:firstLine="0"/>
        <w:jc w:val="center"/>
        <w:rPr>
          <w:rFonts w:ascii="Tahoma" w:hAnsi="Tahoma" w:cs="Tahoma"/>
          <w:b/>
          <w:sz w:val="22"/>
          <w:szCs w:val="22"/>
        </w:rPr>
      </w:pPr>
      <w:r>
        <w:rPr>
          <w:rFonts w:ascii="Tahoma" w:hAnsi="Tahoma" w:cs="Tahoma"/>
          <w:b/>
          <w:sz w:val="22"/>
          <w:szCs w:val="22"/>
        </w:rPr>
        <w:t>Apelación y proc</w:t>
      </w:r>
      <w:r w:rsidR="00BF4F59" w:rsidRPr="00BF4F59">
        <w:rPr>
          <w:rFonts w:ascii="Tahoma" w:hAnsi="Tahoma" w:cs="Tahoma"/>
          <w:b/>
          <w:sz w:val="22"/>
          <w:szCs w:val="22"/>
        </w:rPr>
        <w:t>edencia de la consulta</w:t>
      </w:r>
    </w:p>
    <w:p w:rsidR="00BF4F59" w:rsidRPr="00BF4F59" w:rsidRDefault="00BF4F59" w:rsidP="00BF4F59">
      <w:pPr>
        <w:pStyle w:val="Sansinterligne"/>
        <w:rPr>
          <w:sz w:val="22"/>
          <w:szCs w:val="22"/>
        </w:rPr>
      </w:pPr>
    </w:p>
    <w:p w:rsidR="009F4AE6" w:rsidRDefault="0059295C" w:rsidP="00BF4F59">
      <w:pPr>
        <w:pStyle w:val="Retraitcorpsdetexte"/>
        <w:spacing w:line="276" w:lineRule="auto"/>
        <w:ind w:firstLine="561"/>
        <w:rPr>
          <w:sz w:val="22"/>
          <w:szCs w:val="22"/>
        </w:rPr>
      </w:pPr>
      <w:r>
        <w:rPr>
          <w:sz w:val="22"/>
          <w:szCs w:val="22"/>
        </w:rPr>
        <w:t xml:space="preserve">El apoderado judicial de la demandante apeló la decisión únicamente en lo referente a la </w:t>
      </w:r>
      <w:r w:rsidR="009F4AE6">
        <w:rPr>
          <w:sz w:val="22"/>
          <w:szCs w:val="22"/>
        </w:rPr>
        <w:t>declaración parcial de la prescripción</w:t>
      </w:r>
      <w:r w:rsidR="00A9088B">
        <w:rPr>
          <w:sz w:val="22"/>
          <w:szCs w:val="22"/>
        </w:rPr>
        <w:t>. Para ello, arguyó que la pensión se reconoció en virtud del Acuerdo 049 de 1990</w:t>
      </w:r>
      <w:r w:rsidR="00A143F4">
        <w:rPr>
          <w:sz w:val="22"/>
          <w:szCs w:val="22"/>
        </w:rPr>
        <w:t xml:space="preserve"> sólo a partir de la Resolución </w:t>
      </w:r>
      <w:r w:rsidR="008B6A48">
        <w:rPr>
          <w:sz w:val="22"/>
          <w:szCs w:val="22"/>
        </w:rPr>
        <w:t xml:space="preserve">400.250 del 13 de noviembre de 2014, por lo que </w:t>
      </w:r>
      <w:r w:rsidR="009F4AE6">
        <w:rPr>
          <w:sz w:val="22"/>
          <w:szCs w:val="22"/>
        </w:rPr>
        <w:t>al haber realizado la reclamación administrativa dentro de los 3 años siguientes</w:t>
      </w:r>
      <w:r w:rsidR="0023798C">
        <w:rPr>
          <w:sz w:val="22"/>
          <w:szCs w:val="22"/>
        </w:rPr>
        <w:t xml:space="preserve"> a esa fecha</w:t>
      </w:r>
      <w:r w:rsidR="009F4AE6">
        <w:rPr>
          <w:sz w:val="22"/>
          <w:szCs w:val="22"/>
        </w:rPr>
        <w:t>, ninguno de los incrementos causados desde el año 2009 desapareció.</w:t>
      </w:r>
    </w:p>
    <w:p w:rsidR="0059295C" w:rsidRDefault="0059295C" w:rsidP="00BF4F59">
      <w:pPr>
        <w:pStyle w:val="Retraitcorpsdetexte"/>
        <w:spacing w:line="276" w:lineRule="auto"/>
        <w:ind w:firstLine="561"/>
        <w:rPr>
          <w:sz w:val="22"/>
          <w:szCs w:val="22"/>
        </w:rPr>
      </w:pPr>
    </w:p>
    <w:p w:rsidR="00BF4F59" w:rsidRPr="00BF4F59" w:rsidRDefault="00F35181" w:rsidP="00BF4F59">
      <w:pPr>
        <w:pStyle w:val="Retraitcorpsdetexte"/>
        <w:spacing w:line="276" w:lineRule="auto"/>
        <w:ind w:firstLine="561"/>
        <w:rPr>
          <w:sz w:val="22"/>
          <w:szCs w:val="22"/>
        </w:rPr>
      </w:pPr>
      <w:r>
        <w:rPr>
          <w:sz w:val="22"/>
          <w:szCs w:val="22"/>
        </w:rPr>
        <w:t xml:space="preserve">Por otra parte, como </w:t>
      </w:r>
      <w:r w:rsidR="00BF4F59" w:rsidRPr="00BF4F59">
        <w:rPr>
          <w:sz w:val="22"/>
          <w:szCs w:val="22"/>
        </w:rPr>
        <w:t xml:space="preserve">quiera que la sentencia fue totalmente desfavorable para </w:t>
      </w:r>
      <w:r w:rsidR="005E7035">
        <w:rPr>
          <w:sz w:val="22"/>
          <w:szCs w:val="22"/>
        </w:rPr>
        <w:t xml:space="preserve">el demandante </w:t>
      </w:r>
      <w:r w:rsidR="00BF4F59" w:rsidRPr="00BF4F59">
        <w:rPr>
          <w:sz w:val="22"/>
          <w:szCs w:val="22"/>
        </w:rPr>
        <w:t>y no fue apelada, se dispuso el grado jurisdiccional de consulta.</w:t>
      </w:r>
    </w:p>
    <w:p w:rsidR="00B6315C" w:rsidRPr="00BF4F59" w:rsidRDefault="00B6315C" w:rsidP="008B7665">
      <w:pPr>
        <w:spacing w:line="276" w:lineRule="auto"/>
        <w:jc w:val="both"/>
        <w:rPr>
          <w:rFonts w:ascii="Tahoma" w:hAnsi="Tahoma" w:cs="Tahoma"/>
          <w:sz w:val="22"/>
          <w:szCs w:val="22"/>
        </w:rPr>
      </w:pPr>
    </w:p>
    <w:p w:rsidR="008B7665" w:rsidRPr="00A3224E" w:rsidRDefault="008B7665" w:rsidP="008B7665">
      <w:pPr>
        <w:widowControl w:val="0"/>
        <w:numPr>
          <w:ilvl w:val="0"/>
          <w:numId w:val="1"/>
        </w:numPr>
        <w:tabs>
          <w:tab w:val="clear" w:pos="1080"/>
          <w:tab w:val="num" w:pos="374"/>
        </w:tabs>
        <w:autoSpaceDE w:val="0"/>
        <w:autoSpaceDN w:val="0"/>
        <w:adjustRightInd w:val="0"/>
        <w:spacing w:line="276" w:lineRule="auto"/>
        <w:ind w:left="0" w:firstLine="0"/>
        <w:jc w:val="center"/>
        <w:rPr>
          <w:rFonts w:ascii="Tahoma" w:hAnsi="Tahoma" w:cs="Tahoma"/>
          <w:b/>
          <w:caps/>
          <w:sz w:val="22"/>
          <w:szCs w:val="22"/>
        </w:rPr>
      </w:pPr>
      <w:r w:rsidRPr="00BF4F59">
        <w:rPr>
          <w:rFonts w:ascii="Tahoma" w:hAnsi="Tahoma" w:cs="Tahoma"/>
          <w:b/>
          <w:caps/>
          <w:sz w:val="22"/>
          <w:szCs w:val="22"/>
        </w:rPr>
        <w:t xml:space="preserve"> </w:t>
      </w:r>
      <w:r w:rsidR="00BF4F59" w:rsidRPr="00BF4F59">
        <w:rPr>
          <w:rFonts w:ascii="Tahoma" w:hAnsi="Tahoma" w:cs="Tahoma"/>
          <w:b/>
          <w:sz w:val="22"/>
          <w:szCs w:val="22"/>
        </w:rPr>
        <w:t>Consideraciones</w:t>
      </w:r>
      <w:r w:rsidRPr="00BF4F59">
        <w:rPr>
          <w:rFonts w:ascii="Tahoma" w:hAnsi="Tahoma" w:cs="Tahoma"/>
          <w:caps/>
          <w:sz w:val="22"/>
          <w:szCs w:val="22"/>
        </w:rPr>
        <w:tab/>
      </w:r>
    </w:p>
    <w:p w:rsidR="00A3224E" w:rsidRPr="00A3224E" w:rsidRDefault="00A3224E" w:rsidP="00A3224E">
      <w:pPr>
        <w:widowControl w:val="0"/>
        <w:autoSpaceDE w:val="0"/>
        <w:autoSpaceDN w:val="0"/>
        <w:adjustRightInd w:val="0"/>
        <w:spacing w:line="276" w:lineRule="auto"/>
        <w:jc w:val="both"/>
        <w:rPr>
          <w:rFonts w:ascii="Tahoma" w:hAnsi="Tahoma" w:cs="Tahoma"/>
          <w:caps/>
          <w:sz w:val="22"/>
          <w:szCs w:val="22"/>
        </w:rPr>
      </w:pPr>
    </w:p>
    <w:p w:rsidR="00A3224E" w:rsidRPr="00A3224E" w:rsidRDefault="00A3224E" w:rsidP="00A3224E">
      <w:pPr>
        <w:ind w:firstLine="708"/>
        <w:jc w:val="both"/>
        <w:rPr>
          <w:rFonts w:ascii="Tahoma" w:hAnsi="Tahoma" w:cs="Tahoma"/>
          <w:b/>
          <w:sz w:val="22"/>
          <w:szCs w:val="22"/>
          <w:lang w:val="es-CO"/>
        </w:rPr>
      </w:pPr>
      <w:r w:rsidRPr="00A3224E">
        <w:rPr>
          <w:rFonts w:ascii="Tahoma" w:hAnsi="Tahoma" w:cs="Tahoma"/>
          <w:b/>
          <w:sz w:val="22"/>
          <w:szCs w:val="22"/>
          <w:lang w:val="es-CO"/>
        </w:rPr>
        <w:t>4.1. Aplicabilidad de la norma que consagra el derecho al incremento pensional por personas a cargo en el régimen de prima media con prestación definida</w:t>
      </w:r>
    </w:p>
    <w:p w:rsidR="00A3224E" w:rsidRPr="00A3224E" w:rsidRDefault="00A3224E" w:rsidP="00A3224E">
      <w:pPr>
        <w:jc w:val="both"/>
        <w:rPr>
          <w:rFonts w:ascii="Tahoma" w:hAnsi="Tahoma" w:cs="Tahoma"/>
          <w:sz w:val="22"/>
          <w:szCs w:val="22"/>
          <w:lang w:val="es-CO"/>
        </w:rPr>
      </w:pPr>
    </w:p>
    <w:p w:rsidR="00A3224E" w:rsidRPr="00A3224E" w:rsidRDefault="00A3224E" w:rsidP="00A3224E">
      <w:pPr>
        <w:widowControl w:val="0"/>
        <w:autoSpaceDE w:val="0"/>
        <w:autoSpaceDN w:val="0"/>
        <w:adjustRightInd w:val="0"/>
        <w:spacing w:line="276" w:lineRule="auto"/>
        <w:ind w:firstLine="708"/>
        <w:jc w:val="both"/>
        <w:rPr>
          <w:rFonts w:ascii="Tahoma" w:hAnsi="Tahoma" w:cs="Tahoma"/>
          <w:sz w:val="22"/>
          <w:szCs w:val="22"/>
        </w:rPr>
      </w:pPr>
      <w:r w:rsidRPr="00A3224E">
        <w:rPr>
          <w:rFonts w:ascii="Tahoma" w:hAnsi="Tahoma" w:cs="Tahoma"/>
          <w:sz w:val="22"/>
          <w:szCs w:val="22"/>
        </w:rPr>
        <w:t xml:space="preserve">Esta Corporación mediante sentencia del 21 de mayo de 2014, proferida dentro del proceso radicado bajo el denominativo serial abreviado No. </w:t>
      </w:r>
      <w:r w:rsidRPr="00A3224E">
        <w:rPr>
          <w:rFonts w:ascii="Tahoma" w:hAnsi="Tahoma" w:cs="Tahoma"/>
          <w:bCs/>
          <w:sz w:val="22"/>
          <w:szCs w:val="22"/>
        </w:rPr>
        <w:t>2012-00673, M.P. Julio César Salazar Muñoz, atendiendo a lo resuelto por la</w:t>
      </w:r>
      <w:r w:rsidRPr="00A3224E">
        <w:rPr>
          <w:rFonts w:ascii="Tahoma" w:hAnsi="Tahoma" w:cs="Tahoma"/>
          <w:sz w:val="22"/>
          <w:szCs w:val="22"/>
        </w:rPr>
        <w:t xml:space="preserve"> Corte de Suprema de Justicia mediante fallo de tutela del 23 de abril de 2014, Radicado No. 36036, asumió el criterio de la Sala de Casación Laboral </w:t>
      </w:r>
      <w:r w:rsidR="0023798C">
        <w:rPr>
          <w:rFonts w:ascii="Tahoma" w:hAnsi="Tahoma" w:cs="Tahoma"/>
          <w:sz w:val="22"/>
          <w:szCs w:val="22"/>
        </w:rPr>
        <w:t xml:space="preserve">de esa Corporación </w:t>
      </w:r>
      <w:r w:rsidRPr="00A3224E">
        <w:rPr>
          <w:rFonts w:ascii="Tahoma" w:hAnsi="Tahoma" w:cs="Tahoma"/>
          <w:sz w:val="22"/>
          <w:szCs w:val="22"/>
        </w:rPr>
        <w:t>respecto a los incrementos pensionales por personas a cargo, consagrado en el artículo 21 del Acuerdo 049 de 1990, el cual sigue la línea trazada, entre otras, en las sentencias del 27 de julio de 2005, con ponencia de los Magistrados Isaura Vargas y Jaime Moreno García, radicado No. 21517</w:t>
      </w:r>
      <w:r w:rsidR="0023798C">
        <w:rPr>
          <w:rFonts w:ascii="Tahoma" w:hAnsi="Tahoma" w:cs="Tahoma"/>
          <w:sz w:val="22"/>
          <w:szCs w:val="22"/>
        </w:rPr>
        <w:t>;</w:t>
      </w:r>
      <w:r w:rsidRPr="00A3224E">
        <w:rPr>
          <w:rFonts w:ascii="Tahoma" w:hAnsi="Tahoma" w:cs="Tahoma"/>
          <w:sz w:val="22"/>
          <w:szCs w:val="22"/>
        </w:rPr>
        <w:t xml:space="preserve"> la del 5 de diciembre de 2007, con ponencia del Magistrado Luis Javier Osorio López, radicado No. 29531 y la sentencia de agosto de 2010, radicado No. 35345, en las que se indicó que el incremento pensional no fue derogado tácitamente con la entrada en vigencia de la Ley 100 de 1993 y que se aplica en la actualidad para las personas que accedan al derecho pensional con base en el Acuerdo 049 de 1990, así sea bajo los postulados del régimen de transición, el cual se entiende extendido hasta el 31 de julio de 2010, </w:t>
      </w:r>
      <w:r w:rsidRPr="00A3224E">
        <w:rPr>
          <w:rFonts w:ascii="Tahoma" w:hAnsi="Tahoma" w:cs="Tahoma"/>
          <w:color w:val="000000"/>
          <w:sz w:val="22"/>
          <w:szCs w:val="22"/>
        </w:rPr>
        <w:t>excepto para los trabajadores que estando en dicho régimen, además, tengan cotizadas al menos 750 semanas o su equivalente en tiempo de servicios a la entrada en vigencia del Acto Legislativo</w:t>
      </w:r>
      <w:r w:rsidR="0023798C">
        <w:rPr>
          <w:rFonts w:ascii="Tahoma" w:hAnsi="Tahoma" w:cs="Tahoma"/>
          <w:color w:val="000000"/>
          <w:sz w:val="22"/>
          <w:szCs w:val="22"/>
        </w:rPr>
        <w:t xml:space="preserve"> 01 de 2005</w:t>
      </w:r>
      <w:r w:rsidRPr="00A3224E">
        <w:rPr>
          <w:rFonts w:ascii="Tahoma" w:hAnsi="Tahoma" w:cs="Tahoma"/>
          <w:color w:val="000000"/>
          <w:sz w:val="22"/>
          <w:szCs w:val="22"/>
        </w:rPr>
        <w:t xml:space="preserve">, </w:t>
      </w:r>
      <w:r w:rsidR="0023798C" w:rsidRPr="00A3224E">
        <w:rPr>
          <w:rFonts w:ascii="Tahoma" w:hAnsi="Tahoma" w:cs="Tahoma"/>
          <w:color w:val="000000"/>
          <w:sz w:val="22"/>
          <w:szCs w:val="22"/>
        </w:rPr>
        <w:t>que modificó el artículo 48 de la Constitución Política</w:t>
      </w:r>
      <w:r w:rsidR="0023798C">
        <w:rPr>
          <w:rFonts w:ascii="Tahoma" w:hAnsi="Tahoma" w:cs="Tahoma"/>
          <w:color w:val="000000"/>
          <w:sz w:val="22"/>
          <w:szCs w:val="22"/>
        </w:rPr>
        <w:t>,</w:t>
      </w:r>
      <w:r w:rsidR="0023798C" w:rsidRPr="00A3224E">
        <w:rPr>
          <w:rFonts w:ascii="Tahoma" w:hAnsi="Tahoma" w:cs="Tahoma"/>
          <w:color w:val="000000"/>
          <w:sz w:val="22"/>
          <w:szCs w:val="22"/>
        </w:rPr>
        <w:t xml:space="preserve"> </w:t>
      </w:r>
      <w:r w:rsidRPr="00A3224E">
        <w:rPr>
          <w:rFonts w:ascii="Tahoma" w:hAnsi="Tahoma" w:cs="Tahoma"/>
          <w:color w:val="000000"/>
          <w:sz w:val="22"/>
          <w:szCs w:val="22"/>
        </w:rPr>
        <w:t>a los cuales se les mantendrá dicho régimen hasta el año 2014.</w:t>
      </w:r>
      <w:r w:rsidRPr="00A3224E">
        <w:rPr>
          <w:rFonts w:ascii="Tahoma" w:hAnsi="Tahoma" w:cs="Tahoma"/>
          <w:sz w:val="22"/>
          <w:szCs w:val="22"/>
        </w:rPr>
        <w:t xml:space="preserve"> </w:t>
      </w:r>
    </w:p>
    <w:p w:rsidR="00A3224E" w:rsidRPr="00A3224E" w:rsidRDefault="00A3224E" w:rsidP="00A3224E">
      <w:pPr>
        <w:widowControl w:val="0"/>
        <w:autoSpaceDE w:val="0"/>
        <w:autoSpaceDN w:val="0"/>
        <w:adjustRightInd w:val="0"/>
        <w:jc w:val="both"/>
        <w:rPr>
          <w:rFonts w:ascii="Tahoma" w:hAnsi="Tahoma" w:cs="Tahoma"/>
          <w:sz w:val="22"/>
          <w:szCs w:val="22"/>
        </w:rPr>
      </w:pPr>
    </w:p>
    <w:p w:rsidR="00A3224E" w:rsidRPr="00A3224E" w:rsidRDefault="00A3224E" w:rsidP="00A3224E">
      <w:pPr>
        <w:widowControl w:val="0"/>
        <w:autoSpaceDE w:val="0"/>
        <w:autoSpaceDN w:val="0"/>
        <w:adjustRightInd w:val="0"/>
        <w:spacing w:line="276" w:lineRule="auto"/>
        <w:ind w:firstLine="708"/>
        <w:jc w:val="both"/>
        <w:rPr>
          <w:rFonts w:ascii="Tahoma" w:hAnsi="Tahoma" w:cs="Tahoma"/>
          <w:sz w:val="22"/>
          <w:szCs w:val="22"/>
          <w:lang w:val="es-ES_tradnl"/>
        </w:rPr>
      </w:pPr>
      <w:r w:rsidRPr="00A3224E">
        <w:rPr>
          <w:rFonts w:ascii="Tahoma" w:hAnsi="Tahoma" w:cs="Tahoma"/>
          <w:sz w:val="22"/>
          <w:szCs w:val="22"/>
        </w:rPr>
        <w:t>De esta manera, conforme lo establecido por el artículo 21 del Acuerdo 049 de 1990, para que surjan a la vida jurídica dichos incrementos adicionales por el o la cónyuge, bastará que:</w:t>
      </w:r>
      <w:r w:rsidRPr="00A3224E">
        <w:rPr>
          <w:rFonts w:ascii="Tahoma" w:hAnsi="Tahoma" w:cs="Tahoma"/>
          <w:i/>
          <w:sz w:val="22"/>
          <w:szCs w:val="22"/>
        </w:rPr>
        <w:t xml:space="preserve"> i)</w:t>
      </w:r>
      <w:r w:rsidRPr="00A3224E">
        <w:rPr>
          <w:rFonts w:ascii="Tahoma" w:hAnsi="Tahoma" w:cs="Tahoma"/>
          <w:sz w:val="22"/>
          <w:szCs w:val="22"/>
        </w:rPr>
        <w:t xml:space="preserve"> la pensión de la cual se deriven surja de la aplicación de Acuerdo 049 de 1990</w:t>
      </w:r>
      <w:r w:rsidRPr="00A3224E">
        <w:rPr>
          <w:rFonts w:ascii="Tahoma" w:hAnsi="Tahoma" w:cs="Tahoma"/>
          <w:sz w:val="22"/>
          <w:szCs w:val="22"/>
          <w:lang w:val="es-ES_tradnl"/>
        </w:rPr>
        <w:t xml:space="preserve"> y,</w:t>
      </w:r>
      <w:r w:rsidRPr="00A3224E">
        <w:rPr>
          <w:rFonts w:ascii="Tahoma" w:hAnsi="Tahoma" w:cs="Tahoma"/>
          <w:i/>
          <w:sz w:val="22"/>
          <w:szCs w:val="22"/>
          <w:lang w:val="es-ES_tradnl"/>
        </w:rPr>
        <w:t xml:space="preserve"> ii) </w:t>
      </w:r>
      <w:r w:rsidRPr="00A3224E">
        <w:rPr>
          <w:rFonts w:ascii="Tahoma" w:hAnsi="Tahoma" w:cs="Tahoma"/>
          <w:sz w:val="22"/>
          <w:szCs w:val="22"/>
          <w:lang w:val="es-ES_tradnl"/>
        </w:rPr>
        <w:t>que la cónyuge no tenga pensión propia y dependa económicamente del pensionado.</w:t>
      </w:r>
    </w:p>
    <w:p w:rsidR="008B7665" w:rsidRPr="00BF4F59" w:rsidRDefault="008B7665" w:rsidP="00BF4F59">
      <w:pPr>
        <w:pStyle w:val="Textoindependiente21"/>
        <w:spacing w:line="240" w:lineRule="auto"/>
        <w:ind w:firstLine="708"/>
        <w:rPr>
          <w:rFonts w:ascii="Tahoma" w:hAnsi="Tahoma" w:cs="Tahoma"/>
          <w:sz w:val="22"/>
          <w:szCs w:val="22"/>
        </w:rPr>
      </w:pPr>
    </w:p>
    <w:p w:rsidR="008B7665" w:rsidRPr="00BF4F59" w:rsidRDefault="00BF4F59" w:rsidP="00577F06">
      <w:pPr>
        <w:pStyle w:val="Paragraphedeliste"/>
        <w:numPr>
          <w:ilvl w:val="1"/>
          <w:numId w:val="2"/>
        </w:numPr>
        <w:tabs>
          <w:tab w:val="left" w:pos="748"/>
        </w:tabs>
        <w:spacing w:line="276" w:lineRule="auto"/>
        <w:ind w:left="1276" w:hanging="524"/>
        <w:jc w:val="both"/>
        <w:rPr>
          <w:rFonts w:ascii="Tahoma" w:hAnsi="Tahoma" w:cs="Tahoma"/>
          <w:b/>
          <w:sz w:val="22"/>
          <w:szCs w:val="22"/>
        </w:rPr>
      </w:pPr>
      <w:r w:rsidRPr="00BF4F59">
        <w:rPr>
          <w:rFonts w:ascii="Tahoma" w:hAnsi="Tahoma" w:cs="Tahoma"/>
          <w:b/>
          <w:sz w:val="22"/>
          <w:szCs w:val="22"/>
        </w:rPr>
        <w:t xml:space="preserve">Caso concreto </w:t>
      </w:r>
    </w:p>
    <w:p w:rsidR="007B3B93" w:rsidRPr="00BF4F59" w:rsidRDefault="007B3B93" w:rsidP="007B3B93">
      <w:pPr>
        <w:pStyle w:val="Paragraphedeliste"/>
        <w:tabs>
          <w:tab w:val="left" w:pos="0"/>
        </w:tabs>
        <w:spacing w:line="276" w:lineRule="auto"/>
        <w:ind w:left="450"/>
        <w:jc w:val="both"/>
        <w:rPr>
          <w:rFonts w:ascii="Tahoma" w:hAnsi="Tahoma" w:cs="Tahoma"/>
          <w:color w:val="FF0000"/>
          <w:sz w:val="22"/>
          <w:szCs w:val="22"/>
        </w:rPr>
      </w:pPr>
    </w:p>
    <w:p w:rsidR="00BF4F59" w:rsidRDefault="00BF4F59" w:rsidP="00A3224E">
      <w:pPr>
        <w:widowControl w:val="0"/>
        <w:autoSpaceDE w:val="0"/>
        <w:autoSpaceDN w:val="0"/>
        <w:adjustRightInd w:val="0"/>
        <w:spacing w:line="276" w:lineRule="auto"/>
        <w:ind w:firstLine="709"/>
        <w:jc w:val="both"/>
        <w:rPr>
          <w:rFonts w:ascii="Tahoma" w:hAnsi="Tahoma" w:cs="Tahoma"/>
          <w:sz w:val="22"/>
          <w:szCs w:val="22"/>
        </w:rPr>
      </w:pPr>
      <w:r w:rsidRPr="00BF4F59">
        <w:rPr>
          <w:rFonts w:ascii="Tahoma" w:hAnsi="Tahoma" w:cs="Tahoma"/>
          <w:sz w:val="22"/>
          <w:szCs w:val="22"/>
        </w:rPr>
        <w:t>No siendo objeto de controversia en el caso de marras que a través de la Resolución</w:t>
      </w:r>
      <w:r w:rsidR="00577F06">
        <w:rPr>
          <w:rFonts w:ascii="Tahoma" w:hAnsi="Tahoma" w:cs="Tahoma"/>
          <w:sz w:val="22"/>
          <w:szCs w:val="22"/>
        </w:rPr>
        <w:t xml:space="preserve"> GNR </w:t>
      </w:r>
      <w:r w:rsidR="00F35181">
        <w:rPr>
          <w:rFonts w:ascii="Tahoma" w:hAnsi="Tahoma" w:cs="Tahoma"/>
          <w:sz w:val="22"/>
          <w:szCs w:val="22"/>
        </w:rPr>
        <w:t xml:space="preserve">400.250 del 13 de noviembre de </w:t>
      </w:r>
      <w:r w:rsidR="00B6315C">
        <w:rPr>
          <w:rFonts w:ascii="Tahoma" w:hAnsi="Tahoma" w:cs="Tahoma"/>
          <w:sz w:val="22"/>
          <w:szCs w:val="22"/>
        </w:rPr>
        <w:t>2014</w:t>
      </w:r>
      <w:r w:rsidR="009B686A">
        <w:rPr>
          <w:rFonts w:ascii="Tahoma" w:hAnsi="Tahoma" w:cs="Tahoma"/>
          <w:sz w:val="22"/>
          <w:szCs w:val="22"/>
        </w:rPr>
        <w:t xml:space="preserve"> </w:t>
      </w:r>
      <w:r w:rsidR="00034FE3" w:rsidRPr="00034FE3">
        <w:rPr>
          <w:rFonts w:ascii="Tahoma" w:hAnsi="Tahoma" w:cs="Tahoma"/>
          <w:i/>
          <w:sz w:val="22"/>
          <w:szCs w:val="22"/>
        </w:rPr>
        <w:t>–</w:t>
      </w:r>
      <w:r w:rsidR="00577F06">
        <w:rPr>
          <w:rFonts w:ascii="Tahoma" w:hAnsi="Tahoma" w:cs="Tahoma"/>
          <w:i/>
          <w:sz w:val="22"/>
          <w:szCs w:val="22"/>
        </w:rPr>
        <w:t xml:space="preserve">que </w:t>
      </w:r>
      <w:r w:rsidR="000606CC">
        <w:rPr>
          <w:rFonts w:ascii="Tahoma" w:hAnsi="Tahoma" w:cs="Tahoma"/>
          <w:i/>
          <w:sz w:val="22"/>
          <w:szCs w:val="22"/>
        </w:rPr>
        <w:t xml:space="preserve">ordenó la reliquidación de la pensión concedida a través de la </w:t>
      </w:r>
      <w:r w:rsidR="00B6315C">
        <w:rPr>
          <w:rFonts w:ascii="Tahoma" w:hAnsi="Tahoma" w:cs="Tahoma"/>
          <w:i/>
          <w:sz w:val="22"/>
          <w:szCs w:val="22"/>
        </w:rPr>
        <w:t xml:space="preserve">Resolución </w:t>
      </w:r>
      <w:r w:rsidR="000606CC">
        <w:rPr>
          <w:rFonts w:ascii="Tahoma" w:hAnsi="Tahoma" w:cs="Tahoma"/>
          <w:i/>
          <w:sz w:val="22"/>
          <w:szCs w:val="22"/>
        </w:rPr>
        <w:t>103.874 del 12 de agosto de 2010</w:t>
      </w:r>
      <w:r w:rsidR="00034FE3" w:rsidRPr="00034FE3">
        <w:rPr>
          <w:rFonts w:ascii="Tahoma" w:hAnsi="Tahoma" w:cs="Tahoma"/>
          <w:i/>
          <w:sz w:val="22"/>
          <w:szCs w:val="22"/>
        </w:rPr>
        <w:t>-</w:t>
      </w:r>
      <w:r w:rsidRPr="00BF4F59">
        <w:rPr>
          <w:rFonts w:ascii="Tahoma" w:hAnsi="Tahoma" w:cs="Tahoma"/>
          <w:sz w:val="22"/>
          <w:szCs w:val="22"/>
        </w:rPr>
        <w:t xml:space="preserve">, </w:t>
      </w:r>
      <w:r w:rsidR="00577F06">
        <w:rPr>
          <w:rFonts w:ascii="Tahoma" w:hAnsi="Tahoma" w:cs="Tahoma"/>
          <w:sz w:val="22"/>
          <w:szCs w:val="22"/>
        </w:rPr>
        <w:t xml:space="preserve">Colpensiones </w:t>
      </w:r>
      <w:r w:rsidRPr="00BF4F59">
        <w:rPr>
          <w:rFonts w:ascii="Tahoma" w:hAnsi="Tahoma" w:cs="Tahoma"/>
          <w:sz w:val="22"/>
          <w:szCs w:val="22"/>
        </w:rPr>
        <w:t>concedió a</w:t>
      </w:r>
      <w:r w:rsidR="000606CC">
        <w:rPr>
          <w:rFonts w:ascii="Tahoma" w:hAnsi="Tahoma" w:cs="Tahoma"/>
          <w:sz w:val="22"/>
          <w:szCs w:val="22"/>
        </w:rPr>
        <w:t xml:space="preserve"> </w:t>
      </w:r>
      <w:r w:rsidRPr="00BF4F59">
        <w:rPr>
          <w:rFonts w:ascii="Tahoma" w:hAnsi="Tahoma" w:cs="Tahoma"/>
          <w:sz w:val="22"/>
          <w:szCs w:val="22"/>
        </w:rPr>
        <w:t>l</w:t>
      </w:r>
      <w:r w:rsidR="000606CC">
        <w:rPr>
          <w:rFonts w:ascii="Tahoma" w:hAnsi="Tahoma" w:cs="Tahoma"/>
          <w:sz w:val="22"/>
          <w:szCs w:val="22"/>
        </w:rPr>
        <w:t>a</w:t>
      </w:r>
      <w:r w:rsidRPr="00BF4F59">
        <w:rPr>
          <w:rFonts w:ascii="Tahoma" w:hAnsi="Tahoma" w:cs="Tahoma"/>
          <w:sz w:val="22"/>
          <w:szCs w:val="22"/>
        </w:rPr>
        <w:t xml:space="preserve"> señor</w:t>
      </w:r>
      <w:r w:rsidR="000606CC">
        <w:rPr>
          <w:rFonts w:ascii="Tahoma" w:hAnsi="Tahoma" w:cs="Tahoma"/>
          <w:sz w:val="22"/>
          <w:szCs w:val="22"/>
        </w:rPr>
        <w:t xml:space="preserve">a María Ligia Serna de Ospina </w:t>
      </w:r>
      <w:r w:rsidRPr="00BF4F59">
        <w:rPr>
          <w:rFonts w:ascii="Tahoma" w:hAnsi="Tahoma" w:cs="Tahoma"/>
          <w:sz w:val="22"/>
          <w:szCs w:val="22"/>
        </w:rPr>
        <w:t xml:space="preserve">la pensión de vejez a partir del </w:t>
      </w:r>
      <w:r w:rsidR="000606CC">
        <w:rPr>
          <w:rFonts w:ascii="Tahoma" w:hAnsi="Tahoma" w:cs="Tahoma"/>
          <w:sz w:val="22"/>
          <w:szCs w:val="22"/>
        </w:rPr>
        <w:t xml:space="preserve">24 de julio </w:t>
      </w:r>
      <w:r w:rsidR="0084096A">
        <w:rPr>
          <w:rFonts w:ascii="Tahoma" w:hAnsi="Tahoma" w:cs="Tahoma"/>
          <w:sz w:val="22"/>
          <w:szCs w:val="22"/>
        </w:rPr>
        <w:t>de 201</w:t>
      </w:r>
      <w:r w:rsidR="000606CC">
        <w:rPr>
          <w:rFonts w:ascii="Tahoma" w:hAnsi="Tahoma" w:cs="Tahoma"/>
          <w:sz w:val="22"/>
          <w:szCs w:val="22"/>
        </w:rPr>
        <w:t>0</w:t>
      </w:r>
      <w:r w:rsidRPr="00BF4F59">
        <w:rPr>
          <w:rFonts w:ascii="Tahoma" w:hAnsi="Tahoma" w:cs="Tahoma"/>
          <w:sz w:val="22"/>
          <w:szCs w:val="22"/>
        </w:rPr>
        <w:t>, con fundamento en el Decreto 758 de 1990 y en cuantía de $</w:t>
      </w:r>
      <w:r w:rsidR="00420A4B">
        <w:rPr>
          <w:rFonts w:ascii="Tahoma" w:hAnsi="Tahoma" w:cs="Tahoma"/>
          <w:sz w:val="22"/>
          <w:szCs w:val="22"/>
        </w:rPr>
        <w:t>1.030.654, tal como quedó planteado previamente,</w:t>
      </w:r>
      <w:r w:rsidRPr="00BF4F59">
        <w:rPr>
          <w:rFonts w:ascii="Tahoma" w:hAnsi="Tahoma" w:cs="Tahoma"/>
          <w:sz w:val="22"/>
          <w:szCs w:val="22"/>
        </w:rPr>
        <w:t xml:space="preserve"> el debate se centra en determinar si </w:t>
      </w:r>
      <w:r w:rsidR="00A740F1">
        <w:rPr>
          <w:rFonts w:ascii="Tahoma" w:hAnsi="Tahoma" w:cs="Tahoma"/>
          <w:sz w:val="22"/>
          <w:szCs w:val="22"/>
        </w:rPr>
        <w:t>es procedente reconocer el incremento de dicha prestación</w:t>
      </w:r>
      <w:r w:rsidR="00420A4B">
        <w:rPr>
          <w:rFonts w:ascii="Tahoma" w:hAnsi="Tahoma" w:cs="Tahoma"/>
          <w:sz w:val="22"/>
          <w:szCs w:val="22"/>
        </w:rPr>
        <w:t xml:space="preserve"> por tener a cargo a su cónyuge y</w:t>
      </w:r>
      <w:r w:rsidR="0023798C">
        <w:rPr>
          <w:rFonts w:ascii="Tahoma" w:hAnsi="Tahoma" w:cs="Tahoma"/>
          <w:sz w:val="22"/>
          <w:szCs w:val="22"/>
        </w:rPr>
        <w:t>, además,</w:t>
      </w:r>
      <w:r w:rsidR="00420A4B">
        <w:rPr>
          <w:rFonts w:ascii="Tahoma" w:hAnsi="Tahoma" w:cs="Tahoma"/>
          <w:sz w:val="22"/>
          <w:szCs w:val="22"/>
        </w:rPr>
        <w:t xml:space="preserve"> si alguno de los emolumentos causados por dicho concepto prescribió.</w:t>
      </w:r>
    </w:p>
    <w:p w:rsidR="00420A4B" w:rsidRDefault="00420A4B" w:rsidP="00A3224E">
      <w:pPr>
        <w:widowControl w:val="0"/>
        <w:autoSpaceDE w:val="0"/>
        <w:autoSpaceDN w:val="0"/>
        <w:adjustRightInd w:val="0"/>
        <w:spacing w:line="276" w:lineRule="auto"/>
        <w:ind w:firstLine="709"/>
        <w:jc w:val="both"/>
        <w:rPr>
          <w:rFonts w:ascii="Tahoma" w:hAnsi="Tahoma" w:cs="Tahoma"/>
          <w:sz w:val="22"/>
          <w:szCs w:val="22"/>
        </w:rPr>
      </w:pPr>
    </w:p>
    <w:p w:rsidR="00DB1EBE" w:rsidRDefault="00474D67" w:rsidP="00DB1EBE">
      <w:pPr>
        <w:widowControl w:val="0"/>
        <w:autoSpaceDE w:val="0"/>
        <w:autoSpaceDN w:val="0"/>
        <w:adjustRightInd w:val="0"/>
        <w:spacing w:line="276" w:lineRule="auto"/>
        <w:ind w:firstLine="709"/>
        <w:jc w:val="both"/>
        <w:rPr>
          <w:rFonts w:ascii="Tahoma" w:hAnsi="Tahoma" w:cs="Tahoma"/>
          <w:sz w:val="22"/>
          <w:szCs w:val="22"/>
        </w:rPr>
      </w:pPr>
      <w:r>
        <w:rPr>
          <w:rFonts w:ascii="Tahoma" w:hAnsi="Tahoma" w:cs="Tahoma"/>
          <w:sz w:val="22"/>
          <w:szCs w:val="22"/>
        </w:rPr>
        <w:t xml:space="preserve">Para ello </w:t>
      </w:r>
      <w:r w:rsidR="0041486F">
        <w:rPr>
          <w:rFonts w:ascii="Tahoma" w:hAnsi="Tahoma" w:cs="Tahoma"/>
          <w:sz w:val="22"/>
          <w:szCs w:val="22"/>
        </w:rPr>
        <w:t>basta indicar</w:t>
      </w:r>
      <w:r>
        <w:rPr>
          <w:rFonts w:ascii="Tahoma" w:hAnsi="Tahoma" w:cs="Tahoma"/>
          <w:sz w:val="22"/>
          <w:szCs w:val="22"/>
        </w:rPr>
        <w:t>, tal como lo expusiera la Jueza de instancia,</w:t>
      </w:r>
      <w:r w:rsidR="0041486F">
        <w:rPr>
          <w:rFonts w:ascii="Tahoma" w:hAnsi="Tahoma" w:cs="Tahoma"/>
          <w:sz w:val="22"/>
          <w:szCs w:val="22"/>
        </w:rPr>
        <w:t xml:space="preserve"> que al haber sido </w:t>
      </w:r>
      <w:r w:rsidR="00A3224E" w:rsidRPr="00A3224E">
        <w:rPr>
          <w:rFonts w:ascii="Tahoma" w:hAnsi="Tahoma" w:cs="Tahoma"/>
          <w:sz w:val="22"/>
          <w:szCs w:val="22"/>
        </w:rPr>
        <w:t>reconocida</w:t>
      </w:r>
      <w:r w:rsidR="0041486F">
        <w:rPr>
          <w:rFonts w:ascii="Tahoma" w:hAnsi="Tahoma" w:cs="Tahoma"/>
          <w:sz w:val="22"/>
          <w:szCs w:val="22"/>
        </w:rPr>
        <w:t xml:space="preserve"> la pensión de vejez</w:t>
      </w:r>
      <w:r w:rsidR="00A3224E" w:rsidRPr="00A3224E">
        <w:rPr>
          <w:rFonts w:ascii="Tahoma" w:hAnsi="Tahoma" w:cs="Tahoma"/>
          <w:sz w:val="22"/>
          <w:szCs w:val="22"/>
        </w:rPr>
        <w:t xml:space="preserve"> bajo los </w:t>
      </w:r>
      <w:r w:rsidR="00F846A4">
        <w:rPr>
          <w:rFonts w:ascii="Tahoma" w:hAnsi="Tahoma" w:cs="Tahoma"/>
          <w:sz w:val="22"/>
          <w:szCs w:val="22"/>
        </w:rPr>
        <w:t>presupuestos</w:t>
      </w:r>
      <w:r w:rsidR="00A3224E" w:rsidRPr="00A3224E">
        <w:rPr>
          <w:rFonts w:ascii="Tahoma" w:hAnsi="Tahoma" w:cs="Tahoma"/>
          <w:sz w:val="22"/>
          <w:szCs w:val="22"/>
        </w:rPr>
        <w:t xml:space="preserve"> del </w:t>
      </w:r>
      <w:r w:rsidR="00F846A4" w:rsidRPr="00A3224E">
        <w:rPr>
          <w:rFonts w:ascii="Tahoma" w:hAnsi="Tahoma" w:cs="Tahoma"/>
          <w:sz w:val="22"/>
          <w:szCs w:val="22"/>
        </w:rPr>
        <w:t xml:space="preserve">Acuerdo </w:t>
      </w:r>
      <w:r w:rsidR="00A3224E" w:rsidRPr="00A3224E">
        <w:rPr>
          <w:rFonts w:ascii="Tahoma" w:hAnsi="Tahoma" w:cs="Tahoma"/>
          <w:sz w:val="22"/>
          <w:szCs w:val="22"/>
        </w:rPr>
        <w:t>049 de 1990, como beneficiari</w:t>
      </w:r>
      <w:r w:rsidR="0041486F">
        <w:rPr>
          <w:rFonts w:ascii="Tahoma" w:hAnsi="Tahoma" w:cs="Tahoma"/>
          <w:sz w:val="22"/>
          <w:szCs w:val="22"/>
        </w:rPr>
        <w:t>a</w:t>
      </w:r>
      <w:r w:rsidR="00A3224E" w:rsidRPr="00A3224E">
        <w:rPr>
          <w:rFonts w:ascii="Tahoma" w:hAnsi="Tahoma" w:cs="Tahoma"/>
          <w:sz w:val="22"/>
          <w:szCs w:val="22"/>
        </w:rPr>
        <w:t xml:space="preserve"> del régimen de transición previsto en el artículo 36 de la Ley 100 de 1993, </w:t>
      </w:r>
      <w:r>
        <w:rPr>
          <w:rFonts w:ascii="Tahoma" w:hAnsi="Tahoma" w:cs="Tahoma"/>
          <w:sz w:val="22"/>
          <w:szCs w:val="22"/>
        </w:rPr>
        <w:t xml:space="preserve">la señora Serna de Ospina </w:t>
      </w:r>
      <w:r w:rsidR="0041486F">
        <w:rPr>
          <w:rFonts w:ascii="Tahoma" w:hAnsi="Tahoma" w:cs="Tahoma"/>
          <w:sz w:val="22"/>
          <w:szCs w:val="22"/>
        </w:rPr>
        <w:t xml:space="preserve">tenía derecho a que los incrementos consagrados en el artículo 21 de dicho </w:t>
      </w:r>
      <w:r w:rsidR="00FB0177">
        <w:rPr>
          <w:rFonts w:ascii="Tahoma" w:hAnsi="Tahoma" w:cs="Tahoma"/>
          <w:sz w:val="22"/>
          <w:szCs w:val="22"/>
        </w:rPr>
        <w:t xml:space="preserve">normativa </w:t>
      </w:r>
      <w:r w:rsidR="0041486F">
        <w:rPr>
          <w:rFonts w:ascii="Tahoma" w:hAnsi="Tahoma" w:cs="Tahoma"/>
          <w:sz w:val="22"/>
          <w:szCs w:val="22"/>
        </w:rPr>
        <w:t>le fueran reconocidos</w:t>
      </w:r>
      <w:r w:rsidR="00F846A4">
        <w:rPr>
          <w:rFonts w:ascii="Tahoma" w:hAnsi="Tahoma" w:cs="Tahoma"/>
          <w:sz w:val="22"/>
          <w:szCs w:val="22"/>
        </w:rPr>
        <w:t xml:space="preserve"> por tener a cargo a su cónyuge, el señor </w:t>
      </w:r>
      <w:r w:rsidR="006C2DA8">
        <w:rPr>
          <w:rFonts w:ascii="Tahoma" w:hAnsi="Tahoma" w:cs="Tahoma"/>
          <w:sz w:val="22"/>
          <w:szCs w:val="22"/>
        </w:rPr>
        <w:t xml:space="preserve">Pedro Jair Ospina Torres, quien depende económicamente de ella según </w:t>
      </w:r>
      <w:r>
        <w:rPr>
          <w:rFonts w:ascii="Tahoma" w:hAnsi="Tahoma" w:cs="Tahoma"/>
          <w:sz w:val="22"/>
          <w:szCs w:val="22"/>
        </w:rPr>
        <w:t xml:space="preserve">quedó demostrado con los </w:t>
      </w:r>
      <w:r w:rsidR="006C2DA8">
        <w:rPr>
          <w:rFonts w:ascii="Tahoma" w:hAnsi="Tahoma" w:cs="Tahoma"/>
          <w:sz w:val="22"/>
          <w:szCs w:val="22"/>
        </w:rPr>
        <w:t>testimonio</w:t>
      </w:r>
      <w:r>
        <w:rPr>
          <w:rFonts w:ascii="Tahoma" w:hAnsi="Tahoma" w:cs="Tahoma"/>
          <w:sz w:val="22"/>
          <w:szCs w:val="22"/>
        </w:rPr>
        <w:t xml:space="preserve">s de </w:t>
      </w:r>
      <w:r w:rsidR="00D61ED2">
        <w:rPr>
          <w:rFonts w:ascii="Tahoma" w:hAnsi="Tahoma" w:cs="Tahoma"/>
          <w:sz w:val="22"/>
          <w:szCs w:val="22"/>
        </w:rPr>
        <w:t xml:space="preserve">Diana María Arango y </w:t>
      </w:r>
      <w:r w:rsidR="006C2DA8">
        <w:rPr>
          <w:rFonts w:ascii="Tahoma" w:hAnsi="Tahoma" w:cs="Tahoma"/>
          <w:sz w:val="22"/>
          <w:szCs w:val="22"/>
        </w:rPr>
        <w:t>Mar</w:t>
      </w:r>
      <w:r w:rsidR="00D61ED2">
        <w:rPr>
          <w:rFonts w:ascii="Tahoma" w:hAnsi="Tahoma" w:cs="Tahoma"/>
          <w:sz w:val="22"/>
          <w:szCs w:val="22"/>
        </w:rPr>
        <w:t>io</w:t>
      </w:r>
      <w:r w:rsidR="006C2DA8">
        <w:rPr>
          <w:rFonts w:ascii="Tahoma" w:hAnsi="Tahoma" w:cs="Tahoma"/>
          <w:sz w:val="22"/>
          <w:szCs w:val="22"/>
        </w:rPr>
        <w:t xml:space="preserve"> Arango Henao</w:t>
      </w:r>
      <w:r w:rsidR="00D61ED2">
        <w:rPr>
          <w:rFonts w:ascii="Tahoma" w:hAnsi="Tahoma" w:cs="Tahoma"/>
          <w:sz w:val="22"/>
          <w:szCs w:val="22"/>
        </w:rPr>
        <w:t xml:space="preserve">, quienes en su calidad de prima y yerno de la demandante respectivamente, expusieron detalladamente por qué les constaba que </w:t>
      </w:r>
      <w:r w:rsidR="00DB1EBE">
        <w:rPr>
          <w:rFonts w:ascii="Tahoma" w:hAnsi="Tahoma" w:cs="Tahoma"/>
          <w:sz w:val="22"/>
          <w:szCs w:val="22"/>
        </w:rPr>
        <w:t xml:space="preserve">era esta última quien asumía los gastos de su hogar, así como la manutención de su esposo, quien había dejado de laborar hace mucho tiempo. Por lo anterior, </w:t>
      </w:r>
      <w:r w:rsidR="0041147A">
        <w:rPr>
          <w:rFonts w:ascii="Tahoma" w:hAnsi="Tahoma" w:cs="Tahoma"/>
          <w:sz w:val="22"/>
          <w:szCs w:val="22"/>
        </w:rPr>
        <w:t xml:space="preserve">al no </w:t>
      </w:r>
      <w:r w:rsidR="00D70FAC">
        <w:rPr>
          <w:rFonts w:ascii="Tahoma" w:hAnsi="Tahoma" w:cs="Tahoma"/>
          <w:sz w:val="22"/>
          <w:szCs w:val="22"/>
        </w:rPr>
        <w:t xml:space="preserve">existir otra </w:t>
      </w:r>
      <w:r w:rsidR="0041147A">
        <w:rPr>
          <w:rFonts w:ascii="Tahoma" w:hAnsi="Tahoma" w:cs="Tahoma"/>
          <w:sz w:val="22"/>
          <w:szCs w:val="22"/>
        </w:rPr>
        <w:t xml:space="preserve">controversia </w:t>
      </w:r>
      <w:r w:rsidR="00D70FAC">
        <w:rPr>
          <w:rFonts w:ascii="Tahoma" w:hAnsi="Tahoma" w:cs="Tahoma"/>
          <w:sz w:val="22"/>
          <w:szCs w:val="22"/>
        </w:rPr>
        <w:t xml:space="preserve">sobre este punto, el mismo </w:t>
      </w:r>
      <w:r w:rsidR="00DB1EBE">
        <w:rPr>
          <w:rFonts w:ascii="Tahoma" w:hAnsi="Tahoma" w:cs="Tahoma"/>
          <w:sz w:val="22"/>
          <w:szCs w:val="22"/>
        </w:rPr>
        <w:t>se confirmará.</w:t>
      </w:r>
    </w:p>
    <w:p w:rsidR="00DB1EBE" w:rsidRDefault="00DB1EBE" w:rsidP="00FE1FA5">
      <w:pPr>
        <w:widowControl w:val="0"/>
        <w:autoSpaceDE w:val="0"/>
        <w:autoSpaceDN w:val="0"/>
        <w:adjustRightInd w:val="0"/>
        <w:ind w:firstLine="709"/>
        <w:jc w:val="both"/>
        <w:rPr>
          <w:rFonts w:ascii="Tahoma" w:hAnsi="Tahoma" w:cs="Tahoma"/>
          <w:sz w:val="22"/>
          <w:szCs w:val="22"/>
        </w:rPr>
      </w:pPr>
    </w:p>
    <w:p w:rsidR="00A54E51" w:rsidRDefault="00DB1EBE" w:rsidP="00A073C6">
      <w:pPr>
        <w:widowControl w:val="0"/>
        <w:autoSpaceDE w:val="0"/>
        <w:autoSpaceDN w:val="0"/>
        <w:adjustRightInd w:val="0"/>
        <w:spacing w:line="276" w:lineRule="auto"/>
        <w:ind w:firstLine="709"/>
        <w:jc w:val="both"/>
        <w:rPr>
          <w:rFonts w:ascii="Tahoma" w:hAnsi="Tahoma" w:cs="Tahoma"/>
          <w:sz w:val="22"/>
          <w:szCs w:val="22"/>
        </w:rPr>
      </w:pPr>
      <w:r>
        <w:rPr>
          <w:rFonts w:ascii="Tahoma" w:hAnsi="Tahoma" w:cs="Tahoma"/>
          <w:sz w:val="22"/>
          <w:szCs w:val="22"/>
        </w:rPr>
        <w:t xml:space="preserve">Ahora bien, a efectos de resolver la censura del togado de la </w:t>
      </w:r>
      <w:r w:rsidR="009118E0">
        <w:rPr>
          <w:rFonts w:ascii="Tahoma" w:hAnsi="Tahoma" w:cs="Tahoma"/>
          <w:sz w:val="22"/>
          <w:szCs w:val="22"/>
        </w:rPr>
        <w:t>demandante</w:t>
      </w:r>
      <w:r>
        <w:rPr>
          <w:rFonts w:ascii="Tahoma" w:hAnsi="Tahoma" w:cs="Tahoma"/>
          <w:sz w:val="22"/>
          <w:szCs w:val="22"/>
        </w:rPr>
        <w:t>, debe</w:t>
      </w:r>
      <w:r w:rsidR="00D70FAC">
        <w:rPr>
          <w:rFonts w:ascii="Tahoma" w:hAnsi="Tahoma" w:cs="Tahoma"/>
          <w:sz w:val="22"/>
          <w:szCs w:val="22"/>
        </w:rPr>
        <w:t xml:space="preserve"> </w:t>
      </w:r>
      <w:r w:rsidR="00A54E51">
        <w:rPr>
          <w:rFonts w:ascii="Tahoma" w:hAnsi="Tahoma" w:cs="Tahoma"/>
          <w:sz w:val="22"/>
          <w:szCs w:val="22"/>
        </w:rPr>
        <w:t xml:space="preserve">decirse que al igual que el derecho para reclamar los incrementos pensionales sólo empezó a contabilizarse cuando se expidió la Resolución </w:t>
      </w:r>
      <w:r w:rsidR="00A54E51" w:rsidRPr="00725F97">
        <w:rPr>
          <w:rFonts w:ascii="Tahoma" w:hAnsi="Tahoma" w:cs="Tahoma"/>
          <w:sz w:val="22"/>
          <w:szCs w:val="22"/>
        </w:rPr>
        <w:t>400.250 del 13 de noviembre de 2014</w:t>
      </w:r>
      <w:r w:rsidR="00A54E51">
        <w:rPr>
          <w:rFonts w:ascii="Tahoma" w:hAnsi="Tahoma" w:cs="Tahoma"/>
          <w:sz w:val="22"/>
          <w:szCs w:val="22"/>
        </w:rPr>
        <w:t xml:space="preserve">, </w:t>
      </w:r>
      <w:r w:rsidR="00A54E51" w:rsidRPr="008D7A3C">
        <w:rPr>
          <w:rFonts w:ascii="Tahoma" w:hAnsi="Tahoma" w:cs="Tahoma"/>
          <w:b/>
          <w:sz w:val="22"/>
          <w:szCs w:val="22"/>
        </w:rPr>
        <w:t xml:space="preserve">a través de la cual se </w:t>
      </w:r>
      <w:proofErr w:type="spellStart"/>
      <w:r w:rsidR="00A54E51" w:rsidRPr="008D7A3C">
        <w:rPr>
          <w:rFonts w:ascii="Tahoma" w:hAnsi="Tahoma" w:cs="Tahoma"/>
          <w:b/>
          <w:sz w:val="22"/>
          <w:szCs w:val="22"/>
        </w:rPr>
        <w:t>reliquidó</w:t>
      </w:r>
      <w:proofErr w:type="spellEnd"/>
      <w:r w:rsidR="00A54E51" w:rsidRPr="008D7A3C">
        <w:rPr>
          <w:rFonts w:ascii="Tahoma" w:hAnsi="Tahoma" w:cs="Tahoma"/>
          <w:b/>
          <w:sz w:val="22"/>
          <w:szCs w:val="22"/>
        </w:rPr>
        <w:t xml:space="preserve"> su derecho pensional con fundamento en el Acuerdo 049 de 1990</w:t>
      </w:r>
      <w:r w:rsidR="00A54E51" w:rsidRPr="008D7A3C">
        <w:rPr>
          <w:rFonts w:ascii="Tahoma" w:hAnsi="Tahoma" w:cs="Tahoma"/>
          <w:sz w:val="22"/>
          <w:szCs w:val="22"/>
        </w:rPr>
        <w:t>,</w:t>
      </w:r>
      <w:r w:rsidR="00A54E51">
        <w:rPr>
          <w:rFonts w:ascii="Tahoma" w:hAnsi="Tahoma" w:cs="Tahoma"/>
          <w:sz w:val="22"/>
          <w:szCs w:val="22"/>
        </w:rPr>
        <w:t xml:space="preserve"> sólo a partir de ese momento surge el derecho de los incrementos pensionales por persona a cargo; por lo tanto, en el presente asunto se ordenará el reconocimiento de dichos emolumentos a partir de ese acto administrativo, esto es, desde el 13 de noviembre de 2014, siendo del caso modificar la decisión de primer grado en ese sentido.</w:t>
      </w:r>
    </w:p>
    <w:p w:rsidR="00A54E51" w:rsidRDefault="00A54E51" w:rsidP="00A073C6">
      <w:pPr>
        <w:widowControl w:val="0"/>
        <w:autoSpaceDE w:val="0"/>
        <w:autoSpaceDN w:val="0"/>
        <w:adjustRightInd w:val="0"/>
        <w:spacing w:line="276" w:lineRule="auto"/>
        <w:ind w:firstLine="709"/>
        <w:jc w:val="both"/>
        <w:rPr>
          <w:rFonts w:ascii="Tahoma" w:hAnsi="Tahoma" w:cs="Tahoma"/>
          <w:sz w:val="22"/>
          <w:szCs w:val="22"/>
        </w:rPr>
      </w:pPr>
    </w:p>
    <w:p w:rsidR="00A073C6" w:rsidRPr="00A073C6" w:rsidRDefault="00A54E51" w:rsidP="00A073C6">
      <w:pPr>
        <w:spacing w:line="276" w:lineRule="auto"/>
        <w:ind w:firstLine="708"/>
        <w:jc w:val="both"/>
        <w:rPr>
          <w:rFonts w:ascii="Calibri" w:hAnsi="Calibri"/>
          <w:sz w:val="20"/>
          <w:szCs w:val="20"/>
        </w:rPr>
      </w:pPr>
      <w:r>
        <w:rPr>
          <w:rFonts w:ascii="Tahoma" w:hAnsi="Tahoma" w:cs="Tahoma"/>
          <w:sz w:val="22"/>
          <w:szCs w:val="22"/>
        </w:rPr>
        <w:t xml:space="preserve">Así las </w:t>
      </w:r>
      <w:r w:rsidRPr="00A073C6">
        <w:rPr>
          <w:rFonts w:ascii="Tahoma" w:hAnsi="Tahoma" w:cs="Tahoma"/>
          <w:sz w:val="22"/>
          <w:szCs w:val="22"/>
        </w:rPr>
        <w:t>cosas, a efectos de la celeridad en el cumplimiento de la presente decisión, la Sala procedió a calcular el monto de los incrementos causados al 31 de enero de 2017, lo cual arrojó una suma de $</w:t>
      </w:r>
      <w:r w:rsidRPr="00A073C6">
        <w:rPr>
          <w:rFonts w:ascii="Tahoma" w:hAnsi="Tahoma" w:cs="Tahoma"/>
          <w:color w:val="000000"/>
          <w:sz w:val="22"/>
          <w:szCs w:val="22"/>
        </w:rPr>
        <w:t>4.269.746</w:t>
      </w:r>
      <w:r w:rsidRPr="00A073C6">
        <w:rPr>
          <w:rFonts w:ascii="Tahoma" w:hAnsi="Tahoma" w:cs="Tahoma"/>
          <w:sz w:val="22"/>
          <w:szCs w:val="22"/>
        </w:rPr>
        <w:t>, inferior a la calculada por la A-quo</w:t>
      </w:r>
      <w:r w:rsidR="00A073C6" w:rsidRPr="00A073C6">
        <w:rPr>
          <w:rFonts w:ascii="Tahoma" w:hAnsi="Tahoma" w:cs="Tahoma"/>
          <w:sz w:val="22"/>
          <w:szCs w:val="22"/>
        </w:rPr>
        <w:t>, primero que todo porque la fecha del reconocimiento del retroactivo varió, y segundo,</w:t>
      </w:r>
      <w:r w:rsidRPr="00A073C6">
        <w:rPr>
          <w:rFonts w:ascii="Tahoma" w:hAnsi="Tahoma" w:cs="Tahoma"/>
          <w:sz w:val="22"/>
          <w:szCs w:val="22"/>
        </w:rPr>
        <w:t xml:space="preserve"> en razón a que ella tomó el valor total del salario devengado para calcular el incremento, cuando sólo se debe tomar el salario mínimo legal, según las voces del artículo 21 del Acuerdo 049 de 1990. Por otra parte, tal como se observa en la liquidación que se pone de presente a los asistentes y que hará parte del acta que se levante con ocasión de la presente diligencia, la indexación del retroactivo a que se ha hecho alusión asciende a $</w:t>
      </w:r>
      <w:r w:rsidR="00A073C6" w:rsidRPr="00A073C6">
        <w:rPr>
          <w:rFonts w:ascii="Tahoma" w:hAnsi="Tahoma" w:cs="Tahoma"/>
          <w:sz w:val="22"/>
          <w:szCs w:val="22"/>
        </w:rPr>
        <w:t>276.378</w:t>
      </w:r>
      <w:r w:rsidR="00A073C6">
        <w:rPr>
          <w:rFonts w:ascii="Tahoma" w:hAnsi="Tahoma" w:cs="Tahoma"/>
          <w:sz w:val="22"/>
          <w:szCs w:val="22"/>
        </w:rPr>
        <w:t>.</w:t>
      </w:r>
      <w:r w:rsidR="00A073C6" w:rsidRPr="00A073C6">
        <w:rPr>
          <w:rFonts w:ascii="Calibri" w:hAnsi="Calibri"/>
          <w:sz w:val="20"/>
          <w:szCs w:val="20"/>
        </w:rPr>
        <w:t xml:space="preserve"> </w:t>
      </w:r>
    </w:p>
    <w:p w:rsidR="00A54E51" w:rsidRPr="00A3224E" w:rsidRDefault="00A54E51" w:rsidP="00A073C6">
      <w:pPr>
        <w:spacing w:line="276" w:lineRule="auto"/>
        <w:ind w:firstLine="708"/>
        <w:jc w:val="both"/>
        <w:rPr>
          <w:rFonts w:ascii="Tahoma" w:hAnsi="Tahoma" w:cs="Tahoma"/>
          <w:sz w:val="22"/>
          <w:szCs w:val="22"/>
        </w:rPr>
      </w:pPr>
    </w:p>
    <w:p w:rsidR="00A54E51" w:rsidRDefault="00A54E51" w:rsidP="00A073C6">
      <w:pPr>
        <w:spacing w:line="276" w:lineRule="auto"/>
        <w:ind w:firstLine="708"/>
        <w:jc w:val="both"/>
        <w:rPr>
          <w:rFonts w:ascii="Tahoma" w:hAnsi="Tahoma" w:cs="Tahoma"/>
          <w:bCs/>
          <w:sz w:val="22"/>
          <w:szCs w:val="22"/>
        </w:rPr>
      </w:pPr>
      <w:r>
        <w:rPr>
          <w:rFonts w:ascii="Tahoma" w:hAnsi="Tahoma" w:cs="Tahoma"/>
          <w:bCs/>
          <w:sz w:val="22"/>
          <w:szCs w:val="22"/>
        </w:rPr>
        <w:t xml:space="preserve">No habiendo más temas por resolver, se dirá que las costas de segunda instancia correrán a cargo del apelante en un 100%, a favor de Colpensiones, y se liquidarán por la secretaría del juzgado de origen. </w:t>
      </w:r>
    </w:p>
    <w:p w:rsidR="00A54E51" w:rsidRDefault="00A54E51" w:rsidP="00A073C6">
      <w:pPr>
        <w:widowControl w:val="0"/>
        <w:autoSpaceDE w:val="0"/>
        <w:autoSpaceDN w:val="0"/>
        <w:adjustRightInd w:val="0"/>
        <w:spacing w:line="276" w:lineRule="auto"/>
        <w:ind w:firstLine="709"/>
        <w:jc w:val="both"/>
        <w:rPr>
          <w:rFonts w:ascii="Tahoma" w:hAnsi="Tahoma" w:cs="Tahoma"/>
          <w:sz w:val="22"/>
          <w:szCs w:val="22"/>
        </w:rPr>
      </w:pPr>
    </w:p>
    <w:p w:rsidR="00884778" w:rsidRDefault="0081100E" w:rsidP="00A073C6">
      <w:pPr>
        <w:spacing w:line="276" w:lineRule="auto"/>
        <w:ind w:firstLine="708"/>
        <w:jc w:val="both"/>
        <w:rPr>
          <w:rFonts w:ascii="Tahoma" w:hAnsi="Tahoma" w:cs="Tahoma"/>
          <w:bCs/>
          <w:sz w:val="22"/>
          <w:szCs w:val="22"/>
        </w:rPr>
      </w:pPr>
      <w:r>
        <w:rPr>
          <w:rFonts w:ascii="Tahoma" w:hAnsi="Tahoma" w:cs="Tahoma"/>
          <w:sz w:val="22"/>
          <w:szCs w:val="22"/>
        </w:rPr>
        <w:t xml:space="preserve">En virtud de lo </w:t>
      </w:r>
      <w:r w:rsidR="00B66198">
        <w:rPr>
          <w:rFonts w:ascii="Tahoma" w:hAnsi="Tahoma" w:cs="Tahoma"/>
          <w:sz w:val="22"/>
          <w:szCs w:val="22"/>
        </w:rPr>
        <w:t>expuesto no se accederá a lo solicit</w:t>
      </w:r>
      <w:r>
        <w:rPr>
          <w:rFonts w:ascii="Tahoma" w:hAnsi="Tahoma" w:cs="Tahoma"/>
          <w:sz w:val="22"/>
          <w:szCs w:val="22"/>
        </w:rPr>
        <w:t>a</w:t>
      </w:r>
      <w:r w:rsidR="00B66198">
        <w:rPr>
          <w:rFonts w:ascii="Tahoma" w:hAnsi="Tahoma" w:cs="Tahoma"/>
          <w:sz w:val="22"/>
          <w:szCs w:val="22"/>
        </w:rPr>
        <w:t>do por la actora, no obstante,</w:t>
      </w:r>
      <w:r>
        <w:rPr>
          <w:rFonts w:ascii="Tahoma" w:hAnsi="Tahoma" w:cs="Tahoma"/>
          <w:sz w:val="22"/>
          <w:szCs w:val="22"/>
        </w:rPr>
        <w:t xml:space="preserve"> </w:t>
      </w:r>
    </w:p>
    <w:p w:rsidR="00884778" w:rsidRDefault="00884778" w:rsidP="00A073C6">
      <w:pPr>
        <w:spacing w:line="276" w:lineRule="auto"/>
        <w:ind w:firstLine="708"/>
        <w:jc w:val="both"/>
        <w:rPr>
          <w:rFonts w:ascii="Tahoma" w:hAnsi="Tahoma" w:cs="Tahoma"/>
          <w:bCs/>
          <w:sz w:val="22"/>
          <w:szCs w:val="22"/>
        </w:rPr>
      </w:pPr>
    </w:p>
    <w:p w:rsidR="008B7665" w:rsidRPr="00BF4F59" w:rsidRDefault="00BF4F59" w:rsidP="00A073C6">
      <w:pPr>
        <w:pStyle w:val="Retraitcorpsdetexte"/>
        <w:spacing w:line="276" w:lineRule="auto"/>
        <w:rPr>
          <w:sz w:val="22"/>
          <w:szCs w:val="22"/>
        </w:rPr>
      </w:pPr>
      <w:r w:rsidRPr="00BF4F59">
        <w:rPr>
          <w:sz w:val="22"/>
          <w:szCs w:val="22"/>
        </w:rPr>
        <w:t xml:space="preserve">En mérito de lo expuesto, el </w:t>
      </w:r>
      <w:r w:rsidRPr="00BF4F59">
        <w:rPr>
          <w:b/>
          <w:sz w:val="22"/>
          <w:szCs w:val="22"/>
        </w:rPr>
        <w:t>Tribunal Superior del Distrito Judicial de Pereira (Risaralda)</w:t>
      </w:r>
      <w:r w:rsidRPr="00BF4F59">
        <w:rPr>
          <w:sz w:val="22"/>
          <w:szCs w:val="22"/>
        </w:rPr>
        <w:t xml:space="preserve">, </w:t>
      </w:r>
      <w:r w:rsidRPr="00BF4F59">
        <w:rPr>
          <w:b/>
          <w:sz w:val="22"/>
          <w:szCs w:val="22"/>
        </w:rPr>
        <w:t>Sala</w:t>
      </w:r>
      <w:r w:rsidR="00A51E5C">
        <w:rPr>
          <w:b/>
          <w:sz w:val="22"/>
          <w:szCs w:val="22"/>
        </w:rPr>
        <w:t xml:space="preserve"> de Decisión </w:t>
      </w:r>
      <w:r w:rsidRPr="00BF4F59">
        <w:rPr>
          <w:b/>
          <w:sz w:val="22"/>
          <w:szCs w:val="22"/>
        </w:rPr>
        <w:t>Laboral</w:t>
      </w:r>
      <w:r w:rsidR="00A51E5C">
        <w:rPr>
          <w:b/>
          <w:sz w:val="22"/>
          <w:szCs w:val="22"/>
        </w:rPr>
        <w:t xml:space="preserve"> No. 1</w:t>
      </w:r>
      <w:r w:rsidRPr="00BF4F59">
        <w:rPr>
          <w:sz w:val="22"/>
          <w:szCs w:val="22"/>
        </w:rPr>
        <w:t>, administrando justicia en nombre de la República y por autoridad de la Ley,</w:t>
      </w:r>
      <w:r w:rsidR="008B7665" w:rsidRPr="00BF4F59">
        <w:rPr>
          <w:sz w:val="22"/>
          <w:szCs w:val="22"/>
        </w:rPr>
        <w:tab/>
      </w:r>
    </w:p>
    <w:p w:rsidR="008B7665" w:rsidRPr="00BF4F59" w:rsidRDefault="008B7665" w:rsidP="004C72F3">
      <w:pPr>
        <w:widowControl w:val="0"/>
        <w:autoSpaceDE w:val="0"/>
        <w:autoSpaceDN w:val="0"/>
        <w:adjustRightInd w:val="0"/>
        <w:spacing w:line="276" w:lineRule="auto"/>
        <w:jc w:val="center"/>
        <w:rPr>
          <w:rFonts w:ascii="Tahoma" w:hAnsi="Tahoma" w:cs="Tahoma"/>
          <w:b/>
          <w:sz w:val="22"/>
          <w:szCs w:val="22"/>
        </w:rPr>
      </w:pPr>
      <w:r w:rsidRPr="00BF4F59">
        <w:rPr>
          <w:rFonts w:ascii="Tahoma" w:hAnsi="Tahoma" w:cs="Tahoma"/>
          <w:b/>
          <w:sz w:val="22"/>
          <w:szCs w:val="22"/>
        </w:rPr>
        <w:t>RESUELVE:</w:t>
      </w:r>
    </w:p>
    <w:p w:rsidR="008B7665" w:rsidRPr="00BF4F59" w:rsidRDefault="008B7665" w:rsidP="00FE1FA5">
      <w:pPr>
        <w:widowControl w:val="0"/>
        <w:autoSpaceDE w:val="0"/>
        <w:autoSpaceDN w:val="0"/>
        <w:adjustRightInd w:val="0"/>
        <w:jc w:val="both"/>
        <w:rPr>
          <w:rFonts w:ascii="Tahoma" w:hAnsi="Tahoma" w:cs="Tahoma"/>
          <w:sz w:val="22"/>
          <w:szCs w:val="22"/>
        </w:rPr>
      </w:pPr>
    </w:p>
    <w:p w:rsidR="00B5378D" w:rsidRPr="00ED0266" w:rsidRDefault="008B7665" w:rsidP="00ED0266">
      <w:pPr>
        <w:spacing w:line="276" w:lineRule="auto"/>
        <w:ind w:firstLine="708"/>
        <w:jc w:val="both"/>
        <w:rPr>
          <w:rFonts w:ascii="Tahoma" w:hAnsi="Tahoma" w:cs="Tahoma"/>
          <w:sz w:val="22"/>
          <w:szCs w:val="22"/>
        </w:rPr>
      </w:pPr>
      <w:r w:rsidRPr="00BF4F59">
        <w:rPr>
          <w:rFonts w:ascii="Tahoma" w:hAnsi="Tahoma" w:cs="Tahoma"/>
          <w:b/>
          <w:sz w:val="22"/>
          <w:szCs w:val="22"/>
          <w:u w:val="single"/>
        </w:rPr>
        <w:t>PRIMERO</w:t>
      </w:r>
      <w:r w:rsidRPr="00BF4F59">
        <w:rPr>
          <w:rFonts w:ascii="Tahoma" w:hAnsi="Tahoma" w:cs="Tahoma"/>
          <w:sz w:val="22"/>
          <w:szCs w:val="22"/>
        </w:rPr>
        <w:t xml:space="preserve">.- </w:t>
      </w:r>
      <w:r w:rsidR="00CB615C" w:rsidRPr="00CB615C">
        <w:rPr>
          <w:rFonts w:ascii="Tahoma" w:hAnsi="Tahoma" w:cs="Tahoma"/>
          <w:b/>
          <w:sz w:val="22"/>
          <w:szCs w:val="22"/>
        </w:rPr>
        <w:t>MODIFICAR</w:t>
      </w:r>
      <w:r w:rsidR="00CB615C">
        <w:rPr>
          <w:rFonts w:ascii="Tahoma" w:hAnsi="Tahoma" w:cs="Tahoma"/>
          <w:b/>
          <w:sz w:val="22"/>
          <w:szCs w:val="22"/>
        </w:rPr>
        <w:t xml:space="preserve"> </w:t>
      </w:r>
      <w:r w:rsidR="00CB615C" w:rsidRPr="00CB615C">
        <w:rPr>
          <w:rFonts w:ascii="Tahoma" w:hAnsi="Tahoma" w:cs="Tahoma"/>
          <w:sz w:val="22"/>
          <w:szCs w:val="22"/>
        </w:rPr>
        <w:t>los ordinal</w:t>
      </w:r>
      <w:r w:rsidR="00CB615C">
        <w:rPr>
          <w:rFonts w:ascii="Tahoma" w:hAnsi="Tahoma" w:cs="Tahoma"/>
          <w:sz w:val="22"/>
          <w:szCs w:val="22"/>
        </w:rPr>
        <w:t>es</w:t>
      </w:r>
      <w:r w:rsidR="00CB615C" w:rsidRPr="00CB615C">
        <w:rPr>
          <w:rFonts w:ascii="Tahoma" w:hAnsi="Tahoma" w:cs="Tahoma"/>
          <w:sz w:val="22"/>
          <w:szCs w:val="22"/>
        </w:rPr>
        <w:t xml:space="preserve"> segundo </w:t>
      </w:r>
      <w:r w:rsidR="00CB615C">
        <w:rPr>
          <w:rFonts w:ascii="Tahoma" w:hAnsi="Tahoma" w:cs="Tahoma"/>
          <w:sz w:val="22"/>
          <w:szCs w:val="22"/>
        </w:rPr>
        <w:t xml:space="preserve">y tercero </w:t>
      </w:r>
      <w:r w:rsidR="00CB615C" w:rsidRPr="00CB615C">
        <w:rPr>
          <w:rFonts w:ascii="Tahoma" w:hAnsi="Tahoma" w:cs="Tahoma"/>
          <w:sz w:val="22"/>
          <w:szCs w:val="22"/>
        </w:rPr>
        <w:t xml:space="preserve">de </w:t>
      </w:r>
      <w:r w:rsidR="00B5378D">
        <w:rPr>
          <w:rFonts w:ascii="Tahoma" w:hAnsi="Tahoma" w:cs="Tahoma"/>
          <w:sz w:val="22"/>
          <w:szCs w:val="22"/>
        </w:rPr>
        <w:t xml:space="preserve">la sentencia proferida </w:t>
      </w:r>
      <w:r w:rsidR="00B5378D" w:rsidRPr="00BF4F59">
        <w:rPr>
          <w:rFonts w:ascii="Tahoma" w:hAnsi="Tahoma" w:cs="Tahoma"/>
          <w:sz w:val="22"/>
          <w:szCs w:val="22"/>
        </w:rPr>
        <w:t xml:space="preserve">el </w:t>
      </w:r>
      <w:r w:rsidR="00CB615C">
        <w:rPr>
          <w:rFonts w:ascii="Tahoma" w:hAnsi="Tahoma" w:cs="Tahoma"/>
          <w:sz w:val="22"/>
          <w:szCs w:val="22"/>
        </w:rPr>
        <w:t>23</w:t>
      </w:r>
      <w:r w:rsidR="00B5378D">
        <w:rPr>
          <w:rFonts w:ascii="Tahoma" w:hAnsi="Tahoma" w:cs="Tahoma"/>
          <w:sz w:val="22"/>
          <w:szCs w:val="22"/>
        </w:rPr>
        <w:t xml:space="preserve"> de </w:t>
      </w:r>
      <w:r w:rsidR="00ED0266">
        <w:rPr>
          <w:rFonts w:ascii="Tahoma" w:hAnsi="Tahoma" w:cs="Tahoma"/>
          <w:sz w:val="22"/>
          <w:szCs w:val="22"/>
        </w:rPr>
        <w:t xml:space="preserve">julio </w:t>
      </w:r>
      <w:r w:rsidR="00B5378D" w:rsidRPr="00BF4F59">
        <w:rPr>
          <w:rFonts w:ascii="Tahoma" w:hAnsi="Tahoma" w:cs="Tahoma"/>
          <w:sz w:val="22"/>
          <w:szCs w:val="22"/>
        </w:rPr>
        <w:t>de 201</w:t>
      </w:r>
      <w:r w:rsidR="00B5378D">
        <w:rPr>
          <w:rFonts w:ascii="Tahoma" w:hAnsi="Tahoma" w:cs="Tahoma"/>
          <w:sz w:val="22"/>
          <w:szCs w:val="22"/>
        </w:rPr>
        <w:t>5</w:t>
      </w:r>
      <w:r w:rsidR="00B5378D" w:rsidRPr="00BF4F59">
        <w:rPr>
          <w:rFonts w:ascii="Tahoma" w:hAnsi="Tahoma" w:cs="Tahoma"/>
          <w:sz w:val="22"/>
          <w:szCs w:val="22"/>
        </w:rPr>
        <w:t xml:space="preserve"> por el Juzgado </w:t>
      </w:r>
      <w:r w:rsidR="00CB615C">
        <w:rPr>
          <w:rFonts w:ascii="Tahoma" w:hAnsi="Tahoma" w:cs="Tahoma"/>
          <w:sz w:val="22"/>
          <w:szCs w:val="22"/>
        </w:rPr>
        <w:t>Quinto</w:t>
      </w:r>
      <w:r w:rsidR="00ED0266">
        <w:rPr>
          <w:rFonts w:ascii="Tahoma" w:hAnsi="Tahoma" w:cs="Tahoma"/>
          <w:sz w:val="22"/>
          <w:szCs w:val="22"/>
        </w:rPr>
        <w:t xml:space="preserve"> </w:t>
      </w:r>
      <w:r w:rsidR="00B5378D" w:rsidRPr="00BF4F59">
        <w:rPr>
          <w:rFonts w:ascii="Tahoma" w:hAnsi="Tahoma" w:cs="Tahoma"/>
          <w:sz w:val="22"/>
          <w:szCs w:val="22"/>
        </w:rPr>
        <w:t>Laboral del Circuito de Pereira</w:t>
      </w:r>
      <w:r w:rsidR="00B5378D">
        <w:rPr>
          <w:rFonts w:ascii="Tahoma" w:hAnsi="Tahoma" w:cs="Tahoma"/>
          <w:sz w:val="22"/>
          <w:szCs w:val="22"/>
        </w:rPr>
        <w:t xml:space="preserve">, </w:t>
      </w:r>
      <w:r w:rsidR="00B5378D" w:rsidRPr="00BF4F59">
        <w:rPr>
          <w:rFonts w:ascii="Tahoma" w:hAnsi="Tahoma" w:cs="Tahoma"/>
          <w:sz w:val="22"/>
          <w:szCs w:val="22"/>
        </w:rPr>
        <w:t xml:space="preserve">dentro del proceso iniciado por </w:t>
      </w:r>
      <w:r w:rsidR="00CB615C">
        <w:rPr>
          <w:rFonts w:ascii="Tahoma" w:hAnsi="Tahoma" w:cs="Tahoma"/>
          <w:b/>
          <w:sz w:val="22"/>
          <w:szCs w:val="22"/>
        </w:rPr>
        <w:t xml:space="preserve">María Ligia </w:t>
      </w:r>
      <w:r w:rsidR="00CB615C" w:rsidRPr="000622EF">
        <w:rPr>
          <w:rFonts w:ascii="Tahoma" w:hAnsi="Tahoma" w:cs="Tahoma"/>
          <w:b/>
          <w:sz w:val="22"/>
          <w:szCs w:val="22"/>
        </w:rPr>
        <w:t>Serna de Ospina</w:t>
      </w:r>
      <w:r w:rsidR="00ED0266" w:rsidRPr="000622EF">
        <w:rPr>
          <w:rFonts w:ascii="Tahoma" w:hAnsi="Tahoma" w:cs="Tahoma"/>
          <w:b/>
          <w:sz w:val="22"/>
          <w:szCs w:val="22"/>
        </w:rPr>
        <w:t xml:space="preserve"> </w:t>
      </w:r>
      <w:r w:rsidR="00B5378D" w:rsidRPr="000622EF">
        <w:rPr>
          <w:rFonts w:ascii="Tahoma" w:hAnsi="Tahoma" w:cs="Tahoma"/>
          <w:sz w:val="22"/>
          <w:szCs w:val="22"/>
          <w:lang w:val="es-ES_tradnl"/>
        </w:rPr>
        <w:t xml:space="preserve">en contra de la </w:t>
      </w:r>
      <w:r w:rsidR="00B5378D" w:rsidRPr="000622EF">
        <w:rPr>
          <w:rFonts w:ascii="Tahoma" w:hAnsi="Tahoma" w:cs="Tahoma"/>
          <w:b/>
          <w:sz w:val="22"/>
          <w:szCs w:val="22"/>
          <w:lang w:val="es-ES_tradnl"/>
        </w:rPr>
        <w:t>Administradora Colombiana de Pensiones – Colpensiones</w:t>
      </w:r>
      <w:r w:rsidR="00CB615C" w:rsidRPr="000622EF">
        <w:rPr>
          <w:rFonts w:ascii="Tahoma" w:hAnsi="Tahoma" w:cs="Tahoma"/>
          <w:sz w:val="22"/>
          <w:szCs w:val="22"/>
          <w:lang w:val="es-ES_tradnl"/>
        </w:rPr>
        <w:t xml:space="preserve">, en el sentido de que la suma causada entre el </w:t>
      </w:r>
      <w:r w:rsidR="00A073C6">
        <w:rPr>
          <w:rFonts w:ascii="Tahoma" w:hAnsi="Tahoma" w:cs="Tahoma"/>
          <w:sz w:val="22"/>
          <w:szCs w:val="22"/>
          <w:lang w:val="es-ES_tradnl"/>
        </w:rPr>
        <w:t>13</w:t>
      </w:r>
      <w:r w:rsidR="00CB615C" w:rsidRPr="000622EF">
        <w:rPr>
          <w:rFonts w:ascii="Tahoma" w:hAnsi="Tahoma" w:cs="Tahoma"/>
          <w:sz w:val="22"/>
          <w:szCs w:val="22"/>
          <w:lang w:val="es-ES_tradnl"/>
        </w:rPr>
        <w:t xml:space="preserve"> de </w:t>
      </w:r>
      <w:r w:rsidR="00A073C6">
        <w:rPr>
          <w:rFonts w:ascii="Tahoma" w:hAnsi="Tahoma" w:cs="Tahoma"/>
          <w:sz w:val="22"/>
          <w:szCs w:val="22"/>
          <w:lang w:val="es-ES_tradnl"/>
        </w:rPr>
        <w:t xml:space="preserve">noviembre </w:t>
      </w:r>
      <w:r w:rsidR="00CB615C" w:rsidRPr="000622EF">
        <w:rPr>
          <w:rFonts w:ascii="Tahoma" w:hAnsi="Tahoma" w:cs="Tahoma"/>
          <w:sz w:val="22"/>
          <w:szCs w:val="22"/>
          <w:lang w:val="es-ES_tradnl"/>
        </w:rPr>
        <w:t>de 201</w:t>
      </w:r>
      <w:r w:rsidR="00A073C6">
        <w:rPr>
          <w:rFonts w:ascii="Tahoma" w:hAnsi="Tahoma" w:cs="Tahoma"/>
          <w:sz w:val="22"/>
          <w:szCs w:val="22"/>
          <w:lang w:val="es-ES_tradnl"/>
        </w:rPr>
        <w:t>4</w:t>
      </w:r>
      <w:r w:rsidR="00CB615C" w:rsidRPr="000622EF">
        <w:rPr>
          <w:rFonts w:ascii="Tahoma" w:hAnsi="Tahoma" w:cs="Tahoma"/>
          <w:sz w:val="22"/>
          <w:szCs w:val="22"/>
          <w:lang w:val="es-ES_tradnl"/>
        </w:rPr>
        <w:t xml:space="preserve"> y el 31 de enero de 2017, por concepto de incrementos pensionales, asciende a</w:t>
      </w:r>
      <w:r w:rsidR="00CB615C" w:rsidRPr="000622EF">
        <w:rPr>
          <w:rFonts w:ascii="Tahoma" w:hAnsi="Tahoma" w:cs="Tahoma"/>
          <w:b/>
          <w:sz w:val="22"/>
          <w:szCs w:val="22"/>
          <w:lang w:val="es-ES_tradnl"/>
        </w:rPr>
        <w:t xml:space="preserve"> </w:t>
      </w:r>
      <w:r w:rsidR="00A073C6" w:rsidRPr="00A073C6">
        <w:rPr>
          <w:rFonts w:ascii="Tahoma" w:hAnsi="Tahoma" w:cs="Tahoma"/>
          <w:sz w:val="22"/>
          <w:szCs w:val="22"/>
        </w:rPr>
        <w:t>$</w:t>
      </w:r>
      <w:r w:rsidR="00A073C6" w:rsidRPr="00A073C6">
        <w:rPr>
          <w:rFonts w:ascii="Tahoma" w:hAnsi="Tahoma" w:cs="Tahoma"/>
          <w:color w:val="000000"/>
          <w:sz w:val="22"/>
          <w:szCs w:val="22"/>
        </w:rPr>
        <w:t>4.269.746</w:t>
      </w:r>
      <w:r w:rsidR="00CB615C" w:rsidRPr="000622EF">
        <w:rPr>
          <w:rFonts w:ascii="Tahoma" w:hAnsi="Tahoma" w:cs="Tahoma"/>
          <w:sz w:val="22"/>
          <w:szCs w:val="22"/>
        </w:rPr>
        <w:t xml:space="preserve">, monto cuya indexación equivale a </w:t>
      </w:r>
      <w:r w:rsidR="000622EF" w:rsidRPr="000622EF">
        <w:rPr>
          <w:rFonts w:ascii="Tahoma" w:hAnsi="Tahoma" w:cs="Tahoma"/>
          <w:sz w:val="22"/>
          <w:szCs w:val="22"/>
        </w:rPr>
        <w:t>$</w:t>
      </w:r>
      <w:r w:rsidR="00A073C6" w:rsidRPr="00A073C6">
        <w:rPr>
          <w:rFonts w:ascii="Tahoma" w:hAnsi="Tahoma" w:cs="Tahoma"/>
          <w:sz w:val="22"/>
          <w:szCs w:val="22"/>
        </w:rPr>
        <w:t>276.378</w:t>
      </w:r>
      <w:r w:rsidR="00B5378D" w:rsidRPr="000622EF">
        <w:rPr>
          <w:rFonts w:ascii="Tahoma" w:hAnsi="Tahoma" w:cs="Tahoma"/>
          <w:sz w:val="22"/>
          <w:szCs w:val="22"/>
        </w:rPr>
        <w:t>.</w:t>
      </w:r>
    </w:p>
    <w:p w:rsidR="00B5378D" w:rsidRPr="00ED0266" w:rsidRDefault="00B5378D" w:rsidP="00ED0266">
      <w:pPr>
        <w:spacing w:line="276" w:lineRule="auto"/>
        <w:ind w:firstLine="708"/>
        <w:jc w:val="both"/>
        <w:rPr>
          <w:rFonts w:ascii="Tahoma" w:hAnsi="Tahoma" w:cs="Tahoma"/>
          <w:sz w:val="22"/>
          <w:szCs w:val="22"/>
        </w:rPr>
      </w:pPr>
    </w:p>
    <w:p w:rsidR="00ED0266" w:rsidRPr="00ED0266" w:rsidRDefault="00ED0266" w:rsidP="00ED0266">
      <w:pPr>
        <w:spacing w:line="276" w:lineRule="auto"/>
        <w:ind w:firstLine="708"/>
        <w:jc w:val="both"/>
        <w:rPr>
          <w:rFonts w:ascii="Tahoma" w:hAnsi="Tahoma" w:cs="Tahoma"/>
          <w:sz w:val="22"/>
          <w:szCs w:val="22"/>
        </w:rPr>
      </w:pPr>
      <w:r w:rsidRPr="00ED0266">
        <w:rPr>
          <w:rFonts w:ascii="Tahoma" w:hAnsi="Tahoma" w:cs="Tahoma"/>
          <w:b/>
          <w:sz w:val="22"/>
          <w:szCs w:val="22"/>
          <w:u w:val="single"/>
        </w:rPr>
        <w:t>SEGUNDO</w:t>
      </w:r>
      <w:r w:rsidRPr="00ED0266">
        <w:rPr>
          <w:rFonts w:ascii="Tahoma" w:hAnsi="Tahoma" w:cs="Tahoma"/>
          <w:b/>
          <w:sz w:val="22"/>
          <w:szCs w:val="22"/>
        </w:rPr>
        <w:t>:</w:t>
      </w:r>
      <w:r w:rsidRPr="00ED0266">
        <w:rPr>
          <w:rFonts w:ascii="Tahoma" w:hAnsi="Tahoma" w:cs="Tahoma"/>
          <w:sz w:val="22"/>
          <w:szCs w:val="22"/>
        </w:rPr>
        <w:t xml:space="preserve"> </w:t>
      </w:r>
      <w:r w:rsidR="00CB615C">
        <w:rPr>
          <w:rFonts w:ascii="Tahoma" w:hAnsi="Tahoma" w:cs="Tahoma"/>
          <w:b/>
          <w:sz w:val="22"/>
          <w:szCs w:val="22"/>
        </w:rPr>
        <w:t xml:space="preserve">CONFIRMAR </w:t>
      </w:r>
      <w:r w:rsidR="00CB615C" w:rsidRPr="00CB615C">
        <w:rPr>
          <w:rFonts w:ascii="Tahoma" w:hAnsi="Tahoma" w:cs="Tahoma"/>
          <w:sz w:val="22"/>
          <w:szCs w:val="22"/>
        </w:rPr>
        <w:t>en todo lo demás la sentencia de primera instancia.</w:t>
      </w:r>
      <w:r w:rsidRPr="00ED0266">
        <w:rPr>
          <w:rFonts w:ascii="Tahoma" w:hAnsi="Tahoma" w:cs="Tahoma"/>
          <w:sz w:val="22"/>
          <w:szCs w:val="22"/>
        </w:rPr>
        <w:t xml:space="preserve"> </w:t>
      </w:r>
    </w:p>
    <w:p w:rsidR="00ED0266" w:rsidRPr="00ED0266" w:rsidRDefault="00ED0266" w:rsidP="004C72F3">
      <w:pPr>
        <w:spacing w:line="276" w:lineRule="auto"/>
        <w:ind w:firstLine="708"/>
        <w:jc w:val="both"/>
        <w:rPr>
          <w:rFonts w:ascii="Tahoma" w:hAnsi="Tahoma" w:cs="Tahoma"/>
          <w:b/>
          <w:sz w:val="22"/>
          <w:szCs w:val="22"/>
        </w:rPr>
      </w:pPr>
    </w:p>
    <w:p w:rsidR="00CB615C" w:rsidRDefault="00ED0266" w:rsidP="004C72F3">
      <w:pPr>
        <w:spacing w:line="276" w:lineRule="auto"/>
        <w:ind w:firstLine="708"/>
        <w:jc w:val="both"/>
        <w:rPr>
          <w:rFonts w:ascii="Tahoma" w:hAnsi="Tahoma" w:cs="Tahoma"/>
          <w:b/>
          <w:sz w:val="22"/>
          <w:szCs w:val="22"/>
        </w:rPr>
      </w:pPr>
      <w:r w:rsidRPr="00ED0266">
        <w:rPr>
          <w:rFonts w:ascii="Tahoma" w:hAnsi="Tahoma" w:cs="Tahoma"/>
          <w:b/>
          <w:sz w:val="22"/>
          <w:szCs w:val="22"/>
          <w:u w:val="single"/>
        </w:rPr>
        <w:t>TERCERO</w:t>
      </w:r>
      <w:r w:rsidRPr="00ED0266">
        <w:rPr>
          <w:rFonts w:ascii="Tahoma" w:hAnsi="Tahoma" w:cs="Tahoma"/>
          <w:b/>
          <w:sz w:val="22"/>
          <w:szCs w:val="22"/>
        </w:rPr>
        <w:t xml:space="preserve">: </w:t>
      </w:r>
      <w:r w:rsidR="00CB615C" w:rsidRPr="00ED0266">
        <w:rPr>
          <w:rFonts w:ascii="Tahoma" w:hAnsi="Tahoma" w:cs="Tahoma"/>
          <w:b/>
          <w:sz w:val="22"/>
          <w:szCs w:val="22"/>
        </w:rPr>
        <w:t>CONDENAR</w:t>
      </w:r>
      <w:r w:rsidR="00CB615C">
        <w:rPr>
          <w:rFonts w:ascii="Tahoma" w:hAnsi="Tahoma" w:cs="Tahoma"/>
          <w:sz w:val="22"/>
          <w:szCs w:val="22"/>
        </w:rPr>
        <w:t xml:space="preserve"> en costas de </w:t>
      </w:r>
      <w:r w:rsidR="00CB615C" w:rsidRPr="00ED0266">
        <w:rPr>
          <w:rFonts w:ascii="Tahoma" w:hAnsi="Tahoma" w:cs="Tahoma"/>
          <w:sz w:val="22"/>
          <w:szCs w:val="22"/>
        </w:rPr>
        <w:t>segunda instancia a</w:t>
      </w:r>
      <w:r w:rsidR="00CB615C">
        <w:rPr>
          <w:rFonts w:ascii="Tahoma" w:hAnsi="Tahoma" w:cs="Tahoma"/>
          <w:sz w:val="22"/>
          <w:szCs w:val="22"/>
        </w:rPr>
        <w:t xml:space="preserve"> </w:t>
      </w:r>
      <w:r w:rsidR="00CB615C" w:rsidRPr="00ED0266">
        <w:rPr>
          <w:rFonts w:ascii="Tahoma" w:hAnsi="Tahoma" w:cs="Tahoma"/>
          <w:sz w:val="22"/>
          <w:szCs w:val="22"/>
        </w:rPr>
        <w:t>la demanda</w:t>
      </w:r>
      <w:r w:rsidR="00CB615C">
        <w:rPr>
          <w:rFonts w:ascii="Tahoma" w:hAnsi="Tahoma" w:cs="Tahoma"/>
          <w:sz w:val="22"/>
          <w:szCs w:val="22"/>
        </w:rPr>
        <w:t xml:space="preserve">nte </w:t>
      </w:r>
      <w:r w:rsidR="00CB615C" w:rsidRPr="00ED0266">
        <w:rPr>
          <w:rFonts w:ascii="Tahoma" w:hAnsi="Tahoma" w:cs="Tahoma"/>
          <w:sz w:val="22"/>
          <w:szCs w:val="22"/>
        </w:rPr>
        <w:t>y a favor del demanda</w:t>
      </w:r>
      <w:r w:rsidR="00CB615C">
        <w:rPr>
          <w:rFonts w:ascii="Tahoma" w:hAnsi="Tahoma" w:cs="Tahoma"/>
          <w:sz w:val="22"/>
          <w:szCs w:val="22"/>
        </w:rPr>
        <w:t>da</w:t>
      </w:r>
      <w:r w:rsidR="00CB615C" w:rsidRPr="00ED0266">
        <w:rPr>
          <w:rFonts w:ascii="Tahoma" w:hAnsi="Tahoma" w:cs="Tahoma"/>
          <w:sz w:val="22"/>
          <w:szCs w:val="22"/>
        </w:rPr>
        <w:t xml:space="preserve"> en un </w:t>
      </w:r>
      <w:r w:rsidR="00CB615C">
        <w:rPr>
          <w:rFonts w:ascii="Tahoma" w:hAnsi="Tahoma" w:cs="Tahoma"/>
          <w:sz w:val="22"/>
          <w:szCs w:val="22"/>
        </w:rPr>
        <w:t>100</w:t>
      </w:r>
      <w:r w:rsidR="00CB615C" w:rsidRPr="00ED0266">
        <w:rPr>
          <w:rFonts w:ascii="Tahoma" w:hAnsi="Tahoma" w:cs="Tahoma"/>
          <w:sz w:val="22"/>
          <w:szCs w:val="22"/>
        </w:rPr>
        <w:t>%</w:t>
      </w:r>
      <w:r w:rsidR="00CB615C">
        <w:rPr>
          <w:rFonts w:ascii="Tahoma" w:hAnsi="Tahoma" w:cs="Tahoma"/>
          <w:sz w:val="22"/>
          <w:szCs w:val="22"/>
        </w:rPr>
        <w:t>. Liquídense por la secretaría del Juzgado de origen</w:t>
      </w:r>
    </w:p>
    <w:p w:rsidR="00CB615C" w:rsidRDefault="00CB615C" w:rsidP="004C72F3">
      <w:pPr>
        <w:spacing w:line="276" w:lineRule="auto"/>
        <w:ind w:firstLine="708"/>
        <w:jc w:val="both"/>
        <w:rPr>
          <w:rFonts w:ascii="Tahoma" w:hAnsi="Tahoma" w:cs="Tahoma"/>
          <w:b/>
          <w:sz w:val="22"/>
          <w:szCs w:val="22"/>
        </w:rPr>
      </w:pPr>
    </w:p>
    <w:p w:rsidR="008B7665" w:rsidRDefault="008B7665" w:rsidP="00FE1FA5">
      <w:pPr>
        <w:widowControl w:val="0"/>
        <w:autoSpaceDE w:val="0"/>
        <w:autoSpaceDN w:val="0"/>
        <w:adjustRightInd w:val="0"/>
        <w:spacing w:line="276" w:lineRule="auto"/>
        <w:jc w:val="both"/>
        <w:rPr>
          <w:rFonts w:ascii="Tahoma" w:hAnsi="Tahoma" w:cs="Tahoma"/>
          <w:b/>
          <w:bCs/>
          <w:sz w:val="22"/>
          <w:szCs w:val="22"/>
        </w:rPr>
      </w:pPr>
      <w:r w:rsidRPr="00BF4F59">
        <w:rPr>
          <w:rFonts w:ascii="Tahoma" w:hAnsi="Tahoma" w:cs="Tahoma"/>
          <w:sz w:val="22"/>
          <w:szCs w:val="22"/>
        </w:rPr>
        <w:tab/>
      </w:r>
      <w:r w:rsidRPr="00BF4F59">
        <w:rPr>
          <w:rFonts w:ascii="Tahoma" w:hAnsi="Tahoma" w:cs="Tahoma"/>
          <w:b/>
          <w:bCs/>
          <w:sz w:val="22"/>
          <w:szCs w:val="22"/>
        </w:rPr>
        <w:t>Notificación surtida en estrados.</w:t>
      </w:r>
      <w:r w:rsidR="00FE1FA5">
        <w:rPr>
          <w:rFonts w:ascii="Tahoma" w:hAnsi="Tahoma" w:cs="Tahoma"/>
          <w:b/>
          <w:bCs/>
          <w:sz w:val="22"/>
          <w:szCs w:val="22"/>
        </w:rPr>
        <w:t xml:space="preserve"> </w:t>
      </w:r>
    </w:p>
    <w:p w:rsidR="00A073C6" w:rsidRPr="00BF4F59" w:rsidRDefault="00A073C6" w:rsidP="00FE1FA5">
      <w:pPr>
        <w:widowControl w:val="0"/>
        <w:autoSpaceDE w:val="0"/>
        <w:autoSpaceDN w:val="0"/>
        <w:adjustRightInd w:val="0"/>
        <w:spacing w:line="276" w:lineRule="auto"/>
        <w:jc w:val="both"/>
        <w:rPr>
          <w:rFonts w:ascii="Tahoma" w:hAnsi="Tahoma" w:cs="Tahoma"/>
          <w:b/>
          <w:bCs/>
          <w:sz w:val="22"/>
          <w:szCs w:val="22"/>
        </w:rPr>
      </w:pPr>
    </w:p>
    <w:p w:rsidR="008B7665" w:rsidRDefault="008B7665" w:rsidP="008B7665">
      <w:pPr>
        <w:widowControl w:val="0"/>
        <w:autoSpaceDE w:val="0"/>
        <w:autoSpaceDN w:val="0"/>
        <w:adjustRightInd w:val="0"/>
        <w:spacing w:line="276" w:lineRule="auto"/>
        <w:ind w:firstLine="708"/>
        <w:jc w:val="both"/>
        <w:rPr>
          <w:rFonts w:ascii="Tahoma" w:hAnsi="Tahoma" w:cs="Tahoma"/>
          <w:sz w:val="22"/>
          <w:szCs w:val="22"/>
        </w:rPr>
      </w:pPr>
      <w:r w:rsidRPr="00BF4F59">
        <w:rPr>
          <w:rFonts w:ascii="Tahoma" w:hAnsi="Tahoma" w:cs="Tahoma"/>
          <w:b/>
          <w:sz w:val="22"/>
          <w:szCs w:val="22"/>
        </w:rPr>
        <w:t>Cúmplase</w:t>
      </w:r>
      <w:r w:rsidRPr="00BF4F59">
        <w:rPr>
          <w:rFonts w:ascii="Tahoma" w:hAnsi="Tahoma" w:cs="Tahoma"/>
          <w:sz w:val="22"/>
          <w:szCs w:val="22"/>
        </w:rPr>
        <w:t xml:space="preserve"> y </w:t>
      </w:r>
      <w:r w:rsidRPr="00BF4F59">
        <w:rPr>
          <w:rFonts w:ascii="Tahoma" w:hAnsi="Tahoma" w:cs="Tahoma"/>
          <w:b/>
          <w:sz w:val="22"/>
          <w:szCs w:val="22"/>
        </w:rPr>
        <w:t>devuélvase</w:t>
      </w:r>
      <w:r w:rsidRPr="00BF4F59">
        <w:rPr>
          <w:rFonts w:ascii="Tahoma" w:hAnsi="Tahoma" w:cs="Tahoma"/>
          <w:sz w:val="22"/>
          <w:szCs w:val="22"/>
        </w:rPr>
        <w:t xml:space="preserve"> el expediente al Juzgado de origen.</w:t>
      </w:r>
    </w:p>
    <w:p w:rsidR="003E491B" w:rsidRDefault="003E491B" w:rsidP="008B7665">
      <w:pPr>
        <w:widowControl w:val="0"/>
        <w:autoSpaceDE w:val="0"/>
        <w:autoSpaceDN w:val="0"/>
        <w:adjustRightInd w:val="0"/>
        <w:spacing w:line="276" w:lineRule="auto"/>
        <w:ind w:firstLine="708"/>
        <w:jc w:val="both"/>
        <w:rPr>
          <w:rFonts w:ascii="Tahoma" w:hAnsi="Tahoma" w:cs="Tahoma"/>
          <w:sz w:val="22"/>
          <w:szCs w:val="22"/>
        </w:rPr>
      </w:pPr>
    </w:p>
    <w:p w:rsidR="008B7665" w:rsidRPr="007834F9" w:rsidRDefault="008B7665" w:rsidP="008B7665">
      <w:pPr>
        <w:spacing w:line="276" w:lineRule="auto"/>
        <w:ind w:firstLine="708"/>
        <w:jc w:val="both"/>
        <w:rPr>
          <w:rFonts w:ascii="Tahoma" w:hAnsi="Tahoma" w:cs="Tahoma"/>
          <w:sz w:val="22"/>
          <w:szCs w:val="22"/>
        </w:rPr>
      </w:pPr>
      <w:r w:rsidRPr="007834F9">
        <w:rPr>
          <w:rFonts w:ascii="Tahoma" w:hAnsi="Tahoma" w:cs="Tahoma"/>
          <w:sz w:val="22"/>
          <w:szCs w:val="22"/>
        </w:rPr>
        <w:t>La Magistrada,</w:t>
      </w:r>
    </w:p>
    <w:p w:rsidR="008B7665" w:rsidRPr="007834F9" w:rsidRDefault="008B7665" w:rsidP="008B7665">
      <w:pPr>
        <w:spacing w:line="276" w:lineRule="auto"/>
        <w:rPr>
          <w:rFonts w:ascii="Tahoma" w:hAnsi="Tahoma" w:cs="Tahoma"/>
          <w:sz w:val="22"/>
          <w:szCs w:val="22"/>
        </w:rPr>
      </w:pPr>
    </w:p>
    <w:p w:rsidR="003E491B" w:rsidRPr="007834F9" w:rsidRDefault="003E491B" w:rsidP="008B7665">
      <w:pPr>
        <w:spacing w:line="276" w:lineRule="auto"/>
        <w:rPr>
          <w:rFonts w:ascii="Tahoma" w:hAnsi="Tahoma" w:cs="Tahoma"/>
          <w:sz w:val="22"/>
          <w:szCs w:val="22"/>
        </w:rPr>
      </w:pPr>
    </w:p>
    <w:p w:rsidR="008B7665" w:rsidRPr="007834F9" w:rsidRDefault="008B7665" w:rsidP="008B7665">
      <w:pPr>
        <w:pStyle w:val="Titre3"/>
        <w:spacing w:before="0" w:after="0" w:line="276" w:lineRule="auto"/>
        <w:jc w:val="center"/>
        <w:rPr>
          <w:rFonts w:ascii="Tahoma" w:hAnsi="Tahoma" w:cs="Tahoma"/>
          <w:bCs w:val="0"/>
          <w:sz w:val="22"/>
          <w:szCs w:val="22"/>
        </w:rPr>
      </w:pPr>
      <w:r w:rsidRPr="007834F9">
        <w:rPr>
          <w:rFonts w:ascii="Tahoma" w:hAnsi="Tahoma" w:cs="Tahoma"/>
          <w:bCs w:val="0"/>
          <w:sz w:val="22"/>
          <w:szCs w:val="22"/>
        </w:rPr>
        <w:t>ANA LUCÍA CAICEDO CALDERÓN</w:t>
      </w:r>
    </w:p>
    <w:p w:rsidR="008B7665" w:rsidRDefault="008B7665" w:rsidP="008B7665">
      <w:pPr>
        <w:spacing w:line="276" w:lineRule="auto"/>
        <w:ind w:firstLine="708"/>
        <w:jc w:val="both"/>
        <w:rPr>
          <w:rFonts w:ascii="Tahoma" w:hAnsi="Tahoma" w:cs="Tahoma"/>
          <w:sz w:val="22"/>
          <w:szCs w:val="22"/>
        </w:rPr>
      </w:pPr>
    </w:p>
    <w:p w:rsidR="00A51E5C" w:rsidRPr="007834F9" w:rsidRDefault="00A51E5C" w:rsidP="008B7665">
      <w:pPr>
        <w:spacing w:line="276" w:lineRule="auto"/>
        <w:ind w:firstLine="708"/>
        <w:jc w:val="both"/>
        <w:rPr>
          <w:rFonts w:ascii="Tahoma" w:hAnsi="Tahoma" w:cs="Tahoma"/>
          <w:sz w:val="22"/>
          <w:szCs w:val="22"/>
        </w:rPr>
      </w:pPr>
    </w:p>
    <w:p w:rsidR="008B7665" w:rsidRPr="007834F9" w:rsidRDefault="008B7665" w:rsidP="008B7665">
      <w:pPr>
        <w:spacing w:line="276" w:lineRule="auto"/>
        <w:ind w:firstLine="708"/>
        <w:jc w:val="both"/>
        <w:rPr>
          <w:rFonts w:ascii="Tahoma" w:hAnsi="Tahoma" w:cs="Tahoma"/>
          <w:sz w:val="22"/>
          <w:szCs w:val="22"/>
        </w:rPr>
      </w:pPr>
      <w:r w:rsidRPr="007834F9">
        <w:rPr>
          <w:rFonts w:ascii="Tahoma" w:hAnsi="Tahoma" w:cs="Tahoma"/>
          <w:sz w:val="22"/>
          <w:szCs w:val="22"/>
        </w:rPr>
        <w:t>Los Magistrados,</w:t>
      </w:r>
    </w:p>
    <w:p w:rsidR="008B7665" w:rsidRPr="007834F9" w:rsidRDefault="008B7665" w:rsidP="008B7665">
      <w:pPr>
        <w:spacing w:line="276" w:lineRule="auto"/>
        <w:ind w:firstLine="708"/>
        <w:jc w:val="both"/>
        <w:rPr>
          <w:rFonts w:ascii="Tahoma" w:hAnsi="Tahoma" w:cs="Tahoma"/>
          <w:sz w:val="22"/>
          <w:szCs w:val="22"/>
        </w:rPr>
      </w:pPr>
    </w:p>
    <w:p w:rsidR="008B7665" w:rsidRPr="007834F9" w:rsidRDefault="008B7665" w:rsidP="008B7665">
      <w:pPr>
        <w:spacing w:line="276" w:lineRule="auto"/>
        <w:rPr>
          <w:rFonts w:ascii="Tahoma" w:hAnsi="Tahoma" w:cs="Tahoma"/>
          <w:b/>
          <w:sz w:val="22"/>
          <w:szCs w:val="22"/>
        </w:rPr>
      </w:pPr>
    </w:p>
    <w:p w:rsidR="008B7665" w:rsidRDefault="008B7665" w:rsidP="008B7665">
      <w:pPr>
        <w:spacing w:line="276" w:lineRule="auto"/>
        <w:rPr>
          <w:rFonts w:ascii="Tahoma" w:hAnsi="Tahoma" w:cs="Tahoma"/>
          <w:b/>
          <w:sz w:val="22"/>
          <w:szCs w:val="22"/>
        </w:rPr>
      </w:pPr>
    </w:p>
    <w:p w:rsidR="00A51E5C" w:rsidRPr="007834F9" w:rsidRDefault="00A51E5C" w:rsidP="008B7665">
      <w:pPr>
        <w:spacing w:line="276" w:lineRule="auto"/>
        <w:rPr>
          <w:rFonts w:ascii="Tahoma" w:hAnsi="Tahoma" w:cs="Tahoma"/>
          <w:b/>
          <w:sz w:val="22"/>
          <w:szCs w:val="22"/>
        </w:rPr>
      </w:pPr>
    </w:p>
    <w:p w:rsidR="008B7665" w:rsidRPr="007834F9" w:rsidRDefault="00ED0266" w:rsidP="008B7665">
      <w:pPr>
        <w:spacing w:line="276" w:lineRule="auto"/>
        <w:rPr>
          <w:rFonts w:ascii="Tahoma" w:hAnsi="Tahoma" w:cs="Tahoma"/>
          <w:b/>
          <w:sz w:val="22"/>
          <w:szCs w:val="22"/>
        </w:rPr>
      </w:pPr>
      <w:r w:rsidRPr="007834F9">
        <w:rPr>
          <w:rFonts w:ascii="Tahoma" w:hAnsi="Tahoma" w:cs="Tahoma"/>
          <w:b/>
          <w:sz w:val="22"/>
          <w:szCs w:val="22"/>
        </w:rPr>
        <w:t>JULIO CÉSAR SALAZAR MUÑOZ</w:t>
      </w:r>
      <w:r w:rsidRPr="00ED0266">
        <w:rPr>
          <w:rFonts w:ascii="Tahoma" w:hAnsi="Tahoma" w:cs="Tahoma"/>
          <w:b/>
          <w:sz w:val="22"/>
          <w:szCs w:val="22"/>
        </w:rPr>
        <w:t xml:space="preserve"> </w:t>
      </w:r>
      <w:r>
        <w:rPr>
          <w:rFonts w:ascii="Tahoma" w:hAnsi="Tahoma" w:cs="Tahoma"/>
          <w:b/>
          <w:sz w:val="22"/>
          <w:szCs w:val="22"/>
        </w:rPr>
        <w:t xml:space="preserve">                           FRANCISCO JAVIER TAMAYO TABARES                                          </w:t>
      </w:r>
    </w:p>
    <w:p w:rsidR="008B7665" w:rsidRPr="007834F9" w:rsidRDefault="00A073C6" w:rsidP="00B5378D">
      <w:pPr>
        <w:spacing w:line="276" w:lineRule="auto"/>
        <w:jc w:val="both"/>
        <w:rPr>
          <w:rFonts w:ascii="Tahoma" w:hAnsi="Tahoma" w:cs="Tahoma"/>
          <w:b/>
          <w:sz w:val="22"/>
          <w:szCs w:val="22"/>
        </w:rPr>
      </w:pPr>
      <w:r>
        <w:rPr>
          <w:rFonts w:ascii="Tahoma" w:hAnsi="Tahoma" w:cs="Tahoma"/>
          <w:b/>
          <w:sz w:val="22"/>
          <w:szCs w:val="22"/>
        </w:rPr>
        <w:tab/>
        <w:t xml:space="preserve">    Salva voto</w:t>
      </w:r>
    </w:p>
    <w:p w:rsidR="008B7665" w:rsidRPr="007834F9" w:rsidRDefault="008B7665" w:rsidP="008B7665">
      <w:pPr>
        <w:spacing w:line="276" w:lineRule="auto"/>
        <w:jc w:val="both"/>
        <w:rPr>
          <w:rFonts w:ascii="Tahoma" w:hAnsi="Tahoma" w:cs="Tahoma"/>
          <w:sz w:val="22"/>
          <w:szCs w:val="22"/>
        </w:rPr>
      </w:pPr>
    </w:p>
    <w:p w:rsidR="008B7665" w:rsidRPr="007834F9" w:rsidRDefault="008B7665" w:rsidP="008B7665">
      <w:pPr>
        <w:spacing w:line="276" w:lineRule="auto"/>
        <w:jc w:val="center"/>
        <w:rPr>
          <w:rFonts w:ascii="Tahoma" w:hAnsi="Tahoma" w:cs="Tahoma"/>
          <w:b/>
          <w:sz w:val="22"/>
          <w:szCs w:val="22"/>
        </w:rPr>
      </w:pPr>
    </w:p>
    <w:p w:rsidR="008B7665" w:rsidRPr="007834F9" w:rsidRDefault="008B7665" w:rsidP="008B7665">
      <w:pPr>
        <w:spacing w:line="276" w:lineRule="auto"/>
        <w:jc w:val="center"/>
        <w:rPr>
          <w:rFonts w:ascii="Tahoma" w:hAnsi="Tahoma" w:cs="Tahoma"/>
          <w:b/>
          <w:sz w:val="22"/>
          <w:szCs w:val="22"/>
        </w:rPr>
      </w:pPr>
    </w:p>
    <w:p w:rsidR="008B7665" w:rsidRPr="007834F9" w:rsidRDefault="008B7665" w:rsidP="008B7665">
      <w:pPr>
        <w:jc w:val="center"/>
        <w:rPr>
          <w:rFonts w:ascii="Tahoma" w:hAnsi="Tahoma" w:cs="Tahoma"/>
          <w:b/>
          <w:sz w:val="22"/>
          <w:szCs w:val="22"/>
        </w:rPr>
      </w:pPr>
    </w:p>
    <w:p w:rsidR="008B7665" w:rsidRPr="007834F9" w:rsidRDefault="008B7665" w:rsidP="008B7665">
      <w:pPr>
        <w:jc w:val="center"/>
        <w:rPr>
          <w:rFonts w:ascii="Tahoma" w:hAnsi="Tahoma" w:cs="Tahoma"/>
          <w:b/>
          <w:sz w:val="22"/>
          <w:szCs w:val="22"/>
        </w:rPr>
      </w:pPr>
    </w:p>
    <w:p w:rsidR="008B7665" w:rsidRPr="007834F9" w:rsidRDefault="008B7665" w:rsidP="008B7665">
      <w:pPr>
        <w:jc w:val="center"/>
        <w:rPr>
          <w:rFonts w:ascii="Tahoma" w:hAnsi="Tahoma" w:cs="Tahoma"/>
          <w:b/>
          <w:sz w:val="22"/>
          <w:szCs w:val="22"/>
        </w:rPr>
      </w:pPr>
    </w:p>
    <w:p w:rsidR="008B7665" w:rsidRPr="007834F9" w:rsidRDefault="00B5378D" w:rsidP="008B7665">
      <w:pPr>
        <w:jc w:val="center"/>
        <w:rPr>
          <w:rFonts w:ascii="Tahoma" w:hAnsi="Tahoma" w:cs="Tahoma"/>
          <w:b/>
          <w:sz w:val="22"/>
          <w:szCs w:val="22"/>
        </w:rPr>
      </w:pPr>
      <w:r>
        <w:rPr>
          <w:rFonts w:ascii="Tahoma" w:hAnsi="Tahoma" w:cs="Tahoma"/>
          <w:b/>
          <w:sz w:val="22"/>
          <w:szCs w:val="22"/>
        </w:rPr>
        <w:t>________________________</w:t>
      </w:r>
    </w:p>
    <w:p w:rsidR="008B7665" w:rsidRPr="007834F9" w:rsidRDefault="008B7665" w:rsidP="008B7665">
      <w:pPr>
        <w:jc w:val="center"/>
        <w:rPr>
          <w:rFonts w:ascii="Tahoma" w:hAnsi="Tahoma" w:cs="Tahoma"/>
          <w:sz w:val="22"/>
          <w:szCs w:val="22"/>
        </w:rPr>
      </w:pPr>
      <w:r w:rsidRPr="007834F9">
        <w:rPr>
          <w:rFonts w:ascii="Tahoma" w:hAnsi="Tahoma" w:cs="Tahoma"/>
          <w:sz w:val="22"/>
          <w:szCs w:val="22"/>
        </w:rPr>
        <w:t>Secretari</w:t>
      </w:r>
      <w:r w:rsidR="003E491B">
        <w:rPr>
          <w:rFonts w:ascii="Tahoma" w:hAnsi="Tahoma" w:cs="Tahoma"/>
          <w:sz w:val="22"/>
          <w:szCs w:val="22"/>
        </w:rPr>
        <w:t>o</w:t>
      </w:r>
      <w:r w:rsidRPr="007834F9">
        <w:rPr>
          <w:rFonts w:ascii="Tahoma" w:hAnsi="Tahoma" w:cs="Tahoma"/>
          <w:sz w:val="22"/>
          <w:szCs w:val="22"/>
        </w:rPr>
        <w:t xml:space="preserve"> Ad-Hoc</w:t>
      </w:r>
    </w:p>
    <w:p w:rsidR="005318DD" w:rsidRDefault="005318DD"/>
    <w:p w:rsidR="003E491B" w:rsidRDefault="003E491B" w:rsidP="003E491B">
      <w:pPr>
        <w:jc w:val="center"/>
        <w:rPr>
          <w:b/>
        </w:rPr>
      </w:pPr>
    </w:p>
    <w:p w:rsidR="00443FE7" w:rsidRDefault="00443FE7" w:rsidP="003E491B">
      <w:pPr>
        <w:jc w:val="center"/>
        <w:rPr>
          <w:b/>
        </w:rPr>
      </w:pPr>
    </w:p>
    <w:p w:rsidR="00443FE7" w:rsidRDefault="00443FE7" w:rsidP="003E491B">
      <w:pPr>
        <w:jc w:val="center"/>
        <w:rPr>
          <w:b/>
        </w:rPr>
      </w:pPr>
    </w:p>
    <w:p w:rsidR="00A64CF4" w:rsidRPr="000622EF" w:rsidRDefault="00443FE7" w:rsidP="003E491B">
      <w:pPr>
        <w:jc w:val="center"/>
        <w:rPr>
          <w:rFonts w:ascii="Tahoma" w:hAnsi="Tahoma" w:cs="Tahoma"/>
          <w:b/>
        </w:rPr>
      </w:pPr>
      <w:r w:rsidRPr="000622EF">
        <w:rPr>
          <w:rFonts w:ascii="Tahoma" w:hAnsi="Tahoma" w:cs="Tahoma"/>
          <w:b/>
        </w:rPr>
        <w:t>Liquidación</w:t>
      </w:r>
      <w:r w:rsidR="00ED0266" w:rsidRPr="000622EF">
        <w:rPr>
          <w:rFonts w:ascii="Tahoma" w:hAnsi="Tahoma" w:cs="Tahoma"/>
          <w:b/>
        </w:rPr>
        <w:t xml:space="preserve"> </w:t>
      </w:r>
      <w:r w:rsidRPr="000622EF">
        <w:rPr>
          <w:rFonts w:ascii="Tahoma" w:hAnsi="Tahoma" w:cs="Tahoma"/>
          <w:b/>
        </w:rPr>
        <w:t>incremento pensional</w:t>
      </w:r>
      <w:r w:rsidR="00CB615C" w:rsidRPr="000622EF">
        <w:rPr>
          <w:rFonts w:ascii="Tahoma" w:hAnsi="Tahoma" w:cs="Tahoma"/>
          <w:b/>
        </w:rPr>
        <w:t xml:space="preserve"> e indexación</w:t>
      </w:r>
    </w:p>
    <w:p w:rsidR="00A64CF4" w:rsidRDefault="00A64CF4" w:rsidP="003E491B">
      <w:pPr>
        <w:jc w:val="center"/>
        <w:rPr>
          <w:b/>
        </w:rPr>
      </w:pPr>
    </w:p>
    <w:p w:rsidR="00A64CF4" w:rsidRDefault="00A64CF4" w:rsidP="003E491B">
      <w:pPr>
        <w:jc w:val="center"/>
        <w:rPr>
          <w:b/>
        </w:rPr>
      </w:pPr>
    </w:p>
    <w:tbl>
      <w:tblPr>
        <w:tblW w:w="0" w:type="auto"/>
        <w:jc w:val="center"/>
        <w:tblCellMar>
          <w:left w:w="70" w:type="dxa"/>
          <w:right w:w="70" w:type="dxa"/>
        </w:tblCellMar>
        <w:tblLook w:val="04A0" w:firstRow="1" w:lastRow="0" w:firstColumn="1" w:lastColumn="0" w:noHBand="0" w:noVBand="1"/>
      </w:tblPr>
      <w:tblGrid>
        <w:gridCol w:w="973"/>
        <w:gridCol w:w="973"/>
        <w:gridCol w:w="762"/>
        <w:gridCol w:w="1342"/>
        <w:gridCol w:w="1626"/>
        <w:gridCol w:w="923"/>
        <w:gridCol w:w="1465"/>
      </w:tblGrid>
      <w:tr w:rsidR="00A073C6" w:rsidRPr="00A073C6" w:rsidTr="00A073C6">
        <w:trPr>
          <w:trHeight w:val="465"/>
          <w:jc w:val="center"/>
        </w:trPr>
        <w:tc>
          <w:tcPr>
            <w:tcW w:w="0" w:type="auto"/>
            <w:tcBorders>
              <w:top w:val="single" w:sz="8" w:space="0" w:color="auto"/>
              <w:left w:val="single" w:sz="4" w:space="0" w:color="808000"/>
              <w:bottom w:val="single" w:sz="8" w:space="0" w:color="auto"/>
              <w:right w:val="single" w:sz="4" w:space="0" w:color="808000"/>
            </w:tcBorders>
            <w:shd w:val="clear" w:color="000000" w:fill="FFFF99"/>
            <w:vAlign w:val="center"/>
            <w:hideMark/>
          </w:tcPr>
          <w:p w:rsidR="00A073C6" w:rsidRPr="00A073C6" w:rsidRDefault="00A073C6" w:rsidP="00A073C6">
            <w:pPr>
              <w:jc w:val="center"/>
              <w:rPr>
                <w:rFonts w:ascii="Calibri" w:hAnsi="Calibri"/>
                <w:b/>
                <w:bCs/>
                <w:color w:val="000000"/>
                <w:sz w:val="16"/>
                <w:szCs w:val="16"/>
              </w:rPr>
            </w:pPr>
            <w:r w:rsidRPr="00A073C6">
              <w:rPr>
                <w:rFonts w:ascii="Calibri" w:hAnsi="Calibri"/>
                <w:b/>
                <w:bCs/>
                <w:color w:val="000000"/>
                <w:sz w:val="16"/>
                <w:szCs w:val="16"/>
              </w:rPr>
              <w:t>Desde</w:t>
            </w:r>
          </w:p>
        </w:tc>
        <w:tc>
          <w:tcPr>
            <w:tcW w:w="0" w:type="auto"/>
            <w:tcBorders>
              <w:top w:val="single" w:sz="8" w:space="0" w:color="auto"/>
              <w:left w:val="nil"/>
              <w:bottom w:val="single" w:sz="8" w:space="0" w:color="auto"/>
              <w:right w:val="single" w:sz="4" w:space="0" w:color="808000"/>
            </w:tcBorders>
            <w:shd w:val="clear" w:color="000000" w:fill="FFFF99"/>
            <w:vAlign w:val="center"/>
            <w:hideMark/>
          </w:tcPr>
          <w:p w:rsidR="00A073C6" w:rsidRPr="00A073C6" w:rsidRDefault="00A073C6" w:rsidP="00A073C6">
            <w:pPr>
              <w:jc w:val="center"/>
              <w:rPr>
                <w:rFonts w:ascii="Calibri" w:hAnsi="Calibri"/>
                <w:b/>
                <w:bCs/>
                <w:color w:val="000000"/>
                <w:sz w:val="16"/>
                <w:szCs w:val="16"/>
              </w:rPr>
            </w:pPr>
            <w:r w:rsidRPr="00A073C6">
              <w:rPr>
                <w:rFonts w:ascii="Calibri" w:hAnsi="Calibri"/>
                <w:b/>
                <w:bCs/>
                <w:color w:val="000000"/>
                <w:sz w:val="16"/>
                <w:szCs w:val="16"/>
              </w:rPr>
              <w:t>Hasta</w:t>
            </w:r>
          </w:p>
        </w:tc>
        <w:tc>
          <w:tcPr>
            <w:tcW w:w="0" w:type="auto"/>
            <w:tcBorders>
              <w:top w:val="single" w:sz="8" w:space="0" w:color="auto"/>
              <w:left w:val="nil"/>
              <w:bottom w:val="single" w:sz="8" w:space="0" w:color="auto"/>
              <w:right w:val="single" w:sz="4" w:space="0" w:color="808000"/>
            </w:tcBorders>
            <w:shd w:val="clear" w:color="000000" w:fill="FFFF99"/>
            <w:vAlign w:val="center"/>
            <w:hideMark/>
          </w:tcPr>
          <w:p w:rsidR="00A073C6" w:rsidRPr="00A073C6" w:rsidRDefault="00A073C6" w:rsidP="00A073C6">
            <w:pPr>
              <w:jc w:val="center"/>
              <w:rPr>
                <w:rFonts w:ascii="Calibri" w:hAnsi="Calibri"/>
                <w:b/>
                <w:bCs/>
                <w:color w:val="000000"/>
                <w:sz w:val="16"/>
                <w:szCs w:val="16"/>
              </w:rPr>
            </w:pPr>
            <w:r w:rsidRPr="00A073C6">
              <w:rPr>
                <w:rFonts w:ascii="Calibri" w:hAnsi="Calibri"/>
                <w:b/>
                <w:bCs/>
                <w:color w:val="000000"/>
                <w:sz w:val="16"/>
                <w:szCs w:val="16"/>
              </w:rPr>
              <w:t>Causadas</w:t>
            </w:r>
          </w:p>
        </w:tc>
        <w:tc>
          <w:tcPr>
            <w:tcW w:w="0" w:type="auto"/>
            <w:tcBorders>
              <w:top w:val="single" w:sz="8" w:space="0" w:color="auto"/>
              <w:left w:val="nil"/>
              <w:bottom w:val="single" w:sz="8" w:space="0" w:color="auto"/>
              <w:right w:val="single" w:sz="4" w:space="0" w:color="808000"/>
            </w:tcBorders>
            <w:shd w:val="clear" w:color="000000" w:fill="FFFF99"/>
            <w:vAlign w:val="center"/>
            <w:hideMark/>
          </w:tcPr>
          <w:p w:rsidR="00A073C6" w:rsidRPr="00A073C6" w:rsidRDefault="00A073C6" w:rsidP="00A073C6">
            <w:pPr>
              <w:jc w:val="center"/>
              <w:rPr>
                <w:rFonts w:ascii="Calibri" w:hAnsi="Calibri"/>
                <w:b/>
                <w:bCs/>
                <w:color w:val="000000"/>
                <w:sz w:val="16"/>
                <w:szCs w:val="16"/>
              </w:rPr>
            </w:pPr>
            <w:r w:rsidRPr="00A073C6">
              <w:rPr>
                <w:rFonts w:ascii="Calibri" w:hAnsi="Calibri"/>
                <w:b/>
                <w:bCs/>
                <w:color w:val="000000"/>
                <w:sz w:val="16"/>
                <w:szCs w:val="16"/>
              </w:rPr>
              <w:t>Incremento 14%</w:t>
            </w:r>
          </w:p>
        </w:tc>
        <w:tc>
          <w:tcPr>
            <w:tcW w:w="0" w:type="auto"/>
            <w:tcBorders>
              <w:top w:val="single" w:sz="8" w:space="0" w:color="auto"/>
              <w:left w:val="nil"/>
              <w:bottom w:val="single" w:sz="8" w:space="0" w:color="auto"/>
              <w:right w:val="single" w:sz="4" w:space="0" w:color="808000"/>
            </w:tcBorders>
            <w:shd w:val="clear" w:color="000000" w:fill="FFFF99"/>
            <w:vAlign w:val="center"/>
            <w:hideMark/>
          </w:tcPr>
          <w:p w:rsidR="00A073C6" w:rsidRPr="00A073C6" w:rsidRDefault="00A073C6" w:rsidP="00A073C6">
            <w:pPr>
              <w:jc w:val="center"/>
              <w:rPr>
                <w:rFonts w:ascii="Calibri" w:hAnsi="Calibri"/>
                <w:b/>
                <w:bCs/>
                <w:color w:val="000000"/>
                <w:sz w:val="16"/>
                <w:szCs w:val="16"/>
              </w:rPr>
            </w:pPr>
            <w:r w:rsidRPr="00A073C6">
              <w:rPr>
                <w:rFonts w:ascii="Calibri" w:hAnsi="Calibri"/>
                <w:b/>
                <w:bCs/>
                <w:color w:val="000000"/>
                <w:sz w:val="16"/>
                <w:szCs w:val="16"/>
              </w:rPr>
              <w:t xml:space="preserve"> Diferencias a cancelar </w:t>
            </w:r>
          </w:p>
        </w:tc>
        <w:tc>
          <w:tcPr>
            <w:tcW w:w="0" w:type="auto"/>
            <w:tcBorders>
              <w:top w:val="single" w:sz="8" w:space="0" w:color="auto"/>
              <w:left w:val="nil"/>
              <w:bottom w:val="single" w:sz="8" w:space="0" w:color="auto"/>
              <w:right w:val="single" w:sz="4" w:space="0" w:color="808000"/>
            </w:tcBorders>
            <w:shd w:val="clear" w:color="000000" w:fill="FFFF99"/>
            <w:vAlign w:val="center"/>
            <w:hideMark/>
          </w:tcPr>
          <w:p w:rsidR="00A073C6" w:rsidRPr="00A073C6" w:rsidRDefault="00A073C6" w:rsidP="00A073C6">
            <w:pPr>
              <w:jc w:val="center"/>
              <w:rPr>
                <w:rFonts w:ascii="Calibri" w:hAnsi="Calibri"/>
                <w:b/>
                <w:bCs/>
                <w:color w:val="000000"/>
                <w:sz w:val="16"/>
                <w:szCs w:val="16"/>
              </w:rPr>
            </w:pPr>
            <w:r w:rsidRPr="00A073C6">
              <w:rPr>
                <w:rFonts w:ascii="Calibri" w:hAnsi="Calibri"/>
                <w:b/>
                <w:bCs/>
                <w:color w:val="000000"/>
                <w:sz w:val="16"/>
                <w:szCs w:val="16"/>
              </w:rPr>
              <w:t xml:space="preserve">IPC </w:t>
            </w:r>
            <w:proofErr w:type="spellStart"/>
            <w:r w:rsidRPr="00A073C6">
              <w:rPr>
                <w:rFonts w:ascii="Calibri" w:hAnsi="Calibri"/>
                <w:b/>
                <w:bCs/>
                <w:color w:val="000000"/>
                <w:sz w:val="16"/>
                <w:szCs w:val="16"/>
              </w:rPr>
              <w:t>Vo</w:t>
            </w:r>
            <w:proofErr w:type="spellEnd"/>
          </w:p>
        </w:tc>
        <w:tc>
          <w:tcPr>
            <w:tcW w:w="0" w:type="auto"/>
            <w:tcBorders>
              <w:top w:val="single" w:sz="8" w:space="0" w:color="auto"/>
              <w:left w:val="nil"/>
              <w:bottom w:val="single" w:sz="8" w:space="0" w:color="auto"/>
              <w:right w:val="single" w:sz="8" w:space="0" w:color="auto"/>
            </w:tcBorders>
            <w:shd w:val="clear" w:color="000000" w:fill="FFFF99"/>
            <w:vAlign w:val="center"/>
            <w:hideMark/>
          </w:tcPr>
          <w:p w:rsidR="00A073C6" w:rsidRPr="00A073C6" w:rsidRDefault="00A073C6" w:rsidP="00A073C6">
            <w:pPr>
              <w:jc w:val="center"/>
              <w:rPr>
                <w:rFonts w:ascii="Calibri" w:hAnsi="Calibri"/>
                <w:b/>
                <w:bCs/>
                <w:color w:val="000000"/>
                <w:sz w:val="16"/>
                <w:szCs w:val="16"/>
              </w:rPr>
            </w:pPr>
            <w:r w:rsidRPr="00A073C6">
              <w:rPr>
                <w:rFonts w:ascii="Calibri" w:hAnsi="Calibri"/>
                <w:b/>
                <w:bCs/>
                <w:color w:val="000000"/>
                <w:sz w:val="16"/>
                <w:szCs w:val="16"/>
              </w:rPr>
              <w:t>Diferencia indexada</w:t>
            </w:r>
          </w:p>
        </w:tc>
      </w:tr>
      <w:tr w:rsidR="00A073C6" w:rsidRPr="00A073C6" w:rsidTr="00A073C6">
        <w:trPr>
          <w:trHeight w:val="315"/>
          <w:jc w:val="center"/>
        </w:trPr>
        <w:tc>
          <w:tcPr>
            <w:tcW w:w="0" w:type="auto"/>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A073C6" w:rsidRPr="00A073C6" w:rsidRDefault="00A073C6" w:rsidP="00A073C6">
            <w:pPr>
              <w:jc w:val="right"/>
              <w:rPr>
                <w:rFonts w:ascii="Calibri" w:hAnsi="Calibri"/>
                <w:color w:val="000000"/>
                <w:sz w:val="20"/>
                <w:szCs w:val="20"/>
              </w:rPr>
            </w:pPr>
            <w:r w:rsidRPr="00A073C6">
              <w:rPr>
                <w:rFonts w:ascii="Calibri" w:hAnsi="Calibri"/>
                <w:color w:val="000000"/>
                <w:sz w:val="20"/>
                <w:szCs w:val="20"/>
              </w:rPr>
              <w:t>13-nov-14</w:t>
            </w:r>
          </w:p>
        </w:tc>
        <w:tc>
          <w:tcPr>
            <w:tcW w:w="0" w:type="auto"/>
            <w:tcBorders>
              <w:top w:val="nil"/>
              <w:left w:val="nil"/>
              <w:bottom w:val="single" w:sz="4" w:space="0" w:color="808000"/>
              <w:right w:val="single" w:sz="4" w:space="0" w:color="808000"/>
            </w:tcBorders>
            <w:shd w:val="clear" w:color="auto" w:fill="auto"/>
            <w:noWrap/>
            <w:vAlign w:val="center"/>
            <w:hideMark/>
          </w:tcPr>
          <w:p w:rsidR="00A073C6" w:rsidRPr="00A073C6" w:rsidRDefault="00A073C6" w:rsidP="00A073C6">
            <w:pPr>
              <w:jc w:val="right"/>
              <w:rPr>
                <w:rFonts w:ascii="Calibri" w:hAnsi="Calibri"/>
                <w:color w:val="000000"/>
                <w:sz w:val="20"/>
                <w:szCs w:val="20"/>
              </w:rPr>
            </w:pPr>
            <w:r w:rsidRPr="00A073C6">
              <w:rPr>
                <w:rFonts w:ascii="Calibri" w:hAnsi="Calibri"/>
                <w:color w:val="000000"/>
                <w:sz w:val="20"/>
                <w:szCs w:val="20"/>
              </w:rPr>
              <w:t>31-dic-14</w:t>
            </w:r>
          </w:p>
        </w:tc>
        <w:tc>
          <w:tcPr>
            <w:tcW w:w="0" w:type="auto"/>
            <w:tcBorders>
              <w:top w:val="nil"/>
              <w:left w:val="single" w:sz="4" w:space="0" w:color="003366"/>
              <w:bottom w:val="single" w:sz="4" w:space="0" w:color="003366"/>
              <w:right w:val="single" w:sz="4" w:space="0" w:color="003366"/>
            </w:tcBorders>
            <w:shd w:val="clear" w:color="000000" w:fill="FFFFCC"/>
            <w:noWrap/>
            <w:vAlign w:val="bottom"/>
            <w:hideMark/>
          </w:tcPr>
          <w:p w:rsidR="00A073C6" w:rsidRPr="00A073C6" w:rsidRDefault="00A073C6" w:rsidP="00A073C6">
            <w:pPr>
              <w:jc w:val="center"/>
              <w:rPr>
                <w:rFonts w:ascii="Calibri" w:hAnsi="Calibri"/>
                <w:sz w:val="20"/>
                <w:szCs w:val="20"/>
              </w:rPr>
            </w:pPr>
            <w:r w:rsidRPr="00A073C6">
              <w:rPr>
                <w:rFonts w:ascii="Calibri" w:hAnsi="Calibri"/>
                <w:sz w:val="20"/>
                <w:szCs w:val="20"/>
              </w:rPr>
              <w:t>2,43</w:t>
            </w:r>
          </w:p>
        </w:tc>
        <w:tc>
          <w:tcPr>
            <w:tcW w:w="0" w:type="auto"/>
            <w:tcBorders>
              <w:top w:val="nil"/>
              <w:left w:val="nil"/>
              <w:bottom w:val="nil"/>
              <w:right w:val="nil"/>
            </w:tcBorders>
            <w:shd w:val="clear" w:color="auto" w:fill="auto"/>
            <w:noWrap/>
            <w:vAlign w:val="bottom"/>
            <w:hideMark/>
          </w:tcPr>
          <w:p w:rsidR="00A073C6" w:rsidRPr="00A073C6" w:rsidRDefault="00A073C6" w:rsidP="00A073C6">
            <w:pPr>
              <w:rPr>
                <w:rFonts w:ascii="Calibri" w:hAnsi="Calibri"/>
                <w:color w:val="000000"/>
                <w:sz w:val="22"/>
                <w:szCs w:val="22"/>
              </w:rPr>
            </w:pPr>
            <w:r w:rsidRPr="00A073C6">
              <w:rPr>
                <w:rFonts w:ascii="Calibri" w:hAnsi="Calibri"/>
                <w:color w:val="000000"/>
                <w:sz w:val="22"/>
                <w:szCs w:val="22"/>
              </w:rPr>
              <w:t xml:space="preserve">      86.240,00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rsidR="00A073C6" w:rsidRPr="00A073C6" w:rsidRDefault="00A073C6" w:rsidP="00A073C6">
            <w:pPr>
              <w:rPr>
                <w:rFonts w:ascii="Calibri" w:hAnsi="Calibri"/>
                <w:color w:val="000000"/>
                <w:sz w:val="20"/>
                <w:szCs w:val="20"/>
              </w:rPr>
            </w:pPr>
            <w:r w:rsidRPr="00A073C6">
              <w:rPr>
                <w:rFonts w:ascii="Calibri" w:hAnsi="Calibri"/>
                <w:color w:val="000000"/>
                <w:sz w:val="20"/>
                <w:szCs w:val="20"/>
              </w:rPr>
              <w:t xml:space="preserve">          209.563 </w:t>
            </w:r>
          </w:p>
        </w:tc>
        <w:tc>
          <w:tcPr>
            <w:tcW w:w="0" w:type="auto"/>
            <w:tcBorders>
              <w:top w:val="nil"/>
              <w:left w:val="nil"/>
              <w:bottom w:val="nil"/>
              <w:right w:val="nil"/>
            </w:tcBorders>
            <w:shd w:val="clear" w:color="FFFFFF" w:fill="33CCCC"/>
            <w:vAlign w:val="center"/>
            <w:hideMark/>
          </w:tcPr>
          <w:p w:rsidR="00A073C6" w:rsidRPr="00A073C6" w:rsidRDefault="00A073C6" w:rsidP="00A073C6">
            <w:pPr>
              <w:jc w:val="center"/>
              <w:rPr>
                <w:rFonts w:ascii="Calibri" w:hAnsi="Calibri"/>
                <w:sz w:val="20"/>
                <w:szCs w:val="20"/>
              </w:rPr>
            </w:pPr>
            <w:r w:rsidRPr="00A073C6">
              <w:rPr>
                <w:rFonts w:ascii="Calibri" w:hAnsi="Calibri"/>
                <w:sz w:val="20"/>
                <w:szCs w:val="20"/>
              </w:rPr>
              <w:t xml:space="preserve">     113,98 </w:t>
            </w:r>
          </w:p>
        </w:tc>
        <w:tc>
          <w:tcPr>
            <w:tcW w:w="0" w:type="auto"/>
            <w:tcBorders>
              <w:top w:val="nil"/>
              <w:left w:val="single" w:sz="4" w:space="0" w:color="003366"/>
              <w:bottom w:val="single" w:sz="4" w:space="0" w:color="003366"/>
              <w:right w:val="single" w:sz="8" w:space="0" w:color="auto"/>
            </w:tcBorders>
            <w:shd w:val="clear" w:color="000000" w:fill="FFFFCC"/>
            <w:vAlign w:val="bottom"/>
            <w:hideMark/>
          </w:tcPr>
          <w:p w:rsidR="00A073C6" w:rsidRPr="00A073C6" w:rsidRDefault="00A073C6" w:rsidP="00A073C6">
            <w:pPr>
              <w:jc w:val="right"/>
              <w:rPr>
                <w:rFonts w:ascii="Calibri" w:hAnsi="Calibri"/>
                <w:sz w:val="20"/>
                <w:szCs w:val="20"/>
              </w:rPr>
            </w:pPr>
            <w:r w:rsidRPr="00A073C6">
              <w:rPr>
                <w:rFonts w:ascii="Calibri" w:hAnsi="Calibri"/>
                <w:sz w:val="20"/>
                <w:szCs w:val="20"/>
              </w:rPr>
              <w:t xml:space="preserve">            35.706 </w:t>
            </w:r>
          </w:p>
        </w:tc>
      </w:tr>
      <w:tr w:rsidR="00A073C6" w:rsidRPr="00A073C6" w:rsidTr="00A073C6">
        <w:trPr>
          <w:trHeight w:val="315"/>
          <w:jc w:val="center"/>
        </w:trPr>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A073C6" w:rsidRPr="00A073C6" w:rsidRDefault="00A073C6" w:rsidP="00A073C6">
            <w:pPr>
              <w:jc w:val="right"/>
              <w:rPr>
                <w:rFonts w:ascii="Calibri" w:hAnsi="Calibri"/>
                <w:color w:val="000000"/>
                <w:sz w:val="20"/>
                <w:szCs w:val="20"/>
              </w:rPr>
            </w:pPr>
            <w:r w:rsidRPr="00A073C6">
              <w:rPr>
                <w:rFonts w:ascii="Calibri" w:hAnsi="Calibri"/>
                <w:color w:val="000000"/>
                <w:sz w:val="20"/>
                <w:szCs w:val="20"/>
              </w:rPr>
              <w:t>01-ene-15</w:t>
            </w:r>
          </w:p>
        </w:tc>
        <w:tc>
          <w:tcPr>
            <w:tcW w:w="0" w:type="auto"/>
            <w:tcBorders>
              <w:top w:val="nil"/>
              <w:left w:val="nil"/>
              <w:bottom w:val="single" w:sz="4" w:space="0" w:color="808000"/>
              <w:right w:val="single" w:sz="4" w:space="0" w:color="808000"/>
            </w:tcBorders>
            <w:shd w:val="clear" w:color="auto" w:fill="auto"/>
            <w:noWrap/>
            <w:vAlign w:val="center"/>
            <w:hideMark/>
          </w:tcPr>
          <w:p w:rsidR="00A073C6" w:rsidRPr="00A073C6" w:rsidRDefault="00A073C6" w:rsidP="00A073C6">
            <w:pPr>
              <w:jc w:val="right"/>
              <w:rPr>
                <w:rFonts w:ascii="Calibri" w:hAnsi="Calibri"/>
                <w:color w:val="000000"/>
                <w:sz w:val="20"/>
                <w:szCs w:val="20"/>
              </w:rPr>
            </w:pPr>
            <w:r w:rsidRPr="00A073C6">
              <w:rPr>
                <w:rFonts w:ascii="Calibri" w:hAnsi="Calibri"/>
                <w:color w:val="000000"/>
                <w:sz w:val="20"/>
                <w:szCs w:val="20"/>
              </w:rPr>
              <w:t>31-dic-15</w:t>
            </w:r>
          </w:p>
        </w:tc>
        <w:tc>
          <w:tcPr>
            <w:tcW w:w="0" w:type="auto"/>
            <w:tcBorders>
              <w:top w:val="nil"/>
              <w:left w:val="single" w:sz="4" w:space="0" w:color="003366"/>
              <w:bottom w:val="single" w:sz="4" w:space="0" w:color="003366"/>
              <w:right w:val="single" w:sz="4" w:space="0" w:color="003366"/>
            </w:tcBorders>
            <w:shd w:val="clear" w:color="000000" w:fill="FFFFCC"/>
            <w:noWrap/>
            <w:vAlign w:val="bottom"/>
            <w:hideMark/>
          </w:tcPr>
          <w:p w:rsidR="00A073C6" w:rsidRPr="00A073C6" w:rsidRDefault="00A073C6" w:rsidP="00A073C6">
            <w:pPr>
              <w:jc w:val="center"/>
              <w:rPr>
                <w:rFonts w:ascii="Calibri" w:hAnsi="Calibri"/>
                <w:sz w:val="20"/>
                <w:szCs w:val="20"/>
              </w:rPr>
            </w:pPr>
            <w:r w:rsidRPr="00A073C6">
              <w:rPr>
                <w:rFonts w:ascii="Calibri" w:hAnsi="Calibri"/>
                <w:sz w:val="20"/>
                <w:szCs w:val="20"/>
              </w:rPr>
              <w:t>14,00</w:t>
            </w:r>
          </w:p>
        </w:tc>
        <w:tc>
          <w:tcPr>
            <w:tcW w:w="0" w:type="auto"/>
            <w:tcBorders>
              <w:top w:val="nil"/>
              <w:left w:val="nil"/>
              <w:bottom w:val="nil"/>
              <w:right w:val="nil"/>
            </w:tcBorders>
            <w:shd w:val="clear" w:color="auto" w:fill="auto"/>
            <w:noWrap/>
            <w:vAlign w:val="bottom"/>
            <w:hideMark/>
          </w:tcPr>
          <w:p w:rsidR="00A073C6" w:rsidRPr="00A073C6" w:rsidRDefault="00A073C6" w:rsidP="00A073C6">
            <w:pPr>
              <w:rPr>
                <w:rFonts w:ascii="Calibri" w:hAnsi="Calibri"/>
                <w:color w:val="000000"/>
                <w:sz w:val="22"/>
                <w:szCs w:val="22"/>
              </w:rPr>
            </w:pPr>
            <w:r w:rsidRPr="00A073C6">
              <w:rPr>
                <w:rFonts w:ascii="Calibri" w:hAnsi="Calibri"/>
                <w:color w:val="000000"/>
                <w:sz w:val="22"/>
                <w:szCs w:val="22"/>
              </w:rPr>
              <w:t xml:space="preserve">      90.209,00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rsidR="00A073C6" w:rsidRPr="00A073C6" w:rsidRDefault="00A073C6" w:rsidP="00A073C6">
            <w:pPr>
              <w:rPr>
                <w:rFonts w:ascii="Calibri" w:hAnsi="Calibri"/>
                <w:color w:val="000000"/>
                <w:sz w:val="20"/>
                <w:szCs w:val="20"/>
              </w:rPr>
            </w:pPr>
            <w:r w:rsidRPr="00A073C6">
              <w:rPr>
                <w:rFonts w:ascii="Calibri" w:hAnsi="Calibri"/>
                <w:color w:val="000000"/>
                <w:sz w:val="20"/>
                <w:szCs w:val="20"/>
              </w:rPr>
              <w:t xml:space="preserve">       1.262.926 </w:t>
            </w:r>
          </w:p>
        </w:tc>
        <w:tc>
          <w:tcPr>
            <w:tcW w:w="0" w:type="auto"/>
            <w:tcBorders>
              <w:top w:val="nil"/>
              <w:left w:val="nil"/>
              <w:bottom w:val="nil"/>
              <w:right w:val="nil"/>
            </w:tcBorders>
            <w:shd w:val="clear" w:color="FFFFFF" w:fill="33CCCC"/>
            <w:vAlign w:val="center"/>
            <w:hideMark/>
          </w:tcPr>
          <w:p w:rsidR="00A073C6" w:rsidRPr="00A073C6" w:rsidRDefault="00A073C6" w:rsidP="00A073C6">
            <w:pPr>
              <w:jc w:val="center"/>
              <w:rPr>
                <w:rFonts w:ascii="Calibri" w:hAnsi="Calibri"/>
                <w:sz w:val="20"/>
                <w:szCs w:val="20"/>
              </w:rPr>
            </w:pPr>
            <w:r w:rsidRPr="00A073C6">
              <w:rPr>
                <w:rFonts w:ascii="Calibri" w:hAnsi="Calibri"/>
                <w:sz w:val="20"/>
                <w:szCs w:val="20"/>
              </w:rPr>
              <w:t xml:space="preserve">     118,15 </w:t>
            </w:r>
          </w:p>
        </w:tc>
        <w:tc>
          <w:tcPr>
            <w:tcW w:w="0" w:type="auto"/>
            <w:tcBorders>
              <w:top w:val="nil"/>
              <w:left w:val="single" w:sz="4" w:space="0" w:color="003366"/>
              <w:bottom w:val="single" w:sz="4" w:space="0" w:color="003366"/>
              <w:right w:val="single" w:sz="8" w:space="0" w:color="auto"/>
            </w:tcBorders>
            <w:shd w:val="clear" w:color="000000" w:fill="FFFFCC"/>
            <w:vAlign w:val="bottom"/>
            <w:hideMark/>
          </w:tcPr>
          <w:p w:rsidR="00A073C6" w:rsidRPr="00A073C6" w:rsidRDefault="00A073C6" w:rsidP="00A073C6">
            <w:pPr>
              <w:jc w:val="right"/>
              <w:rPr>
                <w:rFonts w:ascii="Calibri" w:hAnsi="Calibri"/>
                <w:sz w:val="20"/>
                <w:szCs w:val="20"/>
              </w:rPr>
            </w:pPr>
            <w:r w:rsidRPr="00A073C6">
              <w:rPr>
                <w:rFonts w:ascii="Calibri" w:hAnsi="Calibri"/>
                <w:sz w:val="20"/>
                <w:szCs w:val="20"/>
              </w:rPr>
              <w:t xml:space="preserve">          163.010 </w:t>
            </w:r>
          </w:p>
        </w:tc>
      </w:tr>
      <w:tr w:rsidR="00A073C6" w:rsidRPr="00A073C6" w:rsidTr="00A073C6">
        <w:trPr>
          <w:trHeight w:val="315"/>
          <w:jc w:val="center"/>
        </w:trPr>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A073C6" w:rsidRPr="00A073C6" w:rsidRDefault="00A073C6" w:rsidP="00A073C6">
            <w:pPr>
              <w:jc w:val="right"/>
              <w:rPr>
                <w:rFonts w:ascii="Calibri" w:hAnsi="Calibri"/>
                <w:color w:val="000000"/>
                <w:sz w:val="20"/>
                <w:szCs w:val="20"/>
              </w:rPr>
            </w:pPr>
            <w:r w:rsidRPr="00A073C6">
              <w:rPr>
                <w:rFonts w:ascii="Calibri" w:hAnsi="Calibri"/>
                <w:color w:val="000000"/>
                <w:sz w:val="20"/>
                <w:szCs w:val="20"/>
              </w:rPr>
              <w:t>01-ene-16</w:t>
            </w:r>
          </w:p>
        </w:tc>
        <w:tc>
          <w:tcPr>
            <w:tcW w:w="0" w:type="auto"/>
            <w:tcBorders>
              <w:top w:val="nil"/>
              <w:left w:val="nil"/>
              <w:bottom w:val="single" w:sz="4" w:space="0" w:color="808000"/>
              <w:right w:val="single" w:sz="4" w:space="0" w:color="808000"/>
            </w:tcBorders>
            <w:shd w:val="clear" w:color="auto" w:fill="auto"/>
            <w:noWrap/>
            <w:vAlign w:val="center"/>
            <w:hideMark/>
          </w:tcPr>
          <w:p w:rsidR="00A073C6" w:rsidRPr="00A073C6" w:rsidRDefault="00A073C6" w:rsidP="00A073C6">
            <w:pPr>
              <w:jc w:val="right"/>
              <w:rPr>
                <w:rFonts w:ascii="Calibri" w:hAnsi="Calibri"/>
                <w:color w:val="000000"/>
                <w:sz w:val="20"/>
                <w:szCs w:val="20"/>
              </w:rPr>
            </w:pPr>
            <w:r w:rsidRPr="00A073C6">
              <w:rPr>
                <w:rFonts w:ascii="Calibri" w:hAnsi="Calibri"/>
                <w:color w:val="000000"/>
                <w:sz w:val="20"/>
                <w:szCs w:val="20"/>
              </w:rPr>
              <w:t>31-dic-16</w:t>
            </w:r>
          </w:p>
        </w:tc>
        <w:tc>
          <w:tcPr>
            <w:tcW w:w="0" w:type="auto"/>
            <w:tcBorders>
              <w:top w:val="nil"/>
              <w:left w:val="single" w:sz="4" w:space="0" w:color="003366"/>
              <w:bottom w:val="single" w:sz="4" w:space="0" w:color="003366"/>
              <w:right w:val="single" w:sz="4" w:space="0" w:color="003366"/>
            </w:tcBorders>
            <w:shd w:val="clear" w:color="000000" w:fill="FFFFCC"/>
            <w:noWrap/>
            <w:vAlign w:val="bottom"/>
            <w:hideMark/>
          </w:tcPr>
          <w:p w:rsidR="00A073C6" w:rsidRPr="00A073C6" w:rsidRDefault="00A073C6" w:rsidP="00A073C6">
            <w:pPr>
              <w:jc w:val="center"/>
              <w:rPr>
                <w:rFonts w:ascii="Calibri" w:hAnsi="Calibri"/>
                <w:sz w:val="20"/>
                <w:szCs w:val="20"/>
              </w:rPr>
            </w:pPr>
            <w:r w:rsidRPr="00A073C6">
              <w:rPr>
                <w:rFonts w:ascii="Calibri" w:hAnsi="Calibri"/>
                <w:sz w:val="20"/>
                <w:szCs w:val="20"/>
              </w:rPr>
              <w:t>14,00</w:t>
            </w:r>
          </w:p>
        </w:tc>
        <w:tc>
          <w:tcPr>
            <w:tcW w:w="0" w:type="auto"/>
            <w:tcBorders>
              <w:top w:val="nil"/>
              <w:left w:val="nil"/>
              <w:bottom w:val="nil"/>
              <w:right w:val="nil"/>
            </w:tcBorders>
            <w:shd w:val="clear" w:color="auto" w:fill="auto"/>
            <w:noWrap/>
            <w:vAlign w:val="bottom"/>
            <w:hideMark/>
          </w:tcPr>
          <w:p w:rsidR="00A073C6" w:rsidRPr="00A073C6" w:rsidRDefault="00A073C6" w:rsidP="00A073C6">
            <w:pPr>
              <w:rPr>
                <w:rFonts w:ascii="Calibri" w:hAnsi="Calibri"/>
                <w:color w:val="000000"/>
                <w:sz w:val="22"/>
                <w:szCs w:val="22"/>
              </w:rPr>
            </w:pPr>
            <w:r w:rsidRPr="00A073C6">
              <w:rPr>
                <w:rFonts w:ascii="Calibri" w:hAnsi="Calibri"/>
                <w:color w:val="000000"/>
                <w:sz w:val="22"/>
                <w:szCs w:val="22"/>
              </w:rPr>
              <w:t xml:space="preserve">      96.523,70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rsidR="00A073C6" w:rsidRPr="00A073C6" w:rsidRDefault="00A073C6" w:rsidP="00A073C6">
            <w:pPr>
              <w:rPr>
                <w:rFonts w:ascii="Calibri" w:hAnsi="Calibri"/>
                <w:color w:val="000000"/>
                <w:sz w:val="20"/>
                <w:szCs w:val="20"/>
              </w:rPr>
            </w:pPr>
            <w:r w:rsidRPr="00A073C6">
              <w:rPr>
                <w:rFonts w:ascii="Calibri" w:hAnsi="Calibri"/>
                <w:color w:val="000000"/>
                <w:sz w:val="20"/>
                <w:szCs w:val="20"/>
              </w:rPr>
              <w:t xml:space="preserve">       1.351.332 </w:t>
            </w:r>
          </w:p>
        </w:tc>
        <w:tc>
          <w:tcPr>
            <w:tcW w:w="0" w:type="auto"/>
            <w:tcBorders>
              <w:top w:val="nil"/>
              <w:left w:val="nil"/>
              <w:bottom w:val="nil"/>
              <w:right w:val="nil"/>
            </w:tcBorders>
            <w:shd w:val="clear" w:color="FFFFFF" w:fill="33CCCC"/>
            <w:vAlign w:val="center"/>
            <w:hideMark/>
          </w:tcPr>
          <w:p w:rsidR="00A073C6" w:rsidRPr="00A073C6" w:rsidRDefault="00A073C6" w:rsidP="00A073C6">
            <w:pPr>
              <w:jc w:val="center"/>
              <w:rPr>
                <w:rFonts w:ascii="Calibri" w:hAnsi="Calibri"/>
                <w:sz w:val="20"/>
                <w:szCs w:val="20"/>
              </w:rPr>
            </w:pPr>
            <w:r w:rsidRPr="00A073C6">
              <w:rPr>
                <w:rFonts w:ascii="Calibri" w:hAnsi="Calibri"/>
                <w:sz w:val="20"/>
                <w:szCs w:val="20"/>
              </w:rPr>
              <w:t xml:space="preserve">     126,15 </w:t>
            </w:r>
          </w:p>
        </w:tc>
        <w:tc>
          <w:tcPr>
            <w:tcW w:w="0" w:type="auto"/>
            <w:tcBorders>
              <w:top w:val="nil"/>
              <w:left w:val="single" w:sz="4" w:space="0" w:color="003366"/>
              <w:bottom w:val="single" w:sz="4" w:space="0" w:color="003366"/>
              <w:right w:val="single" w:sz="8" w:space="0" w:color="auto"/>
            </w:tcBorders>
            <w:shd w:val="clear" w:color="000000" w:fill="FFFFCC"/>
            <w:vAlign w:val="bottom"/>
            <w:hideMark/>
          </w:tcPr>
          <w:p w:rsidR="00A073C6" w:rsidRPr="00A073C6" w:rsidRDefault="00A073C6" w:rsidP="00A073C6">
            <w:pPr>
              <w:jc w:val="right"/>
              <w:rPr>
                <w:rFonts w:ascii="Calibri" w:hAnsi="Calibri"/>
                <w:sz w:val="20"/>
                <w:szCs w:val="20"/>
              </w:rPr>
            </w:pPr>
            <w:r w:rsidRPr="00A073C6">
              <w:rPr>
                <w:rFonts w:ascii="Calibri" w:hAnsi="Calibri"/>
                <w:sz w:val="20"/>
                <w:szCs w:val="20"/>
              </w:rPr>
              <w:t xml:space="preserve">            77.663 </w:t>
            </w:r>
          </w:p>
        </w:tc>
      </w:tr>
      <w:tr w:rsidR="00A073C6" w:rsidRPr="00A073C6" w:rsidTr="00A073C6">
        <w:trPr>
          <w:trHeight w:val="330"/>
          <w:jc w:val="center"/>
        </w:trPr>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A073C6" w:rsidRPr="00A073C6" w:rsidRDefault="00A073C6" w:rsidP="00A073C6">
            <w:pPr>
              <w:jc w:val="right"/>
              <w:rPr>
                <w:rFonts w:ascii="Calibri" w:hAnsi="Calibri"/>
                <w:color w:val="000000"/>
                <w:sz w:val="20"/>
                <w:szCs w:val="20"/>
              </w:rPr>
            </w:pPr>
            <w:r w:rsidRPr="00A073C6">
              <w:rPr>
                <w:rFonts w:ascii="Calibri" w:hAnsi="Calibri"/>
                <w:color w:val="000000"/>
                <w:sz w:val="20"/>
                <w:szCs w:val="20"/>
              </w:rPr>
              <w:t>01-ene-17</w:t>
            </w:r>
          </w:p>
        </w:tc>
        <w:tc>
          <w:tcPr>
            <w:tcW w:w="0" w:type="auto"/>
            <w:tcBorders>
              <w:top w:val="nil"/>
              <w:left w:val="nil"/>
              <w:bottom w:val="single" w:sz="4" w:space="0" w:color="808000"/>
              <w:right w:val="single" w:sz="4" w:space="0" w:color="808000"/>
            </w:tcBorders>
            <w:shd w:val="clear" w:color="auto" w:fill="auto"/>
            <w:noWrap/>
            <w:vAlign w:val="center"/>
            <w:hideMark/>
          </w:tcPr>
          <w:p w:rsidR="00A073C6" w:rsidRPr="00A073C6" w:rsidRDefault="00A073C6" w:rsidP="00A073C6">
            <w:pPr>
              <w:jc w:val="right"/>
              <w:rPr>
                <w:rFonts w:ascii="Calibri" w:hAnsi="Calibri"/>
                <w:color w:val="000000"/>
                <w:sz w:val="20"/>
                <w:szCs w:val="20"/>
              </w:rPr>
            </w:pPr>
            <w:r w:rsidRPr="00A073C6">
              <w:rPr>
                <w:rFonts w:ascii="Calibri" w:hAnsi="Calibri"/>
                <w:color w:val="000000"/>
                <w:sz w:val="20"/>
                <w:szCs w:val="20"/>
              </w:rPr>
              <w:t>31-ene-17</w:t>
            </w:r>
          </w:p>
        </w:tc>
        <w:tc>
          <w:tcPr>
            <w:tcW w:w="0" w:type="auto"/>
            <w:tcBorders>
              <w:top w:val="nil"/>
              <w:left w:val="single" w:sz="4" w:space="0" w:color="003366"/>
              <w:bottom w:val="single" w:sz="4" w:space="0" w:color="003366"/>
              <w:right w:val="single" w:sz="4" w:space="0" w:color="003366"/>
            </w:tcBorders>
            <w:shd w:val="clear" w:color="000000" w:fill="FFFFCC"/>
            <w:noWrap/>
            <w:vAlign w:val="bottom"/>
            <w:hideMark/>
          </w:tcPr>
          <w:p w:rsidR="00A073C6" w:rsidRPr="00A073C6" w:rsidRDefault="00A073C6" w:rsidP="00A073C6">
            <w:pPr>
              <w:jc w:val="center"/>
              <w:rPr>
                <w:rFonts w:ascii="Calibri" w:hAnsi="Calibri"/>
                <w:sz w:val="20"/>
                <w:szCs w:val="20"/>
              </w:rPr>
            </w:pPr>
            <w:r w:rsidRPr="00A073C6">
              <w:rPr>
                <w:rFonts w:ascii="Calibri" w:hAnsi="Calibri"/>
                <w:sz w:val="20"/>
                <w:szCs w:val="20"/>
              </w:rPr>
              <w:t>14,00</w:t>
            </w:r>
          </w:p>
        </w:tc>
        <w:tc>
          <w:tcPr>
            <w:tcW w:w="0" w:type="auto"/>
            <w:tcBorders>
              <w:top w:val="nil"/>
              <w:left w:val="nil"/>
              <w:bottom w:val="nil"/>
              <w:right w:val="nil"/>
            </w:tcBorders>
            <w:shd w:val="clear" w:color="auto" w:fill="auto"/>
            <w:noWrap/>
            <w:vAlign w:val="bottom"/>
            <w:hideMark/>
          </w:tcPr>
          <w:p w:rsidR="00A073C6" w:rsidRPr="00A073C6" w:rsidRDefault="00A073C6" w:rsidP="00A073C6">
            <w:pPr>
              <w:rPr>
                <w:rFonts w:ascii="Calibri" w:hAnsi="Calibri"/>
                <w:color w:val="000000"/>
                <w:sz w:val="22"/>
                <w:szCs w:val="22"/>
              </w:rPr>
            </w:pPr>
            <w:r w:rsidRPr="00A073C6">
              <w:rPr>
                <w:rFonts w:ascii="Calibri" w:hAnsi="Calibri"/>
                <w:color w:val="000000"/>
                <w:sz w:val="22"/>
                <w:szCs w:val="22"/>
              </w:rPr>
              <w:t xml:space="preserve">    103.280,38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rsidR="00A073C6" w:rsidRPr="00A073C6" w:rsidRDefault="00A073C6" w:rsidP="00A073C6">
            <w:pPr>
              <w:rPr>
                <w:rFonts w:ascii="Calibri" w:hAnsi="Calibri"/>
                <w:color w:val="000000"/>
                <w:sz w:val="20"/>
                <w:szCs w:val="20"/>
              </w:rPr>
            </w:pPr>
            <w:r w:rsidRPr="00A073C6">
              <w:rPr>
                <w:rFonts w:ascii="Calibri" w:hAnsi="Calibri"/>
                <w:color w:val="000000"/>
                <w:sz w:val="20"/>
                <w:szCs w:val="20"/>
              </w:rPr>
              <w:t xml:space="preserve">       1.445.925 </w:t>
            </w:r>
          </w:p>
        </w:tc>
        <w:tc>
          <w:tcPr>
            <w:tcW w:w="0" w:type="auto"/>
            <w:tcBorders>
              <w:top w:val="nil"/>
              <w:left w:val="nil"/>
              <w:bottom w:val="nil"/>
              <w:right w:val="nil"/>
            </w:tcBorders>
            <w:shd w:val="clear" w:color="FFFFFF" w:fill="33CCCC"/>
            <w:vAlign w:val="center"/>
            <w:hideMark/>
          </w:tcPr>
          <w:p w:rsidR="00A073C6" w:rsidRPr="00A073C6" w:rsidRDefault="00A073C6" w:rsidP="00A073C6">
            <w:pPr>
              <w:jc w:val="center"/>
              <w:rPr>
                <w:rFonts w:ascii="Calibri" w:hAnsi="Calibri"/>
                <w:sz w:val="20"/>
                <w:szCs w:val="20"/>
              </w:rPr>
            </w:pPr>
            <w:r w:rsidRPr="00A073C6">
              <w:rPr>
                <w:rFonts w:ascii="Calibri" w:hAnsi="Calibri"/>
                <w:sz w:val="20"/>
                <w:szCs w:val="20"/>
              </w:rPr>
              <w:t xml:space="preserve">     133,40 </w:t>
            </w:r>
          </w:p>
        </w:tc>
        <w:tc>
          <w:tcPr>
            <w:tcW w:w="0" w:type="auto"/>
            <w:tcBorders>
              <w:top w:val="nil"/>
              <w:left w:val="single" w:sz="4" w:space="0" w:color="003366"/>
              <w:bottom w:val="single" w:sz="4" w:space="0" w:color="003366"/>
              <w:right w:val="single" w:sz="8" w:space="0" w:color="auto"/>
            </w:tcBorders>
            <w:shd w:val="clear" w:color="000000" w:fill="FFFFCC"/>
            <w:vAlign w:val="bottom"/>
            <w:hideMark/>
          </w:tcPr>
          <w:p w:rsidR="00A073C6" w:rsidRPr="00A073C6" w:rsidRDefault="00A073C6" w:rsidP="00A073C6">
            <w:pPr>
              <w:jc w:val="right"/>
              <w:rPr>
                <w:rFonts w:ascii="Calibri" w:hAnsi="Calibri"/>
                <w:sz w:val="20"/>
                <w:szCs w:val="20"/>
              </w:rPr>
            </w:pPr>
            <w:r w:rsidRPr="00A073C6">
              <w:rPr>
                <w:rFonts w:ascii="Calibri" w:hAnsi="Calibri"/>
                <w:sz w:val="20"/>
                <w:szCs w:val="20"/>
              </w:rPr>
              <w:t xml:space="preserve">                      -   </w:t>
            </w:r>
          </w:p>
        </w:tc>
      </w:tr>
      <w:tr w:rsidR="00A073C6" w:rsidRPr="00A073C6" w:rsidTr="00A073C6">
        <w:trPr>
          <w:trHeight w:val="330"/>
          <w:jc w:val="center"/>
        </w:trPr>
        <w:tc>
          <w:tcPr>
            <w:tcW w:w="0" w:type="auto"/>
            <w:tcBorders>
              <w:top w:val="single" w:sz="8" w:space="0" w:color="auto"/>
              <w:left w:val="nil"/>
              <w:bottom w:val="single" w:sz="8" w:space="0" w:color="auto"/>
              <w:right w:val="nil"/>
            </w:tcBorders>
            <w:shd w:val="clear" w:color="auto" w:fill="auto"/>
            <w:noWrap/>
            <w:vAlign w:val="center"/>
            <w:hideMark/>
          </w:tcPr>
          <w:p w:rsidR="00A073C6" w:rsidRPr="00A073C6" w:rsidRDefault="00A073C6" w:rsidP="00A073C6">
            <w:pPr>
              <w:rPr>
                <w:rFonts w:ascii="Calibri" w:hAnsi="Calibri"/>
                <w:color w:val="000000"/>
                <w:sz w:val="20"/>
                <w:szCs w:val="20"/>
              </w:rPr>
            </w:pPr>
            <w:r w:rsidRPr="00A073C6">
              <w:rPr>
                <w:rFonts w:ascii="Calibri" w:hAnsi="Calibri"/>
                <w:color w:val="000000"/>
                <w:sz w:val="20"/>
                <w:szCs w:val="20"/>
              </w:rPr>
              <w:t> </w:t>
            </w:r>
          </w:p>
        </w:tc>
        <w:tc>
          <w:tcPr>
            <w:tcW w:w="0" w:type="auto"/>
            <w:tcBorders>
              <w:top w:val="single" w:sz="8" w:space="0" w:color="auto"/>
              <w:left w:val="nil"/>
              <w:bottom w:val="single" w:sz="8" w:space="0" w:color="auto"/>
              <w:right w:val="nil"/>
            </w:tcBorders>
            <w:shd w:val="clear" w:color="auto" w:fill="auto"/>
            <w:noWrap/>
            <w:vAlign w:val="center"/>
            <w:hideMark/>
          </w:tcPr>
          <w:p w:rsidR="00A073C6" w:rsidRPr="00A073C6" w:rsidRDefault="00A073C6" w:rsidP="00A073C6">
            <w:pPr>
              <w:rPr>
                <w:rFonts w:ascii="Calibri" w:hAnsi="Calibri"/>
                <w:color w:val="000000"/>
                <w:sz w:val="20"/>
                <w:szCs w:val="20"/>
              </w:rPr>
            </w:pPr>
            <w:r w:rsidRPr="00A073C6">
              <w:rPr>
                <w:rFonts w:ascii="Calibri" w:hAnsi="Calibri"/>
                <w:color w:val="000000"/>
                <w:sz w:val="20"/>
                <w:szCs w:val="20"/>
              </w:rPr>
              <w:t> </w:t>
            </w:r>
          </w:p>
        </w:tc>
        <w:tc>
          <w:tcPr>
            <w:tcW w:w="0" w:type="auto"/>
            <w:tcBorders>
              <w:top w:val="single" w:sz="8" w:space="0" w:color="auto"/>
              <w:left w:val="nil"/>
              <w:bottom w:val="single" w:sz="8" w:space="0" w:color="auto"/>
              <w:right w:val="nil"/>
            </w:tcBorders>
            <w:shd w:val="clear" w:color="000000" w:fill="FFFFCC"/>
            <w:noWrap/>
            <w:vAlign w:val="bottom"/>
            <w:hideMark/>
          </w:tcPr>
          <w:p w:rsidR="00A073C6" w:rsidRPr="00A073C6" w:rsidRDefault="00A073C6" w:rsidP="00A073C6">
            <w:pPr>
              <w:jc w:val="center"/>
              <w:rPr>
                <w:rFonts w:ascii="Calibri" w:hAnsi="Calibri"/>
                <w:sz w:val="20"/>
                <w:szCs w:val="20"/>
              </w:rPr>
            </w:pPr>
            <w:r w:rsidRPr="00A073C6">
              <w:rPr>
                <w:rFonts w:ascii="Calibri" w:hAnsi="Calibri"/>
                <w:sz w:val="20"/>
                <w:szCs w:val="20"/>
              </w:rPr>
              <w:t> </w:t>
            </w:r>
          </w:p>
        </w:tc>
        <w:tc>
          <w:tcPr>
            <w:tcW w:w="0" w:type="auto"/>
            <w:tcBorders>
              <w:top w:val="single" w:sz="8" w:space="0" w:color="auto"/>
              <w:left w:val="single" w:sz="4" w:space="0" w:color="003366"/>
              <w:bottom w:val="single" w:sz="8" w:space="0" w:color="auto"/>
              <w:right w:val="nil"/>
            </w:tcBorders>
            <w:shd w:val="clear" w:color="000000" w:fill="FFFFCC"/>
            <w:vAlign w:val="bottom"/>
            <w:hideMark/>
          </w:tcPr>
          <w:p w:rsidR="00A073C6" w:rsidRPr="00A073C6" w:rsidRDefault="00A073C6" w:rsidP="00A073C6">
            <w:pPr>
              <w:jc w:val="center"/>
              <w:rPr>
                <w:rFonts w:ascii="Calibri" w:hAnsi="Calibri"/>
                <w:sz w:val="20"/>
                <w:szCs w:val="20"/>
              </w:rPr>
            </w:pPr>
            <w:r w:rsidRPr="00A073C6">
              <w:rPr>
                <w:rFonts w:ascii="Calibri" w:hAnsi="Calibri"/>
                <w:sz w:val="20"/>
                <w:szCs w:val="20"/>
              </w:rPr>
              <w:t xml:space="preserve"> SUBTOTALES </w:t>
            </w:r>
          </w:p>
        </w:tc>
        <w:tc>
          <w:tcPr>
            <w:tcW w:w="0" w:type="auto"/>
            <w:tcBorders>
              <w:top w:val="single" w:sz="8" w:space="0" w:color="auto"/>
              <w:left w:val="nil"/>
              <w:bottom w:val="single" w:sz="8" w:space="0" w:color="auto"/>
              <w:right w:val="nil"/>
            </w:tcBorders>
            <w:shd w:val="clear" w:color="000000" w:fill="FFFFCC"/>
            <w:noWrap/>
            <w:vAlign w:val="center"/>
            <w:hideMark/>
          </w:tcPr>
          <w:p w:rsidR="00A073C6" w:rsidRPr="00A073C6" w:rsidRDefault="00A073C6" w:rsidP="00A073C6">
            <w:pPr>
              <w:rPr>
                <w:rFonts w:ascii="Calibri" w:hAnsi="Calibri"/>
                <w:color w:val="000000"/>
                <w:sz w:val="20"/>
                <w:szCs w:val="20"/>
              </w:rPr>
            </w:pPr>
            <w:r w:rsidRPr="00A073C6">
              <w:rPr>
                <w:rFonts w:ascii="Calibri" w:hAnsi="Calibri"/>
                <w:color w:val="000000"/>
                <w:sz w:val="20"/>
                <w:szCs w:val="20"/>
              </w:rPr>
              <w:t xml:space="preserve">       4.269.746 </w:t>
            </w:r>
          </w:p>
        </w:tc>
        <w:tc>
          <w:tcPr>
            <w:tcW w:w="0" w:type="auto"/>
            <w:tcBorders>
              <w:top w:val="single" w:sz="8" w:space="0" w:color="auto"/>
              <w:left w:val="nil"/>
              <w:bottom w:val="single" w:sz="8" w:space="0" w:color="auto"/>
              <w:right w:val="nil"/>
            </w:tcBorders>
            <w:shd w:val="clear" w:color="FFFFFF" w:fill="33CCCC"/>
            <w:vAlign w:val="center"/>
            <w:hideMark/>
          </w:tcPr>
          <w:p w:rsidR="00A073C6" w:rsidRPr="00A073C6" w:rsidRDefault="00A073C6" w:rsidP="00A073C6">
            <w:pPr>
              <w:jc w:val="center"/>
              <w:rPr>
                <w:rFonts w:ascii="Calibri" w:hAnsi="Calibri"/>
                <w:sz w:val="20"/>
                <w:szCs w:val="20"/>
              </w:rPr>
            </w:pPr>
            <w:r w:rsidRPr="00A073C6">
              <w:rPr>
                <w:rFonts w:ascii="Calibri" w:hAnsi="Calibri"/>
                <w:sz w:val="20"/>
                <w:szCs w:val="20"/>
              </w:rPr>
              <w:t> </w:t>
            </w:r>
          </w:p>
        </w:tc>
        <w:tc>
          <w:tcPr>
            <w:tcW w:w="0" w:type="auto"/>
            <w:tcBorders>
              <w:top w:val="single" w:sz="8" w:space="0" w:color="auto"/>
              <w:left w:val="nil"/>
              <w:bottom w:val="single" w:sz="8" w:space="0" w:color="auto"/>
              <w:right w:val="single" w:sz="8" w:space="0" w:color="auto"/>
            </w:tcBorders>
            <w:shd w:val="clear" w:color="000000" w:fill="FFFFCC"/>
            <w:vAlign w:val="bottom"/>
            <w:hideMark/>
          </w:tcPr>
          <w:p w:rsidR="00A073C6" w:rsidRPr="00A073C6" w:rsidRDefault="00A073C6" w:rsidP="00A073C6">
            <w:pPr>
              <w:jc w:val="right"/>
              <w:rPr>
                <w:rFonts w:ascii="Calibri" w:hAnsi="Calibri"/>
                <w:sz w:val="20"/>
                <w:szCs w:val="20"/>
              </w:rPr>
            </w:pPr>
            <w:r w:rsidRPr="00A073C6">
              <w:rPr>
                <w:rFonts w:ascii="Calibri" w:hAnsi="Calibri"/>
                <w:sz w:val="20"/>
                <w:szCs w:val="20"/>
              </w:rPr>
              <w:t xml:space="preserve">          276.378 </w:t>
            </w:r>
          </w:p>
        </w:tc>
      </w:tr>
    </w:tbl>
    <w:p w:rsidR="00443FE7" w:rsidRDefault="00443FE7" w:rsidP="00443FE7">
      <w:pPr>
        <w:pStyle w:val="Titre3"/>
        <w:spacing w:before="0" w:after="0" w:line="276" w:lineRule="auto"/>
        <w:jc w:val="center"/>
        <w:rPr>
          <w:rFonts w:ascii="Tahoma" w:hAnsi="Tahoma" w:cs="Tahoma"/>
          <w:bCs w:val="0"/>
          <w:sz w:val="22"/>
          <w:szCs w:val="22"/>
        </w:rPr>
      </w:pPr>
    </w:p>
    <w:p w:rsidR="00443FE7" w:rsidRDefault="00443FE7" w:rsidP="00443FE7">
      <w:pPr>
        <w:pStyle w:val="Titre3"/>
        <w:spacing w:before="0" w:after="0" w:line="276" w:lineRule="auto"/>
        <w:jc w:val="center"/>
        <w:rPr>
          <w:rFonts w:ascii="Tahoma" w:hAnsi="Tahoma" w:cs="Tahoma"/>
          <w:bCs w:val="0"/>
          <w:sz w:val="22"/>
          <w:szCs w:val="22"/>
        </w:rPr>
      </w:pPr>
    </w:p>
    <w:p w:rsidR="000622EF" w:rsidRDefault="000622EF" w:rsidP="000622EF"/>
    <w:p w:rsidR="000622EF" w:rsidRDefault="000622EF" w:rsidP="000622EF"/>
    <w:p w:rsidR="000622EF" w:rsidRPr="000622EF" w:rsidRDefault="000622EF" w:rsidP="000622EF"/>
    <w:p w:rsidR="00443FE7" w:rsidRPr="007834F9" w:rsidRDefault="00443FE7" w:rsidP="00443FE7">
      <w:pPr>
        <w:pStyle w:val="Titre3"/>
        <w:spacing w:before="0" w:after="0" w:line="276" w:lineRule="auto"/>
        <w:jc w:val="center"/>
        <w:rPr>
          <w:rFonts w:ascii="Tahoma" w:hAnsi="Tahoma" w:cs="Tahoma"/>
          <w:bCs w:val="0"/>
          <w:sz w:val="22"/>
          <w:szCs w:val="22"/>
        </w:rPr>
      </w:pPr>
      <w:r w:rsidRPr="007834F9">
        <w:rPr>
          <w:rFonts w:ascii="Tahoma" w:hAnsi="Tahoma" w:cs="Tahoma"/>
          <w:bCs w:val="0"/>
          <w:sz w:val="22"/>
          <w:szCs w:val="22"/>
        </w:rPr>
        <w:t>ANA LUCÍA CAICEDO CALDERÓN</w:t>
      </w:r>
    </w:p>
    <w:p w:rsidR="00A64CF4" w:rsidRDefault="00443FE7" w:rsidP="003E491B">
      <w:pPr>
        <w:jc w:val="center"/>
        <w:rPr>
          <w:b/>
        </w:rPr>
      </w:pPr>
      <w:r>
        <w:rPr>
          <w:b/>
        </w:rPr>
        <w:t>Magistrada</w:t>
      </w:r>
    </w:p>
    <w:p w:rsidR="00A54E51" w:rsidRDefault="00A54E51" w:rsidP="003E491B">
      <w:pPr>
        <w:jc w:val="center"/>
        <w:rPr>
          <w:b/>
        </w:rPr>
      </w:pPr>
    </w:p>
    <w:p w:rsidR="00A54E51" w:rsidRDefault="00A54E51" w:rsidP="003E491B">
      <w:pPr>
        <w:jc w:val="center"/>
        <w:rPr>
          <w:b/>
        </w:rPr>
      </w:pPr>
    </w:p>
    <w:p w:rsidR="00A54E51" w:rsidRDefault="00A54E51" w:rsidP="003E491B">
      <w:pPr>
        <w:jc w:val="center"/>
        <w:rPr>
          <w:b/>
        </w:rPr>
      </w:pPr>
    </w:p>
    <w:p w:rsidR="00A073C6" w:rsidRDefault="00A073C6" w:rsidP="003E491B">
      <w:pPr>
        <w:jc w:val="center"/>
        <w:rPr>
          <w:b/>
        </w:rPr>
      </w:pPr>
    </w:p>
    <w:p w:rsidR="00A073C6" w:rsidRDefault="00A073C6" w:rsidP="003E491B">
      <w:pPr>
        <w:jc w:val="center"/>
        <w:rPr>
          <w:b/>
        </w:rPr>
      </w:pPr>
    </w:p>
    <w:p w:rsidR="00A073C6" w:rsidRDefault="00A073C6" w:rsidP="003E491B">
      <w:pPr>
        <w:jc w:val="center"/>
        <w:rPr>
          <w:b/>
        </w:rPr>
      </w:pPr>
    </w:p>
    <w:p w:rsidR="00A073C6" w:rsidRDefault="00A073C6" w:rsidP="003E491B">
      <w:pPr>
        <w:jc w:val="center"/>
        <w:rPr>
          <w:b/>
        </w:rPr>
      </w:pPr>
    </w:p>
    <w:sectPr w:rsidR="00A073C6" w:rsidSect="00480896">
      <w:headerReference w:type="default" r:id="rId8"/>
      <w:footerReference w:type="default" r:id="rId9"/>
      <w:footerReference w:type="first" r:id="rId10"/>
      <w:pgSz w:w="12242" w:h="18722" w:code="121"/>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83E" w:rsidRDefault="0081583E" w:rsidP="00080145">
      <w:r>
        <w:separator/>
      </w:r>
    </w:p>
  </w:endnote>
  <w:endnote w:type="continuationSeparator" w:id="0">
    <w:p w:rsidR="0081583E" w:rsidRDefault="0081583E" w:rsidP="00080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9737120"/>
      <w:docPartObj>
        <w:docPartGallery w:val="Page Numbers (Bottom of Page)"/>
        <w:docPartUnique/>
      </w:docPartObj>
    </w:sdtPr>
    <w:sdtEndPr/>
    <w:sdtContent>
      <w:p w:rsidR="00FE1FA5" w:rsidRDefault="00FE1FA5">
        <w:pPr>
          <w:pStyle w:val="Pieddepage"/>
          <w:jc w:val="right"/>
        </w:pPr>
        <w:r>
          <w:fldChar w:fldCharType="begin"/>
        </w:r>
        <w:r>
          <w:instrText>PAGE   \* MERGEFORMAT</w:instrText>
        </w:r>
        <w:r>
          <w:fldChar w:fldCharType="separate"/>
        </w:r>
        <w:r w:rsidR="008354D6">
          <w:rPr>
            <w:noProof/>
          </w:rPr>
          <w:t>5</w:t>
        </w:r>
        <w:r>
          <w:fldChar w:fldCharType="end"/>
        </w:r>
      </w:p>
    </w:sdtContent>
  </w:sdt>
  <w:p w:rsidR="00FE1FA5" w:rsidRDefault="00FE1FA5">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6370693"/>
      <w:docPartObj>
        <w:docPartGallery w:val="Page Numbers (Bottom of Page)"/>
        <w:docPartUnique/>
      </w:docPartObj>
    </w:sdtPr>
    <w:sdtEndPr/>
    <w:sdtContent>
      <w:p w:rsidR="00B20843" w:rsidRDefault="00B20843">
        <w:pPr>
          <w:pStyle w:val="Pieddepage"/>
          <w:jc w:val="right"/>
        </w:pPr>
        <w:r>
          <w:fldChar w:fldCharType="begin"/>
        </w:r>
        <w:r>
          <w:instrText>PAGE   \* MERGEFORMAT</w:instrText>
        </w:r>
        <w:r>
          <w:fldChar w:fldCharType="separate"/>
        </w:r>
        <w:r w:rsidR="008354D6">
          <w:rPr>
            <w:noProof/>
          </w:rPr>
          <w:t>1</w:t>
        </w:r>
        <w:r>
          <w:fldChar w:fldCharType="end"/>
        </w:r>
      </w:p>
    </w:sdtContent>
  </w:sdt>
  <w:p w:rsidR="00B20843" w:rsidRDefault="00B2084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83E" w:rsidRDefault="0081583E" w:rsidP="00080145">
      <w:r>
        <w:separator/>
      </w:r>
    </w:p>
  </w:footnote>
  <w:footnote w:type="continuationSeparator" w:id="0">
    <w:p w:rsidR="0081583E" w:rsidRDefault="0081583E" w:rsidP="000801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843" w:rsidRPr="004A6CA2" w:rsidRDefault="00B20843" w:rsidP="004A6CA2">
    <w:pPr>
      <w:pStyle w:val="Titre"/>
      <w:spacing w:line="240" w:lineRule="auto"/>
      <w:jc w:val="both"/>
      <w:rPr>
        <w:rFonts w:ascii="Times New Roman" w:hAnsi="Times New Roman" w:cs="Times New Roman"/>
        <w:b w:val="0"/>
        <w:sz w:val="16"/>
        <w:szCs w:val="16"/>
      </w:rPr>
    </w:pPr>
    <w:r w:rsidRPr="004A6CA2">
      <w:rPr>
        <w:rFonts w:ascii="Times New Roman" w:hAnsi="Times New Roman" w:cs="Times New Roman"/>
        <w:b w:val="0"/>
        <w:sz w:val="16"/>
        <w:szCs w:val="16"/>
      </w:rPr>
      <w:t>Radicación No.:</w:t>
    </w:r>
    <w:r>
      <w:rPr>
        <w:rFonts w:ascii="Times New Roman" w:hAnsi="Times New Roman" w:cs="Times New Roman"/>
        <w:b w:val="0"/>
        <w:sz w:val="16"/>
        <w:szCs w:val="16"/>
      </w:rPr>
      <w:t xml:space="preserve"> </w:t>
    </w:r>
    <w:r w:rsidRPr="004A6CA2">
      <w:rPr>
        <w:rFonts w:ascii="Times New Roman" w:hAnsi="Times New Roman" w:cs="Times New Roman"/>
        <w:b w:val="0"/>
        <w:sz w:val="16"/>
        <w:szCs w:val="16"/>
      </w:rPr>
      <w:t>66001-31-05-00</w:t>
    </w:r>
    <w:r w:rsidR="00702DCF">
      <w:rPr>
        <w:rFonts w:ascii="Times New Roman" w:hAnsi="Times New Roman" w:cs="Times New Roman"/>
        <w:b w:val="0"/>
        <w:sz w:val="16"/>
        <w:szCs w:val="16"/>
      </w:rPr>
      <w:t>5</w:t>
    </w:r>
    <w:r w:rsidRPr="004A6CA2">
      <w:rPr>
        <w:rFonts w:ascii="Times New Roman" w:hAnsi="Times New Roman" w:cs="Times New Roman"/>
        <w:b w:val="0"/>
        <w:sz w:val="16"/>
        <w:szCs w:val="16"/>
      </w:rPr>
      <w:t>-201</w:t>
    </w:r>
    <w:r w:rsidR="00702DCF">
      <w:rPr>
        <w:rFonts w:ascii="Times New Roman" w:hAnsi="Times New Roman" w:cs="Times New Roman"/>
        <w:b w:val="0"/>
        <w:sz w:val="16"/>
        <w:szCs w:val="16"/>
      </w:rPr>
      <w:t>4</w:t>
    </w:r>
    <w:r w:rsidRPr="004A6CA2">
      <w:rPr>
        <w:rFonts w:ascii="Times New Roman" w:hAnsi="Times New Roman" w:cs="Times New Roman"/>
        <w:b w:val="0"/>
        <w:sz w:val="16"/>
        <w:szCs w:val="16"/>
      </w:rPr>
      <w:t>-00</w:t>
    </w:r>
    <w:r w:rsidR="00702DCF">
      <w:rPr>
        <w:rFonts w:ascii="Times New Roman" w:hAnsi="Times New Roman" w:cs="Times New Roman"/>
        <w:b w:val="0"/>
        <w:sz w:val="16"/>
        <w:szCs w:val="16"/>
      </w:rPr>
      <w:t>597</w:t>
    </w:r>
    <w:r w:rsidRPr="004A6CA2">
      <w:rPr>
        <w:rFonts w:ascii="Times New Roman" w:hAnsi="Times New Roman" w:cs="Times New Roman"/>
        <w:b w:val="0"/>
        <w:sz w:val="16"/>
        <w:szCs w:val="16"/>
      </w:rPr>
      <w:t>-01</w:t>
    </w:r>
  </w:p>
  <w:p w:rsidR="00B20843" w:rsidRPr="004A6CA2" w:rsidRDefault="00B20843" w:rsidP="004A6CA2">
    <w:pPr>
      <w:pStyle w:val="Titre"/>
      <w:spacing w:line="240" w:lineRule="auto"/>
      <w:jc w:val="both"/>
      <w:rPr>
        <w:rFonts w:ascii="Times New Roman" w:hAnsi="Times New Roman" w:cs="Times New Roman"/>
        <w:b w:val="0"/>
        <w:sz w:val="16"/>
        <w:szCs w:val="16"/>
      </w:rPr>
    </w:pPr>
    <w:r w:rsidRPr="004A6CA2">
      <w:rPr>
        <w:rFonts w:ascii="Times New Roman" w:hAnsi="Times New Roman" w:cs="Times New Roman"/>
        <w:b w:val="0"/>
        <w:sz w:val="16"/>
        <w:szCs w:val="16"/>
      </w:rPr>
      <w:t>Demandantes:</w:t>
    </w:r>
    <w:r>
      <w:rPr>
        <w:rFonts w:ascii="Times New Roman" w:hAnsi="Times New Roman" w:cs="Times New Roman"/>
        <w:b w:val="0"/>
        <w:sz w:val="16"/>
        <w:szCs w:val="16"/>
      </w:rPr>
      <w:t xml:space="preserve"> </w:t>
    </w:r>
    <w:r w:rsidR="00702DCF">
      <w:rPr>
        <w:rFonts w:ascii="Times New Roman" w:hAnsi="Times New Roman" w:cs="Times New Roman"/>
        <w:b w:val="0"/>
        <w:sz w:val="16"/>
        <w:szCs w:val="16"/>
      </w:rPr>
      <w:t xml:space="preserve">María Ligia Serna de Ospina </w:t>
    </w:r>
    <w:r>
      <w:rPr>
        <w:rFonts w:ascii="Times New Roman" w:hAnsi="Times New Roman" w:cs="Times New Roman"/>
        <w:b w:val="0"/>
        <w:sz w:val="16"/>
        <w:szCs w:val="16"/>
      </w:rPr>
      <w:t xml:space="preserve"> </w:t>
    </w:r>
  </w:p>
  <w:p w:rsidR="00B20843" w:rsidRPr="004A6CA2" w:rsidRDefault="00B20843" w:rsidP="004A6CA2">
    <w:pPr>
      <w:pStyle w:val="Titre"/>
      <w:spacing w:line="240" w:lineRule="auto"/>
      <w:ind w:left="708" w:hanging="708"/>
      <w:jc w:val="both"/>
      <w:rPr>
        <w:rFonts w:ascii="Times New Roman" w:hAnsi="Times New Roman" w:cs="Times New Roman"/>
        <w:b w:val="0"/>
        <w:sz w:val="16"/>
        <w:szCs w:val="16"/>
      </w:rPr>
    </w:pPr>
    <w:r w:rsidRPr="004A6CA2">
      <w:rPr>
        <w:rFonts w:ascii="Times New Roman" w:hAnsi="Times New Roman" w:cs="Times New Roman"/>
        <w:b w:val="0"/>
        <w:sz w:val="16"/>
        <w:szCs w:val="16"/>
      </w:rPr>
      <w:t>Demandado:</w:t>
    </w:r>
    <w:r>
      <w:rPr>
        <w:rFonts w:ascii="Times New Roman" w:hAnsi="Times New Roman" w:cs="Times New Roman"/>
        <w:b w:val="0"/>
        <w:sz w:val="16"/>
        <w:szCs w:val="16"/>
      </w:rPr>
      <w:t xml:space="preserve"> </w:t>
    </w:r>
    <w:r w:rsidRPr="004A6CA2">
      <w:rPr>
        <w:rFonts w:ascii="Times New Roman" w:hAnsi="Times New Roman" w:cs="Times New Roman"/>
        <w:b w:val="0"/>
        <w:sz w:val="16"/>
        <w:szCs w:val="16"/>
      </w:rPr>
      <w:t xml:space="preserve">Colpensiones  </w:t>
    </w:r>
  </w:p>
  <w:p w:rsidR="00B20843" w:rsidRPr="00480896" w:rsidRDefault="00B20843" w:rsidP="00480896">
    <w:pPr>
      <w:pStyle w:val="Titre"/>
      <w:spacing w:line="240" w:lineRule="auto"/>
      <w:ind w:left="708" w:hanging="708"/>
      <w:jc w:val="both"/>
      <w:rPr>
        <w:rFonts w:ascii="Times New Roman" w:hAnsi="Times New Roman" w:cs="Times New Roman"/>
        <w:b w:val="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B7A59"/>
    <w:multiLevelType w:val="multilevel"/>
    <w:tmpl w:val="E5684C70"/>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nsid w:val="20CE4727"/>
    <w:multiLevelType w:val="hybridMultilevel"/>
    <w:tmpl w:val="7F3ECCEC"/>
    <w:lvl w:ilvl="0" w:tplc="622CAE9E">
      <w:start w:val="4"/>
      <w:numFmt w:val="bullet"/>
      <w:lvlText w:val="-"/>
      <w:lvlJc w:val="left"/>
      <w:pPr>
        <w:ind w:left="720" w:hanging="360"/>
      </w:pPr>
      <w:rPr>
        <w:rFonts w:ascii="Tahoma" w:eastAsiaTheme="minorHAnsi" w:hAnsi="Tahoma" w:cs="Tahoma"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2420212"/>
    <w:multiLevelType w:val="multilevel"/>
    <w:tmpl w:val="1F904D96"/>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665"/>
    <w:rsid w:val="00003960"/>
    <w:rsid w:val="00017838"/>
    <w:rsid w:val="000224F2"/>
    <w:rsid w:val="00022AEA"/>
    <w:rsid w:val="00025E17"/>
    <w:rsid w:val="00034FE3"/>
    <w:rsid w:val="00057B0B"/>
    <w:rsid w:val="00060436"/>
    <w:rsid w:val="000606CC"/>
    <w:rsid w:val="000622EF"/>
    <w:rsid w:val="00074E8C"/>
    <w:rsid w:val="00075FAF"/>
    <w:rsid w:val="00080145"/>
    <w:rsid w:val="00080E56"/>
    <w:rsid w:val="000A18CA"/>
    <w:rsid w:val="0010278F"/>
    <w:rsid w:val="00105493"/>
    <w:rsid w:val="00106257"/>
    <w:rsid w:val="001250D7"/>
    <w:rsid w:val="00127A91"/>
    <w:rsid w:val="00141D03"/>
    <w:rsid w:val="00155398"/>
    <w:rsid w:val="0016363D"/>
    <w:rsid w:val="001B2F71"/>
    <w:rsid w:val="001E287A"/>
    <w:rsid w:val="001E71E0"/>
    <w:rsid w:val="001E79CD"/>
    <w:rsid w:val="001E7D67"/>
    <w:rsid w:val="001F4FC5"/>
    <w:rsid w:val="0020383E"/>
    <w:rsid w:val="002110D4"/>
    <w:rsid w:val="00211A5F"/>
    <w:rsid w:val="00212051"/>
    <w:rsid w:val="00212A7E"/>
    <w:rsid w:val="00222937"/>
    <w:rsid w:val="0023798C"/>
    <w:rsid w:val="00271868"/>
    <w:rsid w:val="00274D7C"/>
    <w:rsid w:val="00276B24"/>
    <w:rsid w:val="0028672C"/>
    <w:rsid w:val="002926BB"/>
    <w:rsid w:val="00295F6A"/>
    <w:rsid w:val="002A10EF"/>
    <w:rsid w:val="002A6BDA"/>
    <w:rsid w:val="002A7962"/>
    <w:rsid w:val="002D2C95"/>
    <w:rsid w:val="002D54F6"/>
    <w:rsid w:val="002E0EBC"/>
    <w:rsid w:val="002F2112"/>
    <w:rsid w:val="00306E24"/>
    <w:rsid w:val="00307758"/>
    <w:rsid w:val="00343DFC"/>
    <w:rsid w:val="00343E6F"/>
    <w:rsid w:val="003510A5"/>
    <w:rsid w:val="0035456B"/>
    <w:rsid w:val="00361575"/>
    <w:rsid w:val="0036244D"/>
    <w:rsid w:val="00371FFB"/>
    <w:rsid w:val="003750AA"/>
    <w:rsid w:val="00381B9C"/>
    <w:rsid w:val="00382175"/>
    <w:rsid w:val="00386188"/>
    <w:rsid w:val="00395D61"/>
    <w:rsid w:val="003A3E8D"/>
    <w:rsid w:val="003B35F8"/>
    <w:rsid w:val="003B3D13"/>
    <w:rsid w:val="003B47EA"/>
    <w:rsid w:val="003E491B"/>
    <w:rsid w:val="003F5689"/>
    <w:rsid w:val="00403B7A"/>
    <w:rsid w:val="0041147A"/>
    <w:rsid w:val="00412E5B"/>
    <w:rsid w:val="0041486F"/>
    <w:rsid w:val="00414DE2"/>
    <w:rsid w:val="00415346"/>
    <w:rsid w:val="00420A4B"/>
    <w:rsid w:val="004255EA"/>
    <w:rsid w:val="00436F1F"/>
    <w:rsid w:val="00443FE7"/>
    <w:rsid w:val="004447F5"/>
    <w:rsid w:val="00474D67"/>
    <w:rsid w:val="00480896"/>
    <w:rsid w:val="004A177D"/>
    <w:rsid w:val="004A6747"/>
    <w:rsid w:val="004A6CA2"/>
    <w:rsid w:val="004C362C"/>
    <w:rsid w:val="004C66E0"/>
    <w:rsid w:val="004C72F3"/>
    <w:rsid w:val="004D0735"/>
    <w:rsid w:val="004E4E43"/>
    <w:rsid w:val="004F4A7B"/>
    <w:rsid w:val="00501B88"/>
    <w:rsid w:val="00517916"/>
    <w:rsid w:val="005273C2"/>
    <w:rsid w:val="005318DD"/>
    <w:rsid w:val="005542A4"/>
    <w:rsid w:val="0056444E"/>
    <w:rsid w:val="0057194E"/>
    <w:rsid w:val="005724C1"/>
    <w:rsid w:val="00577F06"/>
    <w:rsid w:val="00581FD6"/>
    <w:rsid w:val="0058462F"/>
    <w:rsid w:val="0059063E"/>
    <w:rsid w:val="0059295C"/>
    <w:rsid w:val="005942AE"/>
    <w:rsid w:val="00597BAC"/>
    <w:rsid w:val="005A59B9"/>
    <w:rsid w:val="005D0964"/>
    <w:rsid w:val="005E7035"/>
    <w:rsid w:val="005F0E90"/>
    <w:rsid w:val="005F6521"/>
    <w:rsid w:val="005F6A03"/>
    <w:rsid w:val="006028E5"/>
    <w:rsid w:val="006036A6"/>
    <w:rsid w:val="00620EBE"/>
    <w:rsid w:val="00646D41"/>
    <w:rsid w:val="00655FAC"/>
    <w:rsid w:val="006704E9"/>
    <w:rsid w:val="00683396"/>
    <w:rsid w:val="006C2DA8"/>
    <w:rsid w:val="006D5A9B"/>
    <w:rsid w:val="006E190A"/>
    <w:rsid w:val="006E4D61"/>
    <w:rsid w:val="00702DCF"/>
    <w:rsid w:val="007062F1"/>
    <w:rsid w:val="007162F8"/>
    <w:rsid w:val="0072543C"/>
    <w:rsid w:val="00725F97"/>
    <w:rsid w:val="00727652"/>
    <w:rsid w:val="00743168"/>
    <w:rsid w:val="0075556D"/>
    <w:rsid w:val="00756A9C"/>
    <w:rsid w:val="00774121"/>
    <w:rsid w:val="007A25CC"/>
    <w:rsid w:val="007B3B93"/>
    <w:rsid w:val="007D04C8"/>
    <w:rsid w:val="007E2E93"/>
    <w:rsid w:val="007E55A5"/>
    <w:rsid w:val="007E72ED"/>
    <w:rsid w:val="008050A8"/>
    <w:rsid w:val="0081100E"/>
    <w:rsid w:val="00811FC8"/>
    <w:rsid w:val="0081346C"/>
    <w:rsid w:val="0081583E"/>
    <w:rsid w:val="00832CF6"/>
    <w:rsid w:val="008354D6"/>
    <w:rsid w:val="0084096A"/>
    <w:rsid w:val="0084231A"/>
    <w:rsid w:val="008519E1"/>
    <w:rsid w:val="00860414"/>
    <w:rsid w:val="008757B5"/>
    <w:rsid w:val="008779AE"/>
    <w:rsid w:val="00881F69"/>
    <w:rsid w:val="00884778"/>
    <w:rsid w:val="008862EE"/>
    <w:rsid w:val="00897D6E"/>
    <w:rsid w:val="008B577B"/>
    <w:rsid w:val="008B6A48"/>
    <w:rsid w:val="008B7665"/>
    <w:rsid w:val="008C7E33"/>
    <w:rsid w:val="008D7A3C"/>
    <w:rsid w:val="008E1A25"/>
    <w:rsid w:val="008E316E"/>
    <w:rsid w:val="008F5E43"/>
    <w:rsid w:val="009118E0"/>
    <w:rsid w:val="009241B2"/>
    <w:rsid w:val="00924E87"/>
    <w:rsid w:val="00934D50"/>
    <w:rsid w:val="00967694"/>
    <w:rsid w:val="00976160"/>
    <w:rsid w:val="00991C48"/>
    <w:rsid w:val="00996E7B"/>
    <w:rsid w:val="009A0B27"/>
    <w:rsid w:val="009A1027"/>
    <w:rsid w:val="009A3646"/>
    <w:rsid w:val="009B686A"/>
    <w:rsid w:val="009B6F38"/>
    <w:rsid w:val="009D5816"/>
    <w:rsid w:val="009F3CEB"/>
    <w:rsid w:val="009F4AE6"/>
    <w:rsid w:val="009F7FFA"/>
    <w:rsid w:val="00A02C82"/>
    <w:rsid w:val="00A073C6"/>
    <w:rsid w:val="00A143F4"/>
    <w:rsid w:val="00A14521"/>
    <w:rsid w:val="00A25950"/>
    <w:rsid w:val="00A260C2"/>
    <w:rsid w:val="00A27639"/>
    <w:rsid w:val="00A27AF3"/>
    <w:rsid w:val="00A3224E"/>
    <w:rsid w:val="00A32E7E"/>
    <w:rsid w:val="00A36202"/>
    <w:rsid w:val="00A51E5C"/>
    <w:rsid w:val="00A54E51"/>
    <w:rsid w:val="00A64CF4"/>
    <w:rsid w:val="00A740F1"/>
    <w:rsid w:val="00A756FE"/>
    <w:rsid w:val="00A9088B"/>
    <w:rsid w:val="00A97020"/>
    <w:rsid w:val="00AD15CD"/>
    <w:rsid w:val="00AD5181"/>
    <w:rsid w:val="00AE307B"/>
    <w:rsid w:val="00AE67A8"/>
    <w:rsid w:val="00B02E8E"/>
    <w:rsid w:val="00B20843"/>
    <w:rsid w:val="00B223E1"/>
    <w:rsid w:val="00B44B42"/>
    <w:rsid w:val="00B45800"/>
    <w:rsid w:val="00B5378D"/>
    <w:rsid w:val="00B55A47"/>
    <w:rsid w:val="00B56BEF"/>
    <w:rsid w:val="00B6315C"/>
    <w:rsid w:val="00B64302"/>
    <w:rsid w:val="00B66198"/>
    <w:rsid w:val="00B727F7"/>
    <w:rsid w:val="00B85D72"/>
    <w:rsid w:val="00B9542F"/>
    <w:rsid w:val="00B97C62"/>
    <w:rsid w:val="00BA4E75"/>
    <w:rsid w:val="00BB0A57"/>
    <w:rsid w:val="00BB1DB6"/>
    <w:rsid w:val="00BD7223"/>
    <w:rsid w:val="00BF4F59"/>
    <w:rsid w:val="00C001B2"/>
    <w:rsid w:val="00C00C16"/>
    <w:rsid w:val="00C07CB3"/>
    <w:rsid w:val="00C12964"/>
    <w:rsid w:val="00C32225"/>
    <w:rsid w:val="00C41D5F"/>
    <w:rsid w:val="00C523B8"/>
    <w:rsid w:val="00C5659C"/>
    <w:rsid w:val="00C56958"/>
    <w:rsid w:val="00C57505"/>
    <w:rsid w:val="00C62EF8"/>
    <w:rsid w:val="00C727C9"/>
    <w:rsid w:val="00C9084E"/>
    <w:rsid w:val="00CB4379"/>
    <w:rsid w:val="00CB615C"/>
    <w:rsid w:val="00CC44B7"/>
    <w:rsid w:val="00CF5190"/>
    <w:rsid w:val="00D02BA1"/>
    <w:rsid w:val="00D164FA"/>
    <w:rsid w:val="00D417D3"/>
    <w:rsid w:val="00D469B9"/>
    <w:rsid w:val="00D61ED2"/>
    <w:rsid w:val="00D64432"/>
    <w:rsid w:val="00D70FAC"/>
    <w:rsid w:val="00D8147F"/>
    <w:rsid w:val="00D9652A"/>
    <w:rsid w:val="00DA227A"/>
    <w:rsid w:val="00DB1C00"/>
    <w:rsid w:val="00DB1EBE"/>
    <w:rsid w:val="00DB594E"/>
    <w:rsid w:val="00E204EA"/>
    <w:rsid w:val="00E47305"/>
    <w:rsid w:val="00E47FAC"/>
    <w:rsid w:val="00E54AF1"/>
    <w:rsid w:val="00E923BA"/>
    <w:rsid w:val="00EA50CD"/>
    <w:rsid w:val="00EC3C2C"/>
    <w:rsid w:val="00EC7F8D"/>
    <w:rsid w:val="00ED0266"/>
    <w:rsid w:val="00ED316D"/>
    <w:rsid w:val="00ED6F5B"/>
    <w:rsid w:val="00EE586E"/>
    <w:rsid w:val="00F02CEE"/>
    <w:rsid w:val="00F056ED"/>
    <w:rsid w:val="00F21123"/>
    <w:rsid w:val="00F35181"/>
    <w:rsid w:val="00F35B38"/>
    <w:rsid w:val="00F42050"/>
    <w:rsid w:val="00F47491"/>
    <w:rsid w:val="00F75E3A"/>
    <w:rsid w:val="00F83DA1"/>
    <w:rsid w:val="00F846A4"/>
    <w:rsid w:val="00F91A22"/>
    <w:rsid w:val="00F93822"/>
    <w:rsid w:val="00F9456C"/>
    <w:rsid w:val="00FA3A67"/>
    <w:rsid w:val="00FA4FEA"/>
    <w:rsid w:val="00FA7E4D"/>
    <w:rsid w:val="00FB0177"/>
    <w:rsid w:val="00FB1EDA"/>
    <w:rsid w:val="00FD2724"/>
    <w:rsid w:val="00FD5BC2"/>
    <w:rsid w:val="00FE04B8"/>
    <w:rsid w:val="00FE1FA5"/>
    <w:rsid w:val="00FE3427"/>
    <w:rsid w:val="00FE769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665"/>
    <w:pPr>
      <w:spacing w:after="0" w:line="240" w:lineRule="auto"/>
    </w:pPr>
    <w:rPr>
      <w:rFonts w:ascii="Times New Roman" w:eastAsia="Times New Roman" w:hAnsi="Times New Roman" w:cs="Times New Roman"/>
      <w:sz w:val="24"/>
      <w:szCs w:val="24"/>
      <w:lang w:val="es-ES" w:eastAsia="es-ES"/>
    </w:rPr>
  </w:style>
  <w:style w:type="paragraph" w:styleId="Titre3">
    <w:name w:val="heading 3"/>
    <w:basedOn w:val="Normal"/>
    <w:next w:val="Normal"/>
    <w:link w:val="Titre3Car"/>
    <w:qFormat/>
    <w:rsid w:val="008B7665"/>
    <w:pPr>
      <w:keepNext/>
      <w:spacing w:before="240" w:after="60"/>
      <w:outlineLvl w:val="2"/>
    </w:pPr>
    <w:rPr>
      <w:rFonts w:ascii="Arial" w:hAnsi="Arial" w:cs="Arial"/>
      <w:b/>
      <w:bCs/>
      <w:sz w:val="26"/>
      <w:szCs w:val="26"/>
    </w:rPr>
  </w:style>
  <w:style w:type="paragraph" w:styleId="Titre4">
    <w:name w:val="heading 4"/>
    <w:basedOn w:val="Normal"/>
    <w:next w:val="Normal"/>
    <w:link w:val="Titre4Car"/>
    <w:qFormat/>
    <w:rsid w:val="008B7665"/>
    <w:pPr>
      <w:keepNext/>
      <w:tabs>
        <w:tab w:val="left" w:pos="0"/>
      </w:tabs>
      <w:overflowPunct w:val="0"/>
      <w:autoSpaceDE w:val="0"/>
      <w:autoSpaceDN w:val="0"/>
      <w:adjustRightInd w:val="0"/>
      <w:jc w:val="center"/>
      <w:textAlignment w:val="baseline"/>
      <w:outlineLvl w:val="3"/>
    </w:pPr>
    <w:rPr>
      <w:b/>
      <w:szCs w:val="20"/>
    </w:rPr>
  </w:style>
  <w:style w:type="paragraph" w:styleId="Titre5">
    <w:name w:val="heading 5"/>
    <w:basedOn w:val="Normal"/>
    <w:next w:val="Normal"/>
    <w:link w:val="Titre5Car"/>
    <w:qFormat/>
    <w:rsid w:val="008B7665"/>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8B7665"/>
    <w:rPr>
      <w:rFonts w:ascii="Arial" w:eastAsia="Times New Roman" w:hAnsi="Arial" w:cs="Arial"/>
      <w:b/>
      <w:bCs/>
      <w:sz w:val="26"/>
      <w:szCs w:val="26"/>
      <w:lang w:val="es-ES" w:eastAsia="es-ES"/>
    </w:rPr>
  </w:style>
  <w:style w:type="character" w:customStyle="1" w:styleId="Titre4Car">
    <w:name w:val="Titre 4 Car"/>
    <w:basedOn w:val="Policepardfaut"/>
    <w:link w:val="Titre4"/>
    <w:rsid w:val="008B7665"/>
    <w:rPr>
      <w:rFonts w:ascii="Times New Roman" w:eastAsia="Times New Roman" w:hAnsi="Times New Roman" w:cs="Times New Roman"/>
      <w:b/>
      <w:sz w:val="24"/>
      <w:szCs w:val="20"/>
      <w:lang w:val="es-ES" w:eastAsia="es-ES"/>
    </w:rPr>
  </w:style>
  <w:style w:type="character" w:customStyle="1" w:styleId="Titre5Car">
    <w:name w:val="Titre 5 Car"/>
    <w:basedOn w:val="Policepardfaut"/>
    <w:link w:val="Titre5"/>
    <w:rsid w:val="008B7665"/>
    <w:rPr>
      <w:rFonts w:ascii="Arial" w:eastAsia="Times New Roman" w:hAnsi="Arial" w:cs="Arial"/>
      <w:b/>
      <w:bCs/>
      <w:sz w:val="24"/>
      <w:szCs w:val="24"/>
      <w:lang w:val="es-ES" w:eastAsia="es-ES"/>
    </w:rPr>
  </w:style>
  <w:style w:type="paragraph" w:styleId="Titre">
    <w:name w:val="Title"/>
    <w:basedOn w:val="Normal"/>
    <w:link w:val="TitreCar"/>
    <w:qFormat/>
    <w:rsid w:val="008B7665"/>
    <w:pPr>
      <w:widowControl w:val="0"/>
      <w:autoSpaceDE w:val="0"/>
      <w:autoSpaceDN w:val="0"/>
      <w:adjustRightInd w:val="0"/>
      <w:spacing w:line="360" w:lineRule="auto"/>
      <w:jc w:val="center"/>
    </w:pPr>
    <w:rPr>
      <w:rFonts w:ascii="Arial" w:hAnsi="Arial" w:cs="Arial"/>
      <w:b/>
    </w:rPr>
  </w:style>
  <w:style w:type="character" w:customStyle="1" w:styleId="TitreCar">
    <w:name w:val="Titre Car"/>
    <w:basedOn w:val="Policepardfaut"/>
    <w:link w:val="Titre"/>
    <w:rsid w:val="008B7665"/>
    <w:rPr>
      <w:rFonts w:ascii="Arial" w:eastAsia="Times New Roman" w:hAnsi="Arial" w:cs="Arial"/>
      <w:b/>
      <w:sz w:val="24"/>
      <w:szCs w:val="24"/>
      <w:lang w:val="es-ES" w:eastAsia="es-ES"/>
    </w:rPr>
  </w:style>
  <w:style w:type="paragraph" w:styleId="Retraitcorpsdetexte">
    <w:name w:val="Body Text Indent"/>
    <w:basedOn w:val="Normal"/>
    <w:link w:val="RetraitcorpsdetexteCar"/>
    <w:rsid w:val="008B7665"/>
    <w:pPr>
      <w:widowControl w:val="0"/>
      <w:autoSpaceDE w:val="0"/>
      <w:autoSpaceDN w:val="0"/>
      <w:adjustRightInd w:val="0"/>
      <w:spacing w:line="360" w:lineRule="auto"/>
      <w:ind w:firstLine="708"/>
      <w:jc w:val="both"/>
    </w:pPr>
    <w:rPr>
      <w:rFonts w:ascii="Tahoma" w:hAnsi="Tahoma" w:cs="Tahoma"/>
    </w:rPr>
  </w:style>
  <w:style w:type="character" w:customStyle="1" w:styleId="RetraitcorpsdetexteCar">
    <w:name w:val="Retrait corps de texte Car"/>
    <w:basedOn w:val="Policepardfaut"/>
    <w:link w:val="Retraitcorpsdetexte"/>
    <w:rsid w:val="008B7665"/>
    <w:rPr>
      <w:rFonts w:ascii="Tahoma" w:eastAsia="Times New Roman" w:hAnsi="Tahoma" w:cs="Tahoma"/>
      <w:sz w:val="24"/>
      <w:szCs w:val="24"/>
      <w:lang w:val="es-ES" w:eastAsia="es-ES"/>
    </w:rPr>
  </w:style>
  <w:style w:type="paragraph" w:styleId="Paragraphedeliste">
    <w:name w:val="List Paragraph"/>
    <w:basedOn w:val="Normal"/>
    <w:uiPriority w:val="34"/>
    <w:qFormat/>
    <w:rsid w:val="008B7665"/>
    <w:pPr>
      <w:ind w:left="720"/>
      <w:contextualSpacing/>
    </w:pPr>
  </w:style>
  <w:style w:type="paragraph" w:customStyle="1" w:styleId="Textoindependiente21">
    <w:name w:val="Texto independiente 21"/>
    <w:basedOn w:val="Normal"/>
    <w:link w:val="BodyText2Car1"/>
    <w:uiPriority w:val="99"/>
    <w:rsid w:val="008B7665"/>
    <w:pPr>
      <w:overflowPunct w:val="0"/>
      <w:autoSpaceDE w:val="0"/>
      <w:autoSpaceDN w:val="0"/>
      <w:adjustRightInd w:val="0"/>
      <w:spacing w:line="360" w:lineRule="auto"/>
      <w:ind w:firstLine="709"/>
      <w:jc w:val="both"/>
      <w:textAlignment w:val="baseline"/>
    </w:pPr>
    <w:rPr>
      <w:rFonts w:ascii="Arial Narrow" w:hAnsi="Arial Narrow" w:cs="Arial Narrow"/>
      <w:sz w:val="30"/>
      <w:szCs w:val="30"/>
      <w:lang w:val="es-CO"/>
    </w:rPr>
  </w:style>
  <w:style w:type="character" w:customStyle="1" w:styleId="BodyText2Car1">
    <w:name w:val="Body Text 2 Car1"/>
    <w:link w:val="Textoindependiente21"/>
    <w:uiPriority w:val="99"/>
    <w:locked/>
    <w:rsid w:val="008B7665"/>
    <w:rPr>
      <w:rFonts w:ascii="Arial Narrow" w:eastAsia="Times New Roman" w:hAnsi="Arial Narrow" w:cs="Arial Narrow"/>
      <w:sz w:val="30"/>
      <w:szCs w:val="30"/>
      <w:lang w:eastAsia="es-ES"/>
    </w:rPr>
  </w:style>
  <w:style w:type="paragraph" w:styleId="En-tte">
    <w:name w:val="header"/>
    <w:basedOn w:val="Normal"/>
    <w:link w:val="En-tteCar"/>
    <w:uiPriority w:val="99"/>
    <w:unhideWhenUsed/>
    <w:rsid w:val="00080145"/>
    <w:pPr>
      <w:tabs>
        <w:tab w:val="center" w:pos="4252"/>
        <w:tab w:val="right" w:pos="8504"/>
      </w:tabs>
    </w:pPr>
  </w:style>
  <w:style w:type="character" w:customStyle="1" w:styleId="En-tteCar">
    <w:name w:val="En-tête Car"/>
    <w:basedOn w:val="Policepardfaut"/>
    <w:link w:val="En-tte"/>
    <w:uiPriority w:val="99"/>
    <w:rsid w:val="00080145"/>
    <w:rPr>
      <w:rFonts w:ascii="Times New Roman" w:eastAsia="Times New Roman" w:hAnsi="Times New Roman" w:cs="Times New Roman"/>
      <w:sz w:val="24"/>
      <w:szCs w:val="24"/>
      <w:lang w:val="es-ES" w:eastAsia="es-ES"/>
    </w:rPr>
  </w:style>
  <w:style w:type="paragraph" w:styleId="Pieddepage">
    <w:name w:val="footer"/>
    <w:basedOn w:val="Normal"/>
    <w:link w:val="PieddepageCar"/>
    <w:uiPriority w:val="99"/>
    <w:unhideWhenUsed/>
    <w:rsid w:val="00080145"/>
    <w:pPr>
      <w:tabs>
        <w:tab w:val="center" w:pos="4252"/>
        <w:tab w:val="right" w:pos="8504"/>
      </w:tabs>
    </w:pPr>
  </w:style>
  <w:style w:type="character" w:customStyle="1" w:styleId="PieddepageCar">
    <w:name w:val="Pied de page Car"/>
    <w:basedOn w:val="Policepardfaut"/>
    <w:link w:val="Pieddepage"/>
    <w:uiPriority w:val="99"/>
    <w:rsid w:val="00080145"/>
    <w:rPr>
      <w:rFonts w:ascii="Times New Roman" w:eastAsia="Times New Roman" w:hAnsi="Times New Roman" w:cs="Times New Roman"/>
      <w:sz w:val="24"/>
      <w:szCs w:val="24"/>
      <w:lang w:val="es-ES" w:eastAsia="es-ES"/>
    </w:rPr>
  </w:style>
  <w:style w:type="paragraph" w:styleId="Sansinterligne">
    <w:name w:val="No Spacing"/>
    <w:uiPriority w:val="1"/>
    <w:qFormat/>
    <w:rsid w:val="00BF4F59"/>
    <w:pPr>
      <w:spacing w:after="0" w:line="240" w:lineRule="auto"/>
    </w:pPr>
    <w:rPr>
      <w:rFonts w:ascii="Times New Roman" w:eastAsia="Times New Roman" w:hAnsi="Times New Roman" w:cs="Times New Roman"/>
      <w:sz w:val="24"/>
      <w:szCs w:val="24"/>
      <w:lang w:val="es-ES" w:eastAsia="es-ES"/>
    </w:rPr>
  </w:style>
  <w:style w:type="character" w:styleId="Appelnotedebasdep">
    <w:name w:val="footnote reference"/>
    <w:rsid w:val="00BF4F59"/>
    <w:rPr>
      <w:vertAlign w:val="superscript"/>
    </w:rPr>
  </w:style>
  <w:style w:type="paragraph" w:styleId="Notedebasdepage">
    <w:name w:val="footnote text"/>
    <w:basedOn w:val="Normal"/>
    <w:link w:val="NotedebasdepageCar"/>
    <w:rsid w:val="00BF4F59"/>
    <w:rPr>
      <w:sz w:val="20"/>
      <w:szCs w:val="20"/>
    </w:rPr>
  </w:style>
  <w:style w:type="character" w:customStyle="1" w:styleId="NotedebasdepageCar">
    <w:name w:val="Note de bas de page Car"/>
    <w:basedOn w:val="Policepardfaut"/>
    <w:link w:val="Notedebasdepage"/>
    <w:rsid w:val="00BF4F59"/>
    <w:rPr>
      <w:rFonts w:ascii="Times New Roman" w:eastAsia="Times New Roman" w:hAnsi="Times New Roman" w:cs="Times New Roman"/>
      <w:sz w:val="20"/>
      <w:szCs w:val="20"/>
      <w:lang w:val="es-ES" w:eastAsia="es-ES"/>
    </w:rPr>
  </w:style>
  <w:style w:type="paragraph" w:styleId="Corpsdetexte">
    <w:name w:val="Body Text"/>
    <w:basedOn w:val="Normal"/>
    <w:link w:val="CorpsdetexteCar"/>
    <w:rsid w:val="00BF4F59"/>
    <w:pPr>
      <w:spacing w:after="120"/>
    </w:pPr>
  </w:style>
  <w:style w:type="character" w:customStyle="1" w:styleId="CorpsdetexteCar">
    <w:name w:val="Corps de texte Car"/>
    <w:basedOn w:val="Policepardfaut"/>
    <w:link w:val="Corpsdetexte"/>
    <w:rsid w:val="00BF4F59"/>
    <w:rPr>
      <w:rFonts w:ascii="Times New Roman" w:eastAsia="Times New Roman" w:hAnsi="Times New Roman" w:cs="Times New Roman"/>
      <w:sz w:val="24"/>
      <w:szCs w:val="24"/>
      <w:lang w:val="es-ES" w:eastAsia="es-ES"/>
    </w:rPr>
  </w:style>
  <w:style w:type="table" w:styleId="Grilledutableau">
    <w:name w:val="Table Grid"/>
    <w:basedOn w:val="TableauNormal"/>
    <w:uiPriority w:val="39"/>
    <w:rsid w:val="003E49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3E491B"/>
    <w:rPr>
      <w:rFonts w:ascii="Segoe UI" w:hAnsi="Segoe UI" w:cs="Segoe UI"/>
      <w:sz w:val="18"/>
      <w:szCs w:val="18"/>
    </w:rPr>
  </w:style>
  <w:style w:type="character" w:customStyle="1" w:styleId="TextedebullesCar">
    <w:name w:val="Texte de bulles Car"/>
    <w:basedOn w:val="Policepardfaut"/>
    <w:link w:val="Textedebulles"/>
    <w:uiPriority w:val="99"/>
    <w:semiHidden/>
    <w:rsid w:val="003E491B"/>
    <w:rPr>
      <w:rFonts w:ascii="Segoe UI" w:eastAsia="Times New Roman" w:hAnsi="Segoe UI" w:cs="Segoe UI"/>
      <w:sz w:val="18"/>
      <w:szCs w:val="1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665"/>
    <w:pPr>
      <w:spacing w:after="0" w:line="240" w:lineRule="auto"/>
    </w:pPr>
    <w:rPr>
      <w:rFonts w:ascii="Times New Roman" w:eastAsia="Times New Roman" w:hAnsi="Times New Roman" w:cs="Times New Roman"/>
      <w:sz w:val="24"/>
      <w:szCs w:val="24"/>
      <w:lang w:val="es-ES" w:eastAsia="es-ES"/>
    </w:rPr>
  </w:style>
  <w:style w:type="paragraph" w:styleId="Titre3">
    <w:name w:val="heading 3"/>
    <w:basedOn w:val="Normal"/>
    <w:next w:val="Normal"/>
    <w:link w:val="Titre3Car"/>
    <w:qFormat/>
    <w:rsid w:val="008B7665"/>
    <w:pPr>
      <w:keepNext/>
      <w:spacing w:before="240" w:after="60"/>
      <w:outlineLvl w:val="2"/>
    </w:pPr>
    <w:rPr>
      <w:rFonts w:ascii="Arial" w:hAnsi="Arial" w:cs="Arial"/>
      <w:b/>
      <w:bCs/>
      <w:sz w:val="26"/>
      <w:szCs w:val="26"/>
    </w:rPr>
  </w:style>
  <w:style w:type="paragraph" w:styleId="Titre4">
    <w:name w:val="heading 4"/>
    <w:basedOn w:val="Normal"/>
    <w:next w:val="Normal"/>
    <w:link w:val="Titre4Car"/>
    <w:qFormat/>
    <w:rsid w:val="008B7665"/>
    <w:pPr>
      <w:keepNext/>
      <w:tabs>
        <w:tab w:val="left" w:pos="0"/>
      </w:tabs>
      <w:overflowPunct w:val="0"/>
      <w:autoSpaceDE w:val="0"/>
      <w:autoSpaceDN w:val="0"/>
      <w:adjustRightInd w:val="0"/>
      <w:jc w:val="center"/>
      <w:textAlignment w:val="baseline"/>
      <w:outlineLvl w:val="3"/>
    </w:pPr>
    <w:rPr>
      <w:b/>
      <w:szCs w:val="20"/>
    </w:rPr>
  </w:style>
  <w:style w:type="paragraph" w:styleId="Titre5">
    <w:name w:val="heading 5"/>
    <w:basedOn w:val="Normal"/>
    <w:next w:val="Normal"/>
    <w:link w:val="Titre5Car"/>
    <w:qFormat/>
    <w:rsid w:val="008B7665"/>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8B7665"/>
    <w:rPr>
      <w:rFonts w:ascii="Arial" w:eastAsia="Times New Roman" w:hAnsi="Arial" w:cs="Arial"/>
      <w:b/>
      <w:bCs/>
      <w:sz w:val="26"/>
      <w:szCs w:val="26"/>
      <w:lang w:val="es-ES" w:eastAsia="es-ES"/>
    </w:rPr>
  </w:style>
  <w:style w:type="character" w:customStyle="1" w:styleId="Titre4Car">
    <w:name w:val="Titre 4 Car"/>
    <w:basedOn w:val="Policepardfaut"/>
    <w:link w:val="Titre4"/>
    <w:rsid w:val="008B7665"/>
    <w:rPr>
      <w:rFonts w:ascii="Times New Roman" w:eastAsia="Times New Roman" w:hAnsi="Times New Roman" w:cs="Times New Roman"/>
      <w:b/>
      <w:sz w:val="24"/>
      <w:szCs w:val="20"/>
      <w:lang w:val="es-ES" w:eastAsia="es-ES"/>
    </w:rPr>
  </w:style>
  <w:style w:type="character" w:customStyle="1" w:styleId="Titre5Car">
    <w:name w:val="Titre 5 Car"/>
    <w:basedOn w:val="Policepardfaut"/>
    <w:link w:val="Titre5"/>
    <w:rsid w:val="008B7665"/>
    <w:rPr>
      <w:rFonts w:ascii="Arial" w:eastAsia="Times New Roman" w:hAnsi="Arial" w:cs="Arial"/>
      <w:b/>
      <w:bCs/>
      <w:sz w:val="24"/>
      <w:szCs w:val="24"/>
      <w:lang w:val="es-ES" w:eastAsia="es-ES"/>
    </w:rPr>
  </w:style>
  <w:style w:type="paragraph" w:styleId="Titre">
    <w:name w:val="Title"/>
    <w:basedOn w:val="Normal"/>
    <w:link w:val="TitreCar"/>
    <w:qFormat/>
    <w:rsid w:val="008B7665"/>
    <w:pPr>
      <w:widowControl w:val="0"/>
      <w:autoSpaceDE w:val="0"/>
      <w:autoSpaceDN w:val="0"/>
      <w:adjustRightInd w:val="0"/>
      <w:spacing w:line="360" w:lineRule="auto"/>
      <w:jc w:val="center"/>
    </w:pPr>
    <w:rPr>
      <w:rFonts w:ascii="Arial" w:hAnsi="Arial" w:cs="Arial"/>
      <w:b/>
    </w:rPr>
  </w:style>
  <w:style w:type="character" w:customStyle="1" w:styleId="TitreCar">
    <w:name w:val="Titre Car"/>
    <w:basedOn w:val="Policepardfaut"/>
    <w:link w:val="Titre"/>
    <w:rsid w:val="008B7665"/>
    <w:rPr>
      <w:rFonts w:ascii="Arial" w:eastAsia="Times New Roman" w:hAnsi="Arial" w:cs="Arial"/>
      <w:b/>
      <w:sz w:val="24"/>
      <w:szCs w:val="24"/>
      <w:lang w:val="es-ES" w:eastAsia="es-ES"/>
    </w:rPr>
  </w:style>
  <w:style w:type="paragraph" w:styleId="Retraitcorpsdetexte">
    <w:name w:val="Body Text Indent"/>
    <w:basedOn w:val="Normal"/>
    <w:link w:val="RetraitcorpsdetexteCar"/>
    <w:rsid w:val="008B7665"/>
    <w:pPr>
      <w:widowControl w:val="0"/>
      <w:autoSpaceDE w:val="0"/>
      <w:autoSpaceDN w:val="0"/>
      <w:adjustRightInd w:val="0"/>
      <w:spacing w:line="360" w:lineRule="auto"/>
      <w:ind w:firstLine="708"/>
      <w:jc w:val="both"/>
    </w:pPr>
    <w:rPr>
      <w:rFonts w:ascii="Tahoma" w:hAnsi="Tahoma" w:cs="Tahoma"/>
    </w:rPr>
  </w:style>
  <w:style w:type="character" w:customStyle="1" w:styleId="RetraitcorpsdetexteCar">
    <w:name w:val="Retrait corps de texte Car"/>
    <w:basedOn w:val="Policepardfaut"/>
    <w:link w:val="Retraitcorpsdetexte"/>
    <w:rsid w:val="008B7665"/>
    <w:rPr>
      <w:rFonts w:ascii="Tahoma" w:eastAsia="Times New Roman" w:hAnsi="Tahoma" w:cs="Tahoma"/>
      <w:sz w:val="24"/>
      <w:szCs w:val="24"/>
      <w:lang w:val="es-ES" w:eastAsia="es-ES"/>
    </w:rPr>
  </w:style>
  <w:style w:type="paragraph" w:styleId="Paragraphedeliste">
    <w:name w:val="List Paragraph"/>
    <w:basedOn w:val="Normal"/>
    <w:uiPriority w:val="34"/>
    <w:qFormat/>
    <w:rsid w:val="008B7665"/>
    <w:pPr>
      <w:ind w:left="720"/>
      <w:contextualSpacing/>
    </w:pPr>
  </w:style>
  <w:style w:type="paragraph" w:customStyle="1" w:styleId="Textoindependiente21">
    <w:name w:val="Texto independiente 21"/>
    <w:basedOn w:val="Normal"/>
    <w:link w:val="BodyText2Car1"/>
    <w:uiPriority w:val="99"/>
    <w:rsid w:val="008B7665"/>
    <w:pPr>
      <w:overflowPunct w:val="0"/>
      <w:autoSpaceDE w:val="0"/>
      <w:autoSpaceDN w:val="0"/>
      <w:adjustRightInd w:val="0"/>
      <w:spacing w:line="360" w:lineRule="auto"/>
      <w:ind w:firstLine="709"/>
      <w:jc w:val="both"/>
      <w:textAlignment w:val="baseline"/>
    </w:pPr>
    <w:rPr>
      <w:rFonts w:ascii="Arial Narrow" w:hAnsi="Arial Narrow" w:cs="Arial Narrow"/>
      <w:sz w:val="30"/>
      <w:szCs w:val="30"/>
      <w:lang w:val="es-CO"/>
    </w:rPr>
  </w:style>
  <w:style w:type="character" w:customStyle="1" w:styleId="BodyText2Car1">
    <w:name w:val="Body Text 2 Car1"/>
    <w:link w:val="Textoindependiente21"/>
    <w:uiPriority w:val="99"/>
    <w:locked/>
    <w:rsid w:val="008B7665"/>
    <w:rPr>
      <w:rFonts w:ascii="Arial Narrow" w:eastAsia="Times New Roman" w:hAnsi="Arial Narrow" w:cs="Arial Narrow"/>
      <w:sz w:val="30"/>
      <w:szCs w:val="30"/>
      <w:lang w:eastAsia="es-ES"/>
    </w:rPr>
  </w:style>
  <w:style w:type="paragraph" w:styleId="En-tte">
    <w:name w:val="header"/>
    <w:basedOn w:val="Normal"/>
    <w:link w:val="En-tteCar"/>
    <w:uiPriority w:val="99"/>
    <w:unhideWhenUsed/>
    <w:rsid w:val="00080145"/>
    <w:pPr>
      <w:tabs>
        <w:tab w:val="center" w:pos="4252"/>
        <w:tab w:val="right" w:pos="8504"/>
      </w:tabs>
    </w:pPr>
  </w:style>
  <w:style w:type="character" w:customStyle="1" w:styleId="En-tteCar">
    <w:name w:val="En-tête Car"/>
    <w:basedOn w:val="Policepardfaut"/>
    <w:link w:val="En-tte"/>
    <w:uiPriority w:val="99"/>
    <w:rsid w:val="00080145"/>
    <w:rPr>
      <w:rFonts w:ascii="Times New Roman" w:eastAsia="Times New Roman" w:hAnsi="Times New Roman" w:cs="Times New Roman"/>
      <w:sz w:val="24"/>
      <w:szCs w:val="24"/>
      <w:lang w:val="es-ES" w:eastAsia="es-ES"/>
    </w:rPr>
  </w:style>
  <w:style w:type="paragraph" w:styleId="Pieddepage">
    <w:name w:val="footer"/>
    <w:basedOn w:val="Normal"/>
    <w:link w:val="PieddepageCar"/>
    <w:uiPriority w:val="99"/>
    <w:unhideWhenUsed/>
    <w:rsid w:val="00080145"/>
    <w:pPr>
      <w:tabs>
        <w:tab w:val="center" w:pos="4252"/>
        <w:tab w:val="right" w:pos="8504"/>
      </w:tabs>
    </w:pPr>
  </w:style>
  <w:style w:type="character" w:customStyle="1" w:styleId="PieddepageCar">
    <w:name w:val="Pied de page Car"/>
    <w:basedOn w:val="Policepardfaut"/>
    <w:link w:val="Pieddepage"/>
    <w:uiPriority w:val="99"/>
    <w:rsid w:val="00080145"/>
    <w:rPr>
      <w:rFonts w:ascii="Times New Roman" w:eastAsia="Times New Roman" w:hAnsi="Times New Roman" w:cs="Times New Roman"/>
      <w:sz w:val="24"/>
      <w:szCs w:val="24"/>
      <w:lang w:val="es-ES" w:eastAsia="es-ES"/>
    </w:rPr>
  </w:style>
  <w:style w:type="paragraph" w:styleId="Sansinterligne">
    <w:name w:val="No Spacing"/>
    <w:uiPriority w:val="1"/>
    <w:qFormat/>
    <w:rsid w:val="00BF4F59"/>
    <w:pPr>
      <w:spacing w:after="0" w:line="240" w:lineRule="auto"/>
    </w:pPr>
    <w:rPr>
      <w:rFonts w:ascii="Times New Roman" w:eastAsia="Times New Roman" w:hAnsi="Times New Roman" w:cs="Times New Roman"/>
      <w:sz w:val="24"/>
      <w:szCs w:val="24"/>
      <w:lang w:val="es-ES" w:eastAsia="es-ES"/>
    </w:rPr>
  </w:style>
  <w:style w:type="character" w:styleId="Appelnotedebasdep">
    <w:name w:val="footnote reference"/>
    <w:rsid w:val="00BF4F59"/>
    <w:rPr>
      <w:vertAlign w:val="superscript"/>
    </w:rPr>
  </w:style>
  <w:style w:type="paragraph" w:styleId="Notedebasdepage">
    <w:name w:val="footnote text"/>
    <w:basedOn w:val="Normal"/>
    <w:link w:val="NotedebasdepageCar"/>
    <w:rsid w:val="00BF4F59"/>
    <w:rPr>
      <w:sz w:val="20"/>
      <w:szCs w:val="20"/>
    </w:rPr>
  </w:style>
  <w:style w:type="character" w:customStyle="1" w:styleId="NotedebasdepageCar">
    <w:name w:val="Note de bas de page Car"/>
    <w:basedOn w:val="Policepardfaut"/>
    <w:link w:val="Notedebasdepage"/>
    <w:rsid w:val="00BF4F59"/>
    <w:rPr>
      <w:rFonts w:ascii="Times New Roman" w:eastAsia="Times New Roman" w:hAnsi="Times New Roman" w:cs="Times New Roman"/>
      <w:sz w:val="20"/>
      <w:szCs w:val="20"/>
      <w:lang w:val="es-ES" w:eastAsia="es-ES"/>
    </w:rPr>
  </w:style>
  <w:style w:type="paragraph" w:styleId="Corpsdetexte">
    <w:name w:val="Body Text"/>
    <w:basedOn w:val="Normal"/>
    <w:link w:val="CorpsdetexteCar"/>
    <w:rsid w:val="00BF4F59"/>
    <w:pPr>
      <w:spacing w:after="120"/>
    </w:pPr>
  </w:style>
  <w:style w:type="character" w:customStyle="1" w:styleId="CorpsdetexteCar">
    <w:name w:val="Corps de texte Car"/>
    <w:basedOn w:val="Policepardfaut"/>
    <w:link w:val="Corpsdetexte"/>
    <w:rsid w:val="00BF4F59"/>
    <w:rPr>
      <w:rFonts w:ascii="Times New Roman" w:eastAsia="Times New Roman" w:hAnsi="Times New Roman" w:cs="Times New Roman"/>
      <w:sz w:val="24"/>
      <w:szCs w:val="24"/>
      <w:lang w:val="es-ES" w:eastAsia="es-ES"/>
    </w:rPr>
  </w:style>
  <w:style w:type="table" w:styleId="Grilledutableau">
    <w:name w:val="Table Grid"/>
    <w:basedOn w:val="TableauNormal"/>
    <w:uiPriority w:val="39"/>
    <w:rsid w:val="003E49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3E491B"/>
    <w:rPr>
      <w:rFonts w:ascii="Segoe UI" w:hAnsi="Segoe UI" w:cs="Segoe UI"/>
      <w:sz w:val="18"/>
      <w:szCs w:val="18"/>
    </w:rPr>
  </w:style>
  <w:style w:type="character" w:customStyle="1" w:styleId="TextedebullesCar">
    <w:name w:val="Texte de bulles Car"/>
    <w:basedOn w:val="Policepardfaut"/>
    <w:link w:val="Textedebulles"/>
    <w:uiPriority w:val="99"/>
    <w:semiHidden/>
    <w:rsid w:val="003E491B"/>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37152">
      <w:bodyDiv w:val="1"/>
      <w:marLeft w:val="0"/>
      <w:marRight w:val="0"/>
      <w:marTop w:val="0"/>
      <w:marBottom w:val="0"/>
      <w:divBdr>
        <w:top w:val="none" w:sz="0" w:space="0" w:color="auto"/>
        <w:left w:val="none" w:sz="0" w:space="0" w:color="auto"/>
        <w:bottom w:val="none" w:sz="0" w:space="0" w:color="auto"/>
        <w:right w:val="none" w:sz="0" w:space="0" w:color="auto"/>
      </w:divBdr>
    </w:div>
    <w:div w:id="560291101">
      <w:bodyDiv w:val="1"/>
      <w:marLeft w:val="0"/>
      <w:marRight w:val="0"/>
      <w:marTop w:val="0"/>
      <w:marBottom w:val="0"/>
      <w:divBdr>
        <w:top w:val="none" w:sz="0" w:space="0" w:color="auto"/>
        <w:left w:val="none" w:sz="0" w:space="0" w:color="auto"/>
        <w:bottom w:val="none" w:sz="0" w:space="0" w:color="auto"/>
        <w:right w:val="none" w:sz="0" w:space="0" w:color="auto"/>
      </w:divBdr>
    </w:div>
    <w:div w:id="618147433">
      <w:bodyDiv w:val="1"/>
      <w:marLeft w:val="0"/>
      <w:marRight w:val="0"/>
      <w:marTop w:val="0"/>
      <w:marBottom w:val="0"/>
      <w:divBdr>
        <w:top w:val="none" w:sz="0" w:space="0" w:color="auto"/>
        <w:left w:val="none" w:sz="0" w:space="0" w:color="auto"/>
        <w:bottom w:val="none" w:sz="0" w:space="0" w:color="auto"/>
        <w:right w:val="none" w:sz="0" w:space="0" w:color="auto"/>
      </w:divBdr>
    </w:div>
    <w:div w:id="1738674400">
      <w:bodyDiv w:val="1"/>
      <w:marLeft w:val="0"/>
      <w:marRight w:val="0"/>
      <w:marTop w:val="0"/>
      <w:marBottom w:val="0"/>
      <w:divBdr>
        <w:top w:val="none" w:sz="0" w:space="0" w:color="auto"/>
        <w:left w:val="none" w:sz="0" w:space="0" w:color="auto"/>
        <w:bottom w:val="none" w:sz="0" w:space="0" w:color="auto"/>
        <w:right w:val="none" w:sz="0" w:space="0" w:color="auto"/>
      </w:divBdr>
    </w:div>
    <w:div w:id="1968196906">
      <w:bodyDiv w:val="1"/>
      <w:marLeft w:val="0"/>
      <w:marRight w:val="0"/>
      <w:marTop w:val="0"/>
      <w:marBottom w:val="0"/>
      <w:divBdr>
        <w:top w:val="none" w:sz="0" w:space="0" w:color="auto"/>
        <w:left w:val="none" w:sz="0" w:space="0" w:color="auto"/>
        <w:bottom w:val="none" w:sz="0" w:space="0" w:color="auto"/>
        <w:right w:val="none" w:sz="0" w:space="0" w:color="auto"/>
      </w:divBdr>
    </w:div>
    <w:div w:id="1971788889">
      <w:bodyDiv w:val="1"/>
      <w:marLeft w:val="0"/>
      <w:marRight w:val="0"/>
      <w:marTop w:val="0"/>
      <w:marBottom w:val="0"/>
      <w:divBdr>
        <w:top w:val="none" w:sz="0" w:space="0" w:color="auto"/>
        <w:left w:val="none" w:sz="0" w:space="0" w:color="auto"/>
        <w:bottom w:val="none" w:sz="0" w:space="0" w:color="auto"/>
        <w:right w:val="none" w:sz="0" w:space="0" w:color="auto"/>
      </w:divBdr>
    </w:div>
    <w:div w:id="2053460776">
      <w:bodyDiv w:val="1"/>
      <w:marLeft w:val="0"/>
      <w:marRight w:val="0"/>
      <w:marTop w:val="0"/>
      <w:marBottom w:val="0"/>
      <w:divBdr>
        <w:top w:val="none" w:sz="0" w:space="0" w:color="auto"/>
        <w:left w:val="none" w:sz="0" w:space="0" w:color="auto"/>
        <w:bottom w:val="none" w:sz="0" w:space="0" w:color="auto"/>
        <w:right w:val="none" w:sz="0" w:space="0" w:color="auto"/>
      </w:divBdr>
    </w:div>
    <w:div w:id="2109614717">
      <w:bodyDiv w:val="1"/>
      <w:marLeft w:val="0"/>
      <w:marRight w:val="0"/>
      <w:marTop w:val="0"/>
      <w:marBottom w:val="0"/>
      <w:divBdr>
        <w:top w:val="none" w:sz="0" w:space="0" w:color="auto"/>
        <w:left w:val="none" w:sz="0" w:space="0" w:color="auto"/>
        <w:bottom w:val="none" w:sz="0" w:space="0" w:color="auto"/>
        <w:right w:val="none" w:sz="0" w:space="0" w:color="auto"/>
      </w:divBdr>
    </w:div>
    <w:div w:id="214619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2450</Words>
  <Characters>13476</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Alejo</dc:creator>
  <cp:keywords/>
  <dc:description/>
  <cp:lastModifiedBy>Malucimedina</cp:lastModifiedBy>
  <cp:revision>5</cp:revision>
  <cp:lastPrinted>2017-01-30T14:48:00Z</cp:lastPrinted>
  <dcterms:created xsi:type="dcterms:W3CDTF">2017-01-30T15:02:00Z</dcterms:created>
  <dcterms:modified xsi:type="dcterms:W3CDTF">2017-05-01T01:01:00Z</dcterms:modified>
</cp:coreProperties>
</file>