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1A" w:rsidRPr="00D46F1A" w:rsidRDefault="00D46F1A" w:rsidP="00D4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sz w:val="16"/>
          <w:szCs w:val="16"/>
          <w:lang w:val="es-CO" w:eastAsia="fr-FR"/>
        </w:rPr>
      </w:pPr>
      <w:r w:rsidRPr="00D46F1A">
        <w:rPr>
          <w:rFonts w:ascii="Calibri" w:hAnsi="Calibri" w:cs="Calibr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el audio que reposa en la Secretaría de esta Sala.</w:t>
      </w:r>
      <w:r w:rsidRPr="00D46F1A">
        <w:rPr>
          <w:rFonts w:ascii="Calibri" w:hAnsi="Calibri" w:cs="Calibri"/>
          <w:color w:val="222222"/>
          <w:sz w:val="16"/>
          <w:szCs w:val="16"/>
          <w:lang w:val="es-CO" w:eastAsia="fr-FR"/>
        </w:rPr>
        <w:t> </w:t>
      </w:r>
    </w:p>
    <w:p w:rsidR="003D6424" w:rsidRPr="00D46F1A" w:rsidRDefault="003D6424" w:rsidP="007A60FD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  <w:lang w:val="es-CO"/>
        </w:rPr>
      </w:pPr>
    </w:p>
    <w:p w:rsidR="003D6424" w:rsidRDefault="003D6424" w:rsidP="003D642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Providencia: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bCs/>
          <w:sz w:val="18"/>
          <w:szCs w:val="18"/>
        </w:rPr>
        <w:t xml:space="preserve">Sentencia </w:t>
      </w:r>
      <w:r w:rsidR="00D46F1A">
        <w:rPr>
          <w:rFonts w:ascii="Tahoma" w:hAnsi="Tahoma" w:cs="Tahoma"/>
          <w:b w:val="0"/>
          <w:bCs/>
          <w:sz w:val="18"/>
          <w:szCs w:val="18"/>
        </w:rPr>
        <w:t xml:space="preserve">- 2ª instancia - </w:t>
      </w:r>
      <w:r>
        <w:rPr>
          <w:rFonts w:ascii="Tahoma" w:hAnsi="Tahoma" w:cs="Tahoma"/>
          <w:b w:val="0"/>
          <w:bCs/>
          <w:sz w:val="18"/>
          <w:szCs w:val="18"/>
        </w:rPr>
        <w:t xml:space="preserve">24 de febrero de 2017 </w:t>
      </w:r>
    </w:p>
    <w:p w:rsidR="003D6424" w:rsidRDefault="003D6424" w:rsidP="003D642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Radicación No.: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>66001-31-05-003-2014-00518-01</w:t>
      </w:r>
    </w:p>
    <w:p w:rsidR="003D6424" w:rsidRDefault="003D6424" w:rsidP="003D642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Proceso: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  <w:r w:rsidR="00D46F1A">
        <w:rPr>
          <w:rFonts w:ascii="Tahoma" w:hAnsi="Tahoma" w:cs="Tahoma"/>
          <w:b w:val="0"/>
          <w:sz w:val="18"/>
          <w:szCs w:val="18"/>
        </w:rPr>
        <w:t>– Confirma sentencia que accedió a las pretensiones</w:t>
      </w:r>
    </w:p>
    <w:p w:rsidR="003D6424" w:rsidRDefault="003D6424" w:rsidP="003D642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Demandante: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>María Edith Talero Mahecha</w:t>
      </w:r>
    </w:p>
    <w:p w:rsidR="003D6424" w:rsidRDefault="003D6424" w:rsidP="003D6424">
      <w:pPr>
        <w:pStyle w:val="Titre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Demandado: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 xml:space="preserve">Colpensiones </w:t>
      </w:r>
    </w:p>
    <w:p w:rsidR="003D6424" w:rsidRDefault="003D6424" w:rsidP="003D642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Juzgado de origen: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>
        <w:rPr>
          <w:rFonts w:ascii="Tahoma" w:hAnsi="Tahoma" w:cs="Tahoma"/>
          <w:b w:val="0"/>
          <w:sz w:val="18"/>
          <w:szCs w:val="18"/>
        </w:rPr>
        <w:tab/>
        <w:t>Tercero Laboral del Circuito de Pereira</w:t>
      </w:r>
    </w:p>
    <w:p w:rsidR="003D6424" w:rsidRDefault="003D6424" w:rsidP="003D642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Magistrada ponente:</w:t>
      </w:r>
      <w:r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144296" w:rsidRDefault="00144296" w:rsidP="003D642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bookmarkStart w:id="0" w:name="_GoBack"/>
      <w:bookmarkEnd w:id="0"/>
    </w:p>
    <w:p w:rsidR="003D6424" w:rsidRPr="000C4EE4" w:rsidRDefault="003D6424" w:rsidP="008B58FA">
      <w:pPr>
        <w:pStyle w:val="Titre"/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Tema:</w:t>
      </w:r>
      <w:r>
        <w:rPr>
          <w:rFonts w:ascii="Tahoma" w:hAnsi="Tahoma" w:cs="Tahoma"/>
          <w:sz w:val="18"/>
          <w:szCs w:val="18"/>
        </w:rPr>
        <w:tab/>
      </w:r>
      <w:r w:rsidR="008B58FA" w:rsidRPr="008B58FA">
        <w:rPr>
          <w:rFonts w:ascii="Tahoma" w:hAnsi="Tahoma" w:cs="Tahoma"/>
          <w:bCs/>
          <w:caps/>
          <w:sz w:val="18"/>
          <w:szCs w:val="18"/>
          <w:u w:val="single"/>
        </w:rPr>
        <w:t>Pensión de jubilación por aportes – Ley 71 de 1988:</w:t>
      </w:r>
      <w:r w:rsidR="008B58FA" w:rsidRPr="00C721D7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8B58FA">
        <w:rPr>
          <w:rFonts w:ascii="Tahoma" w:hAnsi="Tahoma" w:cs="Tahoma"/>
          <w:b w:val="0"/>
          <w:bCs/>
          <w:sz w:val="18"/>
          <w:szCs w:val="18"/>
        </w:rPr>
        <w:t>demostrado como está que la demandante es beneficiaria de los beneficios transicionales consagrados en el artículo 36 de la Ley 100 de 1993,</w:t>
      </w:r>
      <w:r w:rsidR="000C4EE4">
        <w:rPr>
          <w:rFonts w:ascii="Tahoma" w:hAnsi="Tahoma" w:cs="Tahoma"/>
          <w:b w:val="0"/>
          <w:bCs/>
          <w:sz w:val="18"/>
          <w:szCs w:val="18"/>
        </w:rPr>
        <w:t xml:space="preserve"> que llegó a la edad de 55</w:t>
      </w:r>
      <w:r w:rsidR="008B58FA">
        <w:rPr>
          <w:rFonts w:ascii="Tahoma" w:hAnsi="Tahoma" w:cs="Tahoma"/>
          <w:b w:val="0"/>
          <w:bCs/>
          <w:sz w:val="18"/>
          <w:szCs w:val="18"/>
        </w:rPr>
        <w:t xml:space="preserve"> años el</w:t>
      </w:r>
      <w:r w:rsidR="000C4EE4">
        <w:rPr>
          <w:rFonts w:ascii="Tahoma" w:hAnsi="Tahoma" w:cs="Tahoma"/>
          <w:b w:val="0"/>
          <w:bCs/>
          <w:sz w:val="18"/>
          <w:szCs w:val="18"/>
        </w:rPr>
        <w:t xml:space="preserve"> 1</w:t>
      </w:r>
      <w:r w:rsidR="000C4EE4">
        <w:rPr>
          <w:rFonts w:ascii="Tahoma" w:hAnsi="Tahoma" w:cs="Tahoma"/>
          <w:b w:val="0"/>
          <w:bCs/>
          <w:sz w:val="18"/>
          <w:szCs w:val="18"/>
        </w:rPr>
        <w:tab/>
        <w:t xml:space="preserve">º de diciembre de 2004 </w:t>
      </w:r>
      <w:r w:rsidR="008B58FA">
        <w:rPr>
          <w:rFonts w:ascii="Tahoma" w:hAnsi="Tahoma" w:cs="Tahoma"/>
          <w:b w:val="0"/>
          <w:bCs/>
          <w:sz w:val="18"/>
          <w:szCs w:val="18"/>
        </w:rPr>
        <w:t>y que cuenta con más de 20 años cotizados a los sectores público y privado, es evidente que la determinación de la J</w:t>
      </w:r>
      <w:r w:rsidR="00FD2BC5">
        <w:rPr>
          <w:rFonts w:ascii="Tahoma" w:hAnsi="Tahoma" w:cs="Tahoma"/>
          <w:b w:val="0"/>
          <w:bCs/>
          <w:sz w:val="18"/>
          <w:szCs w:val="18"/>
        </w:rPr>
        <w:t>ueza de primer grado, de concederle</w:t>
      </w:r>
      <w:r w:rsidR="008B58FA">
        <w:rPr>
          <w:rFonts w:ascii="Tahoma" w:hAnsi="Tahoma" w:cs="Tahoma"/>
          <w:b w:val="0"/>
          <w:bCs/>
          <w:sz w:val="18"/>
          <w:szCs w:val="18"/>
        </w:rPr>
        <w:t xml:space="preserve"> la pensión de jubilación por aportes,</w:t>
      </w:r>
      <w:r w:rsidR="000C4EE4">
        <w:rPr>
          <w:rFonts w:ascii="Tahoma" w:hAnsi="Tahoma" w:cs="Tahoma"/>
          <w:b w:val="0"/>
          <w:bCs/>
          <w:sz w:val="18"/>
          <w:szCs w:val="18"/>
        </w:rPr>
        <w:t xml:space="preserve"> conforme a las previsiones del artículo 7 de la Ley 71 de 1988,</w:t>
      </w:r>
      <w:r w:rsidR="008B58FA">
        <w:rPr>
          <w:rFonts w:ascii="Tahoma" w:hAnsi="Tahoma" w:cs="Tahoma"/>
          <w:b w:val="0"/>
          <w:bCs/>
          <w:sz w:val="18"/>
          <w:szCs w:val="18"/>
        </w:rPr>
        <w:t xml:space="preserve"> se encuentra ajustada a derecho.</w:t>
      </w:r>
      <w:r w:rsidR="008B58FA">
        <w:rPr>
          <w:rFonts w:ascii="Tahoma" w:hAnsi="Tahoma" w:cs="Tahoma"/>
          <w:sz w:val="18"/>
          <w:szCs w:val="18"/>
        </w:rPr>
        <w:t xml:space="preserve"> </w:t>
      </w:r>
      <w:r w:rsidR="008B58FA" w:rsidRPr="008B58FA">
        <w:rPr>
          <w:rFonts w:ascii="Tahoma" w:hAnsi="Tahoma" w:cs="Tahoma"/>
          <w:sz w:val="18"/>
          <w:szCs w:val="18"/>
          <w:u w:val="single"/>
        </w:rPr>
        <w:t>ENTIDADES ENCARGADAS DEL RECONOCIMIENTO DE LAS PENSIONES DE LOS SERVIDORES PÚBLICOS:</w:t>
      </w:r>
      <w:r w:rsidR="008B58FA" w:rsidRPr="008B58FA">
        <w:rPr>
          <w:rFonts w:ascii="Tahoma" w:hAnsi="Tahoma" w:cs="Tahoma"/>
          <w:bCs/>
          <w:sz w:val="18"/>
          <w:szCs w:val="18"/>
        </w:rPr>
        <w:t xml:space="preserve"> </w:t>
      </w:r>
      <w:r w:rsidR="000C4EE4">
        <w:rPr>
          <w:rFonts w:ascii="Tahoma" w:hAnsi="Tahoma" w:cs="Tahoma"/>
          <w:b w:val="0"/>
          <w:bCs/>
          <w:sz w:val="18"/>
          <w:szCs w:val="18"/>
        </w:rPr>
        <w:t>según las previsiones del artículo 1º del Decreto</w:t>
      </w:r>
      <w:r w:rsidR="008B58FA" w:rsidRPr="008B58FA">
        <w:rPr>
          <w:rFonts w:ascii="Tahoma" w:hAnsi="Tahoma" w:cs="Tahoma"/>
          <w:b w:val="0"/>
          <w:bCs/>
          <w:sz w:val="18"/>
          <w:szCs w:val="18"/>
        </w:rPr>
        <w:t xml:space="preserve"> 2527 de 2000,</w:t>
      </w:r>
      <w:r w:rsidR="000C4EE4">
        <w:rPr>
          <w:rFonts w:ascii="Tahoma" w:hAnsi="Tahoma" w:cs="Tahoma"/>
          <w:b w:val="0"/>
          <w:bCs/>
          <w:sz w:val="18"/>
          <w:szCs w:val="18"/>
        </w:rPr>
        <w:t xml:space="preserve"> las Cajas de Previsión</w:t>
      </w:r>
      <w:r w:rsidR="008B58FA" w:rsidRPr="008B58FA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="00FD2BC5">
        <w:rPr>
          <w:rFonts w:ascii="Tahoma" w:hAnsi="Tahoma" w:cs="Tahoma"/>
          <w:b w:val="0"/>
          <w:bCs/>
          <w:sz w:val="18"/>
          <w:szCs w:val="18"/>
        </w:rPr>
        <w:t xml:space="preserve">continuaron a cargo </w:t>
      </w:r>
      <w:r w:rsidR="008B58FA" w:rsidRPr="008B58FA">
        <w:rPr>
          <w:rFonts w:ascii="Tahoma" w:hAnsi="Tahoma" w:cs="Tahoma"/>
          <w:b w:val="0"/>
          <w:bCs/>
          <w:sz w:val="18"/>
          <w:szCs w:val="18"/>
        </w:rPr>
        <w:t>de</w:t>
      </w:r>
      <w:r w:rsidR="00FD2BC5">
        <w:rPr>
          <w:rFonts w:ascii="Tahoma" w:hAnsi="Tahoma" w:cs="Tahoma"/>
          <w:b w:val="0"/>
          <w:bCs/>
          <w:sz w:val="18"/>
          <w:szCs w:val="18"/>
        </w:rPr>
        <w:t>l reconocimiento de</w:t>
      </w:r>
      <w:r w:rsidR="008B58FA" w:rsidRPr="008B58FA">
        <w:rPr>
          <w:rFonts w:ascii="Tahoma" w:hAnsi="Tahoma" w:cs="Tahoma"/>
          <w:b w:val="0"/>
          <w:bCs/>
          <w:sz w:val="18"/>
          <w:szCs w:val="18"/>
        </w:rPr>
        <w:t xml:space="preserve"> las pensiones del sector público exclusivamente en aquellos eventos en que la pensión sea solicitada por un servidor público que a 1º de abril de 1994 ya reunía los requisitos necesarios para pensionarse, o por lo menos ya había cumplido el concerniente al tiempo de servicios requeridos para acceder al derecho. </w:t>
      </w:r>
      <w:r w:rsidR="000C4EE4">
        <w:rPr>
          <w:rFonts w:ascii="Tahoma" w:hAnsi="Tahoma" w:cs="Tahoma"/>
          <w:b w:val="0"/>
          <w:bCs/>
          <w:sz w:val="18"/>
          <w:szCs w:val="18"/>
        </w:rPr>
        <w:t>Sin embargo</w:t>
      </w:r>
      <w:r w:rsidR="008B58FA" w:rsidRPr="008B58FA">
        <w:rPr>
          <w:rFonts w:ascii="Tahoma" w:hAnsi="Tahoma" w:cs="Tahoma"/>
          <w:b w:val="0"/>
          <w:bCs/>
          <w:sz w:val="18"/>
          <w:szCs w:val="18"/>
        </w:rPr>
        <w:t xml:space="preserve">, con relación a solicitudes de reconocimiento que no se enmarcaran en esos precisos casos, el artículo 5º </w:t>
      </w:r>
      <w:r w:rsidR="008B58FA" w:rsidRPr="008B58FA">
        <w:rPr>
          <w:rFonts w:ascii="Tahoma" w:hAnsi="Tahoma" w:cs="Tahoma"/>
          <w:b w:val="0"/>
          <w:bCs/>
          <w:i/>
          <w:iCs/>
          <w:sz w:val="18"/>
          <w:szCs w:val="18"/>
        </w:rPr>
        <w:t>ibídem</w:t>
      </w:r>
      <w:r w:rsidR="008B58FA" w:rsidRPr="008B58FA">
        <w:rPr>
          <w:rFonts w:ascii="Tahoma" w:hAnsi="Tahoma" w:cs="Tahoma"/>
          <w:b w:val="0"/>
          <w:bCs/>
          <w:sz w:val="18"/>
          <w:szCs w:val="18"/>
        </w:rPr>
        <w:t xml:space="preserve"> estableció que sería el INSTITUTO DE SEGUROS SOCIALES</w:t>
      </w:r>
      <w:r w:rsidR="000C4EE4">
        <w:rPr>
          <w:rFonts w:ascii="Tahoma" w:hAnsi="Tahoma" w:cs="Tahoma"/>
          <w:b w:val="0"/>
          <w:bCs/>
          <w:sz w:val="18"/>
          <w:szCs w:val="18"/>
        </w:rPr>
        <w:t xml:space="preserve"> (hoy COLPENSIONES)</w:t>
      </w:r>
      <w:r w:rsidR="008B58FA" w:rsidRPr="008B58FA">
        <w:rPr>
          <w:rFonts w:ascii="Tahoma" w:hAnsi="Tahoma" w:cs="Tahoma"/>
          <w:b w:val="0"/>
          <w:bCs/>
          <w:sz w:val="18"/>
          <w:szCs w:val="18"/>
        </w:rPr>
        <w:t xml:space="preserve"> la entidad encargada de hacer el reconocimiento pensional. En efecto, dispone el</w:t>
      </w:r>
      <w:r w:rsidR="000C4EE4">
        <w:rPr>
          <w:rFonts w:ascii="Tahoma" w:hAnsi="Tahoma" w:cs="Tahoma"/>
          <w:b w:val="0"/>
          <w:bCs/>
          <w:sz w:val="18"/>
          <w:szCs w:val="18"/>
        </w:rPr>
        <w:t xml:space="preserve"> citado</w:t>
      </w:r>
      <w:r w:rsidR="008B58FA" w:rsidRPr="008B58FA">
        <w:rPr>
          <w:rFonts w:ascii="Tahoma" w:hAnsi="Tahoma" w:cs="Tahoma"/>
          <w:b w:val="0"/>
          <w:bCs/>
          <w:sz w:val="18"/>
          <w:szCs w:val="18"/>
        </w:rPr>
        <w:t xml:space="preserve"> artículo: </w:t>
      </w:r>
      <w:r w:rsidR="008B58FA" w:rsidRPr="008B58FA">
        <w:rPr>
          <w:rFonts w:ascii="Tahoma" w:hAnsi="Tahoma" w:cs="Tahoma"/>
          <w:b w:val="0"/>
          <w:bCs/>
          <w:i/>
          <w:sz w:val="18"/>
          <w:szCs w:val="18"/>
        </w:rPr>
        <w:t>“</w:t>
      </w:r>
      <w:r w:rsidR="008B58FA" w:rsidRPr="008B58FA">
        <w:rPr>
          <w:rFonts w:ascii="Tahoma" w:hAnsi="Tahoma" w:cs="Tahoma"/>
          <w:b w:val="0"/>
          <w:i/>
          <w:sz w:val="18"/>
          <w:szCs w:val="18"/>
        </w:rPr>
        <w:t>Régimen de transición en el ISS</w:t>
      </w:r>
      <w:r w:rsidR="008B58FA" w:rsidRPr="008B58FA">
        <w:rPr>
          <w:rFonts w:ascii="Tahoma" w:hAnsi="Tahoma" w:cs="Tahoma"/>
          <w:b w:val="0"/>
          <w:bCs/>
          <w:i/>
          <w:sz w:val="18"/>
          <w:szCs w:val="18"/>
        </w:rPr>
        <w:t>. Sin perjuicio de lo dispuesto en el inciso tercero del artículo anterior, el ISS, como administradora de pensiones del régimen de prima media a la que se pueden vincular los beneficiarios del régimen de transición, deberá reconocer la pensión respetando los beneficios derivados de dicho régimen, siempre y cuando éstos no hayan perdido el régimen de transición de acuerdo con la ley”.</w:t>
      </w:r>
      <w:r w:rsidR="000C4EE4">
        <w:rPr>
          <w:rFonts w:ascii="Tahoma" w:hAnsi="Tahoma" w:cs="Tahoma"/>
          <w:b w:val="0"/>
          <w:bCs/>
          <w:i/>
          <w:sz w:val="18"/>
          <w:szCs w:val="18"/>
        </w:rPr>
        <w:t xml:space="preserve"> </w:t>
      </w:r>
      <w:r w:rsidR="000C4EE4">
        <w:rPr>
          <w:rFonts w:ascii="Tahoma" w:hAnsi="Tahoma" w:cs="Tahoma"/>
          <w:b w:val="0"/>
          <w:bCs/>
          <w:sz w:val="18"/>
          <w:szCs w:val="18"/>
        </w:rPr>
        <w:t>De modo que,</w:t>
      </w:r>
      <w:r w:rsidR="00FD2BC5">
        <w:rPr>
          <w:rFonts w:ascii="Tahoma" w:hAnsi="Tahoma" w:cs="Tahoma"/>
          <w:b w:val="0"/>
          <w:bCs/>
          <w:sz w:val="18"/>
          <w:szCs w:val="18"/>
        </w:rPr>
        <w:t xml:space="preserve"> a la luz de dicha normativa,</w:t>
      </w:r>
      <w:r w:rsidR="000C4EE4">
        <w:rPr>
          <w:rFonts w:ascii="Tahoma" w:hAnsi="Tahoma" w:cs="Tahoma"/>
          <w:b w:val="0"/>
          <w:bCs/>
          <w:sz w:val="18"/>
          <w:szCs w:val="18"/>
        </w:rPr>
        <w:t xml:space="preserve"> el artículo 10 del Decreto 2709 de 1994</w:t>
      </w:r>
      <w:r w:rsidR="00FD2BC5">
        <w:rPr>
          <w:rFonts w:ascii="Tahoma" w:hAnsi="Tahoma" w:cs="Tahoma"/>
          <w:b w:val="0"/>
          <w:bCs/>
          <w:sz w:val="18"/>
          <w:szCs w:val="18"/>
        </w:rPr>
        <w:t>, ya no resulta aplicable para definir la entidad pagadora a la cual le corresponde el pago de la pensión de jubilación por aportes, a menos que el solicitante se encuentre dentro de alguna de las tres c</w:t>
      </w:r>
      <w:r w:rsidR="00CF4BD1">
        <w:rPr>
          <w:rFonts w:ascii="Tahoma" w:hAnsi="Tahoma" w:cs="Tahoma"/>
          <w:b w:val="0"/>
          <w:bCs/>
          <w:sz w:val="18"/>
          <w:szCs w:val="18"/>
        </w:rPr>
        <w:t>ircunstancias fácticas descritas</w:t>
      </w:r>
      <w:r w:rsidR="00FD2BC5">
        <w:rPr>
          <w:rFonts w:ascii="Tahoma" w:hAnsi="Tahoma" w:cs="Tahoma"/>
          <w:b w:val="0"/>
          <w:bCs/>
          <w:sz w:val="18"/>
          <w:szCs w:val="18"/>
        </w:rPr>
        <w:t xml:space="preserve"> en el artículo 1º del Decreto 2527 de 2000, dado que como regla general, el reconocimiento y pago de la pensiones de los servidores públicos corresponde a la Administradora del Régimen de Prima Media con Prestación Definida administrado hoy por COLPENSIONES. </w:t>
      </w:r>
    </w:p>
    <w:p w:rsidR="003D6424" w:rsidRDefault="003D6424" w:rsidP="00793E55">
      <w:pPr>
        <w:pStyle w:val="Titre"/>
        <w:spacing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3D6424" w:rsidRDefault="003D6424" w:rsidP="00793E55">
      <w:pPr>
        <w:pStyle w:val="Titre4"/>
        <w:widowControl w:val="0"/>
        <w:tabs>
          <w:tab w:val="clear" w:pos="0"/>
          <w:tab w:val="left" w:pos="708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3D6424" w:rsidRDefault="003D6424" w:rsidP="00793E55">
      <w:pPr>
        <w:pStyle w:val="Titre4"/>
        <w:widowControl w:val="0"/>
        <w:tabs>
          <w:tab w:val="clear" w:pos="0"/>
          <w:tab w:val="left" w:pos="708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>
        <w:rPr>
          <w:rFonts w:ascii="Tahoma" w:hAnsi="Tahoma" w:cs="Tahoma"/>
          <w:bCs/>
          <w:szCs w:val="24"/>
          <w:lang w:eastAsia="es-MX"/>
        </w:rPr>
        <w:t>SALA LABORAL</w:t>
      </w:r>
    </w:p>
    <w:p w:rsidR="003D6424" w:rsidRDefault="003D6424" w:rsidP="007A60FD">
      <w:pPr>
        <w:pStyle w:val="Sansinterligne"/>
        <w:rPr>
          <w:sz w:val="22"/>
          <w:szCs w:val="22"/>
        </w:rPr>
      </w:pPr>
    </w:p>
    <w:p w:rsidR="003D6424" w:rsidRDefault="003D6424" w:rsidP="003D6424">
      <w:pPr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Magistrada Ponente:</w:t>
      </w:r>
      <w:r>
        <w:rPr>
          <w:rFonts w:ascii="Tahoma" w:hAnsi="Tahoma" w:cs="Tahoma"/>
          <w:b/>
          <w:bCs/>
        </w:rPr>
        <w:t xml:space="preserve"> Ana Lucía Caicedo Calderón</w:t>
      </w:r>
    </w:p>
    <w:p w:rsidR="003D6424" w:rsidRDefault="003D6424" w:rsidP="003D6424">
      <w:pPr>
        <w:pStyle w:val="Sansinterligne"/>
        <w:rPr>
          <w:sz w:val="22"/>
          <w:szCs w:val="22"/>
        </w:rPr>
      </w:pPr>
    </w:p>
    <w:p w:rsidR="003D6424" w:rsidRDefault="003D6424" w:rsidP="003D6424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Acta No. ____</w:t>
      </w:r>
    </w:p>
    <w:p w:rsidR="003D6424" w:rsidRDefault="003D6424" w:rsidP="003D6424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(Febrero 24 de 2017)</w:t>
      </w:r>
    </w:p>
    <w:p w:rsidR="003D6424" w:rsidRDefault="003D6424" w:rsidP="003D6424">
      <w:pPr>
        <w:pStyle w:val="Sansinterligne"/>
        <w:rPr>
          <w:sz w:val="22"/>
          <w:szCs w:val="22"/>
        </w:rPr>
      </w:pPr>
    </w:p>
    <w:p w:rsidR="003D6424" w:rsidRDefault="003D6424" w:rsidP="003D6424">
      <w:pPr>
        <w:pStyle w:val="Titre5"/>
        <w:spacing w:line="276" w:lineRule="auto"/>
        <w:ind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Sistema oral - Audiencia de juzgamiento</w:t>
      </w:r>
    </w:p>
    <w:p w:rsidR="003D6424" w:rsidRDefault="003D6424" w:rsidP="003D6424">
      <w:pPr>
        <w:pStyle w:val="Sansinterligne"/>
        <w:rPr>
          <w:sz w:val="22"/>
          <w:szCs w:val="22"/>
          <w:lang w:val="es-ES_tradnl"/>
        </w:rPr>
      </w:pPr>
      <w:r>
        <w:tab/>
      </w:r>
    </w:p>
    <w:p w:rsidR="003D6424" w:rsidRPr="003D6424" w:rsidRDefault="003D6424" w:rsidP="003D6424">
      <w:pPr>
        <w:spacing w:line="276" w:lineRule="auto"/>
        <w:ind w:firstLine="708"/>
        <w:jc w:val="both"/>
        <w:rPr>
          <w:rFonts w:ascii="Tahoma" w:hAnsi="Tahoma" w:cs="Tahoma"/>
          <w:caps/>
          <w:lang w:val="es-ES_tradnl"/>
        </w:rPr>
      </w:pPr>
      <w:r>
        <w:rPr>
          <w:rFonts w:ascii="Tahoma" w:hAnsi="Tahoma" w:cs="Tahoma"/>
          <w:lang w:val="es-ES_tradnl"/>
        </w:rPr>
        <w:t>Siendo las 2:30 p</w:t>
      </w:r>
      <w:r w:rsidR="00793E55">
        <w:rPr>
          <w:rFonts w:ascii="Tahoma" w:hAnsi="Tahoma" w:cs="Tahoma"/>
          <w:lang w:val="es-ES_tradnl"/>
        </w:rPr>
        <w:t>.m. de hoy, viernes 24 de febrero de 2017</w:t>
      </w:r>
      <w:r>
        <w:rPr>
          <w:rFonts w:ascii="Tahoma" w:hAnsi="Tahoma" w:cs="Tahoma"/>
          <w:lang w:val="es-ES_tradnl"/>
        </w:rPr>
        <w:t xml:space="preserve">, la Sala de Decisión Laboral del Tribunal Superior de Pereira se constituye en audiencia pública de juzgamiento en el proceso ordinario laboral instaurado por </w:t>
      </w:r>
      <w:r w:rsidRPr="003D6424">
        <w:rPr>
          <w:rFonts w:ascii="Tahoma" w:hAnsi="Tahoma" w:cs="Tahoma"/>
          <w:b/>
          <w:caps/>
          <w:lang w:val="es-ES_tradnl"/>
        </w:rPr>
        <w:t>María Edith Talero Mahecha</w:t>
      </w:r>
      <w:r>
        <w:rPr>
          <w:rFonts w:ascii="Tahoma" w:hAnsi="Tahoma" w:cs="Tahoma"/>
          <w:lang w:val="es-ES_tradnl"/>
        </w:rPr>
        <w:t xml:space="preserve"> en contra de la </w:t>
      </w:r>
      <w:r w:rsidRPr="003D6424">
        <w:rPr>
          <w:rFonts w:ascii="Tahoma" w:hAnsi="Tahoma" w:cs="Tahoma"/>
          <w:b/>
          <w:caps/>
          <w:lang w:val="es-ES_tradnl"/>
        </w:rPr>
        <w:t>Administ</w:t>
      </w:r>
      <w:r>
        <w:rPr>
          <w:rFonts w:ascii="Tahoma" w:hAnsi="Tahoma" w:cs="Tahoma"/>
          <w:b/>
          <w:caps/>
          <w:lang w:val="es-ES_tradnl"/>
        </w:rPr>
        <w:t>radora Colombiana de Pensiones –Colpensiones-</w:t>
      </w:r>
      <w:r w:rsidRPr="003D6424">
        <w:rPr>
          <w:rFonts w:ascii="Tahoma" w:hAnsi="Tahoma" w:cs="Tahoma"/>
          <w:caps/>
          <w:lang w:val="es-ES_tradnl"/>
        </w:rPr>
        <w:t xml:space="preserve"> </w:t>
      </w:r>
    </w:p>
    <w:p w:rsidR="007A60FD" w:rsidRDefault="003D6424" w:rsidP="007A60FD">
      <w:pPr>
        <w:spacing w:line="276" w:lineRule="auto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Para el efecto, se verifica la asistencia de las partes a la presente diligencia: </w:t>
      </w:r>
    </w:p>
    <w:p w:rsidR="007A60FD" w:rsidRDefault="007A60FD" w:rsidP="007A60FD">
      <w:pPr>
        <w:spacing w:line="276" w:lineRule="auto"/>
        <w:jc w:val="both"/>
        <w:rPr>
          <w:rFonts w:ascii="Tahoma" w:hAnsi="Tahoma" w:cs="Tahoma"/>
          <w:lang w:val="es-ES_tradnl"/>
        </w:rPr>
      </w:pPr>
    </w:p>
    <w:p w:rsidR="003D6424" w:rsidRDefault="003D6424" w:rsidP="007A60FD">
      <w:pPr>
        <w:spacing w:line="276" w:lineRule="auto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Por la parte demandante… Por la demandada…</w:t>
      </w:r>
    </w:p>
    <w:p w:rsidR="003D6424" w:rsidRDefault="003D6424" w:rsidP="003D6424">
      <w:pPr>
        <w:pStyle w:val="Sansinterligne"/>
      </w:pPr>
    </w:p>
    <w:p w:rsidR="003D6424" w:rsidRDefault="003D6424" w:rsidP="003D64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Alegatos de conclusión</w:t>
      </w:r>
    </w:p>
    <w:p w:rsidR="003D6424" w:rsidRDefault="003D6424" w:rsidP="003D6424">
      <w:pPr>
        <w:pStyle w:val="Sansinterligne"/>
      </w:pPr>
    </w:p>
    <w:p w:rsidR="007A60FD" w:rsidRDefault="003D6424" w:rsidP="003D6424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De conformidad con el artículo 82 del C.P.T y de la s.s., modificado por el artículo 13 de la Ley 1149 de 2007, se concede el uso de la palabra a las partes para que presenten sus alegatos de conclusión. </w:t>
      </w:r>
    </w:p>
    <w:p w:rsidR="007A60FD" w:rsidRDefault="007A60FD" w:rsidP="003D6424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</w:p>
    <w:p w:rsidR="003D6424" w:rsidRDefault="003D6424" w:rsidP="003D6424">
      <w:pPr>
        <w:spacing w:line="276" w:lineRule="auto"/>
        <w:ind w:firstLine="708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Por la parte demandante… Por la parte demandada…</w:t>
      </w:r>
    </w:p>
    <w:p w:rsidR="003D6424" w:rsidRDefault="003D6424" w:rsidP="003D6424">
      <w:pPr>
        <w:pStyle w:val="Sansinterligne"/>
      </w:pPr>
    </w:p>
    <w:p w:rsidR="003D6424" w:rsidRDefault="003D6424" w:rsidP="003D64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SENTENCIA</w:t>
      </w:r>
    </w:p>
    <w:p w:rsidR="003D6424" w:rsidRDefault="003D6424" w:rsidP="003D6424">
      <w:pPr>
        <w:pStyle w:val="Sansinterligne"/>
        <w:spacing w:line="276" w:lineRule="auto"/>
        <w:jc w:val="both"/>
      </w:pPr>
    </w:p>
    <w:p w:rsidR="003D6424" w:rsidRDefault="003D6424" w:rsidP="003D64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Como quiera que los alegatos acabados de escuchar coinciden a cabalidad con los puntos fácticos y jurídicos objeto de discusión en esta instancia, procede la Sala </w:t>
      </w:r>
      <w:r>
        <w:rPr>
          <w:rFonts w:ascii="Tahoma" w:hAnsi="Tahoma" w:cs="Tahoma"/>
        </w:rPr>
        <w:t xml:space="preserve">a resolver el grado jurisdiccional de consulta de la sentencia emitida por </w:t>
      </w:r>
      <w:r>
        <w:rPr>
          <w:rFonts w:ascii="Tahoma" w:hAnsi="Tahoma" w:cs="Tahoma"/>
          <w:lang w:val="es-CO"/>
        </w:rPr>
        <w:t>el Juzgado Tercero Laboral del Circuito de Pereira el 29</w:t>
      </w:r>
      <w:r>
        <w:rPr>
          <w:rFonts w:ascii="Tahoma" w:hAnsi="Tahoma" w:cs="Tahoma"/>
        </w:rPr>
        <w:t xml:space="preserve"> de septiembre de 2015</w:t>
      </w:r>
      <w:r>
        <w:rPr>
          <w:rFonts w:ascii="Tahoma" w:hAnsi="Tahoma" w:cs="Tahoma"/>
          <w:lang w:val="es-CO"/>
        </w:rPr>
        <w:t>, la cual fue desfavorable a los intereses de la entidad pública demandada.</w:t>
      </w:r>
    </w:p>
    <w:p w:rsidR="003D6424" w:rsidRDefault="003D6424" w:rsidP="003D6424">
      <w:pPr>
        <w:pStyle w:val="Sansinterligne"/>
      </w:pPr>
    </w:p>
    <w:p w:rsidR="003D6424" w:rsidRPr="00FD2BC5" w:rsidRDefault="003D6424" w:rsidP="003D64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aps/>
        </w:rPr>
      </w:pPr>
      <w:r w:rsidRPr="00FD2BC5">
        <w:rPr>
          <w:rFonts w:ascii="Tahoma" w:hAnsi="Tahoma" w:cs="Tahoma"/>
          <w:b/>
          <w:bCs/>
          <w:caps/>
        </w:rPr>
        <w:t>Problema jurídico por resolver</w:t>
      </w:r>
    </w:p>
    <w:p w:rsidR="003D6424" w:rsidRDefault="003D6424" w:rsidP="003D6424">
      <w:pPr>
        <w:pStyle w:val="Sansinterligne"/>
      </w:pPr>
    </w:p>
    <w:p w:rsidR="003D6424" w:rsidRDefault="003D6424" w:rsidP="003D6424">
      <w:pPr>
        <w:tabs>
          <w:tab w:val="left" w:pos="561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De acuerdo a lo expuesto en la sentencia de primera instancia, le corres</w:t>
      </w:r>
      <w:r w:rsidR="00FD2BC5">
        <w:rPr>
          <w:rFonts w:ascii="Tahoma" w:hAnsi="Tahoma" w:cs="Tahoma"/>
        </w:rPr>
        <w:t>ponde a la Sala establecer si en el presente asunto era</w:t>
      </w:r>
      <w:r>
        <w:rPr>
          <w:rFonts w:ascii="Tahoma" w:hAnsi="Tahoma" w:cs="Tahoma"/>
        </w:rPr>
        <w:t xml:space="preserve"> pro</w:t>
      </w:r>
      <w:r w:rsidR="00FD2BC5">
        <w:rPr>
          <w:rFonts w:ascii="Tahoma" w:hAnsi="Tahoma" w:cs="Tahoma"/>
        </w:rPr>
        <w:t xml:space="preserve">cedente </w:t>
      </w:r>
      <w:r w:rsidR="00793E55">
        <w:rPr>
          <w:rFonts w:ascii="Tahoma" w:hAnsi="Tahoma" w:cs="Tahoma"/>
        </w:rPr>
        <w:t xml:space="preserve">el reconocimiento y pago de la pensión de jubilación por aportes </w:t>
      </w:r>
      <w:r w:rsidR="00FD2BC5">
        <w:rPr>
          <w:rFonts w:ascii="Tahoma" w:hAnsi="Tahoma" w:cs="Tahoma"/>
        </w:rPr>
        <w:t>y si su pago correspondía a la entidad demandada.</w:t>
      </w:r>
    </w:p>
    <w:p w:rsidR="00FD2BC5" w:rsidRDefault="00FD2BC5" w:rsidP="003D6424">
      <w:pPr>
        <w:tabs>
          <w:tab w:val="left" w:pos="561"/>
        </w:tabs>
        <w:spacing w:line="276" w:lineRule="auto"/>
        <w:jc w:val="both"/>
        <w:rPr>
          <w:rFonts w:ascii="Tahoma" w:hAnsi="Tahoma" w:cs="Tahoma"/>
        </w:rPr>
      </w:pPr>
    </w:p>
    <w:p w:rsidR="00FD2BC5" w:rsidRPr="00FD2BC5" w:rsidRDefault="00FD2BC5" w:rsidP="00FD2BC5">
      <w:pPr>
        <w:tabs>
          <w:tab w:val="left" w:pos="561"/>
        </w:tabs>
        <w:spacing w:line="276" w:lineRule="auto"/>
        <w:jc w:val="center"/>
        <w:rPr>
          <w:rFonts w:ascii="Tahoma" w:hAnsi="Tahoma" w:cs="Tahoma"/>
          <w:b/>
        </w:rPr>
      </w:pPr>
      <w:r w:rsidRPr="00FD2BC5">
        <w:rPr>
          <w:rFonts w:ascii="Tahoma" w:hAnsi="Tahoma" w:cs="Tahoma"/>
          <w:b/>
        </w:rPr>
        <w:t>I- LA DEMANDA Y SU CONTESTACIÓN</w:t>
      </w:r>
    </w:p>
    <w:p w:rsidR="002B13C6" w:rsidRDefault="002B13C6" w:rsidP="002B13C6">
      <w:pPr>
        <w:rPr>
          <w:rFonts w:ascii="Tahoma" w:hAnsi="Tahoma" w:cs="Tahoma"/>
          <w:lang w:val="es-CO"/>
        </w:rPr>
      </w:pPr>
    </w:p>
    <w:p w:rsidR="0059500E" w:rsidRDefault="00567340" w:rsidP="00B973C3">
      <w:pPr>
        <w:spacing w:line="276" w:lineRule="auto"/>
        <w:ind w:firstLine="708"/>
        <w:jc w:val="both"/>
        <w:rPr>
          <w:rFonts w:ascii="Tahoma" w:hAnsi="Tahoma" w:cs="Tahoma"/>
        </w:rPr>
      </w:pPr>
      <w:r w:rsidRPr="00B973C3">
        <w:rPr>
          <w:rFonts w:ascii="Tahoma" w:hAnsi="Tahoma" w:cs="Tahoma"/>
          <w:lang w:val="es-CO"/>
        </w:rPr>
        <w:t>La</w:t>
      </w:r>
      <w:r w:rsidR="00D121FA" w:rsidRPr="00B973C3">
        <w:rPr>
          <w:rFonts w:ascii="Tahoma" w:hAnsi="Tahoma" w:cs="Tahoma"/>
          <w:lang w:val="es-CO"/>
        </w:rPr>
        <w:t xml:space="preserve"> promotora del litigio</w:t>
      </w:r>
      <w:r w:rsidRPr="00B973C3">
        <w:rPr>
          <w:rFonts w:ascii="Tahoma" w:hAnsi="Tahoma" w:cs="Tahoma"/>
          <w:lang w:val="es-CO"/>
        </w:rPr>
        <w:t xml:space="preserve"> pretende que </w:t>
      </w:r>
      <w:r w:rsidRPr="0059500E">
        <w:rPr>
          <w:rFonts w:ascii="Tahoma" w:hAnsi="Tahoma" w:cs="Tahoma"/>
          <w:b/>
          <w:lang w:val="es-CO"/>
        </w:rPr>
        <w:t>COLPENSIONES</w:t>
      </w:r>
      <w:r w:rsidRPr="00B973C3">
        <w:rPr>
          <w:rFonts w:ascii="Tahoma" w:hAnsi="Tahoma" w:cs="Tahoma"/>
          <w:lang w:val="es-CO"/>
        </w:rPr>
        <w:t xml:space="preserve"> sea condenada a pagarle la pensión de jubilación por aportes establecida en el artículo 7 de la Ley 71 de 1988, desde el 1º de noviembre de 2013, </w:t>
      </w:r>
      <w:r w:rsidR="00D121FA" w:rsidRPr="00B973C3">
        <w:rPr>
          <w:rFonts w:ascii="Tahoma" w:hAnsi="Tahoma" w:cs="Tahoma"/>
          <w:lang w:val="es-CO"/>
        </w:rPr>
        <w:t>en cuantía de un Salario Mínimo Mensual Legal Vigente, ya que</w:t>
      </w:r>
      <w:r w:rsidR="00916248">
        <w:rPr>
          <w:rFonts w:ascii="Tahoma" w:hAnsi="Tahoma" w:cs="Tahoma"/>
          <w:lang w:val="es-CO"/>
        </w:rPr>
        <w:t xml:space="preserve"> es</w:t>
      </w:r>
      <w:r w:rsidR="00B973C3" w:rsidRPr="00B973C3">
        <w:rPr>
          <w:rFonts w:ascii="Tahoma" w:hAnsi="Tahoma" w:cs="Tahoma"/>
          <w:lang w:val="es-CO"/>
        </w:rPr>
        <w:t xml:space="preserve"> ese </w:t>
      </w:r>
      <w:r w:rsidR="00D121FA" w:rsidRPr="00B973C3">
        <w:rPr>
          <w:rFonts w:ascii="Tahoma" w:hAnsi="Tahoma" w:cs="Tahoma"/>
          <w:lang w:val="es-CO"/>
        </w:rPr>
        <w:t xml:space="preserve">el régimen aplicable a su caso, dado que es beneficiaria del régimen de transición previsto en el artículo 36 de la Ley 100 de 1993, lo cual le permite pensionarse bajo </w:t>
      </w:r>
      <w:r w:rsidR="00B973C3" w:rsidRPr="00B973C3">
        <w:rPr>
          <w:rFonts w:ascii="Tahoma" w:hAnsi="Tahoma" w:cs="Tahoma"/>
          <w:lang w:val="es-CO"/>
        </w:rPr>
        <w:t xml:space="preserve">la egida de aquella normativa, que exige una edad mínima de 55 años para las mujeres y un total de </w:t>
      </w:r>
      <w:r w:rsidR="00B973C3" w:rsidRPr="00B973C3">
        <w:rPr>
          <w:rFonts w:ascii="Tahoma" w:hAnsi="Tahoma" w:cs="Tahoma"/>
        </w:rPr>
        <w:t xml:space="preserve">veinte (20) años de aportes sufragados en cualquier tiempo y acumulados en una o varias de las entidades de previsión social que hagan sus veces, del orden nacional, departamental, municipal, </w:t>
      </w:r>
      <w:proofErr w:type="spellStart"/>
      <w:r w:rsidR="00B973C3" w:rsidRPr="00B973C3">
        <w:rPr>
          <w:rFonts w:ascii="Tahoma" w:hAnsi="Tahoma" w:cs="Tahoma"/>
        </w:rPr>
        <w:t>intendencial</w:t>
      </w:r>
      <w:proofErr w:type="spellEnd"/>
      <w:r w:rsidR="00B973C3" w:rsidRPr="00B973C3">
        <w:rPr>
          <w:rFonts w:ascii="Tahoma" w:hAnsi="Tahoma" w:cs="Tahoma"/>
        </w:rPr>
        <w:t xml:space="preserve">, </w:t>
      </w:r>
      <w:proofErr w:type="spellStart"/>
      <w:r w:rsidR="00B973C3" w:rsidRPr="00B973C3">
        <w:rPr>
          <w:rFonts w:ascii="Tahoma" w:hAnsi="Tahoma" w:cs="Tahoma"/>
        </w:rPr>
        <w:t>comisarial</w:t>
      </w:r>
      <w:proofErr w:type="spellEnd"/>
      <w:r w:rsidR="00B973C3" w:rsidRPr="00B973C3">
        <w:rPr>
          <w:rFonts w:ascii="Tahoma" w:hAnsi="Tahoma" w:cs="Tahoma"/>
        </w:rPr>
        <w:t xml:space="preserve"> o distrital y en el Instituto de los Seguros Sociales</w:t>
      </w:r>
      <w:r w:rsidR="00B973C3">
        <w:rPr>
          <w:rFonts w:ascii="Tahoma" w:hAnsi="Tahoma" w:cs="Tahoma"/>
        </w:rPr>
        <w:t>, requisitos que fueron acredita</w:t>
      </w:r>
      <w:r w:rsidR="0059500E">
        <w:rPr>
          <w:rFonts w:ascii="Tahoma" w:hAnsi="Tahoma" w:cs="Tahoma"/>
        </w:rPr>
        <w:t xml:space="preserve">dos ante COLPENSIONES, quien no obstante, a través de la Resolución No. GNR213849 del 12 de junio de 2014, le </w:t>
      </w:r>
      <w:r w:rsidR="00B973C3">
        <w:rPr>
          <w:rFonts w:ascii="Tahoma" w:hAnsi="Tahoma" w:cs="Tahoma"/>
        </w:rPr>
        <w:t>negó el pago de la prestación</w:t>
      </w:r>
      <w:r w:rsidR="0059500E">
        <w:rPr>
          <w:rFonts w:ascii="Tahoma" w:hAnsi="Tahoma" w:cs="Tahoma"/>
        </w:rPr>
        <w:t>, amparándose en lo dispuesto en el artículo 10 del Decreto 2709 de 1994.</w:t>
      </w:r>
    </w:p>
    <w:p w:rsidR="0059500E" w:rsidRDefault="0059500E" w:rsidP="00B973C3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2F1EAD" w:rsidRDefault="0059500E" w:rsidP="00B973C3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 dar respuesta, COLPENSIONES aceptó como ciertos los hechos de la demanda, y advirtió, en la misma línea de la citada resolución, que no era la obligada al reconocimiento de la pensión reclamada, pues aunque fue la última entidad de previsión a la que se efectuaron aportes</w:t>
      </w:r>
      <w:r w:rsidR="002F1EAD">
        <w:rPr>
          <w:rFonts w:ascii="Tahoma" w:hAnsi="Tahoma" w:cs="Tahoma"/>
        </w:rPr>
        <w:t>, estos no suman más de seis (6) años, en razón de lo cual, de acuerdo a lo previsto en el Decreto 2709 de 1994, la pensión de jubilación por aportes debe ser reconocida y pagada por la entidad de previsión a la cual la demandante haya efectuado el mayor tiempo de aportes.</w:t>
      </w:r>
    </w:p>
    <w:p w:rsidR="002F1EAD" w:rsidRDefault="002F1EAD" w:rsidP="00B973C3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59500E" w:rsidRPr="002F1EAD" w:rsidRDefault="002F1EAD" w:rsidP="002F1EAD">
      <w:pPr>
        <w:spacing w:line="276" w:lineRule="auto"/>
        <w:ind w:firstLine="708"/>
        <w:jc w:val="center"/>
        <w:rPr>
          <w:rFonts w:ascii="Tahoma" w:hAnsi="Tahoma" w:cs="Tahoma"/>
          <w:b/>
        </w:rPr>
      </w:pPr>
      <w:r w:rsidRPr="002F1EAD">
        <w:rPr>
          <w:rFonts w:ascii="Tahoma" w:hAnsi="Tahoma" w:cs="Tahoma"/>
          <w:b/>
        </w:rPr>
        <w:t>I</w:t>
      </w:r>
      <w:r w:rsidR="007A60FD">
        <w:rPr>
          <w:rFonts w:ascii="Tahoma" w:hAnsi="Tahoma" w:cs="Tahoma"/>
          <w:b/>
        </w:rPr>
        <w:t>I</w:t>
      </w:r>
      <w:r w:rsidRPr="002F1EAD">
        <w:rPr>
          <w:rFonts w:ascii="Tahoma" w:hAnsi="Tahoma" w:cs="Tahoma"/>
          <w:b/>
        </w:rPr>
        <w:t>- SENTENCIA DE PRIMERA INSTANCIA</w:t>
      </w:r>
    </w:p>
    <w:p w:rsidR="0059500E" w:rsidRDefault="0059500E" w:rsidP="00B973C3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AD5882" w:rsidRDefault="00B973C3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</w:rPr>
        <w:t xml:space="preserve"> </w:t>
      </w:r>
      <w:r w:rsidR="00D121FA" w:rsidRPr="00B973C3">
        <w:rPr>
          <w:rFonts w:ascii="Tahoma" w:hAnsi="Tahoma" w:cs="Tahoma"/>
          <w:lang w:val="es-CO"/>
        </w:rPr>
        <w:t xml:space="preserve">   </w:t>
      </w:r>
      <w:r w:rsidR="002F1EAD">
        <w:rPr>
          <w:rFonts w:ascii="Tahoma" w:hAnsi="Tahoma" w:cs="Tahoma"/>
          <w:lang w:val="es-CO"/>
        </w:rPr>
        <w:t>La jueza de prim</w:t>
      </w:r>
      <w:r w:rsidR="00DF2E54">
        <w:rPr>
          <w:rFonts w:ascii="Tahoma" w:hAnsi="Tahoma" w:cs="Tahoma"/>
          <w:lang w:val="es-CO"/>
        </w:rPr>
        <w:t>era instancia accedió</w:t>
      </w:r>
      <w:r w:rsidR="00916248">
        <w:rPr>
          <w:rFonts w:ascii="Tahoma" w:hAnsi="Tahoma" w:cs="Tahoma"/>
          <w:lang w:val="es-CO"/>
        </w:rPr>
        <w:t xml:space="preserve"> a las</w:t>
      </w:r>
      <w:r w:rsidR="00DF2E54">
        <w:rPr>
          <w:rFonts w:ascii="Tahoma" w:hAnsi="Tahoma" w:cs="Tahoma"/>
          <w:lang w:val="es-CO"/>
        </w:rPr>
        <w:t xml:space="preserve"> </w:t>
      </w:r>
      <w:r w:rsidR="00CF4BD1">
        <w:rPr>
          <w:rFonts w:ascii="Tahoma" w:hAnsi="Tahoma" w:cs="Tahoma"/>
          <w:lang w:val="es-CO"/>
        </w:rPr>
        <w:t>pretensiones</w:t>
      </w:r>
      <w:r w:rsidR="003C0236">
        <w:rPr>
          <w:rFonts w:ascii="Tahoma" w:hAnsi="Tahoma" w:cs="Tahoma"/>
          <w:lang w:val="es-CO"/>
        </w:rPr>
        <w:t>,</w:t>
      </w:r>
      <w:r w:rsidR="00CF4BD1">
        <w:rPr>
          <w:rFonts w:ascii="Tahoma" w:hAnsi="Tahoma" w:cs="Tahoma"/>
          <w:lang w:val="es-CO"/>
        </w:rPr>
        <w:t xml:space="preserve"> al verificar en los documentos aportados por las partes, que</w:t>
      </w:r>
      <w:r w:rsidR="00916248">
        <w:rPr>
          <w:rFonts w:ascii="Tahoma" w:hAnsi="Tahoma" w:cs="Tahoma"/>
          <w:lang w:val="es-CO"/>
        </w:rPr>
        <w:t xml:space="preserve"> la demandante llegó a la edad de 55 años el 1º de diciembre de 2004 y </w:t>
      </w:r>
      <w:r w:rsidR="003C0236">
        <w:rPr>
          <w:rFonts w:ascii="Tahoma" w:hAnsi="Tahoma" w:cs="Tahoma"/>
          <w:lang w:val="es-CO"/>
        </w:rPr>
        <w:t>antes de la entrada en vigencia de la Ley 100 de 1993</w:t>
      </w:r>
      <w:r w:rsidR="00DF2E54">
        <w:rPr>
          <w:rFonts w:ascii="Tahoma" w:hAnsi="Tahoma" w:cs="Tahoma"/>
          <w:lang w:val="es-CO"/>
        </w:rPr>
        <w:t>,</w:t>
      </w:r>
      <w:r w:rsidR="00CF4BD1">
        <w:rPr>
          <w:rFonts w:ascii="Tahoma" w:hAnsi="Tahoma" w:cs="Tahoma"/>
          <w:lang w:val="es-CO"/>
        </w:rPr>
        <w:t xml:space="preserve"> </w:t>
      </w:r>
      <w:r w:rsidR="00DF2E54">
        <w:rPr>
          <w:rFonts w:ascii="Tahoma" w:hAnsi="Tahoma" w:cs="Tahoma"/>
          <w:lang w:val="es-CO"/>
        </w:rPr>
        <w:t>cotizó a CAJANAL y CASERIS, co</w:t>
      </w:r>
      <w:r w:rsidR="003C0236">
        <w:rPr>
          <w:rFonts w:ascii="Tahoma" w:hAnsi="Tahoma" w:cs="Tahoma"/>
          <w:lang w:val="es-CO"/>
        </w:rPr>
        <w:t>mo empleada de la GOBER</w:t>
      </w:r>
      <w:r w:rsidR="00AD5882">
        <w:rPr>
          <w:rFonts w:ascii="Tahoma" w:hAnsi="Tahoma" w:cs="Tahoma"/>
          <w:lang w:val="es-CO"/>
        </w:rPr>
        <w:t>NACIÓN DE RISARALDA, un poco menos 19</w:t>
      </w:r>
      <w:r w:rsidR="00CF4BD1">
        <w:rPr>
          <w:rFonts w:ascii="Tahoma" w:hAnsi="Tahoma" w:cs="Tahoma"/>
          <w:lang w:val="es-CO"/>
        </w:rPr>
        <w:t xml:space="preserve"> años, así</w:t>
      </w:r>
      <w:r w:rsidR="003C0236">
        <w:rPr>
          <w:rFonts w:ascii="Tahoma" w:hAnsi="Tahoma" w:cs="Tahoma"/>
          <w:lang w:val="es-CO"/>
        </w:rPr>
        <w:t xml:space="preserve">: </w:t>
      </w:r>
      <w:r w:rsidR="003C0236" w:rsidRPr="00FB01F1">
        <w:rPr>
          <w:rFonts w:ascii="Tahoma" w:hAnsi="Tahoma" w:cs="Tahoma"/>
          <w:u w:val="single"/>
          <w:lang w:val="es-CO"/>
        </w:rPr>
        <w:t>entre el 26 de febrero de 1970 y el 31 de enero de 1977, en CAJANAL</w:t>
      </w:r>
      <w:r w:rsidR="003C0236">
        <w:rPr>
          <w:rFonts w:ascii="Tahoma" w:hAnsi="Tahoma" w:cs="Tahoma"/>
          <w:lang w:val="es-CO"/>
        </w:rPr>
        <w:t xml:space="preserve">, y, </w:t>
      </w:r>
      <w:r w:rsidR="003C0236" w:rsidRPr="00FB01F1">
        <w:rPr>
          <w:rFonts w:ascii="Tahoma" w:hAnsi="Tahoma" w:cs="Tahoma"/>
          <w:u w:val="single"/>
          <w:lang w:val="es-CO"/>
        </w:rPr>
        <w:t>entre el 1º de febrero de 1977 y el 15 de enero de 1989, en CASERIS</w:t>
      </w:r>
      <w:r w:rsidR="003C0236">
        <w:rPr>
          <w:rFonts w:ascii="Tahoma" w:hAnsi="Tahoma" w:cs="Tahoma"/>
          <w:lang w:val="es-CO"/>
        </w:rPr>
        <w:t xml:space="preserve">, con 113 días de interrupción acumulados, </w:t>
      </w:r>
      <w:r w:rsidR="003C0236" w:rsidRPr="00FB01F1">
        <w:rPr>
          <w:rFonts w:ascii="Tahoma" w:hAnsi="Tahoma" w:cs="Tahoma"/>
          <w:b/>
          <w:lang w:val="es-CO"/>
        </w:rPr>
        <w:t>para un total de 6687 días cotizados</w:t>
      </w:r>
      <w:r w:rsidR="00FB01F1" w:rsidRPr="00FB01F1">
        <w:rPr>
          <w:rFonts w:ascii="Tahoma" w:hAnsi="Tahoma" w:cs="Tahoma"/>
          <w:b/>
          <w:lang w:val="es-CO"/>
        </w:rPr>
        <w:t xml:space="preserve"> en el </w:t>
      </w:r>
      <w:r w:rsidR="00FB01F1" w:rsidRPr="00FB01F1">
        <w:rPr>
          <w:rFonts w:ascii="Tahoma" w:hAnsi="Tahoma" w:cs="Tahoma"/>
          <w:b/>
          <w:lang w:val="es-CO"/>
        </w:rPr>
        <w:lastRenderedPageBreak/>
        <w:t>sector público</w:t>
      </w:r>
      <w:r w:rsidR="00CF4BD1">
        <w:rPr>
          <w:rFonts w:ascii="Tahoma" w:hAnsi="Tahoma" w:cs="Tahoma"/>
          <w:lang w:val="es-CO"/>
        </w:rPr>
        <w:t>;</w:t>
      </w:r>
      <w:r w:rsidR="00FB01F1">
        <w:rPr>
          <w:rFonts w:ascii="Tahoma" w:hAnsi="Tahoma" w:cs="Tahoma"/>
          <w:lang w:val="es-CO"/>
        </w:rPr>
        <w:t xml:space="preserve"> con los cuales,</w:t>
      </w:r>
      <w:r w:rsidR="003C0236">
        <w:rPr>
          <w:rFonts w:ascii="Tahoma" w:hAnsi="Tahoma" w:cs="Tahoma"/>
          <w:lang w:val="es-CO"/>
        </w:rPr>
        <w:t xml:space="preserve"> sumados a los 660 días cotizados </w:t>
      </w:r>
      <w:r w:rsidR="00FB01F1">
        <w:rPr>
          <w:rFonts w:ascii="Tahoma" w:hAnsi="Tahoma" w:cs="Tahoma"/>
          <w:lang w:val="es-CO"/>
        </w:rPr>
        <w:t>a</w:t>
      </w:r>
      <w:r w:rsidR="003C0236">
        <w:rPr>
          <w:rFonts w:ascii="Tahoma" w:hAnsi="Tahoma" w:cs="Tahoma"/>
          <w:lang w:val="es-CO"/>
        </w:rPr>
        <w:t xml:space="preserve"> COLPENSIONES, </w:t>
      </w:r>
      <w:r w:rsidR="003C0236" w:rsidRPr="00916248">
        <w:rPr>
          <w:rFonts w:ascii="Tahoma" w:hAnsi="Tahoma" w:cs="Tahoma"/>
          <w:u w:val="single"/>
          <w:lang w:val="es-CO"/>
        </w:rPr>
        <w:t>entre el 1º de enero de 2012 y el 31 de octubre de 2013</w:t>
      </w:r>
      <w:r w:rsidR="00FB01F1">
        <w:rPr>
          <w:rFonts w:ascii="Tahoma" w:hAnsi="Tahoma" w:cs="Tahoma"/>
          <w:lang w:val="es-CO"/>
        </w:rPr>
        <w:t xml:space="preserve">, acredita un total de </w:t>
      </w:r>
      <w:r w:rsidR="00AD5882">
        <w:rPr>
          <w:rFonts w:ascii="Tahoma" w:hAnsi="Tahoma" w:cs="Tahoma"/>
          <w:lang w:val="es-CO"/>
        </w:rPr>
        <w:t>20 años, 6 meses y 15 días de cotizaciones, todo lo cual fue reconocido</w:t>
      </w:r>
      <w:r w:rsidR="00CF4BD1">
        <w:rPr>
          <w:rFonts w:ascii="Tahoma" w:hAnsi="Tahoma" w:cs="Tahoma"/>
          <w:lang w:val="es-CO"/>
        </w:rPr>
        <w:t xml:space="preserve"> por la entidad demandada</w:t>
      </w:r>
      <w:r w:rsidR="00AD5882">
        <w:rPr>
          <w:rFonts w:ascii="Tahoma" w:hAnsi="Tahoma" w:cs="Tahoma"/>
          <w:lang w:val="es-CO"/>
        </w:rPr>
        <w:t xml:space="preserve"> en la Resolución GNR213849 del 12 de junio de 20</w:t>
      </w:r>
      <w:r w:rsidR="00CF4BD1">
        <w:rPr>
          <w:rFonts w:ascii="Tahoma" w:hAnsi="Tahoma" w:cs="Tahoma"/>
          <w:lang w:val="es-CO"/>
        </w:rPr>
        <w:t>14, mediante la cual negó el derecho a la pretensora.</w:t>
      </w:r>
    </w:p>
    <w:p w:rsidR="00AD5882" w:rsidRDefault="00AD5882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</w:p>
    <w:p w:rsidR="00DF129C" w:rsidRDefault="00AD5882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De otra parte, en lo que guarda relación con las razones</w:t>
      </w:r>
      <w:r w:rsidR="00CF4BD1">
        <w:rPr>
          <w:rFonts w:ascii="Tahoma" w:hAnsi="Tahoma" w:cs="Tahoma"/>
          <w:lang w:val="es-CO"/>
        </w:rPr>
        <w:t xml:space="preserve"> aducidas por la demandada para rechazar la</w:t>
      </w:r>
      <w:r>
        <w:rPr>
          <w:rFonts w:ascii="Tahoma" w:hAnsi="Tahoma" w:cs="Tahoma"/>
          <w:lang w:val="es-CO"/>
        </w:rPr>
        <w:t xml:space="preserve"> solicitud p</w:t>
      </w:r>
      <w:r w:rsidR="00CF4BD1">
        <w:rPr>
          <w:rFonts w:ascii="Tahoma" w:hAnsi="Tahoma" w:cs="Tahoma"/>
          <w:lang w:val="es-CO"/>
        </w:rPr>
        <w:t xml:space="preserve">ensional elevada por la señora Talero Mahecha, señaló </w:t>
      </w:r>
      <w:r>
        <w:rPr>
          <w:rFonts w:ascii="Tahoma" w:hAnsi="Tahoma" w:cs="Tahoma"/>
          <w:lang w:val="es-CO"/>
        </w:rPr>
        <w:t>que</w:t>
      </w:r>
      <w:r w:rsidR="00DF129C">
        <w:rPr>
          <w:rFonts w:ascii="Tahoma" w:hAnsi="Tahoma" w:cs="Tahoma"/>
          <w:lang w:val="es-CO"/>
        </w:rPr>
        <w:t>,</w:t>
      </w:r>
      <w:r w:rsidR="00E12976">
        <w:rPr>
          <w:rFonts w:ascii="Tahoma" w:hAnsi="Tahoma" w:cs="Tahoma"/>
          <w:lang w:val="es-CO"/>
        </w:rPr>
        <w:t xml:space="preserve"> en síntesis,</w:t>
      </w:r>
      <w:r w:rsidR="00105C58">
        <w:rPr>
          <w:rFonts w:ascii="Tahoma" w:hAnsi="Tahoma" w:cs="Tahoma"/>
          <w:lang w:val="es-CO"/>
        </w:rPr>
        <w:t xml:space="preserve"> atendiendo</w:t>
      </w:r>
      <w:r w:rsidR="00DF129C">
        <w:rPr>
          <w:rFonts w:ascii="Tahoma" w:hAnsi="Tahoma" w:cs="Tahoma"/>
          <w:lang w:val="es-CO"/>
        </w:rPr>
        <w:t xml:space="preserve"> las circunstancias del caso concreto, no era viable la aplicación</w:t>
      </w:r>
      <w:r>
        <w:rPr>
          <w:rFonts w:ascii="Tahoma" w:hAnsi="Tahoma" w:cs="Tahoma"/>
          <w:lang w:val="es-CO"/>
        </w:rPr>
        <w:t xml:space="preserve"> del artículo 10 del De</w:t>
      </w:r>
      <w:r w:rsidR="00DF129C">
        <w:rPr>
          <w:rFonts w:ascii="Tahoma" w:hAnsi="Tahoma" w:cs="Tahoma"/>
          <w:lang w:val="es-CO"/>
        </w:rPr>
        <w:t>creto 2709 de 1994,</w:t>
      </w:r>
      <w:r>
        <w:rPr>
          <w:rFonts w:ascii="Tahoma" w:hAnsi="Tahoma" w:cs="Tahoma"/>
          <w:lang w:val="es-CO"/>
        </w:rPr>
        <w:t xml:space="preserve"> por cuanto la caja de la previsión social</w:t>
      </w:r>
      <w:r w:rsidR="00DF129C">
        <w:rPr>
          <w:rFonts w:ascii="Tahoma" w:hAnsi="Tahoma" w:cs="Tahoma"/>
          <w:lang w:val="es-CO"/>
        </w:rPr>
        <w:t xml:space="preserve"> en la que</w:t>
      </w:r>
      <w:r>
        <w:rPr>
          <w:rFonts w:ascii="Tahoma" w:hAnsi="Tahoma" w:cs="Tahoma"/>
          <w:lang w:val="es-CO"/>
        </w:rPr>
        <w:t xml:space="preserve"> </w:t>
      </w:r>
      <w:r w:rsidR="00DF129C">
        <w:rPr>
          <w:rFonts w:ascii="Tahoma" w:hAnsi="Tahoma" w:cs="Tahoma"/>
          <w:lang w:val="es-CO"/>
        </w:rPr>
        <w:t>la demandante había efectuado el mayor tiempo de aportes</w:t>
      </w:r>
      <w:r>
        <w:rPr>
          <w:rFonts w:ascii="Tahoma" w:hAnsi="Tahoma" w:cs="Tahoma"/>
          <w:lang w:val="es-CO"/>
        </w:rPr>
        <w:t xml:space="preserve"> era CASERIS</w:t>
      </w:r>
      <w:r w:rsidR="00DF129C">
        <w:rPr>
          <w:rFonts w:ascii="Tahoma" w:hAnsi="Tahoma" w:cs="Tahoma"/>
          <w:lang w:val="es-CO"/>
        </w:rPr>
        <w:t>, que hace años fue</w:t>
      </w:r>
      <w:r>
        <w:rPr>
          <w:rFonts w:ascii="Tahoma" w:hAnsi="Tahoma" w:cs="Tahoma"/>
          <w:lang w:val="es-CO"/>
        </w:rPr>
        <w:t xml:space="preserve"> l</w:t>
      </w:r>
      <w:r w:rsidR="00DF129C">
        <w:rPr>
          <w:rFonts w:ascii="Tahoma" w:hAnsi="Tahoma" w:cs="Tahoma"/>
          <w:lang w:val="es-CO"/>
        </w:rPr>
        <w:t>iquidada y sustituida directamente por la GOBERN</w:t>
      </w:r>
      <w:r w:rsidR="00916248">
        <w:rPr>
          <w:rFonts w:ascii="Tahoma" w:hAnsi="Tahoma" w:cs="Tahoma"/>
          <w:lang w:val="es-CO"/>
        </w:rPr>
        <w:t>ACIÓN DE RISARALDA, entidad que</w:t>
      </w:r>
      <w:r w:rsidR="00DF129C">
        <w:rPr>
          <w:rFonts w:ascii="Tahoma" w:hAnsi="Tahoma" w:cs="Tahoma"/>
          <w:lang w:val="es-CO"/>
        </w:rPr>
        <w:t xml:space="preserve"> de acuerdo a lo previsto en la Ley 100 de 1993, no tiene a su cargo el reconocimiento de pensiones dentro del Régimen de Prima Media con Prestación Definida.</w:t>
      </w:r>
    </w:p>
    <w:p w:rsidR="00DF129C" w:rsidRDefault="00DF129C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</w:p>
    <w:p w:rsidR="007A60FD" w:rsidRDefault="00DF129C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En ese orden, le impuso el pa</w:t>
      </w:r>
      <w:r w:rsidR="00CF4BD1">
        <w:rPr>
          <w:rFonts w:ascii="Tahoma" w:hAnsi="Tahoma" w:cs="Tahoma"/>
          <w:lang w:val="es-CO"/>
        </w:rPr>
        <w:t>go de la pensión a la demandada</w:t>
      </w:r>
      <w:r>
        <w:rPr>
          <w:rFonts w:ascii="Tahoma" w:hAnsi="Tahoma" w:cs="Tahoma"/>
          <w:lang w:val="es-CO"/>
        </w:rPr>
        <w:t xml:space="preserve"> desde el</w:t>
      </w:r>
      <w:r w:rsidR="00CF4BD1">
        <w:rPr>
          <w:rFonts w:ascii="Tahoma" w:hAnsi="Tahoma" w:cs="Tahoma"/>
          <w:lang w:val="es-CO"/>
        </w:rPr>
        <w:t xml:space="preserve"> 23 de noviembre de 2013, con una mesada</w:t>
      </w:r>
      <w:r w:rsidR="00916248">
        <w:rPr>
          <w:rFonts w:ascii="Tahoma" w:hAnsi="Tahoma" w:cs="Tahoma"/>
          <w:lang w:val="es-CO"/>
        </w:rPr>
        <w:t xml:space="preserve"> pensional</w:t>
      </w:r>
      <w:r w:rsidR="00CF4BD1">
        <w:rPr>
          <w:rFonts w:ascii="Tahoma" w:hAnsi="Tahoma" w:cs="Tahoma"/>
          <w:lang w:val="es-CO"/>
        </w:rPr>
        <w:t xml:space="preserve"> de </w:t>
      </w:r>
      <w:r w:rsidR="00CF4BD1" w:rsidRPr="00C234F9">
        <w:rPr>
          <w:rFonts w:ascii="Tahoma" w:hAnsi="Tahoma" w:cs="Tahoma"/>
          <w:b/>
          <w:lang w:val="es-CO"/>
        </w:rPr>
        <w:t>$1.203.996</w:t>
      </w:r>
      <w:r w:rsidR="00916248">
        <w:rPr>
          <w:rFonts w:ascii="Tahoma" w:hAnsi="Tahoma" w:cs="Tahoma"/>
          <w:lang w:val="es-CO"/>
        </w:rPr>
        <w:t>,</w:t>
      </w:r>
      <w:r w:rsidR="00367655">
        <w:rPr>
          <w:rFonts w:ascii="Tahoma" w:hAnsi="Tahoma" w:cs="Tahoma"/>
          <w:lang w:val="es-CO"/>
        </w:rPr>
        <w:t xml:space="preserve"> el pago de intereses moratorios desde la fecha de ejecutoria del fallo de instancia,</w:t>
      </w:r>
      <w:r w:rsidR="00916248">
        <w:rPr>
          <w:rFonts w:ascii="Tahoma" w:hAnsi="Tahoma" w:cs="Tahoma"/>
          <w:lang w:val="es-CO"/>
        </w:rPr>
        <w:t xml:space="preserve"> y además</w:t>
      </w:r>
      <w:r w:rsidR="00367655">
        <w:rPr>
          <w:rFonts w:ascii="Tahoma" w:hAnsi="Tahoma" w:cs="Tahoma"/>
          <w:lang w:val="es-CO"/>
        </w:rPr>
        <w:t>, en adición a</w:t>
      </w:r>
      <w:r w:rsidR="007A60FD">
        <w:rPr>
          <w:rFonts w:ascii="Tahoma" w:hAnsi="Tahoma" w:cs="Tahoma"/>
          <w:lang w:val="es-CO"/>
        </w:rPr>
        <w:t xml:space="preserve"> la sentencia,</w:t>
      </w:r>
      <w:r w:rsidR="00105C58">
        <w:rPr>
          <w:rFonts w:ascii="Tahoma" w:hAnsi="Tahoma" w:cs="Tahoma"/>
          <w:lang w:val="es-CO"/>
        </w:rPr>
        <w:t xml:space="preserve"> le “ordenó</w:t>
      </w:r>
      <w:r w:rsidR="00916248">
        <w:rPr>
          <w:rFonts w:ascii="Tahoma" w:hAnsi="Tahoma" w:cs="Tahoma"/>
          <w:lang w:val="es-CO"/>
        </w:rPr>
        <w:t>” que obtenga los bonos pensionales emitidos por CAJANAL y CASERIS para que pueda hacer el reconocimiento de las prestaciones económicas.</w:t>
      </w:r>
    </w:p>
    <w:p w:rsidR="007A60FD" w:rsidRDefault="007A60FD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</w:p>
    <w:p w:rsidR="007A60FD" w:rsidRDefault="007A60FD" w:rsidP="007A60FD">
      <w:pPr>
        <w:spacing w:line="276" w:lineRule="auto"/>
        <w:ind w:firstLine="708"/>
        <w:jc w:val="center"/>
        <w:rPr>
          <w:rFonts w:ascii="Tahoma" w:hAnsi="Tahoma" w:cs="Tahoma"/>
          <w:b/>
          <w:lang w:val="es-CO"/>
        </w:rPr>
      </w:pPr>
      <w:r w:rsidRPr="007A60FD">
        <w:rPr>
          <w:rFonts w:ascii="Tahoma" w:hAnsi="Tahoma" w:cs="Tahoma"/>
          <w:b/>
          <w:lang w:val="es-CO"/>
        </w:rPr>
        <w:t>III- CONSIDERACIONES</w:t>
      </w:r>
    </w:p>
    <w:p w:rsidR="007A60FD" w:rsidRDefault="007A60FD" w:rsidP="007A60FD">
      <w:pPr>
        <w:spacing w:line="276" w:lineRule="auto"/>
        <w:ind w:firstLine="708"/>
        <w:jc w:val="center"/>
        <w:rPr>
          <w:rFonts w:ascii="Tahoma" w:hAnsi="Tahoma" w:cs="Tahoma"/>
          <w:b/>
          <w:lang w:val="es-CO"/>
        </w:rPr>
      </w:pPr>
    </w:p>
    <w:p w:rsidR="007A60FD" w:rsidRDefault="007A60FD" w:rsidP="007A60FD">
      <w:pPr>
        <w:spacing w:line="276" w:lineRule="auto"/>
        <w:ind w:firstLine="708"/>
        <w:jc w:val="center"/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b/>
          <w:lang w:val="es-CO"/>
        </w:rPr>
        <w:t>3.1. HECHOS COMPROBADOS</w:t>
      </w:r>
    </w:p>
    <w:p w:rsidR="007A60FD" w:rsidRDefault="007A60FD" w:rsidP="007A60FD">
      <w:pPr>
        <w:spacing w:line="276" w:lineRule="auto"/>
        <w:ind w:firstLine="708"/>
        <w:jc w:val="center"/>
        <w:rPr>
          <w:rFonts w:ascii="Tahoma" w:hAnsi="Tahoma" w:cs="Tahoma"/>
          <w:b/>
          <w:lang w:val="es-CO"/>
        </w:rPr>
      </w:pPr>
    </w:p>
    <w:p w:rsidR="007A60FD" w:rsidRDefault="007A60FD" w:rsidP="002C0C94">
      <w:pPr>
        <w:spacing w:line="276" w:lineRule="auto"/>
        <w:ind w:firstLine="708"/>
        <w:jc w:val="both"/>
        <w:rPr>
          <w:rFonts w:ascii="Tahoma" w:hAnsi="Tahoma" w:cs="Tahoma"/>
          <w:b/>
          <w:lang w:val="es-CO"/>
        </w:rPr>
      </w:pPr>
      <w:r w:rsidRPr="00FA04F3">
        <w:rPr>
          <w:rFonts w:ascii="Tahoma" w:hAnsi="Tahoma" w:cs="Tahoma"/>
          <w:lang w:val="es-CO"/>
        </w:rPr>
        <w:t>De acuerdo al acervo probatorio allegado al proceso, específicamente la Resolución</w:t>
      </w:r>
      <w:r w:rsidR="00674DB8" w:rsidRPr="00FA04F3">
        <w:rPr>
          <w:rFonts w:ascii="Tahoma" w:hAnsi="Tahoma" w:cs="Tahoma"/>
          <w:lang w:val="es-CO"/>
        </w:rPr>
        <w:t xml:space="preserve"> G</w:t>
      </w:r>
      <w:r w:rsidR="003B4A44" w:rsidRPr="00FA04F3">
        <w:rPr>
          <w:rFonts w:ascii="Tahoma" w:hAnsi="Tahoma" w:cs="Tahoma"/>
          <w:lang w:val="es-CO"/>
        </w:rPr>
        <w:t>NR 213849 del 12 de junio de 2014</w:t>
      </w:r>
      <w:r w:rsidR="00367655">
        <w:rPr>
          <w:rFonts w:ascii="Tahoma" w:hAnsi="Tahoma" w:cs="Tahoma"/>
          <w:lang w:val="es-CO"/>
        </w:rPr>
        <w:t xml:space="preserve"> (</w:t>
      </w:r>
      <w:proofErr w:type="spellStart"/>
      <w:r w:rsidR="00367655">
        <w:rPr>
          <w:rFonts w:ascii="Tahoma" w:hAnsi="Tahoma" w:cs="Tahoma"/>
          <w:lang w:val="es-CO"/>
        </w:rPr>
        <w:t>Fl</w:t>
      </w:r>
      <w:proofErr w:type="spellEnd"/>
      <w:r w:rsidR="00367655">
        <w:rPr>
          <w:rFonts w:ascii="Tahoma" w:hAnsi="Tahoma" w:cs="Tahoma"/>
          <w:lang w:val="es-CO"/>
        </w:rPr>
        <w:t>. 19)</w:t>
      </w:r>
      <w:r w:rsidR="003B4A44" w:rsidRPr="00FA04F3">
        <w:rPr>
          <w:rFonts w:ascii="Tahoma" w:hAnsi="Tahoma" w:cs="Tahoma"/>
          <w:lang w:val="es-CO"/>
        </w:rPr>
        <w:t>,</w:t>
      </w:r>
      <w:r w:rsidRPr="00FA04F3">
        <w:rPr>
          <w:rFonts w:ascii="Tahoma" w:hAnsi="Tahoma" w:cs="Tahoma"/>
          <w:lang w:val="es-CO"/>
        </w:rPr>
        <w:t xml:space="preserve"> por medio de la cual</w:t>
      </w:r>
      <w:r>
        <w:rPr>
          <w:rFonts w:ascii="Tahoma" w:hAnsi="Tahoma" w:cs="Tahoma"/>
          <w:b/>
          <w:lang w:val="es-CO"/>
        </w:rPr>
        <w:t xml:space="preserve"> COLPENSIONES </w:t>
      </w:r>
      <w:r w:rsidRPr="00FA04F3">
        <w:rPr>
          <w:rFonts w:ascii="Tahoma" w:hAnsi="Tahoma" w:cs="Tahoma"/>
          <w:lang w:val="es-CO"/>
        </w:rPr>
        <w:t xml:space="preserve">le negó la pensión a la señora </w:t>
      </w:r>
      <w:r>
        <w:rPr>
          <w:rFonts w:ascii="Tahoma" w:hAnsi="Tahoma" w:cs="Tahoma"/>
          <w:b/>
          <w:lang w:val="es-CO"/>
        </w:rPr>
        <w:t>MARIA EDITH TALERO MAHECHA</w:t>
      </w:r>
      <w:r w:rsidR="002C0C94" w:rsidRPr="00FA04F3">
        <w:rPr>
          <w:rFonts w:ascii="Tahoma" w:hAnsi="Tahoma" w:cs="Tahoma"/>
          <w:lang w:val="es-CO"/>
        </w:rPr>
        <w:t xml:space="preserve">, es evidente que </w:t>
      </w:r>
      <w:r w:rsidR="00FA04F3">
        <w:rPr>
          <w:rFonts w:ascii="Tahoma" w:hAnsi="Tahoma" w:cs="Tahoma"/>
          <w:lang w:val="es-CO"/>
        </w:rPr>
        <w:t>esta</w:t>
      </w:r>
      <w:r w:rsidR="002C0C94" w:rsidRPr="00FA04F3">
        <w:rPr>
          <w:rFonts w:ascii="Tahoma" w:hAnsi="Tahoma" w:cs="Tahoma"/>
          <w:lang w:val="es-CO"/>
        </w:rPr>
        <w:t xml:space="preserve"> llegó a la edad de 55 años el 1º de diciembre de 2004 y que logró acreditar más de 20 años de aportaciones</w:t>
      </w:r>
      <w:r w:rsidRPr="00FA04F3">
        <w:rPr>
          <w:rFonts w:ascii="Tahoma" w:hAnsi="Tahoma" w:cs="Tahoma"/>
          <w:lang w:val="es-CO"/>
        </w:rPr>
        <w:t xml:space="preserve"> a las Cajas de Previsión Social del Sector público, </w:t>
      </w:r>
      <w:r>
        <w:rPr>
          <w:rFonts w:ascii="Tahoma" w:hAnsi="Tahoma" w:cs="Tahoma"/>
          <w:b/>
          <w:lang w:val="es-CO"/>
        </w:rPr>
        <w:t>CAJANAL y CASERIS</w:t>
      </w:r>
      <w:r w:rsidR="002C0C94">
        <w:rPr>
          <w:rFonts w:ascii="Tahoma" w:hAnsi="Tahoma" w:cs="Tahoma"/>
          <w:b/>
          <w:lang w:val="es-CO"/>
        </w:rPr>
        <w:t>,</w:t>
      </w:r>
      <w:r w:rsidR="002C0C94" w:rsidRPr="00FA04F3">
        <w:rPr>
          <w:rFonts w:ascii="Tahoma" w:hAnsi="Tahoma" w:cs="Tahoma"/>
          <w:lang w:val="es-CO"/>
        </w:rPr>
        <w:t xml:space="preserve"> y al </w:t>
      </w:r>
      <w:r w:rsidR="002C0C94">
        <w:rPr>
          <w:rFonts w:ascii="Tahoma" w:hAnsi="Tahoma" w:cs="Tahoma"/>
          <w:b/>
          <w:lang w:val="es-CO"/>
        </w:rPr>
        <w:t>INSTITUTO DE SEGUROS SOCIALES –</w:t>
      </w:r>
      <w:r w:rsidR="002C0C94" w:rsidRPr="00FA04F3">
        <w:rPr>
          <w:rFonts w:ascii="Tahoma" w:hAnsi="Tahoma" w:cs="Tahoma"/>
          <w:lang w:val="es-CO"/>
        </w:rPr>
        <w:t>Hoy</w:t>
      </w:r>
      <w:r w:rsidR="002C0C94">
        <w:rPr>
          <w:rFonts w:ascii="Tahoma" w:hAnsi="Tahoma" w:cs="Tahoma"/>
          <w:b/>
          <w:lang w:val="es-CO"/>
        </w:rPr>
        <w:t xml:space="preserve"> COLPENSIONES-</w:t>
      </w:r>
    </w:p>
    <w:p w:rsidR="007A60FD" w:rsidRDefault="007A60FD" w:rsidP="007A60FD">
      <w:pPr>
        <w:spacing w:line="276" w:lineRule="auto"/>
        <w:ind w:firstLine="708"/>
        <w:jc w:val="center"/>
        <w:rPr>
          <w:rFonts w:ascii="Tahoma" w:hAnsi="Tahoma" w:cs="Tahoma"/>
          <w:b/>
          <w:lang w:val="es-CO"/>
        </w:rPr>
      </w:pPr>
    </w:p>
    <w:p w:rsidR="007A60FD" w:rsidRPr="007A60FD" w:rsidRDefault="00105C58" w:rsidP="007A60FD">
      <w:pPr>
        <w:spacing w:line="276" w:lineRule="auto"/>
        <w:ind w:firstLine="708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caps/>
          <w:lang w:val="es-CO"/>
        </w:rPr>
        <w:t>3.2</w:t>
      </w:r>
      <w:r w:rsidR="007A60FD" w:rsidRPr="007A60FD">
        <w:rPr>
          <w:rFonts w:ascii="Tahoma" w:hAnsi="Tahoma" w:cs="Tahoma"/>
          <w:b/>
          <w:caps/>
          <w:lang w:val="es-CO"/>
        </w:rPr>
        <w:t xml:space="preserve">. </w:t>
      </w:r>
      <w:r w:rsidR="007A60FD" w:rsidRPr="007A60FD">
        <w:rPr>
          <w:rFonts w:ascii="Tahoma" w:hAnsi="Tahoma" w:cs="Tahoma"/>
          <w:b/>
          <w:bCs/>
          <w:caps/>
          <w:szCs w:val="18"/>
        </w:rPr>
        <w:t>Pensión de jubilaci</w:t>
      </w:r>
      <w:r w:rsidR="007A60FD">
        <w:rPr>
          <w:rFonts w:ascii="Tahoma" w:hAnsi="Tahoma" w:cs="Tahoma"/>
          <w:b/>
          <w:bCs/>
          <w:caps/>
          <w:szCs w:val="18"/>
        </w:rPr>
        <w:t>ón por aportes – Ley 71 de 1988</w:t>
      </w:r>
      <w:r w:rsidR="00FA04F3">
        <w:rPr>
          <w:rFonts w:ascii="Tahoma" w:hAnsi="Tahoma" w:cs="Tahoma"/>
          <w:b/>
          <w:bCs/>
          <w:caps/>
          <w:szCs w:val="18"/>
        </w:rPr>
        <w:t>-</w:t>
      </w:r>
      <w:r w:rsidR="007A60FD" w:rsidRPr="007A60FD">
        <w:rPr>
          <w:rFonts w:ascii="Tahoma" w:hAnsi="Tahoma" w:cs="Tahoma"/>
          <w:bCs/>
          <w:sz w:val="18"/>
          <w:szCs w:val="18"/>
        </w:rPr>
        <w:t xml:space="preserve"> </w:t>
      </w:r>
    </w:p>
    <w:p w:rsidR="007A60FD" w:rsidRDefault="007A60FD" w:rsidP="007A60FD">
      <w:pPr>
        <w:spacing w:line="276" w:lineRule="auto"/>
        <w:ind w:firstLine="708"/>
        <w:jc w:val="center"/>
        <w:rPr>
          <w:rFonts w:ascii="Tahoma" w:hAnsi="Tahoma" w:cs="Tahoma"/>
          <w:bCs/>
          <w:sz w:val="18"/>
          <w:szCs w:val="18"/>
        </w:rPr>
      </w:pPr>
    </w:p>
    <w:p w:rsidR="007A60FD" w:rsidRDefault="007A60FD" w:rsidP="007A60FD">
      <w:pPr>
        <w:spacing w:line="276" w:lineRule="auto"/>
        <w:ind w:firstLine="708"/>
        <w:jc w:val="both"/>
        <w:rPr>
          <w:rFonts w:ascii="Tahoma" w:hAnsi="Tahoma" w:cs="Tahoma"/>
          <w:bCs/>
          <w:szCs w:val="18"/>
        </w:rPr>
      </w:pPr>
      <w:r w:rsidRPr="007A60FD">
        <w:rPr>
          <w:rFonts w:ascii="Tahoma" w:hAnsi="Tahoma" w:cs="Tahoma"/>
          <w:bCs/>
          <w:szCs w:val="18"/>
        </w:rPr>
        <w:t xml:space="preserve">Demostrado como está que la </w:t>
      </w:r>
      <w:r w:rsidR="00FA04F3">
        <w:rPr>
          <w:rFonts w:ascii="Tahoma" w:hAnsi="Tahoma" w:cs="Tahoma"/>
          <w:bCs/>
          <w:szCs w:val="18"/>
        </w:rPr>
        <w:t xml:space="preserve">demandante: </w:t>
      </w:r>
      <w:r w:rsidR="00FA04F3" w:rsidRPr="00FA04F3">
        <w:rPr>
          <w:rFonts w:ascii="Tahoma" w:hAnsi="Tahoma" w:cs="Tahoma"/>
          <w:b/>
          <w:bCs/>
          <w:szCs w:val="18"/>
        </w:rPr>
        <w:t>1)</w:t>
      </w:r>
      <w:r w:rsidR="00FA04F3">
        <w:rPr>
          <w:rFonts w:ascii="Tahoma" w:hAnsi="Tahoma" w:cs="Tahoma"/>
          <w:bCs/>
          <w:szCs w:val="18"/>
        </w:rPr>
        <w:t xml:space="preserve"> es beneficiaria de la</w:t>
      </w:r>
      <w:r w:rsidRPr="007A60FD">
        <w:rPr>
          <w:rFonts w:ascii="Tahoma" w:hAnsi="Tahoma" w:cs="Tahoma"/>
          <w:bCs/>
          <w:szCs w:val="18"/>
        </w:rPr>
        <w:t xml:space="preserve">s </w:t>
      </w:r>
      <w:r w:rsidR="00FA04F3">
        <w:rPr>
          <w:rFonts w:ascii="Tahoma" w:hAnsi="Tahoma" w:cs="Tahoma"/>
          <w:bCs/>
          <w:szCs w:val="18"/>
        </w:rPr>
        <w:t>ventajas</w:t>
      </w:r>
      <w:r w:rsidR="002A3EC9">
        <w:rPr>
          <w:rFonts w:ascii="Tahoma" w:hAnsi="Tahoma" w:cs="Tahoma"/>
          <w:bCs/>
          <w:szCs w:val="18"/>
        </w:rPr>
        <w:t xml:space="preserve"> transicionales consagrada</w:t>
      </w:r>
      <w:r w:rsidRPr="007A60FD">
        <w:rPr>
          <w:rFonts w:ascii="Tahoma" w:hAnsi="Tahoma" w:cs="Tahoma"/>
          <w:bCs/>
          <w:szCs w:val="18"/>
        </w:rPr>
        <w:t>s en el artículo 36 de la Ley 100 de 1993,</w:t>
      </w:r>
      <w:r w:rsidR="00FA04F3">
        <w:rPr>
          <w:rFonts w:ascii="Tahoma" w:hAnsi="Tahoma" w:cs="Tahoma"/>
          <w:bCs/>
          <w:szCs w:val="18"/>
        </w:rPr>
        <w:t xml:space="preserve"> pues contaba con más de 35 años de edad a la fecha de su entrada en vigencia </w:t>
      </w:r>
      <w:r w:rsidR="002A3EC9">
        <w:rPr>
          <w:rFonts w:ascii="Tahoma" w:hAnsi="Tahoma" w:cs="Tahoma"/>
          <w:bCs/>
          <w:szCs w:val="18"/>
        </w:rPr>
        <w:t>-el 1º de abril de 2014-</w:t>
      </w:r>
      <w:r w:rsidR="00FA04F3">
        <w:rPr>
          <w:rFonts w:ascii="Tahoma" w:hAnsi="Tahoma" w:cs="Tahoma"/>
          <w:bCs/>
          <w:szCs w:val="18"/>
        </w:rPr>
        <w:t xml:space="preserve"> y había cotizado más 750 semanas a 29 de julio de 2005, fecha de promulgación del acto legislativo 01 de 2005; </w:t>
      </w:r>
      <w:r w:rsidR="00FA04F3" w:rsidRPr="00FA04F3">
        <w:rPr>
          <w:rFonts w:ascii="Tahoma" w:hAnsi="Tahoma" w:cs="Tahoma"/>
          <w:b/>
          <w:bCs/>
          <w:szCs w:val="18"/>
        </w:rPr>
        <w:t>2)</w:t>
      </w:r>
      <w:r w:rsidR="00FA04F3">
        <w:rPr>
          <w:rFonts w:ascii="Tahoma" w:hAnsi="Tahoma" w:cs="Tahoma"/>
          <w:bCs/>
          <w:szCs w:val="18"/>
        </w:rPr>
        <w:t xml:space="preserve"> q</w:t>
      </w:r>
      <w:r w:rsidRPr="007A60FD">
        <w:rPr>
          <w:rFonts w:ascii="Tahoma" w:hAnsi="Tahoma" w:cs="Tahoma"/>
          <w:bCs/>
          <w:szCs w:val="18"/>
        </w:rPr>
        <w:t>ue llegó a la edad de 55 años el</w:t>
      </w:r>
      <w:r>
        <w:rPr>
          <w:rFonts w:ascii="Tahoma" w:hAnsi="Tahoma" w:cs="Tahoma"/>
          <w:bCs/>
          <w:szCs w:val="18"/>
        </w:rPr>
        <w:t xml:space="preserve"> 1</w:t>
      </w:r>
      <w:r w:rsidRPr="007A60FD">
        <w:rPr>
          <w:rFonts w:ascii="Tahoma" w:hAnsi="Tahoma" w:cs="Tahoma"/>
          <w:bCs/>
          <w:szCs w:val="18"/>
        </w:rPr>
        <w:t>º de diciembre de 2004 y</w:t>
      </w:r>
      <w:r w:rsidR="00FA04F3">
        <w:rPr>
          <w:rFonts w:ascii="Tahoma" w:hAnsi="Tahoma" w:cs="Tahoma"/>
          <w:bCs/>
          <w:szCs w:val="18"/>
        </w:rPr>
        <w:t xml:space="preserve">, </w:t>
      </w:r>
      <w:r w:rsidR="00FA04F3" w:rsidRPr="00FA04F3">
        <w:rPr>
          <w:rFonts w:ascii="Tahoma" w:hAnsi="Tahoma" w:cs="Tahoma"/>
          <w:b/>
          <w:bCs/>
          <w:szCs w:val="18"/>
        </w:rPr>
        <w:t>3)</w:t>
      </w:r>
      <w:r w:rsidR="00FA04F3">
        <w:rPr>
          <w:rFonts w:ascii="Tahoma" w:hAnsi="Tahoma" w:cs="Tahoma"/>
          <w:bCs/>
          <w:szCs w:val="18"/>
        </w:rPr>
        <w:t xml:space="preserve"> q</w:t>
      </w:r>
      <w:r w:rsidRPr="007A60FD">
        <w:rPr>
          <w:rFonts w:ascii="Tahoma" w:hAnsi="Tahoma" w:cs="Tahoma"/>
          <w:bCs/>
          <w:szCs w:val="18"/>
        </w:rPr>
        <w:t xml:space="preserve">ue cuenta con más de 20 años cotizados a </w:t>
      </w:r>
      <w:r w:rsidR="00FA04F3">
        <w:rPr>
          <w:rFonts w:ascii="Tahoma" w:hAnsi="Tahoma" w:cs="Tahoma"/>
          <w:bCs/>
          <w:szCs w:val="18"/>
        </w:rPr>
        <w:t>los sectores público y privado; e</w:t>
      </w:r>
      <w:r w:rsidRPr="007A60FD">
        <w:rPr>
          <w:rFonts w:ascii="Tahoma" w:hAnsi="Tahoma" w:cs="Tahoma"/>
          <w:bCs/>
          <w:szCs w:val="18"/>
        </w:rPr>
        <w:t>s evidente que la determinación de la Jueza de primer grado, de concederle la pensión de jubilación por aportes, conforme a las previsiones del artículo 7 de la Ley 71 de 1988, se encuentra ajustada a derecho.</w:t>
      </w:r>
    </w:p>
    <w:p w:rsidR="00FA04F3" w:rsidRDefault="00FA04F3" w:rsidP="007A60FD">
      <w:pPr>
        <w:spacing w:line="276" w:lineRule="auto"/>
        <w:ind w:firstLine="708"/>
        <w:jc w:val="both"/>
        <w:rPr>
          <w:rFonts w:ascii="Tahoma" w:hAnsi="Tahoma" w:cs="Tahoma"/>
          <w:bCs/>
          <w:szCs w:val="18"/>
        </w:rPr>
      </w:pPr>
    </w:p>
    <w:p w:rsidR="00FA04F3" w:rsidRPr="00FA04F3" w:rsidRDefault="00105C58" w:rsidP="00FA04F3">
      <w:pPr>
        <w:spacing w:line="276" w:lineRule="auto"/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3.3</w:t>
      </w:r>
      <w:r w:rsidR="00FA04F3" w:rsidRPr="00FA04F3">
        <w:rPr>
          <w:rFonts w:ascii="Tahoma" w:hAnsi="Tahoma" w:cs="Tahoma"/>
          <w:b/>
          <w:bCs/>
        </w:rPr>
        <w:t xml:space="preserve">. </w:t>
      </w:r>
      <w:r w:rsidR="00FA04F3" w:rsidRPr="00FA04F3">
        <w:rPr>
          <w:rFonts w:ascii="Tahoma" w:hAnsi="Tahoma" w:cs="Tahoma"/>
          <w:b/>
        </w:rPr>
        <w:t>ENTIDADES ENCARGADAS DEL RECONOCIMIENTO DE LAS PENSIONES DE LOS SERVIDORES PÚBLICOS:</w:t>
      </w:r>
      <w:r w:rsidR="00FA04F3" w:rsidRPr="00FA04F3">
        <w:rPr>
          <w:rFonts w:ascii="Tahoma" w:hAnsi="Tahoma" w:cs="Tahoma"/>
          <w:b/>
          <w:bCs/>
        </w:rPr>
        <w:t xml:space="preserve"> </w:t>
      </w:r>
    </w:p>
    <w:p w:rsidR="00FA04F3" w:rsidRDefault="00FA04F3" w:rsidP="00FA04F3">
      <w:pPr>
        <w:spacing w:line="276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</w:p>
    <w:p w:rsidR="00FA04F3" w:rsidRDefault="00FA04F3" w:rsidP="00FA04F3">
      <w:pPr>
        <w:spacing w:line="276" w:lineRule="auto"/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</w:t>
      </w:r>
      <w:r w:rsidRPr="00FA04F3">
        <w:rPr>
          <w:rFonts w:ascii="Tahoma" w:hAnsi="Tahoma" w:cs="Tahoma"/>
          <w:bCs/>
        </w:rPr>
        <w:t>egún las previsiones del artículo 1º del Decreto 2527 de 2000, las Cajas de Previsión</w:t>
      </w:r>
      <w:r w:rsidR="00C826E2">
        <w:rPr>
          <w:rFonts w:ascii="Tahoma" w:hAnsi="Tahoma" w:cs="Tahoma"/>
          <w:bCs/>
        </w:rPr>
        <w:t xml:space="preserve"> Social</w:t>
      </w:r>
      <w:r w:rsidRPr="00FA04F3">
        <w:rPr>
          <w:rFonts w:ascii="Tahoma" w:hAnsi="Tahoma" w:cs="Tahoma"/>
          <w:bCs/>
        </w:rPr>
        <w:t xml:space="preserve"> continuaron a cargo del reconocimiento de las pensiones del sector público exclusivamente en aquellos eventos en que la pensión sea solicitada por un servidor público que a 1º de abril de 1994 ya reunía los requisitos necesarios para pensionarse, o por lo menos ya había cumplido el concerniente al tiempo de servicios requeridos para acceder al derecho. Sin embargo, con relación a solicitudes de reconocimiento que no se enmarcaran en esos precisos casos, el artículo 5º </w:t>
      </w:r>
      <w:r w:rsidRPr="00FA04F3">
        <w:rPr>
          <w:rFonts w:ascii="Tahoma" w:hAnsi="Tahoma" w:cs="Tahoma"/>
          <w:bCs/>
          <w:i/>
          <w:iCs/>
        </w:rPr>
        <w:t>ibídem</w:t>
      </w:r>
      <w:r w:rsidRPr="00FA04F3">
        <w:rPr>
          <w:rFonts w:ascii="Tahoma" w:hAnsi="Tahoma" w:cs="Tahoma"/>
          <w:bCs/>
        </w:rPr>
        <w:t xml:space="preserve"> </w:t>
      </w:r>
      <w:r w:rsidR="00C826E2">
        <w:rPr>
          <w:rFonts w:ascii="Tahoma" w:hAnsi="Tahoma" w:cs="Tahoma"/>
          <w:bCs/>
        </w:rPr>
        <w:t>esclareció</w:t>
      </w:r>
      <w:r w:rsidRPr="00FA04F3">
        <w:rPr>
          <w:rFonts w:ascii="Tahoma" w:hAnsi="Tahoma" w:cs="Tahoma"/>
          <w:bCs/>
        </w:rPr>
        <w:t xml:space="preserve"> que sería el INSTITUTO DE SEGUROS SOCIALES (hoy COLPENSIONES) la entidad encargada de hacer el reconocimiento pensional. En efecto, dispone el citado artículo: </w:t>
      </w:r>
    </w:p>
    <w:p w:rsidR="00FA04F3" w:rsidRDefault="00FA04F3" w:rsidP="00FA04F3">
      <w:pPr>
        <w:spacing w:line="276" w:lineRule="auto"/>
        <w:ind w:firstLine="708"/>
        <w:jc w:val="both"/>
        <w:rPr>
          <w:rFonts w:ascii="Tahoma" w:hAnsi="Tahoma" w:cs="Tahoma"/>
          <w:bCs/>
          <w:i/>
        </w:rPr>
      </w:pPr>
    </w:p>
    <w:p w:rsidR="00FA04F3" w:rsidRPr="00C826E2" w:rsidRDefault="00FA04F3" w:rsidP="00C826E2">
      <w:pPr>
        <w:spacing w:line="276" w:lineRule="auto"/>
        <w:ind w:left="709" w:right="760" w:hanging="1"/>
        <w:jc w:val="both"/>
        <w:rPr>
          <w:rFonts w:ascii="Arial Narrow" w:hAnsi="Arial Narrow" w:cs="Arial"/>
          <w:bCs/>
          <w:i/>
        </w:rPr>
      </w:pPr>
      <w:r w:rsidRPr="00C826E2">
        <w:rPr>
          <w:rFonts w:ascii="Arial Narrow" w:hAnsi="Arial Narrow" w:cs="Arial"/>
          <w:bCs/>
          <w:i/>
        </w:rPr>
        <w:t>“</w:t>
      </w:r>
      <w:r w:rsidRPr="00C826E2">
        <w:rPr>
          <w:rFonts w:ascii="Arial Narrow" w:hAnsi="Arial Narrow" w:cs="Arial"/>
          <w:i/>
        </w:rPr>
        <w:t>Régimen de transición en el ISS</w:t>
      </w:r>
      <w:r w:rsidRPr="00C826E2">
        <w:rPr>
          <w:rFonts w:ascii="Arial Narrow" w:hAnsi="Arial Narrow" w:cs="Arial"/>
          <w:bCs/>
          <w:i/>
        </w:rPr>
        <w:t xml:space="preserve">. Sin perjuicio de lo dispuesto en el inciso tercero del artículo anterior, el ISS, como administradora de pensiones del régimen de prima media a la que se pueden vincular los beneficiarios del régimen de transición, deberá reconocer la pensión respetando los beneficios derivados de dicho régimen, siempre y cuando éstos no hayan perdido el régimen de transición de acuerdo con la ley”. </w:t>
      </w:r>
    </w:p>
    <w:p w:rsidR="00FA04F3" w:rsidRDefault="00FA04F3" w:rsidP="00FA04F3">
      <w:pPr>
        <w:spacing w:line="276" w:lineRule="auto"/>
        <w:ind w:firstLine="708"/>
        <w:jc w:val="both"/>
        <w:rPr>
          <w:rFonts w:ascii="Tahoma" w:hAnsi="Tahoma" w:cs="Tahoma"/>
          <w:bCs/>
          <w:i/>
        </w:rPr>
      </w:pPr>
    </w:p>
    <w:p w:rsidR="00A71CDB" w:rsidRDefault="00FA04F3" w:rsidP="00A71CDB">
      <w:pPr>
        <w:spacing w:line="276" w:lineRule="auto"/>
        <w:ind w:firstLine="708"/>
        <w:jc w:val="both"/>
        <w:rPr>
          <w:rFonts w:ascii="Tahoma" w:hAnsi="Tahoma" w:cs="Tahoma"/>
          <w:bCs/>
        </w:rPr>
      </w:pPr>
      <w:r w:rsidRPr="00FA04F3">
        <w:rPr>
          <w:rFonts w:ascii="Tahoma" w:hAnsi="Tahoma" w:cs="Tahoma"/>
          <w:bCs/>
        </w:rPr>
        <w:t xml:space="preserve">De modo que, a la luz de dicha normativa, el artículo 10 del Decreto 2709 de 1994, </w:t>
      </w:r>
      <w:r w:rsidR="00C826E2" w:rsidRPr="00C826E2">
        <w:rPr>
          <w:rFonts w:ascii="Tahoma" w:hAnsi="Tahoma" w:cs="Tahoma"/>
          <w:bCs/>
          <w:i/>
        </w:rPr>
        <w:t>prima facie</w:t>
      </w:r>
      <w:r w:rsidR="00C826E2">
        <w:rPr>
          <w:rFonts w:ascii="Tahoma" w:hAnsi="Tahoma" w:cs="Tahoma"/>
          <w:bCs/>
        </w:rPr>
        <w:t xml:space="preserve"> no resultaría</w:t>
      </w:r>
      <w:r w:rsidRPr="00FA04F3">
        <w:rPr>
          <w:rFonts w:ascii="Tahoma" w:hAnsi="Tahoma" w:cs="Tahoma"/>
          <w:bCs/>
        </w:rPr>
        <w:t xml:space="preserve"> aplicable para definir la entidad pagadora </w:t>
      </w:r>
      <w:r>
        <w:rPr>
          <w:rFonts w:ascii="Tahoma" w:hAnsi="Tahoma" w:cs="Tahoma"/>
          <w:bCs/>
        </w:rPr>
        <w:t>a la cual le corresponde el reconocimiento</w:t>
      </w:r>
      <w:r w:rsidRPr="00FA04F3">
        <w:rPr>
          <w:rFonts w:ascii="Tahoma" w:hAnsi="Tahoma" w:cs="Tahoma"/>
          <w:bCs/>
        </w:rPr>
        <w:t xml:space="preserve"> de la pensión de jubilación por aportes, a menos que el solicitante se encuentre dentro de alguna de las tres </w:t>
      </w:r>
      <w:r w:rsidRPr="00C826E2">
        <w:rPr>
          <w:rFonts w:ascii="Tahoma" w:hAnsi="Tahoma" w:cs="Tahoma"/>
          <w:bCs/>
        </w:rPr>
        <w:t xml:space="preserve">circunstancias fácticas descritas </w:t>
      </w:r>
      <w:r w:rsidRPr="00FA04F3">
        <w:rPr>
          <w:rFonts w:ascii="Tahoma" w:hAnsi="Tahoma" w:cs="Tahoma"/>
          <w:bCs/>
        </w:rPr>
        <w:t>en el artículo 1º del Decreto 2527 de 2000, dado que</w:t>
      </w:r>
      <w:r w:rsidR="00C826E2">
        <w:rPr>
          <w:rFonts w:ascii="Tahoma" w:hAnsi="Tahoma" w:cs="Tahoma"/>
          <w:bCs/>
        </w:rPr>
        <w:t>,</w:t>
      </w:r>
      <w:r w:rsidRPr="00FA04F3">
        <w:rPr>
          <w:rFonts w:ascii="Tahoma" w:hAnsi="Tahoma" w:cs="Tahoma"/>
          <w:bCs/>
        </w:rPr>
        <w:t xml:space="preserve"> como regla general, el reconocimiento y pago de la pensiones de los servidores públicos corresponde a la Administradora del Régimen de Prima Media con Prestación Definida ad</w:t>
      </w:r>
      <w:r w:rsidR="00C826E2">
        <w:rPr>
          <w:rFonts w:ascii="Tahoma" w:hAnsi="Tahoma" w:cs="Tahoma"/>
          <w:bCs/>
        </w:rPr>
        <w:t>ministrado hoy por COLPENSIONES</w:t>
      </w:r>
      <w:r w:rsidR="00A71CDB">
        <w:rPr>
          <w:rFonts w:ascii="Tahoma" w:hAnsi="Tahoma" w:cs="Tahoma"/>
          <w:bCs/>
        </w:rPr>
        <w:t>. En estos mism</w:t>
      </w:r>
      <w:r w:rsidR="00972237">
        <w:rPr>
          <w:rFonts w:ascii="Tahoma" w:hAnsi="Tahoma" w:cs="Tahoma"/>
          <w:bCs/>
        </w:rPr>
        <w:t>o términos ya se había pronunciado</w:t>
      </w:r>
      <w:r w:rsidR="00A71CDB">
        <w:rPr>
          <w:rFonts w:ascii="Tahoma" w:hAnsi="Tahoma" w:cs="Tahoma"/>
          <w:bCs/>
        </w:rPr>
        <w:t xml:space="preserve"> esta colegiatura en la sentencia del 25 de julio de 2012, dentro del proceso radicado bajo denominativo serial abreviado 004-2010-01434, con ponencia del Magistrado Julio César Salazar Muñoz.</w:t>
      </w:r>
    </w:p>
    <w:p w:rsidR="00A71CDB" w:rsidRDefault="00A71CDB" w:rsidP="00A71CDB">
      <w:pPr>
        <w:spacing w:line="276" w:lineRule="auto"/>
        <w:jc w:val="both"/>
        <w:rPr>
          <w:rFonts w:ascii="Tahoma" w:hAnsi="Tahoma" w:cs="Tahoma"/>
          <w:bCs/>
        </w:rPr>
      </w:pPr>
    </w:p>
    <w:p w:rsidR="00A71CDB" w:rsidRDefault="00C826E2" w:rsidP="00FA04F3">
      <w:pPr>
        <w:spacing w:line="276" w:lineRule="auto"/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Ello así, también en este punto</w:t>
      </w:r>
      <w:r w:rsidR="00A71CDB">
        <w:rPr>
          <w:rFonts w:ascii="Tahoma" w:hAnsi="Tahoma" w:cs="Tahoma"/>
          <w:bCs/>
        </w:rPr>
        <w:t xml:space="preserve"> acierta la falladora de primera instancia. </w:t>
      </w:r>
    </w:p>
    <w:p w:rsidR="00A71CDB" w:rsidRDefault="00A71CDB" w:rsidP="00FA04F3">
      <w:pPr>
        <w:spacing w:line="276" w:lineRule="auto"/>
        <w:ind w:firstLine="708"/>
        <w:jc w:val="both"/>
        <w:rPr>
          <w:rFonts w:ascii="Tahoma" w:hAnsi="Tahoma" w:cs="Tahoma"/>
          <w:bCs/>
        </w:rPr>
      </w:pPr>
    </w:p>
    <w:p w:rsidR="00A71CDB" w:rsidRPr="00A71CDB" w:rsidRDefault="00105C58" w:rsidP="00FA04F3">
      <w:pPr>
        <w:spacing w:line="276" w:lineRule="auto"/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3.4</w:t>
      </w:r>
      <w:r w:rsidR="00A71CDB" w:rsidRPr="00A71CDB">
        <w:rPr>
          <w:rFonts w:ascii="Tahoma" w:hAnsi="Tahoma" w:cs="Tahoma"/>
          <w:b/>
          <w:bCs/>
        </w:rPr>
        <w:t>. LIQUIDACIÓN DE LA PENSIÓN DE JUBILACIÓN POR APORTES</w:t>
      </w:r>
      <w:r w:rsidR="00A71CDB">
        <w:rPr>
          <w:rFonts w:ascii="Tahoma" w:hAnsi="Tahoma" w:cs="Tahoma"/>
          <w:b/>
          <w:bCs/>
        </w:rPr>
        <w:t xml:space="preserve"> </w:t>
      </w:r>
    </w:p>
    <w:p w:rsidR="00A71CDB" w:rsidRDefault="00A71CDB" w:rsidP="00FA04F3">
      <w:pPr>
        <w:spacing w:line="276" w:lineRule="auto"/>
        <w:ind w:firstLine="708"/>
        <w:jc w:val="both"/>
        <w:rPr>
          <w:rFonts w:ascii="Tahoma" w:hAnsi="Tahoma" w:cs="Tahoma"/>
          <w:bCs/>
        </w:rPr>
      </w:pPr>
    </w:p>
    <w:p w:rsidR="002A3EC9" w:rsidRDefault="00963A44" w:rsidP="00FA04F3">
      <w:pPr>
        <w:spacing w:line="276" w:lineRule="auto"/>
        <w:ind w:firstLine="708"/>
        <w:jc w:val="both"/>
        <w:rPr>
          <w:rFonts w:ascii="Tahoma" w:hAnsi="Tahoma" w:cs="Tahoma"/>
        </w:rPr>
      </w:pPr>
      <w:r w:rsidRPr="002A3EC9">
        <w:rPr>
          <w:rFonts w:ascii="Tahoma" w:hAnsi="Tahoma" w:cs="Tahoma"/>
          <w:color w:val="000000"/>
          <w:shd w:val="clear" w:color="auto" w:fill="FFFFFF"/>
        </w:rPr>
        <w:t>De conformidad con e</w:t>
      </w:r>
      <w:r w:rsidR="00A71CDB" w:rsidRPr="002A3EC9">
        <w:rPr>
          <w:rFonts w:ascii="Tahoma" w:hAnsi="Tahoma" w:cs="Tahoma"/>
          <w:color w:val="000000"/>
          <w:shd w:val="clear" w:color="auto" w:fill="FFFFFF"/>
        </w:rPr>
        <w:t>l artículo 8 del Decreto</w:t>
      </w:r>
      <w:r w:rsidRPr="002A3EC9">
        <w:rPr>
          <w:rFonts w:ascii="Tahoma" w:hAnsi="Tahoma" w:cs="Tahoma"/>
          <w:color w:val="000000"/>
          <w:shd w:val="clear" w:color="auto" w:fill="FFFFFF"/>
        </w:rPr>
        <w:t xml:space="preserve"> 2709 de 1994, reglamentario de la Ley 71 de 1988, el m</w:t>
      </w:r>
      <w:r w:rsidR="00A71CDB" w:rsidRPr="002A3EC9">
        <w:rPr>
          <w:rFonts w:ascii="Tahoma" w:hAnsi="Tahoma" w:cs="Tahoma"/>
          <w:color w:val="000000"/>
          <w:shd w:val="clear" w:color="auto" w:fill="FFFFFF"/>
        </w:rPr>
        <w:t>onto de la pensión de jubilación por aportes será</w:t>
      </w:r>
      <w:r w:rsidRPr="002A3EC9">
        <w:rPr>
          <w:rFonts w:ascii="Tahoma" w:hAnsi="Tahoma" w:cs="Tahoma"/>
          <w:color w:val="000000"/>
          <w:shd w:val="clear" w:color="auto" w:fill="FFFFFF"/>
        </w:rPr>
        <w:t xml:space="preserve"> el</w:t>
      </w:r>
      <w:r w:rsidR="00A71CDB" w:rsidRPr="002A3EC9">
        <w:rPr>
          <w:rFonts w:ascii="Tahoma" w:hAnsi="Tahoma" w:cs="Tahoma"/>
          <w:color w:val="000000"/>
          <w:shd w:val="clear" w:color="auto" w:fill="FFFFFF"/>
        </w:rPr>
        <w:t xml:space="preserve"> equivalente al 75% del salario base de liquidación</w:t>
      </w:r>
      <w:r w:rsidRPr="002A3EC9">
        <w:rPr>
          <w:rFonts w:ascii="Tahoma" w:hAnsi="Tahoma" w:cs="Tahoma"/>
          <w:bCs/>
        </w:rPr>
        <w:t xml:space="preserve">, calculado de acuerdo a las previsiones del artículo 21 de la Ley 100 de 1993, esto es, con el </w:t>
      </w:r>
      <w:r w:rsidRPr="002A3EC9">
        <w:rPr>
          <w:rFonts w:ascii="Tahoma" w:hAnsi="Tahoma" w:cs="Tahoma"/>
        </w:rPr>
        <w:t>promedio de los salarios o ren</w:t>
      </w:r>
      <w:r w:rsidR="002A3EC9" w:rsidRPr="002A3EC9">
        <w:rPr>
          <w:rFonts w:ascii="Tahoma" w:hAnsi="Tahoma" w:cs="Tahoma"/>
        </w:rPr>
        <w:t>tas sobre los cuales cotizó la afiliada</w:t>
      </w:r>
      <w:r w:rsidRPr="002A3EC9">
        <w:rPr>
          <w:rFonts w:ascii="Tahoma" w:hAnsi="Tahoma" w:cs="Tahoma"/>
        </w:rPr>
        <w:t xml:space="preserve"> durante los diez (10) años anteriores al reconocimiento de la pensión</w:t>
      </w:r>
      <w:r w:rsidR="002A3EC9" w:rsidRPr="002A3EC9">
        <w:rPr>
          <w:rFonts w:ascii="Tahoma" w:hAnsi="Tahoma" w:cs="Tahoma"/>
        </w:rPr>
        <w:t xml:space="preserve">, </w:t>
      </w:r>
      <w:r w:rsidR="002A3EC9" w:rsidRPr="002A3EC9">
        <w:rPr>
          <w:rFonts w:ascii="Tahoma" w:hAnsi="Tahoma" w:cs="Tahoma"/>
          <w:color w:val="000000"/>
          <w:shd w:val="clear" w:color="auto" w:fill="FFFFFF"/>
        </w:rPr>
        <w:t>actualizados anualmente con base en la variación del índice de precios al consumidor, según certificación que expida el DANE.</w:t>
      </w:r>
      <w:r w:rsidR="002A3EC9" w:rsidRPr="002A3EC9">
        <w:rPr>
          <w:rFonts w:ascii="Tahoma" w:hAnsi="Tahoma" w:cs="Tahoma"/>
        </w:rPr>
        <w:t xml:space="preserve"> </w:t>
      </w:r>
    </w:p>
    <w:p w:rsidR="002A3EC9" w:rsidRDefault="002A3EC9" w:rsidP="00FA04F3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2A3EC9" w:rsidRDefault="002A3EC9" w:rsidP="00FA04F3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Efectuado el cálculo bajo dicha fórmula, se obtuvo como resultado una mesada de $1.271.</w:t>
      </w:r>
      <w:r w:rsidR="00C234F9">
        <w:rPr>
          <w:rFonts w:ascii="Tahoma" w:hAnsi="Tahoma" w:cs="Tahoma"/>
        </w:rPr>
        <w:t xml:space="preserve">434, que es un poco superior a la determinada en primera instancia ($ </w:t>
      </w:r>
      <w:r w:rsidR="00C234F9" w:rsidRPr="00367655">
        <w:rPr>
          <w:rFonts w:ascii="Tahoma" w:hAnsi="Tahoma" w:cs="Tahoma"/>
          <w:lang w:val="es-CO"/>
        </w:rPr>
        <w:t>1.203.996</w:t>
      </w:r>
      <w:r w:rsidR="00C234F9" w:rsidRPr="00C234F9">
        <w:rPr>
          <w:rFonts w:ascii="Tahoma" w:hAnsi="Tahoma" w:cs="Tahoma"/>
          <w:lang w:val="es-CO"/>
        </w:rPr>
        <w:t>)</w:t>
      </w:r>
      <w:r w:rsidR="00367655">
        <w:rPr>
          <w:rFonts w:ascii="Tahoma" w:hAnsi="Tahoma" w:cs="Tahoma"/>
        </w:rPr>
        <w:t>, por lo que dicho aspecto no sufrirá var</w:t>
      </w:r>
      <w:r w:rsidR="00105C58">
        <w:rPr>
          <w:rFonts w:ascii="Tahoma" w:hAnsi="Tahoma" w:cs="Tahoma"/>
        </w:rPr>
        <w:t>iación alguna en esta instancia, por conocerse el asunto en grado jurisdiccional de consulta a favor de COLPESIONES.</w:t>
      </w:r>
      <w:r w:rsidR="00367655">
        <w:rPr>
          <w:rFonts w:ascii="Tahoma" w:hAnsi="Tahoma" w:cs="Tahoma"/>
        </w:rPr>
        <w:t xml:space="preserve"> </w:t>
      </w:r>
    </w:p>
    <w:p w:rsidR="00367655" w:rsidRDefault="00367655" w:rsidP="00FA04F3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367655" w:rsidRDefault="00367655" w:rsidP="00FA04F3">
      <w:pPr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Ahora bien, bajo dicho presupuesto, actualizada la condena al 28 de febrero del presente año, el retroactivo pensional asciende a la suma de $55.556.192.</w:t>
      </w:r>
    </w:p>
    <w:p w:rsidR="00367655" w:rsidRDefault="00367655" w:rsidP="00FA04F3">
      <w:pPr>
        <w:spacing w:line="276" w:lineRule="auto"/>
        <w:ind w:firstLine="708"/>
        <w:jc w:val="both"/>
        <w:rPr>
          <w:rFonts w:ascii="Tahoma" w:hAnsi="Tahoma" w:cs="Tahoma"/>
        </w:rPr>
      </w:pPr>
    </w:p>
    <w:p w:rsidR="00972237" w:rsidRDefault="00367655" w:rsidP="009722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conformidad con lo establecido en precedencia se confirmará la decisión de primer grado, sin que haya lugar al reconocimiento de costas procesales por tratarse del grado jurisdiccional de consulta.</w:t>
      </w:r>
    </w:p>
    <w:p w:rsidR="00972237" w:rsidRDefault="00972237" w:rsidP="009722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</w:p>
    <w:p w:rsidR="00367655" w:rsidRPr="00972237" w:rsidRDefault="00367655" w:rsidP="009722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972237">
        <w:rPr>
          <w:rFonts w:ascii="Tahoma" w:hAnsi="Tahoma" w:cs="Tahoma"/>
        </w:rPr>
        <w:t xml:space="preserve">En mérito de  lo expuesto, el </w:t>
      </w:r>
      <w:r w:rsidRPr="00972237">
        <w:rPr>
          <w:rFonts w:ascii="Tahoma" w:hAnsi="Tahoma" w:cs="Tahoma"/>
          <w:b/>
          <w:caps/>
        </w:rPr>
        <w:t>Tribunal Superior del Distrito Judicial de Pereira (Risaralda)</w:t>
      </w:r>
      <w:r w:rsidRPr="00972237">
        <w:rPr>
          <w:rFonts w:ascii="Tahoma" w:hAnsi="Tahoma" w:cs="Tahoma"/>
          <w:caps/>
        </w:rPr>
        <w:t xml:space="preserve">, </w:t>
      </w:r>
      <w:r w:rsidRPr="00972237">
        <w:rPr>
          <w:rFonts w:ascii="Tahoma" w:hAnsi="Tahoma" w:cs="Tahoma"/>
          <w:b/>
          <w:caps/>
        </w:rPr>
        <w:t>Sala laboral</w:t>
      </w:r>
      <w:r w:rsidRPr="00972237">
        <w:rPr>
          <w:rFonts w:ascii="Tahoma" w:hAnsi="Tahoma" w:cs="Tahoma"/>
        </w:rPr>
        <w:t>, Administrando Justicia en Nombre de la República  y por autoridad de la Ley,</w:t>
      </w:r>
    </w:p>
    <w:p w:rsidR="00367655" w:rsidRPr="00C721D7" w:rsidRDefault="00367655" w:rsidP="00367655">
      <w:pPr>
        <w:pStyle w:val="Retraitcorpsdetexte"/>
      </w:pPr>
    </w:p>
    <w:p w:rsidR="00367655" w:rsidRPr="00C721D7" w:rsidRDefault="00367655" w:rsidP="00367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</w:rPr>
      </w:pPr>
      <w:r w:rsidRPr="00C721D7">
        <w:rPr>
          <w:rFonts w:ascii="Tahoma" w:hAnsi="Tahoma" w:cs="Tahoma"/>
          <w:b/>
        </w:rPr>
        <w:t>R E S U E L V E:</w:t>
      </w:r>
    </w:p>
    <w:p w:rsidR="00367655" w:rsidRPr="00C721D7" w:rsidRDefault="00367655" w:rsidP="00367655">
      <w:pPr>
        <w:ind w:firstLine="709"/>
        <w:jc w:val="both"/>
        <w:rPr>
          <w:rFonts w:ascii="Tahoma" w:hAnsi="Tahoma" w:cs="Tahoma"/>
          <w:b/>
          <w:u w:val="single"/>
        </w:rPr>
      </w:pPr>
    </w:p>
    <w:p w:rsidR="00367655" w:rsidRPr="00D84924" w:rsidRDefault="00367655" w:rsidP="00972237">
      <w:pPr>
        <w:spacing w:line="276" w:lineRule="auto"/>
        <w:ind w:firstLine="709"/>
        <w:jc w:val="both"/>
        <w:rPr>
          <w:rFonts w:ascii="Tahoma" w:hAnsi="Tahoma" w:cs="Tahoma"/>
        </w:rPr>
      </w:pPr>
      <w:r w:rsidRPr="00C721D7">
        <w:rPr>
          <w:rFonts w:ascii="Tahoma" w:hAnsi="Tahoma" w:cs="Tahoma"/>
          <w:b/>
          <w:u w:val="single"/>
        </w:rPr>
        <w:t>PRIMERO</w:t>
      </w:r>
      <w:r w:rsidRPr="00C721D7">
        <w:rPr>
          <w:rFonts w:ascii="Tahoma" w:hAnsi="Tahoma" w:cs="Tahoma"/>
        </w:rPr>
        <w:t xml:space="preserve">.- </w:t>
      </w:r>
      <w:r>
        <w:rPr>
          <w:rFonts w:ascii="Tahoma" w:hAnsi="Tahoma" w:cs="Tahoma"/>
          <w:b/>
        </w:rPr>
        <w:t xml:space="preserve">CONFIRMAR </w:t>
      </w:r>
      <w:r w:rsidRPr="00C721D7">
        <w:rPr>
          <w:rFonts w:ascii="Tahoma" w:hAnsi="Tahoma" w:cs="Tahoma"/>
        </w:rPr>
        <w:t xml:space="preserve">la sentencia proferida el </w:t>
      </w:r>
      <w:r>
        <w:rPr>
          <w:rFonts w:ascii="Tahoma" w:hAnsi="Tahoma" w:cs="Tahoma"/>
        </w:rPr>
        <w:t>2</w:t>
      </w:r>
      <w:r w:rsidR="00972237">
        <w:rPr>
          <w:rFonts w:ascii="Tahoma" w:hAnsi="Tahoma" w:cs="Tahoma"/>
        </w:rPr>
        <w:t>9 de septiembre</w:t>
      </w:r>
      <w:r>
        <w:rPr>
          <w:rFonts w:ascii="Tahoma" w:hAnsi="Tahoma" w:cs="Tahoma"/>
        </w:rPr>
        <w:t xml:space="preserve"> </w:t>
      </w:r>
      <w:r w:rsidR="00972237">
        <w:rPr>
          <w:rFonts w:ascii="Tahoma" w:hAnsi="Tahoma" w:cs="Tahoma"/>
        </w:rPr>
        <w:t>de 2015</w:t>
      </w:r>
      <w:r w:rsidRPr="00C721D7">
        <w:rPr>
          <w:rFonts w:ascii="Tahoma" w:hAnsi="Tahoma" w:cs="Tahoma"/>
        </w:rPr>
        <w:t xml:space="preserve"> por el Juzgado </w:t>
      </w:r>
      <w:r w:rsidR="00972237">
        <w:rPr>
          <w:rFonts w:ascii="Tahoma" w:hAnsi="Tahoma" w:cs="Tahoma"/>
        </w:rPr>
        <w:t>Tercero</w:t>
      </w:r>
      <w:r w:rsidRPr="00C721D7">
        <w:rPr>
          <w:rFonts w:ascii="Tahoma" w:hAnsi="Tahoma" w:cs="Tahoma"/>
        </w:rPr>
        <w:t xml:space="preserve"> Laboral del Circuito de Pereira, dentro del proceso ordinario laboral promovido por </w:t>
      </w:r>
      <w:r w:rsidR="00972237">
        <w:rPr>
          <w:rFonts w:ascii="Tahoma" w:hAnsi="Tahoma" w:cs="Tahoma"/>
          <w:b/>
        </w:rPr>
        <w:t>MARIA EDITH TALERO MAHECHA</w:t>
      </w:r>
      <w:r w:rsidRPr="00D84924">
        <w:rPr>
          <w:rFonts w:ascii="Tahoma" w:hAnsi="Tahoma" w:cs="Tahoma"/>
          <w:b/>
        </w:rPr>
        <w:t xml:space="preserve"> </w:t>
      </w:r>
      <w:r w:rsidRPr="00D84924">
        <w:rPr>
          <w:rFonts w:ascii="Tahoma" w:hAnsi="Tahoma" w:cs="Tahoma"/>
        </w:rPr>
        <w:t xml:space="preserve">contra </w:t>
      </w:r>
      <w:r w:rsidRPr="00D84924">
        <w:rPr>
          <w:rFonts w:ascii="Tahoma" w:hAnsi="Tahoma" w:cs="Tahoma"/>
          <w:b/>
        </w:rPr>
        <w:t>C</w:t>
      </w:r>
      <w:r w:rsidR="00972237">
        <w:rPr>
          <w:rFonts w:ascii="Tahoma" w:hAnsi="Tahoma" w:cs="Tahoma"/>
          <w:b/>
        </w:rPr>
        <w:t>OLPENSIONES</w:t>
      </w:r>
      <w:r>
        <w:rPr>
          <w:rFonts w:ascii="Tahoma" w:hAnsi="Tahoma" w:cs="Tahoma"/>
          <w:b/>
        </w:rPr>
        <w:t>.</w:t>
      </w:r>
      <w:r w:rsidR="00972237">
        <w:rPr>
          <w:rFonts w:ascii="Tahoma" w:hAnsi="Tahoma" w:cs="Tahoma"/>
          <w:b/>
        </w:rPr>
        <w:t xml:space="preserve">, </w:t>
      </w:r>
      <w:r w:rsidR="00972237" w:rsidRPr="00972237">
        <w:rPr>
          <w:rFonts w:ascii="Tahoma" w:hAnsi="Tahoma" w:cs="Tahoma"/>
        </w:rPr>
        <w:t>aclarando que al 28 de febrero de 2017 el retroactivo de la pensión asciende a la suma de</w:t>
      </w:r>
      <w:r w:rsidR="00972237">
        <w:rPr>
          <w:rFonts w:ascii="Tahoma" w:hAnsi="Tahoma" w:cs="Tahoma"/>
          <w:b/>
        </w:rPr>
        <w:t xml:space="preserve"> </w:t>
      </w:r>
      <w:r w:rsidR="00972237" w:rsidRPr="00972237">
        <w:rPr>
          <w:rFonts w:ascii="Tahoma" w:hAnsi="Tahoma" w:cs="Tahoma"/>
          <w:b/>
        </w:rPr>
        <w:t>$55.556.192</w:t>
      </w:r>
      <w:r w:rsidR="00972237">
        <w:rPr>
          <w:rFonts w:ascii="Tahoma" w:hAnsi="Tahoma" w:cs="Tahoma"/>
          <w:b/>
        </w:rPr>
        <w:t xml:space="preserve"> </w:t>
      </w:r>
    </w:p>
    <w:p w:rsidR="00367655" w:rsidRPr="00D84924" w:rsidRDefault="00367655" w:rsidP="00972237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367655" w:rsidRDefault="00367655" w:rsidP="009722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D84924">
        <w:rPr>
          <w:rFonts w:ascii="Tahoma" w:hAnsi="Tahoma" w:cs="Tahoma"/>
          <w:b/>
          <w:u w:val="single"/>
        </w:rPr>
        <w:t>SEGUNDO</w:t>
      </w:r>
      <w:r w:rsidRPr="00D84924">
        <w:rPr>
          <w:rFonts w:ascii="Tahoma" w:hAnsi="Tahoma" w:cs="Tahoma"/>
          <w:b/>
        </w:rPr>
        <w:t xml:space="preserve">: </w:t>
      </w:r>
      <w:r w:rsidRPr="009E27E4">
        <w:rPr>
          <w:rFonts w:ascii="Tahoma" w:hAnsi="Tahoma" w:cs="Tahoma"/>
        </w:rPr>
        <w:t xml:space="preserve">Sin lugar a condena en costas en este grado jurisdiccional. </w:t>
      </w:r>
    </w:p>
    <w:p w:rsidR="00367655" w:rsidRPr="009E27E4" w:rsidRDefault="00367655" w:rsidP="009722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3A432A">
        <w:rPr>
          <w:rFonts w:ascii="Tahoma" w:hAnsi="Tahoma" w:cs="Tahoma"/>
          <w:b/>
        </w:rPr>
        <w:tab/>
      </w:r>
    </w:p>
    <w:p w:rsidR="00367655" w:rsidRDefault="00367655" w:rsidP="009722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b/>
          <w:bCs/>
        </w:rPr>
      </w:pPr>
      <w:r w:rsidRPr="00C721D7">
        <w:rPr>
          <w:rFonts w:ascii="Tahoma" w:hAnsi="Tahoma" w:cs="Tahoma"/>
          <w:b/>
          <w:bCs/>
        </w:rPr>
        <w:t>Notificación surtida en estrados.</w:t>
      </w:r>
    </w:p>
    <w:p w:rsidR="00367655" w:rsidRPr="00C721D7" w:rsidRDefault="00367655" w:rsidP="009722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b/>
          <w:bCs/>
        </w:rPr>
      </w:pPr>
    </w:p>
    <w:p w:rsidR="00367655" w:rsidRPr="00C721D7" w:rsidRDefault="00367655" w:rsidP="009722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C721D7">
        <w:rPr>
          <w:rFonts w:ascii="Tahoma" w:hAnsi="Tahoma" w:cs="Tahoma"/>
          <w:b/>
        </w:rPr>
        <w:t>Cúmplase</w:t>
      </w:r>
      <w:r w:rsidRPr="00C721D7">
        <w:rPr>
          <w:rFonts w:ascii="Tahoma" w:hAnsi="Tahoma" w:cs="Tahoma"/>
        </w:rPr>
        <w:t xml:space="preserve"> y </w:t>
      </w:r>
      <w:r w:rsidRPr="00C721D7">
        <w:rPr>
          <w:rFonts w:ascii="Tahoma" w:hAnsi="Tahoma" w:cs="Tahoma"/>
          <w:b/>
        </w:rPr>
        <w:t>devuélvase</w:t>
      </w:r>
      <w:r w:rsidRPr="00C721D7">
        <w:rPr>
          <w:rFonts w:ascii="Tahoma" w:hAnsi="Tahoma" w:cs="Tahoma"/>
        </w:rPr>
        <w:t xml:space="preserve"> el expediente al Juzgado de origen.</w:t>
      </w:r>
    </w:p>
    <w:p w:rsidR="00367655" w:rsidRPr="00C721D7" w:rsidRDefault="00367655" w:rsidP="009722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367655" w:rsidRPr="00C721D7" w:rsidRDefault="00367655" w:rsidP="0097223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C721D7">
        <w:rPr>
          <w:rFonts w:ascii="Tahoma" w:hAnsi="Tahoma" w:cs="Tahoma"/>
        </w:rPr>
        <w:tab/>
        <w:t xml:space="preserve">No siendo otro el objeto de la presente diligencia, se termina siendo las </w:t>
      </w:r>
      <w:r w:rsidRPr="00C721D7">
        <w:rPr>
          <w:rFonts w:ascii="Tahoma" w:hAnsi="Tahoma" w:cs="Tahoma"/>
          <w:u w:val="single"/>
        </w:rPr>
        <w:t xml:space="preserve">_____ </w:t>
      </w:r>
      <w:r w:rsidRPr="00C721D7">
        <w:rPr>
          <w:rFonts w:ascii="Tahoma" w:hAnsi="Tahoma" w:cs="Tahoma"/>
        </w:rPr>
        <w:t>de la mañana, se levanta el acta y firman las personas que en la misma intervinieron.</w:t>
      </w:r>
    </w:p>
    <w:p w:rsidR="00367655" w:rsidRPr="00C721D7" w:rsidRDefault="00367655" w:rsidP="00972237">
      <w:pPr>
        <w:spacing w:line="276" w:lineRule="auto"/>
        <w:jc w:val="both"/>
        <w:rPr>
          <w:rFonts w:ascii="Tahoma" w:hAnsi="Tahoma" w:cs="Tahoma"/>
        </w:rPr>
      </w:pPr>
    </w:p>
    <w:p w:rsidR="00367655" w:rsidRPr="00C721D7" w:rsidRDefault="00367655" w:rsidP="00972237">
      <w:pPr>
        <w:spacing w:line="276" w:lineRule="auto"/>
        <w:jc w:val="both"/>
        <w:rPr>
          <w:rFonts w:ascii="Tahoma" w:hAnsi="Tahoma" w:cs="Tahoma"/>
        </w:rPr>
      </w:pPr>
      <w:r w:rsidRPr="00C721D7">
        <w:rPr>
          <w:rFonts w:ascii="Tahoma" w:hAnsi="Tahoma" w:cs="Tahoma"/>
        </w:rPr>
        <w:t>Los Magistrados,</w:t>
      </w:r>
    </w:p>
    <w:p w:rsidR="00367655" w:rsidRPr="00C721D7" w:rsidRDefault="00367655" w:rsidP="00367655">
      <w:pPr>
        <w:spacing w:line="360" w:lineRule="auto"/>
      </w:pPr>
    </w:p>
    <w:p w:rsidR="00367655" w:rsidRPr="00C721D7" w:rsidRDefault="00367655" w:rsidP="00367655">
      <w:pPr>
        <w:spacing w:line="360" w:lineRule="auto"/>
      </w:pPr>
    </w:p>
    <w:p w:rsidR="00367655" w:rsidRPr="00951DF2" w:rsidRDefault="00367655" w:rsidP="00367655">
      <w:pPr>
        <w:pStyle w:val="Titre3"/>
        <w:spacing w:before="0" w:line="360" w:lineRule="auto"/>
        <w:jc w:val="center"/>
        <w:rPr>
          <w:rFonts w:ascii="Tahoma" w:hAnsi="Tahoma" w:cs="Tahoma"/>
          <w:b/>
          <w:bCs/>
          <w:color w:val="auto"/>
        </w:rPr>
      </w:pPr>
      <w:r w:rsidRPr="00951DF2">
        <w:rPr>
          <w:rFonts w:ascii="Tahoma" w:hAnsi="Tahoma" w:cs="Tahoma"/>
          <w:b/>
          <w:bCs/>
          <w:color w:val="auto"/>
        </w:rPr>
        <w:t>ANA LUCÍA CAICEDO CALDERÓN</w:t>
      </w:r>
    </w:p>
    <w:p w:rsidR="00367655" w:rsidRDefault="00367655" w:rsidP="00367655">
      <w:pPr>
        <w:spacing w:line="360" w:lineRule="auto"/>
        <w:rPr>
          <w:rFonts w:ascii="Tahoma" w:hAnsi="Tahoma" w:cs="Tahoma"/>
          <w:b/>
        </w:rPr>
      </w:pPr>
    </w:p>
    <w:p w:rsidR="00367655" w:rsidRPr="00C721D7" w:rsidRDefault="00367655" w:rsidP="00367655">
      <w:pPr>
        <w:spacing w:line="360" w:lineRule="auto"/>
        <w:rPr>
          <w:rFonts w:ascii="Tahoma" w:hAnsi="Tahoma" w:cs="Tahoma"/>
          <w:b/>
        </w:rPr>
      </w:pPr>
    </w:p>
    <w:p w:rsidR="00367655" w:rsidRPr="00C721D7" w:rsidRDefault="00367655" w:rsidP="00367655">
      <w:pPr>
        <w:spacing w:line="360" w:lineRule="auto"/>
        <w:rPr>
          <w:rFonts w:ascii="Tahoma" w:hAnsi="Tahoma" w:cs="Tahoma"/>
          <w:b/>
        </w:rPr>
      </w:pPr>
    </w:p>
    <w:p w:rsidR="00367655" w:rsidRPr="00C721D7" w:rsidRDefault="00367655" w:rsidP="00367655">
      <w:pPr>
        <w:jc w:val="center"/>
        <w:rPr>
          <w:rFonts w:ascii="Tahoma" w:hAnsi="Tahoma" w:cs="Tahoma"/>
          <w:b/>
        </w:rPr>
      </w:pPr>
      <w:r w:rsidRPr="00C721D7">
        <w:rPr>
          <w:rFonts w:ascii="Tahoma" w:hAnsi="Tahoma" w:cs="Tahoma"/>
          <w:b/>
        </w:rPr>
        <w:t xml:space="preserve">JULIO CÉSAR SALAZAR MUÑOZ   </w:t>
      </w:r>
      <w:r w:rsidRPr="00C721D7">
        <w:rPr>
          <w:rFonts w:ascii="Tahoma" w:hAnsi="Tahoma" w:cs="Tahoma"/>
          <w:b/>
        </w:rPr>
        <w:tab/>
        <w:t xml:space="preserve">      FRANCISCO JAVIER TAMAYO TABARES</w:t>
      </w:r>
    </w:p>
    <w:p w:rsidR="00367655" w:rsidRPr="00C721D7" w:rsidRDefault="00367655" w:rsidP="00367655">
      <w:pPr>
        <w:rPr>
          <w:rFonts w:ascii="Tahoma" w:hAnsi="Tahoma" w:cs="Tahoma"/>
          <w:b/>
        </w:rPr>
      </w:pPr>
    </w:p>
    <w:p w:rsidR="00367655" w:rsidRDefault="00367655" w:rsidP="00367655">
      <w:pPr>
        <w:rPr>
          <w:rFonts w:ascii="Tahoma" w:hAnsi="Tahoma" w:cs="Tahoma"/>
          <w:b/>
        </w:rPr>
      </w:pPr>
    </w:p>
    <w:p w:rsidR="00367655" w:rsidRDefault="00367655" w:rsidP="00367655">
      <w:pPr>
        <w:rPr>
          <w:rFonts w:ascii="Tahoma" w:hAnsi="Tahoma" w:cs="Tahoma"/>
          <w:b/>
        </w:rPr>
      </w:pPr>
    </w:p>
    <w:p w:rsidR="00367655" w:rsidRPr="00C721D7" w:rsidRDefault="00367655" w:rsidP="00367655">
      <w:pPr>
        <w:rPr>
          <w:rFonts w:ascii="Tahoma" w:hAnsi="Tahoma" w:cs="Tahoma"/>
          <w:b/>
        </w:rPr>
      </w:pPr>
    </w:p>
    <w:p w:rsidR="00367655" w:rsidRPr="00C721D7" w:rsidRDefault="00367655" w:rsidP="00367655">
      <w:pPr>
        <w:rPr>
          <w:rFonts w:ascii="Tahoma" w:hAnsi="Tahoma" w:cs="Tahoma"/>
          <w:b/>
        </w:rPr>
      </w:pPr>
    </w:p>
    <w:p w:rsidR="00367655" w:rsidRPr="00C721D7" w:rsidRDefault="00367655" w:rsidP="00367655">
      <w:pPr>
        <w:rPr>
          <w:rFonts w:ascii="Tahoma" w:hAnsi="Tahoma" w:cs="Tahoma"/>
          <w:b/>
        </w:rPr>
      </w:pPr>
    </w:p>
    <w:p w:rsidR="00367655" w:rsidRDefault="00367655" w:rsidP="00367655">
      <w:pPr>
        <w:rPr>
          <w:rFonts w:ascii="Tahoma" w:hAnsi="Tahoma" w:cs="Tahoma"/>
          <w:b/>
        </w:rPr>
      </w:pPr>
    </w:p>
    <w:p w:rsidR="00367655" w:rsidRDefault="00367655" w:rsidP="00367655">
      <w:pPr>
        <w:rPr>
          <w:rFonts w:ascii="Tahoma" w:hAnsi="Tahoma" w:cs="Tahoma"/>
          <w:b/>
        </w:rPr>
      </w:pPr>
    </w:p>
    <w:p w:rsidR="00367655" w:rsidRPr="00C721D7" w:rsidRDefault="00367655" w:rsidP="0036765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DANIEL BERMUDEZ GIRALDO</w:t>
      </w:r>
    </w:p>
    <w:p w:rsidR="00367655" w:rsidRPr="00C721D7" w:rsidRDefault="00367655" w:rsidP="00367655">
      <w:pPr>
        <w:jc w:val="center"/>
        <w:rPr>
          <w:rFonts w:ascii="Tahoma" w:hAnsi="Tahoma" w:cs="Tahoma"/>
        </w:rPr>
      </w:pPr>
      <w:r w:rsidRPr="00C721D7">
        <w:rPr>
          <w:rFonts w:ascii="Tahoma" w:hAnsi="Tahoma" w:cs="Tahoma"/>
        </w:rPr>
        <w:t>Secretario Ad-Hoc</w:t>
      </w:r>
    </w:p>
    <w:p w:rsidR="00367655" w:rsidRPr="00C721D7" w:rsidRDefault="00367655" w:rsidP="00367655"/>
    <w:p w:rsidR="00367655" w:rsidRDefault="00367655" w:rsidP="00367655"/>
    <w:p w:rsidR="00972237" w:rsidRDefault="00972237" w:rsidP="00367655"/>
    <w:p w:rsidR="00972237" w:rsidRDefault="00972237" w:rsidP="00367655"/>
    <w:p w:rsidR="00972237" w:rsidRDefault="00972237" w:rsidP="00367655"/>
    <w:p w:rsidR="00972237" w:rsidRDefault="00972237" w:rsidP="00367655"/>
    <w:p w:rsidR="00367655" w:rsidRPr="00972237" w:rsidRDefault="00367655" w:rsidP="00367655">
      <w:pPr>
        <w:rPr>
          <w:b/>
        </w:rPr>
      </w:pPr>
    </w:p>
    <w:p w:rsidR="00951DF2" w:rsidRDefault="00951DF2" w:rsidP="00951DF2">
      <w:pPr>
        <w:rPr>
          <w:b/>
          <w:sz w:val="16"/>
          <w:szCs w:val="16"/>
        </w:rPr>
      </w:pPr>
    </w:p>
    <w:p w:rsidR="00367655" w:rsidRPr="00951DF2" w:rsidRDefault="00972237" w:rsidP="00951DF2">
      <w:pPr>
        <w:rPr>
          <w:b/>
          <w:sz w:val="16"/>
          <w:szCs w:val="16"/>
        </w:rPr>
      </w:pPr>
      <w:r w:rsidRPr="00951DF2">
        <w:rPr>
          <w:b/>
          <w:sz w:val="16"/>
          <w:szCs w:val="16"/>
        </w:rPr>
        <w:t>LIQUIDACIÓN</w:t>
      </w:r>
    </w:p>
    <w:p w:rsidR="00972237" w:rsidRDefault="00972237" w:rsidP="00367655"/>
    <w:tbl>
      <w:tblPr>
        <w:tblW w:w="5722" w:type="pct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799"/>
        <w:gridCol w:w="913"/>
        <w:gridCol w:w="336"/>
        <w:gridCol w:w="960"/>
        <w:gridCol w:w="73"/>
        <w:gridCol w:w="197"/>
        <w:gridCol w:w="370"/>
        <w:gridCol w:w="890"/>
        <w:gridCol w:w="6"/>
        <w:gridCol w:w="574"/>
        <w:gridCol w:w="519"/>
        <w:gridCol w:w="312"/>
        <w:gridCol w:w="1162"/>
        <w:gridCol w:w="1410"/>
        <w:gridCol w:w="1055"/>
      </w:tblGrid>
      <w:tr w:rsidR="00972237" w:rsidRPr="00972237" w:rsidTr="00951DF2">
        <w:trPr>
          <w:trHeight w:val="480"/>
        </w:trPr>
        <w:tc>
          <w:tcPr>
            <w:tcW w:w="4399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MARCO AURELIO MARIN BERMUDEZ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2237" w:rsidRPr="00972237" w:rsidTr="00951DF2">
        <w:trPr>
          <w:trHeight w:val="225"/>
        </w:trPr>
        <w:tc>
          <w:tcPr>
            <w:tcW w:w="118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Fecha de nacimiento: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Fecha reconocimiento pensión: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23/11/2013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2237" w:rsidRPr="00972237" w:rsidTr="00951DF2">
        <w:trPr>
          <w:trHeight w:val="225"/>
        </w:trPr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Total semanas cotizadas: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</w:rPr>
              <w:t>514,29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Tasa Ley 100/93: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686" w:type="pct"/>
            <w:gridSpan w:val="2"/>
            <w:tcBorders>
              <w:top w:val="nil"/>
              <w:left w:val="single" w:sz="4" w:space="0" w:color="808000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75,00%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2237" w:rsidRPr="00972237" w:rsidTr="00951DF2">
        <w:trPr>
          <w:trHeight w:val="150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2237" w:rsidRPr="00972237" w:rsidTr="00951DF2">
        <w:trPr>
          <w:trHeight w:val="45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2237" w:rsidRPr="00972237" w:rsidTr="00951DF2">
        <w:trPr>
          <w:trHeight w:val="435"/>
        </w:trPr>
        <w:tc>
          <w:tcPr>
            <w:tcW w:w="1823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808000"/>
              <w:right w:val="nil"/>
            </w:tcBorders>
            <w:shd w:val="clear" w:color="000000" w:fill="FFFF99"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HISTORIA LABORAL DEL AFILIADO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808000"/>
            </w:tcBorders>
            <w:shd w:val="clear" w:color="000000" w:fill="FFFFCC"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Ingreso Base de cotización actualizado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nil"/>
              <w:bottom w:val="single" w:sz="4" w:space="0" w:color="808000"/>
              <w:right w:val="nil"/>
            </w:tcBorders>
            <w:shd w:val="clear" w:color="000000" w:fill="FFFF99"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IPC </w:t>
            </w:r>
            <w:proofErr w:type="spellStart"/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Dane</w:t>
            </w:r>
            <w:proofErr w:type="spellEnd"/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          (serie de empalme)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808000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Promedio Salarial        (</w:t>
            </w:r>
            <w:proofErr w:type="spellStart"/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Dias</w:t>
            </w:r>
            <w:proofErr w:type="spellEnd"/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x </w:t>
            </w:r>
            <w:proofErr w:type="spellStart"/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IBC</w:t>
            </w:r>
            <w:proofErr w:type="spellEnd"/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actualizado/total </w:t>
            </w:r>
            <w:proofErr w:type="spellStart"/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dias</w:t>
            </w:r>
            <w:proofErr w:type="spellEnd"/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2237" w:rsidRPr="00972237" w:rsidTr="00951DF2">
        <w:trPr>
          <w:trHeight w:val="315"/>
        </w:trPr>
        <w:tc>
          <w:tcPr>
            <w:tcW w:w="762" w:type="pct"/>
            <w:gridSpan w:val="2"/>
            <w:tcBorders>
              <w:top w:val="single" w:sz="4" w:space="0" w:color="808000"/>
              <w:left w:val="single" w:sz="4" w:space="0" w:color="auto"/>
              <w:bottom w:val="single" w:sz="4" w:space="0" w:color="808000"/>
              <w:right w:val="nil"/>
            </w:tcBorders>
            <w:shd w:val="clear" w:color="000000" w:fill="FFFFCC"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Fechas de aporte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808000"/>
              <w:bottom w:val="single" w:sz="8" w:space="0" w:color="000000"/>
              <w:right w:val="single" w:sz="4" w:space="0" w:color="808000"/>
            </w:tcBorders>
            <w:shd w:val="clear" w:color="000000" w:fill="FFFFCC"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Número de días</w:t>
            </w:r>
          </w:p>
        </w:tc>
        <w:tc>
          <w:tcPr>
            <w:tcW w:w="636" w:type="pct"/>
            <w:gridSpan w:val="2"/>
            <w:vMerge w:val="restart"/>
            <w:tcBorders>
              <w:top w:val="nil"/>
              <w:left w:val="single" w:sz="4" w:space="0" w:color="808000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Ingreso Base de Cotización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808000"/>
            </w:tcBorders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vMerge w:val="restart"/>
            <w:tcBorders>
              <w:top w:val="nil"/>
              <w:left w:val="single" w:sz="4" w:space="0" w:color="808000"/>
              <w:bottom w:val="single" w:sz="8" w:space="0" w:color="000000"/>
              <w:right w:val="single" w:sz="4" w:space="0" w:color="808000"/>
            </w:tcBorders>
            <w:shd w:val="clear" w:color="000000" w:fill="FFFFCC"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IPC Final</w:t>
            </w:r>
          </w:p>
        </w:tc>
        <w:tc>
          <w:tcPr>
            <w:tcW w:w="686" w:type="pct"/>
            <w:gridSpan w:val="2"/>
            <w:vMerge w:val="restart"/>
            <w:tcBorders>
              <w:top w:val="nil"/>
              <w:left w:val="single" w:sz="4" w:space="0" w:color="808000"/>
              <w:bottom w:val="single" w:sz="8" w:space="0" w:color="000000"/>
              <w:right w:val="single" w:sz="4" w:space="0" w:color="808000"/>
            </w:tcBorders>
            <w:shd w:val="clear" w:color="000000" w:fill="FFFFCC"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IPC Inicial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808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72237" w:rsidRPr="00972237" w:rsidTr="00951DF2">
        <w:trPr>
          <w:trHeight w:val="49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808000"/>
              <w:bottom w:val="single" w:sz="8" w:space="0" w:color="000000"/>
              <w:right w:val="single" w:sz="4" w:space="0" w:color="808000"/>
            </w:tcBorders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vMerge/>
            <w:tcBorders>
              <w:top w:val="nil"/>
              <w:left w:val="single" w:sz="4" w:space="0" w:color="808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808000"/>
            </w:tcBorders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vMerge/>
            <w:tcBorders>
              <w:top w:val="nil"/>
              <w:left w:val="single" w:sz="4" w:space="0" w:color="808000"/>
              <w:bottom w:val="single" w:sz="8" w:space="0" w:color="000000"/>
              <w:right w:val="single" w:sz="4" w:space="0" w:color="808000"/>
            </w:tcBorders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nil"/>
              <w:left w:val="single" w:sz="4" w:space="0" w:color="808000"/>
              <w:bottom w:val="single" w:sz="8" w:space="0" w:color="000000"/>
              <w:right w:val="single" w:sz="4" w:space="0" w:color="808000"/>
            </w:tcBorders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808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single" w:sz="4" w:space="0" w:color="808000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14-ene-81</w:t>
            </w:r>
          </w:p>
        </w:tc>
        <w:tc>
          <w:tcPr>
            <w:tcW w:w="371" w:type="pct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30-nov-81</w:t>
            </w:r>
          </w:p>
        </w:tc>
        <w:tc>
          <w:tcPr>
            <w:tcW w:w="425" w:type="pct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6" w:type="pct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11.050,00 </w:t>
            </w:r>
          </w:p>
        </w:tc>
        <w:tc>
          <w:tcPr>
            <w:tcW w:w="136" w:type="pct"/>
            <w:gridSpan w:val="2"/>
            <w:tcBorders>
              <w:top w:val="single" w:sz="4" w:space="0" w:color="808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808000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958.363,90 </w:t>
            </w:r>
          </w:p>
        </w:tc>
        <w:tc>
          <w:tcPr>
            <w:tcW w:w="508" w:type="pct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1,29 </w:t>
            </w:r>
          </w:p>
        </w:tc>
        <w:tc>
          <w:tcPr>
            <w:tcW w:w="656" w:type="pct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85.454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01-dic-81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22.100,00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1.916.727,80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1,29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16.505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30-nov-82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19.500,00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808000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1.337.374,58 </w:t>
            </w:r>
          </w:p>
        </w:tc>
        <w:tc>
          <w:tcPr>
            <w:tcW w:w="508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1,63 </w:t>
            </w:r>
          </w:p>
        </w:tc>
        <w:tc>
          <w:tcPr>
            <w:tcW w:w="656" w:type="pct"/>
            <w:tcBorders>
              <w:top w:val="single" w:sz="4" w:space="0" w:color="808000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124.079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01-dic-82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32.115,00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2.202.553,05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1,63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18.966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30-nov-83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24.200,00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1.338.152,35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2,02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124.151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01-dic-83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48.400,00 </w:t>
            </w:r>
          </w:p>
        </w:tc>
        <w:tc>
          <w:tcPr>
            <w:tcW w:w="13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3"/>
            <w:tcBorders>
              <w:top w:val="single" w:sz="4" w:space="0" w:color="808000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2.676.304,70 </w:t>
            </w:r>
          </w:p>
        </w:tc>
        <w:tc>
          <w:tcPr>
            <w:tcW w:w="508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2,02 </w:t>
            </w:r>
          </w:p>
        </w:tc>
        <w:tc>
          <w:tcPr>
            <w:tcW w:w="656" w:type="pct"/>
            <w:tcBorders>
              <w:top w:val="single" w:sz="4" w:space="0" w:color="808000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23.046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30-nov-84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28.700,00 </w:t>
            </w:r>
          </w:p>
        </w:tc>
        <w:tc>
          <w:tcPr>
            <w:tcW w:w="13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1.360.614,36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2,36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126.613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01-dic-84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57.400,00 </w:t>
            </w:r>
          </w:p>
        </w:tc>
        <w:tc>
          <w:tcPr>
            <w:tcW w:w="13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2.721.228,72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2,36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23.433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30-nov-85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31.857,00 </w:t>
            </w:r>
          </w:p>
        </w:tc>
        <w:tc>
          <w:tcPr>
            <w:tcW w:w="13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3"/>
            <w:tcBorders>
              <w:top w:val="single" w:sz="4" w:space="0" w:color="808000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1.276.831,42 </w:t>
            </w:r>
          </w:p>
        </w:tc>
        <w:tc>
          <w:tcPr>
            <w:tcW w:w="508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2,79 </w:t>
            </w:r>
          </w:p>
        </w:tc>
        <w:tc>
          <w:tcPr>
            <w:tcW w:w="656" w:type="pct"/>
            <w:tcBorders>
              <w:top w:val="single" w:sz="4" w:space="0" w:color="808000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118.462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01-dic-85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63.711,00 </w:t>
            </w:r>
          </w:p>
        </w:tc>
        <w:tc>
          <w:tcPr>
            <w:tcW w:w="13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2.553.542,61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2,79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21.989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30-nov-86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38.870,00 </w:t>
            </w:r>
          </w:p>
        </w:tc>
        <w:tc>
          <w:tcPr>
            <w:tcW w:w="13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3"/>
            <w:tcBorders>
              <w:top w:val="single" w:sz="4" w:space="0" w:color="808000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1.272.278,86 </w:t>
            </w:r>
          </w:p>
        </w:tc>
        <w:tc>
          <w:tcPr>
            <w:tcW w:w="508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3,42 </w:t>
            </w:r>
          </w:p>
        </w:tc>
        <w:tc>
          <w:tcPr>
            <w:tcW w:w="656" w:type="pct"/>
            <w:tcBorders>
              <w:top w:val="single" w:sz="4" w:space="0" w:color="808000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118.039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01-dic-86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78.460,00 </w:t>
            </w:r>
          </w:p>
        </w:tc>
        <w:tc>
          <w:tcPr>
            <w:tcW w:w="13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2.568.124,50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3,42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22.114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30-nov-87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68.364,00 </w:t>
            </w:r>
          </w:p>
        </w:tc>
        <w:tc>
          <w:tcPr>
            <w:tcW w:w="13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3"/>
            <w:tcBorders>
              <w:top w:val="single" w:sz="4" w:space="0" w:color="808000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1.850.126,46 </w:t>
            </w:r>
          </w:p>
        </w:tc>
        <w:tc>
          <w:tcPr>
            <w:tcW w:w="508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4,13 </w:t>
            </w:r>
          </w:p>
        </w:tc>
        <w:tc>
          <w:tcPr>
            <w:tcW w:w="656" w:type="pct"/>
            <w:tcBorders>
              <w:top w:val="single" w:sz="4" w:space="0" w:color="808000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171.651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01-dic-87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136.728,00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3.700.252,93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4,13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31.863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30-nov-88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83.400,00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1.819.879,02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5,12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169.350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01-dic-88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166.800,00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3.639.758,04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5,12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31.342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31-ene-89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52.125,00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808000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887.749,94 </w:t>
            </w:r>
          </w:p>
        </w:tc>
        <w:tc>
          <w:tcPr>
            <w:tcW w:w="508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    6,57 </w:t>
            </w:r>
          </w:p>
        </w:tc>
        <w:tc>
          <w:tcPr>
            <w:tcW w:w="656" w:type="pct"/>
            <w:tcBorders>
              <w:top w:val="single" w:sz="4" w:space="0" w:color="808000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  7.645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31-dic-12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2.142.000,00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2.194.196,04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109,16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219.420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01-ene-13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31-ene-13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2.412.000,00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808000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2.412.000,00 </w:t>
            </w:r>
          </w:p>
        </w:tc>
        <w:tc>
          <w:tcPr>
            <w:tcW w:w="508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111,82 </w:t>
            </w:r>
          </w:p>
        </w:tc>
        <w:tc>
          <w:tcPr>
            <w:tcW w:w="656" w:type="pct"/>
            <w:tcBorders>
              <w:top w:val="single" w:sz="4" w:space="0" w:color="808000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20.100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01-feb-13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31-oct-13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2.947.000,00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8" w:space="0" w:color="auto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2.947.000,00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111,82 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    111,82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808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                  221.025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ind w:firstLineChars="300" w:firstLine="48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762" w:type="pct"/>
            <w:gridSpan w:val="2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TOTAL DIAS</w:t>
            </w:r>
          </w:p>
        </w:tc>
        <w:tc>
          <w:tcPr>
            <w:tcW w:w="42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3.600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IBL</w:t>
            </w:r>
          </w:p>
        </w:tc>
        <w:tc>
          <w:tcPr>
            <w:tcW w:w="65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</w:rPr>
              <w:t xml:space="preserve">       1.695.246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gridSpan w:val="4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Mesada</w:t>
            </w:r>
          </w:p>
        </w:tc>
        <w:tc>
          <w:tcPr>
            <w:tcW w:w="656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FFFF99"/>
            <w:noWrap/>
            <w:vAlign w:val="center"/>
            <w:hideMark/>
          </w:tcPr>
          <w:p w:rsidR="00972237" w:rsidRPr="00972237" w:rsidRDefault="00972237" w:rsidP="0097223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$ </w:t>
            </w:r>
            <w:r w:rsidRPr="00972237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1.271.434 </w:t>
            </w: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</w:tr>
      <w:tr w:rsidR="00972237" w:rsidRPr="00972237" w:rsidTr="00951DF2">
        <w:trPr>
          <w:gridAfter w:val="1"/>
          <w:wAfter w:w="601" w:type="pct"/>
          <w:trHeight w:val="575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51DF2" w:rsidRDefault="00951DF2" w:rsidP="00951DF2">
            <w:pPr>
              <w:jc w:val="center"/>
              <w:rPr>
                <w:b/>
                <w:sz w:val="16"/>
                <w:szCs w:val="16"/>
              </w:rPr>
            </w:pPr>
            <w:r w:rsidRPr="00951DF2">
              <w:rPr>
                <w:b/>
                <w:sz w:val="16"/>
                <w:szCs w:val="16"/>
              </w:rPr>
              <w:t>RETROACTIVO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51DF2" w:rsidRDefault="00972237" w:rsidP="00951D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</w:tr>
      <w:tr w:rsidR="00951DF2" w:rsidRPr="00972237" w:rsidTr="00951DF2">
        <w:trPr>
          <w:gridAfter w:val="3"/>
          <w:wAfter w:w="1798" w:type="pct"/>
          <w:trHeight w:val="31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00"/>
            </w:tcBorders>
            <w:shd w:val="clear" w:color="000000" w:fill="FFFFCC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Fecha Liquida: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</w:rPr>
              <w:t>28-feb-17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sz w:val="16"/>
                <w:szCs w:val="16"/>
              </w:rPr>
            </w:pPr>
          </w:p>
        </w:tc>
      </w:tr>
      <w:tr w:rsidR="00972237" w:rsidRPr="00972237" w:rsidTr="00951DF2">
        <w:trPr>
          <w:gridAfter w:val="1"/>
          <w:wAfter w:w="601" w:type="pct"/>
          <w:trHeight w:val="315"/>
        </w:trPr>
        <w:tc>
          <w:tcPr>
            <w:tcW w:w="391" w:type="pct"/>
            <w:tcBorders>
              <w:top w:val="nil"/>
              <w:left w:val="nil"/>
              <w:bottom w:val="single" w:sz="4" w:space="0" w:color="808000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 w:rsidRPr="00972237">
              <w:rPr>
                <w:rFonts w:ascii="Calibri" w:hAnsi="Calibri"/>
                <w:color w:val="FFFFFF"/>
                <w:sz w:val="16"/>
                <w:szCs w:val="16"/>
              </w:rPr>
              <w:t>01/01/2011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237" w:rsidRPr="00972237" w:rsidRDefault="00972237" w:rsidP="009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37" w:rsidRPr="00972237" w:rsidRDefault="00972237" w:rsidP="00972237">
            <w:pPr>
              <w:rPr>
                <w:sz w:val="16"/>
                <w:szCs w:val="16"/>
              </w:rPr>
            </w:pPr>
          </w:p>
        </w:tc>
      </w:tr>
      <w:tr w:rsidR="00951DF2" w:rsidRPr="00972237" w:rsidTr="00951DF2">
        <w:trPr>
          <w:gridAfter w:val="5"/>
          <w:wAfter w:w="2184" w:type="pct"/>
          <w:trHeight w:val="450"/>
        </w:trPr>
        <w:tc>
          <w:tcPr>
            <w:tcW w:w="391" w:type="pct"/>
            <w:tcBorders>
              <w:top w:val="single" w:sz="4" w:space="0" w:color="808000"/>
              <w:left w:val="single" w:sz="4" w:space="0" w:color="auto"/>
              <w:bottom w:val="single" w:sz="4" w:space="0" w:color="003366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IPC</w:t>
            </w:r>
            <w:r w:rsidRPr="00972237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 xml:space="preserve">   (Var. Año anterior)</w:t>
            </w:r>
          </w:p>
        </w:tc>
        <w:tc>
          <w:tcPr>
            <w:tcW w:w="371" w:type="pct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Desde</w:t>
            </w:r>
          </w:p>
        </w:tc>
        <w:tc>
          <w:tcPr>
            <w:tcW w:w="425" w:type="pct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Hasta</w:t>
            </w:r>
          </w:p>
        </w:tc>
        <w:tc>
          <w:tcPr>
            <w:tcW w:w="636" w:type="pct"/>
            <w:gridSpan w:val="2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Causadas</w:t>
            </w:r>
          </w:p>
        </w:tc>
        <w:tc>
          <w:tcPr>
            <w:tcW w:w="308" w:type="pct"/>
            <w:gridSpan w:val="3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Mesada </w:t>
            </w:r>
            <w:proofErr w:type="spellStart"/>
            <w:r w:rsidRPr="00972237">
              <w:rPr>
                <w:rFonts w:ascii="Calibri" w:hAnsi="Calibri"/>
                <w:b/>
                <w:bCs/>
                <w:color w:val="000000"/>
                <w:sz w:val="16"/>
                <w:szCs w:val="16"/>
                <w:vertAlign w:val="superscript"/>
              </w:rPr>
              <w:t>reliquidada</w:t>
            </w:r>
            <w:proofErr w:type="spellEnd"/>
          </w:p>
        </w:tc>
        <w:tc>
          <w:tcPr>
            <w:tcW w:w="685" w:type="pct"/>
            <w:gridSpan w:val="3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Diferencias a cancelar</w:t>
            </w:r>
          </w:p>
        </w:tc>
      </w:tr>
      <w:tr w:rsidR="00951DF2" w:rsidRPr="00972237" w:rsidTr="00951DF2">
        <w:trPr>
          <w:gridAfter w:val="5"/>
          <w:wAfter w:w="2184" w:type="pct"/>
          <w:trHeight w:val="315"/>
        </w:trPr>
        <w:tc>
          <w:tcPr>
            <w:tcW w:w="391" w:type="pct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3,73</w:t>
            </w:r>
          </w:p>
        </w:tc>
        <w:tc>
          <w:tcPr>
            <w:tcW w:w="371" w:type="pct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23-nov-13</w:t>
            </w:r>
          </w:p>
        </w:tc>
        <w:tc>
          <w:tcPr>
            <w:tcW w:w="425" w:type="pct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31-dic-13</w:t>
            </w:r>
          </w:p>
        </w:tc>
        <w:tc>
          <w:tcPr>
            <w:tcW w:w="636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2,23</w:t>
            </w:r>
          </w:p>
        </w:tc>
        <w:tc>
          <w:tcPr>
            <w:tcW w:w="308" w:type="pct"/>
            <w:gridSpan w:val="3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1.203.996</w:t>
            </w:r>
          </w:p>
        </w:tc>
        <w:tc>
          <w:tcPr>
            <w:tcW w:w="685" w:type="pct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</w:rPr>
              <w:t>2.684.911</w:t>
            </w:r>
          </w:p>
        </w:tc>
      </w:tr>
      <w:tr w:rsidR="00951DF2" w:rsidRPr="00972237" w:rsidTr="00951DF2">
        <w:trPr>
          <w:gridAfter w:val="5"/>
          <w:wAfter w:w="2184" w:type="pct"/>
          <w:trHeight w:val="315"/>
        </w:trPr>
        <w:tc>
          <w:tcPr>
            <w:tcW w:w="391" w:type="pct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1,94</w:t>
            </w:r>
          </w:p>
        </w:tc>
        <w:tc>
          <w:tcPr>
            <w:tcW w:w="371" w:type="pct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01-ene-14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31-dic-14</w:t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13,00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1.227.354</w:t>
            </w:r>
          </w:p>
        </w:tc>
        <w:tc>
          <w:tcPr>
            <w:tcW w:w="685" w:type="pct"/>
            <w:gridSpan w:val="3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</w:rPr>
              <w:t>15.955.596</w:t>
            </w:r>
          </w:p>
        </w:tc>
      </w:tr>
      <w:tr w:rsidR="00951DF2" w:rsidRPr="00972237" w:rsidTr="00951DF2">
        <w:trPr>
          <w:gridAfter w:val="5"/>
          <w:wAfter w:w="2184" w:type="pct"/>
          <w:trHeight w:val="315"/>
        </w:trPr>
        <w:tc>
          <w:tcPr>
            <w:tcW w:w="391" w:type="pct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3,66</w:t>
            </w:r>
          </w:p>
        </w:tc>
        <w:tc>
          <w:tcPr>
            <w:tcW w:w="371" w:type="pct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01-ene-15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31-dic-15</w:t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13,00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1.272.275</w:t>
            </w:r>
          </w:p>
        </w:tc>
        <w:tc>
          <w:tcPr>
            <w:tcW w:w="685" w:type="pct"/>
            <w:gridSpan w:val="3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</w:rPr>
              <w:t>16.539.571</w:t>
            </w:r>
          </w:p>
        </w:tc>
      </w:tr>
      <w:tr w:rsidR="00951DF2" w:rsidRPr="00972237" w:rsidTr="00951DF2">
        <w:trPr>
          <w:gridAfter w:val="5"/>
          <w:wAfter w:w="2184" w:type="pct"/>
          <w:trHeight w:val="315"/>
        </w:trPr>
        <w:tc>
          <w:tcPr>
            <w:tcW w:w="391" w:type="pct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lastRenderedPageBreak/>
              <w:t>6,77</w:t>
            </w:r>
          </w:p>
        </w:tc>
        <w:tc>
          <w:tcPr>
            <w:tcW w:w="371" w:type="pct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01-ene-16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31-dic-16</w:t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13,00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1.358.408</w:t>
            </w:r>
          </w:p>
        </w:tc>
        <w:tc>
          <w:tcPr>
            <w:tcW w:w="685" w:type="pct"/>
            <w:gridSpan w:val="3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</w:rPr>
              <w:t>17.659.300</w:t>
            </w:r>
          </w:p>
        </w:tc>
      </w:tr>
      <w:tr w:rsidR="00951DF2" w:rsidRPr="00972237" w:rsidTr="00951DF2">
        <w:trPr>
          <w:gridAfter w:val="5"/>
          <w:wAfter w:w="2184" w:type="pct"/>
          <w:trHeight w:val="330"/>
        </w:trPr>
        <w:tc>
          <w:tcPr>
            <w:tcW w:w="391" w:type="pct"/>
            <w:tcBorders>
              <w:top w:val="single" w:sz="4" w:space="0" w:color="003366"/>
              <w:left w:val="single" w:sz="4" w:space="0" w:color="auto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0,00</w:t>
            </w:r>
          </w:p>
        </w:tc>
        <w:tc>
          <w:tcPr>
            <w:tcW w:w="371" w:type="pct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01-ene-17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28-feb-17</w:t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2,00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72237">
              <w:rPr>
                <w:rFonts w:ascii="Calibri" w:hAnsi="Calibri"/>
                <w:sz w:val="16"/>
                <w:szCs w:val="16"/>
                <w:vertAlign w:val="superscript"/>
              </w:rPr>
              <w:t>1.358.408</w:t>
            </w:r>
          </w:p>
        </w:tc>
        <w:tc>
          <w:tcPr>
            <w:tcW w:w="685" w:type="pct"/>
            <w:gridSpan w:val="3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951DF2" w:rsidRPr="00972237" w:rsidRDefault="00951DF2" w:rsidP="00951DF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2237">
              <w:rPr>
                <w:rFonts w:ascii="Calibri" w:hAnsi="Calibri"/>
                <w:color w:val="000000"/>
                <w:sz w:val="16"/>
                <w:szCs w:val="16"/>
              </w:rPr>
              <w:t>2.716.815</w:t>
            </w:r>
          </w:p>
        </w:tc>
      </w:tr>
    </w:tbl>
    <w:p w:rsidR="00367655" w:rsidRDefault="00367655" w:rsidP="00367655"/>
    <w:p w:rsidR="007A60FD" w:rsidRPr="00951DF2" w:rsidRDefault="007A60FD" w:rsidP="00951DF2">
      <w:pPr>
        <w:spacing w:line="276" w:lineRule="auto"/>
        <w:jc w:val="both"/>
        <w:rPr>
          <w:rFonts w:ascii="Tahoma" w:hAnsi="Tahoma" w:cs="Tahoma"/>
        </w:rPr>
      </w:pPr>
    </w:p>
    <w:p w:rsidR="007A60FD" w:rsidRPr="00FA04F3" w:rsidRDefault="007A60FD" w:rsidP="007A60FD">
      <w:pPr>
        <w:spacing w:line="276" w:lineRule="auto"/>
        <w:ind w:firstLine="708"/>
        <w:jc w:val="center"/>
        <w:rPr>
          <w:rFonts w:ascii="Tahoma" w:hAnsi="Tahoma" w:cs="Tahoma"/>
          <w:b/>
          <w:lang w:val="es-CO"/>
        </w:rPr>
      </w:pPr>
    </w:p>
    <w:p w:rsidR="007A60FD" w:rsidRDefault="007A60FD" w:rsidP="007A60FD">
      <w:pPr>
        <w:spacing w:line="276" w:lineRule="auto"/>
        <w:ind w:firstLine="708"/>
        <w:jc w:val="center"/>
        <w:rPr>
          <w:rFonts w:ascii="Tahoma" w:hAnsi="Tahoma" w:cs="Tahoma"/>
          <w:b/>
          <w:lang w:val="es-CO"/>
        </w:rPr>
      </w:pPr>
    </w:p>
    <w:p w:rsidR="007A60FD" w:rsidRPr="007A60FD" w:rsidRDefault="007A60FD" w:rsidP="007A60FD">
      <w:pPr>
        <w:spacing w:line="276" w:lineRule="auto"/>
        <w:ind w:firstLine="708"/>
        <w:jc w:val="center"/>
        <w:rPr>
          <w:rFonts w:ascii="Tahoma" w:hAnsi="Tahoma" w:cs="Tahoma"/>
          <w:b/>
          <w:lang w:val="es-CO"/>
        </w:rPr>
      </w:pPr>
    </w:p>
    <w:p w:rsidR="007A60FD" w:rsidRDefault="007A60FD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</w:p>
    <w:p w:rsidR="00AD5882" w:rsidRDefault="00916248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 </w:t>
      </w:r>
    </w:p>
    <w:p w:rsidR="007A60FD" w:rsidRDefault="007A60FD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</w:p>
    <w:p w:rsidR="007A60FD" w:rsidRDefault="007A60FD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</w:p>
    <w:p w:rsidR="00AD5882" w:rsidRDefault="00AD5882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</w:p>
    <w:p w:rsidR="00567340" w:rsidRPr="00B973C3" w:rsidRDefault="00DF2E54" w:rsidP="00B973C3">
      <w:pPr>
        <w:spacing w:line="276" w:lineRule="auto"/>
        <w:ind w:firstLine="708"/>
        <w:jc w:val="both"/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 xml:space="preserve"> </w:t>
      </w:r>
      <w:r>
        <w:rPr>
          <w:rFonts w:ascii="Tahoma" w:hAnsi="Tahoma" w:cs="Tahoma"/>
          <w:lang w:val="es-CO"/>
        </w:rPr>
        <w:tab/>
      </w:r>
    </w:p>
    <w:sectPr w:rsidR="00567340" w:rsidRPr="00B973C3" w:rsidSect="00E2220F">
      <w:headerReference w:type="default" r:id="rId7"/>
      <w:footerReference w:type="default" r:id="rId8"/>
      <w:pgSz w:w="12242" w:h="18722" w:code="121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94" w:rsidRDefault="00FF1394" w:rsidP="00972237">
      <w:r>
        <w:separator/>
      </w:r>
    </w:p>
  </w:endnote>
  <w:endnote w:type="continuationSeparator" w:id="0">
    <w:p w:rsidR="00FF1394" w:rsidRDefault="00FF1394" w:rsidP="009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631686"/>
      <w:docPartObj>
        <w:docPartGallery w:val="Page Numbers (Bottom of Page)"/>
        <w:docPartUnique/>
      </w:docPartObj>
    </w:sdtPr>
    <w:sdtEndPr/>
    <w:sdtContent>
      <w:p w:rsidR="00972237" w:rsidRDefault="009722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296">
          <w:rPr>
            <w:noProof/>
          </w:rPr>
          <w:t>7</w:t>
        </w:r>
        <w:r>
          <w:fldChar w:fldCharType="end"/>
        </w:r>
      </w:p>
    </w:sdtContent>
  </w:sdt>
  <w:p w:rsidR="00972237" w:rsidRDefault="009722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94" w:rsidRDefault="00FF1394" w:rsidP="00972237">
      <w:r>
        <w:separator/>
      </w:r>
    </w:p>
  </w:footnote>
  <w:footnote w:type="continuationSeparator" w:id="0">
    <w:p w:rsidR="00FF1394" w:rsidRDefault="00FF1394" w:rsidP="0097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37" w:rsidRPr="00972237" w:rsidRDefault="00972237">
    <w:pPr>
      <w:pStyle w:val="En-tte"/>
      <w:rPr>
        <w:rFonts w:ascii="Tahoma" w:hAnsi="Tahoma" w:cs="Tahoma"/>
        <w:i/>
        <w:sz w:val="18"/>
        <w:szCs w:val="18"/>
        <w:vertAlign w:val="superscript"/>
        <w:lang w:val="es-CO"/>
      </w:rPr>
    </w:pPr>
    <w:r w:rsidRPr="00972237">
      <w:rPr>
        <w:rFonts w:ascii="Tahoma" w:hAnsi="Tahoma" w:cs="Tahoma"/>
        <w:i/>
        <w:sz w:val="18"/>
        <w:szCs w:val="18"/>
        <w:vertAlign w:val="superscript"/>
        <w:lang w:val="es-CO"/>
      </w:rPr>
      <w:t>Demandante: María Edith Talero Mahecha</w:t>
    </w:r>
  </w:p>
  <w:p w:rsidR="00972237" w:rsidRPr="00972237" w:rsidRDefault="00972237">
    <w:pPr>
      <w:pStyle w:val="En-tte"/>
      <w:rPr>
        <w:rFonts w:ascii="Tahoma" w:hAnsi="Tahoma" w:cs="Tahoma"/>
        <w:i/>
        <w:sz w:val="18"/>
        <w:szCs w:val="18"/>
        <w:vertAlign w:val="superscript"/>
        <w:lang w:val="es-CO"/>
      </w:rPr>
    </w:pPr>
    <w:r w:rsidRPr="00972237">
      <w:rPr>
        <w:rFonts w:ascii="Tahoma" w:hAnsi="Tahoma" w:cs="Tahoma"/>
        <w:i/>
        <w:sz w:val="18"/>
        <w:szCs w:val="18"/>
        <w:vertAlign w:val="superscript"/>
        <w:lang w:val="es-CO"/>
      </w:rPr>
      <w:t>Demandado: Colpensiones</w:t>
    </w:r>
  </w:p>
  <w:p w:rsidR="00972237" w:rsidRPr="00972237" w:rsidRDefault="00972237">
    <w:pPr>
      <w:pStyle w:val="En-tte"/>
      <w:rPr>
        <w:rFonts w:ascii="Tahoma" w:hAnsi="Tahoma" w:cs="Tahoma"/>
        <w:i/>
        <w:sz w:val="18"/>
        <w:szCs w:val="18"/>
        <w:vertAlign w:val="superscript"/>
        <w:lang w:val="es-CO"/>
      </w:rPr>
    </w:pPr>
    <w:r w:rsidRPr="00972237">
      <w:rPr>
        <w:rFonts w:ascii="Tahoma" w:hAnsi="Tahoma" w:cs="Tahoma"/>
        <w:i/>
        <w:sz w:val="18"/>
        <w:szCs w:val="18"/>
        <w:vertAlign w:val="superscript"/>
        <w:lang w:val="es-CO"/>
      </w:rPr>
      <w:t>Radicado: 2014-00518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EB"/>
    <w:rsid w:val="000015D2"/>
    <w:rsid w:val="00012217"/>
    <w:rsid w:val="000C4EE4"/>
    <w:rsid w:val="00105C58"/>
    <w:rsid w:val="00144296"/>
    <w:rsid w:val="002A3EC9"/>
    <w:rsid w:val="002B13C6"/>
    <w:rsid w:val="002C0C94"/>
    <w:rsid w:val="002F1EAD"/>
    <w:rsid w:val="00347EC9"/>
    <w:rsid w:val="00367655"/>
    <w:rsid w:val="003B4A44"/>
    <w:rsid w:val="003C0236"/>
    <w:rsid w:val="003D6424"/>
    <w:rsid w:val="00495EA1"/>
    <w:rsid w:val="00567340"/>
    <w:rsid w:val="0059500E"/>
    <w:rsid w:val="005B46F2"/>
    <w:rsid w:val="005C293E"/>
    <w:rsid w:val="00674DB8"/>
    <w:rsid w:val="00793E55"/>
    <w:rsid w:val="007A60FD"/>
    <w:rsid w:val="008B58FA"/>
    <w:rsid w:val="00916248"/>
    <w:rsid w:val="00933D99"/>
    <w:rsid w:val="00951DF2"/>
    <w:rsid w:val="00963A44"/>
    <w:rsid w:val="00972237"/>
    <w:rsid w:val="009C4B8C"/>
    <w:rsid w:val="00A71CDB"/>
    <w:rsid w:val="00A7383E"/>
    <w:rsid w:val="00A80589"/>
    <w:rsid w:val="00AB30BE"/>
    <w:rsid w:val="00AD5882"/>
    <w:rsid w:val="00B973C3"/>
    <w:rsid w:val="00C234F9"/>
    <w:rsid w:val="00C826E2"/>
    <w:rsid w:val="00CF4BD1"/>
    <w:rsid w:val="00D121FA"/>
    <w:rsid w:val="00D46F1A"/>
    <w:rsid w:val="00DF129C"/>
    <w:rsid w:val="00DF23EB"/>
    <w:rsid w:val="00DF2E54"/>
    <w:rsid w:val="00E12976"/>
    <w:rsid w:val="00E2220F"/>
    <w:rsid w:val="00FA04F3"/>
    <w:rsid w:val="00FB01F1"/>
    <w:rsid w:val="00FD2BC5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7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6424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D6424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3D642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itre5Car">
    <w:name w:val="Titre 5 Car"/>
    <w:basedOn w:val="Policepardfaut"/>
    <w:link w:val="Titre5"/>
    <w:semiHidden/>
    <w:rsid w:val="003D642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itre">
    <w:name w:val="Title"/>
    <w:basedOn w:val="Normal"/>
    <w:link w:val="TitreCar"/>
    <w:qFormat/>
    <w:rsid w:val="003D6424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TitreCar">
    <w:name w:val="Titre Car"/>
    <w:basedOn w:val="Policepardfaut"/>
    <w:link w:val="Titre"/>
    <w:rsid w:val="003D6424"/>
    <w:rPr>
      <w:rFonts w:ascii="Arial" w:eastAsia="Times New Roman" w:hAnsi="Arial" w:cs="Arial"/>
      <w:b/>
      <w:sz w:val="24"/>
      <w:szCs w:val="24"/>
      <w:lang w:eastAsia="es-ES"/>
    </w:rPr>
  </w:style>
  <w:style w:type="paragraph" w:styleId="Sansinterligne">
    <w:name w:val="No Spacing"/>
    <w:uiPriority w:val="1"/>
    <w:qFormat/>
    <w:rsid w:val="003D6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sdetexte">
    <w:name w:val="Body Text"/>
    <w:basedOn w:val="Normal"/>
    <w:link w:val="CorpsdetexteCar"/>
    <w:rsid w:val="008B58FA"/>
    <w:pPr>
      <w:spacing w:line="360" w:lineRule="auto"/>
      <w:jc w:val="both"/>
    </w:pPr>
    <w:rPr>
      <w:rFonts w:ascii="Arial" w:hAnsi="Arial"/>
      <w:sz w:val="26"/>
      <w:szCs w:val="20"/>
      <w:lang w:val="es-ES_tradnl"/>
    </w:rPr>
  </w:style>
  <w:style w:type="character" w:customStyle="1" w:styleId="CorpsdetexteCar">
    <w:name w:val="Corps de texte Car"/>
    <w:basedOn w:val="Policepardfaut"/>
    <w:link w:val="Corpsdetexte"/>
    <w:rsid w:val="008B58FA"/>
    <w:rPr>
      <w:rFonts w:ascii="Arial" w:eastAsia="Times New Roman" w:hAnsi="Arial" w:cs="Times New Roman"/>
      <w:sz w:val="26"/>
      <w:szCs w:val="20"/>
      <w:lang w:val="es-ES_tradnl" w:eastAsia="es-ES"/>
    </w:rPr>
  </w:style>
  <w:style w:type="character" w:customStyle="1" w:styleId="apple-converted-space">
    <w:name w:val="apple-converted-space"/>
    <w:basedOn w:val="Policepardfaut"/>
    <w:rsid w:val="00963A44"/>
  </w:style>
  <w:style w:type="character" w:customStyle="1" w:styleId="Titre3Car">
    <w:name w:val="Titre 3 Car"/>
    <w:basedOn w:val="Policepardfaut"/>
    <w:link w:val="Titre3"/>
    <w:uiPriority w:val="9"/>
    <w:semiHidden/>
    <w:rsid w:val="003676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6765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676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97223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7223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depage">
    <w:name w:val="footer"/>
    <w:basedOn w:val="Normal"/>
    <w:link w:val="PieddepageCar"/>
    <w:uiPriority w:val="99"/>
    <w:unhideWhenUsed/>
    <w:rsid w:val="0097223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23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2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20F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7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6424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D6424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3D642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itre5Car">
    <w:name w:val="Titre 5 Car"/>
    <w:basedOn w:val="Policepardfaut"/>
    <w:link w:val="Titre5"/>
    <w:semiHidden/>
    <w:rsid w:val="003D642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itre">
    <w:name w:val="Title"/>
    <w:basedOn w:val="Normal"/>
    <w:link w:val="TitreCar"/>
    <w:qFormat/>
    <w:rsid w:val="003D6424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TitreCar">
    <w:name w:val="Titre Car"/>
    <w:basedOn w:val="Policepardfaut"/>
    <w:link w:val="Titre"/>
    <w:rsid w:val="003D6424"/>
    <w:rPr>
      <w:rFonts w:ascii="Arial" w:eastAsia="Times New Roman" w:hAnsi="Arial" w:cs="Arial"/>
      <w:b/>
      <w:sz w:val="24"/>
      <w:szCs w:val="24"/>
      <w:lang w:eastAsia="es-ES"/>
    </w:rPr>
  </w:style>
  <w:style w:type="paragraph" w:styleId="Sansinterligne">
    <w:name w:val="No Spacing"/>
    <w:uiPriority w:val="1"/>
    <w:qFormat/>
    <w:rsid w:val="003D6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sdetexte">
    <w:name w:val="Body Text"/>
    <w:basedOn w:val="Normal"/>
    <w:link w:val="CorpsdetexteCar"/>
    <w:rsid w:val="008B58FA"/>
    <w:pPr>
      <w:spacing w:line="360" w:lineRule="auto"/>
      <w:jc w:val="both"/>
    </w:pPr>
    <w:rPr>
      <w:rFonts w:ascii="Arial" w:hAnsi="Arial"/>
      <w:sz w:val="26"/>
      <w:szCs w:val="20"/>
      <w:lang w:val="es-ES_tradnl"/>
    </w:rPr>
  </w:style>
  <w:style w:type="character" w:customStyle="1" w:styleId="CorpsdetexteCar">
    <w:name w:val="Corps de texte Car"/>
    <w:basedOn w:val="Policepardfaut"/>
    <w:link w:val="Corpsdetexte"/>
    <w:rsid w:val="008B58FA"/>
    <w:rPr>
      <w:rFonts w:ascii="Arial" w:eastAsia="Times New Roman" w:hAnsi="Arial" w:cs="Times New Roman"/>
      <w:sz w:val="26"/>
      <w:szCs w:val="20"/>
      <w:lang w:val="es-ES_tradnl" w:eastAsia="es-ES"/>
    </w:rPr>
  </w:style>
  <w:style w:type="character" w:customStyle="1" w:styleId="apple-converted-space">
    <w:name w:val="apple-converted-space"/>
    <w:basedOn w:val="Policepardfaut"/>
    <w:rsid w:val="00963A44"/>
  </w:style>
  <w:style w:type="character" w:customStyle="1" w:styleId="Titre3Car">
    <w:name w:val="Titre 3 Car"/>
    <w:basedOn w:val="Policepardfaut"/>
    <w:link w:val="Titre3"/>
    <w:uiPriority w:val="9"/>
    <w:semiHidden/>
    <w:rsid w:val="003676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6765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676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97223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7223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depage">
    <w:name w:val="footer"/>
    <w:basedOn w:val="Normal"/>
    <w:link w:val="PieddepageCar"/>
    <w:uiPriority w:val="99"/>
    <w:unhideWhenUsed/>
    <w:rsid w:val="0097223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23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2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20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2814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Garces Moncada</dc:creator>
  <cp:keywords/>
  <dc:description/>
  <cp:lastModifiedBy>Malucimedina</cp:lastModifiedBy>
  <cp:revision>6</cp:revision>
  <cp:lastPrinted>2017-02-17T20:02:00Z</cp:lastPrinted>
  <dcterms:created xsi:type="dcterms:W3CDTF">2017-02-17T19:57:00Z</dcterms:created>
  <dcterms:modified xsi:type="dcterms:W3CDTF">2017-05-02T19:07:00Z</dcterms:modified>
</cp:coreProperties>
</file>