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C48FD" w:rsidRDefault="001C48FD" w:rsidP="001C48F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w:t>
      </w:r>
    </w:p>
    <w:p w:rsidR="001C48FD" w:rsidRPr="00A817A6" w:rsidRDefault="001C48FD" w:rsidP="001C48F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1C48FD" w:rsidRDefault="001C48FD" w:rsidP="001C48FD">
      <w:pPr>
        <w:pStyle w:val="Sansinterligne"/>
        <w:jc w:val="both"/>
        <w:rPr>
          <w:rFonts w:ascii="Tahoma" w:hAnsi="Tahoma" w:cs="Tahoma"/>
          <w:b/>
          <w:sz w:val="18"/>
          <w:szCs w:val="18"/>
        </w:rPr>
      </w:pPr>
    </w:p>
    <w:p w:rsidR="00B64E2A" w:rsidRPr="00B74E4D" w:rsidRDefault="00B64E2A" w:rsidP="00B64E2A">
      <w:pPr>
        <w:pStyle w:val="Titre"/>
        <w:spacing w:line="240" w:lineRule="auto"/>
        <w:jc w:val="both"/>
        <w:rPr>
          <w:rFonts w:ascii="Tahoma" w:hAnsi="Tahoma" w:cs="Tahoma"/>
          <w:b w:val="0"/>
          <w:sz w:val="18"/>
          <w:szCs w:val="18"/>
        </w:rPr>
      </w:pPr>
      <w:r w:rsidRPr="00B74E4D">
        <w:rPr>
          <w:rFonts w:ascii="Tahoma" w:hAnsi="Tahoma" w:cs="Tahoma"/>
          <w:b w:val="0"/>
          <w:sz w:val="18"/>
          <w:szCs w:val="18"/>
        </w:rPr>
        <w:t xml:space="preserve">Providencia: </w:t>
      </w:r>
      <w:r w:rsidRPr="00B74E4D">
        <w:rPr>
          <w:rFonts w:ascii="Tahoma" w:hAnsi="Tahoma" w:cs="Tahoma"/>
          <w:b w:val="0"/>
          <w:sz w:val="18"/>
          <w:szCs w:val="18"/>
        </w:rPr>
        <w:tab/>
      </w:r>
      <w:r w:rsidRPr="00B74E4D">
        <w:rPr>
          <w:rFonts w:ascii="Tahoma" w:hAnsi="Tahoma" w:cs="Tahoma"/>
          <w:b w:val="0"/>
          <w:sz w:val="18"/>
          <w:szCs w:val="18"/>
        </w:rPr>
        <w:tab/>
      </w:r>
      <w:r w:rsidRPr="00B74E4D">
        <w:rPr>
          <w:rFonts w:ascii="Tahoma" w:hAnsi="Tahoma" w:cs="Tahoma"/>
          <w:b w:val="0"/>
          <w:sz w:val="18"/>
          <w:szCs w:val="18"/>
        </w:rPr>
        <w:tab/>
      </w:r>
      <w:r w:rsidR="001C48FD">
        <w:rPr>
          <w:rFonts w:ascii="Tahoma" w:hAnsi="Tahoma" w:cs="Tahoma"/>
          <w:b w:val="0"/>
          <w:sz w:val="18"/>
          <w:szCs w:val="18"/>
        </w:rPr>
        <w:t>Aclaración de voto de la s</w:t>
      </w:r>
      <w:r w:rsidR="00DC74B9" w:rsidRPr="00B74E4D">
        <w:rPr>
          <w:rFonts w:ascii="Tahoma" w:hAnsi="Tahoma" w:cs="Tahoma"/>
          <w:b w:val="0"/>
          <w:sz w:val="18"/>
          <w:szCs w:val="18"/>
        </w:rPr>
        <w:t xml:space="preserve">entencia del </w:t>
      </w:r>
      <w:r w:rsidR="008A3902">
        <w:rPr>
          <w:rFonts w:ascii="Tahoma" w:hAnsi="Tahoma" w:cs="Tahoma"/>
          <w:b w:val="0"/>
          <w:sz w:val="18"/>
          <w:szCs w:val="18"/>
        </w:rPr>
        <w:t>2</w:t>
      </w:r>
      <w:r w:rsidR="00EE34DA">
        <w:rPr>
          <w:rFonts w:ascii="Tahoma" w:hAnsi="Tahoma" w:cs="Tahoma"/>
          <w:b w:val="0"/>
          <w:sz w:val="18"/>
          <w:szCs w:val="18"/>
        </w:rPr>
        <w:t>1</w:t>
      </w:r>
      <w:r w:rsidR="008A3902">
        <w:rPr>
          <w:rFonts w:ascii="Tahoma" w:hAnsi="Tahoma" w:cs="Tahoma"/>
          <w:b w:val="0"/>
          <w:sz w:val="18"/>
          <w:szCs w:val="18"/>
        </w:rPr>
        <w:t xml:space="preserve"> de </w:t>
      </w:r>
      <w:r w:rsidR="00EE34DA">
        <w:rPr>
          <w:rFonts w:ascii="Tahoma" w:hAnsi="Tahoma" w:cs="Tahoma"/>
          <w:b w:val="0"/>
          <w:sz w:val="18"/>
          <w:szCs w:val="18"/>
        </w:rPr>
        <w:t xml:space="preserve">marzo </w:t>
      </w:r>
      <w:r w:rsidR="00D02A91" w:rsidRPr="00B74E4D">
        <w:rPr>
          <w:rFonts w:ascii="Tahoma" w:hAnsi="Tahoma" w:cs="Tahoma"/>
          <w:b w:val="0"/>
          <w:sz w:val="18"/>
          <w:szCs w:val="18"/>
        </w:rPr>
        <w:t>de 201</w:t>
      </w:r>
      <w:r w:rsidR="00EE34DA">
        <w:rPr>
          <w:rFonts w:ascii="Tahoma" w:hAnsi="Tahoma" w:cs="Tahoma"/>
          <w:b w:val="0"/>
          <w:sz w:val="18"/>
          <w:szCs w:val="18"/>
        </w:rPr>
        <w:t>7</w:t>
      </w:r>
    </w:p>
    <w:p w:rsidR="001C48FD" w:rsidRDefault="001C48FD" w:rsidP="001C48FD">
      <w:pPr>
        <w:pStyle w:val="Titre"/>
        <w:spacing w:line="240" w:lineRule="auto"/>
        <w:jc w:val="both"/>
        <w:rPr>
          <w:rFonts w:ascii="Tahoma" w:hAnsi="Tahoma" w:cs="Tahoma"/>
          <w:b w:val="0"/>
          <w:sz w:val="18"/>
          <w:szCs w:val="18"/>
        </w:rPr>
      </w:pPr>
      <w:r w:rsidRPr="00534531">
        <w:rPr>
          <w:rFonts w:ascii="Tahoma" w:hAnsi="Tahoma" w:cs="Tahoma"/>
          <w:b w:val="0"/>
          <w:sz w:val="18"/>
          <w:szCs w:val="18"/>
        </w:rPr>
        <w:t>Proceso: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Ordinario laboral </w:t>
      </w:r>
    </w:p>
    <w:p w:rsidR="00534531" w:rsidRDefault="00534531" w:rsidP="00534531">
      <w:pPr>
        <w:pStyle w:val="Titre"/>
        <w:spacing w:line="240" w:lineRule="auto"/>
        <w:jc w:val="both"/>
        <w:rPr>
          <w:rFonts w:ascii="Tahoma" w:hAnsi="Tahoma" w:cs="Tahoma"/>
          <w:b w:val="0"/>
          <w:sz w:val="18"/>
          <w:szCs w:val="18"/>
        </w:rPr>
      </w:pPr>
      <w:r w:rsidRPr="00534531">
        <w:rPr>
          <w:rFonts w:ascii="Tahoma" w:hAnsi="Tahoma" w:cs="Tahoma"/>
          <w:b w:val="0"/>
          <w:sz w:val="18"/>
          <w:szCs w:val="18"/>
        </w:rPr>
        <w:t>Radicación No.:</w:t>
      </w:r>
      <w:r w:rsidRPr="00534531">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66001-31-05-00</w:t>
      </w:r>
      <w:r w:rsidR="00EE34DA">
        <w:rPr>
          <w:rFonts w:ascii="Tahoma" w:hAnsi="Tahoma" w:cs="Tahoma"/>
          <w:b w:val="0"/>
          <w:sz w:val="18"/>
          <w:szCs w:val="18"/>
        </w:rPr>
        <w:t>4</w:t>
      </w:r>
      <w:r>
        <w:rPr>
          <w:rFonts w:ascii="Tahoma" w:hAnsi="Tahoma" w:cs="Tahoma"/>
          <w:b w:val="0"/>
          <w:sz w:val="18"/>
          <w:szCs w:val="18"/>
        </w:rPr>
        <w:t>-201</w:t>
      </w:r>
      <w:r w:rsidR="00EE34DA">
        <w:rPr>
          <w:rFonts w:ascii="Tahoma" w:hAnsi="Tahoma" w:cs="Tahoma"/>
          <w:b w:val="0"/>
          <w:sz w:val="18"/>
          <w:szCs w:val="18"/>
        </w:rPr>
        <w:t>5</w:t>
      </w:r>
      <w:r>
        <w:rPr>
          <w:rFonts w:ascii="Tahoma" w:hAnsi="Tahoma" w:cs="Tahoma"/>
          <w:b w:val="0"/>
          <w:sz w:val="18"/>
          <w:szCs w:val="18"/>
        </w:rPr>
        <w:t>-00</w:t>
      </w:r>
      <w:r w:rsidR="00EE34DA">
        <w:rPr>
          <w:rFonts w:ascii="Tahoma" w:hAnsi="Tahoma" w:cs="Tahoma"/>
          <w:b w:val="0"/>
          <w:sz w:val="18"/>
          <w:szCs w:val="18"/>
        </w:rPr>
        <w:t>131</w:t>
      </w:r>
      <w:r>
        <w:rPr>
          <w:rFonts w:ascii="Tahoma" w:hAnsi="Tahoma" w:cs="Tahoma"/>
          <w:b w:val="0"/>
          <w:sz w:val="18"/>
          <w:szCs w:val="18"/>
        </w:rPr>
        <w:t>-01</w:t>
      </w:r>
    </w:p>
    <w:p w:rsidR="00534531" w:rsidRDefault="00534531" w:rsidP="00534531">
      <w:pPr>
        <w:pStyle w:val="Titre"/>
        <w:spacing w:line="240" w:lineRule="auto"/>
        <w:jc w:val="both"/>
        <w:rPr>
          <w:rFonts w:ascii="Tahoma" w:hAnsi="Tahoma" w:cs="Tahoma"/>
          <w:b w:val="0"/>
          <w:sz w:val="18"/>
          <w:szCs w:val="18"/>
        </w:rPr>
      </w:pPr>
      <w:r w:rsidRPr="00534531">
        <w:rPr>
          <w:rFonts w:ascii="Tahoma" w:hAnsi="Tahoma" w:cs="Tahoma"/>
          <w:b w:val="0"/>
          <w:sz w:val="18"/>
          <w:szCs w:val="18"/>
        </w:rPr>
        <w:t>Demandante:</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sidR="00EE34DA">
        <w:rPr>
          <w:rFonts w:ascii="Tahoma" w:hAnsi="Tahoma" w:cs="Tahoma"/>
          <w:b w:val="0"/>
          <w:sz w:val="18"/>
          <w:szCs w:val="18"/>
        </w:rPr>
        <w:t xml:space="preserve">Rosalba Echeverri Suarez </w:t>
      </w:r>
      <w:r w:rsidR="00675F6A">
        <w:rPr>
          <w:rFonts w:ascii="Tahoma" w:hAnsi="Tahoma" w:cs="Tahoma"/>
          <w:b w:val="0"/>
          <w:sz w:val="18"/>
          <w:szCs w:val="18"/>
        </w:rPr>
        <w:t xml:space="preserve"> </w:t>
      </w:r>
    </w:p>
    <w:p w:rsidR="00534531" w:rsidRDefault="00534531" w:rsidP="00534531">
      <w:pPr>
        <w:pStyle w:val="Titre"/>
        <w:spacing w:line="240" w:lineRule="auto"/>
        <w:ind w:left="708" w:hanging="708"/>
        <w:jc w:val="both"/>
        <w:rPr>
          <w:rFonts w:ascii="Tahoma" w:hAnsi="Tahoma" w:cs="Tahoma"/>
          <w:b w:val="0"/>
          <w:sz w:val="18"/>
          <w:szCs w:val="18"/>
        </w:rPr>
      </w:pPr>
      <w:r w:rsidRPr="00534531">
        <w:rPr>
          <w:rFonts w:ascii="Tahoma" w:hAnsi="Tahoma" w:cs="Tahoma"/>
          <w:b w:val="0"/>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Colpensiones </w:t>
      </w:r>
    </w:p>
    <w:p w:rsidR="008A3902" w:rsidRDefault="008A3902" w:rsidP="008A3902">
      <w:pPr>
        <w:pStyle w:val="Titre"/>
        <w:spacing w:line="240" w:lineRule="auto"/>
        <w:jc w:val="both"/>
        <w:rPr>
          <w:rFonts w:ascii="Tahoma" w:hAnsi="Tahoma" w:cs="Tahoma"/>
          <w:b w:val="0"/>
          <w:sz w:val="18"/>
          <w:szCs w:val="18"/>
        </w:rPr>
      </w:pPr>
      <w:r w:rsidRPr="001E4ACB">
        <w:rPr>
          <w:rFonts w:ascii="Tahoma" w:hAnsi="Tahoma" w:cs="Tahoma"/>
          <w:b w:val="0"/>
          <w:sz w:val="18"/>
          <w:szCs w:val="18"/>
        </w:rPr>
        <w:t>Magistrad</w:t>
      </w:r>
      <w:r>
        <w:rPr>
          <w:rFonts w:ascii="Tahoma" w:hAnsi="Tahoma" w:cs="Tahoma"/>
          <w:b w:val="0"/>
          <w:sz w:val="18"/>
          <w:szCs w:val="18"/>
        </w:rPr>
        <w:t>a</w:t>
      </w:r>
      <w:r w:rsidRPr="001E4ACB">
        <w:rPr>
          <w:rFonts w:ascii="Tahoma" w:hAnsi="Tahoma" w:cs="Tahoma"/>
          <w:b w:val="0"/>
          <w:sz w:val="18"/>
          <w:szCs w:val="18"/>
        </w:rPr>
        <w:t xml:space="preserve"> Ponente:</w:t>
      </w:r>
      <w:r w:rsidRPr="001E4ACB">
        <w:rPr>
          <w:rFonts w:ascii="Tahoma" w:hAnsi="Tahoma" w:cs="Tahoma"/>
          <w:b w:val="0"/>
          <w:sz w:val="18"/>
          <w:szCs w:val="18"/>
        </w:rPr>
        <w:tab/>
      </w:r>
      <w:r w:rsidRPr="001E4ACB">
        <w:rPr>
          <w:rFonts w:ascii="Tahoma" w:hAnsi="Tahoma" w:cs="Tahoma"/>
          <w:b w:val="0"/>
          <w:sz w:val="18"/>
          <w:szCs w:val="18"/>
        </w:rPr>
        <w:tab/>
        <w:t>Dr</w:t>
      </w:r>
      <w:r>
        <w:rPr>
          <w:rFonts w:ascii="Tahoma" w:hAnsi="Tahoma" w:cs="Tahoma"/>
          <w:b w:val="0"/>
          <w:sz w:val="18"/>
          <w:szCs w:val="18"/>
        </w:rPr>
        <w:t>a</w:t>
      </w:r>
      <w:r w:rsidRPr="001E4ACB">
        <w:rPr>
          <w:rFonts w:ascii="Tahoma" w:hAnsi="Tahoma" w:cs="Tahoma"/>
          <w:b w:val="0"/>
          <w:sz w:val="18"/>
          <w:szCs w:val="18"/>
        </w:rPr>
        <w:t xml:space="preserve">. </w:t>
      </w:r>
      <w:r>
        <w:rPr>
          <w:rFonts w:ascii="Tahoma" w:hAnsi="Tahoma" w:cs="Tahoma"/>
          <w:b w:val="0"/>
          <w:sz w:val="18"/>
          <w:szCs w:val="18"/>
        </w:rPr>
        <w:t>Olga Lucía Hoy</w:t>
      </w:r>
      <w:bookmarkStart w:id="0" w:name="_GoBack"/>
      <w:bookmarkEnd w:id="0"/>
      <w:r>
        <w:rPr>
          <w:rFonts w:ascii="Tahoma" w:hAnsi="Tahoma" w:cs="Tahoma"/>
          <w:b w:val="0"/>
          <w:sz w:val="18"/>
          <w:szCs w:val="18"/>
        </w:rPr>
        <w:t>os Sepúlveda</w:t>
      </w:r>
    </w:p>
    <w:p w:rsidR="00DC74B9" w:rsidRPr="00B74E4D" w:rsidRDefault="00DC74B9" w:rsidP="001B1BBE">
      <w:pPr>
        <w:pStyle w:val="Titre"/>
        <w:spacing w:line="240" w:lineRule="auto"/>
        <w:ind w:left="2805" w:hanging="2805"/>
        <w:jc w:val="both"/>
        <w:rPr>
          <w:rFonts w:ascii="Tahoma" w:hAnsi="Tahoma" w:cs="Tahoma"/>
          <w:b w:val="0"/>
          <w:sz w:val="18"/>
          <w:szCs w:val="18"/>
        </w:rPr>
      </w:pPr>
      <w:r w:rsidRPr="00B74E4D">
        <w:rPr>
          <w:rFonts w:ascii="Tahoma" w:hAnsi="Tahoma" w:cs="Tahoma"/>
          <w:b w:val="0"/>
          <w:sz w:val="18"/>
          <w:szCs w:val="18"/>
        </w:rPr>
        <w:t>Magistrada que salva voto:</w:t>
      </w:r>
      <w:r w:rsidRPr="00B74E4D">
        <w:rPr>
          <w:rFonts w:ascii="Tahoma" w:hAnsi="Tahoma" w:cs="Tahoma"/>
          <w:sz w:val="18"/>
          <w:szCs w:val="18"/>
        </w:rPr>
        <w:tab/>
      </w:r>
      <w:r w:rsidRPr="00B74E4D">
        <w:rPr>
          <w:rFonts w:ascii="Tahoma" w:hAnsi="Tahoma" w:cs="Tahoma"/>
          <w:b w:val="0"/>
          <w:sz w:val="18"/>
          <w:szCs w:val="18"/>
        </w:rPr>
        <w:t xml:space="preserve">Dra. </w:t>
      </w:r>
      <w:r w:rsidR="00DE0FDF" w:rsidRPr="00B74E4D">
        <w:rPr>
          <w:rFonts w:ascii="Tahoma" w:hAnsi="Tahoma" w:cs="Tahoma"/>
          <w:b w:val="0"/>
          <w:sz w:val="18"/>
          <w:szCs w:val="18"/>
        </w:rPr>
        <w:t>Ana Lucia Caicedo Calderón</w:t>
      </w:r>
    </w:p>
    <w:p w:rsidR="00DE0FDF" w:rsidRPr="00B74E4D" w:rsidRDefault="004C7FD6" w:rsidP="007145A4">
      <w:pPr>
        <w:pStyle w:val="Titre"/>
        <w:spacing w:line="240" w:lineRule="auto"/>
        <w:ind w:left="2805" w:hanging="2805"/>
        <w:jc w:val="both"/>
        <w:rPr>
          <w:rFonts w:ascii="Tahoma" w:hAnsi="Tahoma" w:cs="Tahoma"/>
          <w:sz w:val="18"/>
          <w:szCs w:val="18"/>
        </w:rPr>
      </w:pPr>
      <w:r w:rsidRPr="00B74E4D">
        <w:rPr>
          <w:rFonts w:ascii="Tahoma" w:hAnsi="Tahoma" w:cs="Tahoma"/>
          <w:b w:val="0"/>
          <w:sz w:val="18"/>
          <w:szCs w:val="18"/>
        </w:rPr>
        <w:t>Tema</w:t>
      </w:r>
      <w:r w:rsidRPr="00B74E4D">
        <w:rPr>
          <w:rFonts w:ascii="Tahoma" w:hAnsi="Tahoma" w:cs="Tahoma"/>
          <w:sz w:val="18"/>
          <w:szCs w:val="18"/>
        </w:rPr>
        <w:t>:</w:t>
      </w:r>
      <w:r w:rsidR="0083123E" w:rsidRPr="00B74E4D">
        <w:rPr>
          <w:rFonts w:ascii="Tahoma" w:hAnsi="Tahoma" w:cs="Tahoma"/>
          <w:sz w:val="18"/>
          <w:szCs w:val="18"/>
        </w:rPr>
        <w:t xml:space="preserve"> </w:t>
      </w:r>
      <w:r w:rsidR="0083123E" w:rsidRPr="00B74E4D">
        <w:rPr>
          <w:rFonts w:ascii="Tahoma" w:hAnsi="Tahoma" w:cs="Tahoma"/>
          <w:sz w:val="18"/>
          <w:szCs w:val="18"/>
        </w:rPr>
        <w:tab/>
      </w:r>
    </w:p>
    <w:p w:rsidR="00E15C02" w:rsidRDefault="00471AC1" w:rsidP="00E15C02">
      <w:pPr>
        <w:ind w:left="2805"/>
        <w:jc w:val="both"/>
        <w:rPr>
          <w:lang w:val="es-CO" w:eastAsia="es-MX"/>
        </w:rPr>
      </w:pPr>
      <w:r w:rsidRPr="00471AC1">
        <w:rPr>
          <w:rFonts w:ascii="Tahoma" w:hAnsi="Tahoma" w:cs="Tahoma"/>
          <w:b/>
          <w:sz w:val="18"/>
          <w:szCs w:val="18"/>
        </w:rPr>
        <w:t>Pensión de vejez Acuerdo 049 de 1990 – Posibilidad de acumular cotizaciones en los sectores público y privado:</w:t>
      </w:r>
      <w:r>
        <w:rPr>
          <w:rFonts w:ascii="Tahoma" w:hAnsi="Tahoma" w:cs="Tahoma"/>
          <w:sz w:val="18"/>
          <w:szCs w:val="18"/>
        </w:rPr>
        <w:t xml:space="preserve"> </w:t>
      </w:r>
      <w:r w:rsidRPr="008075F0">
        <w:rPr>
          <w:rFonts w:ascii="Tahoma" w:hAnsi="Tahoma" w:cs="Tahoma"/>
          <w:bCs/>
          <w:sz w:val="18"/>
          <w:szCs w:val="18"/>
        </w:rPr>
        <w:t xml:space="preserve">La Corte Constitucional en la Sentencia SU-769 de 2014, con ponencia del Magistrado Jorge Iván Palacio </w:t>
      </w:r>
      <w:proofErr w:type="spellStart"/>
      <w:r w:rsidRPr="008075F0">
        <w:rPr>
          <w:rFonts w:ascii="Tahoma" w:hAnsi="Tahoma" w:cs="Tahoma"/>
          <w:bCs/>
          <w:sz w:val="18"/>
          <w:szCs w:val="18"/>
        </w:rPr>
        <w:t>Palacio</w:t>
      </w:r>
      <w:proofErr w:type="spellEnd"/>
      <w:r w:rsidRPr="008075F0">
        <w:rPr>
          <w:rFonts w:ascii="Tahoma" w:hAnsi="Tahoma" w:cs="Tahoma"/>
          <w:bCs/>
          <w:sz w:val="18"/>
          <w:szCs w:val="18"/>
        </w:rPr>
        <w:t xml:space="preserve">,  precisó </w:t>
      </w:r>
      <w:r w:rsidRPr="00206953">
        <w:rPr>
          <w:rFonts w:ascii="Tahoma" w:hAnsi="Tahoma" w:cs="Tahoma"/>
          <w:bCs/>
          <w:i/>
          <w:sz w:val="18"/>
          <w:szCs w:val="18"/>
        </w:rPr>
        <w:t>–en un asunto donde se buscaba la aplicación del Acuerdo 049 de 1990 en virtud del régimen de transición-</w:t>
      </w:r>
      <w:r w:rsidRPr="008075F0">
        <w:rPr>
          <w:rFonts w:ascii="Tahoma" w:hAnsi="Tahoma" w:cs="Tahoma"/>
          <w:bCs/>
          <w:sz w:val="18"/>
          <w:szCs w:val="18"/>
        </w:rPr>
        <w:t xml:space="preserve">, que dicha norma no estableció que las cotizaciones debieran efectuarse exclusivamente en el I.S.S., ni fijó un modo restringido para computar las semanas, sino que exige simplemente que se hubieran hecho en la cantidad </w:t>
      </w:r>
      <w:r>
        <w:rPr>
          <w:rFonts w:ascii="Tahoma" w:hAnsi="Tahoma" w:cs="Tahoma"/>
          <w:bCs/>
          <w:sz w:val="18"/>
          <w:szCs w:val="18"/>
        </w:rPr>
        <w:t>requerida</w:t>
      </w:r>
      <w:r w:rsidRPr="008075F0">
        <w:rPr>
          <w:rFonts w:ascii="Tahoma" w:hAnsi="Tahoma" w:cs="Tahoma"/>
          <w:bCs/>
          <w:sz w:val="18"/>
          <w:szCs w:val="18"/>
        </w:rPr>
        <w:t>, independientemente de si se efectuaron en los sectores público o privado; interpretación que resulta más favorable para los intereses del afiliado, de acuerdo con los artículos 53 de la Constitución Política y el 21 del Código Sustantivo del Trabajo</w:t>
      </w:r>
      <w:r>
        <w:rPr>
          <w:rFonts w:ascii="Tahoma" w:hAnsi="Tahoma" w:cs="Tahoma"/>
          <w:bCs/>
          <w:sz w:val="18"/>
          <w:szCs w:val="18"/>
        </w:rPr>
        <w:t xml:space="preserve">, y que esta </w:t>
      </w:r>
      <w:r w:rsidRPr="008075F0">
        <w:rPr>
          <w:rFonts w:ascii="Tahoma" w:hAnsi="Tahoma" w:cs="Tahoma"/>
          <w:bCs/>
          <w:sz w:val="18"/>
          <w:szCs w:val="18"/>
        </w:rPr>
        <w:t xml:space="preserve">Corporación </w:t>
      </w:r>
      <w:r>
        <w:rPr>
          <w:rFonts w:ascii="Tahoma" w:hAnsi="Tahoma" w:cs="Tahoma"/>
          <w:bCs/>
          <w:sz w:val="18"/>
          <w:szCs w:val="18"/>
        </w:rPr>
        <w:t xml:space="preserve">acogió </w:t>
      </w:r>
      <w:r w:rsidRPr="008075F0">
        <w:rPr>
          <w:rFonts w:ascii="Tahoma" w:hAnsi="Tahoma" w:cs="Tahoma"/>
          <w:bCs/>
          <w:sz w:val="18"/>
          <w:szCs w:val="18"/>
        </w:rPr>
        <w:t>en sentencia del 30 de octubre de 2015, proferida dentro del proceso radicado con el número 2013-00483</w:t>
      </w:r>
      <w:r w:rsidR="00D67870">
        <w:rPr>
          <w:rFonts w:ascii="Tahoma" w:hAnsi="Tahoma" w:cs="Tahoma"/>
          <w:bCs/>
          <w:sz w:val="18"/>
          <w:szCs w:val="18"/>
        </w:rPr>
        <w:t>.</w:t>
      </w:r>
    </w:p>
    <w:p w:rsidR="00D67870" w:rsidRDefault="00D67870" w:rsidP="00E15C02">
      <w:pPr>
        <w:ind w:left="2805"/>
        <w:jc w:val="both"/>
        <w:rPr>
          <w:lang w:val="es-CO" w:eastAsia="es-MX"/>
        </w:rPr>
      </w:pPr>
    </w:p>
    <w:p w:rsidR="00B92B26" w:rsidRPr="00C76801" w:rsidRDefault="00B92B26" w:rsidP="00E15C02">
      <w:pPr>
        <w:ind w:left="2805"/>
        <w:jc w:val="both"/>
        <w:rPr>
          <w:lang w:val="es-CO" w:eastAsia="es-MX"/>
        </w:rPr>
      </w:pPr>
    </w:p>
    <w:p w:rsidR="00782D3A" w:rsidRPr="00C76801" w:rsidRDefault="00EE34DA" w:rsidP="006E0E51">
      <w:pPr>
        <w:pStyle w:val="Titre1"/>
        <w:widowControl/>
        <w:autoSpaceDE/>
        <w:autoSpaceDN/>
        <w:adjustRightInd/>
        <w:rPr>
          <w:rFonts w:ascii="Tahoma" w:hAnsi="Tahoma" w:cs="Tahoma"/>
          <w:bCs/>
          <w:u w:val="single"/>
        </w:rPr>
      </w:pPr>
      <w:r>
        <w:rPr>
          <w:rFonts w:ascii="Tahoma" w:hAnsi="Tahoma" w:cs="Tahoma"/>
          <w:bCs/>
          <w:u w:val="single"/>
        </w:rPr>
        <w:t xml:space="preserve">ACLARACIÓN </w:t>
      </w:r>
      <w:r w:rsidR="00782D3A" w:rsidRPr="00C76801">
        <w:rPr>
          <w:rFonts w:ascii="Tahoma" w:hAnsi="Tahoma" w:cs="Tahoma"/>
          <w:bCs/>
          <w:u w:val="single"/>
        </w:rPr>
        <w:t>DE VOTO</w:t>
      </w:r>
    </w:p>
    <w:p w:rsidR="00782D3A" w:rsidRPr="00C76801" w:rsidRDefault="00782D3A" w:rsidP="006E0E51">
      <w:pPr>
        <w:jc w:val="both"/>
        <w:rPr>
          <w:rFonts w:ascii="Tahoma" w:hAnsi="Tahoma" w:cs="Tahoma"/>
          <w:b/>
          <w:bCs/>
          <w:sz w:val="28"/>
        </w:rPr>
      </w:pPr>
    </w:p>
    <w:p w:rsidR="00EE34DA" w:rsidRDefault="004C7FD6" w:rsidP="006E0E51">
      <w:pPr>
        <w:ind w:firstLine="851"/>
        <w:jc w:val="both"/>
        <w:rPr>
          <w:rFonts w:ascii="Tahoma" w:hAnsi="Tahoma" w:cs="Tahoma"/>
          <w:sz w:val="22"/>
          <w:szCs w:val="22"/>
        </w:rPr>
      </w:pPr>
      <w:r w:rsidRPr="00E15C02">
        <w:rPr>
          <w:rFonts w:ascii="Tahoma" w:hAnsi="Tahoma" w:cs="Tahoma"/>
          <w:sz w:val="22"/>
          <w:szCs w:val="22"/>
        </w:rPr>
        <w:t xml:space="preserve">Con mi acostumbrado respeto </w:t>
      </w:r>
      <w:r w:rsidR="00EE34DA">
        <w:rPr>
          <w:rFonts w:ascii="Tahoma" w:hAnsi="Tahoma" w:cs="Tahoma"/>
          <w:sz w:val="22"/>
          <w:szCs w:val="22"/>
        </w:rPr>
        <w:t xml:space="preserve">aclaro mi voto en la presente providencia </w:t>
      </w:r>
      <w:r w:rsidR="0083571A" w:rsidRPr="00E15C02">
        <w:rPr>
          <w:rFonts w:ascii="Tahoma" w:hAnsi="Tahoma" w:cs="Tahoma"/>
          <w:sz w:val="22"/>
          <w:szCs w:val="22"/>
        </w:rPr>
        <w:t>por cua</w:t>
      </w:r>
      <w:r w:rsidR="00D02A91" w:rsidRPr="00E15C02">
        <w:rPr>
          <w:rFonts w:ascii="Tahoma" w:hAnsi="Tahoma" w:cs="Tahoma"/>
          <w:sz w:val="22"/>
          <w:szCs w:val="22"/>
        </w:rPr>
        <w:t>nto</w:t>
      </w:r>
      <w:r w:rsidR="00EE34DA">
        <w:rPr>
          <w:rFonts w:ascii="Tahoma" w:hAnsi="Tahoma" w:cs="Tahoma"/>
          <w:sz w:val="22"/>
          <w:szCs w:val="22"/>
        </w:rPr>
        <w:t>, si bien estoy de acuerdo con la decisión final contenida en ella, c</w:t>
      </w:r>
      <w:r w:rsidR="00497A9F" w:rsidRPr="00E15C02">
        <w:rPr>
          <w:rFonts w:ascii="Tahoma" w:hAnsi="Tahoma" w:cs="Tahoma"/>
          <w:sz w:val="22"/>
          <w:szCs w:val="22"/>
        </w:rPr>
        <w:t xml:space="preserve">onsidero que </w:t>
      </w:r>
      <w:r w:rsidR="00EE34DA">
        <w:rPr>
          <w:rFonts w:ascii="Tahoma" w:hAnsi="Tahoma" w:cs="Tahoma"/>
          <w:sz w:val="22"/>
          <w:szCs w:val="22"/>
        </w:rPr>
        <w:t>el Acuerdo 049 de 1990 no estableció que las semanas cotizadas, a efectos de acceder a la pensión de vejez, debían efectuarse exclusivamente en el I.S.S., por las razones que procedo a explicar:</w:t>
      </w:r>
    </w:p>
    <w:p w:rsidR="00EE34DA" w:rsidRDefault="00EE34DA" w:rsidP="006E0E51">
      <w:pPr>
        <w:ind w:firstLine="851"/>
        <w:jc w:val="both"/>
        <w:rPr>
          <w:rFonts w:ascii="Tahoma" w:hAnsi="Tahoma" w:cs="Tahoma"/>
          <w:sz w:val="22"/>
          <w:szCs w:val="22"/>
        </w:rPr>
      </w:pPr>
    </w:p>
    <w:p w:rsidR="0012673F" w:rsidRPr="00E15C02" w:rsidRDefault="0012673F" w:rsidP="006E0E51">
      <w:pPr>
        <w:ind w:firstLine="851"/>
        <w:jc w:val="both"/>
        <w:rPr>
          <w:rFonts w:ascii="Tahoma" w:hAnsi="Tahoma" w:cs="Tahoma"/>
          <w:sz w:val="22"/>
          <w:szCs w:val="22"/>
        </w:rPr>
      </w:pPr>
    </w:p>
    <w:p w:rsidR="00DE0FDF" w:rsidRDefault="00D67870" w:rsidP="006E0E51">
      <w:pPr>
        <w:pStyle w:val="Sansinterligne"/>
        <w:numPr>
          <w:ilvl w:val="0"/>
          <w:numId w:val="24"/>
        </w:numPr>
        <w:rPr>
          <w:rFonts w:ascii="Tahoma" w:eastAsia="Times New Roman" w:hAnsi="Tahoma" w:cs="Tahoma"/>
          <w:b/>
          <w:lang w:val="es-ES" w:eastAsia="es-ES"/>
        </w:rPr>
      </w:pPr>
      <w:r w:rsidRPr="00D67870">
        <w:rPr>
          <w:rFonts w:ascii="Tahoma" w:eastAsia="Times New Roman" w:hAnsi="Tahoma" w:cs="Tahoma"/>
          <w:b/>
          <w:lang w:val="es-ES" w:eastAsia="es-ES"/>
        </w:rPr>
        <w:t>Pensión de vejez Acuerdo 049 de 1990 – Posibilidad de acumular cotizaciones en los sectores público y privado:</w:t>
      </w:r>
    </w:p>
    <w:p w:rsidR="00D67870" w:rsidRPr="00E15C02" w:rsidRDefault="00D67870" w:rsidP="006E0E51">
      <w:pPr>
        <w:pStyle w:val="Sansinterligne"/>
        <w:ind w:firstLine="709"/>
      </w:pPr>
    </w:p>
    <w:p w:rsidR="00D67870" w:rsidRPr="00D67870" w:rsidRDefault="00D67870" w:rsidP="006E0E51">
      <w:pPr>
        <w:ind w:firstLine="851"/>
        <w:jc w:val="both"/>
        <w:rPr>
          <w:rFonts w:ascii="Tahoma" w:hAnsi="Tahoma" w:cs="Tahoma"/>
          <w:sz w:val="22"/>
          <w:szCs w:val="22"/>
        </w:rPr>
      </w:pPr>
      <w:r w:rsidRPr="00D67870">
        <w:rPr>
          <w:rFonts w:ascii="Tahoma" w:hAnsi="Tahoma" w:cs="Tahoma"/>
          <w:sz w:val="22"/>
          <w:szCs w:val="22"/>
        </w:rPr>
        <w:t xml:space="preserve">La H. Corte Constitucional a través de la sentencia SU-769 de 2014, con ponencia del Magistrado Jorge Iván Palacio </w:t>
      </w:r>
      <w:proofErr w:type="spellStart"/>
      <w:r w:rsidRPr="00D67870">
        <w:rPr>
          <w:rFonts w:ascii="Tahoma" w:hAnsi="Tahoma" w:cs="Tahoma"/>
          <w:sz w:val="22"/>
          <w:szCs w:val="22"/>
        </w:rPr>
        <w:t>Palacio</w:t>
      </w:r>
      <w:proofErr w:type="spellEnd"/>
      <w:r w:rsidRPr="00D67870">
        <w:rPr>
          <w:rFonts w:ascii="Tahoma" w:hAnsi="Tahoma" w:cs="Tahoma"/>
          <w:sz w:val="22"/>
          <w:szCs w:val="22"/>
        </w:rPr>
        <w:t>, expuso una línea jurisprudencial en la cual se plasma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““Como ya se mencionó, reiterada Jurisprudencia de la Corte Constitucional, ha sostenido que las personas cotizan y por consiguiente, cumplen los requisitos ante el Sistema General de Seguridad Social en Pensiones y no ante las entidades específicas que lo componen.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Justamente en aplicación de esta tesis, la jurisprudencia de esta Corporación ha sostenido expresamente que (i) ‘el artículo 12 del Decreto 758 de 1990 en ninguno de sus apartes exige que las cotizaciones se efectúen de manera exclusiva al  fondo del Instituto de Seguros Sociales’ 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 ”.  </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sidRPr="00D67870">
        <w:rPr>
          <w:rFonts w:ascii="Tahoma" w:hAnsi="Tahoma" w:cs="Tahoma"/>
          <w:sz w:val="22"/>
          <w:szCs w:val="22"/>
        </w:rPr>
        <w:t>Más adelante, plasmó un aparte de la sentencia  T-334 de 2011 en el siguiente sentido:</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“Teniendo en cuenta que el cómputo de semanas cotizadas quedó consagrado en la Ley 100, precisamente para evitar las injusticias que durante mucho tiempo se cometieron cuando era imposible acumular semanas laborados con diferentes empleadores, con lo cual las posibilidades de muchos trabajadores de acceder a la pensión eran mínimas; surge la duda seria y objetiva de si es preciso interpretar favorablemente o no dicho artículo para que los beneficiarios de la transición puedan computar semanas, sin perder por ello dicha prerrogativa.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Existiendo concurrentemente esas posibilidades de interpretación, el principio rector pro operario hace obligatorio asumir la opción favorable al trabajador, es decir, el ISS debe computar el período referido y, a su vez, permitir a la señora Martínez Escobar pensionarse bajo el régimen de transición”.</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sidRPr="00D67870">
        <w:rPr>
          <w:rFonts w:ascii="Tahoma" w:hAnsi="Tahoma" w:cs="Tahoma"/>
          <w:sz w:val="22"/>
          <w:szCs w:val="22"/>
        </w:rPr>
        <w:lastRenderedPageBreak/>
        <w:t>Igualmente indicó el Alto Tribunal en la Sentencia SU-769 de 2014:</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“7.3.7. En jurisprudencia más reciente la Corte se pronunció sobre el caso de una señora de 77 años que laboró 405 semanas como servidor público y cotizó 596 semanas al Instituto de Seguros Sociales, para un total de 1001, a quien le fue negada la pensión de vejez por no ser posible, según esa entidad, acumular tiempos de servicio bajo el régimen contenido en el Acuerdo 049 de 1990. Así, mediante la sentencia T-100 de 2012, consideró: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“[L]a jurisprudencia de esta Corporación ha sido enfática al resaltar que esta interpretación de la normativa es errónea y atenta contra los derechos fundamentales de los beneficiarios del régimen de transición.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Esto por cuanto: (i) al exigir que para acceder a la pensión de vejez de acuerdo con el Decreto 758 de 1990 las cotizaciones se hayan realizado de manera exclusiva al Seguro Social, se está requiriendo el cumplimiento de un elemento que la norma no consagra; (ii) los requisitos para acceder a los beneficios Sistema General de Seguridad Social se acreditan es ante el sistema mismo y no ante las entidades que lo conforman; y (iii) el artículo 36 de la Ley 100 de 1993 limitó el régimen de transición a solo tres ítems (edad, tiempo y monto) y estableció que ‘[l]as demás condiciones y requisitos aplicables a estas personas para acceder a la pensión de vejez, se regirán por las disposiciones contenidas en la presente Ley’, por lo que haciendo una lectura integral de la Ley 100 de 1993 -especialmente del literal f) del artículo 13, el parágrafo 1º del artículo 33 y el parágrafo del artículo 36 de la misma-, los tiempos deben acumularse para efectos de la contabilización del número de semanas de cotización requeridas”.”</w:t>
      </w:r>
    </w:p>
    <w:p w:rsidR="00D67870" w:rsidRDefault="00D67870" w:rsidP="006E0E51">
      <w:pPr>
        <w:ind w:firstLine="851"/>
        <w:jc w:val="both"/>
        <w:rPr>
          <w:rFonts w:ascii="Tahoma" w:hAnsi="Tahoma" w:cs="Tahoma"/>
          <w:sz w:val="22"/>
          <w:szCs w:val="22"/>
        </w:rPr>
      </w:pPr>
    </w:p>
    <w:p w:rsidR="0080132F" w:rsidRDefault="0080132F"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Pr>
          <w:rFonts w:ascii="Tahoma" w:hAnsi="Tahoma" w:cs="Tahoma"/>
          <w:sz w:val="22"/>
          <w:szCs w:val="22"/>
        </w:rPr>
        <w:t xml:space="preserve">De lo anterior se colige que </w:t>
      </w:r>
      <w:r w:rsidRPr="00D67870">
        <w:rPr>
          <w:rFonts w:ascii="Tahoma" w:hAnsi="Tahoma" w:cs="Tahoma"/>
          <w:sz w:val="22"/>
          <w:szCs w:val="22"/>
        </w:rPr>
        <w:t>la Corte Constitucional –en un asunto donde se buscaba la aplicación del Acuerdo 049 de 1990 en vir</w:t>
      </w:r>
      <w:r>
        <w:rPr>
          <w:rFonts w:ascii="Tahoma" w:hAnsi="Tahoma" w:cs="Tahoma"/>
          <w:sz w:val="22"/>
          <w:szCs w:val="22"/>
        </w:rPr>
        <w:t xml:space="preserve">tud del régimen de transición- aclaró </w:t>
      </w:r>
      <w:r w:rsidRPr="00D67870">
        <w:rPr>
          <w:rFonts w:ascii="Tahoma" w:hAnsi="Tahoma" w:cs="Tahoma"/>
          <w:sz w:val="22"/>
          <w:szCs w:val="22"/>
        </w:rPr>
        <w:t xml:space="preserve">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en sentencia del 30 de octubre de 2015, proferida dentro del proceso radicado con el número 2013-00483, con ponencia </w:t>
      </w:r>
      <w:r>
        <w:rPr>
          <w:rFonts w:ascii="Tahoma" w:hAnsi="Tahoma" w:cs="Tahoma"/>
          <w:sz w:val="22"/>
          <w:szCs w:val="22"/>
        </w:rPr>
        <w:t>de la suscrita Magistrada.</w:t>
      </w:r>
    </w:p>
    <w:p w:rsidR="00D67870" w:rsidRPr="00D67870" w:rsidRDefault="00D67870" w:rsidP="006E0E51">
      <w:pPr>
        <w:ind w:firstLine="851"/>
        <w:jc w:val="both"/>
        <w:rPr>
          <w:rFonts w:ascii="Tahoma" w:hAnsi="Tahoma" w:cs="Tahoma"/>
          <w:sz w:val="22"/>
          <w:szCs w:val="22"/>
        </w:rPr>
      </w:pPr>
    </w:p>
    <w:p w:rsidR="00782D3A" w:rsidRPr="00E15C02" w:rsidRDefault="00782D3A" w:rsidP="006E0E51">
      <w:pPr>
        <w:widowControl w:val="0"/>
        <w:autoSpaceDE w:val="0"/>
        <w:autoSpaceDN w:val="0"/>
        <w:adjustRightInd w:val="0"/>
        <w:jc w:val="both"/>
        <w:rPr>
          <w:rFonts w:ascii="Tahoma" w:hAnsi="Tahoma" w:cs="Tahoma"/>
          <w:sz w:val="22"/>
          <w:szCs w:val="22"/>
        </w:rPr>
      </w:pPr>
    </w:p>
    <w:p w:rsidR="00534531" w:rsidRDefault="008508E3" w:rsidP="008508E3">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 xml:space="preserve">En esos términos sustento mi </w:t>
      </w:r>
      <w:r w:rsidR="0080132F">
        <w:rPr>
          <w:rFonts w:ascii="Tahoma" w:hAnsi="Tahoma" w:cs="Tahoma"/>
          <w:sz w:val="22"/>
          <w:szCs w:val="22"/>
        </w:rPr>
        <w:t xml:space="preserve">aclaración de </w:t>
      </w:r>
      <w:r>
        <w:rPr>
          <w:rFonts w:ascii="Tahoma" w:hAnsi="Tahoma" w:cs="Tahoma"/>
          <w:sz w:val="22"/>
          <w:szCs w:val="22"/>
        </w:rPr>
        <w:t>voto.</w:t>
      </w:r>
    </w:p>
    <w:p w:rsidR="00F45DDF" w:rsidRPr="00E15C02" w:rsidRDefault="00F45DDF" w:rsidP="006E0E51">
      <w:pPr>
        <w:widowControl w:val="0"/>
        <w:autoSpaceDE w:val="0"/>
        <w:autoSpaceDN w:val="0"/>
        <w:adjustRightInd w:val="0"/>
        <w:jc w:val="both"/>
        <w:rPr>
          <w:rFonts w:ascii="Tahoma" w:hAnsi="Tahoma" w:cs="Tahoma"/>
          <w:sz w:val="22"/>
          <w:szCs w:val="22"/>
        </w:rPr>
      </w:pPr>
    </w:p>
    <w:p w:rsidR="00782D3A" w:rsidRDefault="00782D3A"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Pr="0080132F" w:rsidRDefault="008508E3" w:rsidP="006E0E51">
      <w:pPr>
        <w:widowControl w:val="0"/>
        <w:autoSpaceDE w:val="0"/>
        <w:autoSpaceDN w:val="0"/>
        <w:adjustRightInd w:val="0"/>
        <w:jc w:val="both"/>
        <w:rPr>
          <w:rFonts w:ascii="Tahoma" w:hAnsi="Tahoma" w:cs="Tahoma"/>
          <w:sz w:val="22"/>
          <w:szCs w:val="22"/>
        </w:rPr>
      </w:pPr>
    </w:p>
    <w:p w:rsidR="00782D3A" w:rsidRPr="0080132F" w:rsidRDefault="00782D3A" w:rsidP="006E0E51">
      <w:pPr>
        <w:pStyle w:val="Titre3"/>
        <w:spacing w:line="240" w:lineRule="auto"/>
        <w:rPr>
          <w:rFonts w:ascii="Tahoma" w:hAnsi="Tahoma" w:cs="Tahoma"/>
          <w:sz w:val="22"/>
          <w:szCs w:val="22"/>
        </w:rPr>
      </w:pPr>
      <w:r w:rsidRPr="0080132F">
        <w:rPr>
          <w:rFonts w:ascii="Tahoma" w:hAnsi="Tahoma" w:cs="Tahoma"/>
          <w:sz w:val="22"/>
          <w:szCs w:val="22"/>
        </w:rPr>
        <w:t>ANA LUCÍA CAICEDO CALDERÓN</w:t>
      </w:r>
    </w:p>
    <w:p w:rsidR="0080132F" w:rsidRPr="0080132F" w:rsidRDefault="0080132F" w:rsidP="0080132F">
      <w:pPr>
        <w:jc w:val="center"/>
        <w:rPr>
          <w:rFonts w:ascii="Tahoma" w:hAnsi="Tahoma" w:cs="Tahoma"/>
        </w:rPr>
      </w:pPr>
      <w:r w:rsidRPr="0080132F">
        <w:rPr>
          <w:rFonts w:ascii="Tahoma" w:hAnsi="Tahoma" w:cs="Tahoma"/>
        </w:rPr>
        <w:t>Magistrada</w:t>
      </w:r>
    </w:p>
    <w:sectPr w:rsidR="0080132F" w:rsidRPr="0080132F" w:rsidSect="00B74E4D">
      <w:footerReference w:type="even" r:id="rId9"/>
      <w:footerReference w:type="default" r:id="rId10"/>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76" w:rsidRDefault="002A7B76">
      <w:r>
        <w:separator/>
      </w:r>
    </w:p>
  </w:endnote>
  <w:endnote w:type="continuationSeparator" w:id="0">
    <w:p w:rsidR="002A7B76" w:rsidRDefault="002A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F030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F030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F030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C48FD">
      <w:rPr>
        <w:rStyle w:val="Numrodepage"/>
        <w:noProof/>
      </w:rPr>
      <w:t>2</w:t>
    </w:r>
    <w:r>
      <w:rPr>
        <w:rStyle w:val="Numrodepage"/>
      </w:rPr>
      <w:fldChar w:fldCharType="end"/>
    </w:r>
  </w:p>
  <w:p w:rsidR="00F0306B" w:rsidRDefault="00F030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76" w:rsidRDefault="002A7B76">
      <w:r>
        <w:separator/>
      </w:r>
    </w:p>
  </w:footnote>
  <w:footnote w:type="continuationSeparator" w:id="0">
    <w:p w:rsidR="002A7B76" w:rsidRDefault="002A7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1663FE"/>
    <w:multiLevelType w:val="hybridMultilevel"/>
    <w:tmpl w:val="EA66C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12">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8D1471"/>
    <w:multiLevelType w:val="hybridMultilevel"/>
    <w:tmpl w:val="5252A3AC"/>
    <w:lvl w:ilvl="0" w:tplc="FCA6335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nsid w:val="543965FD"/>
    <w:multiLevelType w:val="hybridMultilevel"/>
    <w:tmpl w:val="B6C661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2">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4"/>
  </w:num>
  <w:num w:numId="2">
    <w:abstractNumId w:val="13"/>
  </w:num>
  <w:num w:numId="3">
    <w:abstractNumId w:val="8"/>
  </w:num>
  <w:num w:numId="4">
    <w:abstractNumId w:val="16"/>
  </w:num>
  <w:num w:numId="5">
    <w:abstractNumId w:val="9"/>
  </w:num>
  <w:num w:numId="6">
    <w:abstractNumId w:val="17"/>
  </w:num>
  <w:num w:numId="7">
    <w:abstractNumId w:val="11"/>
  </w:num>
  <w:num w:numId="8">
    <w:abstractNumId w:val="0"/>
  </w:num>
  <w:num w:numId="9">
    <w:abstractNumId w:val="19"/>
  </w:num>
  <w:num w:numId="10">
    <w:abstractNumId w:val="23"/>
  </w:num>
  <w:num w:numId="11">
    <w:abstractNumId w:val="21"/>
  </w:num>
  <w:num w:numId="12">
    <w:abstractNumId w:val="20"/>
  </w:num>
  <w:num w:numId="13">
    <w:abstractNumId w:val="12"/>
  </w:num>
  <w:num w:numId="14">
    <w:abstractNumId w:val="18"/>
  </w:num>
  <w:num w:numId="15">
    <w:abstractNumId w:val="2"/>
  </w:num>
  <w:num w:numId="16">
    <w:abstractNumId w:val="7"/>
  </w:num>
  <w:num w:numId="17">
    <w:abstractNumId w:val="3"/>
  </w:num>
  <w:num w:numId="18">
    <w:abstractNumId w:val="5"/>
  </w:num>
  <w:num w:numId="19">
    <w:abstractNumId w:val="15"/>
  </w:num>
  <w:num w:numId="20">
    <w:abstractNumId w:val="1"/>
  </w:num>
  <w:num w:numId="21">
    <w:abstractNumId w:val="6"/>
  </w:num>
  <w:num w:numId="22">
    <w:abstractNumId w:val="10"/>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04"/>
    <w:rsid w:val="00001D9E"/>
    <w:rsid w:val="00005FE7"/>
    <w:rsid w:val="00031AD6"/>
    <w:rsid w:val="0003459A"/>
    <w:rsid w:val="00055D56"/>
    <w:rsid w:val="00080EDF"/>
    <w:rsid w:val="00085817"/>
    <w:rsid w:val="00087702"/>
    <w:rsid w:val="0009080D"/>
    <w:rsid w:val="0009221C"/>
    <w:rsid w:val="00095044"/>
    <w:rsid w:val="00095BCE"/>
    <w:rsid w:val="000A56AE"/>
    <w:rsid w:val="000A681C"/>
    <w:rsid w:val="000B2D41"/>
    <w:rsid w:val="000C6E42"/>
    <w:rsid w:val="00103495"/>
    <w:rsid w:val="00107A5B"/>
    <w:rsid w:val="001103D7"/>
    <w:rsid w:val="00115AFF"/>
    <w:rsid w:val="00121694"/>
    <w:rsid w:val="0012673F"/>
    <w:rsid w:val="00156484"/>
    <w:rsid w:val="00173C9C"/>
    <w:rsid w:val="001811C6"/>
    <w:rsid w:val="001A16A0"/>
    <w:rsid w:val="001A56E3"/>
    <w:rsid w:val="001A7ABE"/>
    <w:rsid w:val="001B051C"/>
    <w:rsid w:val="001B1BBE"/>
    <w:rsid w:val="001C0EBE"/>
    <w:rsid w:val="001C332E"/>
    <w:rsid w:val="001C3B62"/>
    <w:rsid w:val="001C48FD"/>
    <w:rsid w:val="001D0F0B"/>
    <w:rsid w:val="001D1D11"/>
    <w:rsid w:val="001D688D"/>
    <w:rsid w:val="001E6555"/>
    <w:rsid w:val="00201C0A"/>
    <w:rsid w:val="00210B65"/>
    <w:rsid w:val="00221E3E"/>
    <w:rsid w:val="002228D3"/>
    <w:rsid w:val="00222EC4"/>
    <w:rsid w:val="00231DFB"/>
    <w:rsid w:val="00233C49"/>
    <w:rsid w:val="00234FC1"/>
    <w:rsid w:val="00253F96"/>
    <w:rsid w:val="002551FF"/>
    <w:rsid w:val="0025601E"/>
    <w:rsid w:val="002643DF"/>
    <w:rsid w:val="0028043A"/>
    <w:rsid w:val="00283CAB"/>
    <w:rsid w:val="002A7B76"/>
    <w:rsid w:val="002C7A6B"/>
    <w:rsid w:val="002F2E49"/>
    <w:rsid w:val="003021B2"/>
    <w:rsid w:val="003224A8"/>
    <w:rsid w:val="003245A0"/>
    <w:rsid w:val="00326D68"/>
    <w:rsid w:val="003325AA"/>
    <w:rsid w:val="00354D70"/>
    <w:rsid w:val="00363522"/>
    <w:rsid w:val="003720CF"/>
    <w:rsid w:val="003A53D9"/>
    <w:rsid w:val="003A6AB6"/>
    <w:rsid w:val="003B67F2"/>
    <w:rsid w:val="003D4F25"/>
    <w:rsid w:val="00411366"/>
    <w:rsid w:val="00421A82"/>
    <w:rsid w:val="00423330"/>
    <w:rsid w:val="00471AC1"/>
    <w:rsid w:val="00496E67"/>
    <w:rsid w:val="00497A9F"/>
    <w:rsid w:val="004A1075"/>
    <w:rsid w:val="004A7232"/>
    <w:rsid w:val="004C10F3"/>
    <w:rsid w:val="004C1DC8"/>
    <w:rsid w:val="004C4FC3"/>
    <w:rsid w:val="004C5D20"/>
    <w:rsid w:val="004C7FD6"/>
    <w:rsid w:val="004D1C41"/>
    <w:rsid w:val="004D24A4"/>
    <w:rsid w:val="004E24AF"/>
    <w:rsid w:val="004E5FAC"/>
    <w:rsid w:val="00503C57"/>
    <w:rsid w:val="00504CB1"/>
    <w:rsid w:val="00510B20"/>
    <w:rsid w:val="0051471B"/>
    <w:rsid w:val="00527AE4"/>
    <w:rsid w:val="00534531"/>
    <w:rsid w:val="00554071"/>
    <w:rsid w:val="00554F04"/>
    <w:rsid w:val="00562945"/>
    <w:rsid w:val="0056523C"/>
    <w:rsid w:val="0056685B"/>
    <w:rsid w:val="00571A61"/>
    <w:rsid w:val="00583F42"/>
    <w:rsid w:val="00593D49"/>
    <w:rsid w:val="00594BBA"/>
    <w:rsid w:val="005A6189"/>
    <w:rsid w:val="005B4CD3"/>
    <w:rsid w:val="005B6D57"/>
    <w:rsid w:val="005C432E"/>
    <w:rsid w:val="005D0315"/>
    <w:rsid w:val="005D6C17"/>
    <w:rsid w:val="005D73E1"/>
    <w:rsid w:val="005F1C18"/>
    <w:rsid w:val="005F3741"/>
    <w:rsid w:val="0060110F"/>
    <w:rsid w:val="00601BB9"/>
    <w:rsid w:val="006235BE"/>
    <w:rsid w:val="006532E4"/>
    <w:rsid w:val="00675F6A"/>
    <w:rsid w:val="00676EB0"/>
    <w:rsid w:val="00676FC1"/>
    <w:rsid w:val="006959D3"/>
    <w:rsid w:val="006A38A3"/>
    <w:rsid w:val="006D7882"/>
    <w:rsid w:val="006E0E51"/>
    <w:rsid w:val="00705E20"/>
    <w:rsid w:val="0070606F"/>
    <w:rsid w:val="007145A4"/>
    <w:rsid w:val="00757AFF"/>
    <w:rsid w:val="00760339"/>
    <w:rsid w:val="00762F4A"/>
    <w:rsid w:val="00777535"/>
    <w:rsid w:val="00777A28"/>
    <w:rsid w:val="00782D3A"/>
    <w:rsid w:val="007921DE"/>
    <w:rsid w:val="007A7DE2"/>
    <w:rsid w:val="007E7A37"/>
    <w:rsid w:val="007F721C"/>
    <w:rsid w:val="00800F64"/>
    <w:rsid w:val="0080132F"/>
    <w:rsid w:val="00817723"/>
    <w:rsid w:val="008229C8"/>
    <w:rsid w:val="0083123E"/>
    <w:rsid w:val="00832A84"/>
    <w:rsid w:val="0083571A"/>
    <w:rsid w:val="0084245B"/>
    <w:rsid w:val="008508E3"/>
    <w:rsid w:val="00853607"/>
    <w:rsid w:val="0086126A"/>
    <w:rsid w:val="00864105"/>
    <w:rsid w:val="0086564D"/>
    <w:rsid w:val="0086762A"/>
    <w:rsid w:val="00872948"/>
    <w:rsid w:val="008768A2"/>
    <w:rsid w:val="00880685"/>
    <w:rsid w:val="00891AF1"/>
    <w:rsid w:val="008A3902"/>
    <w:rsid w:val="008C09D3"/>
    <w:rsid w:val="008C29B3"/>
    <w:rsid w:val="008F0F3E"/>
    <w:rsid w:val="008F5548"/>
    <w:rsid w:val="009046D3"/>
    <w:rsid w:val="00905052"/>
    <w:rsid w:val="00916332"/>
    <w:rsid w:val="0092576C"/>
    <w:rsid w:val="0094648D"/>
    <w:rsid w:val="00974F0D"/>
    <w:rsid w:val="00993F8A"/>
    <w:rsid w:val="009A1FF7"/>
    <w:rsid w:val="009A54E6"/>
    <w:rsid w:val="009B280C"/>
    <w:rsid w:val="009D0461"/>
    <w:rsid w:val="009F40F9"/>
    <w:rsid w:val="00A01BB0"/>
    <w:rsid w:val="00A14181"/>
    <w:rsid w:val="00A22CC1"/>
    <w:rsid w:val="00A25CE2"/>
    <w:rsid w:val="00A33025"/>
    <w:rsid w:val="00A541A3"/>
    <w:rsid w:val="00A717A9"/>
    <w:rsid w:val="00A73491"/>
    <w:rsid w:val="00A7446C"/>
    <w:rsid w:val="00A7792B"/>
    <w:rsid w:val="00A90B60"/>
    <w:rsid w:val="00A92BAB"/>
    <w:rsid w:val="00A97FA1"/>
    <w:rsid w:val="00AC143D"/>
    <w:rsid w:val="00AC1565"/>
    <w:rsid w:val="00AC64F9"/>
    <w:rsid w:val="00AD141F"/>
    <w:rsid w:val="00AD4352"/>
    <w:rsid w:val="00AE4607"/>
    <w:rsid w:val="00AF5FA9"/>
    <w:rsid w:val="00B0436C"/>
    <w:rsid w:val="00B42A97"/>
    <w:rsid w:val="00B43BEF"/>
    <w:rsid w:val="00B517E1"/>
    <w:rsid w:val="00B52E48"/>
    <w:rsid w:val="00B629B3"/>
    <w:rsid w:val="00B64E2A"/>
    <w:rsid w:val="00B7056E"/>
    <w:rsid w:val="00B74E4D"/>
    <w:rsid w:val="00B92B26"/>
    <w:rsid w:val="00BD21AA"/>
    <w:rsid w:val="00C213B4"/>
    <w:rsid w:val="00C2296F"/>
    <w:rsid w:val="00C24428"/>
    <w:rsid w:val="00C4311E"/>
    <w:rsid w:val="00C5427A"/>
    <w:rsid w:val="00C64469"/>
    <w:rsid w:val="00C76801"/>
    <w:rsid w:val="00C83E77"/>
    <w:rsid w:val="00C842BE"/>
    <w:rsid w:val="00C86633"/>
    <w:rsid w:val="00C9423D"/>
    <w:rsid w:val="00CB739E"/>
    <w:rsid w:val="00CD2BBF"/>
    <w:rsid w:val="00CD59F2"/>
    <w:rsid w:val="00CF6C5C"/>
    <w:rsid w:val="00D02A91"/>
    <w:rsid w:val="00D03D70"/>
    <w:rsid w:val="00D14814"/>
    <w:rsid w:val="00D308BA"/>
    <w:rsid w:val="00D67870"/>
    <w:rsid w:val="00D75804"/>
    <w:rsid w:val="00D80C31"/>
    <w:rsid w:val="00D83073"/>
    <w:rsid w:val="00D84A29"/>
    <w:rsid w:val="00D935F4"/>
    <w:rsid w:val="00D93C01"/>
    <w:rsid w:val="00DB49AA"/>
    <w:rsid w:val="00DC0E7B"/>
    <w:rsid w:val="00DC1551"/>
    <w:rsid w:val="00DC74B9"/>
    <w:rsid w:val="00DE0FDF"/>
    <w:rsid w:val="00DF58E1"/>
    <w:rsid w:val="00E03CAC"/>
    <w:rsid w:val="00E068D8"/>
    <w:rsid w:val="00E148E0"/>
    <w:rsid w:val="00E15C02"/>
    <w:rsid w:val="00E178A4"/>
    <w:rsid w:val="00E25ADB"/>
    <w:rsid w:val="00E314D4"/>
    <w:rsid w:val="00E5059E"/>
    <w:rsid w:val="00E5165C"/>
    <w:rsid w:val="00E568CD"/>
    <w:rsid w:val="00E612B4"/>
    <w:rsid w:val="00E62799"/>
    <w:rsid w:val="00E63B7B"/>
    <w:rsid w:val="00E63E9B"/>
    <w:rsid w:val="00E71BA8"/>
    <w:rsid w:val="00E8735A"/>
    <w:rsid w:val="00E9440F"/>
    <w:rsid w:val="00EB3E16"/>
    <w:rsid w:val="00EB620B"/>
    <w:rsid w:val="00EC047D"/>
    <w:rsid w:val="00ED79BB"/>
    <w:rsid w:val="00EE34DA"/>
    <w:rsid w:val="00F01155"/>
    <w:rsid w:val="00F02782"/>
    <w:rsid w:val="00F0306B"/>
    <w:rsid w:val="00F13218"/>
    <w:rsid w:val="00F17120"/>
    <w:rsid w:val="00F21178"/>
    <w:rsid w:val="00F233A1"/>
    <w:rsid w:val="00F308E1"/>
    <w:rsid w:val="00F43092"/>
    <w:rsid w:val="00F44F7C"/>
    <w:rsid w:val="00F45DDF"/>
    <w:rsid w:val="00F47ADB"/>
    <w:rsid w:val="00F53ED3"/>
    <w:rsid w:val="00F55905"/>
    <w:rsid w:val="00F67008"/>
    <w:rsid w:val="00F77C73"/>
    <w:rsid w:val="00F81906"/>
    <w:rsid w:val="00F90957"/>
    <w:rsid w:val="00F91F81"/>
    <w:rsid w:val="00F92B7A"/>
    <w:rsid w:val="00FA3F02"/>
    <w:rsid w:val="00FB0904"/>
    <w:rsid w:val="00FC0800"/>
    <w:rsid w:val="00FC5548"/>
    <w:rsid w:val="00FD0051"/>
    <w:rsid w:val="00FD2216"/>
    <w:rsid w:val="00FD6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Ref. de nota al pie1,Texto de nota al pie,Footnote Text Char Char Char Char Char,Footnote Text Char Char Char Char,FA Fu,Footnote Text Char Char Char,referencia nota al pie,Footnote Text Char"/>
    <w:basedOn w:val="Normal"/>
    <w:link w:val="NotedebasdepageCar"/>
    <w:uiPriority w:val="99"/>
    <w:rPr>
      <w:sz w:val="20"/>
      <w:szCs w:val="20"/>
    </w:rPr>
  </w:style>
  <w:style w:type="character" w:styleId="Appelnotedebasdep">
    <w:name w:val="footnote reference"/>
    <w:uiPriority w:val="99"/>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Ref. de nota al pie1 Car1,Texto de nota al pie Car1,Footnote Text Char Char Char Char Char Car1,Footnote Text Char Char Char Char Car1,FA Fu Car1,Footnote Text Char Char Char Car1,Footnote Text Char Car1"/>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Textedebulles">
    <w:name w:val="Balloon Text"/>
    <w:basedOn w:val="Normal"/>
    <w:link w:val="TextedebullesCar"/>
    <w:rsid w:val="00C842BE"/>
    <w:rPr>
      <w:rFonts w:ascii="Segoe UI" w:hAnsi="Segoe UI" w:cs="Segoe UI"/>
      <w:sz w:val="18"/>
      <w:szCs w:val="18"/>
    </w:rPr>
  </w:style>
  <w:style w:type="character" w:customStyle="1" w:styleId="TextedebullesCar">
    <w:name w:val="Texte de bulles Car"/>
    <w:basedOn w:val="Policepardfaut"/>
    <w:link w:val="Textedebulles"/>
    <w:rsid w:val="00C842BE"/>
    <w:rPr>
      <w:rFonts w:ascii="Segoe UI" w:hAnsi="Segoe UI" w:cs="Segoe UI"/>
      <w:sz w:val="18"/>
      <w:szCs w:val="18"/>
    </w:rPr>
  </w:style>
  <w:style w:type="character" w:customStyle="1" w:styleId="TitreCar">
    <w:name w:val="Titre Car"/>
    <w:basedOn w:val="Policepardfaut"/>
    <w:link w:val="Titre"/>
    <w:rsid w:val="0012673F"/>
    <w:rPr>
      <w:rFonts w:ascii="Arial" w:hAnsi="Arial" w:cs="Arial"/>
      <w:b/>
      <w:sz w:val="24"/>
      <w:szCs w:val="24"/>
    </w:rPr>
  </w:style>
  <w:style w:type="character" w:customStyle="1" w:styleId="Refdenotaalpie1Car">
    <w:name w:val="Ref. de nota al pie1 Car"/>
    <w:aliases w:val="Texto de nota al pie Car,Footnote Text Char Char Char Char Char Car,Footnote Text Char Char Char Char Car,FA Fu Car,Footnote Text Char Char Char Car,referencia nota al pie Car,Footnote Text Char Car"/>
    <w:basedOn w:val="Policepardfaut"/>
    <w:uiPriority w:val="99"/>
    <w:rsid w:val="0012673F"/>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2673F"/>
    <w:pPr>
      <w:ind w:left="720"/>
      <w:contextualSpacing/>
    </w:pPr>
  </w:style>
  <w:style w:type="paragraph" w:customStyle="1" w:styleId="Textoindependiente31">
    <w:name w:val="Texto independiente 31"/>
    <w:basedOn w:val="Normal"/>
    <w:rsid w:val="00121694"/>
    <w:pPr>
      <w:spacing w:line="360" w:lineRule="auto"/>
      <w:jc w:val="both"/>
    </w:pPr>
    <w:rPr>
      <w:rFonts w:ascii="Arial" w:hAnsi="Arial"/>
      <w:szCs w:val="20"/>
      <w:lang w:val="es-ES_tradnl"/>
    </w:rPr>
  </w:style>
  <w:style w:type="paragraph" w:styleId="Sansinterligne">
    <w:name w:val="No Spacing"/>
    <w:qFormat/>
    <w:rsid w:val="00121694"/>
    <w:rPr>
      <w:rFonts w:asciiTheme="minorHAnsi" w:eastAsiaTheme="minorHAnsi" w:hAnsiTheme="minorHAnsi" w:cstheme="minorBidi"/>
      <w:sz w:val="22"/>
      <w:szCs w:val="22"/>
      <w:lang w:val="es-ES_tradnl" w:eastAsia="en-US"/>
    </w:rPr>
  </w:style>
  <w:style w:type="paragraph" w:customStyle="1" w:styleId="Textoindependiente32">
    <w:name w:val="Texto independiente 32"/>
    <w:basedOn w:val="Normal"/>
    <w:rsid w:val="00121694"/>
    <w:pPr>
      <w:spacing w:line="360" w:lineRule="auto"/>
      <w:jc w:val="both"/>
    </w:pPr>
    <w:rPr>
      <w:rFonts w:ascii="Arial" w:hAnsi="Arial"/>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Ref. de nota al pie1,Texto de nota al pie,Footnote Text Char Char Char Char Char,Footnote Text Char Char Char Char,FA Fu,Footnote Text Char Char Char,referencia nota al pie,Footnote Text Char"/>
    <w:basedOn w:val="Normal"/>
    <w:link w:val="NotedebasdepageCar"/>
    <w:uiPriority w:val="99"/>
    <w:rPr>
      <w:sz w:val="20"/>
      <w:szCs w:val="20"/>
    </w:rPr>
  </w:style>
  <w:style w:type="character" w:styleId="Appelnotedebasdep">
    <w:name w:val="footnote reference"/>
    <w:uiPriority w:val="99"/>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Ref. de nota al pie1 Car1,Texto de nota al pie Car1,Footnote Text Char Char Char Char Char Car1,Footnote Text Char Char Char Char Car1,FA Fu Car1,Footnote Text Char Char Char Car1,Footnote Text Char Car1"/>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Textedebulles">
    <w:name w:val="Balloon Text"/>
    <w:basedOn w:val="Normal"/>
    <w:link w:val="TextedebullesCar"/>
    <w:rsid w:val="00C842BE"/>
    <w:rPr>
      <w:rFonts w:ascii="Segoe UI" w:hAnsi="Segoe UI" w:cs="Segoe UI"/>
      <w:sz w:val="18"/>
      <w:szCs w:val="18"/>
    </w:rPr>
  </w:style>
  <w:style w:type="character" w:customStyle="1" w:styleId="TextedebullesCar">
    <w:name w:val="Texte de bulles Car"/>
    <w:basedOn w:val="Policepardfaut"/>
    <w:link w:val="Textedebulles"/>
    <w:rsid w:val="00C842BE"/>
    <w:rPr>
      <w:rFonts w:ascii="Segoe UI" w:hAnsi="Segoe UI" w:cs="Segoe UI"/>
      <w:sz w:val="18"/>
      <w:szCs w:val="18"/>
    </w:rPr>
  </w:style>
  <w:style w:type="character" w:customStyle="1" w:styleId="TitreCar">
    <w:name w:val="Titre Car"/>
    <w:basedOn w:val="Policepardfaut"/>
    <w:link w:val="Titre"/>
    <w:rsid w:val="0012673F"/>
    <w:rPr>
      <w:rFonts w:ascii="Arial" w:hAnsi="Arial" w:cs="Arial"/>
      <w:b/>
      <w:sz w:val="24"/>
      <w:szCs w:val="24"/>
    </w:rPr>
  </w:style>
  <w:style w:type="character" w:customStyle="1" w:styleId="Refdenotaalpie1Car">
    <w:name w:val="Ref. de nota al pie1 Car"/>
    <w:aliases w:val="Texto de nota al pie Car,Footnote Text Char Char Char Char Char Car,Footnote Text Char Char Char Char Car,FA Fu Car,Footnote Text Char Char Char Car,referencia nota al pie Car,Footnote Text Char Car"/>
    <w:basedOn w:val="Policepardfaut"/>
    <w:uiPriority w:val="99"/>
    <w:rsid w:val="0012673F"/>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2673F"/>
    <w:pPr>
      <w:ind w:left="720"/>
      <w:contextualSpacing/>
    </w:pPr>
  </w:style>
  <w:style w:type="paragraph" w:customStyle="1" w:styleId="Textoindependiente31">
    <w:name w:val="Texto independiente 31"/>
    <w:basedOn w:val="Normal"/>
    <w:rsid w:val="00121694"/>
    <w:pPr>
      <w:spacing w:line="360" w:lineRule="auto"/>
      <w:jc w:val="both"/>
    </w:pPr>
    <w:rPr>
      <w:rFonts w:ascii="Arial" w:hAnsi="Arial"/>
      <w:szCs w:val="20"/>
      <w:lang w:val="es-ES_tradnl"/>
    </w:rPr>
  </w:style>
  <w:style w:type="paragraph" w:styleId="Sansinterligne">
    <w:name w:val="No Spacing"/>
    <w:qFormat/>
    <w:rsid w:val="00121694"/>
    <w:rPr>
      <w:rFonts w:asciiTheme="minorHAnsi" w:eastAsiaTheme="minorHAnsi" w:hAnsiTheme="minorHAnsi" w:cstheme="minorBidi"/>
      <w:sz w:val="22"/>
      <w:szCs w:val="22"/>
      <w:lang w:val="es-ES_tradnl" w:eastAsia="en-US"/>
    </w:rPr>
  </w:style>
  <w:style w:type="paragraph" w:customStyle="1" w:styleId="Textoindependiente32">
    <w:name w:val="Texto independiente 32"/>
    <w:basedOn w:val="Normal"/>
    <w:rsid w:val="00121694"/>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18066">
      <w:bodyDiv w:val="1"/>
      <w:marLeft w:val="0"/>
      <w:marRight w:val="0"/>
      <w:marTop w:val="0"/>
      <w:marBottom w:val="0"/>
      <w:divBdr>
        <w:top w:val="none" w:sz="0" w:space="0" w:color="auto"/>
        <w:left w:val="none" w:sz="0" w:space="0" w:color="auto"/>
        <w:bottom w:val="none" w:sz="0" w:space="0" w:color="auto"/>
        <w:right w:val="none" w:sz="0" w:space="0" w:color="auto"/>
      </w:divBdr>
    </w:div>
    <w:div w:id="1634941078">
      <w:bodyDiv w:val="1"/>
      <w:marLeft w:val="0"/>
      <w:marRight w:val="0"/>
      <w:marTop w:val="0"/>
      <w:marBottom w:val="0"/>
      <w:divBdr>
        <w:top w:val="none" w:sz="0" w:space="0" w:color="auto"/>
        <w:left w:val="none" w:sz="0" w:space="0" w:color="auto"/>
        <w:bottom w:val="none" w:sz="0" w:space="0" w:color="auto"/>
        <w:right w:val="none" w:sz="0" w:space="0" w:color="auto"/>
      </w:divBdr>
    </w:div>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19DD-609A-4B62-9DC3-8A11672B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Malucimedina</cp:lastModifiedBy>
  <cp:revision>10</cp:revision>
  <cp:lastPrinted>2017-03-21T18:41:00Z</cp:lastPrinted>
  <dcterms:created xsi:type="dcterms:W3CDTF">2016-09-19T18:41:00Z</dcterms:created>
  <dcterms:modified xsi:type="dcterms:W3CDTF">2017-05-14T03:58:00Z</dcterms:modified>
</cp:coreProperties>
</file>