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6B6BC1" w:rsidRDefault="006B6BC1" w:rsidP="006B6BC1">
      <w:pPr>
        <w:pBdr>
          <w:top w:val="single" w:sz="4" w:space="1" w:color="auto"/>
          <w:left w:val="single" w:sz="4" w:space="4" w:color="auto"/>
          <w:bottom w:val="single" w:sz="4" w:space="1" w:color="auto"/>
          <w:right w:val="single" w:sz="4" w:space="4" w:color="auto"/>
        </w:pBdr>
        <w:shd w:val="clear" w:color="auto" w:fill="FFFFFF"/>
        <w:jc w:val="center"/>
        <w:rPr>
          <w:rFonts w:asciiTheme="minorHAnsi" w:hAnsiTheme="minorHAnsi" w:cstheme="minorHAnsi"/>
          <w:color w:val="FF0000"/>
          <w:sz w:val="16"/>
          <w:szCs w:val="16"/>
          <w:lang w:eastAsia="fr-FR"/>
        </w:rPr>
      </w:pPr>
      <w:r w:rsidRPr="00A817A6">
        <w:rPr>
          <w:rFonts w:asciiTheme="minorHAnsi" w:hAnsiTheme="minorHAnsi" w:cstheme="minorHAnsi"/>
          <w:color w:val="FF0000"/>
          <w:sz w:val="16"/>
          <w:szCs w:val="16"/>
          <w:lang w:val="es-CO" w:eastAsia="fr-FR"/>
        </w:rPr>
        <w:t>El siguiente es el documento presentado por el Magistrado Ponente.</w:t>
      </w:r>
    </w:p>
    <w:p w:rsidR="006B6BC1" w:rsidRPr="00A817A6" w:rsidRDefault="006B6BC1" w:rsidP="006B6BC1">
      <w:pPr>
        <w:pBdr>
          <w:top w:val="single" w:sz="4" w:space="1" w:color="auto"/>
          <w:left w:val="single" w:sz="4" w:space="4" w:color="auto"/>
          <w:bottom w:val="single" w:sz="4" w:space="1" w:color="auto"/>
          <w:right w:val="single" w:sz="4" w:space="4" w:color="auto"/>
        </w:pBdr>
        <w:shd w:val="clear" w:color="auto" w:fill="FFFFFF"/>
        <w:jc w:val="center"/>
        <w:rPr>
          <w:rFonts w:asciiTheme="minorHAnsi" w:hAnsiTheme="minorHAnsi" w:cstheme="minorHAnsi"/>
          <w:color w:val="222222"/>
          <w:sz w:val="16"/>
          <w:szCs w:val="16"/>
          <w:lang w:val="es-CO" w:eastAsia="fr-FR"/>
        </w:rPr>
      </w:pPr>
      <w:r w:rsidRPr="00A817A6">
        <w:rPr>
          <w:rFonts w:asciiTheme="minorHAnsi" w:hAnsiTheme="minorHAnsi" w:cstheme="minorHAnsi"/>
          <w:color w:val="FF0000"/>
          <w:sz w:val="16"/>
          <w:szCs w:val="16"/>
          <w:lang w:val="es-CO" w:eastAsia="fr-FR"/>
        </w:rPr>
        <w:t xml:space="preserve"> El contenido total y fiel de la decisión debe ser verificado en la Secretaría de esta Sala.</w:t>
      </w:r>
      <w:r w:rsidRPr="00A817A6">
        <w:rPr>
          <w:rFonts w:asciiTheme="minorHAnsi" w:hAnsiTheme="minorHAnsi" w:cstheme="minorHAnsi"/>
          <w:color w:val="222222"/>
          <w:sz w:val="16"/>
          <w:szCs w:val="16"/>
          <w:lang w:val="es-CO" w:eastAsia="fr-FR"/>
        </w:rPr>
        <w:t> </w:t>
      </w:r>
    </w:p>
    <w:p w:rsidR="006B6BC1" w:rsidRDefault="006B6BC1" w:rsidP="00B64E2A">
      <w:pPr>
        <w:pStyle w:val="Titre"/>
        <w:spacing w:line="240" w:lineRule="auto"/>
        <w:jc w:val="both"/>
        <w:rPr>
          <w:rFonts w:ascii="Tahoma" w:hAnsi="Tahoma" w:cs="Tahoma"/>
          <w:sz w:val="18"/>
          <w:szCs w:val="18"/>
          <w:lang w:val="es-CO"/>
        </w:rPr>
      </w:pPr>
    </w:p>
    <w:p w:rsidR="00B64E2A" w:rsidRPr="00B74E4D" w:rsidRDefault="00B64E2A" w:rsidP="00B64E2A">
      <w:pPr>
        <w:pStyle w:val="Titre"/>
        <w:spacing w:line="240" w:lineRule="auto"/>
        <w:jc w:val="both"/>
        <w:rPr>
          <w:rFonts w:ascii="Tahoma" w:hAnsi="Tahoma" w:cs="Tahoma"/>
          <w:b w:val="0"/>
          <w:sz w:val="18"/>
          <w:szCs w:val="18"/>
        </w:rPr>
      </w:pPr>
      <w:r w:rsidRPr="00751C3D">
        <w:rPr>
          <w:rFonts w:ascii="Tahoma" w:hAnsi="Tahoma" w:cs="Tahoma"/>
          <w:sz w:val="18"/>
          <w:szCs w:val="18"/>
        </w:rPr>
        <w:t>Providencia:</w:t>
      </w:r>
      <w:r w:rsidRPr="00B74E4D">
        <w:rPr>
          <w:rFonts w:ascii="Tahoma" w:hAnsi="Tahoma" w:cs="Tahoma"/>
          <w:b w:val="0"/>
          <w:sz w:val="18"/>
          <w:szCs w:val="18"/>
        </w:rPr>
        <w:t xml:space="preserve"> </w:t>
      </w:r>
      <w:r w:rsidRPr="00B74E4D">
        <w:rPr>
          <w:rFonts w:ascii="Tahoma" w:hAnsi="Tahoma" w:cs="Tahoma"/>
          <w:b w:val="0"/>
          <w:sz w:val="18"/>
          <w:szCs w:val="18"/>
        </w:rPr>
        <w:tab/>
      </w:r>
      <w:r w:rsidRPr="00B74E4D">
        <w:rPr>
          <w:rFonts w:ascii="Tahoma" w:hAnsi="Tahoma" w:cs="Tahoma"/>
          <w:b w:val="0"/>
          <w:sz w:val="18"/>
          <w:szCs w:val="18"/>
        </w:rPr>
        <w:tab/>
      </w:r>
      <w:r w:rsidRPr="00B74E4D">
        <w:rPr>
          <w:rFonts w:ascii="Tahoma" w:hAnsi="Tahoma" w:cs="Tahoma"/>
          <w:b w:val="0"/>
          <w:sz w:val="18"/>
          <w:szCs w:val="18"/>
        </w:rPr>
        <w:tab/>
      </w:r>
      <w:r w:rsidR="006B6BC1">
        <w:rPr>
          <w:rFonts w:ascii="Tahoma" w:hAnsi="Tahoma" w:cs="Tahoma"/>
          <w:b w:val="0"/>
          <w:sz w:val="18"/>
          <w:szCs w:val="18"/>
        </w:rPr>
        <w:t>Salvamento de voto de la s</w:t>
      </w:r>
      <w:r w:rsidR="00DC74B9" w:rsidRPr="00B74E4D">
        <w:rPr>
          <w:rFonts w:ascii="Tahoma" w:hAnsi="Tahoma" w:cs="Tahoma"/>
          <w:b w:val="0"/>
          <w:sz w:val="18"/>
          <w:szCs w:val="18"/>
        </w:rPr>
        <w:t xml:space="preserve">entencia del </w:t>
      </w:r>
      <w:r w:rsidR="00A86A77">
        <w:rPr>
          <w:rFonts w:ascii="Tahoma" w:hAnsi="Tahoma" w:cs="Tahoma"/>
          <w:b w:val="0"/>
          <w:sz w:val="18"/>
          <w:szCs w:val="18"/>
        </w:rPr>
        <w:t xml:space="preserve">31 de marzo </w:t>
      </w:r>
      <w:r w:rsidR="00751C3D">
        <w:rPr>
          <w:rFonts w:ascii="Tahoma" w:hAnsi="Tahoma" w:cs="Tahoma"/>
          <w:b w:val="0"/>
          <w:sz w:val="18"/>
          <w:szCs w:val="18"/>
        </w:rPr>
        <w:t>de 2017</w:t>
      </w:r>
    </w:p>
    <w:p w:rsidR="006B6BC1" w:rsidRPr="002B7B53" w:rsidRDefault="006B6BC1" w:rsidP="006B6BC1">
      <w:pPr>
        <w:pStyle w:val="Titre"/>
        <w:spacing w:line="240" w:lineRule="auto"/>
        <w:jc w:val="both"/>
        <w:rPr>
          <w:rFonts w:ascii="Tahoma" w:hAnsi="Tahoma" w:cs="Tahoma"/>
          <w:b w:val="0"/>
          <w:sz w:val="18"/>
          <w:szCs w:val="18"/>
        </w:rPr>
      </w:pPr>
      <w:r w:rsidRPr="00751C3D">
        <w:rPr>
          <w:rFonts w:ascii="Tahoma" w:hAnsi="Tahoma" w:cs="Tahoma"/>
          <w:sz w:val="18"/>
          <w:szCs w:val="18"/>
        </w:rPr>
        <w:t>Proceso:</w:t>
      </w:r>
      <w:r w:rsidRPr="002B7B53">
        <w:rPr>
          <w:rFonts w:ascii="Tahoma" w:hAnsi="Tahoma" w:cs="Tahoma"/>
          <w:b w:val="0"/>
          <w:sz w:val="18"/>
          <w:szCs w:val="18"/>
        </w:rPr>
        <w:tab/>
      </w:r>
      <w:r w:rsidRPr="002B7B53">
        <w:rPr>
          <w:rFonts w:ascii="Tahoma" w:hAnsi="Tahoma" w:cs="Tahoma"/>
          <w:b w:val="0"/>
          <w:sz w:val="18"/>
          <w:szCs w:val="18"/>
        </w:rPr>
        <w:tab/>
      </w:r>
      <w:r>
        <w:rPr>
          <w:rFonts w:ascii="Tahoma" w:hAnsi="Tahoma" w:cs="Tahoma"/>
          <w:b w:val="0"/>
          <w:sz w:val="18"/>
          <w:szCs w:val="18"/>
        </w:rPr>
        <w:tab/>
      </w:r>
      <w:r w:rsidRPr="002B7B53">
        <w:rPr>
          <w:rFonts w:ascii="Tahoma" w:hAnsi="Tahoma" w:cs="Tahoma"/>
          <w:b w:val="0"/>
          <w:sz w:val="18"/>
          <w:szCs w:val="18"/>
        </w:rPr>
        <w:t xml:space="preserve">Ordinario laboral </w:t>
      </w:r>
    </w:p>
    <w:p w:rsidR="00386451" w:rsidRPr="00751C3D" w:rsidRDefault="00386451" w:rsidP="00386451">
      <w:pPr>
        <w:pStyle w:val="Titre"/>
        <w:spacing w:line="240" w:lineRule="auto"/>
        <w:jc w:val="both"/>
        <w:rPr>
          <w:rFonts w:ascii="Tahoma" w:hAnsi="Tahoma" w:cs="Tahoma"/>
          <w:sz w:val="18"/>
          <w:szCs w:val="18"/>
        </w:rPr>
      </w:pPr>
      <w:r w:rsidRPr="00751C3D">
        <w:rPr>
          <w:rFonts w:ascii="Tahoma" w:hAnsi="Tahoma" w:cs="Tahoma"/>
          <w:sz w:val="18"/>
          <w:szCs w:val="18"/>
        </w:rPr>
        <w:t>Radicación No.:</w:t>
      </w:r>
      <w:r w:rsidRPr="00751C3D">
        <w:rPr>
          <w:rFonts w:ascii="Tahoma" w:hAnsi="Tahoma" w:cs="Tahoma"/>
          <w:sz w:val="18"/>
          <w:szCs w:val="18"/>
        </w:rPr>
        <w:tab/>
      </w:r>
      <w:r w:rsidRPr="00751C3D">
        <w:rPr>
          <w:rFonts w:ascii="Tahoma" w:hAnsi="Tahoma" w:cs="Tahoma"/>
          <w:sz w:val="18"/>
          <w:szCs w:val="18"/>
        </w:rPr>
        <w:tab/>
      </w:r>
      <w:r w:rsidRPr="00751C3D">
        <w:rPr>
          <w:rFonts w:ascii="Tahoma" w:hAnsi="Tahoma" w:cs="Tahoma"/>
          <w:sz w:val="18"/>
          <w:szCs w:val="18"/>
        </w:rPr>
        <w:tab/>
      </w:r>
      <w:r w:rsidRPr="00751C3D">
        <w:rPr>
          <w:rFonts w:ascii="Tahoma" w:hAnsi="Tahoma" w:cs="Tahoma"/>
          <w:b w:val="0"/>
          <w:sz w:val="18"/>
          <w:szCs w:val="18"/>
        </w:rPr>
        <w:t>6600</w:t>
      </w:r>
      <w:bookmarkStart w:id="0" w:name="_GoBack"/>
      <w:bookmarkEnd w:id="0"/>
      <w:r w:rsidRPr="00751C3D">
        <w:rPr>
          <w:rFonts w:ascii="Tahoma" w:hAnsi="Tahoma" w:cs="Tahoma"/>
          <w:b w:val="0"/>
          <w:sz w:val="18"/>
          <w:szCs w:val="18"/>
        </w:rPr>
        <w:t>1-31-05-00</w:t>
      </w:r>
      <w:r w:rsidR="0086650B">
        <w:rPr>
          <w:rFonts w:ascii="Tahoma" w:hAnsi="Tahoma" w:cs="Tahoma"/>
          <w:b w:val="0"/>
          <w:sz w:val="18"/>
          <w:szCs w:val="18"/>
        </w:rPr>
        <w:t>3</w:t>
      </w:r>
      <w:r w:rsidRPr="00751C3D">
        <w:rPr>
          <w:rFonts w:ascii="Tahoma" w:hAnsi="Tahoma" w:cs="Tahoma"/>
          <w:b w:val="0"/>
          <w:sz w:val="18"/>
          <w:szCs w:val="18"/>
        </w:rPr>
        <w:t>-201</w:t>
      </w:r>
      <w:r w:rsidR="0086650B">
        <w:rPr>
          <w:rFonts w:ascii="Tahoma" w:hAnsi="Tahoma" w:cs="Tahoma"/>
          <w:b w:val="0"/>
          <w:sz w:val="18"/>
          <w:szCs w:val="18"/>
        </w:rPr>
        <w:t>5</w:t>
      </w:r>
      <w:r w:rsidRPr="00751C3D">
        <w:rPr>
          <w:rFonts w:ascii="Tahoma" w:hAnsi="Tahoma" w:cs="Tahoma"/>
          <w:b w:val="0"/>
          <w:sz w:val="18"/>
          <w:szCs w:val="18"/>
        </w:rPr>
        <w:t>-00</w:t>
      </w:r>
      <w:r w:rsidR="0086650B">
        <w:rPr>
          <w:rFonts w:ascii="Tahoma" w:hAnsi="Tahoma" w:cs="Tahoma"/>
          <w:b w:val="0"/>
          <w:sz w:val="18"/>
          <w:szCs w:val="18"/>
        </w:rPr>
        <w:t>215</w:t>
      </w:r>
      <w:r w:rsidRPr="00751C3D">
        <w:rPr>
          <w:rFonts w:ascii="Tahoma" w:hAnsi="Tahoma" w:cs="Tahoma"/>
          <w:b w:val="0"/>
          <w:sz w:val="18"/>
          <w:szCs w:val="18"/>
        </w:rPr>
        <w:t>-01</w:t>
      </w:r>
    </w:p>
    <w:p w:rsidR="00386451" w:rsidRPr="002B7B53" w:rsidRDefault="00386451" w:rsidP="00386451">
      <w:pPr>
        <w:pStyle w:val="Titre"/>
        <w:spacing w:line="240" w:lineRule="auto"/>
        <w:jc w:val="both"/>
        <w:rPr>
          <w:rFonts w:ascii="Tahoma" w:hAnsi="Tahoma" w:cs="Tahoma"/>
          <w:b w:val="0"/>
          <w:sz w:val="18"/>
          <w:szCs w:val="18"/>
        </w:rPr>
      </w:pPr>
      <w:r w:rsidRPr="00751C3D">
        <w:rPr>
          <w:rFonts w:ascii="Tahoma" w:hAnsi="Tahoma" w:cs="Tahoma"/>
          <w:sz w:val="18"/>
          <w:szCs w:val="18"/>
        </w:rPr>
        <w:t>Demandante:</w:t>
      </w:r>
      <w:r w:rsidRPr="00386451">
        <w:rPr>
          <w:rFonts w:ascii="Tahoma" w:hAnsi="Tahoma" w:cs="Tahoma"/>
          <w:b w:val="0"/>
          <w:sz w:val="18"/>
          <w:szCs w:val="18"/>
        </w:rPr>
        <w:tab/>
      </w:r>
      <w:r w:rsidRPr="002B7B53">
        <w:rPr>
          <w:rFonts w:ascii="Tahoma" w:hAnsi="Tahoma" w:cs="Tahoma"/>
          <w:b w:val="0"/>
          <w:sz w:val="18"/>
          <w:szCs w:val="18"/>
        </w:rPr>
        <w:tab/>
      </w:r>
      <w:r>
        <w:rPr>
          <w:rFonts w:ascii="Tahoma" w:hAnsi="Tahoma" w:cs="Tahoma"/>
          <w:b w:val="0"/>
          <w:sz w:val="18"/>
          <w:szCs w:val="18"/>
        </w:rPr>
        <w:tab/>
      </w:r>
      <w:r w:rsidR="0086650B">
        <w:rPr>
          <w:rFonts w:ascii="Tahoma" w:hAnsi="Tahoma" w:cs="Tahoma"/>
          <w:b w:val="0"/>
          <w:sz w:val="18"/>
          <w:szCs w:val="18"/>
        </w:rPr>
        <w:t xml:space="preserve">Fabio Ramírez Castaño </w:t>
      </w:r>
      <w:r w:rsidR="00751C3D">
        <w:rPr>
          <w:rFonts w:ascii="Tahoma" w:hAnsi="Tahoma" w:cs="Tahoma"/>
          <w:b w:val="0"/>
          <w:sz w:val="18"/>
          <w:szCs w:val="18"/>
        </w:rPr>
        <w:t xml:space="preserve"> </w:t>
      </w:r>
    </w:p>
    <w:p w:rsidR="00386451" w:rsidRPr="002B7B53" w:rsidRDefault="00386451" w:rsidP="00386451">
      <w:pPr>
        <w:pStyle w:val="Titre"/>
        <w:spacing w:line="240" w:lineRule="auto"/>
        <w:ind w:left="708" w:hanging="708"/>
        <w:jc w:val="both"/>
        <w:rPr>
          <w:rFonts w:ascii="Tahoma" w:hAnsi="Tahoma" w:cs="Tahoma"/>
          <w:b w:val="0"/>
          <w:sz w:val="18"/>
          <w:szCs w:val="18"/>
        </w:rPr>
      </w:pPr>
      <w:r w:rsidRPr="00751C3D">
        <w:rPr>
          <w:rFonts w:ascii="Tahoma" w:hAnsi="Tahoma" w:cs="Tahoma"/>
          <w:sz w:val="18"/>
          <w:szCs w:val="18"/>
        </w:rPr>
        <w:t>Demandado:</w:t>
      </w:r>
      <w:r w:rsidRPr="002B7B53">
        <w:rPr>
          <w:rFonts w:ascii="Tahoma" w:hAnsi="Tahoma" w:cs="Tahoma"/>
          <w:b w:val="0"/>
          <w:sz w:val="18"/>
          <w:szCs w:val="18"/>
        </w:rPr>
        <w:tab/>
      </w:r>
      <w:r w:rsidRPr="002B7B53">
        <w:rPr>
          <w:rFonts w:ascii="Tahoma" w:hAnsi="Tahoma" w:cs="Tahoma"/>
          <w:b w:val="0"/>
          <w:sz w:val="18"/>
          <w:szCs w:val="18"/>
        </w:rPr>
        <w:tab/>
      </w:r>
      <w:r>
        <w:rPr>
          <w:rFonts w:ascii="Tahoma" w:hAnsi="Tahoma" w:cs="Tahoma"/>
          <w:b w:val="0"/>
          <w:sz w:val="18"/>
          <w:szCs w:val="18"/>
        </w:rPr>
        <w:tab/>
      </w:r>
      <w:proofErr w:type="spellStart"/>
      <w:r w:rsidRPr="002B7B53">
        <w:rPr>
          <w:rFonts w:ascii="Tahoma" w:hAnsi="Tahoma" w:cs="Tahoma"/>
          <w:b w:val="0"/>
          <w:sz w:val="18"/>
          <w:szCs w:val="18"/>
        </w:rPr>
        <w:t>Colpensiones</w:t>
      </w:r>
      <w:proofErr w:type="spellEnd"/>
      <w:r w:rsidRPr="002B7B53">
        <w:rPr>
          <w:rFonts w:ascii="Tahoma" w:hAnsi="Tahoma" w:cs="Tahoma"/>
          <w:b w:val="0"/>
          <w:sz w:val="18"/>
          <w:szCs w:val="18"/>
        </w:rPr>
        <w:t xml:space="preserve"> </w:t>
      </w:r>
    </w:p>
    <w:p w:rsidR="00FC0800" w:rsidRPr="00B74E4D" w:rsidRDefault="00FC0800">
      <w:pPr>
        <w:pStyle w:val="Titre"/>
        <w:spacing w:line="240" w:lineRule="auto"/>
        <w:jc w:val="both"/>
        <w:rPr>
          <w:rFonts w:ascii="Tahoma" w:hAnsi="Tahoma" w:cs="Tahoma"/>
          <w:b w:val="0"/>
          <w:sz w:val="18"/>
          <w:szCs w:val="18"/>
        </w:rPr>
      </w:pPr>
      <w:r w:rsidRPr="00751C3D">
        <w:rPr>
          <w:rFonts w:ascii="Tahoma" w:hAnsi="Tahoma" w:cs="Tahoma"/>
          <w:sz w:val="18"/>
          <w:szCs w:val="18"/>
        </w:rPr>
        <w:t>Magistrado Ponente:</w:t>
      </w:r>
      <w:r w:rsidRPr="00B74E4D">
        <w:rPr>
          <w:rFonts w:ascii="Tahoma" w:hAnsi="Tahoma" w:cs="Tahoma"/>
          <w:b w:val="0"/>
          <w:sz w:val="18"/>
          <w:szCs w:val="18"/>
        </w:rPr>
        <w:tab/>
      </w:r>
      <w:r w:rsidRPr="00B74E4D">
        <w:rPr>
          <w:rFonts w:ascii="Tahoma" w:hAnsi="Tahoma" w:cs="Tahoma"/>
          <w:b w:val="0"/>
          <w:sz w:val="18"/>
          <w:szCs w:val="18"/>
        </w:rPr>
        <w:tab/>
        <w:t>Dr</w:t>
      </w:r>
      <w:r w:rsidR="00751C3D">
        <w:rPr>
          <w:rFonts w:ascii="Tahoma" w:hAnsi="Tahoma" w:cs="Tahoma"/>
          <w:b w:val="0"/>
          <w:sz w:val="18"/>
          <w:szCs w:val="18"/>
        </w:rPr>
        <w:t xml:space="preserve">. </w:t>
      </w:r>
      <w:r w:rsidR="0086650B">
        <w:rPr>
          <w:rFonts w:ascii="Tahoma" w:hAnsi="Tahoma" w:cs="Tahoma"/>
          <w:b w:val="0"/>
          <w:sz w:val="18"/>
          <w:szCs w:val="18"/>
        </w:rPr>
        <w:t xml:space="preserve">Julio César Salazar Muñoz </w:t>
      </w:r>
    </w:p>
    <w:p w:rsidR="00DC74B9" w:rsidRPr="00B74E4D" w:rsidRDefault="00DC74B9" w:rsidP="001B1BBE">
      <w:pPr>
        <w:pStyle w:val="Titre"/>
        <w:spacing w:line="240" w:lineRule="auto"/>
        <w:ind w:left="2805" w:hanging="2805"/>
        <w:jc w:val="both"/>
        <w:rPr>
          <w:rFonts w:ascii="Tahoma" w:hAnsi="Tahoma" w:cs="Tahoma"/>
          <w:b w:val="0"/>
          <w:sz w:val="18"/>
          <w:szCs w:val="18"/>
        </w:rPr>
      </w:pPr>
      <w:r w:rsidRPr="00751C3D">
        <w:rPr>
          <w:rFonts w:ascii="Tahoma" w:hAnsi="Tahoma" w:cs="Tahoma"/>
          <w:sz w:val="18"/>
          <w:szCs w:val="18"/>
        </w:rPr>
        <w:t>Magistrada que salva voto:</w:t>
      </w:r>
      <w:r w:rsidRPr="00B74E4D">
        <w:rPr>
          <w:rFonts w:ascii="Tahoma" w:hAnsi="Tahoma" w:cs="Tahoma"/>
          <w:sz w:val="18"/>
          <w:szCs w:val="18"/>
        </w:rPr>
        <w:tab/>
      </w:r>
      <w:r w:rsidRPr="00B74E4D">
        <w:rPr>
          <w:rFonts w:ascii="Tahoma" w:hAnsi="Tahoma" w:cs="Tahoma"/>
          <w:b w:val="0"/>
          <w:sz w:val="18"/>
          <w:szCs w:val="18"/>
        </w:rPr>
        <w:t xml:space="preserve">Dra. </w:t>
      </w:r>
      <w:r w:rsidR="00DE0FDF" w:rsidRPr="00B74E4D">
        <w:rPr>
          <w:rFonts w:ascii="Tahoma" w:hAnsi="Tahoma" w:cs="Tahoma"/>
          <w:b w:val="0"/>
          <w:sz w:val="18"/>
          <w:szCs w:val="18"/>
        </w:rPr>
        <w:t>Ana Lucia Caicedo Calderón</w:t>
      </w:r>
    </w:p>
    <w:p w:rsidR="00DE0FDF" w:rsidRPr="00751C3D" w:rsidRDefault="004C7FD6" w:rsidP="007145A4">
      <w:pPr>
        <w:pStyle w:val="Titre"/>
        <w:spacing w:line="240" w:lineRule="auto"/>
        <w:ind w:left="2805" w:hanging="2805"/>
        <w:jc w:val="both"/>
        <w:rPr>
          <w:rFonts w:ascii="Tahoma" w:hAnsi="Tahoma" w:cs="Tahoma"/>
          <w:sz w:val="18"/>
          <w:szCs w:val="18"/>
        </w:rPr>
      </w:pPr>
      <w:r w:rsidRPr="00751C3D">
        <w:rPr>
          <w:rFonts w:ascii="Tahoma" w:hAnsi="Tahoma" w:cs="Tahoma"/>
          <w:sz w:val="18"/>
          <w:szCs w:val="18"/>
        </w:rPr>
        <w:t>Tema:</w:t>
      </w:r>
      <w:r w:rsidR="0083123E" w:rsidRPr="00751C3D">
        <w:rPr>
          <w:rFonts w:ascii="Tahoma" w:hAnsi="Tahoma" w:cs="Tahoma"/>
          <w:sz w:val="18"/>
          <w:szCs w:val="18"/>
        </w:rPr>
        <w:t xml:space="preserve"> </w:t>
      </w:r>
      <w:r w:rsidR="0083123E" w:rsidRPr="00751C3D">
        <w:rPr>
          <w:rFonts w:ascii="Tahoma" w:hAnsi="Tahoma" w:cs="Tahoma"/>
          <w:sz w:val="18"/>
          <w:szCs w:val="18"/>
        </w:rPr>
        <w:tab/>
      </w:r>
    </w:p>
    <w:p w:rsidR="00DE0FDF" w:rsidRPr="00B74E4D" w:rsidRDefault="00DE0FDF" w:rsidP="00B74E4D">
      <w:pPr>
        <w:pStyle w:val="Titre"/>
        <w:spacing w:line="240" w:lineRule="auto"/>
        <w:ind w:left="2835"/>
        <w:jc w:val="both"/>
        <w:rPr>
          <w:rFonts w:ascii="Tahoma" w:hAnsi="Tahoma" w:cs="Tahoma"/>
          <w:b w:val="0"/>
          <w:sz w:val="18"/>
          <w:szCs w:val="18"/>
        </w:rPr>
      </w:pPr>
      <w:r w:rsidRPr="00B74E4D">
        <w:rPr>
          <w:rFonts w:ascii="Tahoma" w:hAnsi="Tahoma" w:cs="Tahoma"/>
          <w:sz w:val="18"/>
          <w:szCs w:val="18"/>
          <w:u w:val="single"/>
        </w:rPr>
        <w:t>Imprescriptibilidad del derecho al incremento pensional</w:t>
      </w:r>
      <w:r w:rsidRPr="00B74E4D">
        <w:rPr>
          <w:rFonts w:ascii="Tahoma" w:hAnsi="Tahoma" w:cs="Tahoma"/>
          <w:sz w:val="18"/>
          <w:szCs w:val="18"/>
        </w:rPr>
        <w:t xml:space="preserve">: </w:t>
      </w:r>
      <w:r w:rsidRPr="00B74E4D">
        <w:rPr>
          <w:rFonts w:ascii="Tahoma" w:hAnsi="Tahoma" w:cs="Tahoma"/>
          <w:b w:val="0"/>
          <w:sz w:val="18"/>
          <w:szCs w:val="18"/>
        </w:rPr>
        <w:t>Esta</w:t>
      </w:r>
      <w:r w:rsidRPr="00B74E4D">
        <w:rPr>
          <w:rFonts w:ascii="Tahoma" w:hAnsi="Tahoma" w:cs="Tahoma"/>
          <w:b w:val="0"/>
          <w:bCs/>
          <w:sz w:val="18"/>
          <w:szCs w:val="18"/>
        </w:rPr>
        <w:t xml:space="preserve"> Magistrada acoge el precedente sentado por la Corte Constitucional y, en adelante, tendrá </w:t>
      </w:r>
      <w:r w:rsidR="00B74E4D" w:rsidRPr="00B74E4D">
        <w:rPr>
          <w:rFonts w:ascii="Tahoma" w:hAnsi="Tahoma" w:cs="Tahoma"/>
          <w:b w:val="0"/>
          <w:bCs/>
          <w:sz w:val="18"/>
          <w:szCs w:val="18"/>
        </w:rPr>
        <w:t>como i</w:t>
      </w:r>
      <w:r w:rsidRPr="00B74E4D">
        <w:rPr>
          <w:rFonts w:ascii="Tahoma" w:hAnsi="Tahoma" w:cs="Tahoma"/>
          <w:b w:val="0"/>
          <w:bCs/>
          <w:sz w:val="18"/>
          <w:szCs w:val="18"/>
        </w:rPr>
        <w:t xml:space="preserve">mprescriptible el derecho a percibir el incremento pensional por persona a cargo, sin perjuicio de que dicho fenómeno extintivo afecte las mesadas pensionales causadas con antelación a los tres años que precedieron la reclamación que instó su reconocimiento. </w:t>
      </w:r>
    </w:p>
    <w:p w:rsidR="00DE0FDF" w:rsidRPr="00B74E4D" w:rsidRDefault="00DE0FDF" w:rsidP="00B74E4D">
      <w:pPr>
        <w:pStyle w:val="Titre"/>
        <w:spacing w:line="240" w:lineRule="auto"/>
        <w:ind w:left="2835"/>
        <w:jc w:val="both"/>
        <w:rPr>
          <w:rFonts w:ascii="Tahoma" w:hAnsi="Tahoma" w:cs="Tahoma"/>
          <w:sz w:val="18"/>
          <w:szCs w:val="18"/>
          <w:u w:val="single"/>
        </w:rPr>
      </w:pPr>
    </w:p>
    <w:p w:rsidR="00DE0FDF" w:rsidRPr="00B74E4D" w:rsidRDefault="00DE0FDF" w:rsidP="00B74E4D">
      <w:pPr>
        <w:pStyle w:val="Titre"/>
        <w:spacing w:line="240" w:lineRule="auto"/>
        <w:ind w:left="2835"/>
        <w:jc w:val="both"/>
        <w:rPr>
          <w:rFonts w:ascii="Tahoma" w:hAnsi="Tahoma" w:cs="Tahoma"/>
          <w:b w:val="0"/>
          <w:bCs/>
          <w:sz w:val="18"/>
          <w:szCs w:val="18"/>
        </w:rPr>
      </w:pPr>
      <w:r w:rsidRPr="00B74E4D">
        <w:rPr>
          <w:rFonts w:ascii="Tahoma" w:hAnsi="Tahoma" w:cs="Tahoma"/>
          <w:sz w:val="18"/>
          <w:szCs w:val="18"/>
          <w:u w:val="single"/>
        </w:rPr>
        <w:t>Incremento pensional:</w:t>
      </w:r>
      <w:r w:rsidRPr="00B74E4D">
        <w:rPr>
          <w:rFonts w:ascii="Tahoma" w:hAnsi="Tahoma" w:cs="Tahoma"/>
          <w:sz w:val="18"/>
          <w:szCs w:val="18"/>
        </w:rPr>
        <w:t xml:space="preserve"> </w:t>
      </w:r>
      <w:r w:rsidRPr="00B74E4D">
        <w:rPr>
          <w:rFonts w:ascii="Tahoma" w:hAnsi="Tahoma" w:cs="Tahoma"/>
          <w:b w:val="0"/>
          <w:sz w:val="18"/>
          <w:szCs w:val="18"/>
        </w:rPr>
        <w:t xml:space="preserve">Por tanto, conforme lo establecido por el artículo 21 del Decreto 758 de 1990, para que surjan a la vida jurídica los incrementos adicionales por el o la cónyuge, es necesario que: i) la pensión de la cual se deriven surja de </w:t>
      </w:r>
      <w:r w:rsidRPr="00B74E4D">
        <w:rPr>
          <w:rFonts w:ascii="Tahoma" w:hAnsi="Tahoma" w:cs="Tahoma"/>
          <w:b w:val="0"/>
          <w:sz w:val="18"/>
          <w:szCs w:val="18"/>
        </w:rPr>
        <w:tab/>
        <w:t>la aplicación del Decreto 758 de 1990; y, ii) que la o el cónyuge no tenga pensión</w:t>
      </w:r>
      <w:r w:rsidR="00B74E4D" w:rsidRPr="00B74E4D">
        <w:rPr>
          <w:rFonts w:ascii="Tahoma" w:hAnsi="Tahoma" w:cs="Tahoma"/>
          <w:b w:val="0"/>
          <w:sz w:val="18"/>
          <w:szCs w:val="18"/>
        </w:rPr>
        <w:t xml:space="preserve"> </w:t>
      </w:r>
      <w:r w:rsidRPr="00B74E4D">
        <w:rPr>
          <w:rFonts w:ascii="Tahoma" w:hAnsi="Tahoma" w:cs="Tahoma"/>
          <w:b w:val="0"/>
          <w:sz w:val="18"/>
          <w:szCs w:val="18"/>
        </w:rPr>
        <w:t>propia y dependa económicamente del pensionado.</w:t>
      </w:r>
    </w:p>
    <w:p w:rsidR="007145A4" w:rsidRPr="00DE0FDF" w:rsidRDefault="007145A4" w:rsidP="00DE0FDF">
      <w:pPr>
        <w:pStyle w:val="Titre"/>
        <w:spacing w:line="240" w:lineRule="auto"/>
        <w:ind w:left="2805" w:hanging="2805"/>
        <w:jc w:val="both"/>
        <w:rPr>
          <w:sz w:val="18"/>
          <w:szCs w:val="18"/>
          <w:lang w:eastAsia="es-MX"/>
        </w:rPr>
      </w:pPr>
    </w:p>
    <w:p w:rsidR="007145A4" w:rsidRPr="00C76801" w:rsidRDefault="00DE0FDF" w:rsidP="002643DF">
      <w:pPr>
        <w:rPr>
          <w:lang w:val="es-CO" w:eastAsia="es-MX"/>
        </w:rPr>
      </w:pPr>
      <w:r>
        <w:rPr>
          <w:lang w:val="es-CO" w:eastAsia="es-MX"/>
        </w:rPr>
        <w:tab/>
      </w:r>
    </w:p>
    <w:p w:rsidR="00782D3A" w:rsidRPr="000C52F6" w:rsidRDefault="00F0306B" w:rsidP="000C52F6">
      <w:pPr>
        <w:pStyle w:val="Titre1"/>
        <w:widowControl/>
        <w:autoSpaceDE/>
        <w:autoSpaceDN/>
        <w:adjustRightInd/>
        <w:rPr>
          <w:rFonts w:ascii="Tahoma" w:hAnsi="Tahoma" w:cs="Tahoma"/>
          <w:bCs/>
          <w:sz w:val="20"/>
          <w:szCs w:val="20"/>
          <w:u w:val="single"/>
        </w:rPr>
      </w:pPr>
      <w:r w:rsidRPr="000C52F6">
        <w:rPr>
          <w:rFonts w:ascii="Tahoma" w:hAnsi="Tahoma" w:cs="Tahoma"/>
          <w:bCs/>
          <w:sz w:val="20"/>
          <w:szCs w:val="20"/>
          <w:u w:val="single"/>
        </w:rPr>
        <w:t>SALVAMENTO</w:t>
      </w:r>
      <w:r w:rsidR="000A681C" w:rsidRPr="000C52F6">
        <w:rPr>
          <w:rFonts w:ascii="Tahoma" w:hAnsi="Tahoma" w:cs="Tahoma"/>
          <w:bCs/>
          <w:sz w:val="20"/>
          <w:szCs w:val="20"/>
          <w:u w:val="single"/>
        </w:rPr>
        <w:t xml:space="preserve"> </w:t>
      </w:r>
      <w:r w:rsidR="00782D3A" w:rsidRPr="000C52F6">
        <w:rPr>
          <w:rFonts w:ascii="Tahoma" w:hAnsi="Tahoma" w:cs="Tahoma"/>
          <w:bCs/>
          <w:sz w:val="20"/>
          <w:szCs w:val="20"/>
          <w:u w:val="single"/>
        </w:rPr>
        <w:t>DE VOTO</w:t>
      </w:r>
    </w:p>
    <w:p w:rsidR="00782D3A" w:rsidRPr="000C52F6" w:rsidRDefault="00782D3A" w:rsidP="000C52F6">
      <w:pPr>
        <w:jc w:val="both"/>
        <w:rPr>
          <w:rFonts w:ascii="Tahoma" w:hAnsi="Tahoma" w:cs="Tahoma"/>
          <w:b/>
          <w:bCs/>
          <w:sz w:val="20"/>
          <w:szCs w:val="20"/>
        </w:rPr>
      </w:pPr>
    </w:p>
    <w:p w:rsidR="00A717A9" w:rsidRPr="000C52F6" w:rsidRDefault="004C7FD6" w:rsidP="000C52F6">
      <w:pPr>
        <w:ind w:firstLine="851"/>
        <w:jc w:val="both"/>
        <w:rPr>
          <w:rFonts w:ascii="Tahoma" w:hAnsi="Tahoma" w:cs="Tahoma"/>
          <w:sz w:val="20"/>
          <w:szCs w:val="20"/>
        </w:rPr>
      </w:pPr>
      <w:r w:rsidRPr="000C52F6">
        <w:rPr>
          <w:rFonts w:ascii="Tahoma" w:hAnsi="Tahoma" w:cs="Tahoma"/>
          <w:sz w:val="20"/>
          <w:szCs w:val="20"/>
        </w:rPr>
        <w:t xml:space="preserve">Con mi acostumbrado respeto, </w:t>
      </w:r>
      <w:r w:rsidR="009A54E6" w:rsidRPr="000C52F6">
        <w:rPr>
          <w:rFonts w:ascii="Tahoma" w:hAnsi="Tahoma" w:cs="Tahoma"/>
          <w:sz w:val="20"/>
          <w:szCs w:val="20"/>
        </w:rPr>
        <w:t>manifiesto mi inconformidad</w:t>
      </w:r>
      <w:r w:rsidRPr="000C52F6">
        <w:rPr>
          <w:rFonts w:ascii="Tahoma" w:hAnsi="Tahoma" w:cs="Tahoma"/>
          <w:sz w:val="20"/>
          <w:szCs w:val="20"/>
        </w:rPr>
        <w:t xml:space="preserve"> frente </w:t>
      </w:r>
      <w:r w:rsidR="0012673F" w:rsidRPr="000C52F6">
        <w:rPr>
          <w:rFonts w:ascii="Tahoma" w:hAnsi="Tahoma" w:cs="Tahoma"/>
          <w:sz w:val="20"/>
          <w:szCs w:val="20"/>
        </w:rPr>
        <w:t xml:space="preserve">a la </w:t>
      </w:r>
      <w:r w:rsidR="00F44F7C" w:rsidRPr="000C52F6">
        <w:rPr>
          <w:rFonts w:ascii="Tahoma" w:hAnsi="Tahoma" w:cs="Tahoma"/>
          <w:sz w:val="20"/>
          <w:szCs w:val="20"/>
        </w:rPr>
        <w:t>sentencia mayoritaria</w:t>
      </w:r>
      <w:r w:rsidR="009A54E6" w:rsidRPr="000C52F6">
        <w:rPr>
          <w:rFonts w:ascii="Tahoma" w:hAnsi="Tahoma" w:cs="Tahoma"/>
          <w:sz w:val="20"/>
          <w:szCs w:val="20"/>
        </w:rPr>
        <w:t xml:space="preserve">, </w:t>
      </w:r>
      <w:r w:rsidR="0083571A" w:rsidRPr="000C52F6">
        <w:rPr>
          <w:rFonts w:ascii="Tahoma" w:hAnsi="Tahoma" w:cs="Tahoma"/>
          <w:sz w:val="20"/>
          <w:szCs w:val="20"/>
        </w:rPr>
        <w:t>por cua</w:t>
      </w:r>
      <w:r w:rsidR="00D02A91" w:rsidRPr="000C52F6">
        <w:rPr>
          <w:rFonts w:ascii="Tahoma" w:hAnsi="Tahoma" w:cs="Tahoma"/>
          <w:sz w:val="20"/>
          <w:szCs w:val="20"/>
        </w:rPr>
        <w:t xml:space="preserve">nto </w:t>
      </w:r>
      <w:r w:rsidR="00497A9F" w:rsidRPr="000C52F6">
        <w:rPr>
          <w:rFonts w:ascii="Tahoma" w:hAnsi="Tahoma" w:cs="Tahoma"/>
          <w:sz w:val="20"/>
          <w:szCs w:val="20"/>
        </w:rPr>
        <w:t xml:space="preserve">considero que en el presente caso </w:t>
      </w:r>
      <w:r w:rsidR="0012673F" w:rsidRPr="000C52F6">
        <w:rPr>
          <w:rFonts w:ascii="Tahoma" w:hAnsi="Tahoma" w:cs="Tahoma"/>
          <w:sz w:val="20"/>
          <w:szCs w:val="20"/>
        </w:rPr>
        <w:t>h</w:t>
      </w:r>
      <w:r w:rsidR="00497A9F" w:rsidRPr="000C52F6">
        <w:rPr>
          <w:rFonts w:ascii="Tahoma" w:hAnsi="Tahoma" w:cs="Tahoma"/>
          <w:sz w:val="20"/>
          <w:szCs w:val="20"/>
        </w:rPr>
        <w:t xml:space="preserve">abía lugar a </w:t>
      </w:r>
      <w:r w:rsidR="00080EDF" w:rsidRPr="000C52F6">
        <w:rPr>
          <w:rFonts w:ascii="Tahoma" w:hAnsi="Tahoma" w:cs="Tahoma"/>
          <w:sz w:val="20"/>
          <w:szCs w:val="20"/>
        </w:rPr>
        <w:t xml:space="preserve">reconocer el incremento pensional reclamado </w:t>
      </w:r>
      <w:r w:rsidR="00D02A91" w:rsidRPr="000C52F6">
        <w:rPr>
          <w:rFonts w:ascii="Tahoma" w:hAnsi="Tahoma" w:cs="Tahoma"/>
          <w:sz w:val="20"/>
          <w:szCs w:val="20"/>
        </w:rPr>
        <w:t>por las siguientes razones</w:t>
      </w:r>
      <w:r w:rsidR="00497A9F" w:rsidRPr="000C52F6">
        <w:rPr>
          <w:rFonts w:ascii="Tahoma" w:hAnsi="Tahoma" w:cs="Tahoma"/>
          <w:sz w:val="20"/>
          <w:szCs w:val="20"/>
        </w:rPr>
        <w:t xml:space="preserve">: </w:t>
      </w:r>
    </w:p>
    <w:p w:rsidR="0012673F" w:rsidRPr="000C52F6" w:rsidRDefault="0012673F" w:rsidP="000C52F6">
      <w:pPr>
        <w:ind w:firstLine="851"/>
        <w:jc w:val="both"/>
        <w:rPr>
          <w:rFonts w:ascii="Tahoma" w:hAnsi="Tahoma" w:cs="Tahoma"/>
          <w:sz w:val="20"/>
          <w:szCs w:val="20"/>
        </w:rPr>
      </w:pPr>
    </w:p>
    <w:p w:rsidR="00DE0FDF" w:rsidRPr="000C52F6" w:rsidRDefault="00DE0FDF" w:rsidP="000C52F6">
      <w:pPr>
        <w:pStyle w:val="Paragraphedeliste"/>
        <w:numPr>
          <w:ilvl w:val="0"/>
          <w:numId w:val="23"/>
        </w:numPr>
        <w:tabs>
          <w:tab w:val="left" w:pos="993"/>
        </w:tabs>
        <w:ind w:hanging="11"/>
        <w:jc w:val="both"/>
        <w:rPr>
          <w:rFonts w:ascii="Tahoma" w:hAnsi="Tahoma" w:cs="Tahoma"/>
          <w:b/>
          <w:sz w:val="20"/>
          <w:szCs w:val="20"/>
        </w:rPr>
      </w:pPr>
      <w:r w:rsidRPr="000C52F6">
        <w:rPr>
          <w:rFonts w:ascii="Tahoma" w:hAnsi="Tahoma" w:cs="Tahoma"/>
          <w:b/>
          <w:sz w:val="20"/>
          <w:szCs w:val="20"/>
        </w:rPr>
        <w:t>De los incrementos pensionales</w:t>
      </w:r>
    </w:p>
    <w:p w:rsidR="00DE0FDF" w:rsidRPr="000C52F6" w:rsidRDefault="00DE0FDF" w:rsidP="000C52F6">
      <w:pPr>
        <w:pStyle w:val="Sansinterligne"/>
        <w:ind w:firstLine="709"/>
        <w:rPr>
          <w:sz w:val="20"/>
          <w:szCs w:val="20"/>
        </w:rPr>
      </w:pPr>
    </w:p>
    <w:p w:rsidR="00DE0FDF" w:rsidRPr="000C52F6" w:rsidRDefault="00DE0FDF" w:rsidP="000C52F6">
      <w:pPr>
        <w:tabs>
          <w:tab w:val="left" w:pos="748"/>
        </w:tabs>
        <w:ind w:firstLine="709"/>
        <w:jc w:val="both"/>
        <w:rPr>
          <w:rFonts w:ascii="Tahoma" w:hAnsi="Tahoma" w:cs="Tahoma"/>
          <w:bCs/>
          <w:sz w:val="20"/>
          <w:szCs w:val="20"/>
        </w:rPr>
      </w:pPr>
      <w:r w:rsidRPr="000C52F6">
        <w:rPr>
          <w:rFonts w:ascii="Tahoma" w:hAnsi="Tahoma" w:cs="Tahoma"/>
          <w:bCs/>
          <w:sz w:val="20"/>
          <w:szCs w:val="20"/>
        </w:rPr>
        <w:t xml:space="preserve">Esta Corporación, desde la sentencia del 21 de mayo de 2014, Radicado abreviado No. 2012-00673-01, </w:t>
      </w:r>
      <w:proofErr w:type="spellStart"/>
      <w:r w:rsidRPr="000C52F6">
        <w:rPr>
          <w:rFonts w:ascii="Tahoma" w:hAnsi="Tahoma" w:cs="Tahoma"/>
          <w:bCs/>
          <w:sz w:val="20"/>
          <w:szCs w:val="20"/>
        </w:rPr>
        <w:t>M.P</w:t>
      </w:r>
      <w:proofErr w:type="spellEnd"/>
      <w:r w:rsidRPr="000C52F6">
        <w:rPr>
          <w:rFonts w:ascii="Tahoma" w:hAnsi="Tahoma" w:cs="Tahoma"/>
          <w:bCs/>
          <w:sz w:val="20"/>
          <w:szCs w:val="20"/>
        </w:rPr>
        <w:t xml:space="preserve">. Dr. Julio César Salazar Muñoz, decidió acoger la posición adoptada por la Sala de Casación Laboral de la Corte Suprema de Justicia en sede de tutela -sentencias del 9 de octubre de 2013 y 23 de abril de 2014, </w:t>
      </w:r>
      <w:r w:rsidR="0086650B" w:rsidRPr="000C52F6">
        <w:rPr>
          <w:rFonts w:ascii="Tahoma" w:hAnsi="Tahoma" w:cs="Tahoma"/>
          <w:bCs/>
          <w:sz w:val="20"/>
          <w:szCs w:val="20"/>
        </w:rPr>
        <w:t xml:space="preserve">radicados </w:t>
      </w:r>
      <w:r w:rsidRPr="000C52F6">
        <w:rPr>
          <w:rFonts w:ascii="Tahoma" w:hAnsi="Tahoma" w:cs="Tahoma"/>
          <w:bCs/>
          <w:sz w:val="20"/>
          <w:szCs w:val="20"/>
        </w:rPr>
        <w:t>No</w:t>
      </w:r>
      <w:r w:rsidR="0086650B" w:rsidRPr="000C52F6">
        <w:rPr>
          <w:rFonts w:ascii="Tahoma" w:hAnsi="Tahoma" w:cs="Tahoma"/>
          <w:bCs/>
          <w:sz w:val="20"/>
          <w:szCs w:val="20"/>
        </w:rPr>
        <w:t>s.</w:t>
      </w:r>
      <w:r w:rsidRPr="000C52F6">
        <w:rPr>
          <w:rFonts w:ascii="Tahoma" w:hAnsi="Tahoma" w:cs="Tahoma"/>
          <w:bCs/>
          <w:sz w:val="20"/>
          <w:szCs w:val="20"/>
        </w:rPr>
        <w:t xml:space="preserve"> 33938 y 36036, </w:t>
      </w:r>
      <w:r w:rsidR="00534531" w:rsidRPr="000C52F6">
        <w:rPr>
          <w:rFonts w:ascii="Tahoma" w:hAnsi="Tahoma" w:cs="Tahoma"/>
          <w:bCs/>
          <w:sz w:val="20"/>
          <w:szCs w:val="20"/>
        </w:rPr>
        <w:t xml:space="preserve">Magistrados </w:t>
      </w:r>
      <w:r w:rsidRPr="000C52F6">
        <w:rPr>
          <w:rFonts w:ascii="Tahoma" w:hAnsi="Tahoma" w:cs="Tahoma"/>
          <w:bCs/>
          <w:sz w:val="20"/>
          <w:szCs w:val="20"/>
        </w:rPr>
        <w:t xml:space="preserve">ponentes doctores Luis Gabriel Miranda </w:t>
      </w:r>
      <w:proofErr w:type="spellStart"/>
      <w:r w:rsidRPr="000C52F6">
        <w:rPr>
          <w:rFonts w:ascii="Tahoma" w:hAnsi="Tahoma" w:cs="Tahoma"/>
          <w:bCs/>
          <w:sz w:val="20"/>
          <w:szCs w:val="20"/>
        </w:rPr>
        <w:t>Buelvas</w:t>
      </w:r>
      <w:proofErr w:type="spellEnd"/>
      <w:r w:rsidRPr="000C52F6">
        <w:rPr>
          <w:rFonts w:ascii="Tahoma" w:hAnsi="Tahoma" w:cs="Tahoma"/>
          <w:bCs/>
          <w:sz w:val="20"/>
          <w:szCs w:val="20"/>
        </w:rPr>
        <w:t xml:space="preserve"> y Clara Cecilia Dueñas Quevedo, respectivamente-, en relación con el reconocimiento de los incrementos pensionales por personas a cargo.</w:t>
      </w:r>
      <w:r w:rsidR="0086650B" w:rsidRPr="000C52F6">
        <w:rPr>
          <w:rFonts w:ascii="Tahoma" w:hAnsi="Tahoma" w:cs="Tahoma"/>
          <w:bCs/>
          <w:sz w:val="20"/>
          <w:szCs w:val="20"/>
        </w:rPr>
        <w:t xml:space="preserve"> Según </w:t>
      </w:r>
      <w:r w:rsidRPr="000C52F6">
        <w:rPr>
          <w:rFonts w:ascii="Tahoma" w:hAnsi="Tahoma" w:cs="Tahoma"/>
          <w:bCs/>
          <w:sz w:val="20"/>
          <w:szCs w:val="20"/>
        </w:rPr>
        <w:t>lo dispuesto por dicho alto tribunal, los incrementos pensionales por cónyuge o compañero o compañera permanente e hijos menores a cargo, contemplados en el artículo 21 del Decreto 758 de 1990, no fueron derogados tácitamente con la entrada en vigencia de la Ley 100 de 1993 y se encuentran vigentes para las personas que accedan a la pensión con fundamento en el Decreto 758 de 1990, incluso en virtud del régimen de transición.</w:t>
      </w:r>
    </w:p>
    <w:p w:rsidR="00DE0FDF" w:rsidRPr="000C52F6" w:rsidRDefault="00DE0FDF" w:rsidP="000C52F6">
      <w:pPr>
        <w:pStyle w:val="Sansinterligne"/>
        <w:rPr>
          <w:sz w:val="20"/>
          <w:szCs w:val="20"/>
        </w:rPr>
      </w:pPr>
    </w:p>
    <w:p w:rsidR="00DE0FDF" w:rsidRPr="000C52F6" w:rsidRDefault="00DE0FDF" w:rsidP="000C52F6">
      <w:pPr>
        <w:tabs>
          <w:tab w:val="left" w:pos="748"/>
        </w:tabs>
        <w:ind w:firstLine="709"/>
        <w:jc w:val="both"/>
        <w:rPr>
          <w:rFonts w:ascii="Tahoma" w:hAnsi="Tahoma" w:cs="Tahoma"/>
          <w:bCs/>
          <w:sz w:val="20"/>
          <w:szCs w:val="20"/>
        </w:rPr>
      </w:pPr>
      <w:r w:rsidRPr="000C52F6">
        <w:rPr>
          <w:rFonts w:ascii="Tahoma" w:hAnsi="Tahoma" w:cs="Tahoma"/>
          <w:bCs/>
          <w:sz w:val="20"/>
          <w:szCs w:val="20"/>
        </w:rPr>
        <w:t>Por tanto, conforme lo establecido por el artículo 21 del Decreto 758 de 1990, para que surjan a la vida jurídica los incrementos adicionales por el o la cónyuge, es necesario que: i) la pensión de la cual se deriven surja de la aplicación del Decreto 758 de 1990; y, ii) que la o el cónyuge no tenga pensión propia y dependa económicamente del pensionado.</w:t>
      </w:r>
    </w:p>
    <w:p w:rsidR="00DE0FDF" w:rsidRPr="000C52F6" w:rsidRDefault="00DE0FDF" w:rsidP="000C52F6">
      <w:pPr>
        <w:pStyle w:val="Corpsdetexte"/>
        <w:ind w:left="1080" w:right="51"/>
        <w:rPr>
          <w:rFonts w:ascii="Tahoma" w:hAnsi="Tahoma" w:cs="Tahoma"/>
          <w:b/>
          <w:sz w:val="20"/>
          <w:szCs w:val="20"/>
        </w:rPr>
      </w:pPr>
    </w:p>
    <w:p w:rsidR="00DE0FDF" w:rsidRPr="000C52F6" w:rsidRDefault="00DE0FDF" w:rsidP="000C52F6">
      <w:pPr>
        <w:pStyle w:val="Corpsdetexte"/>
        <w:numPr>
          <w:ilvl w:val="1"/>
          <w:numId w:val="21"/>
        </w:numPr>
        <w:autoSpaceDE/>
        <w:autoSpaceDN/>
        <w:adjustRightInd/>
        <w:ind w:right="51" w:hanging="371"/>
        <w:rPr>
          <w:rFonts w:ascii="Tahoma" w:hAnsi="Tahoma" w:cs="Tahoma"/>
          <w:b/>
          <w:sz w:val="20"/>
          <w:szCs w:val="20"/>
        </w:rPr>
      </w:pPr>
      <w:r w:rsidRPr="000C52F6">
        <w:rPr>
          <w:rFonts w:ascii="Tahoma" w:hAnsi="Tahoma" w:cs="Tahoma"/>
          <w:b/>
          <w:sz w:val="20"/>
          <w:szCs w:val="20"/>
        </w:rPr>
        <w:t>De la imprescriptibilidad del derecho al incremento pensional</w:t>
      </w:r>
    </w:p>
    <w:p w:rsidR="00DE0FDF" w:rsidRPr="000C52F6" w:rsidRDefault="00DE0FDF" w:rsidP="000C52F6">
      <w:pPr>
        <w:pStyle w:val="Corpsdetexte"/>
        <w:ind w:left="1080" w:right="51"/>
        <w:rPr>
          <w:rFonts w:ascii="Tahoma" w:hAnsi="Tahoma" w:cs="Tahoma"/>
          <w:b/>
          <w:sz w:val="20"/>
          <w:szCs w:val="20"/>
        </w:rPr>
      </w:pPr>
    </w:p>
    <w:p w:rsidR="00DE0FDF" w:rsidRPr="000C52F6" w:rsidRDefault="00DE0FDF" w:rsidP="000C52F6">
      <w:pPr>
        <w:tabs>
          <w:tab w:val="left" w:pos="748"/>
        </w:tabs>
        <w:ind w:firstLine="709"/>
        <w:jc w:val="both"/>
        <w:rPr>
          <w:rFonts w:ascii="Tahoma" w:hAnsi="Tahoma" w:cs="Tahoma"/>
          <w:sz w:val="20"/>
          <w:szCs w:val="20"/>
        </w:rPr>
      </w:pPr>
      <w:r w:rsidRPr="000C52F6">
        <w:rPr>
          <w:rFonts w:ascii="Tahoma" w:hAnsi="Tahoma" w:cs="Tahoma"/>
          <w:sz w:val="20"/>
          <w:szCs w:val="20"/>
        </w:rPr>
        <w:t xml:space="preserve">Esta Sala </w:t>
      </w:r>
      <w:r w:rsidRPr="000C52F6">
        <w:rPr>
          <w:rFonts w:ascii="Tahoma" w:hAnsi="Tahoma" w:cs="Tahoma"/>
          <w:bCs/>
          <w:sz w:val="20"/>
          <w:szCs w:val="20"/>
        </w:rPr>
        <w:t>venía</w:t>
      </w:r>
      <w:r w:rsidRPr="000C52F6">
        <w:rPr>
          <w:rFonts w:ascii="Tahoma" w:hAnsi="Tahoma" w:cs="Tahoma"/>
          <w:sz w:val="20"/>
          <w:szCs w:val="20"/>
        </w:rPr>
        <w:t xml:space="preserve"> sosteniendo de tiempo atrás que la persona pensionada bajo los parámetros del Acuerdo 049 de 1990 contaba con tres años a partir del reconocimiento de la pensión para solicitar el incremento pensional por persona a cargo, so pena de que su derecho a percibirlo prescribiera.</w:t>
      </w:r>
    </w:p>
    <w:p w:rsidR="00DE0FDF" w:rsidRPr="000C52F6" w:rsidRDefault="00DE0FDF" w:rsidP="000C52F6">
      <w:pPr>
        <w:pStyle w:val="Sansinterligne"/>
        <w:rPr>
          <w:sz w:val="20"/>
          <w:szCs w:val="20"/>
        </w:rPr>
      </w:pPr>
    </w:p>
    <w:p w:rsidR="00DE0FDF" w:rsidRPr="000C52F6" w:rsidRDefault="00DE0FDF" w:rsidP="000C52F6">
      <w:pPr>
        <w:tabs>
          <w:tab w:val="left" w:pos="748"/>
        </w:tabs>
        <w:ind w:firstLine="709"/>
        <w:jc w:val="both"/>
        <w:rPr>
          <w:rFonts w:ascii="Tahoma" w:hAnsi="Tahoma" w:cs="Tahoma"/>
          <w:sz w:val="20"/>
          <w:szCs w:val="20"/>
        </w:rPr>
      </w:pPr>
      <w:r w:rsidRPr="000C52F6">
        <w:rPr>
          <w:rFonts w:ascii="Tahoma" w:hAnsi="Tahoma" w:cs="Tahoma"/>
          <w:sz w:val="20"/>
          <w:szCs w:val="20"/>
        </w:rPr>
        <w:t xml:space="preserve">No obstante, la Corte Constitucional en la sentencia T-369 de 2015, al estudiar la </w:t>
      </w:r>
      <w:proofErr w:type="spellStart"/>
      <w:r w:rsidRPr="000C52F6">
        <w:rPr>
          <w:rFonts w:ascii="Tahoma" w:hAnsi="Tahoma" w:cs="Tahoma"/>
          <w:sz w:val="20"/>
          <w:szCs w:val="20"/>
        </w:rPr>
        <w:t>prescriptibilidad</w:t>
      </w:r>
      <w:proofErr w:type="spellEnd"/>
      <w:r w:rsidRPr="000C52F6">
        <w:rPr>
          <w:rFonts w:ascii="Tahoma" w:hAnsi="Tahoma" w:cs="Tahoma"/>
          <w:sz w:val="20"/>
          <w:szCs w:val="20"/>
        </w:rPr>
        <w:t xml:space="preserve"> del incremento pensional, realizó un recuento de las posturas que sobre el reconocimiento del mismo se han mantenido por la jurisprudencia nacional, encontrando necesario armonizar ambas posturas de acuerdo al principio de favorabilidad, rector en materia laboral. De esta manera, se pronunció el Alto Tribunal:</w:t>
      </w:r>
    </w:p>
    <w:p w:rsidR="00DE0FDF" w:rsidRPr="000C52F6" w:rsidRDefault="00DE0FDF" w:rsidP="000C52F6">
      <w:pPr>
        <w:pStyle w:val="Sansinterligne"/>
        <w:rPr>
          <w:sz w:val="20"/>
          <w:szCs w:val="20"/>
        </w:rPr>
      </w:pPr>
    </w:p>
    <w:p w:rsidR="00DE0FDF" w:rsidRPr="000C52F6" w:rsidRDefault="00DE0FDF" w:rsidP="000C52F6">
      <w:pPr>
        <w:tabs>
          <w:tab w:val="left" w:pos="748"/>
        </w:tabs>
        <w:ind w:left="709"/>
        <w:jc w:val="both"/>
        <w:rPr>
          <w:rFonts w:ascii="Arial Narrow" w:hAnsi="Arial Narrow" w:cs="Tahoma"/>
          <w:i/>
          <w:sz w:val="20"/>
          <w:szCs w:val="20"/>
        </w:rPr>
      </w:pPr>
      <w:r w:rsidRPr="000C52F6">
        <w:rPr>
          <w:rFonts w:ascii="Arial Narrow" w:hAnsi="Arial Narrow" w:cs="Tahoma"/>
          <w:i/>
          <w:sz w:val="20"/>
          <w:szCs w:val="20"/>
        </w:rPr>
        <w:t>“La Corte Constitucional se ha pronunciado respecto del reconocimiento y pago del incremento a la pensión mínima del 14% por cónyuge o compañero (a) permanente a cargo, de dos maneras, una negando dicho reconocimiento al considerar que el incremento señalado no hace parte integrante de la pensión, por lo tanto no sigue la misma suerte de ella, siendo susceptible de prescripción cuando no se solicita dentro de los tres (3) años siguientes al reconocimiento de la pensión, posición que coincide con la interpretación que, de manera reiterada, ha realizado la Corte Suprema de Justicia; otra, que consideró que el incremento por persona a cargo es un elemento de la pensión, que sigue la suerte de las causas que le dieron origen, por lo tanto al ser la pensión imprescriptible, dicha prestación también lo es, siendo afectadas por ese fenómeno sólo las mesadas que no se reclamaron antes de los tres años previos al reconocimiento de dicho incremento.”</w:t>
      </w:r>
    </w:p>
    <w:p w:rsidR="00DE0FDF" w:rsidRPr="000C52F6" w:rsidRDefault="00DE0FDF" w:rsidP="000C52F6">
      <w:pPr>
        <w:tabs>
          <w:tab w:val="left" w:pos="748"/>
        </w:tabs>
        <w:ind w:left="709"/>
        <w:jc w:val="both"/>
        <w:rPr>
          <w:rFonts w:ascii="Arial Narrow" w:hAnsi="Arial Narrow" w:cs="Tahoma"/>
          <w:i/>
          <w:sz w:val="20"/>
          <w:szCs w:val="20"/>
        </w:rPr>
      </w:pPr>
    </w:p>
    <w:p w:rsidR="00DE0FDF" w:rsidRPr="000C52F6" w:rsidRDefault="00DE0FDF" w:rsidP="000C52F6">
      <w:pPr>
        <w:tabs>
          <w:tab w:val="left" w:pos="748"/>
        </w:tabs>
        <w:ind w:firstLine="709"/>
        <w:jc w:val="both"/>
        <w:rPr>
          <w:rFonts w:ascii="Tahoma" w:hAnsi="Tahoma" w:cs="Tahoma"/>
          <w:sz w:val="20"/>
          <w:szCs w:val="20"/>
        </w:rPr>
      </w:pPr>
      <w:r w:rsidRPr="000C52F6">
        <w:rPr>
          <w:rFonts w:ascii="Tahoma" w:hAnsi="Tahoma" w:cs="Tahoma"/>
          <w:sz w:val="20"/>
          <w:szCs w:val="20"/>
        </w:rPr>
        <w:t>Como sustento de su decisión de apartarse de la interpretación sostenida por el órgano de cierre de la jurisdicción ordinaria, y así tener por imprescriptible el derecho al incremento pensional, afirmó:</w:t>
      </w:r>
    </w:p>
    <w:p w:rsidR="00DE0FDF" w:rsidRPr="000C52F6" w:rsidRDefault="00DE0FDF" w:rsidP="000C52F6">
      <w:pPr>
        <w:tabs>
          <w:tab w:val="left" w:pos="748"/>
        </w:tabs>
        <w:ind w:firstLine="709"/>
        <w:jc w:val="both"/>
        <w:rPr>
          <w:rFonts w:ascii="Tahoma" w:hAnsi="Tahoma" w:cs="Tahoma"/>
          <w:sz w:val="20"/>
          <w:szCs w:val="20"/>
        </w:rPr>
      </w:pPr>
    </w:p>
    <w:p w:rsidR="00DE0FDF" w:rsidRPr="000C52F6" w:rsidRDefault="00DE0FDF" w:rsidP="000C52F6">
      <w:pPr>
        <w:tabs>
          <w:tab w:val="left" w:pos="748"/>
        </w:tabs>
        <w:ind w:left="709"/>
        <w:jc w:val="both"/>
        <w:rPr>
          <w:rFonts w:ascii="Arial Narrow" w:hAnsi="Arial Narrow" w:cs="Tahoma"/>
          <w:i/>
          <w:sz w:val="20"/>
          <w:szCs w:val="20"/>
        </w:rPr>
      </w:pPr>
      <w:r w:rsidRPr="000C52F6">
        <w:rPr>
          <w:rFonts w:ascii="Arial Narrow" w:hAnsi="Arial Narrow" w:cs="Tahoma"/>
          <w:i/>
          <w:sz w:val="20"/>
          <w:szCs w:val="20"/>
        </w:rPr>
        <w:t xml:space="preserve">“En suma, según esta última posición, los incrementos pensionales referidos constituyen una prerrogativa, aplicada a la pensión mínima legal, a la cual se accede cuando el cónyuge o compañero (a) permanente del beneficiario depende de este y no disfruta de pensión alguna. Adicionalmente, el derecho a tal incremento subsiste mientras perduren las causas que le dieron origen, con lo cual se entiende que el mismo puede ser reclamado en la medida en que persistan las condiciones que a él dieron lugar, por lo cual tal prerrogativa no se vería afectada por el fenómeno de la prescripción. </w:t>
      </w:r>
    </w:p>
    <w:p w:rsidR="00DE0FDF" w:rsidRPr="000C52F6" w:rsidRDefault="00DE0FDF" w:rsidP="000C52F6">
      <w:pPr>
        <w:tabs>
          <w:tab w:val="left" w:pos="748"/>
        </w:tabs>
        <w:ind w:left="709"/>
        <w:jc w:val="both"/>
        <w:rPr>
          <w:rFonts w:ascii="Arial Narrow" w:hAnsi="Arial Narrow" w:cs="Tahoma"/>
          <w:i/>
          <w:sz w:val="20"/>
          <w:szCs w:val="20"/>
        </w:rPr>
      </w:pPr>
    </w:p>
    <w:p w:rsidR="00DE0FDF" w:rsidRPr="000C52F6" w:rsidRDefault="00DE0FDF" w:rsidP="000C52F6">
      <w:pPr>
        <w:tabs>
          <w:tab w:val="left" w:pos="748"/>
        </w:tabs>
        <w:ind w:left="709"/>
        <w:jc w:val="both"/>
        <w:rPr>
          <w:rFonts w:ascii="Arial Narrow" w:hAnsi="Arial Narrow" w:cs="Tahoma"/>
          <w:i/>
          <w:sz w:val="20"/>
          <w:szCs w:val="20"/>
        </w:rPr>
      </w:pPr>
      <w:r w:rsidRPr="000C52F6">
        <w:rPr>
          <w:rFonts w:ascii="Arial Narrow" w:hAnsi="Arial Narrow" w:cs="Tahoma"/>
          <w:i/>
          <w:sz w:val="20"/>
          <w:szCs w:val="20"/>
        </w:rPr>
        <w:t xml:space="preserve">Así, esta Sala considera que, existiendo dos posibles interpretaciones del artículo 22 del Acuerdo 049 de 1990, la que mejor realiza los derechos fundamentales del actor es aquella aplicada en la Sentencia T- 217 de 2013  y posteriormente reiterada en la Sentencia T-831 de 2014 , que resulta más favorable al peticionario, por cuanto en esas oportunidades la Corte consideró que el derecho en mención no se encuentra sometido a la regla de prescripción de las acreencias laborales de tres (3) años. </w:t>
      </w:r>
    </w:p>
    <w:p w:rsidR="00DE0FDF" w:rsidRPr="000C52F6" w:rsidRDefault="00DE0FDF" w:rsidP="000C52F6">
      <w:pPr>
        <w:tabs>
          <w:tab w:val="left" w:pos="748"/>
        </w:tabs>
        <w:ind w:left="709"/>
        <w:jc w:val="both"/>
        <w:rPr>
          <w:rFonts w:ascii="Arial Narrow" w:hAnsi="Arial Narrow" w:cs="Tahoma"/>
          <w:i/>
          <w:sz w:val="20"/>
          <w:szCs w:val="20"/>
        </w:rPr>
      </w:pPr>
    </w:p>
    <w:p w:rsidR="00DE0FDF" w:rsidRPr="000C52F6" w:rsidRDefault="00DE0FDF" w:rsidP="000C52F6">
      <w:pPr>
        <w:tabs>
          <w:tab w:val="left" w:pos="748"/>
        </w:tabs>
        <w:ind w:left="709"/>
        <w:jc w:val="both"/>
        <w:rPr>
          <w:rFonts w:ascii="Arial Narrow" w:hAnsi="Arial Narrow" w:cs="Tahoma"/>
          <w:i/>
          <w:sz w:val="20"/>
          <w:szCs w:val="20"/>
        </w:rPr>
      </w:pPr>
      <w:r w:rsidRPr="000C52F6">
        <w:rPr>
          <w:rFonts w:ascii="Arial Narrow" w:hAnsi="Arial Narrow" w:cs="Tahoma"/>
          <w:i/>
          <w:sz w:val="20"/>
          <w:szCs w:val="20"/>
        </w:rPr>
        <w:t>En efecto, en ninguna de las normas citadas, que regulan el incremento bajo estudio, se establece que dicha regla deba ser aplicada al incremento en mención, pues al definirse la naturaleza del mismo, sólo se señala que el incremento del 14% sobre la mesada mínima por cónyuge a cargo subsiste mientras perduren las causas que le dieron origen. De tal forma, lo considerado en dichos fallos respecto de la imprescriptibilidad del derecho en comento se encuentra en consonancia con el principio de favorabilidad, razón por la cual concluir que tal derecho se encuentra afectado por el fenómeno de la prescripción, en perjuicio de los peticionarios, contraría dicho principio, e implica una violación directa de la Constitución.“</w:t>
      </w:r>
    </w:p>
    <w:p w:rsidR="00DE0FDF" w:rsidRPr="000C52F6" w:rsidRDefault="00DE0FDF" w:rsidP="000C52F6">
      <w:pPr>
        <w:tabs>
          <w:tab w:val="left" w:pos="748"/>
        </w:tabs>
        <w:ind w:left="709"/>
        <w:jc w:val="both"/>
        <w:rPr>
          <w:rFonts w:ascii="Arial Narrow" w:hAnsi="Arial Narrow" w:cs="Tahoma"/>
          <w:i/>
          <w:sz w:val="20"/>
          <w:szCs w:val="20"/>
        </w:rPr>
      </w:pPr>
    </w:p>
    <w:p w:rsidR="00DE0FDF" w:rsidRPr="000C52F6" w:rsidRDefault="0086650B" w:rsidP="000C52F6">
      <w:pPr>
        <w:tabs>
          <w:tab w:val="left" w:pos="748"/>
        </w:tabs>
        <w:ind w:firstLine="709"/>
        <w:jc w:val="both"/>
        <w:rPr>
          <w:rFonts w:ascii="Tahoma" w:hAnsi="Tahoma" w:cs="Tahoma"/>
          <w:bCs/>
          <w:sz w:val="20"/>
          <w:szCs w:val="20"/>
        </w:rPr>
      </w:pPr>
      <w:r w:rsidRPr="000C52F6">
        <w:rPr>
          <w:rFonts w:ascii="Tahoma" w:hAnsi="Tahoma" w:cs="Tahoma"/>
          <w:bCs/>
          <w:sz w:val="20"/>
          <w:szCs w:val="20"/>
        </w:rPr>
        <w:t xml:space="preserve">La suscrita </w:t>
      </w:r>
      <w:r w:rsidR="00B74E4D" w:rsidRPr="000C52F6">
        <w:rPr>
          <w:rFonts w:ascii="Tahoma" w:hAnsi="Tahoma" w:cs="Tahoma"/>
          <w:bCs/>
          <w:sz w:val="20"/>
          <w:szCs w:val="20"/>
        </w:rPr>
        <w:t xml:space="preserve">Magistrada </w:t>
      </w:r>
      <w:r w:rsidR="00DE0FDF" w:rsidRPr="000C52F6">
        <w:rPr>
          <w:rFonts w:ascii="Tahoma" w:hAnsi="Tahoma" w:cs="Tahoma"/>
          <w:bCs/>
          <w:sz w:val="20"/>
          <w:szCs w:val="20"/>
        </w:rPr>
        <w:t>acog</w:t>
      </w:r>
      <w:r w:rsidRPr="000C52F6">
        <w:rPr>
          <w:rFonts w:ascii="Tahoma" w:hAnsi="Tahoma" w:cs="Tahoma"/>
          <w:bCs/>
          <w:sz w:val="20"/>
          <w:szCs w:val="20"/>
        </w:rPr>
        <w:t xml:space="preserve">ió </w:t>
      </w:r>
      <w:r w:rsidR="00DE0FDF" w:rsidRPr="000C52F6">
        <w:rPr>
          <w:rFonts w:ascii="Tahoma" w:hAnsi="Tahoma" w:cs="Tahoma"/>
          <w:bCs/>
          <w:sz w:val="20"/>
          <w:szCs w:val="20"/>
        </w:rPr>
        <w:t xml:space="preserve">el precedente sentado por la Corte Constitucional y, </w:t>
      </w:r>
      <w:r w:rsidRPr="000C52F6">
        <w:rPr>
          <w:rFonts w:ascii="Tahoma" w:hAnsi="Tahoma" w:cs="Tahoma"/>
          <w:bCs/>
          <w:sz w:val="20"/>
          <w:szCs w:val="20"/>
        </w:rPr>
        <w:t xml:space="preserve">consecuencialmente, </w:t>
      </w:r>
      <w:r w:rsidR="00DE0FDF" w:rsidRPr="000C52F6">
        <w:rPr>
          <w:rFonts w:ascii="Tahoma" w:hAnsi="Tahoma" w:cs="Tahoma"/>
          <w:bCs/>
          <w:sz w:val="20"/>
          <w:szCs w:val="20"/>
        </w:rPr>
        <w:t>t</w:t>
      </w:r>
      <w:r w:rsidRPr="000C52F6">
        <w:rPr>
          <w:rFonts w:ascii="Tahoma" w:hAnsi="Tahoma" w:cs="Tahoma"/>
          <w:bCs/>
          <w:sz w:val="20"/>
          <w:szCs w:val="20"/>
        </w:rPr>
        <w:t xml:space="preserve">iene </w:t>
      </w:r>
      <w:r w:rsidR="00DE0FDF" w:rsidRPr="000C52F6">
        <w:rPr>
          <w:rFonts w:ascii="Tahoma" w:hAnsi="Tahoma" w:cs="Tahoma"/>
          <w:bCs/>
          <w:sz w:val="20"/>
          <w:szCs w:val="20"/>
        </w:rPr>
        <w:t xml:space="preserve">como imprescriptible el derecho a percibir el incremento pensional por persona a cargo, sin perjuicio de que dicho fenómeno extintivo afecte las mesadas pensionales causadas con antelación a los tres años que precedieron la reclamación que instó su reconocimiento. </w:t>
      </w:r>
    </w:p>
    <w:p w:rsidR="00B74E4D" w:rsidRPr="000C52F6" w:rsidRDefault="00B74E4D" w:rsidP="000C52F6">
      <w:pPr>
        <w:tabs>
          <w:tab w:val="left" w:pos="748"/>
        </w:tabs>
        <w:ind w:firstLine="709"/>
        <w:jc w:val="both"/>
        <w:rPr>
          <w:rFonts w:ascii="Tahoma" w:hAnsi="Tahoma" w:cs="Tahoma"/>
          <w:sz w:val="20"/>
          <w:szCs w:val="20"/>
        </w:rPr>
      </w:pPr>
    </w:p>
    <w:p w:rsidR="00DE0FDF" w:rsidRPr="000C52F6" w:rsidRDefault="00B74E4D" w:rsidP="000C52F6">
      <w:pPr>
        <w:pStyle w:val="Corpsdetexte"/>
        <w:autoSpaceDE/>
        <w:autoSpaceDN/>
        <w:adjustRightInd/>
        <w:ind w:left="709" w:right="51"/>
        <w:rPr>
          <w:rFonts w:ascii="Tahoma" w:hAnsi="Tahoma" w:cs="Tahoma"/>
          <w:b/>
          <w:sz w:val="20"/>
          <w:szCs w:val="20"/>
        </w:rPr>
      </w:pPr>
      <w:r w:rsidRPr="000C52F6">
        <w:rPr>
          <w:rFonts w:ascii="Tahoma" w:hAnsi="Tahoma" w:cs="Tahoma"/>
          <w:b/>
          <w:sz w:val="20"/>
          <w:szCs w:val="20"/>
        </w:rPr>
        <w:t xml:space="preserve">2. </w:t>
      </w:r>
      <w:r w:rsidR="00DE0FDF" w:rsidRPr="000C52F6">
        <w:rPr>
          <w:rFonts w:ascii="Tahoma" w:hAnsi="Tahoma" w:cs="Tahoma"/>
          <w:b/>
          <w:sz w:val="20"/>
          <w:szCs w:val="20"/>
        </w:rPr>
        <w:t>Caso concreto</w:t>
      </w:r>
    </w:p>
    <w:p w:rsidR="00DE0FDF" w:rsidRPr="000C52F6" w:rsidRDefault="00DE0FDF" w:rsidP="000C52F6">
      <w:pPr>
        <w:pStyle w:val="Sansinterligne"/>
        <w:rPr>
          <w:sz w:val="20"/>
          <w:szCs w:val="20"/>
        </w:rPr>
      </w:pPr>
    </w:p>
    <w:p w:rsidR="000C52F6" w:rsidRPr="000C52F6" w:rsidRDefault="000C52F6" w:rsidP="000C52F6">
      <w:pPr>
        <w:widowControl w:val="0"/>
        <w:autoSpaceDE w:val="0"/>
        <w:autoSpaceDN w:val="0"/>
        <w:adjustRightInd w:val="0"/>
        <w:ind w:firstLine="709"/>
        <w:jc w:val="both"/>
        <w:rPr>
          <w:rFonts w:ascii="Tahoma" w:hAnsi="Tahoma" w:cs="Tahoma"/>
          <w:sz w:val="20"/>
          <w:szCs w:val="20"/>
        </w:rPr>
      </w:pPr>
      <w:r w:rsidRPr="000C52F6">
        <w:rPr>
          <w:rFonts w:ascii="Tahoma" w:hAnsi="Tahoma" w:cs="Tahoma"/>
          <w:sz w:val="20"/>
          <w:szCs w:val="20"/>
        </w:rPr>
        <w:t xml:space="preserve">No siendo objeto de controversia en el caso de marras que a través de la Resolución 002750 de 1997 el entonces </w:t>
      </w:r>
      <w:proofErr w:type="spellStart"/>
      <w:r w:rsidRPr="000C52F6">
        <w:rPr>
          <w:rFonts w:ascii="Tahoma" w:hAnsi="Tahoma" w:cs="Tahoma"/>
          <w:sz w:val="20"/>
          <w:szCs w:val="20"/>
        </w:rPr>
        <w:t>I.S.S</w:t>
      </w:r>
      <w:proofErr w:type="spellEnd"/>
      <w:r w:rsidRPr="000C52F6">
        <w:rPr>
          <w:rFonts w:ascii="Tahoma" w:hAnsi="Tahoma" w:cs="Tahoma"/>
          <w:sz w:val="20"/>
          <w:szCs w:val="20"/>
        </w:rPr>
        <w:t>. concedió al señor Fabio Ramírez Bermúdez Villa la pensión de vejez a partir del 30 de enero de 1996, con fundamento en el Decreto 758 de 1990; el debate se centra</w:t>
      </w:r>
      <w:r w:rsidR="00337271">
        <w:rPr>
          <w:rFonts w:ascii="Tahoma" w:hAnsi="Tahoma" w:cs="Tahoma"/>
          <w:sz w:val="20"/>
          <w:szCs w:val="20"/>
        </w:rPr>
        <w:t>ba</w:t>
      </w:r>
      <w:r w:rsidRPr="000C52F6">
        <w:rPr>
          <w:rFonts w:ascii="Tahoma" w:hAnsi="Tahoma" w:cs="Tahoma"/>
          <w:sz w:val="20"/>
          <w:szCs w:val="20"/>
        </w:rPr>
        <w:t xml:space="preserve"> en determinar </w:t>
      </w:r>
      <w:r w:rsidR="00337271">
        <w:rPr>
          <w:rFonts w:ascii="Tahoma" w:hAnsi="Tahoma" w:cs="Tahoma"/>
          <w:sz w:val="20"/>
          <w:szCs w:val="20"/>
        </w:rPr>
        <w:t xml:space="preserve">si era </w:t>
      </w:r>
      <w:r w:rsidRPr="000C52F6">
        <w:rPr>
          <w:rFonts w:ascii="Tahoma" w:hAnsi="Tahoma" w:cs="Tahoma"/>
          <w:sz w:val="20"/>
          <w:szCs w:val="20"/>
        </w:rPr>
        <w:t>procedente reconocer el incremento de dicha prestación</w:t>
      </w:r>
      <w:r w:rsidR="00337271">
        <w:rPr>
          <w:rFonts w:ascii="Tahoma" w:hAnsi="Tahoma" w:cs="Tahoma"/>
          <w:sz w:val="20"/>
          <w:szCs w:val="20"/>
        </w:rPr>
        <w:t>,</w:t>
      </w:r>
      <w:r w:rsidRPr="000C52F6">
        <w:rPr>
          <w:rFonts w:ascii="Tahoma" w:hAnsi="Tahoma" w:cs="Tahoma"/>
          <w:sz w:val="20"/>
          <w:szCs w:val="20"/>
        </w:rPr>
        <w:t xml:space="preserve"> por tener a cargo a su compañera permanente.</w:t>
      </w:r>
    </w:p>
    <w:p w:rsidR="000C52F6" w:rsidRPr="000C52F6" w:rsidRDefault="000C52F6" w:rsidP="000C52F6">
      <w:pPr>
        <w:pStyle w:val="Sansinterligne"/>
        <w:rPr>
          <w:sz w:val="20"/>
          <w:szCs w:val="20"/>
        </w:rPr>
      </w:pPr>
    </w:p>
    <w:p w:rsidR="000C52F6" w:rsidRPr="000C52F6" w:rsidRDefault="000C52F6" w:rsidP="000C52F6">
      <w:pPr>
        <w:jc w:val="both"/>
        <w:rPr>
          <w:rFonts w:ascii="Tahoma" w:hAnsi="Tahoma" w:cs="Tahoma"/>
          <w:sz w:val="20"/>
          <w:szCs w:val="20"/>
        </w:rPr>
      </w:pPr>
      <w:r w:rsidRPr="000C52F6">
        <w:rPr>
          <w:rFonts w:ascii="Tahoma" w:hAnsi="Tahoma" w:cs="Tahoma"/>
          <w:sz w:val="20"/>
          <w:szCs w:val="20"/>
        </w:rPr>
        <w:tab/>
      </w:r>
      <w:r w:rsidR="00337271">
        <w:rPr>
          <w:rFonts w:ascii="Tahoma" w:hAnsi="Tahoma" w:cs="Tahoma"/>
          <w:sz w:val="20"/>
          <w:szCs w:val="20"/>
        </w:rPr>
        <w:t xml:space="preserve">Para la suscrita Magistrada </w:t>
      </w:r>
      <w:r w:rsidRPr="000C52F6">
        <w:rPr>
          <w:rFonts w:ascii="Tahoma" w:hAnsi="Tahoma" w:cs="Tahoma"/>
          <w:sz w:val="20"/>
          <w:szCs w:val="20"/>
        </w:rPr>
        <w:t xml:space="preserve">fue errada la interpretación que la Jueza de instancia dio a la normativa y a la jurisprudencia que regula el pago de incrementos pensionales, pues para ello bastaba observar que la pensión de vejez del actor fue reconocida bajo los requisitos del acuerdo 049 de 1990, por ser beneficiario del régimen de transición previsto en el artículo 36 de la Ley 100 de 1993, sin que el hecho de que la relación </w:t>
      </w:r>
      <w:r w:rsidR="00337271">
        <w:rPr>
          <w:rFonts w:ascii="Tahoma" w:hAnsi="Tahoma" w:cs="Tahoma"/>
          <w:sz w:val="20"/>
          <w:szCs w:val="20"/>
        </w:rPr>
        <w:t xml:space="preserve">con su compañera permanente </w:t>
      </w:r>
      <w:r w:rsidRPr="000C52F6">
        <w:rPr>
          <w:rFonts w:ascii="Tahoma" w:hAnsi="Tahoma" w:cs="Tahoma"/>
          <w:sz w:val="20"/>
          <w:szCs w:val="20"/>
        </w:rPr>
        <w:t>se haya iniciado con posterioridad a la entrada en vigencia de dicha norma, ni después del reconocimiento de la pensión, sean situaciones que constituyan un obstáculo para acceder al derecho, porque se itera, ni la norma que consagra el derecho ni la jurisprudencia que lo ha desarrollado establecen dichas trabas.</w:t>
      </w:r>
    </w:p>
    <w:p w:rsidR="000C52F6" w:rsidRPr="000C52F6" w:rsidRDefault="000C52F6" w:rsidP="000C52F6">
      <w:pPr>
        <w:ind w:firstLine="708"/>
        <w:jc w:val="both"/>
        <w:rPr>
          <w:rFonts w:ascii="Tahoma" w:hAnsi="Tahoma" w:cs="Tahoma"/>
          <w:sz w:val="20"/>
          <w:szCs w:val="20"/>
        </w:rPr>
      </w:pPr>
    </w:p>
    <w:p w:rsidR="000C52F6" w:rsidRPr="000C52F6" w:rsidRDefault="00337271" w:rsidP="000C52F6">
      <w:pPr>
        <w:ind w:firstLine="708"/>
        <w:jc w:val="both"/>
        <w:rPr>
          <w:rFonts w:ascii="Tahoma" w:hAnsi="Tahoma" w:cs="Tahoma"/>
          <w:sz w:val="20"/>
          <w:szCs w:val="20"/>
        </w:rPr>
      </w:pPr>
      <w:r w:rsidRPr="000C52F6">
        <w:rPr>
          <w:rFonts w:ascii="Tahoma" w:hAnsi="Tahoma" w:cs="Tahoma"/>
          <w:sz w:val="20"/>
          <w:szCs w:val="20"/>
        </w:rPr>
        <w:t xml:space="preserve">Tampoco </w:t>
      </w:r>
      <w:r w:rsidR="000C52F6" w:rsidRPr="000C52F6">
        <w:rPr>
          <w:rFonts w:ascii="Tahoma" w:hAnsi="Tahoma" w:cs="Tahoma"/>
          <w:sz w:val="20"/>
          <w:szCs w:val="20"/>
        </w:rPr>
        <w:t xml:space="preserve">queda duda en cuanto a que el demandante ha velado por el sostenimiento económico de su compañera permanente, Claudia Patricia López Lasso, pues tal como lo advirtiera la Jueza de instancia, analizados en contexto los distintos documentos que reposan en el expediente, como las declaraciones </w:t>
      </w:r>
      <w:proofErr w:type="spellStart"/>
      <w:r w:rsidR="000C52F6" w:rsidRPr="000C52F6">
        <w:rPr>
          <w:rFonts w:ascii="Tahoma" w:hAnsi="Tahoma" w:cs="Tahoma"/>
          <w:sz w:val="20"/>
          <w:szCs w:val="20"/>
        </w:rPr>
        <w:t>extrajuicio</w:t>
      </w:r>
      <w:proofErr w:type="spellEnd"/>
      <w:r w:rsidR="000C52F6" w:rsidRPr="000C52F6">
        <w:rPr>
          <w:rFonts w:ascii="Tahoma" w:hAnsi="Tahoma" w:cs="Tahoma"/>
          <w:sz w:val="20"/>
          <w:szCs w:val="20"/>
        </w:rPr>
        <w:t xml:space="preserve"> y los certificados de afiliación al sistema de seguridad social en salud (</w:t>
      </w:r>
      <w:proofErr w:type="spellStart"/>
      <w:r w:rsidR="000C52F6" w:rsidRPr="000C52F6">
        <w:rPr>
          <w:rFonts w:ascii="Tahoma" w:hAnsi="Tahoma" w:cs="Tahoma"/>
          <w:sz w:val="20"/>
          <w:szCs w:val="20"/>
        </w:rPr>
        <w:t>fls</w:t>
      </w:r>
      <w:proofErr w:type="spellEnd"/>
      <w:r w:rsidR="000C52F6" w:rsidRPr="000C52F6">
        <w:rPr>
          <w:rFonts w:ascii="Tahoma" w:hAnsi="Tahoma" w:cs="Tahoma"/>
          <w:sz w:val="20"/>
          <w:szCs w:val="20"/>
        </w:rPr>
        <w:t xml:space="preserve">. 11 y 13), se puede afirmar que ha convivido en unión libre con el actor, y dependido de este, desde el 7 de octubre de 2008. </w:t>
      </w:r>
    </w:p>
    <w:p w:rsidR="000C52F6" w:rsidRPr="000C52F6" w:rsidRDefault="000C52F6" w:rsidP="000C52F6">
      <w:pPr>
        <w:ind w:firstLine="708"/>
        <w:jc w:val="both"/>
        <w:rPr>
          <w:rFonts w:ascii="Tahoma" w:hAnsi="Tahoma" w:cs="Tahoma"/>
          <w:sz w:val="20"/>
          <w:szCs w:val="20"/>
        </w:rPr>
      </w:pPr>
    </w:p>
    <w:p w:rsidR="000C52F6" w:rsidRPr="000C52F6" w:rsidRDefault="00337271" w:rsidP="000C52F6">
      <w:pPr>
        <w:ind w:firstLine="708"/>
        <w:jc w:val="both"/>
        <w:rPr>
          <w:rFonts w:ascii="Tahoma" w:hAnsi="Tahoma" w:cs="Tahoma"/>
          <w:sz w:val="20"/>
          <w:szCs w:val="20"/>
        </w:rPr>
      </w:pPr>
      <w:r>
        <w:rPr>
          <w:rFonts w:ascii="Tahoma" w:hAnsi="Tahoma" w:cs="Tahoma"/>
          <w:sz w:val="20"/>
          <w:szCs w:val="20"/>
        </w:rPr>
        <w:t>Así las cosas</w:t>
      </w:r>
      <w:r w:rsidR="000C52F6" w:rsidRPr="000C52F6">
        <w:rPr>
          <w:rFonts w:ascii="Tahoma" w:hAnsi="Tahoma" w:cs="Tahoma"/>
          <w:sz w:val="20"/>
          <w:szCs w:val="20"/>
        </w:rPr>
        <w:t xml:space="preserve">, </w:t>
      </w:r>
      <w:r>
        <w:rPr>
          <w:rFonts w:ascii="Tahoma" w:hAnsi="Tahoma" w:cs="Tahoma"/>
          <w:sz w:val="20"/>
          <w:szCs w:val="20"/>
        </w:rPr>
        <w:t xml:space="preserve">como </w:t>
      </w:r>
      <w:r w:rsidR="000C52F6" w:rsidRPr="000C52F6">
        <w:rPr>
          <w:rFonts w:ascii="Tahoma" w:hAnsi="Tahoma" w:cs="Tahoma"/>
          <w:sz w:val="20"/>
          <w:szCs w:val="20"/>
        </w:rPr>
        <w:t xml:space="preserve">el demandante acreditó los requisitos para acceder al incremento pensional por compañera permanente a cargo, </w:t>
      </w:r>
      <w:r>
        <w:rPr>
          <w:rFonts w:ascii="Tahoma" w:hAnsi="Tahoma" w:cs="Tahoma"/>
          <w:sz w:val="20"/>
          <w:szCs w:val="20"/>
        </w:rPr>
        <w:t xml:space="preserve">tenía </w:t>
      </w:r>
      <w:r w:rsidR="000C52F6" w:rsidRPr="000C52F6">
        <w:rPr>
          <w:rFonts w:ascii="Tahoma" w:hAnsi="Tahoma" w:cs="Tahoma"/>
          <w:sz w:val="20"/>
          <w:szCs w:val="20"/>
        </w:rPr>
        <w:t xml:space="preserve">derecho a que </w:t>
      </w:r>
      <w:proofErr w:type="spellStart"/>
      <w:r w:rsidR="000C52F6" w:rsidRPr="000C52F6">
        <w:rPr>
          <w:rFonts w:ascii="Tahoma" w:hAnsi="Tahoma" w:cs="Tahoma"/>
          <w:sz w:val="20"/>
          <w:szCs w:val="20"/>
        </w:rPr>
        <w:t>Colpensiones</w:t>
      </w:r>
      <w:proofErr w:type="spellEnd"/>
      <w:r w:rsidR="000C52F6" w:rsidRPr="000C52F6">
        <w:rPr>
          <w:rFonts w:ascii="Tahoma" w:hAnsi="Tahoma" w:cs="Tahoma"/>
          <w:sz w:val="20"/>
          <w:szCs w:val="20"/>
        </w:rPr>
        <w:t xml:space="preserve"> le pa</w:t>
      </w:r>
      <w:r>
        <w:rPr>
          <w:rFonts w:ascii="Tahoma" w:hAnsi="Tahoma" w:cs="Tahoma"/>
          <w:sz w:val="20"/>
          <w:szCs w:val="20"/>
        </w:rPr>
        <w:t xml:space="preserve">gara </w:t>
      </w:r>
      <w:r w:rsidR="000C52F6" w:rsidRPr="000C52F6">
        <w:rPr>
          <w:rFonts w:ascii="Tahoma" w:hAnsi="Tahoma" w:cs="Tahoma"/>
          <w:sz w:val="20"/>
          <w:szCs w:val="20"/>
        </w:rPr>
        <w:t>una suma mensual adicional a la mesada pensional equivalente al 14% del salario mínimo legal mensual vigente para cada anualidad a partir de la fecha en la cual le fue reconocida su pensión. </w:t>
      </w:r>
    </w:p>
    <w:p w:rsidR="000C52F6" w:rsidRPr="000C52F6" w:rsidRDefault="000C52F6" w:rsidP="000C52F6">
      <w:pPr>
        <w:ind w:firstLine="708"/>
        <w:jc w:val="both"/>
        <w:rPr>
          <w:rFonts w:ascii="Tahoma" w:hAnsi="Tahoma" w:cs="Tahoma"/>
          <w:sz w:val="20"/>
          <w:szCs w:val="20"/>
        </w:rPr>
      </w:pPr>
    </w:p>
    <w:p w:rsidR="00AA6801" w:rsidRPr="000C52F6" w:rsidRDefault="000C52F6" w:rsidP="000C52F6">
      <w:pPr>
        <w:pStyle w:val="Corpsdetexte"/>
        <w:ind w:right="51" w:firstLine="708"/>
        <w:rPr>
          <w:rFonts w:ascii="Tahoma" w:hAnsi="Tahoma" w:cs="Tahoma"/>
          <w:bCs/>
          <w:sz w:val="20"/>
          <w:szCs w:val="20"/>
        </w:rPr>
      </w:pPr>
      <w:r w:rsidRPr="000C52F6">
        <w:rPr>
          <w:rFonts w:ascii="Tahoma" w:hAnsi="Tahoma" w:cs="Tahoma"/>
          <w:sz w:val="20"/>
          <w:szCs w:val="20"/>
        </w:rPr>
        <w:t>Ahora bien, como quiera que quienes conforman la pareja adquirieron la calidad de compañeros permanentes cuando superaron los 2 años de convivencia efectiva, el actor sólo estaba en condiciones de pedir el incremento pensional por persona a cargo a partir del año 2010, toda vez que la relación comenzó en octubre de 2008. Tal, de tal suerte que se encuentran prescritos los incrementos pensionales causados con anterioridad al 9 de abril de 2010.</w:t>
      </w:r>
    </w:p>
    <w:p w:rsidR="00DE0FDF" w:rsidRPr="000C52F6" w:rsidRDefault="00DE0FDF" w:rsidP="000C52F6">
      <w:pPr>
        <w:pStyle w:val="Sansinterligne"/>
        <w:rPr>
          <w:sz w:val="20"/>
          <w:szCs w:val="20"/>
          <w:lang w:val="es-CO"/>
        </w:rPr>
      </w:pPr>
    </w:p>
    <w:p w:rsidR="00337271" w:rsidRDefault="00B74E4D" w:rsidP="000C52F6">
      <w:pPr>
        <w:jc w:val="both"/>
        <w:rPr>
          <w:rFonts w:ascii="Tahoma" w:hAnsi="Tahoma" w:cs="Tahoma"/>
          <w:spacing w:val="-2"/>
          <w:sz w:val="20"/>
          <w:szCs w:val="20"/>
        </w:rPr>
      </w:pPr>
      <w:r w:rsidRPr="000C52F6">
        <w:rPr>
          <w:rFonts w:ascii="Tahoma" w:hAnsi="Tahoma" w:cs="Tahoma"/>
          <w:spacing w:val="-2"/>
          <w:sz w:val="20"/>
          <w:szCs w:val="20"/>
        </w:rPr>
        <w:tab/>
      </w:r>
      <w:r w:rsidR="0084245B" w:rsidRPr="000C52F6">
        <w:rPr>
          <w:rFonts w:ascii="Tahoma" w:hAnsi="Tahoma" w:cs="Tahoma"/>
          <w:spacing w:val="-2"/>
          <w:sz w:val="20"/>
          <w:szCs w:val="20"/>
        </w:rPr>
        <w:t xml:space="preserve">En virtud de lo anterior, debió </w:t>
      </w:r>
      <w:r w:rsidR="001E000E" w:rsidRPr="000C52F6">
        <w:rPr>
          <w:rFonts w:ascii="Tahoma" w:hAnsi="Tahoma" w:cs="Tahoma"/>
          <w:spacing w:val="-2"/>
          <w:sz w:val="20"/>
          <w:szCs w:val="20"/>
        </w:rPr>
        <w:t xml:space="preserve">revocarse </w:t>
      </w:r>
      <w:r w:rsidR="0084245B" w:rsidRPr="000C52F6">
        <w:rPr>
          <w:rFonts w:ascii="Tahoma" w:hAnsi="Tahoma" w:cs="Tahoma"/>
          <w:spacing w:val="-2"/>
          <w:sz w:val="20"/>
          <w:szCs w:val="20"/>
        </w:rPr>
        <w:t xml:space="preserve">la sentencia de primera instancia y </w:t>
      </w:r>
      <w:r w:rsidR="00F44F7C" w:rsidRPr="000C52F6">
        <w:rPr>
          <w:rFonts w:ascii="Tahoma" w:hAnsi="Tahoma" w:cs="Tahoma"/>
          <w:spacing w:val="-2"/>
          <w:sz w:val="20"/>
          <w:szCs w:val="20"/>
        </w:rPr>
        <w:t>concederse</w:t>
      </w:r>
      <w:r w:rsidR="0084245B" w:rsidRPr="000C52F6">
        <w:rPr>
          <w:rFonts w:ascii="Tahoma" w:hAnsi="Tahoma" w:cs="Tahoma"/>
          <w:spacing w:val="-2"/>
          <w:sz w:val="20"/>
          <w:szCs w:val="20"/>
        </w:rPr>
        <w:t xml:space="preserve"> </w:t>
      </w:r>
      <w:r w:rsidR="00DE0FDF" w:rsidRPr="000C52F6">
        <w:rPr>
          <w:rFonts w:ascii="Tahoma" w:hAnsi="Tahoma" w:cs="Tahoma"/>
          <w:spacing w:val="-2"/>
          <w:sz w:val="20"/>
          <w:szCs w:val="20"/>
        </w:rPr>
        <w:t>el increment</w:t>
      </w:r>
      <w:r w:rsidR="00534531" w:rsidRPr="000C52F6">
        <w:rPr>
          <w:rFonts w:ascii="Tahoma" w:hAnsi="Tahoma" w:cs="Tahoma"/>
          <w:spacing w:val="-2"/>
          <w:sz w:val="20"/>
          <w:szCs w:val="20"/>
        </w:rPr>
        <w:t>o</w:t>
      </w:r>
      <w:r w:rsidR="00DE0FDF" w:rsidRPr="000C52F6">
        <w:rPr>
          <w:rFonts w:ascii="Tahoma" w:hAnsi="Tahoma" w:cs="Tahoma"/>
          <w:spacing w:val="-2"/>
          <w:sz w:val="20"/>
          <w:szCs w:val="20"/>
        </w:rPr>
        <w:t xml:space="preserve"> pensional reclamado </w:t>
      </w:r>
      <w:r w:rsidR="0084245B" w:rsidRPr="000C52F6">
        <w:rPr>
          <w:rFonts w:ascii="Tahoma" w:hAnsi="Tahoma" w:cs="Tahoma"/>
          <w:spacing w:val="-2"/>
          <w:sz w:val="20"/>
          <w:szCs w:val="20"/>
        </w:rPr>
        <w:t xml:space="preserve">a la parte </w:t>
      </w:r>
      <w:r w:rsidR="00F44F7C" w:rsidRPr="000C52F6">
        <w:rPr>
          <w:rFonts w:ascii="Tahoma" w:hAnsi="Tahoma" w:cs="Tahoma"/>
          <w:spacing w:val="-2"/>
          <w:sz w:val="20"/>
          <w:szCs w:val="20"/>
        </w:rPr>
        <w:t>demandante</w:t>
      </w:r>
      <w:r w:rsidR="0084245B" w:rsidRPr="000C52F6">
        <w:rPr>
          <w:rFonts w:ascii="Tahoma" w:hAnsi="Tahoma" w:cs="Tahoma"/>
          <w:spacing w:val="-2"/>
          <w:sz w:val="20"/>
          <w:szCs w:val="20"/>
        </w:rPr>
        <w:t xml:space="preserve">, por cumplir los </w:t>
      </w:r>
      <w:r w:rsidR="00F44F7C" w:rsidRPr="000C52F6">
        <w:rPr>
          <w:rFonts w:ascii="Tahoma" w:hAnsi="Tahoma" w:cs="Tahoma"/>
          <w:spacing w:val="-2"/>
          <w:sz w:val="20"/>
          <w:szCs w:val="20"/>
        </w:rPr>
        <w:t>requisitos</w:t>
      </w:r>
      <w:r w:rsidR="0084245B" w:rsidRPr="000C52F6">
        <w:rPr>
          <w:rFonts w:ascii="Tahoma" w:hAnsi="Tahoma" w:cs="Tahoma"/>
          <w:spacing w:val="-2"/>
          <w:sz w:val="20"/>
          <w:szCs w:val="20"/>
        </w:rPr>
        <w:t xml:space="preserve"> del Acuerdo 049  para ese efecto</w:t>
      </w:r>
      <w:r w:rsidR="001E000E" w:rsidRPr="000C52F6">
        <w:rPr>
          <w:rFonts w:ascii="Tahoma" w:hAnsi="Tahoma" w:cs="Tahoma"/>
          <w:spacing w:val="-2"/>
          <w:sz w:val="20"/>
          <w:szCs w:val="20"/>
        </w:rPr>
        <w:t xml:space="preserve">, declarando prescritos únicamente los incrementos generados con anterioridad a los 3 años que precedieron la </w:t>
      </w:r>
      <w:r w:rsidR="00337271" w:rsidRPr="000C52F6">
        <w:rPr>
          <w:rFonts w:ascii="Tahoma" w:hAnsi="Tahoma" w:cs="Tahoma"/>
          <w:sz w:val="20"/>
          <w:szCs w:val="20"/>
        </w:rPr>
        <w:t xml:space="preserve">reclamación </w:t>
      </w:r>
      <w:r w:rsidR="00337271">
        <w:rPr>
          <w:rFonts w:ascii="Tahoma" w:hAnsi="Tahoma" w:cs="Tahoma"/>
          <w:sz w:val="20"/>
          <w:szCs w:val="20"/>
        </w:rPr>
        <w:t xml:space="preserve">administrativa presentada </w:t>
      </w:r>
      <w:r w:rsidR="00337271" w:rsidRPr="000C52F6">
        <w:rPr>
          <w:rFonts w:ascii="Tahoma" w:hAnsi="Tahoma" w:cs="Tahoma"/>
          <w:sz w:val="20"/>
          <w:szCs w:val="20"/>
        </w:rPr>
        <w:t>el 9 de abril de 2013</w:t>
      </w:r>
    </w:p>
    <w:p w:rsidR="00DC0E7B" w:rsidRPr="000C52F6" w:rsidRDefault="0084245B" w:rsidP="000C52F6">
      <w:pPr>
        <w:ind w:firstLine="708"/>
        <w:jc w:val="both"/>
        <w:rPr>
          <w:rFonts w:ascii="Tahoma" w:hAnsi="Tahoma" w:cs="Tahoma"/>
          <w:sz w:val="20"/>
          <w:szCs w:val="20"/>
        </w:rPr>
      </w:pPr>
      <w:r w:rsidRPr="000C52F6">
        <w:rPr>
          <w:rFonts w:ascii="Tahoma" w:hAnsi="Tahoma" w:cs="Tahoma"/>
          <w:spacing w:val="-2"/>
          <w:sz w:val="20"/>
          <w:szCs w:val="20"/>
        </w:rPr>
        <w:tab/>
      </w:r>
    </w:p>
    <w:p w:rsidR="00782D3A" w:rsidRPr="000C52F6" w:rsidRDefault="00B74E4D" w:rsidP="000C52F6">
      <w:pPr>
        <w:pStyle w:val="Corpsdetexte"/>
        <w:rPr>
          <w:rFonts w:ascii="Tahoma" w:hAnsi="Tahoma" w:cs="Tahoma"/>
          <w:sz w:val="20"/>
          <w:szCs w:val="20"/>
          <w:lang w:val="es-ES"/>
        </w:rPr>
      </w:pPr>
      <w:r w:rsidRPr="000C52F6">
        <w:rPr>
          <w:rFonts w:ascii="Tahoma" w:hAnsi="Tahoma" w:cs="Tahoma"/>
          <w:sz w:val="20"/>
          <w:szCs w:val="20"/>
          <w:lang w:val="es-ES"/>
        </w:rPr>
        <w:tab/>
      </w:r>
      <w:r w:rsidR="00782D3A" w:rsidRPr="000C52F6">
        <w:rPr>
          <w:rFonts w:ascii="Tahoma" w:hAnsi="Tahoma" w:cs="Tahoma"/>
          <w:sz w:val="20"/>
          <w:szCs w:val="20"/>
          <w:lang w:val="es-ES"/>
        </w:rPr>
        <w:t xml:space="preserve">En estos términos sustento mi </w:t>
      </w:r>
      <w:r w:rsidR="00EC047D" w:rsidRPr="000C52F6">
        <w:rPr>
          <w:rFonts w:ascii="Tahoma" w:hAnsi="Tahoma" w:cs="Tahoma"/>
          <w:sz w:val="20"/>
          <w:szCs w:val="20"/>
          <w:lang w:val="es-ES"/>
        </w:rPr>
        <w:t>salvamento</w:t>
      </w:r>
      <w:r w:rsidR="00562945" w:rsidRPr="000C52F6">
        <w:rPr>
          <w:rFonts w:ascii="Tahoma" w:hAnsi="Tahoma" w:cs="Tahoma"/>
          <w:sz w:val="20"/>
          <w:szCs w:val="20"/>
          <w:lang w:val="es-ES"/>
        </w:rPr>
        <w:t xml:space="preserve"> </w:t>
      </w:r>
      <w:r w:rsidR="00782D3A" w:rsidRPr="000C52F6">
        <w:rPr>
          <w:rFonts w:ascii="Tahoma" w:hAnsi="Tahoma" w:cs="Tahoma"/>
          <w:sz w:val="20"/>
          <w:szCs w:val="20"/>
          <w:lang w:val="es-ES"/>
        </w:rPr>
        <w:t>de voto.</w:t>
      </w:r>
    </w:p>
    <w:p w:rsidR="00782D3A" w:rsidRPr="000C52F6" w:rsidRDefault="00782D3A" w:rsidP="000C52F6">
      <w:pPr>
        <w:pStyle w:val="Corpsdetexte"/>
        <w:autoSpaceDE/>
        <w:autoSpaceDN/>
        <w:adjustRightInd/>
        <w:rPr>
          <w:rFonts w:ascii="Tahoma" w:hAnsi="Tahoma" w:cs="Tahoma"/>
          <w:sz w:val="20"/>
          <w:szCs w:val="20"/>
          <w:lang w:val="es-ES"/>
        </w:rPr>
      </w:pPr>
    </w:p>
    <w:p w:rsidR="00782D3A" w:rsidRPr="000C52F6" w:rsidRDefault="00782D3A" w:rsidP="000C52F6">
      <w:pPr>
        <w:widowControl w:val="0"/>
        <w:autoSpaceDE w:val="0"/>
        <w:autoSpaceDN w:val="0"/>
        <w:adjustRightInd w:val="0"/>
        <w:jc w:val="both"/>
        <w:rPr>
          <w:rFonts w:ascii="Tahoma" w:hAnsi="Tahoma" w:cs="Tahoma"/>
          <w:sz w:val="20"/>
          <w:szCs w:val="20"/>
        </w:rPr>
      </w:pPr>
    </w:p>
    <w:p w:rsidR="00386451" w:rsidRPr="000C52F6" w:rsidRDefault="00386451" w:rsidP="000C52F6">
      <w:pPr>
        <w:widowControl w:val="0"/>
        <w:autoSpaceDE w:val="0"/>
        <w:autoSpaceDN w:val="0"/>
        <w:adjustRightInd w:val="0"/>
        <w:jc w:val="both"/>
        <w:rPr>
          <w:rFonts w:ascii="Tahoma" w:hAnsi="Tahoma" w:cs="Tahoma"/>
          <w:sz w:val="20"/>
          <w:szCs w:val="20"/>
        </w:rPr>
      </w:pPr>
    </w:p>
    <w:p w:rsidR="00534531" w:rsidRPr="000C52F6" w:rsidRDefault="00534531" w:rsidP="000C52F6">
      <w:pPr>
        <w:widowControl w:val="0"/>
        <w:autoSpaceDE w:val="0"/>
        <w:autoSpaceDN w:val="0"/>
        <w:adjustRightInd w:val="0"/>
        <w:jc w:val="both"/>
        <w:rPr>
          <w:rFonts w:ascii="Tahoma" w:hAnsi="Tahoma" w:cs="Tahoma"/>
          <w:sz w:val="20"/>
          <w:szCs w:val="20"/>
        </w:rPr>
      </w:pPr>
    </w:p>
    <w:p w:rsidR="00782D3A" w:rsidRPr="000C52F6" w:rsidRDefault="00782D3A" w:rsidP="000C52F6">
      <w:pPr>
        <w:widowControl w:val="0"/>
        <w:autoSpaceDE w:val="0"/>
        <w:autoSpaceDN w:val="0"/>
        <w:adjustRightInd w:val="0"/>
        <w:jc w:val="both"/>
        <w:rPr>
          <w:rFonts w:ascii="Tahoma" w:hAnsi="Tahoma" w:cs="Tahoma"/>
          <w:sz w:val="20"/>
          <w:szCs w:val="20"/>
        </w:rPr>
      </w:pPr>
    </w:p>
    <w:p w:rsidR="00782D3A" w:rsidRPr="000C52F6" w:rsidRDefault="00782D3A" w:rsidP="000C52F6">
      <w:pPr>
        <w:pStyle w:val="Titre3"/>
        <w:spacing w:line="240" w:lineRule="auto"/>
        <w:rPr>
          <w:rFonts w:ascii="Tahoma" w:hAnsi="Tahoma" w:cs="Tahoma"/>
          <w:sz w:val="20"/>
          <w:szCs w:val="20"/>
        </w:rPr>
      </w:pPr>
      <w:r w:rsidRPr="000C52F6">
        <w:rPr>
          <w:rFonts w:ascii="Tahoma" w:hAnsi="Tahoma" w:cs="Tahoma"/>
          <w:sz w:val="20"/>
          <w:szCs w:val="20"/>
        </w:rPr>
        <w:lastRenderedPageBreak/>
        <w:t>ANA LUCÍA CAICEDO CALDERÓN</w:t>
      </w:r>
    </w:p>
    <w:p w:rsidR="000C52F6" w:rsidRPr="000C52F6" w:rsidRDefault="000C52F6">
      <w:pPr>
        <w:pStyle w:val="Titre3"/>
        <w:spacing w:line="276" w:lineRule="auto"/>
        <w:rPr>
          <w:rFonts w:ascii="Tahoma" w:hAnsi="Tahoma" w:cs="Tahoma"/>
          <w:sz w:val="20"/>
          <w:szCs w:val="20"/>
        </w:rPr>
      </w:pPr>
    </w:p>
    <w:sectPr w:rsidR="000C52F6" w:rsidRPr="000C52F6" w:rsidSect="00B74E4D">
      <w:footerReference w:type="even" r:id="rId9"/>
      <w:footerReference w:type="default" r:id="rId10"/>
      <w:pgSz w:w="12242" w:h="18722" w:code="121"/>
      <w:pgMar w:top="1134" w:right="1134" w:bottom="1134" w:left="1134"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36F8" w:rsidRDefault="00B636F8">
      <w:r>
        <w:separator/>
      </w:r>
    </w:p>
  </w:endnote>
  <w:endnote w:type="continuationSeparator" w:id="0">
    <w:p w:rsidR="00B636F8" w:rsidRDefault="00B636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new courier">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06B" w:rsidRDefault="00F0306B">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F0306B" w:rsidRDefault="00F0306B">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06B" w:rsidRDefault="00F0306B">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6B6BC1">
      <w:rPr>
        <w:rStyle w:val="Numrodepage"/>
        <w:noProof/>
      </w:rPr>
      <w:t>2</w:t>
    </w:r>
    <w:r>
      <w:rPr>
        <w:rStyle w:val="Numrodepage"/>
      </w:rPr>
      <w:fldChar w:fldCharType="end"/>
    </w:r>
  </w:p>
  <w:p w:rsidR="00F0306B" w:rsidRDefault="00F0306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36F8" w:rsidRDefault="00B636F8">
      <w:r>
        <w:separator/>
      </w:r>
    </w:p>
  </w:footnote>
  <w:footnote w:type="continuationSeparator" w:id="0">
    <w:p w:rsidR="00B636F8" w:rsidRDefault="00B636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75FC3"/>
    <w:multiLevelType w:val="hybridMultilevel"/>
    <w:tmpl w:val="21842D5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33377D9"/>
    <w:multiLevelType w:val="hybridMultilevel"/>
    <w:tmpl w:val="E2BE222E"/>
    <w:lvl w:ilvl="0" w:tplc="C7C2F05E">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6383E22"/>
    <w:multiLevelType w:val="multilevel"/>
    <w:tmpl w:val="AE6CFBBE"/>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
    <w:nsid w:val="1086275D"/>
    <w:multiLevelType w:val="hybridMultilevel"/>
    <w:tmpl w:val="E440EE6E"/>
    <w:lvl w:ilvl="0" w:tplc="28941068">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2DC43C7"/>
    <w:multiLevelType w:val="hybridMultilevel"/>
    <w:tmpl w:val="DBFC14C6"/>
    <w:lvl w:ilvl="0" w:tplc="0C0A0001">
      <w:start w:val="1"/>
      <w:numFmt w:val="bullet"/>
      <w:lvlText w:val=""/>
      <w:lvlJc w:val="left"/>
      <w:pPr>
        <w:tabs>
          <w:tab w:val="num" w:pos="840"/>
        </w:tabs>
        <w:ind w:left="840" w:hanging="360"/>
      </w:pPr>
      <w:rPr>
        <w:rFonts w:ascii="Symbol" w:hAnsi="Symbol" w:cs="Symbol" w:hint="default"/>
      </w:rPr>
    </w:lvl>
    <w:lvl w:ilvl="1" w:tplc="0C0A0003">
      <w:start w:val="1"/>
      <w:numFmt w:val="bullet"/>
      <w:lvlText w:val="o"/>
      <w:lvlJc w:val="left"/>
      <w:pPr>
        <w:tabs>
          <w:tab w:val="num" w:pos="1560"/>
        </w:tabs>
        <w:ind w:left="1560" w:hanging="360"/>
      </w:pPr>
      <w:rPr>
        <w:rFonts w:ascii="Courier New" w:hAnsi="Courier New" w:cs="Courier New" w:hint="default"/>
      </w:rPr>
    </w:lvl>
    <w:lvl w:ilvl="2" w:tplc="0C0A0005">
      <w:start w:val="1"/>
      <w:numFmt w:val="bullet"/>
      <w:lvlText w:val=""/>
      <w:lvlJc w:val="left"/>
      <w:pPr>
        <w:tabs>
          <w:tab w:val="num" w:pos="2280"/>
        </w:tabs>
        <w:ind w:left="2280" w:hanging="360"/>
      </w:pPr>
      <w:rPr>
        <w:rFonts w:ascii="Wingdings" w:hAnsi="Wingdings" w:cs="Wingdings" w:hint="default"/>
      </w:rPr>
    </w:lvl>
    <w:lvl w:ilvl="3" w:tplc="0C0A0001">
      <w:start w:val="1"/>
      <w:numFmt w:val="bullet"/>
      <w:lvlText w:val=""/>
      <w:lvlJc w:val="left"/>
      <w:pPr>
        <w:tabs>
          <w:tab w:val="num" w:pos="3000"/>
        </w:tabs>
        <w:ind w:left="3000" w:hanging="360"/>
      </w:pPr>
      <w:rPr>
        <w:rFonts w:ascii="Symbol" w:hAnsi="Symbol" w:cs="Symbol" w:hint="default"/>
      </w:rPr>
    </w:lvl>
    <w:lvl w:ilvl="4" w:tplc="0C0A0003">
      <w:start w:val="1"/>
      <w:numFmt w:val="bullet"/>
      <w:lvlText w:val="o"/>
      <w:lvlJc w:val="left"/>
      <w:pPr>
        <w:tabs>
          <w:tab w:val="num" w:pos="3720"/>
        </w:tabs>
        <w:ind w:left="3720" w:hanging="360"/>
      </w:pPr>
      <w:rPr>
        <w:rFonts w:ascii="Courier New" w:hAnsi="Courier New" w:cs="Courier New" w:hint="default"/>
      </w:rPr>
    </w:lvl>
    <w:lvl w:ilvl="5" w:tplc="0C0A0005">
      <w:start w:val="1"/>
      <w:numFmt w:val="bullet"/>
      <w:lvlText w:val=""/>
      <w:lvlJc w:val="left"/>
      <w:pPr>
        <w:tabs>
          <w:tab w:val="num" w:pos="4440"/>
        </w:tabs>
        <w:ind w:left="4440" w:hanging="360"/>
      </w:pPr>
      <w:rPr>
        <w:rFonts w:ascii="Wingdings" w:hAnsi="Wingdings" w:cs="Wingdings" w:hint="default"/>
      </w:rPr>
    </w:lvl>
    <w:lvl w:ilvl="6" w:tplc="0C0A0001">
      <w:start w:val="1"/>
      <w:numFmt w:val="bullet"/>
      <w:lvlText w:val=""/>
      <w:lvlJc w:val="left"/>
      <w:pPr>
        <w:tabs>
          <w:tab w:val="num" w:pos="5160"/>
        </w:tabs>
        <w:ind w:left="5160" w:hanging="360"/>
      </w:pPr>
      <w:rPr>
        <w:rFonts w:ascii="Symbol" w:hAnsi="Symbol" w:cs="Symbol" w:hint="default"/>
      </w:rPr>
    </w:lvl>
    <w:lvl w:ilvl="7" w:tplc="0C0A0003">
      <w:start w:val="1"/>
      <w:numFmt w:val="bullet"/>
      <w:lvlText w:val="o"/>
      <w:lvlJc w:val="left"/>
      <w:pPr>
        <w:tabs>
          <w:tab w:val="num" w:pos="5880"/>
        </w:tabs>
        <w:ind w:left="5880" w:hanging="360"/>
      </w:pPr>
      <w:rPr>
        <w:rFonts w:ascii="Courier New" w:hAnsi="Courier New" w:cs="Courier New" w:hint="default"/>
      </w:rPr>
    </w:lvl>
    <w:lvl w:ilvl="8" w:tplc="0C0A0005">
      <w:start w:val="1"/>
      <w:numFmt w:val="bullet"/>
      <w:lvlText w:val=""/>
      <w:lvlJc w:val="left"/>
      <w:pPr>
        <w:tabs>
          <w:tab w:val="num" w:pos="6600"/>
        </w:tabs>
        <w:ind w:left="6600" w:hanging="360"/>
      </w:pPr>
      <w:rPr>
        <w:rFonts w:ascii="Wingdings" w:hAnsi="Wingdings" w:cs="Wingdings" w:hint="default"/>
      </w:rPr>
    </w:lvl>
  </w:abstractNum>
  <w:abstractNum w:abstractNumId="5">
    <w:nsid w:val="17863691"/>
    <w:multiLevelType w:val="multilevel"/>
    <w:tmpl w:val="12B64AE6"/>
    <w:lvl w:ilvl="0">
      <w:start w:val="4"/>
      <w:numFmt w:val="decimal"/>
      <w:lvlText w:val="%1"/>
      <w:lvlJc w:val="left"/>
      <w:pPr>
        <w:ind w:left="375" w:hanging="375"/>
      </w:pPr>
      <w:rPr>
        <w:rFonts w:hint="default"/>
      </w:rPr>
    </w:lvl>
    <w:lvl w:ilvl="1">
      <w:start w:val="1"/>
      <w:numFmt w:val="decimal"/>
      <w:lvlText w:val="%1.%2"/>
      <w:lvlJc w:val="left"/>
      <w:pPr>
        <w:ind w:left="1468" w:hanging="720"/>
      </w:pPr>
      <w:rPr>
        <w:rFonts w:hint="default"/>
      </w:rPr>
    </w:lvl>
    <w:lvl w:ilvl="2">
      <w:start w:val="1"/>
      <w:numFmt w:val="decimal"/>
      <w:lvlText w:val="%1.%2.%3"/>
      <w:lvlJc w:val="left"/>
      <w:pPr>
        <w:ind w:left="2576" w:hanging="1080"/>
      </w:pPr>
      <w:rPr>
        <w:rFonts w:hint="default"/>
      </w:rPr>
    </w:lvl>
    <w:lvl w:ilvl="3">
      <w:start w:val="1"/>
      <w:numFmt w:val="decimal"/>
      <w:lvlText w:val="%1.%2.%3.%4"/>
      <w:lvlJc w:val="left"/>
      <w:pPr>
        <w:ind w:left="3324" w:hanging="1080"/>
      </w:pPr>
      <w:rPr>
        <w:rFonts w:hint="default"/>
      </w:rPr>
    </w:lvl>
    <w:lvl w:ilvl="4">
      <w:start w:val="1"/>
      <w:numFmt w:val="decimal"/>
      <w:lvlText w:val="%1.%2.%3.%4.%5"/>
      <w:lvlJc w:val="left"/>
      <w:pPr>
        <w:ind w:left="4432" w:hanging="1440"/>
      </w:pPr>
      <w:rPr>
        <w:rFonts w:hint="default"/>
      </w:rPr>
    </w:lvl>
    <w:lvl w:ilvl="5">
      <w:start w:val="1"/>
      <w:numFmt w:val="decimal"/>
      <w:lvlText w:val="%1.%2.%3.%4.%5.%6"/>
      <w:lvlJc w:val="left"/>
      <w:pPr>
        <w:ind w:left="5540" w:hanging="1800"/>
      </w:pPr>
      <w:rPr>
        <w:rFonts w:hint="default"/>
      </w:rPr>
    </w:lvl>
    <w:lvl w:ilvl="6">
      <w:start w:val="1"/>
      <w:numFmt w:val="decimal"/>
      <w:lvlText w:val="%1.%2.%3.%4.%5.%6.%7"/>
      <w:lvlJc w:val="left"/>
      <w:pPr>
        <w:ind w:left="6648" w:hanging="2160"/>
      </w:pPr>
      <w:rPr>
        <w:rFonts w:hint="default"/>
      </w:rPr>
    </w:lvl>
    <w:lvl w:ilvl="7">
      <w:start w:val="1"/>
      <w:numFmt w:val="decimal"/>
      <w:lvlText w:val="%1.%2.%3.%4.%5.%6.%7.%8"/>
      <w:lvlJc w:val="left"/>
      <w:pPr>
        <w:ind w:left="7396" w:hanging="2160"/>
      </w:pPr>
      <w:rPr>
        <w:rFonts w:hint="default"/>
      </w:rPr>
    </w:lvl>
    <w:lvl w:ilvl="8">
      <w:start w:val="1"/>
      <w:numFmt w:val="decimal"/>
      <w:lvlText w:val="%1.%2.%3.%4.%5.%6.%7.%8.%9"/>
      <w:lvlJc w:val="left"/>
      <w:pPr>
        <w:ind w:left="8504" w:hanging="2520"/>
      </w:pPr>
      <w:rPr>
        <w:rFonts w:hint="default"/>
      </w:rPr>
    </w:lvl>
  </w:abstractNum>
  <w:abstractNum w:abstractNumId="6">
    <w:nsid w:val="1BCB7A59"/>
    <w:multiLevelType w:val="multilevel"/>
    <w:tmpl w:val="E5684C70"/>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7">
    <w:nsid w:val="23C20E23"/>
    <w:multiLevelType w:val="hybridMultilevel"/>
    <w:tmpl w:val="FD58D49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57B2BC5"/>
    <w:multiLevelType w:val="hybridMultilevel"/>
    <w:tmpl w:val="52EA50C2"/>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2C6A1C1D"/>
    <w:multiLevelType w:val="hybridMultilevel"/>
    <w:tmpl w:val="9B6867CE"/>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311663FE"/>
    <w:multiLevelType w:val="hybridMultilevel"/>
    <w:tmpl w:val="EA66C8E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36226CE2"/>
    <w:multiLevelType w:val="hybridMultilevel"/>
    <w:tmpl w:val="521C93AA"/>
    <w:lvl w:ilvl="0" w:tplc="7C6C992A">
      <w:start w:val="1"/>
      <w:numFmt w:val="lowerLetter"/>
      <w:lvlText w:val="%1)"/>
      <w:lvlJc w:val="left"/>
      <w:pPr>
        <w:tabs>
          <w:tab w:val="num" w:pos="519"/>
        </w:tabs>
        <w:ind w:left="519" w:hanging="360"/>
      </w:pPr>
      <w:rPr>
        <w:rFonts w:hint="default"/>
      </w:rPr>
    </w:lvl>
    <w:lvl w:ilvl="1" w:tplc="0C0A0019" w:tentative="1">
      <w:start w:val="1"/>
      <w:numFmt w:val="lowerLetter"/>
      <w:lvlText w:val="%2."/>
      <w:lvlJc w:val="left"/>
      <w:pPr>
        <w:tabs>
          <w:tab w:val="num" w:pos="1239"/>
        </w:tabs>
        <w:ind w:left="1239" w:hanging="360"/>
      </w:pPr>
    </w:lvl>
    <w:lvl w:ilvl="2" w:tplc="0C0A001B" w:tentative="1">
      <w:start w:val="1"/>
      <w:numFmt w:val="lowerRoman"/>
      <w:lvlText w:val="%3."/>
      <w:lvlJc w:val="right"/>
      <w:pPr>
        <w:tabs>
          <w:tab w:val="num" w:pos="1959"/>
        </w:tabs>
        <w:ind w:left="1959" w:hanging="180"/>
      </w:pPr>
    </w:lvl>
    <w:lvl w:ilvl="3" w:tplc="0C0A000F" w:tentative="1">
      <w:start w:val="1"/>
      <w:numFmt w:val="decimal"/>
      <w:lvlText w:val="%4."/>
      <w:lvlJc w:val="left"/>
      <w:pPr>
        <w:tabs>
          <w:tab w:val="num" w:pos="2679"/>
        </w:tabs>
        <w:ind w:left="2679" w:hanging="360"/>
      </w:pPr>
    </w:lvl>
    <w:lvl w:ilvl="4" w:tplc="0C0A0019" w:tentative="1">
      <w:start w:val="1"/>
      <w:numFmt w:val="lowerLetter"/>
      <w:lvlText w:val="%5."/>
      <w:lvlJc w:val="left"/>
      <w:pPr>
        <w:tabs>
          <w:tab w:val="num" w:pos="3399"/>
        </w:tabs>
        <w:ind w:left="3399" w:hanging="360"/>
      </w:pPr>
    </w:lvl>
    <w:lvl w:ilvl="5" w:tplc="0C0A001B" w:tentative="1">
      <w:start w:val="1"/>
      <w:numFmt w:val="lowerRoman"/>
      <w:lvlText w:val="%6."/>
      <w:lvlJc w:val="right"/>
      <w:pPr>
        <w:tabs>
          <w:tab w:val="num" w:pos="4119"/>
        </w:tabs>
        <w:ind w:left="4119" w:hanging="180"/>
      </w:pPr>
    </w:lvl>
    <w:lvl w:ilvl="6" w:tplc="0C0A000F" w:tentative="1">
      <w:start w:val="1"/>
      <w:numFmt w:val="decimal"/>
      <w:lvlText w:val="%7."/>
      <w:lvlJc w:val="left"/>
      <w:pPr>
        <w:tabs>
          <w:tab w:val="num" w:pos="4839"/>
        </w:tabs>
        <w:ind w:left="4839" w:hanging="360"/>
      </w:pPr>
    </w:lvl>
    <w:lvl w:ilvl="7" w:tplc="0C0A0019" w:tentative="1">
      <w:start w:val="1"/>
      <w:numFmt w:val="lowerLetter"/>
      <w:lvlText w:val="%8."/>
      <w:lvlJc w:val="left"/>
      <w:pPr>
        <w:tabs>
          <w:tab w:val="num" w:pos="5559"/>
        </w:tabs>
        <w:ind w:left="5559" w:hanging="360"/>
      </w:pPr>
    </w:lvl>
    <w:lvl w:ilvl="8" w:tplc="0C0A001B" w:tentative="1">
      <w:start w:val="1"/>
      <w:numFmt w:val="lowerRoman"/>
      <w:lvlText w:val="%9."/>
      <w:lvlJc w:val="right"/>
      <w:pPr>
        <w:tabs>
          <w:tab w:val="num" w:pos="6279"/>
        </w:tabs>
        <w:ind w:left="6279" w:hanging="180"/>
      </w:pPr>
    </w:lvl>
  </w:abstractNum>
  <w:abstractNum w:abstractNumId="12">
    <w:nsid w:val="52584BB7"/>
    <w:multiLevelType w:val="hybridMultilevel"/>
    <w:tmpl w:val="40D6A400"/>
    <w:lvl w:ilvl="0" w:tplc="E0B65BC6">
      <w:start w:val="1"/>
      <w:numFmt w:val="lowerRoman"/>
      <w:lvlText w:val="%1)"/>
      <w:lvlJc w:val="left"/>
      <w:pPr>
        <w:tabs>
          <w:tab w:val="num" w:pos="1428"/>
        </w:tabs>
        <w:ind w:left="1428" w:hanging="720"/>
      </w:pPr>
      <w:rPr>
        <w:rFonts w:hint="default"/>
        <w:i/>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3">
    <w:nsid w:val="52B76E59"/>
    <w:multiLevelType w:val="hybridMultilevel"/>
    <w:tmpl w:val="AD9815F2"/>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543965FD"/>
    <w:multiLevelType w:val="hybridMultilevel"/>
    <w:tmpl w:val="B6C661B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575A6BF4"/>
    <w:multiLevelType w:val="hybridMultilevel"/>
    <w:tmpl w:val="42FAF3BE"/>
    <w:lvl w:ilvl="0" w:tplc="0C0A000F">
      <w:start w:val="3"/>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58F16E6A"/>
    <w:multiLevelType w:val="hybridMultilevel"/>
    <w:tmpl w:val="378C67B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5B3A79D6"/>
    <w:multiLevelType w:val="hybridMultilevel"/>
    <w:tmpl w:val="ECBC84C6"/>
    <w:lvl w:ilvl="0" w:tplc="0C0A000F">
      <w:start w:val="1"/>
      <w:numFmt w:val="decimal"/>
      <w:lvlText w:val="%1."/>
      <w:lvlJc w:val="left"/>
      <w:pPr>
        <w:tabs>
          <w:tab w:val="num" w:pos="720"/>
        </w:tabs>
        <w:ind w:left="720" w:hanging="360"/>
      </w:pPr>
    </w:lvl>
    <w:lvl w:ilvl="1" w:tplc="11A43FEE">
      <w:start w:val="1"/>
      <w:numFmt w:val="upperRoman"/>
      <w:lvlText w:val="%2."/>
      <w:lvlJc w:val="left"/>
      <w:pPr>
        <w:tabs>
          <w:tab w:val="num" w:pos="1800"/>
        </w:tabs>
        <w:ind w:left="1800" w:hanging="720"/>
      </w:pPr>
      <w:rPr>
        <w:rFonts w:hint="default"/>
        <w:b/>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5D3D24DC"/>
    <w:multiLevelType w:val="hybridMultilevel"/>
    <w:tmpl w:val="0596AD7E"/>
    <w:lvl w:ilvl="0" w:tplc="0C0A000F">
      <w:start w:val="1"/>
      <w:numFmt w:val="decimal"/>
      <w:lvlText w:val="%1."/>
      <w:lvlJc w:val="left"/>
      <w:pPr>
        <w:tabs>
          <w:tab w:val="num" w:pos="720"/>
        </w:tabs>
        <w:ind w:left="720" w:hanging="360"/>
      </w:pPr>
      <w:rPr>
        <w:rFonts w:hint="default"/>
      </w:rPr>
    </w:lvl>
    <w:lvl w:ilvl="1" w:tplc="5502C326">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67626DBC"/>
    <w:multiLevelType w:val="hybridMultilevel"/>
    <w:tmpl w:val="24DC7A82"/>
    <w:lvl w:ilvl="0" w:tplc="0C0A000F">
      <w:start w:val="2"/>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6B3D57D1"/>
    <w:multiLevelType w:val="multilevel"/>
    <w:tmpl w:val="7F6005D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440"/>
        </w:tabs>
        <w:ind w:left="1440" w:hanging="108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2160"/>
        </w:tabs>
        <w:ind w:left="2160" w:hanging="180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880"/>
        </w:tabs>
        <w:ind w:left="2880" w:hanging="2520"/>
      </w:pPr>
      <w:rPr>
        <w:rFonts w:hint="default"/>
      </w:rPr>
    </w:lvl>
  </w:abstractNum>
  <w:abstractNum w:abstractNumId="21">
    <w:nsid w:val="7E240C7A"/>
    <w:multiLevelType w:val="hybridMultilevel"/>
    <w:tmpl w:val="CA7C8B9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7EA30698"/>
    <w:multiLevelType w:val="hybridMultilevel"/>
    <w:tmpl w:val="D5BE68D2"/>
    <w:lvl w:ilvl="0" w:tplc="0C0A000F">
      <w:start w:val="3"/>
      <w:numFmt w:val="decimal"/>
      <w:lvlText w:val="%1."/>
      <w:lvlJc w:val="left"/>
      <w:pPr>
        <w:tabs>
          <w:tab w:val="num" w:pos="1776"/>
        </w:tabs>
        <w:ind w:left="1776" w:hanging="360"/>
      </w:pPr>
      <w:rPr>
        <w:rFonts w:hint="default"/>
      </w:rPr>
    </w:lvl>
    <w:lvl w:ilvl="1" w:tplc="0C0A0019" w:tentative="1">
      <w:start w:val="1"/>
      <w:numFmt w:val="lowerLetter"/>
      <w:lvlText w:val="%2."/>
      <w:lvlJc w:val="left"/>
      <w:pPr>
        <w:tabs>
          <w:tab w:val="num" w:pos="2496"/>
        </w:tabs>
        <w:ind w:left="2496" w:hanging="360"/>
      </w:pPr>
    </w:lvl>
    <w:lvl w:ilvl="2" w:tplc="0C0A001B" w:tentative="1">
      <w:start w:val="1"/>
      <w:numFmt w:val="lowerRoman"/>
      <w:lvlText w:val="%3."/>
      <w:lvlJc w:val="right"/>
      <w:pPr>
        <w:tabs>
          <w:tab w:val="num" w:pos="3216"/>
        </w:tabs>
        <w:ind w:left="3216" w:hanging="180"/>
      </w:pPr>
    </w:lvl>
    <w:lvl w:ilvl="3" w:tplc="0C0A000F" w:tentative="1">
      <w:start w:val="1"/>
      <w:numFmt w:val="decimal"/>
      <w:lvlText w:val="%4."/>
      <w:lvlJc w:val="left"/>
      <w:pPr>
        <w:tabs>
          <w:tab w:val="num" w:pos="3936"/>
        </w:tabs>
        <w:ind w:left="3936" w:hanging="360"/>
      </w:pPr>
    </w:lvl>
    <w:lvl w:ilvl="4" w:tplc="0C0A0019" w:tentative="1">
      <w:start w:val="1"/>
      <w:numFmt w:val="lowerLetter"/>
      <w:lvlText w:val="%5."/>
      <w:lvlJc w:val="left"/>
      <w:pPr>
        <w:tabs>
          <w:tab w:val="num" w:pos="4656"/>
        </w:tabs>
        <w:ind w:left="4656" w:hanging="360"/>
      </w:pPr>
    </w:lvl>
    <w:lvl w:ilvl="5" w:tplc="0C0A001B" w:tentative="1">
      <w:start w:val="1"/>
      <w:numFmt w:val="lowerRoman"/>
      <w:lvlText w:val="%6."/>
      <w:lvlJc w:val="right"/>
      <w:pPr>
        <w:tabs>
          <w:tab w:val="num" w:pos="5376"/>
        </w:tabs>
        <w:ind w:left="5376" w:hanging="180"/>
      </w:pPr>
    </w:lvl>
    <w:lvl w:ilvl="6" w:tplc="0C0A000F" w:tentative="1">
      <w:start w:val="1"/>
      <w:numFmt w:val="decimal"/>
      <w:lvlText w:val="%7."/>
      <w:lvlJc w:val="left"/>
      <w:pPr>
        <w:tabs>
          <w:tab w:val="num" w:pos="6096"/>
        </w:tabs>
        <w:ind w:left="6096" w:hanging="360"/>
      </w:pPr>
    </w:lvl>
    <w:lvl w:ilvl="7" w:tplc="0C0A0019" w:tentative="1">
      <w:start w:val="1"/>
      <w:numFmt w:val="lowerLetter"/>
      <w:lvlText w:val="%8."/>
      <w:lvlJc w:val="left"/>
      <w:pPr>
        <w:tabs>
          <w:tab w:val="num" w:pos="6816"/>
        </w:tabs>
        <w:ind w:left="6816" w:hanging="360"/>
      </w:pPr>
    </w:lvl>
    <w:lvl w:ilvl="8" w:tplc="0C0A001B" w:tentative="1">
      <w:start w:val="1"/>
      <w:numFmt w:val="lowerRoman"/>
      <w:lvlText w:val="%9."/>
      <w:lvlJc w:val="right"/>
      <w:pPr>
        <w:tabs>
          <w:tab w:val="num" w:pos="7536"/>
        </w:tabs>
        <w:ind w:left="7536" w:hanging="180"/>
      </w:pPr>
    </w:lvl>
  </w:abstractNum>
  <w:num w:numId="1">
    <w:abstractNumId w:val="4"/>
  </w:num>
  <w:num w:numId="2">
    <w:abstractNumId w:val="13"/>
  </w:num>
  <w:num w:numId="3">
    <w:abstractNumId w:val="8"/>
  </w:num>
  <w:num w:numId="4">
    <w:abstractNumId w:val="15"/>
  </w:num>
  <w:num w:numId="5">
    <w:abstractNumId w:val="9"/>
  </w:num>
  <w:num w:numId="6">
    <w:abstractNumId w:val="16"/>
  </w:num>
  <w:num w:numId="7">
    <w:abstractNumId w:val="11"/>
  </w:num>
  <w:num w:numId="8">
    <w:abstractNumId w:val="0"/>
  </w:num>
  <w:num w:numId="9">
    <w:abstractNumId w:val="18"/>
  </w:num>
  <w:num w:numId="10">
    <w:abstractNumId w:val="22"/>
  </w:num>
  <w:num w:numId="11">
    <w:abstractNumId w:val="20"/>
  </w:num>
  <w:num w:numId="12">
    <w:abstractNumId w:val="19"/>
  </w:num>
  <w:num w:numId="13">
    <w:abstractNumId w:val="12"/>
  </w:num>
  <w:num w:numId="14">
    <w:abstractNumId w:val="17"/>
  </w:num>
  <w:num w:numId="15">
    <w:abstractNumId w:val="2"/>
  </w:num>
  <w:num w:numId="16">
    <w:abstractNumId w:val="7"/>
  </w:num>
  <w:num w:numId="17">
    <w:abstractNumId w:val="3"/>
  </w:num>
  <w:num w:numId="18">
    <w:abstractNumId w:val="5"/>
  </w:num>
  <w:num w:numId="19">
    <w:abstractNumId w:val="14"/>
  </w:num>
  <w:num w:numId="20">
    <w:abstractNumId w:val="1"/>
  </w:num>
  <w:num w:numId="21">
    <w:abstractNumId w:val="6"/>
  </w:num>
  <w:num w:numId="22">
    <w:abstractNumId w:val="10"/>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804"/>
    <w:rsid w:val="00001D9E"/>
    <w:rsid w:val="00005FE7"/>
    <w:rsid w:val="00031AD6"/>
    <w:rsid w:val="0003459A"/>
    <w:rsid w:val="00055D56"/>
    <w:rsid w:val="00080EDF"/>
    <w:rsid w:val="00085817"/>
    <w:rsid w:val="00087702"/>
    <w:rsid w:val="0009080D"/>
    <w:rsid w:val="0009221C"/>
    <w:rsid w:val="00095044"/>
    <w:rsid w:val="00095BCE"/>
    <w:rsid w:val="000A56AE"/>
    <w:rsid w:val="000A681C"/>
    <w:rsid w:val="000B2D41"/>
    <w:rsid w:val="000C52F6"/>
    <w:rsid w:val="00103495"/>
    <w:rsid w:val="00107A5B"/>
    <w:rsid w:val="001103D7"/>
    <w:rsid w:val="00115AFF"/>
    <w:rsid w:val="00121694"/>
    <w:rsid w:val="0012673F"/>
    <w:rsid w:val="00156484"/>
    <w:rsid w:val="00173C9C"/>
    <w:rsid w:val="001811C6"/>
    <w:rsid w:val="001A16A0"/>
    <w:rsid w:val="001A56E3"/>
    <w:rsid w:val="001A7ABE"/>
    <w:rsid w:val="001B051C"/>
    <w:rsid w:val="001B1BBE"/>
    <w:rsid w:val="001C0EBE"/>
    <w:rsid w:val="001C3B62"/>
    <w:rsid w:val="001D0F0B"/>
    <w:rsid w:val="001D1D11"/>
    <w:rsid w:val="001D688D"/>
    <w:rsid w:val="001E000E"/>
    <w:rsid w:val="001E6555"/>
    <w:rsid w:val="00201C0A"/>
    <w:rsid w:val="00210B65"/>
    <w:rsid w:val="00221E3E"/>
    <w:rsid w:val="002228D3"/>
    <w:rsid w:val="00222EC4"/>
    <w:rsid w:val="00231DFB"/>
    <w:rsid w:val="00233C49"/>
    <w:rsid w:val="00234FC1"/>
    <w:rsid w:val="00253F96"/>
    <w:rsid w:val="002551FF"/>
    <w:rsid w:val="0025601E"/>
    <w:rsid w:val="002643DF"/>
    <w:rsid w:val="0028043A"/>
    <w:rsid w:val="00283CAB"/>
    <w:rsid w:val="00291110"/>
    <w:rsid w:val="002A07ED"/>
    <w:rsid w:val="002C7A6B"/>
    <w:rsid w:val="002F2E49"/>
    <w:rsid w:val="003021B2"/>
    <w:rsid w:val="003224A8"/>
    <w:rsid w:val="003245A0"/>
    <w:rsid w:val="00326D68"/>
    <w:rsid w:val="003325AA"/>
    <w:rsid w:val="00337271"/>
    <w:rsid w:val="00363522"/>
    <w:rsid w:val="00386451"/>
    <w:rsid w:val="003A53D9"/>
    <w:rsid w:val="003A6AB6"/>
    <w:rsid w:val="003B67F2"/>
    <w:rsid w:val="003D4F25"/>
    <w:rsid w:val="00411366"/>
    <w:rsid w:val="00421A82"/>
    <w:rsid w:val="00423330"/>
    <w:rsid w:val="00496E67"/>
    <w:rsid w:val="00497A9F"/>
    <w:rsid w:val="004A1075"/>
    <w:rsid w:val="004A7232"/>
    <w:rsid w:val="004C10F3"/>
    <w:rsid w:val="004C1DC8"/>
    <w:rsid w:val="004C4FC3"/>
    <w:rsid w:val="004C5D20"/>
    <w:rsid w:val="004C7FD6"/>
    <w:rsid w:val="004D1C41"/>
    <w:rsid w:val="004D24A4"/>
    <w:rsid w:val="004E24AF"/>
    <w:rsid w:val="004E5FAC"/>
    <w:rsid w:val="00503C57"/>
    <w:rsid w:val="00504CB1"/>
    <w:rsid w:val="00510B20"/>
    <w:rsid w:val="0051471B"/>
    <w:rsid w:val="00527AE4"/>
    <w:rsid w:val="00534531"/>
    <w:rsid w:val="00554071"/>
    <w:rsid w:val="00554F04"/>
    <w:rsid w:val="00562945"/>
    <w:rsid w:val="0056523C"/>
    <w:rsid w:val="0056685B"/>
    <w:rsid w:val="00571A61"/>
    <w:rsid w:val="00583F42"/>
    <w:rsid w:val="00593D49"/>
    <w:rsid w:val="00594BBA"/>
    <w:rsid w:val="005A6189"/>
    <w:rsid w:val="005B4CD3"/>
    <w:rsid w:val="005B6D57"/>
    <w:rsid w:val="005C432E"/>
    <w:rsid w:val="005D0315"/>
    <w:rsid w:val="005D6C17"/>
    <w:rsid w:val="005D73E1"/>
    <w:rsid w:val="005F1C18"/>
    <w:rsid w:val="005F3741"/>
    <w:rsid w:val="0060110F"/>
    <w:rsid w:val="00601BB9"/>
    <w:rsid w:val="006235BE"/>
    <w:rsid w:val="006532E4"/>
    <w:rsid w:val="00676FC1"/>
    <w:rsid w:val="006959D3"/>
    <w:rsid w:val="006A38A3"/>
    <w:rsid w:val="006B6BC1"/>
    <w:rsid w:val="007034B7"/>
    <w:rsid w:val="0070606F"/>
    <w:rsid w:val="007145A4"/>
    <w:rsid w:val="00751C3D"/>
    <w:rsid w:val="007528F1"/>
    <w:rsid w:val="00757AFF"/>
    <w:rsid w:val="00760339"/>
    <w:rsid w:val="00762F4A"/>
    <w:rsid w:val="00777535"/>
    <w:rsid w:val="00777A28"/>
    <w:rsid w:val="00782D3A"/>
    <w:rsid w:val="007A7DE2"/>
    <w:rsid w:val="007E7A37"/>
    <w:rsid w:val="007F721C"/>
    <w:rsid w:val="00800F64"/>
    <w:rsid w:val="00817723"/>
    <w:rsid w:val="008229C8"/>
    <w:rsid w:val="0083123E"/>
    <w:rsid w:val="00832A84"/>
    <w:rsid w:val="0083571A"/>
    <w:rsid w:val="0084245B"/>
    <w:rsid w:val="0086126A"/>
    <w:rsid w:val="0086564D"/>
    <w:rsid w:val="0086650B"/>
    <w:rsid w:val="0086762A"/>
    <w:rsid w:val="00872948"/>
    <w:rsid w:val="008768A2"/>
    <w:rsid w:val="00880685"/>
    <w:rsid w:val="00891AF1"/>
    <w:rsid w:val="008C09D3"/>
    <w:rsid w:val="008C29B3"/>
    <w:rsid w:val="008E049A"/>
    <w:rsid w:val="008F0F3E"/>
    <w:rsid w:val="008F5548"/>
    <w:rsid w:val="009046D3"/>
    <w:rsid w:val="00905052"/>
    <w:rsid w:val="0092576C"/>
    <w:rsid w:val="0094648D"/>
    <w:rsid w:val="00993F8A"/>
    <w:rsid w:val="009A1FF7"/>
    <w:rsid w:val="009A54E6"/>
    <w:rsid w:val="009B280C"/>
    <w:rsid w:val="009D0461"/>
    <w:rsid w:val="009F40F9"/>
    <w:rsid w:val="00A01BB0"/>
    <w:rsid w:val="00A14181"/>
    <w:rsid w:val="00A22CC1"/>
    <w:rsid w:val="00A25CE2"/>
    <w:rsid w:val="00A33025"/>
    <w:rsid w:val="00A337CF"/>
    <w:rsid w:val="00A541A3"/>
    <w:rsid w:val="00A717A9"/>
    <w:rsid w:val="00A73491"/>
    <w:rsid w:val="00A7446C"/>
    <w:rsid w:val="00A7792B"/>
    <w:rsid w:val="00A86A77"/>
    <w:rsid w:val="00A90B60"/>
    <w:rsid w:val="00A92BAB"/>
    <w:rsid w:val="00A97FA1"/>
    <w:rsid w:val="00AA6801"/>
    <w:rsid w:val="00AC143D"/>
    <w:rsid w:val="00AC64F9"/>
    <w:rsid w:val="00AD4352"/>
    <w:rsid w:val="00AE4607"/>
    <w:rsid w:val="00AF5FA9"/>
    <w:rsid w:val="00B0436C"/>
    <w:rsid w:val="00B42A97"/>
    <w:rsid w:val="00B43BEF"/>
    <w:rsid w:val="00B517E1"/>
    <w:rsid w:val="00B629B3"/>
    <w:rsid w:val="00B636F8"/>
    <w:rsid w:val="00B64E2A"/>
    <w:rsid w:val="00B67EBF"/>
    <w:rsid w:val="00B7056E"/>
    <w:rsid w:val="00B74E4D"/>
    <w:rsid w:val="00BD21AA"/>
    <w:rsid w:val="00C20C6E"/>
    <w:rsid w:val="00C213B4"/>
    <w:rsid w:val="00C2296F"/>
    <w:rsid w:val="00C24428"/>
    <w:rsid w:val="00C4311E"/>
    <w:rsid w:val="00C5427A"/>
    <w:rsid w:val="00C64469"/>
    <w:rsid w:val="00C76801"/>
    <w:rsid w:val="00C83E77"/>
    <w:rsid w:val="00C842BE"/>
    <w:rsid w:val="00C86633"/>
    <w:rsid w:val="00C9423D"/>
    <w:rsid w:val="00CB739E"/>
    <w:rsid w:val="00CD2BBF"/>
    <w:rsid w:val="00CD59F2"/>
    <w:rsid w:val="00CF6C5C"/>
    <w:rsid w:val="00D02A91"/>
    <w:rsid w:val="00D03D70"/>
    <w:rsid w:val="00D14814"/>
    <w:rsid w:val="00D308BA"/>
    <w:rsid w:val="00D75804"/>
    <w:rsid w:val="00D80C31"/>
    <w:rsid w:val="00D83073"/>
    <w:rsid w:val="00D84A29"/>
    <w:rsid w:val="00D935F4"/>
    <w:rsid w:val="00D93C01"/>
    <w:rsid w:val="00DB49AA"/>
    <w:rsid w:val="00DC0E7B"/>
    <w:rsid w:val="00DC1551"/>
    <w:rsid w:val="00DC74B9"/>
    <w:rsid w:val="00DE0FDF"/>
    <w:rsid w:val="00DF58E1"/>
    <w:rsid w:val="00E03CAC"/>
    <w:rsid w:val="00E068D8"/>
    <w:rsid w:val="00E148E0"/>
    <w:rsid w:val="00E178A4"/>
    <w:rsid w:val="00E25ADB"/>
    <w:rsid w:val="00E314D4"/>
    <w:rsid w:val="00E5059E"/>
    <w:rsid w:val="00E5165C"/>
    <w:rsid w:val="00E568CD"/>
    <w:rsid w:val="00E62799"/>
    <w:rsid w:val="00E63B7B"/>
    <w:rsid w:val="00E71BA8"/>
    <w:rsid w:val="00E8735A"/>
    <w:rsid w:val="00EB3E16"/>
    <w:rsid w:val="00EB620B"/>
    <w:rsid w:val="00EC047D"/>
    <w:rsid w:val="00ED79BB"/>
    <w:rsid w:val="00F01155"/>
    <w:rsid w:val="00F02782"/>
    <w:rsid w:val="00F0306B"/>
    <w:rsid w:val="00F13218"/>
    <w:rsid w:val="00F17120"/>
    <w:rsid w:val="00F233A1"/>
    <w:rsid w:val="00F308E1"/>
    <w:rsid w:val="00F43092"/>
    <w:rsid w:val="00F44F7C"/>
    <w:rsid w:val="00F47ADB"/>
    <w:rsid w:val="00F53ED3"/>
    <w:rsid w:val="00F55905"/>
    <w:rsid w:val="00F67008"/>
    <w:rsid w:val="00F77C73"/>
    <w:rsid w:val="00F81906"/>
    <w:rsid w:val="00F90957"/>
    <w:rsid w:val="00F91F81"/>
    <w:rsid w:val="00F92B7A"/>
    <w:rsid w:val="00FA3F02"/>
    <w:rsid w:val="00FB0904"/>
    <w:rsid w:val="00FC0800"/>
    <w:rsid w:val="00FC5548"/>
    <w:rsid w:val="00FD0051"/>
    <w:rsid w:val="00FD2216"/>
    <w:rsid w:val="00FD615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itre1">
    <w:name w:val="heading 1"/>
    <w:basedOn w:val="Normal"/>
    <w:next w:val="Normal"/>
    <w:qFormat/>
    <w:pPr>
      <w:keepNext/>
      <w:widowControl w:val="0"/>
      <w:autoSpaceDE w:val="0"/>
      <w:autoSpaceDN w:val="0"/>
      <w:adjustRightInd w:val="0"/>
      <w:jc w:val="center"/>
      <w:outlineLvl w:val="0"/>
    </w:pPr>
    <w:rPr>
      <w:rFonts w:ascii="Arial" w:hAnsi="Arial" w:cs="Arial"/>
      <w:b/>
      <w:sz w:val="28"/>
    </w:rPr>
  </w:style>
  <w:style w:type="paragraph" w:styleId="Titre2">
    <w:name w:val="heading 2"/>
    <w:basedOn w:val="Normal"/>
    <w:next w:val="Normal"/>
    <w:qFormat/>
    <w:pPr>
      <w:keepNext/>
      <w:widowControl w:val="0"/>
      <w:autoSpaceDE w:val="0"/>
      <w:autoSpaceDN w:val="0"/>
      <w:adjustRightInd w:val="0"/>
      <w:ind w:firstLine="360"/>
      <w:jc w:val="center"/>
      <w:outlineLvl w:val="1"/>
    </w:pPr>
    <w:rPr>
      <w:rFonts w:ascii="Arial" w:hAnsi="Arial" w:cs="Arial"/>
      <w:b/>
      <w:sz w:val="28"/>
    </w:rPr>
  </w:style>
  <w:style w:type="paragraph" w:styleId="Titre3">
    <w:name w:val="heading 3"/>
    <w:basedOn w:val="Normal"/>
    <w:next w:val="Normal"/>
    <w:qFormat/>
    <w:pPr>
      <w:keepNext/>
      <w:widowControl w:val="0"/>
      <w:autoSpaceDE w:val="0"/>
      <w:autoSpaceDN w:val="0"/>
      <w:adjustRightInd w:val="0"/>
      <w:spacing w:line="360" w:lineRule="auto"/>
      <w:jc w:val="center"/>
      <w:outlineLvl w:val="2"/>
    </w:pPr>
    <w:rPr>
      <w:rFonts w:ascii="Arial" w:hAnsi="Arial" w:cs="Arial"/>
      <w:b/>
    </w:rPr>
  </w:style>
  <w:style w:type="paragraph" w:styleId="Titre4">
    <w:name w:val="heading 4"/>
    <w:basedOn w:val="Normal"/>
    <w:next w:val="Normal"/>
    <w:qFormat/>
    <w:pPr>
      <w:keepNext/>
      <w:tabs>
        <w:tab w:val="left" w:pos="0"/>
      </w:tabs>
      <w:overflowPunct w:val="0"/>
      <w:autoSpaceDE w:val="0"/>
      <w:autoSpaceDN w:val="0"/>
      <w:adjustRightInd w:val="0"/>
      <w:jc w:val="center"/>
      <w:textAlignment w:val="baseline"/>
      <w:outlineLvl w:val="3"/>
    </w:pPr>
    <w:rPr>
      <w:b/>
      <w:szCs w:val="20"/>
    </w:rPr>
  </w:style>
  <w:style w:type="paragraph" w:styleId="Titre5">
    <w:name w:val="heading 5"/>
    <w:basedOn w:val="Normal"/>
    <w:next w:val="Normal"/>
    <w:link w:val="Titre5Car"/>
    <w:qFormat/>
    <w:pPr>
      <w:keepNext/>
      <w:widowControl w:val="0"/>
      <w:autoSpaceDE w:val="0"/>
      <w:autoSpaceDN w:val="0"/>
      <w:adjustRightInd w:val="0"/>
      <w:spacing w:line="360" w:lineRule="auto"/>
      <w:ind w:firstLine="708"/>
      <w:jc w:val="both"/>
      <w:outlineLvl w:val="4"/>
    </w:pPr>
    <w:rPr>
      <w:rFonts w:ascii="Arial" w:hAnsi="Arial" w:cs="Arial"/>
      <w:b/>
      <w:bCs/>
    </w:rPr>
  </w:style>
  <w:style w:type="paragraph" w:styleId="Titre6">
    <w:name w:val="heading 6"/>
    <w:basedOn w:val="Normal"/>
    <w:next w:val="Normal"/>
    <w:qFormat/>
    <w:pPr>
      <w:keepNext/>
      <w:widowControl w:val="0"/>
      <w:autoSpaceDE w:val="0"/>
      <w:autoSpaceDN w:val="0"/>
      <w:adjustRightInd w:val="0"/>
      <w:spacing w:line="360" w:lineRule="auto"/>
      <w:jc w:val="both"/>
      <w:outlineLvl w:val="5"/>
    </w:pPr>
    <w:rPr>
      <w:rFonts w:ascii="Arial" w:hAnsi="Arial" w:cs="Arial"/>
      <w:b/>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Texto nota pie Car,Ref. de nota al pie1,Texto de nota al pie,Footnote Text Char Char Char Char Char,Footnote Text Char Char Char Char,FA Fu,Footnote Text Char Char Char,referencia nota al pie,Footnote Text Char"/>
    <w:basedOn w:val="Normal"/>
    <w:link w:val="NotedebasdepageCar"/>
    <w:uiPriority w:val="99"/>
    <w:rPr>
      <w:sz w:val="20"/>
      <w:szCs w:val="20"/>
    </w:rPr>
  </w:style>
  <w:style w:type="character" w:styleId="Appelnotedebasdep">
    <w:name w:val="footnote reference"/>
    <w:uiPriority w:val="99"/>
    <w:rPr>
      <w:vertAlign w:val="superscript"/>
    </w:rPr>
  </w:style>
  <w:style w:type="paragraph" w:styleId="Corpsdetexte">
    <w:name w:val="Body Text"/>
    <w:basedOn w:val="Normal"/>
    <w:pPr>
      <w:autoSpaceDE w:val="0"/>
      <w:autoSpaceDN w:val="0"/>
      <w:adjustRightInd w:val="0"/>
      <w:jc w:val="both"/>
    </w:pPr>
    <w:rPr>
      <w:lang w:val="es-CO"/>
    </w:rPr>
  </w:style>
  <w:style w:type="paragraph" w:styleId="Retraitcorpsdetexte">
    <w:name w:val="Body Text Indent"/>
    <w:basedOn w:val="Normal"/>
    <w:pPr>
      <w:autoSpaceDE w:val="0"/>
      <w:autoSpaceDN w:val="0"/>
      <w:adjustRightInd w:val="0"/>
      <w:spacing w:line="360" w:lineRule="auto"/>
      <w:ind w:left="60"/>
      <w:jc w:val="both"/>
    </w:pPr>
    <w:rPr>
      <w:rFonts w:ascii="Arial" w:hAnsi="Arial" w:cs="Arial"/>
      <w:lang w:val="es-CO"/>
    </w:rPr>
  </w:style>
  <w:style w:type="paragraph" w:styleId="Retraitcorpsdetexte3">
    <w:name w:val="Body Text Indent 3"/>
    <w:basedOn w:val="Normal"/>
    <w:pPr>
      <w:spacing w:line="480" w:lineRule="auto"/>
      <w:ind w:firstLine="708"/>
      <w:jc w:val="both"/>
    </w:pPr>
    <w:rPr>
      <w:rFonts w:ascii="Arial" w:hAnsi="Arial" w:cs="Arial"/>
      <w:b/>
      <w:bCs/>
      <w:sz w:val="28"/>
      <w:szCs w:val="28"/>
      <w:lang w:val="es-ES_tradnl"/>
    </w:rPr>
  </w:style>
  <w:style w:type="paragraph" w:customStyle="1" w:styleId="Nueve">
    <w:name w:val="Nueve"/>
    <w:pPr>
      <w:widowControl w:val="0"/>
      <w:autoSpaceDE w:val="0"/>
      <w:autoSpaceDN w:val="0"/>
      <w:adjustRightInd w:val="0"/>
      <w:spacing w:before="71" w:after="71"/>
      <w:ind w:firstLine="159"/>
      <w:jc w:val="both"/>
    </w:pPr>
    <w:rPr>
      <w:rFonts w:ascii="Arial" w:hAnsi="Arial" w:cs="Arial"/>
      <w:color w:val="000000"/>
    </w:rPr>
  </w:style>
  <w:style w:type="paragraph" w:styleId="Retraitcorpsdetexte2">
    <w:name w:val="Body Text Indent 2"/>
    <w:basedOn w:val="Normal"/>
    <w:pPr>
      <w:widowControl w:val="0"/>
      <w:autoSpaceDE w:val="0"/>
      <w:autoSpaceDN w:val="0"/>
      <w:adjustRightInd w:val="0"/>
      <w:ind w:firstLine="708"/>
      <w:jc w:val="both"/>
    </w:pPr>
    <w:rPr>
      <w:rFonts w:ascii="Arial" w:hAnsi="Arial" w:cs="Arial"/>
      <w:sz w:val="28"/>
    </w:rPr>
  </w:style>
  <w:style w:type="paragraph" w:styleId="Corpsdetexte2">
    <w:name w:val="Body Text 2"/>
    <w:basedOn w:val="Normal"/>
    <w:pPr>
      <w:widowControl w:val="0"/>
      <w:autoSpaceDE w:val="0"/>
      <w:autoSpaceDN w:val="0"/>
      <w:adjustRightInd w:val="0"/>
      <w:jc w:val="both"/>
    </w:pPr>
    <w:rPr>
      <w:rFonts w:ascii="Arial" w:hAnsi="Arial" w:cs="Arial"/>
      <w:sz w:val="28"/>
    </w:rPr>
  </w:style>
  <w:style w:type="paragraph" w:styleId="Titre">
    <w:name w:val="Title"/>
    <w:basedOn w:val="Normal"/>
    <w:link w:val="TitreCar"/>
    <w:qFormat/>
    <w:pPr>
      <w:widowControl w:val="0"/>
      <w:autoSpaceDE w:val="0"/>
      <w:autoSpaceDN w:val="0"/>
      <w:adjustRightInd w:val="0"/>
      <w:spacing w:line="360" w:lineRule="auto"/>
      <w:jc w:val="center"/>
    </w:pPr>
    <w:rPr>
      <w:rFonts w:ascii="Arial" w:hAnsi="Arial" w:cs="Arial"/>
      <w:b/>
    </w:rPr>
  </w:style>
  <w:style w:type="paragraph" w:styleId="Normalcentr">
    <w:name w:val="Block Text"/>
    <w:basedOn w:val="Normal"/>
    <w:pPr>
      <w:spacing w:line="360" w:lineRule="auto"/>
      <w:ind w:left="1134" w:right="567"/>
      <w:jc w:val="both"/>
    </w:pPr>
    <w:rPr>
      <w:rFonts w:ascii="Book Antiqua" w:hAnsi="Book Antiqua" w:cs="Arial"/>
    </w:rPr>
  </w:style>
  <w:style w:type="paragraph" w:styleId="Pieddepage">
    <w:name w:val="footer"/>
    <w:basedOn w:val="Normal"/>
    <w:pPr>
      <w:tabs>
        <w:tab w:val="center" w:pos="4419"/>
        <w:tab w:val="right" w:pos="8838"/>
      </w:tabs>
    </w:pPr>
  </w:style>
  <w:style w:type="character" w:styleId="Numrodepage">
    <w:name w:val="page number"/>
    <w:basedOn w:val="Policepardfaut"/>
  </w:style>
  <w:style w:type="character" w:customStyle="1" w:styleId="NotedebasdepageCar">
    <w:name w:val="Note de bas de page Car"/>
    <w:aliases w:val="Texto nota pie Car Car,Ref. de nota al pie1 Car1,Texto de nota al pie Car1,Footnote Text Char Char Char Char Char Car1,Footnote Text Char Char Char Char Car1,FA Fu Car1,Footnote Text Char Char Char Car1,Footnote Text Char Car1"/>
    <w:link w:val="Notedebasdepage"/>
    <w:rsid w:val="003A6AB6"/>
    <w:rPr>
      <w:lang w:val="es-ES" w:eastAsia="es-ES" w:bidi="ar-SA"/>
    </w:rPr>
  </w:style>
  <w:style w:type="paragraph" w:customStyle="1" w:styleId="Textoindependiente21">
    <w:name w:val="Texto independiente 21"/>
    <w:basedOn w:val="Normal"/>
    <w:rsid w:val="003021B2"/>
    <w:pPr>
      <w:overflowPunct w:val="0"/>
      <w:autoSpaceDE w:val="0"/>
      <w:autoSpaceDN w:val="0"/>
      <w:adjustRightInd w:val="0"/>
      <w:spacing w:line="480" w:lineRule="auto"/>
      <w:ind w:firstLine="1418"/>
      <w:jc w:val="both"/>
      <w:textAlignment w:val="baseline"/>
    </w:pPr>
    <w:rPr>
      <w:rFonts w:ascii="new courier" w:hAnsi="new courier"/>
      <w:b/>
      <w:sz w:val="26"/>
      <w:szCs w:val="20"/>
    </w:rPr>
  </w:style>
  <w:style w:type="paragraph" w:styleId="En-tte">
    <w:name w:val="header"/>
    <w:basedOn w:val="Normal"/>
    <w:rsid w:val="008C29B3"/>
    <w:pPr>
      <w:tabs>
        <w:tab w:val="center" w:pos="4252"/>
        <w:tab w:val="right" w:pos="8504"/>
      </w:tabs>
      <w:overflowPunct w:val="0"/>
      <w:autoSpaceDE w:val="0"/>
      <w:autoSpaceDN w:val="0"/>
      <w:adjustRightInd w:val="0"/>
      <w:textAlignment w:val="baseline"/>
    </w:pPr>
    <w:rPr>
      <w:rFonts w:ascii="Arial" w:hAnsi="Arial"/>
      <w:szCs w:val="20"/>
    </w:rPr>
  </w:style>
  <w:style w:type="paragraph" w:styleId="NormalWeb">
    <w:name w:val="Normal (Web)"/>
    <w:basedOn w:val="Normal"/>
    <w:rsid w:val="008C29B3"/>
    <w:pPr>
      <w:spacing w:before="100" w:beforeAutospacing="1" w:after="100" w:afterAutospacing="1"/>
    </w:pPr>
  </w:style>
  <w:style w:type="character" w:customStyle="1" w:styleId="textonavy1">
    <w:name w:val="texto_navy1"/>
    <w:rsid w:val="003A53D9"/>
    <w:rPr>
      <w:color w:val="000080"/>
    </w:rPr>
  </w:style>
  <w:style w:type="character" w:customStyle="1" w:styleId="apple-converted-space">
    <w:name w:val="apple-converted-space"/>
    <w:basedOn w:val="Policepardfaut"/>
    <w:rsid w:val="00503C57"/>
  </w:style>
  <w:style w:type="paragraph" w:styleId="Textedebulles">
    <w:name w:val="Balloon Text"/>
    <w:basedOn w:val="Normal"/>
    <w:link w:val="TextedebullesCar"/>
    <w:rsid w:val="00C842BE"/>
    <w:rPr>
      <w:rFonts w:ascii="Segoe UI" w:hAnsi="Segoe UI" w:cs="Segoe UI"/>
      <w:sz w:val="18"/>
      <w:szCs w:val="18"/>
    </w:rPr>
  </w:style>
  <w:style w:type="character" w:customStyle="1" w:styleId="TextedebullesCar">
    <w:name w:val="Texte de bulles Car"/>
    <w:basedOn w:val="Policepardfaut"/>
    <w:link w:val="Textedebulles"/>
    <w:rsid w:val="00C842BE"/>
    <w:rPr>
      <w:rFonts w:ascii="Segoe UI" w:hAnsi="Segoe UI" w:cs="Segoe UI"/>
      <w:sz w:val="18"/>
      <w:szCs w:val="18"/>
    </w:rPr>
  </w:style>
  <w:style w:type="character" w:customStyle="1" w:styleId="TitreCar">
    <w:name w:val="Titre Car"/>
    <w:basedOn w:val="Policepardfaut"/>
    <w:link w:val="Titre"/>
    <w:rsid w:val="0012673F"/>
    <w:rPr>
      <w:rFonts w:ascii="Arial" w:hAnsi="Arial" w:cs="Arial"/>
      <w:b/>
      <w:sz w:val="24"/>
      <w:szCs w:val="24"/>
    </w:rPr>
  </w:style>
  <w:style w:type="character" w:customStyle="1" w:styleId="Refdenotaalpie1Car">
    <w:name w:val="Ref. de nota al pie1 Car"/>
    <w:aliases w:val="Texto de nota al pie Car,Footnote Text Char Char Char Char Char Car,Footnote Text Char Char Char Char Car,FA Fu Car,Footnote Text Char Char Char Car,referencia nota al pie Car,Footnote Text Char Car"/>
    <w:basedOn w:val="Policepardfaut"/>
    <w:uiPriority w:val="99"/>
    <w:rsid w:val="0012673F"/>
    <w:rPr>
      <w:rFonts w:ascii="Times New Roman" w:eastAsia="Times New Roman" w:hAnsi="Times New Roman" w:cs="Times New Roman"/>
      <w:sz w:val="20"/>
      <w:szCs w:val="20"/>
      <w:lang w:eastAsia="es-ES"/>
    </w:rPr>
  </w:style>
  <w:style w:type="paragraph" w:styleId="Paragraphedeliste">
    <w:name w:val="List Paragraph"/>
    <w:basedOn w:val="Normal"/>
    <w:uiPriority w:val="34"/>
    <w:qFormat/>
    <w:rsid w:val="0012673F"/>
    <w:pPr>
      <w:ind w:left="720"/>
      <w:contextualSpacing/>
    </w:pPr>
  </w:style>
  <w:style w:type="paragraph" w:customStyle="1" w:styleId="Textoindependiente31">
    <w:name w:val="Texto independiente 31"/>
    <w:basedOn w:val="Normal"/>
    <w:rsid w:val="00121694"/>
    <w:pPr>
      <w:spacing w:line="360" w:lineRule="auto"/>
      <w:jc w:val="both"/>
    </w:pPr>
    <w:rPr>
      <w:rFonts w:ascii="Arial" w:hAnsi="Arial"/>
      <w:szCs w:val="20"/>
      <w:lang w:val="es-ES_tradnl"/>
    </w:rPr>
  </w:style>
  <w:style w:type="paragraph" w:styleId="Sansinterligne">
    <w:name w:val="No Spacing"/>
    <w:uiPriority w:val="1"/>
    <w:qFormat/>
    <w:rsid w:val="00121694"/>
    <w:rPr>
      <w:rFonts w:asciiTheme="minorHAnsi" w:eastAsiaTheme="minorHAnsi" w:hAnsiTheme="minorHAnsi" w:cstheme="minorBidi"/>
      <w:sz w:val="22"/>
      <w:szCs w:val="22"/>
      <w:lang w:val="es-ES_tradnl" w:eastAsia="en-US"/>
    </w:rPr>
  </w:style>
  <w:style w:type="paragraph" w:customStyle="1" w:styleId="Textoindependiente32">
    <w:name w:val="Texto independiente 32"/>
    <w:basedOn w:val="Normal"/>
    <w:rsid w:val="00121694"/>
    <w:pPr>
      <w:spacing w:line="360" w:lineRule="auto"/>
      <w:jc w:val="both"/>
    </w:pPr>
    <w:rPr>
      <w:rFonts w:ascii="Arial" w:hAnsi="Arial"/>
      <w:szCs w:val="20"/>
      <w:lang w:val="es-ES_tradnl"/>
    </w:rPr>
  </w:style>
  <w:style w:type="character" w:customStyle="1" w:styleId="Titre5Car">
    <w:name w:val="Titre 5 Car"/>
    <w:basedOn w:val="Policepardfaut"/>
    <w:link w:val="Titre5"/>
    <w:rsid w:val="000C52F6"/>
    <w:rPr>
      <w:rFonts w:ascii="Arial" w:hAnsi="Arial" w:cs="Arial"/>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itre1">
    <w:name w:val="heading 1"/>
    <w:basedOn w:val="Normal"/>
    <w:next w:val="Normal"/>
    <w:qFormat/>
    <w:pPr>
      <w:keepNext/>
      <w:widowControl w:val="0"/>
      <w:autoSpaceDE w:val="0"/>
      <w:autoSpaceDN w:val="0"/>
      <w:adjustRightInd w:val="0"/>
      <w:jc w:val="center"/>
      <w:outlineLvl w:val="0"/>
    </w:pPr>
    <w:rPr>
      <w:rFonts w:ascii="Arial" w:hAnsi="Arial" w:cs="Arial"/>
      <w:b/>
      <w:sz w:val="28"/>
    </w:rPr>
  </w:style>
  <w:style w:type="paragraph" w:styleId="Titre2">
    <w:name w:val="heading 2"/>
    <w:basedOn w:val="Normal"/>
    <w:next w:val="Normal"/>
    <w:qFormat/>
    <w:pPr>
      <w:keepNext/>
      <w:widowControl w:val="0"/>
      <w:autoSpaceDE w:val="0"/>
      <w:autoSpaceDN w:val="0"/>
      <w:adjustRightInd w:val="0"/>
      <w:ind w:firstLine="360"/>
      <w:jc w:val="center"/>
      <w:outlineLvl w:val="1"/>
    </w:pPr>
    <w:rPr>
      <w:rFonts w:ascii="Arial" w:hAnsi="Arial" w:cs="Arial"/>
      <w:b/>
      <w:sz w:val="28"/>
    </w:rPr>
  </w:style>
  <w:style w:type="paragraph" w:styleId="Titre3">
    <w:name w:val="heading 3"/>
    <w:basedOn w:val="Normal"/>
    <w:next w:val="Normal"/>
    <w:qFormat/>
    <w:pPr>
      <w:keepNext/>
      <w:widowControl w:val="0"/>
      <w:autoSpaceDE w:val="0"/>
      <w:autoSpaceDN w:val="0"/>
      <w:adjustRightInd w:val="0"/>
      <w:spacing w:line="360" w:lineRule="auto"/>
      <w:jc w:val="center"/>
      <w:outlineLvl w:val="2"/>
    </w:pPr>
    <w:rPr>
      <w:rFonts w:ascii="Arial" w:hAnsi="Arial" w:cs="Arial"/>
      <w:b/>
    </w:rPr>
  </w:style>
  <w:style w:type="paragraph" w:styleId="Titre4">
    <w:name w:val="heading 4"/>
    <w:basedOn w:val="Normal"/>
    <w:next w:val="Normal"/>
    <w:qFormat/>
    <w:pPr>
      <w:keepNext/>
      <w:tabs>
        <w:tab w:val="left" w:pos="0"/>
      </w:tabs>
      <w:overflowPunct w:val="0"/>
      <w:autoSpaceDE w:val="0"/>
      <w:autoSpaceDN w:val="0"/>
      <w:adjustRightInd w:val="0"/>
      <w:jc w:val="center"/>
      <w:textAlignment w:val="baseline"/>
      <w:outlineLvl w:val="3"/>
    </w:pPr>
    <w:rPr>
      <w:b/>
      <w:szCs w:val="20"/>
    </w:rPr>
  </w:style>
  <w:style w:type="paragraph" w:styleId="Titre5">
    <w:name w:val="heading 5"/>
    <w:basedOn w:val="Normal"/>
    <w:next w:val="Normal"/>
    <w:link w:val="Titre5Car"/>
    <w:qFormat/>
    <w:pPr>
      <w:keepNext/>
      <w:widowControl w:val="0"/>
      <w:autoSpaceDE w:val="0"/>
      <w:autoSpaceDN w:val="0"/>
      <w:adjustRightInd w:val="0"/>
      <w:spacing w:line="360" w:lineRule="auto"/>
      <w:ind w:firstLine="708"/>
      <w:jc w:val="both"/>
      <w:outlineLvl w:val="4"/>
    </w:pPr>
    <w:rPr>
      <w:rFonts w:ascii="Arial" w:hAnsi="Arial" w:cs="Arial"/>
      <w:b/>
      <w:bCs/>
    </w:rPr>
  </w:style>
  <w:style w:type="paragraph" w:styleId="Titre6">
    <w:name w:val="heading 6"/>
    <w:basedOn w:val="Normal"/>
    <w:next w:val="Normal"/>
    <w:qFormat/>
    <w:pPr>
      <w:keepNext/>
      <w:widowControl w:val="0"/>
      <w:autoSpaceDE w:val="0"/>
      <w:autoSpaceDN w:val="0"/>
      <w:adjustRightInd w:val="0"/>
      <w:spacing w:line="360" w:lineRule="auto"/>
      <w:jc w:val="both"/>
      <w:outlineLvl w:val="5"/>
    </w:pPr>
    <w:rPr>
      <w:rFonts w:ascii="Arial" w:hAnsi="Arial" w:cs="Arial"/>
      <w:b/>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Texto nota pie Car,Ref. de nota al pie1,Texto de nota al pie,Footnote Text Char Char Char Char Char,Footnote Text Char Char Char Char,FA Fu,Footnote Text Char Char Char,referencia nota al pie,Footnote Text Char"/>
    <w:basedOn w:val="Normal"/>
    <w:link w:val="NotedebasdepageCar"/>
    <w:uiPriority w:val="99"/>
    <w:rPr>
      <w:sz w:val="20"/>
      <w:szCs w:val="20"/>
    </w:rPr>
  </w:style>
  <w:style w:type="character" w:styleId="Appelnotedebasdep">
    <w:name w:val="footnote reference"/>
    <w:uiPriority w:val="99"/>
    <w:rPr>
      <w:vertAlign w:val="superscript"/>
    </w:rPr>
  </w:style>
  <w:style w:type="paragraph" w:styleId="Corpsdetexte">
    <w:name w:val="Body Text"/>
    <w:basedOn w:val="Normal"/>
    <w:pPr>
      <w:autoSpaceDE w:val="0"/>
      <w:autoSpaceDN w:val="0"/>
      <w:adjustRightInd w:val="0"/>
      <w:jc w:val="both"/>
    </w:pPr>
    <w:rPr>
      <w:lang w:val="es-CO"/>
    </w:rPr>
  </w:style>
  <w:style w:type="paragraph" w:styleId="Retraitcorpsdetexte">
    <w:name w:val="Body Text Indent"/>
    <w:basedOn w:val="Normal"/>
    <w:pPr>
      <w:autoSpaceDE w:val="0"/>
      <w:autoSpaceDN w:val="0"/>
      <w:adjustRightInd w:val="0"/>
      <w:spacing w:line="360" w:lineRule="auto"/>
      <w:ind w:left="60"/>
      <w:jc w:val="both"/>
    </w:pPr>
    <w:rPr>
      <w:rFonts w:ascii="Arial" w:hAnsi="Arial" w:cs="Arial"/>
      <w:lang w:val="es-CO"/>
    </w:rPr>
  </w:style>
  <w:style w:type="paragraph" w:styleId="Retraitcorpsdetexte3">
    <w:name w:val="Body Text Indent 3"/>
    <w:basedOn w:val="Normal"/>
    <w:pPr>
      <w:spacing w:line="480" w:lineRule="auto"/>
      <w:ind w:firstLine="708"/>
      <w:jc w:val="both"/>
    </w:pPr>
    <w:rPr>
      <w:rFonts w:ascii="Arial" w:hAnsi="Arial" w:cs="Arial"/>
      <w:b/>
      <w:bCs/>
      <w:sz w:val="28"/>
      <w:szCs w:val="28"/>
      <w:lang w:val="es-ES_tradnl"/>
    </w:rPr>
  </w:style>
  <w:style w:type="paragraph" w:customStyle="1" w:styleId="Nueve">
    <w:name w:val="Nueve"/>
    <w:pPr>
      <w:widowControl w:val="0"/>
      <w:autoSpaceDE w:val="0"/>
      <w:autoSpaceDN w:val="0"/>
      <w:adjustRightInd w:val="0"/>
      <w:spacing w:before="71" w:after="71"/>
      <w:ind w:firstLine="159"/>
      <w:jc w:val="both"/>
    </w:pPr>
    <w:rPr>
      <w:rFonts w:ascii="Arial" w:hAnsi="Arial" w:cs="Arial"/>
      <w:color w:val="000000"/>
    </w:rPr>
  </w:style>
  <w:style w:type="paragraph" w:styleId="Retraitcorpsdetexte2">
    <w:name w:val="Body Text Indent 2"/>
    <w:basedOn w:val="Normal"/>
    <w:pPr>
      <w:widowControl w:val="0"/>
      <w:autoSpaceDE w:val="0"/>
      <w:autoSpaceDN w:val="0"/>
      <w:adjustRightInd w:val="0"/>
      <w:ind w:firstLine="708"/>
      <w:jc w:val="both"/>
    </w:pPr>
    <w:rPr>
      <w:rFonts w:ascii="Arial" w:hAnsi="Arial" w:cs="Arial"/>
      <w:sz w:val="28"/>
    </w:rPr>
  </w:style>
  <w:style w:type="paragraph" w:styleId="Corpsdetexte2">
    <w:name w:val="Body Text 2"/>
    <w:basedOn w:val="Normal"/>
    <w:pPr>
      <w:widowControl w:val="0"/>
      <w:autoSpaceDE w:val="0"/>
      <w:autoSpaceDN w:val="0"/>
      <w:adjustRightInd w:val="0"/>
      <w:jc w:val="both"/>
    </w:pPr>
    <w:rPr>
      <w:rFonts w:ascii="Arial" w:hAnsi="Arial" w:cs="Arial"/>
      <w:sz w:val="28"/>
    </w:rPr>
  </w:style>
  <w:style w:type="paragraph" w:styleId="Titre">
    <w:name w:val="Title"/>
    <w:basedOn w:val="Normal"/>
    <w:link w:val="TitreCar"/>
    <w:qFormat/>
    <w:pPr>
      <w:widowControl w:val="0"/>
      <w:autoSpaceDE w:val="0"/>
      <w:autoSpaceDN w:val="0"/>
      <w:adjustRightInd w:val="0"/>
      <w:spacing w:line="360" w:lineRule="auto"/>
      <w:jc w:val="center"/>
    </w:pPr>
    <w:rPr>
      <w:rFonts w:ascii="Arial" w:hAnsi="Arial" w:cs="Arial"/>
      <w:b/>
    </w:rPr>
  </w:style>
  <w:style w:type="paragraph" w:styleId="Normalcentr">
    <w:name w:val="Block Text"/>
    <w:basedOn w:val="Normal"/>
    <w:pPr>
      <w:spacing w:line="360" w:lineRule="auto"/>
      <w:ind w:left="1134" w:right="567"/>
      <w:jc w:val="both"/>
    </w:pPr>
    <w:rPr>
      <w:rFonts w:ascii="Book Antiqua" w:hAnsi="Book Antiqua" w:cs="Arial"/>
    </w:rPr>
  </w:style>
  <w:style w:type="paragraph" w:styleId="Pieddepage">
    <w:name w:val="footer"/>
    <w:basedOn w:val="Normal"/>
    <w:pPr>
      <w:tabs>
        <w:tab w:val="center" w:pos="4419"/>
        <w:tab w:val="right" w:pos="8838"/>
      </w:tabs>
    </w:pPr>
  </w:style>
  <w:style w:type="character" w:styleId="Numrodepage">
    <w:name w:val="page number"/>
    <w:basedOn w:val="Policepardfaut"/>
  </w:style>
  <w:style w:type="character" w:customStyle="1" w:styleId="NotedebasdepageCar">
    <w:name w:val="Note de bas de page Car"/>
    <w:aliases w:val="Texto nota pie Car Car,Ref. de nota al pie1 Car1,Texto de nota al pie Car1,Footnote Text Char Char Char Char Char Car1,Footnote Text Char Char Char Char Car1,FA Fu Car1,Footnote Text Char Char Char Car1,Footnote Text Char Car1"/>
    <w:link w:val="Notedebasdepage"/>
    <w:rsid w:val="003A6AB6"/>
    <w:rPr>
      <w:lang w:val="es-ES" w:eastAsia="es-ES" w:bidi="ar-SA"/>
    </w:rPr>
  </w:style>
  <w:style w:type="paragraph" w:customStyle="1" w:styleId="Textoindependiente21">
    <w:name w:val="Texto independiente 21"/>
    <w:basedOn w:val="Normal"/>
    <w:rsid w:val="003021B2"/>
    <w:pPr>
      <w:overflowPunct w:val="0"/>
      <w:autoSpaceDE w:val="0"/>
      <w:autoSpaceDN w:val="0"/>
      <w:adjustRightInd w:val="0"/>
      <w:spacing w:line="480" w:lineRule="auto"/>
      <w:ind w:firstLine="1418"/>
      <w:jc w:val="both"/>
      <w:textAlignment w:val="baseline"/>
    </w:pPr>
    <w:rPr>
      <w:rFonts w:ascii="new courier" w:hAnsi="new courier"/>
      <w:b/>
      <w:sz w:val="26"/>
      <w:szCs w:val="20"/>
    </w:rPr>
  </w:style>
  <w:style w:type="paragraph" w:styleId="En-tte">
    <w:name w:val="header"/>
    <w:basedOn w:val="Normal"/>
    <w:rsid w:val="008C29B3"/>
    <w:pPr>
      <w:tabs>
        <w:tab w:val="center" w:pos="4252"/>
        <w:tab w:val="right" w:pos="8504"/>
      </w:tabs>
      <w:overflowPunct w:val="0"/>
      <w:autoSpaceDE w:val="0"/>
      <w:autoSpaceDN w:val="0"/>
      <w:adjustRightInd w:val="0"/>
      <w:textAlignment w:val="baseline"/>
    </w:pPr>
    <w:rPr>
      <w:rFonts w:ascii="Arial" w:hAnsi="Arial"/>
      <w:szCs w:val="20"/>
    </w:rPr>
  </w:style>
  <w:style w:type="paragraph" w:styleId="NormalWeb">
    <w:name w:val="Normal (Web)"/>
    <w:basedOn w:val="Normal"/>
    <w:rsid w:val="008C29B3"/>
    <w:pPr>
      <w:spacing w:before="100" w:beforeAutospacing="1" w:after="100" w:afterAutospacing="1"/>
    </w:pPr>
  </w:style>
  <w:style w:type="character" w:customStyle="1" w:styleId="textonavy1">
    <w:name w:val="texto_navy1"/>
    <w:rsid w:val="003A53D9"/>
    <w:rPr>
      <w:color w:val="000080"/>
    </w:rPr>
  </w:style>
  <w:style w:type="character" w:customStyle="1" w:styleId="apple-converted-space">
    <w:name w:val="apple-converted-space"/>
    <w:basedOn w:val="Policepardfaut"/>
    <w:rsid w:val="00503C57"/>
  </w:style>
  <w:style w:type="paragraph" w:styleId="Textedebulles">
    <w:name w:val="Balloon Text"/>
    <w:basedOn w:val="Normal"/>
    <w:link w:val="TextedebullesCar"/>
    <w:rsid w:val="00C842BE"/>
    <w:rPr>
      <w:rFonts w:ascii="Segoe UI" w:hAnsi="Segoe UI" w:cs="Segoe UI"/>
      <w:sz w:val="18"/>
      <w:szCs w:val="18"/>
    </w:rPr>
  </w:style>
  <w:style w:type="character" w:customStyle="1" w:styleId="TextedebullesCar">
    <w:name w:val="Texte de bulles Car"/>
    <w:basedOn w:val="Policepardfaut"/>
    <w:link w:val="Textedebulles"/>
    <w:rsid w:val="00C842BE"/>
    <w:rPr>
      <w:rFonts w:ascii="Segoe UI" w:hAnsi="Segoe UI" w:cs="Segoe UI"/>
      <w:sz w:val="18"/>
      <w:szCs w:val="18"/>
    </w:rPr>
  </w:style>
  <w:style w:type="character" w:customStyle="1" w:styleId="TitreCar">
    <w:name w:val="Titre Car"/>
    <w:basedOn w:val="Policepardfaut"/>
    <w:link w:val="Titre"/>
    <w:rsid w:val="0012673F"/>
    <w:rPr>
      <w:rFonts w:ascii="Arial" w:hAnsi="Arial" w:cs="Arial"/>
      <w:b/>
      <w:sz w:val="24"/>
      <w:szCs w:val="24"/>
    </w:rPr>
  </w:style>
  <w:style w:type="character" w:customStyle="1" w:styleId="Refdenotaalpie1Car">
    <w:name w:val="Ref. de nota al pie1 Car"/>
    <w:aliases w:val="Texto de nota al pie Car,Footnote Text Char Char Char Char Char Car,Footnote Text Char Char Char Char Car,FA Fu Car,Footnote Text Char Char Char Car,referencia nota al pie Car,Footnote Text Char Car"/>
    <w:basedOn w:val="Policepardfaut"/>
    <w:uiPriority w:val="99"/>
    <w:rsid w:val="0012673F"/>
    <w:rPr>
      <w:rFonts w:ascii="Times New Roman" w:eastAsia="Times New Roman" w:hAnsi="Times New Roman" w:cs="Times New Roman"/>
      <w:sz w:val="20"/>
      <w:szCs w:val="20"/>
      <w:lang w:eastAsia="es-ES"/>
    </w:rPr>
  </w:style>
  <w:style w:type="paragraph" w:styleId="Paragraphedeliste">
    <w:name w:val="List Paragraph"/>
    <w:basedOn w:val="Normal"/>
    <w:uiPriority w:val="34"/>
    <w:qFormat/>
    <w:rsid w:val="0012673F"/>
    <w:pPr>
      <w:ind w:left="720"/>
      <w:contextualSpacing/>
    </w:pPr>
  </w:style>
  <w:style w:type="paragraph" w:customStyle="1" w:styleId="Textoindependiente31">
    <w:name w:val="Texto independiente 31"/>
    <w:basedOn w:val="Normal"/>
    <w:rsid w:val="00121694"/>
    <w:pPr>
      <w:spacing w:line="360" w:lineRule="auto"/>
      <w:jc w:val="both"/>
    </w:pPr>
    <w:rPr>
      <w:rFonts w:ascii="Arial" w:hAnsi="Arial"/>
      <w:szCs w:val="20"/>
      <w:lang w:val="es-ES_tradnl"/>
    </w:rPr>
  </w:style>
  <w:style w:type="paragraph" w:styleId="Sansinterligne">
    <w:name w:val="No Spacing"/>
    <w:uiPriority w:val="1"/>
    <w:qFormat/>
    <w:rsid w:val="00121694"/>
    <w:rPr>
      <w:rFonts w:asciiTheme="minorHAnsi" w:eastAsiaTheme="minorHAnsi" w:hAnsiTheme="minorHAnsi" w:cstheme="minorBidi"/>
      <w:sz w:val="22"/>
      <w:szCs w:val="22"/>
      <w:lang w:val="es-ES_tradnl" w:eastAsia="en-US"/>
    </w:rPr>
  </w:style>
  <w:style w:type="paragraph" w:customStyle="1" w:styleId="Textoindependiente32">
    <w:name w:val="Texto independiente 32"/>
    <w:basedOn w:val="Normal"/>
    <w:rsid w:val="00121694"/>
    <w:pPr>
      <w:spacing w:line="360" w:lineRule="auto"/>
      <w:jc w:val="both"/>
    </w:pPr>
    <w:rPr>
      <w:rFonts w:ascii="Arial" w:hAnsi="Arial"/>
      <w:szCs w:val="20"/>
      <w:lang w:val="es-ES_tradnl"/>
    </w:rPr>
  </w:style>
  <w:style w:type="character" w:customStyle="1" w:styleId="Titre5Car">
    <w:name w:val="Titre 5 Car"/>
    <w:basedOn w:val="Policepardfaut"/>
    <w:link w:val="Titre5"/>
    <w:rsid w:val="000C52F6"/>
    <w:rPr>
      <w:rFonts w:ascii="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418066">
      <w:bodyDiv w:val="1"/>
      <w:marLeft w:val="0"/>
      <w:marRight w:val="0"/>
      <w:marTop w:val="0"/>
      <w:marBottom w:val="0"/>
      <w:divBdr>
        <w:top w:val="none" w:sz="0" w:space="0" w:color="auto"/>
        <w:left w:val="none" w:sz="0" w:space="0" w:color="auto"/>
        <w:bottom w:val="none" w:sz="0" w:space="0" w:color="auto"/>
        <w:right w:val="none" w:sz="0" w:space="0" w:color="auto"/>
      </w:divBdr>
    </w:div>
    <w:div w:id="1634941078">
      <w:bodyDiv w:val="1"/>
      <w:marLeft w:val="0"/>
      <w:marRight w:val="0"/>
      <w:marTop w:val="0"/>
      <w:marBottom w:val="0"/>
      <w:divBdr>
        <w:top w:val="none" w:sz="0" w:space="0" w:color="auto"/>
        <w:left w:val="none" w:sz="0" w:space="0" w:color="auto"/>
        <w:bottom w:val="none" w:sz="0" w:space="0" w:color="auto"/>
        <w:right w:val="none" w:sz="0" w:space="0" w:color="auto"/>
      </w:divBdr>
    </w:div>
    <w:div w:id="1933313918">
      <w:bodyDiv w:val="1"/>
      <w:marLeft w:val="150"/>
      <w:marRight w:val="150"/>
      <w:marTop w:val="150"/>
      <w:marBottom w:val="150"/>
      <w:divBdr>
        <w:top w:val="none" w:sz="0" w:space="0" w:color="auto"/>
        <w:left w:val="none" w:sz="0" w:space="0" w:color="auto"/>
        <w:bottom w:val="none" w:sz="0" w:space="0" w:color="auto"/>
        <w:right w:val="none" w:sz="0" w:space="0" w:color="auto"/>
      </w:divBdr>
      <w:divsChild>
        <w:div w:id="2007249830">
          <w:marLeft w:val="0"/>
          <w:marRight w:val="0"/>
          <w:marTop w:val="0"/>
          <w:marBottom w:val="0"/>
          <w:divBdr>
            <w:top w:val="none" w:sz="0" w:space="0" w:color="auto"/>
            <w:left w:val="none" w:sz="0" w:space="0" w:color="auto"/>
            <w:bottom w:val="none" w:sz="0" w:space="0" w:color="auto"/>
            <w:right w:val="none" w:sz="0" w:space="0" w:color="auto"/>
          </w:divBdr>
        </w:div>
        <w:div w:id="2038849322">
          <w:marLeft w:val="0"/>
          <w:marRight w:val="0"/>
          <w:marTop w:val="0"/>
          <w:marBottom w:val="0"/>
          <w:divBdr>
            <w:top w:val="none" w:sz="0" w:space="0" w:color="auto"/>
            <w:left w:val="none" w:sz="0" w:space="0" w:color="auto"/>
            <w:bottom w:val="none" w:sz="0" w:space="0" w:color="auto"/>
            <w:right w:val="none" w:sz="0" w:space="0" w:color="auto"/>
          </w:divBdr>
        </w:div>
        <w:div w:id="21275739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177EC5-0839-4FC1-8443-365771409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3</Pages>
  <Words>1543</Words>
  <Characters>8489</Characters>
  <Application>Microsoft Office Word</Application>
  <DocSecurity>0</DocSecurity>
  <Lines>70</Lines>
  <Paragraphs>20</Paragraphs>
  <ScaleCrop>false</ScaleCrop>
  <HeadingPairs>
    <vt:vector size="2" baseType="variant">
      <vt:variant>
        <vt:lpstr>Título</vt:lpstr>
      </vt:variant>
      <vt:variant>
        <vt:i4>1</vt:i4>
      </vt:variant>
    </vt:vector>
  </HeadingPairs>
  <TitlesOfParts>
    <vt:vector size="1" baseType="lpstr">
      <vt:lpstr>bjbjqPqP</vt:lpstr>
    </vt:vector>
  </TitlesOfParts>
  <Company>Personal</Company>
  <LinksUpToDate>false</LinksUpToDate>
  <CharactersWithSpaces>10012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bjbjqPqP</dc:title>
  <dc:subject/>
  <dc:creator>Usuario</dc:creator>
  <cp:keywords/>
  <dc:description/>
  <cp:lastModifiedBy>Malucimedina</cp:lastModifiedBy>
  <cp:revision>12</cp:revision>
  <cp:lastPrinted>2017-04-03T16:33:00Z</cp:lastPrinted>
  <dcterms:created xsi:type="dcterms:W3CDTF">2016-04-04T15:28:00Z</dcterms:created>
  <dcterms:modified xsi:type="dcterms:W3CDTF">2017-05-14T04:42:00Z</dcterms:modified>
</cp:coreProperties>
</file>