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91F96" w:rsidRDefault="00891F96" w:rsidP="00891F9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891F96" w:rsidRPr="0094372D" w:rsidRDefault="00891F96" w:rsidP="00891F9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586A" w:rsidRPr="00891F96" w:rsidRDefault="00D2586A" w:rsidP="00727147">
      <w:pPr>
        <w:pStyle w:val="Titre"/>
        <w:spacing w:line="240" w:lineRule="auto"/>
        <w:jc w:val="both"/>
        <w:rPr>
          <w:rFonts w:ascii="Tahoma" w:hAnsi="Tahoma" w:cs="Tahoma"/>
          <w:sz w:val="18"/>
          <w:szCs w:val="18"/>
          <w:lang w:val="es-CO"/>
        </w:rPr>
      </w:pP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891F96">
        <w:rPr>
          <w:rFonts w:ascii="Tahoma" w:hAnsi="Tahoma" w:cs="Tahoma"/>
          <w:b w:val="0"/>
          <w:bCs/>
          <w:sz w:val="18"/>
          <w:szCs w:val="18"/>
        </w:rPr>
        <w:t>- 2ª instancia -</w:t>
      </w:r>
      <w:r w:rsidRPr="00BF4F59">
        <w:rPr>
          <w:rFonts w:ascii="Tahoma" w:hAnsi="Tahoma" w:cs="Tahoma"/>
          <w:b w:val="0"/>
          <w:bCs/>
          <w:sz w:val="18"/>
          <w:szCs w:val="18"/>
        </w:rPr>
        <w:t xml:space="preserve"> </w:t>
      </w:r>
      <w:r w:rsidR="00934EA3">
        <w:rPr>
          <w:rFonts w:ascii="Tahoma" w:hAnsi="Tahoma" w:cs="Tahoma"/>
          <w:b w:val="0"/>
          <w:bCs/>
          <w:sz w:val="18"/>
          <w:szCs w:val="18"/>
        </w:rPr>
        <w:t>26</w:t>
      </w:r>
      <w:r w:rsidR="00784BD5" w:rsidRPr="00BD4A51">
        <w:rPr>
          <w:rFonts w:ascii="Tahoma" w:hAnsi="Tahoma" w:cs="Tahoma"/>
          <w:b w:val="0"/>
          <w:bCs/>
          <w:sz w:val="18"/>
          <w:szCs w:val="18"/>
        </w:rPr>
        <w:t xml:space="preserve"> </w:t>
      </w:r>
      <w:r w:rsidRPr="00BD4A51">
        <w:rPr>
          <w:rFonts w:ascii="Tahoma" w:hAnsi="Tahoma" w:cs="Tahoma"/>
          <w:b w:val="0"/>
          <w:bCs/>
          <w:sz w:val="18"/>
          <w:szCs w:val="18"/>
        </w:rPr>
        <w:t xml:space="preserve">de </w:t>
      </w:r>
      <w:r w:rsidR="00A7597E" w:rsidRPr="00BD4A51">
        <w:rPr>
          <w:rFonts w:ascii="Tahoma" w:hAnsi="Tahoma" w:cs="Tahoma"/>
          <w:b w:val="0"/>
          <w:bCs/>
          <w:sz w:val="18"/>
          <w:szCs w:val="18"/>
        </w:rPr>
        <w:t>mayo</w:t>
      </w:r>
      <w:r w:rsidRPr="00BD4A51">
        <w:rPr>
          <w:rFonts w:ascii="Tahoma" w:hAnsi="Tahoma" w:cs="Tahoma"/>
          <w:b w:val="0"/>
          <w:bCs/>
          <w:sz w:val="18"/>
          <w:szCs w:val="18"/>
        </w:rPr>
        <w:t xml:space="preserve"> de 2017</w:t>
      </w:r>
      <w:r w:rsidRPr="00BF4F59">
        <w:rPr>
          <w:rFonts w:ascii="Tahoma" w:hAnsi="Tahoma" w:cs="Tahoma"/>
          <w:b w:val="0"/>
          <w:bCs/>
          <w:sz w:val="18"/>
          <w:szCs w:val="18"/>
        </w:rPr>
        <w:t xml:space="preserve"> </w:t>
      </w:r>
    </w:p>
    <w:p w:rsidR="00891F96" w:rsidRPr="00BF4F59" w:rsidRDefault="00891F96" w:rsidP="00891F96">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Revoca parcialmente sentencia que accedió a las pretensiones</w:t>
      </w:r>
      <w:bookmarkStart w:id="0" w:name="_GoBack"/>
      <w:bookmarkEnd w:id="0"/>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sidR="00C23BFF">
        <w:rPr>
          <w:rFonts w:ascii="Tahoma" w:hAnsi="Tahoma" w:cs="Tahoma"/>
          <w:b w:val="0"/>
          <w:sz w:val="18"/>
          <w:szCs w:val="18"/>
        </w:rPr>
        <w:t>3</w:t>
      </w:r>
      <w:r w:rsidRPr="00BD4A51">
        <w:rPr>
          <w:rFonts w:ascii="Tahoma" w:hAnsi="Tahoma" w:cs="Tahoma"/>
          <w:b w:val="0"/>
          <w:sz w:val="18"/>
          <w:szCs w:val="18"/>
        </w:rPr>
        <w:t>-201</w:t>
      </w:r>
      <w:r w:rsidR="009751EC" w:rsidRPr="00BD4A51">
        <w:rPr>
          <w:rFonts w:ascii="Tahoma" w:hAnsi="Tahoma" w:cs="Tahoma"/>
          <w:b w:val="0"/>
          <w:sz w:val="18"/>
          <w:szCs w:val="18"/>
        </w:rPr>
        <w:t>5</w:t>
      </w:r>
      <w:r w:rsidRPr="00BD4A51">
        <w:rPr>
          <w:rFonts w:ascii="Tahoma" w:hAnsi="Tahoma" w:cs="Tahoma"/>
          <w:b w:val="0"/>
          <w:sz w:val="18"/>
          <w:szCs w:val="18"/>
        </w:rPr>
        <w:t>-00</w:t>
      </w:r>
      <w:r w:rsidR="00C23BFF">
        <w:rPr>
          <w:rFonts w:ascii="Tahoma" w:hAnsi="Tahoma" w:cs="Tahoma"/>
          <w:b w:val="0"/>
          <w:sz w:val="18"/>
          <w:szCs w:val="18"/>
        </w:rPr>
        <w:t>420</w:t>
      </w:r>
      <w:r w:rsidRPr="00BD4A51">
        <w:rPr>
          <w:rFonts w:ascii="Tahoma" w:hAnsi="Tahoma" w:cs="Tahoma"/>
          <w:b w:val="0"/>
          <w:sz w:val="18"/>
          <w:szCs w:val="18"/>
        </w:rPr>
        <w:t>-01</w:t>
      </w: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C23BFF">
        <w:rPr>
          <w:rFonts w:ascii="Tahoma" w:hAnsi="Tahoma" w:cs="Tahoma"/>
          <w:b w:val="0"/>
          <w:sz w:val="18"/>
          <w:szCs w:val="18"/>
        </w:rPr>
        <w:t xml:space="preserve">María </w:t>
      </w:r>
      <w:proofErr w:type="spellStart"/>
      <w:r w:rsidR="00C23BFF">
        <w:rPr>
          <w:rFonts w:ascii="Tahoma" w:hAnsi="Tahoma" w:cs="Tahoma"/>
          <w:b w:val="0"/>
          <w:sz w:val="18"/>
          <w:szCs w:val="18"/>
        </w:rPr>
        <w:t>Esneda</w:t>
      </w:r>
      <w:proofErr w:type="spellEnd"/>
      <w:r w:rsidR="00C23BFF">
        <w:rPr>
          <w:rFonts w:ascii="Tahoma" w:hAnsi="Tahoma" w:cs="Tahoma"/>
          <w:b w:val="0"/>
          <w:sz w:val="18"/>
          <w:szCs w:val="18"/>
        </w:rPr>
        <w:t xml:space="preserve"> Bedoya Figueroa </w:t>
      </w:r>
    </w:p>
    <w:p w:rsidR="00D2586A" w:rsidRPr="00BF4F59" w:rsidRDefault="00D2586A" w:rsidP="00727147">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r>
      <w:r w:rsidR="00AE4B7A">
        <w:rPr>
          <w:rFonts w:ascii="Tahoma" w:hAnsi="Tahoma" w:cs="Tahoma"/>
          <w:b w:val="0"/>
          <w:sz w:val="18"/>
          <w:szCs w:val="18"/>
        </w:rPr>
        <w:t>Colpensiones</w:t>
      </w: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C23BFF">
        <w:rPr>
          <w:rFonts w:ascii="Tahoma" w:hAnsi="Tahoma" w:cs="Tahoma"/>
          <w:b w:val="0"/>
          <w:sz w:val="18"/>
          <w:szCs w:val="18"/>
        </w:rPr>
        <w:t>Terce</w:t>
      </w:r>
      <w:r w:rsidR="00AE4B7A">
        <w:rPr>
          <w:rFonts w:ascii="Tahoma" w:hAnsi="Tahoma" w:cs="Tahoma"/>
          <w:b w:val="0"/>
          <w:sz w:val="18"/>
          <w:szCs w:val="18"/>
        </w:rPr>
        <w:t xml:space="preserve">ro </w:t>
      </w:r>
      <w:r w:rsidRPr="00BF4F59">
        <w:rPr>
          <w:rFonts w:ascii="Tahoma" w:hAnsi="Tahoma" w:cs="Tahoma"/>
          <w:b w:val="0"/>
          <w:sz w:val="18"/>
          <w:szCs w:val="18"/>
        </w:rPr>
        <w:t>Laboral del Circuito de Pereira</w:t>
      </w: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727147">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E64302" w:rsidRDefault="00E64302" w:rsidP="00E64302">
      <w:pPr>
        <w:pStyle w:val="Titre"/>
        <w:spacing w:line="240" w:lineRule="auto"/>
        <w:ind w:left="2127" w:hanging="3"/>
        <w:jc w:val="both"/>
        <w:rPr>
          <w:rFonts w:ascii="Tahoma" w:hAnsi="Tahoma" w:cs="Tahoma"/>
          <w:b w:val="0"/>
          <w:sz w:val="18"/>
          <w:szCs w:val="18"/>
          <w:u w:val="single"/>
        </w:rPr>
      </w:pPr>
      <w:r>
        <w:rPr>
          <w:rFonts w:ascii="Tahoma" w:hAnsi="Tahoma" w:cs="Tahoma"/>
          <w:sz w:val="18"/>
          <w:szCs w:val="18"/>
          <w:u w:val="single"/>
        </w:rPr>
        <w:t>Reconocimiento de la pensión de vejez cuando la administradora de pensiones induce a error</w:t>
      </w:r>
      <w:r>
        <w:rPr>
          <w:rFonts w:ascii="Tahoma" w:hAnsi="Tahoma" w:cs="Tahoma"/>
          <w:sz w:val="18"/>
          <w:szCs w:val="18"/>
        </w:rPr>
        <w:t xml:space="preserve">: </w:t>
      </w:r>
      <w:r>
        <w:rPr>
          <w:rFonts w:ascii="Tahoma" w:hAnsi="Tahoma" w:cs="Tahoma"/>
          <w:b w:val="0"/>
          <w:sz w:val="18"/>
          <w:szCs w:val="18"/>
        </w:rPr>
        <w:t>“…si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r>
        <w:rPr>
          <w:rFonts w:ascii="Tahoma" w:hAnsi="Tahoma" w:cs="Tahoma"/>
          <w:b w:val="0"/>
          <w:sz w:val="18"/>
          <w:szCs w:val="18"/>
          <w:vertAlign w:val="superscript"/>
        </w:rPr>
        <w:footnoteReference w:id="1"/>
      </w:r>
    </w:p>
    <w:p w:rsidR="0089452D" w:rsidRPr="00BF2ADC" w:rsidRDefault="0089452D" w:rsidP="00727147">
      <w:pPr>
        <w:ind w:left="2124"/>
        <w:jc w:val="both"/>
        <w:rPr>
          <w:rFonts w:ascii="Tahoma" w:hAnsi="Tahoma" w:cs="Tahoma"/>
          <w:spacing w:val="-2"/>
          <w:sz w:val="18"/>
          <w:szCs w:val="18"/>
        </w:rPr>
      </w:pPr>
    </w:p>
    <w:p w:rsidR="00D2586A" w:rsidRDefault="00D2586A" w:rsidP="00727147">
      <w:pPr>
        <w:pStyle w:val="Titre4"/>
        <w:widowControl w:val="0"/>
        <w:tabs>
          <w:tab w:val="clear" w:pos="0"/>
        </w:tabs>
        <w:spacing w:line="276" w:lineRule="auto"/>
        <w:rPr>
          <w:rFonts w:ascii="Tahoma" w:hAnsi="Tahoma" w:cs="Tahoma"/>
          <w:bCs/>
          <w:szCs w:val="24"/>
          <w:lang w:eastAsia="es-MX"/>
        </w:rPr>
      </w:pPr>
    </w:p>
    <w:p w:rsidR="00D2586A" w:rsidRPr="004B5DE4" w:rsidRDefault="00D2586A" w:rsidP="00E64302">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E64302">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E64302">
      <w:pPr>
        <w:jc w:val="center"/>
        <w:rPr>
          <w:rFonts w:ascii="Tahoma" w:hAnsi="Tahoma" w:cs="Tahoma"/>
          <w:bCs/>
          <w:sz w:val="22"/>
          <w:szCs w:val="22"/>
        </w:rPr>
      </w:pPr>
    </w:p>
    <w:p w:rsidR="00D2586A" w:rsidRPr="00A7597E" w:rsidRDefault="00D2586A" w:rsidP="00E64302">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E64302">
      <w:pPr>
        <w:jc w:val="center"/>
        <w:rPr>
          <w:rFonts w:ascii="Tahoma" w:hAnsi="Tahoma" w:cs="Tahoma"/>
          <w:b/>
          <w:bCs/>
          <w:sz w:val="22"/>
          <w:szCs w:val="22"/>
        </w:rPr>
      </w:pPr>
    </w:p>
    <w:p w:rsidR="00D2586A" w:rsidRPr="00A7597E" w:rsidRDefault="00D2586A" w:rsidP="00E64302">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E64302">
      <w:pPr>
        <w:jc w:val="center"/>
        <w:rPr>
          <w:rFonts w:ascii="Tahoma" w:hAnsi="Tahoma" w:cs="Tahoma"/>
          <w:b/>
          <w:sz w:val="22"/>
          <w:szCs w:val="22"/>
        </w:rPr>
      </w:pPr>
      <w:r w:rsidRPr="00A7597E">
        <w:rPr>
          <w:rFonts w:ascii="Tahoma" w:hAnsi="Tahoma" w:cs="Tahoma"/>
          <w:b/>
          <w:sz w:val="22"/>
          <w:szCs w:val="22"/>
        </w:rPr>
        <w:t>(</w:t>
      </w:r>
      <w:r w:rsidR="00A7597E" w:rsidRPr="00A7597E">
        <w:rPr>
          <w:rFonts w:ascii="Tahoma" w:hAnsi="Tahoma" w:cs="Tahoma"/>
          <w:b/>
          <w:sz w:val="22"/>
          <w:szCs w:val="22"/>
        </w:rPr>
        <w:t>Mayo</w:t>
      </w:r>
      <w:r w:rsidR="000C717A">
        <w:rPr>
          <w:rFonts w:ascii="Tahoma" w:hAnsi="Tahoma" w:cs="Tahoma"/>
          <w:b/>
          <w:sz w:val="22"/>
          <w:szCs w:val="22"/>
        </w:rPr>
        <w:t xml:space="preserve"> </w:t>
      </w:r>
      <w:r w:rsidR="00934EA3">
        <w:rPr>
          <w:rFonts w:ascii="Tahoma" w:hAnsi="Tahoma" w:cs="Tahoma"/>
          <w:b/>
          <w:sz w:val="22"/>
          <w:szCs w:val="22"/>
        </w:rPr>
        <w:t>26</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E64302">
      <w:pPr>
        <w:jc w:val="center"/>
        <w:rPr>
          <w:rFonts w:ascii="Tahoma" w:hAnsi="Tahoma" w:cs="Tahoma"/>
          <w:b/>
          <w:sz w:val="22"/>
          <w:szCs w:val="22"/>
        </w:rPr>
      </w:pPr>
    </w:p>
    <w:p w:rsidR="00D2586A" w:rsidRPr="00A7597E" w:rsidRDefault="00D2586A" w:rsidP="00E64302">
      <w:pPr>
        <w:pStyle w:val="Titre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727147">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727147">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AE4B7A">
        <w:rPr>
          <w:rFonts w:ascii="Tahoma" w:hAnsi="Tahoma" w:cs="Tahoma"/>
          <w:sz w:val="22"/>
          <w:szCs w:val="22"/>
          <w:lang w:val="es-ES_tradnl"/>
        </w:rPr>
        <w:t>9</w:t>
      </w:r>
      <w:r w:rsidR="000C717A" w:rsidRPr="000C717A">
        <w:rPr>
          <w:rFonts w:ascii="Tahoma" w:hAnsi="Tahoma" w:cs="Tahoma"/>
          <w:sz w:val="22"/>
          <w:szCs w:val="22"/>
          <w:lang w:val="es-ES_tradnl"/>
        </w:rPr>
        <w:t>:</w:t>
      </w:r>
      <w:r w:rsidR="00AE4B7A">
        <w:rPr>
          <w:rFonts w:ascii="Tahoma" w:hAnsi="Tahoma" w:cs="Tahoma"/>
          <w:sz w:val="22"/>
          <w:szCs w:val="22"/>
          <w:lang w:val="es-ES_tradnl"/>
        </w:rPr>
        <w:t>0</w:t>
      </w:r>
      <w:r w:rsidR="000C717A" w:rsidRPr="000C717A">
        <w:rPr>
          <w:rFonts w:ascii="Tahoma" w:hAnsi="Tahoma" w:cs="Tahoma"/>
          <w:sz w:val="22"/>
          <w:szCs w:val="22"/>
          <w:lang w:val="es-ES_tradnl"/>
        </w:rPr>
        <w:t>0</w:t>
      </w:r>
      <w:r w:rsidRPr="000C717A">
        <w:rPr>
          <w:rFonts w:ascii="Tahoma" w:hAnsi="Tahoma" w:cs="Tahoma"/>
          <w:sz w:val="22"/>
          <w:szCs w:val="22"/>
          <w:lang w:val="es-ES_tradnl"/>
        </w:rPr>
        <w:t xml:space="preserve"> a.m</w:t>
      </w:r>
      <w:r w:rsidRPr="00A7597E">
        <w:rPr>
          <w:rFonts w:ascii="Tahoma" w:hAnsi="Tahoma" w:cs="Tahoma"/>
          <w:sz w:val="22"/>
          <w:szCs w:val="22"/>
          <w:lang w:val="es-ES_tradnl"/>
        </w:rPr>
        <w:t>. de hoy,</w:t>
      </w:r>
      <w:r w:rsidR="000C717A">
        <w:rPr>
          <w:rFonts w:ascii="Tahoma" w:hAnsi="Tahoma" w:cs="Tahoma"/>
          <w:sz w:val="22"/>
          <w:szCs w:val="22"/>
          <w:lang w:val="es-ES_tradnl"/>
        </w:rPr>
        <w:t xml:space="preserve"> </w:t>
      </w:r>
      <w:r w:rsidR="00934EA3">
        <w:rPr>
          <w:rFonts w:ascii="Tahoma" w:hAnsi="Tahoma" w:cs="Tahoma"/>
          <w:sz w:val="22"/>
          <w:szCs w:val="22"/>
          <w:lang w:val="es-ES_tradnl"/>
        </w:rPr>
        <w:t>26</w:t>
      </w:r>
      <w:r w:rsidRPr="00A7597E">
        <w:rPr>
          <w:rFonts w:ascii="Tahoma" w:hAnsi="Tahoma" w:cs="Tahoma"/>
          <w:sz w:val="22"/>
          <w:szCs w:val="22"/>
          <w:lang w:val="es-ES_tradnl"/>
        </w:rPr>
        <w:t xml:space="preserve"> de </w:t>
      </w:r>
      <w:r w:rsidR="00A7597E">
        <w:rPr>
          <w:rFonts w:ascii="Tahoma" w:hAnsi="Tahoma" w:cs="Tahoma"/>
          <w:sz w:val="22"/>
          <w:szCs w:val="22"/>
          <w:lang w:val="es-ES_tradnl"/>
        </w:rPr>
        <w:t xml:space="preserve">mayo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AE4B7A" w:rsidRPr="00AE4B7A">
        <w:rPr>
          <w:rFonts w:ascii="Tahoma" w:hAnsi="Tahoma" w:cs="Tahoma"/>
          <w:b/>
          <w:sz w:val="22"/>
          <w:szCs w:val="22"/>
          <w:lang w:val="es-ES_tradnl"/>
        </w:rPr>
        <w:t>M</w:t>
      </w:r>
      <w:r w:rsidR="00AE4B7A">
        <w:rPr>
          <w:rFonts w:ascii="Tahoma" w:hAnsi="Tahoma" w:cs="Tahoma"/>
          <w:b/>
          <w:sz w:val="22"/>
          <w:szCs w:val="22"/>
          <w:lang w:val="es-ES_tradnl"/>
        </w:rPr>
        <w:t xml:space="preserve">aría </w:t>
      </w:r>
      <w:proofErr w:type="spellStart"/>
      <w:r w:rsidR="00AE4B7A">
        <w:rPr>
          <w:rFonts w:ascii="Tahoma" w:hAnsi="Tahoma" w:cs="Tahoma"/>
          <w:b/>
          <w:sz w:val="22"/>
          <w:szCs w:val="22"/>
          <w:lang w:val="es-ES_tradnl"/>
        </w:rPr>
        <w:t>Esneda</w:t>
      </w:r>
      <w:proofErr w:type="spellEnd"/>
      <w:r w:rsidR="00AE4B7A">
        <w:rPr>
          <w:rFonts w:ascii="Tahoma" w:hAnsi="Tahoma" w:cs="Tahoma"/>
          <w:b/>
          <w:sz w:val="22"/>
          <w:szCs w:val="22"/>
          <w:lang w:val="es-ES_tradnl"/>
        </w:rPr>
        <w:t xml:space="preserve"> </w:t>
      </w:r>
      <w:r w:rsidR="00E64302">
        <w:rPr>
          <w:rFonts w:ascii="Tahoma" w:hAnsi="Tahoma" w:cs="Tahoma"/>
          <w:b/>
          <w:sz w:val="22"/>
          <w:szCs w:val="22"/>
          <w:lang w:val="es-ES_tradnl"/>
        </w:rPr>
        <w:t xml:space="preserve">Bedoya </w:t>
      </w:r>
      <w:r w:rsidR="00AE4B7A">
        <w:rPr>
          <w:rFonts w:ascii="Tahoma" w:hAnsi="Tahoma" w:cs="Tahoma"/>
          <w:b/>
          <w:sz w:val="22"/>
          <w:szCs w:val="22"/>
          <w:lang w:val="es-ES_tradnl"/>
        </w:rPr>
        <w:t>Figueroa</w:t>
      </w:r>
      <w:r w:rsidR="00EC0C21">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727147">
      <w:pPr>
        <w:ind w:firstLine="708"/>
        <w:jc w:val="both"/>
        <w:rPr>
          <w:rFonts w:ascii="Tahoma" w:hAnsi="Tahoma" w:cs="Tahoma"/>
          <w:sz w:val="22"/>
          <w:szCs w:val="22"/>
        </w:rPr>
      </w:pPr>
    </w:p>
    <w:p w:rsidR="00D2586A" w:rsidRPr="007834F9" w:rsidRDefault="00D2586A" w:rsidP="0072714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727147">
      <w:pPr>
        <w:ind w:firstLine="1122"/>
        <w:jc w:val="both"/>
        <w:rPr>
          <w:rFonts w:ascii="Tahoma" w:hAnsi="Tahoma" w:cs="Tahoma"/>
          <w:caps/>
          <w:sz w:val="22"/>
          <w:szCs w:val="22"/>
          <w:lang w:val="es-ES_tradnl"/>
        </w:rPr>
      </w:pPr>
    </w:p>
    <w:p w:rsidR="00D2586A" w:rsidRPr="00C75CBF" w:rsidRDefault="00D2586A" w:rsidP="00727147">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727147">
      <w:pPr>
        <w:widowControl w:val="0"/>
        <w:autoSpaceDE w:val="0"/>
        <w:autoSpaceDN w:val="0"/>
        <w:adjustRightInd w:val="0"/>
        <w:jc w:val="both"/>
        <w:rPr>
          <w:rFonts w:ascii="Tahoma" w:hAnsi="Tahoma" w:cs="Tahoma"/>
          <w:sz w:val="22"/>
          <w:szCs w:val="22"/>
        </w:rPr>
      </w:pPr>
    </w:p>
    <w:p w:rsidR="00D2586A" w:rsidRPr="007834F9" w:rsidRDefault="00D2586A" w:rsidP="0072714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727147">
      <w:pPr>
        <w:ind w:firstLine="708"/>
        <w:jc w:val="both"/>
        <w:rPr>
          <w:rFonts w:ascii="Tahoma" w:hAnsi="Tahoma" w:cs="Tahoma"/>
          <w:sz w:val="22"/>
          <w:szCs w:val="22"/>
          <w:lang w:val="es-ES_tradnl"/>
        </w:rPr>
      </w:pPr>
    </w:p>
    <w:p w:rsidR="00D2586A" w:rsidRPr="007834F9" w:rsidRDefault="00D2586A" w:rsidP="00727147">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727147">
      <w:pPr>
        <w:widowControl w:val="0"/>
        <w:autoSpaceDE w:val="0"/>
        <w:autoSpaceDN w:val="0"/>
        <w:adjustRightInd w:val="0"/>
        <w:jc w:val="center"/>
        <w:rPr>
          <w:rFonts w:ascii="Tahoma" w:hAnsi="Tahoma" w:cs="Tahoma"/>
          <w:b/>
          <w:sz w:val="22"/>
          <w:szCs w:val="22"/>
        </w:rPr>
      </w:pPr>
    </w:p>
    <w:p w:rsidR="00D2586A" w:rsidRDefault="00D2586A" w:rsidP="00727147">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sidR="00437FC2">
        <w:rPr>
          <w:rFonts w:ascii="Tahoma" w:hAnsi="Tahoma" w:cs="Tahoma"/>
          <w:sz w:val="22"/>
          <w:szCs w:val="22"/>
        </w:rPr>
        <w:t xml:space="preserve">el recurso de apelación propuesto en contra </w:t>
      </w:r>
      <w:r w:rsidRPr="00B56BEF">
        <w:rPr>
          <w:rFonts w:ascii="Tahoma" w:hAnsi="Tahoma" w:cs="Tahoma"/>
          <w:sz w:val="22"/>
          <w:szCs w:val="22"/>
        </w:rPr>
        <w:t>de la sentencia</w:t>
      </w:r>
      <w:r w:rsidRPr="007834F9">
        <w:rPr>
          <w:rFonts w:ascii="Tahoma" w:hAnsi="Tahoma" w:cs="Tahoma"/>
          <w:sz w:val="22"/>
          <w:szCs w:val="22"/>
        </w:rPr>
        <w:t xml:space="preserve"> emitida por el Juzgado </w:t>
      </w:r>
      <w:r w:rsidR="00E64302">
        <w:rPr>
          <w:rFonts w:ascii="Tahoma" w:hAnsi="Tahoma" w:cs="Tahoma"/>
          <w:sz w:val="22"/>
          <w:szCs w:val="22"/>
        </w:rPr>
        <w:t>Tercer</w:t>
      </w:r>
      <w:r w:rsidR="004109A3">
        <w:rPr>
          <w:rFonts w:ascii="Tahoma" w:hAnsi="Tahoma" w:cs="Tahoma"/>
          <w:sz w:val="22"/>
          <w:szCs w:val="22"/>
        </w:rPr>
        <w:t xml:space="preserve">o </w:t>
      </w:r>
      <w:r w:rsidRPr="007834F9">
        <w:rPr>
          <w:rFonts w:ascii="Tahoma" w:hAnsi="Tahoma" w:cs="Tahoma"/>
          <w:sz w:val="22"/>
          <w:szCs w:val="22"/>
        </w:rPr>
        <w:t xml:space="preserve">Laboral del Circuito de Pereira </w:t>
      </w:r>
      <w:r w:rsidRPr="00C05101">
        <w:rPr>
          <w:rFonts w:ascii="Tahoma" w:hAnsi="Tahoma" w:cs="Tahoma"/>
          <w:sz w:val="22"/>
          <w:szCs w:val="22"/>
        </w:rPr>
        <w:t xml:space="preserve">el </w:t>
      </w:r>
      <w:r w:rsidR="00437FC2">
        <w:rPr>
          <w:rFonts w:ascii="Tahoma" w:hAnsi="Tahoma" w:cs="Tahoma"/>
          <w:sz w:val="22"/>
          <w:szCs w:val="22"/>
        </w:rPr>
        <w:t xml:space="preserve">5 de mayo </w:t>
      </w:r>
      <w:r w:rsidRPr="00C05101">
        <w:rPr>
          <w:rFonts w:ascii="Tahoma" w:hAnsi="Tahoma" w:cs="Tahoma"/>
          <w:sz w:val="22"/>
          <w:szCs w:val="22"/>
        </w:rPr>
        <w:t>de 201</w:t>
      </w:r>
      <w:r w:rsidR="00A7597E" w:rsidRPr="00C05101">
        <w:rPr>
          <w:rFonts w:ascii="Tahoma" w:hAnsi="Tahoma" w:cs="Tahoma"/>
          <w:sz w:val="22"/>
          <w:szCs w:val="22"/>
        </w:rPr>
        <w:t>6</w:t>
      </w:r>
      <w:r w:rsidRPr="00C05101">
        <w:rPr>
          <w:rFonts w:ascii="Tahoma" w:hAnsi="Tahoma" w:cs="Tahoma"/>
          <w:sz w:val="22"/>
          <w:szCs w:val="22"/>
        </w:rPr>
        <w:t xml:space="preserve">, </w:t>
      </w:r>
      <w:r w:rsidR="00437FC2">
        <w:rPr>
          <w:rFonts w:ascii="Tahoma" w:hAnsi="Tahoma" w:cs="Tahoma"/>
          <w:sz w:val="22"/>
          <w:szCs w:val="22"/>
        </w:rPr>
        <w:t xml:space="preserve">y </w:t>
      </w:r>
      <w:r w:rsidR="00437FC2" w:rsidRPr="00C05101">
        <w:rPr>
          <w:rFonts w:ascii="Tahoma" w:hAnsi="Tahoma" w:cs="Tahoma"/>
          <w:sz w:val="22"/>
          <w:szCs w:val="22"/>
        </w:rPr>
        <w:t>el grado jurisdiccional de consulta</w:t>
      </w:r>
      <w:r w:rsidR="00437FC2">
        <w:rPr>
          <w:rFonts w:ascii="Tahoma" w:hAnsi="Tahoma" w:cs="Tahoma"/>
          <w:sz w:val="22"/>
          <w:szCs w:val="22"/>
        </w:rPr>
        <w:t>,</w:t>
      </w:r>
      <w:r w:rsidR="00437FC2" w:rsidRPr="007834F9">
        <w:rPr>
          <w:rFonts w:ascii="Tahoma" w:hAnsi="Tahoma" w:cs="Tahoma"/>
          <w:sz w:val="22"/>
          <w:szCs w:val="22"/>
        </w:rPr>
        <w:t xml:space="preserve"> dentro del proceso ordinario laboral reseñado con anterioridad. </w:t>
      </w:r>
      <w:proofErr w:type="gramStart"/>
      <w:r w:rsidRPr="00C05101">
        <w:rPr>
          <w:rFonts w:ascii="Tahoma" w:hAnsi="Tahoma" w:cs="Tahoma"/>
          <w:sz w:val="22"/>
          <w:szCs w:val="22"/>
        </w:rPr>
        <w:t>que</w:t>
      </w:r>
      <w:proofErr w:type="gramEnd"/>
      <w:r w:rsidRPr="00C05101">
        <w:rPr>
          <w:rFonts w:ascii="Tahoma" w:hAnsi="Tahoma" w:cs="Tahoma"/>
          <w:sz w:val="22"/>
          <w:szCs w:val="22"/>
        </w:rPr>
        <w:t xml:space="preserve"> resultara desfavorable a</w:t>
      </w:r>
      <w:r w:rsidR="00437FC2">
        <w:rPr>
          <w:rFonts w:ascii="Tahoma" w:hAnsi="Tahoma" w:cs="Tahoma"/>
          <w:sz w:val="22"/>
          <w:szCs w:val="22"/>
        </w:rPr>
        <w:t xml:space="preserve"> Colpensiones.</w:t>
      </w:r>
      <w:r w:rsidRPr="007834F9">
        <w:rPr>
          <w:rFonts w:ascii="Tahoma" w:hAnsi="Tahoma" w:cs="Tahoma"/>
          <w:sz w:val="22"/>
          <w:szCs w:val="22"/>
        </w:rPr>
        <w:t xml:space="preserve"> </w:t>
      </w:r>
    </w:p>
    <w:p w:rsidR="00EC0C21" w:rsidRPr="00C75CBF" w:rsidRDefault="00EC0C21" w:rsidP="00727147">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727147">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727147">
      <w:pPr>
        <w:widowControl w:val="0"/>
        <w:tabs>
          <w:tab w:val="left" w:pos="748"/>
        </w:tabs>
        <w:autoSpaceDE w:val="0"/>
        <w:autoSpaceDN w:val="0"/>
        <w:adjustRightInd w:val="0"/>
        <w:ind w:left="748"/>
        <w:jc w:val="center"/>
        <w:rPr>
          <w:rFonts w:ascii="Tahoma" w:hAnsi="Tahoma" w:cs="Tahoma"/>
          <w:b/>
          <w:bCs/>
          <w:sz w:val="22"/>
          <w:szCs w:val="22"/>
        </w:rPr>
      </w:pPr>
    </w:p>
    <w:p w:rsidR="00BE37ED" w:rsidRDefault="00D2586A" w:rsidP="00BE37ED">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BE37ED" w:rsidRPr="004B63FB">
        <w:rPr>
          <w:rFonts w:ascii="Tahoma" w:hAnsi="Tahoma" w:cs="Tahoma"/>
          <w:sz w:val="22"/>
          <w:szCs w:val="22"/>
        </w:rPr>
        <w:t xml:space="preserve">De acuerdo con lo expuesto en la sentencia de primera instancia y en los argumentos del recurso de apelación, le corresponde a la Sala determinar si </w:t>
      </w:r>
      <w:r w:rsidR="00BE37ED">
        <w:rPr>
          <w:rFonts w:ascii="Tahoma" w:hAnsi="Tahoma" w:cs="Tahoma"/>
          <w:sz w:val="22"/>
          <w:szCs w:val="22"/>
        </w:rPr>
        <w:t>a la demandante le asiste derecho al reconocimiento de la pensión de vejez consagrada en el Decreto 758 de 1990, como beneficiaria del régimen de transición y, en caso afirmativo, a partir de cuándo tiene derecho a disfrutar de la misma.</w:t>
      </w:r>
    </w:p>
    <w:p w:rsidR="00D2586A" w:rsidRDefault="00D2586A" w:rsidP="00727147">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lastRenderedPageBreak/>
        <w:t>La demanda y su contestación</w:t>
      </w:r>
    </w:p>
    <w:p w:rsidR="00F44384" w:rsidRDefault="00F44384" w:rsidP="00727147">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7E5723" w:rsidRDefault="001D7AE7"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sidR="002C4328" w:rsidRPr="002C4328">
        <w:rPr>
          <w:rFonts w:ascii="Tahoma" w:hAnsi="Tahoma" w:cs="Tahoma"/>
          <w:sz w:val="22"/>
          <w:szCs w:val="22"/>
        </w:rPr>
        <w:t>La</w:t>
      </w:r>
      <w:r w:rsidR="002C4328">
        <w:rPr>
          <w:rFonts w:ascii="Tahoma" w:hAnsi="Tahoma" w:cs="Tahoma"/>
          <w:b/>
          <w:sz w:val="22"/>
          <w:szCs w:val="22"/>
        </w:rPr>
        <w:t xml:space="preserve"> </w:t>
      </w:r>
      <w:r w:rsidR="007E5723" w:rsidRPr="007E5723">
        <w:rPr>
          <w:rFonts w:ascii="Tahoma" w:hAnsi="Tahoma" w:cs="Tahoma"/>
          <w:sz w:val="22"/>
          <w:szCs w:val="22"/>
        </w:rPr>
        <w:t>citad</w:t>
      </w:r>
      <w:r w:rsidR="002C4328">
        <w:rPr>
          <w:rFonts w:ascii="Tahoma" w:hAnsi="Tahoma" w:cs="Tahoma"/>
          <w:sz w:val="22"/>
          <w:szCs w:val="22"/>
        </w:rPr>
        <w:t>a</w:t>
      </w:r>
      <w:r w:rsidR="007E5723">
        <w:rPr>
          <w:rFonts w:ascii="Tahoma" w:hAnsi="Tahoma" w:cs="Tahoma"/>
          <w:sz w:val="22"/>
          <w:szCs w:val="22"/>
        </w:rPr>
        <w:t xml:space="preserve"> demandante solicita que se </w:t>
      </w:r>
      <w:r w:rsidR="00070B2A">
        <w:rPr>
          <w:rFonts w:ascii="Tahoma" w:hAnsi="Tahoma" w:cs="Tahoma"/>
          <w:sz w:val="22"/>
          <w:szCs w:val="22"/>
        </w:rPr>
        <w:t xml:space="preserve">condene a Colpensiones, previa declaración del derecho, </w:t>
      </w:r>
      <w:r w:rsidR="008222B3">
        <w:rPr>
          <w:rFonts w:ascii="Tahoma" w:hAnsi="Tahoma" w:cs="Tahoma"/>
          <w:sz w:val="22"/>
          <w:szCs w:val="22"/>
        </w:rPr>
        <w:t xml:space="preserve">a </w:t>
      </w:r>
      <w:r w:rsidR="002F2083">
        <w:rPr>
          <w:rFonts w:ascii="Tahoma" w:hAnsi="Tahoma" w:cs="Tahoma"/>
          <w:sz w:val="22"/>
          <w:szCs w:val="22"/>
        </w:rPr>
        <w:t xml:space="preserve">que le </w:t>
      </w:r>
      <w:r w:rsidR="00387807">
        <w:rPr>
          <w:rFonts w:ascii="Tahoma" w:hAnsi="Tahoma" w:cs="Tahoma"/>
          <w:sz w:val="22"/>
          <w:szCs w:val="22"/>
        </w:rPr>
        <w:t>recono</w:t>
      </w:r>
      <w:r w:rsidR="002F2083">
        <w:rPr>
          <w:rFonts w:ascii="Tahoma" w:hAnsi="Tahoma" w:cs="Tahoma"/>
          <w:sz w:val="22"/>
          <w:szCs w:val="22"/>
        </w:rPr>
        <w:t>zca y pague</w:t>
      </w:r>
      <w:r w:rsidR="00387807">
        <w:rPr>
          <w:rFonts w:ascii="Tahoma" w:hAnsi="Tahoma" w:cs="Tahoma"/>
          <w:sz w:val="22"/>
          <w:szCs w:val="22"/>
        </w:rPr>
        <w:t xml:space="preserve"> la pensión de vejez </w:t>
      </w:r>
      <w:r w:rsidR="006D797F">
        <w:rPr>
          <w:rFonts w:ascii="Tahoma" w:hAnsi="Tahoma" w:cs="Tahoma"/>
          <w:sz w:val="22"/>
          <w:szCs w:val="22"/>
        </w:rPr>
        <w:t>consagrada en el</w:t>
      </w:r>
      <w:r w:rsidR="00387807">
        <w:rPr>
          <w:rFonts w:ascii="Tahoma" w:hAnsi="Tahoma" w:cs="Tahoma"/>
          <w:sz w:val="22"/>
          <w:szCs w:val="22"/>
        </w:rPr>
        <w:t xml:space="preserve"> Acuerdo 049 de 1990</w:t>
      </w:r>
      <w:r w:rsidR="006D797F">
        <w:rPr>
          <w:rFonts w:ascii="Tahoma" w:hAnsi="Tahoma" w:cs="Tahoma"/>
          <w:sz w:val="22"/>
          <w:szCs w:val="22"/>
        </w:rPr>
        <w:t>, en su calidad de beneficiari</w:t>
      </w:r>
      <w:r w:rsidR="002F2083">
        <w:rPr>
          <w:rFonts w:ascii="Tahoma" w:hAnsi="Tahoma" w:cs="Tahoma"/>
          <w:sz w:val="22"/>
          <w:szCs w:val="22"/>
        </w:rPr>
        <w:t>a</w:t>
      </w:r>
      <w:r w:rsidR="006D797F">
        <w:rPr>
          <w:rFonts w:ascii="Tahoma" w:hAnsi="Tahoma" w:cs="Tahoma"/>
          <w:sz w:val="22"/>
          <w:szCs w:val="22"/>
        </w:rPr>
        <w:t xml:space="preserve"> del régimen de transición, a partir del 1º de </w:t>
      </w:r>
      <w:r w:rsidR="002F2083">
        <w:rPr>
          <w:rFonts w:ascii="Tahoma" w:hAnsi="Tahoma" w:cs="Tahoma"/>
          <w:sz w:val="22"/>
          <w:szCs w:val="22"/>
        </w:rPr>
        <w:t>diciembre de 2014</w:t>
      </w:r>
      <w:r w:rsidR="006D797F">
        <w:rPr>
          <w:rFonts w:ascii="Tahoma" w:hAnsi="Tahoma" w:cs="Tahoma"/>
          <w:sz w:val="22"/>
          <w:szCs w:val="22"/>
        </w:rPr>
        <w:t xml:space="preserve"> y en cuantía del salario mínimo legal, más los intereses moratorios</w:t>
      </w:r>
      <w:r w:rsidR="008E4678">
        <w:rPr>
          <w:rFonts w:ascii="Tahoma" w:hAnsi="Tahoma" w:cs="Tahoma"/>
          <w:sz w:val="22"/>
          <w:szCs w:val="22"/>
        </w:rPr>
        <w:t xml:space="preserve"> de que trata el artículo 141 de la Ley 100 de 1993</w:t>
      </w:r>
      <w:r w:rsidR="002C4328">
        <w:rPr>
          <w:rFonts w:ascii="Tahoma" w:hAnsi="Tahoma" w:cs="Tahoma"/>
          <w:sz w:val="22"/>
          <w:szCs w:val="22"/>
        </w:rPr>
        <w:t xml:space="preserve">, </w:t>
      </w:r>
      <w:r w:rsidR="00070B2A">
        <w:rPr>
          <w:rFonts w:ascii="Tahoma" w:hAnsi="Tahoma" w:cs="Tahoma"/>
          <w:sz w:val="22"/>
          <w:szCs w:val="22"/>
        </w:rPr>
        <w:t>o la indexación de las condenas.</w:t>
      </w:r>
      <w:r w:rsidR="002C4328">
        <w:rPr>
          <w:rFonts w:ascii="Tahoma" w:hAnsi="Tahoma" w:cs="Tahoma"/>
          <w:sz w:val="22"/>
          <w:szCs w:val="22"/>
        </w:rPr>
        <w:t xml:space="preserve"> Asimismo, </w:t>
      </w:r>
      <w:r w:rsidR="00070B2A">
        <w:rPr>
          <w:rFonts w:ascii="Tahoma" w:hAnsi="Tahoma" w:cs="Tahoma"/>
          <w:sz w:val="22"/>
          <w:szCs w:val="22"/>
        </w:rPr>
        <w:t xml:space="preserve">solicita que se condene a </w:t>
      </w:r>
      <w:r w:rsidR="009F0A9A">
        <w:rPr>
          <w:rFonts w:ascii="Tahoma" w:hAnsi="Tahoma" w:cs="Tahoma"/>
          <w:sz w:val="22"/>
          <w:szCs w:val="22"/>
        </w:rPr>
        <w:t xml:space="preserve">la demandada al pago de lo que resulte probado en virtud de las facultades extra y ultra </w:t>
      </w:r>
      <w:proofErr w:type="spellStart"/>
      <w:r w:rsidR="009F0A9A">
        <w:rPr>
          <w:rFonts w:ascii="Tahoma" w:hAnsi="Tahoma" w:cs="Tahoma"/>
          <w:sz w:val="22"/>
          <w:szCs w:val="22"/>
        </w:rPr>
        <w:t>petita</w:t>
      </w:r>
      <w:proofErr w:type="spellEnd"/>
      <w:r w:rsidR="009F0A9A">
        <w:rPr>
          <w:rFonts w:ascii="Tahoma" w:hAnsi="Tahoma" w:cs="Tahoma"/>
          <w:sz w:val="22"/>
          <w:szCs w:val="22"/>
        </w:rPr>
        <w:t>, y las costas procesales.</w:t>
      </w:r>
      <w:r w:rsidR="006D797F">
        <w:rPr>
          <w:rFonts w:ascii="Tahoma" w:hAnsi="Tahoma" w:cs="Tahoma"/>
          <w:sz w:val="22"/>
          <w:szCs w:val="22"/>
        </w:rPr>
        <w:t xml:space="preserve"> </w:t>
      </w:r>
    </w:p>
    <w:p w:rsidR="007E5723" w:rsidRDefault="007E5723"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255311" w:rsidRDefault="009F0A9A"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manifiesta</w:t>
      </w:r>
      <w:r w:rsidR="00C05101">
        <w:rPr>
          <w:rFonts w:ascii="Tahoma" w:hAnsi="Tahoma" w:cs="Tahoma"/>
          <w:sz w:val="22"/>
          <w:szCs w:val="22"/>
        </w:rPr>
        <w:t xml:space="preserve"> que</w:t>
      </w:r>
      <w:r>
        <w:rPr>
          <w:rFonts w:ascii="Tahoma" w:hAnsi="Tahoma" w:cs="Tahoma"/>
          <w:sz w:val="22"/>
          <w:szCs w:val="22"/>
        </w:rPr>
        <w:t xml:space="preserve"> nació el 2</w:t>
      </w:r>
      <w:r w:rsidR="00785A72">
        <w:rPr>
          <w:rFonts w:ascii="Tahoma" w:hAnsi="Tahoma" w:cs="Tahoma"/>
          <w:sz w:val="22"/>
          <w:szCs w:val="22"/>
        </w:rPr>
        <w:t>8</w:t>
      </w:r>
      <w:r>
        <w:rPr>
          <w:rFonts w:ascii="Tahoma" w:hAnsi="Tahoma" w:cs="Tahoma"/>
          <w:sz w:val="22"/>
          <w:szCs w:val="22"/>
        </w:rPr>
        <w:t xml:space="preserve"> de </w:t>
      </w:r>
      <w:r w:rsidR="00785A72">
        <w:rPr>
          <w:rFonts w:ascii="Tahoma" w:hAnsi="Tahoma" w:cs="Tahoma"/>
          <w:sz w:val="22"/>
          <w:szCs w:val="22"/>
        </w:rPr>
        <w:t>febrero de 1958</w:t>
      </w:r>
      <w:r>
        <w:rPr>
          <w:rFonts w:ascii="Tahoma" w:hAnsi="Tahoma" w:cs="Tahoma"/>
          <w:sz w:val="22"/>
          <w:szCs w:val="22"/>
        </w:rPr>
        <w:t xml:space="preserve"> y que el </w:t>
      </w:r>
      <w:r w:rsidR="00785A72">
        <w:rPr>
          <w:rFonts w:ascii="Tahoma" w:hAnsi="Tahoma" w:cs="Tahoma"/>
          <w:sz w:val="22"/>
          <w:szCs w:val="22"/>
        </w:rPr>
        <w:t>6</w:t>
      </w:r>
      <w:r>
        <w:rPr>
          <w:rFonts w:ascii="Tahoma" w:hAnsi="Tahoma" w:cs="Tahoma"/>
          <w:sz w:val="22"/>
          <w:szCs w:val="22"/>
        </w:rPr>
        <w:t xml:space="preserve"> de </w:t>
      </w:r>
      <w:r w:rsidR="00785A72">
        <w:rPr>
          <w:rFonts w:ascii="Tahoma" w:hAnsi="Tahoma" w:cs="Tahoma"/>
          <w:sz w:val="22"/>
          <w:szCs w:val="22"/>
        </w:rPr>
        <w:t>mayo de 2013</w:t>
      </w:r>
      <w:r>
        <w:rPr>
          <w:rFonts w:ascii="Tahoma" w:hAnsi="Tahoma" w:cs="Tahoma"/>
          <w:sz w:val="22"/>
          <w:szCs w:val="22"/>
        </w:rPr>
        <w:t xml:space="preserve"> solicitó el reconocimiento de su pensión de </w:t>
      </w:r>
      <w:r w:rsidR="00992558">
        <w:rPr>
          <w:rFonts w:ascii="Tahoma" w:hAnsi="Tahoma" w:cs="Tahoma"/>
          <w:sz w:val="22"/>
          <w:szCs w:val="22"/>
        </w:rPr>
        <w:t>vejez,</w:t>
      </w:r>
      <w:r>
        <w:rPr>
          <w:rFonts w:ascii="Tahoma" w:hAnsi="Tahoma" w:cs="Tahoma"/>
          <w:sz w:val="22"/>
          <w:szCs w:val="22"/>
        </w:rPr>
        <w:t xml:space="preserve"> la cual fue negada a través de la Resolución </w:t>
      </w:r>
      <w:r w:rsidR="001407FF">
        <w:rPr>
          <w:rFonts w:ascii="Tahoma" w:hAnsi="Tahoma" w:cs="Tahoma"/>
          <w:sz w:val="22"/>
          <w:szCs w:val="22"/>
        </w:rPr>
        <w:t xml:space="preserve">GNR </w:t>
      </w:r>
      <w:r w:rsidR="00785A72">
        <w:rPr>
          <w:rFonts w:ascii="Tahoma" w:hAnsi="Tahoma" w:cs="Tahoma"/>
          <w:sz w:val="22"/>
          <w:szCs w:val="22"/>
        </w:rPr>
        <w:t>80125 del 11 de marzo de 2014</w:t>
      </w:r>
      <w:r w:rsidR="00A001B8">
        <w:rPr>
          <w:rFonts w:ascii="Tahoma" w:hAnsi="Tahoma" w:cs="Tahoma"/>
          <w:sz w:val="22"/>
          <w:szCs w:val="22"/>
        </w:rPr>
        <w:t>,</w:t>
      </w:r>
      <w:r w:rsidR="00C86711">
        <w:rPr>
          <w:rFonts w:ascii="Tahoma" w:hAnsi="Tahoma" w:cs="Tahoma"/>
          <w:sz w:val="22"/>
          <w:szCs w:val="22"/>
        </w:rPr>
        <w:t xml:space="preserve"> </w:t>
      </w:r>
      <w:r w:rsidR="00466EFC">
        <w:rPr>
          <w:rFonts w:ascii="Tahoma" w:hAnsi="Tahoma" w:cs="Tahoma"/>
          <w:sz w:val="22"/>
          <w:szCs w:val="22"/>
        </w:rPr>
        <w:t xml:space="preserve">bajo el argumento </w:t>
      </w:r>
      <w:r w:rsidR="00E8094B">
        <w:rPr>
          <w:rFonts w:ascii="Tahoma" w:hAnsi="Tahoma" w:cs="Tahoma"/>
          <w:sz w:val="22"/>
          <w:szCs w:val="22"/>
        </w:rPr>
        <w:t xml:space="preserve">de que </w:t>
      </w:r>
      <w:r w:rsidR="00B3796E">
        <w:rPr>
          <w:rFonts w:ascii="Tahoma" w:hAnsi="Tahoma" w:cs="Tahoma"/>
          <w:sz w:val="22"/>
          <w:szCs w:val="22"/>
        </w:rPr>
        <w:t xml:space="preserve">no </w:t>
      </w:r>
      <w:r w:rsidR="00466EFC">
        <w:rPr>
          <w:rFonts w:ascii="Tahoma" w:hAnsi="Tahoma" w:cs="Tahoma"/>
          <w:sz w:val="22"/>
          <w:szCs w:val="22"/>
        </w:rPr>
        <w:t>acreditó los requisitos mínimos de edad y semanas cotizadas, de conformidad con lo dispuesto en la Ley 797 de 2003.</w:t>
      </w:r>
      <w:r w:rsidR="00E8094B">
        <w:rPr>
          <w:rFonts w:ascii="Tahoma" w:hAnsi="Tahoma" w:cs="Tahoma"/>
          <w:sz w:val="22"/>
          <w:szCs w:val="22"/>
        </w:rPr>
        <w:t xml:space="preserve"> </w:t>
      </w:r>
      <w:r w:rsidR="00A001B8">
        <w:rPr>
          <w:rFonts w:ascii="Tahoma" w:hAnsi="Tahoma" w:cs="Tahoma"/>
          <w:sz w:val="22"/>
          <w:szCs w:val="22"/>
        </w:rPr>
        <w:t xml:space="preserve">Agrega que </w:t>
      </w:r>
      <w:r w:rsidR="00590806">
        <w:rPr>
          <w:rFonts w:ascii="Tahoma" w:hAnsi="Tahoma" w:cs="Tahoma"/>
          <w:sz w:val="22"/>
          <w:szCs w:val="22"/>
        </w:rPr>
        <w:t>en el aludido acto no se consideró que es beneficiari</w:t>
      </w:r>
      <w:r w:rsidR="00785A72">
        <w:rPr>
          <w:rFonts w:ascii="Tahoma" w:hAnsi="Tahoma" w:cs="Tahoma"/>
          <w:sz w:val="22"/>
          <w:szCs w:val="22"/>
        </w:rPr>
        <w:t>a</w:t>
      </w:r>
      <w:r w:rsidR="00590806">
        <w:rPr>
          <w:rFonts w:ascii="Tahoma" w:hAnsi="Tahoma" w:cs="Tahoma"/>
          <w:sz w:val="22"/>
          <w:szCs w:val="22"/>
        </w:rPr>
        <w:t xml:space="preserve"> del régimen de transición consagrado en el artículo 36 de la Ley 100 de 1993</w:t>
      </w:r>
      <w:r w:rsidR="00E8094B">
        <w:rPr>
          <w:rFonts w:ascii="Tahoma" w:hAnsi="Tahoma" w:cs="Tahoma"/>
          <w:sz w:val="22"/>
          <w:szCs w:val="22"/>
        </w:rPr>
        <w:t xml:space="preserve">, ni </w:t>
      </w:r>
      <w:r w:rsidR="00F76D60">
        <w:rPr>
          <w:rFonts w:ascii="Tahoma" w:hAnsi="Tahoma" w:cs="Tahoma"/>
          <w:sz w:val="22"/>
          <w:szCs w:val="22"/>
        </w:rPr>
        <w:t>que</w:t>
      </w:r>
      <w:r w:rsidR="00590806">
        <w:rPr>
          <w:rFonts w:ascii="Tahoma" w:hAnsi="Tahoma" w:cs="Tahoma"/>
          <w:sz w:val="22"/>
          <w:szCs w:val="22"/>
        </w:rPr>
        <w:t xml:space="preserve"> </w:t>
      </w:r>
      <w:r w:rsidR="00A001B8">
        <w:rPr>
          <w:rFonts w:ascii="Tahoma" w:hAnsi="Tahoma" w:cs="Tahoma"/>
          <w:sz w:val="22"/>
          <w:szCs w:val="22"/>
        </w:rPr>
        <w:t>al 2</w:t>
      </w:r>
      <w:r w:rsidR="00785A72">
        <w:rPr>
          <w:rFonts w:ascii="Tahoma" w:hAnsi="Tahoma" w:cs="Tahoma"/>
          <w:sz w:val="22"/>
          <w:szCs w:val="22"/>
        </w:rPr>
        <w:t>9</w:t>
      </w:r>
      <w:r w:rsidR="00A001B8">
        <w:rPr>
          <w:rFonts w:ascii="Tahoma" w:hAnsi="Tahoma" w:cs="Tahoma"/>
          <w:sz w:val="22"/>
          <w:szCs w:val="22"/>
        </w:rPr>
        <w:t xml:space="preserve"> de julio de 2005 </w:t>
      </w:r>
      <w:r w:rsidR="00F32A70">
        <w:rPr>
          <w:rFonts w:ascii="Tahoma" w:hAnsi="Tahoma" w:cs="Tahoma"/>
          <w:sz w:val="22"/>
          <w:szCs w:val="22"/>
        </w:rPr>
        <w:t xml:space="preserve">contaba con </w:t>
      </w:r>
      <w:r w:rsidR="00785A72">
        <w:rPr>
          <w:rFonts w:ascii="Tahoma" w:hAnsi="Tahoma" w:cs="Tahoma"/>
          <w:sz w:val="22"/>
          <w:szCs w:val="22"/>
        </w:rPr>
        <w:t>773</w:t>
      </w:r>
      <w:r w:rsidR="00A001B8">
        <w:rPr>
          <w:rFonts w:ascii="Tahoma" w:hAnsi="Tahoma" w:cs="Tahoma"/>
          <w:sz w:val="22"/>
          <w:szCs w:val="22"/>
        </w:rPr>
        <w:t xml:space="preserve"> semanas</w:t>
      </w:r>
      <w:r w:rsidR="00A61301">
        <w:rPr>
          <w:rFonts w:ascii="Tahoma" w:hAnsi="Tahoma" w:cs="Tahoma"/>
          <w:sz w:val="22"/>
          <w:szCs w:val="22"/>
        </w:rPr>
        <w:t xml:space="preserve"> cotizadas.</w:t>
      </w:r>
    </w:p>
    <w:p w:rsidR="00785A72" w:rsidRDefault="00785A72"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785A72" w:rsidRDefault="00785A72"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Indica que en su historia laboral no se tienen en cuenta 315 días debidamente cotizados</w:t>
      </w:r>
      <w:r w:rsidR="00FF470C">
        <w:rPr>
          <w:rFonts w:ascii="Tahoma" w:hAnsi="Tahoma" w:cs="Tahoma"/>
          <w:sz w:val="22"/>
          <w:szCs w:val="22"/>
        </w:rPr>
        <w:t xml:space="preserve"> que equivalen a 45 semanas</w:t>
      </w:r>
      <w:r w:rsidR="009739F4">
        <w:rPr>
          <w:rFonts w:ascii="Tahoma" w:hAnsi="Tahoma" w:cs="Tahoma"/>
          <w:sz w:val="22"/>
          <w:szCs w:val="22"/>
        </w:rPr>
        <w:t>, con las cuales alcanza un total de 1010,43 semanas</w:t>
      </w:r>
      <w:r w:rsidR="00EB3A4F">
        <w:rPr>
          <w:rFonts w:ascii="Tahoma" w:hAnsi="Tahoma" w:cs="Tahoma"/>
          <w:sz w:val="22"/>
          <w:szCs w:val="22"/>
        </w:rPr>
        <w:t>, cumpliendo de esta manera el segundo requisito para acceder a la pensión de vejez</w:t>
      </w:r>
      <w:r w:rsidR="00297DAF">
        <w:rPr>
          <w:rFonts w:ascii="Tahoma" w:hAnsi="Tahoma" w:cs="Tahoma"/>
          <w:sz w:val="22"/>
          <w:szCs w:val="22"/>
        </w:rPr>
        <w:t>, por lo que la prestación se le debe reconocer desde el 1º de diciembre de 2014.</w:t>
      </w:r>
    </w:p>
    <w:p w:rsidR="00845293" w:rsidRDefault="00845293"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845293" w:rsidRDefault="00845293"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9E3971">
        <w:rPr>
          <w:rFonts w:ascii="Tahoma" w:hAnsi="Tahoma" w:cs="Tahoma"/>
          <w:sz w:val="22"/>
          <w:szCs w:val="22"/>
        </w:rPr>
        <w:t xml:space="preserve">Refiere </w:t>
      </w:r>
      <w:r>
        <w:rPr>
          <w:rFonts w:ascii="Tahoma" w:hAnsi="Tahoma" w:cs="Tahoma"/>
          <w:sz w:val="22"/>
          <w:szCs w:val="22"/>
        </w:rPr>
        <w:t>que el 29 de diciembre de 2014 solicitó nuevamente la prestación, la cual le volvió a ser negada, esta vez mediante la Resolución GNR 119249 de 2015, en la que, a pesar de que se la reconoció como beneficiaria del régimen de transición, se negó la pensión aduciendo que dicha prerrogativa se extendió hasta el año 2014, siendo del caso estudiar</w:t>
      </w:r>
      <w:r w:rsidR="009E3971">
        <w:rPr>
          <w:rFonts w:ascii="Tahoma" w:hAnsi="Tahoma" w:cs="Tahoma"/>
          <w:sz w:val="22"/>
          <w:szCs w:val="22"/>
        </w:rPr>
        <w:t xml:space="preserve"> el reconocimiento a la luz de la Ley 797 de 2003, respecto de la cual no cumplía los requisitos</w:t>
      </w:r>
      <w:r w:rsidR="009D25F4">
        <w:rPr>
          <w:rFonts w:ascii="Tahoma" w:hAnsi="Tahoma" w:cs="Tahoma"/>
          <w:sz w:val="22"/>
          <w:szCs w:val="22"/>
        </w:rPr>
        <w:t>;</w:t>
      </w:r>
      <w:r w:rsidR="0028583E">
        <w:rPr>
          <w:rFonts w:ascii="Tahoma" w:hAnsi="Tahoma" w:cs="Tahoma"/>
          <w:sz w:val="22"/>
          <w:szCs w:val="22"/>
        </w:rPr>
        <w:t xml:space="preserve"> </w:t>
      </w:r>
      <w:r w:rsidR="003D110F">
        <w:rPr>
          <w:rFonts w:ascii="Tahoma" w:hAnsi="Tahoma" w:cs="Tahoma"/>
          <w:sz w:val="22"/>
          <w:szCs w:val="22"/>
        </w:rPr>
        <w:t>induciéndola al error de s</w:t>
      </w:r>
      <w:r w:rsidR="0028583E">
        <w:rPr>
          <w:rFonts w:ascii="Tahoma" w:hAnsi="Tahoma" w:cs="Tahoma"/>
          <w:sz w:val="22"/>
          <w:szCs w:val="22"/>
        </w:rPr>
        <w:t>eguir cotizando hasta completar las 1300 semanas</w:t>
      </w:r>
      <w:r w:rsidR="009E3971">
        <w:rPr>
          <w:rFonts w:ascii="Tahoma" w:hAnsi="Tahoma" w:cs="Tahoma"/>
          <w:sz w:val="22"/>
          <w:szCs w:val="22"/>
        </w:rPr>
        <w:t>.</w:t>
      </w:r>
    </w:p>
    <w:p w:rsidR="009E3971" w:rsidRDefault="009E3971"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24110" w:rsidRDefault="009E3971"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Por último,</w:t>
      </w:r>
      <w:r w:rsidR="00624110">
        <w:rPr>
          <w:rFonts w:ascii="Tahoma" w:hAnsi="Tahoma" w:cs="Tahoma"/>
          <w:sz w:val="22"/>
          <w:szCs w:val="22"/>
        </w:rPr>
        <w:t xml:space="preserve"> indica</w:t>
      </w:r>
      <w:r w:rsidR="0028583E">
        <w:rPr>
          <w:rFonts w:ascii="Tahoma" w:hAnsi="Tahoma" w:cs="Tahoma"/>
          <w:sz w:val="22"/>
          <w:szCs w:val="22"/>
        </w:rPr>
        <w:t xml:space="preserve"> que a la fecha de presentación de la </w:t>
      </w:r>
      <w:r w:rsidR="00624110">
        <w:rPr>
          <w:rFonts w:ascii="Tahoma" w:hAnsi="Tahoma" w:cs="Tahoma"/>
          <w:sz w:val="22"/>
          <w:szCs w:val="22"/>
        </w:rPr>
        <w:t>demanda no se han resuelto los recursos que presentara en contra del aludido acto</w:t>
      </w:r>
      <w:r w:rsidR="003D110F">
        <w:rPr>
          <w:rFonts w:ascii="Tahoma" w:hAnsi="Tahoma" w:cs="Tahoma"/>
          <w:sz w:val="22"/>
          <w:szCs w:val="22"/>
        </w:rPr>
        <w:t>, quedando agotada de esta manera la vía gubernativa, y que los intereses moratorios deben reconocerse desde el 1º de mayo de 2015, fecha en la que se debió empezar a reconocer la prestación.</w:t>
      </w:r>
    </w:p>
    <w:p w:rsidR="000F50F5" w:rsidRDefault="000F50F5"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15738" w:rsidRDefault="00D2586A" w:rsidP="00727147">
      <w:pPr>
        <w:widowControl w:val="0"/>
        <w:autoSpaceDE w:val="0"/>
        <w:autoSpaceDN w:val="0"/>
        <w:adjustRightInd w:val="0"/>
        <w:spacing w:line="276" w:lineRule="auto"/>
        <w:ind w:firstLine="708"/>
        <w:jc w:val="both"/>
        <w:rPr>
          <w:rFonts w:ascii="Tahoma" w:hAnsi="Tahoma" w:cs="Tahoma"/>
          <w:sz w:val="22"/>
          <w:szCs w:val="22"/>
        </w:rPr>
      </w:pPr>
      <w:r w:rsidRPr="003E1ADB">
        <w:rPr>
          <w:rFonts w:ascii="Tahoma" w:hAnsi="Tahoma" w:cs="Tahoma"/>
          <w:sz w:val="22"/>
          <w:szCs w:val="22"/>
        </w:rPr>
        <w:t>Colpensiones</w:t>
      </w:r>
      <w:r w:rsidR="00A45DD8" w:rsidRPr="003E1ADB">
        <w:rPr>
          <w:rFonts w:ascii="Tahoma" w:hAnsi="Tahoma" w:cs="Tahoma"/>
          <w:sz w:val="22"/>
          <w:szCs w:val="22"/>
        </w:rPr>
        <w:t xml:space="preserve"> </w:t>
      </w:r>
      <w:r w:rsidR="00615738">
        <w:rPr>
          <w:rFonts w:ascii="Tahoma" w:hAnsi="Tahoma" w:cs="Tahoma"/>
          <w:sz w:val="22"/>
          <w:szCs w:val="22"/>
        </w:rPr>
        <w:t xml:space="preserve">aceptó como ciertos los hechos relacionados con las solicitudes presentadas por la actora el 6 de mayo de 2013 </w:t>
      </w:r>
      <w:r w:rsidR="00070732">
        <w:rPr>
          <w:rFonts w:ascii="Tahoma" w:hAnsi="Tahoma" w:cs="Tahoma"/>
          <w:sz w:val="22"/>
          <w:szCs w:val="22"/>
        </w:rPr>
        <w:t xml:space="preserve">y el 29 de diciembre de 2014, así como </w:t>
      </w:r>
      <w:r w:rsidR="00615738">
        <w:rPr>
          <w:rFonts w:ascii="Tahoma" w:hAnsi="Tahoma" w:cs="Tahoma"/>
          <w:sz w:val="22"/>
          <w:szCs w:val="22"/>
        </w:rPr>
        <w:t>el contenido de la</w:t>
      </w:r>
      <w:r w:rsidR="00070732">
        <w:rPr>
          <w:rFonts w:ascii="Tahoma" w:hAnsi="Tahoma" w:cs="Tahoma"/>
          <w:sz w:val="22"/>
          <w:szCs w:val="22"/>
        </w:rPr>
        <w:t>s</w:t>
      </w:r>
      <w:r w:rsidR="00615738">
        <w:rPr>
          <w:rFonts w:ascii="Tahoma" w:hAnsi="Tahoma" w:cs="Tahoma"/>
          <w:sz w:val="22"/>
          <w:szCs w:val="22"/>
        </w:rPr>
        <w:t xml:space="preserve"> </w:t>
      </w:r>
      <w:r w:rsidR="00070732">
        <w:rPr>
          <w:rFonts w:ascii="Tahoma" w:hAnsi="Tahoma" w:cs="Tahoma"/>
          <w:sz w:val="22"/>
          <w:szCs w:val="22"/>
        </w:rPr>
        <w:t>Resoluciones</w:t>
      </w:r>
      <w:r w:rsidR="00615738">
        <w:rPr>
          <w:rFonts w:ascii="Tahoma" w:hAnsi="Tahoma" w:cs="Tahoma"/>
          <w:sz w:val="22"/>
          <w:szCs w:val="22"/>
        </w:rPr>
        <w:t xml:space="preserve"> GNR 80125 del 11 de mayo de 2014</w:t>
      </w:r>
      <w:r w:rsidR="00070732">
        <w:rPr>
          <w:rFonts w:ascii="Tahoma" w:hAnsi="Tahoma" w:cs="Tahoma"/>
          <w:sz w:val="22"/>
          <w:szCs w:val="22"/>
        </w:rPr>
        <w:t xml:space="preserve"> y GNR 119249 del 28 de abril de 2015; los recursos presentados contra esta última, los cuales no han sido resueltos. Frente a los demás hechos manifestó que no eran ciertos o que no le constaban.</w:t>
      </w:r>
    </w:p>
    <w:p w:rsidR="00070732" w:rsidRDefault="00070732" w:rsidP="00727147">
      <w:pPr>
        <w:widowControl w:val="0"/>
        <w:autoSpaceDE w:val="0"/>
        <w:autoSpaceDN w:val="0"/>
        <w:adjustRightInd w:val="0"/>
        <w:spacing w:line="276" w:lineRule="auto"/>
        <w:ind w:firstLine="708"/>
        <w:jc w:val="both"/>
        <w:rPr>
          <w:rFonts w:ascii="Tahoma" w:hAnsi="Tahoma" w:cs="Tahoma"/>
          <w:sz w:val="22"/>
          <w:szCs w:val="22"/>
        </w:rPr>
      </w:pPr>
    </w:p>
    <w:p w:rsidR="007B7B59" w:rsidRDefault="00070732" w:rsidP="007271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w:t>
      </w:r>
      <w:r w:rsidR="004E41B0">
        <w:rPr>
          <w:rFonts w:ascii="Tahoma" w:hAnsi="Tahoma" w:cs="Tahoma"/>
          <w:sz w:val="22"/>
          <w:szCs w:val="22"/>
        </w:rPr>
        <w:t xml:space="preserve">, </w:t>
      </w:r>
      <w:r w:rsidR="007B7B59">
        <w:rPr>
          <w:rFonts w:ascii="Tahoma" w:hAnsi="Tahoma" w:cs="Tahoma"/>
          <w:sz w:val="22"/>
          <w:szCs w:val="22"/>
        </w:rPr>
        <w:t>se opuso a la totalidad de las pretensiones de la demanda y propuso como excepciones de mérito las que denominó “Inexistencia de</w:t>
      </w:r>
      <w:r>
        <w:rPr>
          <w:rFonts w:ascii="Tahoma" w:hAnsi="Tahoma" w:cs="Tahoma"/>
          <w:sz w:val="22"/>
          <w:szCs w:val="22"/>
        </w:rPr>
        <w:t xml:space="preserve"> la obligación demandada</w:t>
      </w:r>
      <w:r w:rsidR="00B26D22">
        <w:rPr>
          <w:rFonts w:ascii="Tahoma" w:hAnsi="Tahoma" w:cs="Tahoma"/>
          <w:sz w:val="22"/>
          <w:szCs w:val="22"/>
        </w:rPr>
        <w:t>”</w:t>
      </w:r>
      <w:r w:rsidR="00D437A8" w:rsidRPr="003E1ADB">
        <w:rPr>
          <w:rFonts w:ascii="Tahoma" w:hAnsi="Tahoma" w:cs="Tahoma"/>
          <w:sz w:val="22"/>
          <w:szCs w:val="22"/>
        </w:rPr>
        <w:t>,</w:t>
      </w:r>
      <w:r w:rsidR="00D437A8">
        <w:rPr>
          <w:rFonts w:ascii="Tahoma" w:hAnsi="Tahoma" w:cs="Tahoma"/>
          <w:sz w:val="22"/>
          <w:szCs w:val="22"/>
        </w:rPr>
        <w:t xml:space="preserve"> “</w:t>
      </w:r>
      <w:r>
        <w:rPr>
          <w:rFonts w:ascii="Tahoma" w:hAnsi="Tahoma" w:cs="Tahoma"/>
          <w:sz w:val="22"/>
          <w:szCs w:val="22"/>
        </w:rPr>
        <w:t>Prescripción</w:t>
      </w:r>
      <w:r w:rsidR="00B26D22">
        <w:rPr>
          <w:rFonts w:ascii="Tahoma" w:hAnsi="Tahoma" w:cs="Tahoma"/>
          <w:sz w:val="22"/>
          <w:szCs w:val="22"/>
        </w:rPr>
        <w:t>”, “</w:t>
      </w:r>
      <w:r>
        <w:rPr>
          <w:rFonts w:ascii="Tahoma" w:hAnsi="Tahoma" w:cs="Tahoma"/>
          <w:sz w:val="22"/>
          <w:szCs w:val="22"/>
        </w:rPr>
        <w:t>Buena fe” y “Genéricas”</w:t>
      </w:r>
      <w:r w:rsidR="007B7B59">
        <w:rPr>
          <w:rFonts w:ascii="Tahoma" w:hAnsi="Tahoma" w:cs="Tahoma"/>
          <w:sz w:val="22"/>
          <w:szCs w:val="22"/>
        </w:rPr>
        <w:t>.</w:t>
      </w:r>
    </w:p>
    <w:p w:rsidR="0089452D" w:rsidRDefault="0089452D" w:rsidP="00727147">
      <w:pPr>
        <w:widowControl w:val="0"/>
        <w:autoSpaceDE w:val="0"/>
        <w:autoSpaceDN w:val="0"/>
        <w:adjustRightInd w:val="0"/>
        <w:spacing w:line="276" w:lineRule="auto"/>
        <w:ind w:firstLine="708"/>
        <w:jc w:val="both"/>
        <w:rPr>
          <w:rFonts w:ascii="Tahoma" w:hAnsi="Tahoma" w:cs="Tahoma"/>
          <w:sz w:val="22"/>
          <w:szCs w:val="22"/>
        </w:rPr>
      </w:pPr>
    </w:p>
    <w:p w:rsidR="00D2586A" w:rsidRPr="00C158DF" w:rsidRDefault="00D2586A" w:rsidP="00727147">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C158DF" w:rsidRPr="0029467B" w:rsidRDefault="00C158DF" w:rsidP="00727147">
      <w:pPr>
        <w:widowControl w:val="0"/>
        <w:autoSpaceDE w:val="0"/>
        <w:autoSpaceDN w:val="0"/>
        <w:adjustRightInd w:val="0"/>
        <w:spacing w:line="276" w:lineRule="auto"/>
        <w:jc w:val="center"/>
        <w:rPr>
          <w:rFonts w:ascii="Tahoma" w:hAnsi="Tahoma" w:cs="Tahoma"/>
          <w:b/>
          <w:caps/>
          <w:sz w:val="22"/>
          <w:szCs w:val="22"/>
        </w:rPr>
      </w:pPr>
    </w:p>
    <w:p w:rsidR="001B08C2" w:rsidRDefault="00C158DF" w:rsidP="001B08C2">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La Jueza de conocimiento </w:t>
      </w:r>
      <w:r w:rsidR="001B08C2">
        <w:rPr>
          <w:rFonts w:ascii="Tahoma" w:hAnsi="Tahoma" w:cs="Tahoma"/>
          <w:sz w:val="22"/>
          <w:szCs w:val="22"/>
        </w:rPr>
        <w:t xml:space="preserve">declaró que a la señora María </w:t>
      </w:r>
      <w:proofErr w:type="spellStart"/>
      <w:r w:rsidR="001B08C2">
        <w:rPr>
          <w:rFonts w:ascii="Tahoma" w:hAnsi="Tahoma" w:cs="Tahoma"/>
          <w:sz w:val="22"/>
          <w:szCs w:val="22"/>
        </w:rPr>
        <w:t>Esneda</w:t>
      </w:r>
      <w:proofErr w:type="spellEnd"/>
      <w:r w:rsidR="001B08C2">
        <w:rPr>
          <w:rFonts w:ascii="Tahoma" w:hAnsi="Tahoma" w:cs="Tahoma"/>
          <w:sz w:val="22"/>
          <w:szCs w:val="22"/>
        </w:rPr>
        <w:t xml:space="preserve"> Bedoya Figueroa, en su calidad de beneficiaria del régimen de transición, le asiste derecho al reconocimiento de la pensión de vejez consagrada en el Acuerdo 049 de 1990, en cuantía del salario mínimo. En consecuencia, ordenó a Colpensiones que procediera a reconocer </w:t>
      </w:r>
      <w:r w:rsidR="009D4FF7">
        <w:rPr>
          <w:rFonts w:ascii="Tahoma" w:hAnsi="Tahoma" w:cs="Tahoma"/>
          <w:sz w:val="22"/>
          <w:szCs w:val="22"/>
        </w:rPr>
        <w:t>la aludida prestación</w:t>
      </w:r>
      <w:r w:rsidR="00965343">
        <w:rPr>
          <w:rFonts w:ascii="Tahoma" w:hAnsi="Tahoma" w:cs="Tahoma"/>
          <w:sz w:val="22"/>
          <w:szCs w:val="22"/>
        </w:rPr>
        <w:t>, y los intereses moratorios,</w:t>
      </w:r>
      <w:r w:rsidR="009D4FF7">
        <w:rPr>
          <w:rFonts w:ascii="Tahoma" w:hAnsi="Tahoma" w:cs="Tahoma"/>
          <w:sz w:val="22"/>
          <w:szCs w:val="22"/>
        </w:rPr>
        <w:t xml:space="preserve"> a partir del momento en que la actora se retire del sistem</w:t>
      </w:r>
      <w:r w:rsidR="00965343">
        <w:rPr>
          <w:rFonts w:ascii="Tahoma" w:hAnsi="Tahoma" w:cs="Tahoma"/>
          <w:sz w:val="22"/>
          <w:szCs w:val="22"/>
        </w:rPr>
        <w:t>a.</w:t>
      </w:r>
      <w:r w:rsidR="001B08C2">
        <w:rPr>
          <w:rFonts w:ascii="Tahoma" w:hAnsi="Tahoma" w:cs="Tahoma"/>
          <w:sz w:val="22"/>
          <w:szCs w:val="22"/>
        </w:rPr>
        <w:t xml:space="preserve">   </w:t>
      </w:r>
    </w:p>
    <w:p w:rsidR="001B08C2" w:rsidRDefault="001B08C2" w:rsidP="00727147">
      <w:pPr>
        <w:widowControl w:val="0"/>
        <w:autoSpaceDE w:val="0"/>
        <w:autoSpaceDN w:val="0"/>
        <w:adjustRightInd w:val="0"/>
        <w:spacing w:line="276" w:lineRule="auto"/>
        <w:ind w:firstLine="708"/>
        <w:jc w:val="both"/>
        <w:rPr>
          <w:rFonts w:ascii="Tahoma" w:hAnsi="Tahoma" w:cs="Tahoma"/>
          <w:sz w:val="22"/>
          <w:szCs w:val="22"/>
        </w:rPr>
      </w:pPr>
    </w:p>
    <w:p w:rsidR="00805CE8" w:rsidRDefault="00B20611" w:rsidP="007271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 xml:space="preserve">Para llegar a tal determinación la A-quo consideró, en síntesis, </w:t>
      </w:r>
      <w:r w:rsidR="00364C20">
        <w:rPr>
          <w:rFonts w:ascii="Tahoma" w:hAnsi="Tahoma" w:cs="Tahoma"/>
          <w:sz w:val="22"/>
          <w:szCs w:val="22"/>
        </w:rPr>
        <w:t xml:space="preserve">que de la historia laboral allegada por la entidad demandada </w:t>
      </w:r>
      <w:r w:rsidR="001B7329">
        <w:rPr>
          <w:rFonts w:ascii="Tahoma" w:hAnsi="Tahoma" w:cs="Tahoma"/>
          <w:sz w:val="22"/>
          <w:szCs w:val="22"/>
        </w:rPr>
        <w:t xml:space="preserve">y de la respuesta allegada por el Coordinador Jurídico del Consorcio Colombia Mayor </w:t>
      </w:r>
      <w:r w:rsidR="00364C20">
        <w:rPr>
          <w:rFonts w:ascii="Tahoma" w:hAnsi="Tahoma" w:cs="Tahoma"/>
          <w:sz w:val="22"/>
          <w:szCs w:val="22"/>
        </w:rPr>
        <w:t xml:space="preserve">se podía concluir que la actora </w:t>
      </w:r>
      <w:r w:rsidR="00805CE8">
        <w:rPr>
          <w:rFonts w:ascii="Tahoma" w:hAnsi="Tahoma" w:cs="Tahoma"/>
          <w:sz w:val="22"/>
          <w:szCs w:val="22"/>
        </w:rPr>
        <w:t>conservó el régimen de transición del que fue beneficiaria al contar con más de 750 semanas cotizadas a la entrada en vigencia del Acto Legislativo 01 de 2005</w:t>
      </w:r>
      <w:r w:rsidR="001B7329">
        <w:rPr>
          <w:rFonts w:ascii="Tahoma" w:hAnsi="Tahoma" w:cs="Tahoma"/>
          <w:sz w:val="22"/>
          <w:szCs w:val="22"/>
        </w:rPr>
        <w:t>,</w:t>
      </w:r>
      <w:r w:rsidR="00805CE8">
        <w:rPr>
          <w:rFonts w:ascii="Tahoma" w:hAnsi="Tahoma" w:cs="Tahoma"/>
          <w:sz w:val="22"/>
          <w:szCs w:val="22"/>
        </w:rPr>
        <w:t xml:space="preserve"> y</w:t>
      </w:r>
      <w:r w:rsidR="001B7329">
        <w:rPr>
          <w:rFonts w:ascii="Tahoma" w:hAnsi="Tahoma" w:cs="Tahoma"/>
          <w:sz w:val="22"/>
          <w:szCs w:val="22"/>
        </w:rPr>
        <w:t xml:space="preserve"> que</w:t>
      </w:r>
      <w:r w:rsidR="00805CE8">
        <w:rPr>
          <w:rFonts w:ascii="Tahoma" w:hAnsi="Tahoma" w:cs="Tahoma"/>
          <w:sz w:val="22"/>
          <w:szCs w:val="22"/>
        </w:rPr>
        <w:t xml:space="preserve"> cumplía los requisitos para acceder a la pensión de vejez consagrada en el Acuerdo 049 de 1990, pues alcanzó los 55 años de edad el 28 de febrero de </w:t>
      </w:r>
      <w:r w:rsidR="00960686">
        <w:rPr>
          <w:rFonts w:ascii="Tahoma" w:hAnsi="Tahoma" w:cs="Tahoma"/>
          <w:sz w:val="22"/>
          <w:szCs w:val="22"/>
        </w:rPr>
        <w:t>2013 y entre esa fecha y el mismo día y mes del año 1993, contaba con más de las 500 exigidas por dicha disposición normativa</w:t>
      </w:r>
      <w:r w:rsidR="001B7329">
        <w:rPr>
          <w:rFonts w:ascii="Tahoma" w:hAnsi="Tahoma" w:cs="Tahoma"/>
          <w:sz w:val="22"/>
          <w:szCs w:val="22"/>
        </w:rPr>
        <w:t>.</w:t>
      </w:r>
      <w:r w:rsidR="008342C6">
        <w:rPr>
          <w:rFonts w:ascii="Tahoma" w:hAnsi="Tahoma" w:cs="Tahoma"/>
          <w:sz w:val="22"/>
          <w:szCs w:val="22"/>
        </w:rPr>
        <w:t xml:space="preserve"> </w:t>
      </w:r>
    </w:p>
    <w:p w:rsidR="00805CE8" w:rsidRDefault="00805CE8" w:rsidP="00727147">
      <w:pPr>
        <w:widowControl w:val="0"/>
        <w:autoSpaceDE w:val="0"/>
        <w:autoSpaceDN w:val="0"/>
        <w:adjustRightInd w:val="0"/>
        <w:spacing w:line="276" w:lineRule="auto"/>
        <w:ind w:firstLine="708"/>
        <w:jc w:val="both"/>
        <w:rPr>
          <w:rFonts w:ascii="Tahoma" w:hAnsi="Tahoma" w:cs="Tahoma"/>
          <w:sz w:val="22"/>
          <w:szCs w:val="22"/>
        </w:rPr>
      </w:pPr>
    </w:p>
    <w:p w:rsidR="00357670" w:rsidRDefault="00357670" w:rsidP="007271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indicó que como la promotora del litigio se encontraba cotizando al momento de proferir la sentencia, el disfrute de la pensión se </w:t>
      </w:r>
      <w:r w:rsidR="008D656D">
        <w:rPr>
          <w:rFonts w:ascii="Tahoma" w:hAnsi="Tahoma" w:cs="Tahoma"/>
          <w:sz w:val="22"/>
          <w:szCs w:val="22"/>
        </w:rPr>
        <w:t>difería</w:t>
      </w:r>
      <w:r>
        <w:rPr>
          <w:rFonts w:ascii="Tahoma" w:hAnsi="Tahoma" w:cs="Tahoma"/>
          <w:sz w:val="22"/>
          <w:szCs w:val="22"/>
        </w:rPr>
        <w:t xml:space="preserve"> al momento en que</w:t>
      </w:r>
      <w:r w:rsidR="008D656D">
        <w:rPr>
          <w:rFonts w:ascii="Tahoma" w:hAnsi="Tahoma" w:cs="Tahoma"/>
          <w:sz w:val="22"/>
          <w:szCs w:val="22"/>
        </w:rPr>
        <w:t xml:space="preserve"> </w:t>
      </w:r>
      <w:r w:rsidR="001B7329">
        <w:rPr>
          <w:rFonts w:ascii="Tahoma" w:hAnsi="Tahoma" w:cs="Tahoma"/>
          <w:sz w:val="22"/>
          <w:szCs w:val="22"/>
        </w:rPr>
        <w:t xml:space="preserve">ella </w:t>
      </w:r>
      <w:r w:rsidR="008D656D">
        <w:rPr>
          <w:rFonts w:ascii="Tahoma" w:hAnsi="Tahoma" w:cs="Tahoma"/>
          <w:sz w:val="22"/>
          <w:szCs w:val="22"/>
        </w:rPr>
        <w:t>dejara</w:t>
      </w:r>
      <w:r>
        <w:rPr>
          <w:rFonts w:ascii="Tahoma" w:hAnsi="Tahoma" w:cs="Tahoma"/>
          <w:sz w:val="22"/>
          <w:szCs w:val="22"/>
        </w:rPr>
        <w:t xml:space="preserve"> de efectuar aportes al mismo</w:t>
      </w:r>
      <w:r w:rsidR="008D656D">
        <w:rPr>
          <w:rFonts w:ascii="Tahoma" w:hAnsi="Tahoma" w:cs="Tahoma"/>
          <w:sz w:val="22"/>
          <w:szCs w:val="22"/>
        </w:rPr>
        <w:t>, misma suerte que correrían los intereses moratorios.</w:t>
      </w:r>
    </w:p>
    <w:p w:rsidR="00B97C7C" w:rsidRPr="00780753" w:rsidRDefault="00B97C7C" w:rsidP="00727147">
      <w:pPr>
        <w:tabs>
          <w:tab w:val="left" w:pos="0"/>
        </w:tabs>
        <w:spacing w:line="276" w:lineRule="auto"/>
        <w:jc w:val="both"/>
        <w:rPr>
          <w:rFonts w:ascii="Tahoma" w:hAnsi="Tahoma" w:cs="Tahoma"/>
          <w:sz w:val="22"/>
          <w:szCs w:val="22"/>
        </w:rPr>
      </w:pPr>
    </w:p>
    <w:p w:rsidR="00D2586A" w:rsidRPr="00780753" w:rsidRDefault="00965343" w:rsidP="0072714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D2586A" w:rsidRPr="00780753">
        <w:rPr>
          <w:rFonts w:ascii="Tahoma" w:hAnsi="Tahoma" w:cs="Tahoma"/>
          <w:b/>
          <w:sz w:val="22"/>
          <w:szCs w:val="22"/>
        </w:rPr>
        <w:t>rocedencia de la consulta</w:t>
      </w:r>
      <w:r w:rsidR="00B830B0" w:rsidRPr="00780753">
        <w:rPr>
          <w:rFonts w:ascii="Tahoma" w:hAnsi="Tahoma" w:cs="Tahoma"/>
          <w:b/>
          <w:sz w:val="22"/>
          <w:szCs w:val="22"/>
        </w:rPr>
        <w:t xml:space="preserve"> </w:t>
      </w:r>
    </w:p>
    <w:p w:rsidR="00B830B0" w:rsidRDefault="00B830B0" w:rsidP="00727147">
      <w:pPr>
        <w:pStyle w:val="Retraitcorpsdetexte"/>
        <w:spacing w:line="276" w:lineRule="auto"/>
        <w:ind w:firstLine="561"/>
        <w:rPr>
          <w:sz w:val="22"/>
          <w:szCs w:val="22"/>
        </w:rPr>
      </w:pPr>
    </w:p>
    <w:p w:rsidR="008D656D" w:rsidRDefault="008D656D" w:rsidP="008D656D">
      <w:pPr>
        <w:pStyle w:val="Retraitcorpsdetexte"/>
        <w:spacing w:line="276" w:lineRule="auto"/>
        <w:ind w:firstLine="561"/>
        <w:rPr>
          <w:sz w:val="22"/>
          <w:szCs w:val="22"/>
        </w:rPr>
      </w:pPr>
      <w:r>
        <w:rPr>
          <w:sz w:val="22"/>
          <w:szCs w:val="22"/>
        </w:rPr>
        <w:t>El apoderado judicial de la parte demandante apeló la decisión</w:t>
      </w:r>
      <w:r w:rsidR="0024116B">
        <w:rPr>
          <w:sz w:val="22"/>
          <w:szCs w:val="22"/>
        </w:rPr>
        <w:t xml:space="preserve"> únicamente en lo relacionado con el no reconocimiento del retroactivo </w:t>
      </w:r>
      <w:r w:rsidR="00EE1645">
        <w:rPr>
          <w:sz w:val="22"/>
          <w:szCs w:val="22"/>
        </w:rPr>
        <w:t xml:space="preserve">e </w:t>
      </w:r>
      <w:r w:rsidR="0024116B">
        <w:rPr>
          <w:sz w:val="22"/>
          <w:szCs w:val="22"/>
        </w:rPr>
        <w:t>intereses moratorios</w:t>
      </w:r>
      <w:r w:rsidR="00EE1645">
        <w:rPr>
          <w:sz w:val="22"/>
          <w:szCs w:val="22"/>
        </w:rPr>
        <w:t xml:space="preserve"> desde la fecha pretendida en </w:t>
      </w:r>
      <w:proofErr w:type="spellStart"/>
      <w:r w:rsidR="00EE1645">
        <w:rPr>
          <w:sz w:val="22"/>
          <w:szCs w:val="22"/>
        </w:rPr>
        <w:t>al</w:t>
      </w:r>
      <w:proofErr w:type="spellEnd"/>
      <w:r w:rsidR="00EE1645">
        <w:rPr>
          <w:sz w:val="22"/>
          <w:szCs w:val="22"/>
        </w:rPr>
        <w:t xml:space="preserve"> demanda</w:t>
      </w:r>
      <w:r w:rsidR="0024116B">
        <w:rPr>
          <w:sz w:val="22"/>
          <w:szCs w:val="22"/>
        </w:rPr>
        <w:t xml:space="preserve">, arguyendo que su poderdante </w:t>
      </w:r>
      <w:r w:rsidR="006D3110">
        <w:rPr>
          <w:sz w:val="22"/>
          <w:szCs w:val="22"/>
        </w:rPr>
        <w:t>cuando solicitó el reconocimiento de la pensión, en el año 2014, cumpl</w:t>
      </w:r>
      <w:r w:rsidR="00EE1645">
        <w:rPr>
          <w:sz w:val="22"/>
          <w:szCs w:val="22"/>
        </w:rPr>
        <w:t>ía</w:t>
      </w:r>
      <w:r w:rsidR="006D3110">
        <w:rPr>
          <w:sz w:val="22"/>
          <w:szCs w:val="22"/>
        </w:rPr>
        <w:t xml:space="preserve"> los requisitos para acceder a la pensión de vejez</w:t>
      </w:r>
      <w:r w:rsidR="00EE1645">
        <w:rPr>
          <w:sz w:val="22"/>
          <w:szCs w:val="22"/>
        </w:rPr>
        <w:t>,</w:t>
      </w:r>
      <w:r w:rsidR="006D3110">
        <w:rPr>
          <w:sz w:val="22"/>
          <w:szCs w:val="22"/>
        </w:rPr>
        <w:t xml:space="preserve"> y si </w:t>
      </w:r>
      <w:r w:rsidR="0024116B">
        <w:rPr>
          <w:sz w:val="22"/>
          <w:szCs w:val="22"/>
        </w:rPr>
        <w:t xml:space="preserve">continuó efectuando </w:t>
      </w:r>
      <w:r w:rsidR="00731555">
        <w:rPr>
          <w:sz w:val="22"/>
          <w:szCs w:val="22"/>
        </w:rPr>
        <w:t xml:space="preserve">cotizaciones fue por el error en que la hizo incurrir la demandada, quien negó la prestación a pesar de que contaba con la totalidad de las semanas exigidas por el Acuerdo </w:t>
      </w:r>
      <w:r w:rsidR="00EE1645">
        <w:rPr>
          <w:sz w:val="22"/>
          <w:szCs w:val="22"/>
        </w:rPr>
        <w:t>049 de 1990; por lo tanto, se debe ordenar el pago</w:t>
      </w:r>
      <w:r w:rsidR="00731555">
        <w:rPr>
          <w:sz w:val="22"/>
          <w:szCs w:val="22"/>
        </w:rPr>
        <w:t xml:space="preserve"> </w:t>
      </w:r>
      <w:r w:rsidR="005C5354">
        <w:rPr>
          <w:sz w:val="22"/>
          <w:szCs w:val="22"/>
        </w:rPr>
        <w:t xml:space="preserve">las mesadas </w:t>
      </w:r>
      <w:r w:rsidR="00731555">
        <w:rPr>
          <w:sz w:val="22"/>
          <w:szCs w:val="22"/>
        </w:rPr>
        <w:t>c</w:t>
      </w:r>
      <w:r w:rsidR="00EE1645">
        <w:rPr>
          <w:sz w:val="22"/>
          <w:szCs w:val="22"/>
        </w:rPr>
        <w:t xml:space="preserve">ausadas </w:t>
      </w:r>
      <w:r w:rsidR="005C5354">
        <w:rPr>
          <w:sz w:val="22"/>
          <w:szCs w:val="22"/>
        </w:rPr>
        <w:t xml:space="preserve">desde el </w:t>
      </w:r>
      <w:r w:rsidR="005C5354" w:rsidRPr="00F64635">
        <w:rPr>
          <w:sz w:val="22"/>
          <w:szCs w:val="22"/>
        </w:rPr>
        <w:t xml:space="preserve">1º de diciembre de 2014, </w:t>
      </w:r>
      <w:r w:rsidR="00600762" w:rsidRPr="00F64635">
        <w:rPr>
          <w:sz w:val="22"/>
          <w:szCs w:val="22"/>
        </w:rPr>
        <w:t>y los intereses moratorios</w:t>
      </w:r>
      <w:r w:rsidR="006D3110" w:rsidRPr="00F64635">
        <w:rPr>
          <w:sz w:val="22"/>
          <w:szCs w:val="22"/>
        </w:rPr>
        <w:t xml:space="preserve"> desde la fecha pretendida en la demanda</w:t>
      </w:r>
      <w:r w:rsidR="00BE37ED" w:rsidRPr="00F64635">
        <w:rPr>
          <w:sz w:val="22"/>
          <w:szCs w:val="22"/>
        </w:rPr>
        <w:t>,</w:t>
      </w:r>
      <w:r w:rsidR="00BE37ED">
        <w:rPr>
          <w:sz w:val="22"/>
          <w:szCs w:val="22"/>
        </w:rPr>
        <w:t xml:space="preserve"> </w:t>
      </w:r>
      <w:r w:rsidR="00B4454A">
        <w:rPr>
          <w:sz w:val="22"/>
          <w:szCs w:val="22"/>
        </w:rPr>
        <w:t xml:space="preserve">esto es, </w:t>
      </w:r>
      <w:r w:rsidR="00EE1645">
        <w:rPr>
          <w:sz w:val="22"/>
          <w:szCs w:val="22"/>
        </w:rPr>
        <w:t>cuando</w:t>
      </w:r>
      <w:r w:rsidR="00B4454A">
        <w:rPr>
          <w:sz w:val="22"/>
          <w:szCs w:val="22"/>
        </w:rPr>
        <w:t xml:space="preserve"> la demandada tenía la obligación de reconocer l</w:t>
      </w:r>
      <w:r w:rsidR="00BE37ED">
        <w:rPr>
          <w:sz w:val="22"/>
          <w:szCs w:val="22"/>
        </w:rPr>
        <w:t xml:space="preserve">a gracia pensional. </w:t>
      </w:r>
    </w:p>
    <w:p w:rsidR="008D656D" w:rsidRPr="00780753" w:rsidRDefault="008D656D" w:rsidP="00727147">
      <w:pPr>
        <w:pStyle w:val="Retraitcorpsdetexte"/>
        <w:spacing w:line="276" w:lineRule="auto"/>
        <w:ind w:firstLine="561"/>
        <w:rPr>
          <w:sz w:val="22"/>
          <w:szCs w:val="22"/>
        </w:rPr>
      </w:pPr>
    </w:p>
    <w:p w:rsidR="00D2586A" w:rsidRPr="00780753" w:rsidRDefault="008D656D" w:rsidP="00727147">
      <w:pPr>
        <w:pStyle w:val="Retraitcorpsdetexte"/>
        <w:spacing w:line="276" w:lineRule="auto"/>
        <w:ind w:firstLine="561"/>
        <w:rPr>
          <w:sz w:val="22"/>
          <w:szCs w:val="22"/>
        </w:rPr>
      </w:pPr>
      <w:r>
        <w:rPr>
          <w:sz w:val="22"/>
          <w:szCs w:val="22"/>
        </w:rPr>
        <w:t>Por otra parte, c</w:t>
      </w:r>
      <w:r w:rsidR="00D2586A" w:rsidRPr="00780753">
        <w:rPr>
          <w:sz w:val="22"/>
          <w:szCs w:val="22"/>
        </w:rPr>
        <w:t>omo quiera que la sentencia fue totalmente desfavorable para</w:t>
      </w:r>
      <w:r w:rsidR="00F702C7">
        <w:rPr>
          <w:sz w:val="22"/>
          <w:szCs w:val="22"/>
        </w:rPr>
        <w:t xml:space="preserve"> </w:t>
      </w:r>
      <w:r w:rsidR="00BE37ED">
        <w:rPr>
          <w:sz w:val="22"/>
          <w:szCs w:val="22"/>
        </w:rPr>
        <w:t>Colpensiones</w:t>
      </w:r>
      <w:r w:rsidR="00F702C7">
        <w:rPr>
          <w:sz w:val="22"/>
          <w:szCs w:val="22"/>
        </w:rPr>
        <w:t>,</w:t>
      </w:r>
      <w:r w:rsidR="00780753">
        <w:rPr>
          <w:sz w:val="22"/>
          <w:szCs w:val="22"/>
        </w:rPr>
        <w:t xml:space="preserve"> </w:t>
      </w:r>
      <w:r w:rsidR="00D2586A" w:rsidRPr="00780753">
        <w:rPr>
          <w:sz w:val="22"/>
          <w:szCs w:val="22"/>
        </w:rPr>
        <w:t>se dispuso el grado jurisdiccional de consulta.</w:t>
      </w:r>
    </w:p>
    <w:p w:rsidR="00D2586A" w:rsidRPr="00780753" w:rsidRDefault="00D2586A" w:rsidP="00727147">
      <w:pPr>
        <w:spacing w:line="276" w:lineRule="auto"/>
        <w:jc w:val="both"/>
        <w:rPr>
          <w:rFonts w:ascii="Tahoma" w:hAnsi="Tahoma" w:cs="Tahoma"/>
          <w:sz w:val="22"/>
          <w:szCs w:val="22"/>
        </w:rPr>
      </w:pPr>
    </w:p>
    <w:p w:rsidR="00D2586A" w:rsidRPr="00780753" w:rsidRDefault="00D2586A" w:rsidP="0072714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0753">
        <w:rPr>
          <w:rFonts w:ascii="Tahoma" w:hAnsi="Tahoma" w:cs="Tahoma"/>
          <w:b/>
          <w:caps/>
          <w:sz w:val="22"/>
          <w:szCs w:val="22"/>
        </w:rPr>
        <w:t xml:space="preserve"> </w:t>
      </w:r>
      <w:r w:rsidRPr="00780753">
        <w:rPr>
          <w:rFonts w:ascii="Tahoma" w:hAnsi="Tahoma" w:cs="Tahoma"/>
          <w:b/>
          <w:sz w:val="22"/>
          <w:szCs w:val="22"/>
        </w:rPr>
        <w:t>Consideraciones</w:t>
      </w:r>
      <w:r w:rsidRPr="00780753">
        <w:rPr>
          <w:rFonts w:ascii="Tahoma" w:hAnsi="Tahoma" w:cs="Tahoma"/>
          <w:caps/>
          <w:sz w:val="22"/>
          <w:szCs w:val="22"/>
        </w:rPr>
        <w:tab/>
      </w:r>
    </w:p>
    <w:p w:rsidR="007F62EF" w:rsidRPr="00780753" w:rsidRDefault="007F62EF" w:rsidP="00727147">
      <w:pPr>
        <w:widowControl w:val="0"/>
        <w:autoSpaceDE w:val="0"/>
        <w:autoSpaceDN w:val="0"/>
        <w:adjustRightInd w:val="0"/>
        <w:spacing w:line="276" w:lineRule="auto"/>
        <w:rPr>
          <w:rFonts w:ascii="Tahoma" w:hAnsi="Tahoma" w:cs="Tahoma"/>
          <w:b/>
          <w:sz w:val="22"/>
          <w:szCs w:val="22"/>
        </w:rPr>
      </w:pPr>
    </w:p>
    <w:p w:rsidR="007F62EF" w:rsidRPr="00780753" w:rsidRDefault="00CE6FDA" w:rsidP="00727147">
      <w:pPr>
        <w:pStyle w:val="Paragraphedeliste"/>
        <w:numPr>
          <w:ilvl w:val="1"/>
          <w:numId w:val="3"/>
        </w:numPr>
        <w:tabs>
          <w:tab w:val="left" w:pos="748"/>
          <w:tab w:val="num" w:pos="1122"/>
        </w:tabs>
        <w:spacing w:line="276" w:lineRule="auto"/>
        <w:jc w:val="both"/>
        <w:rPr>
          <w:rFonts w:ascii="Tahoma" w:hAnsi="Tahoma" w:cs="Tahoma"/>
          <w:b/>
          <w:sz w:val="22"/>
          <w:szCs w:val="22"/>
        </w:rPr>
      </w:pPr>
      <w:r>
        <w:rPr>
          <w:rFonts w:ascii="Tahoma" w:hAnsi="Tahoma" w:cs="Tahoma"/>
          <w:b/>
          <w:sz w:val="22"/>
          <w:szCs w:val="22"/>
        </w:rPr>
        <w:t>Caso concreto</w:t>
      </w:r>
    </w:p>
    <w:p w:rsidR="007F62EF" w:rsidRPr="00780753" w:rsidRDefault="007F62EF" w:rsidP="00727147">
      <w:pPr>
        <w:tabs>
          <w:tab w:val="left" w:pos="567"/>
        </w:tabs>
        <w:spacing w:line="276" w:lineRule="auto"/>
        <w:jc w:val="both"/>
        <w:rPr>
          <w:rFonts w:ascii="Tahoma" w:hAnsi="Tahoma" w:cs="Tahoma"/>
          <w:sz w:val="22"/>
          <w:szCs w:val="22"/>
        </w:rPr>
      </w:pPr>
    </w:p>
    <w:p w:rsidR="00BE37ED" w:rsidRDefault="00BE37ED" w:rsidP="00BE37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 efectos de resolver los problemas jurídicos planteados debe empezar esta Sala indicando que la demandante fue beneficiaria del régimen de transición consagrado en el artículo 36 de la Ley 100 de 1993, al contar con 3</w:t>
      </w:r>
      <w:r w:rsidR="001D0620">
        <w:rPr>
          <w:rFonts w:ascii="Tahoma" w:hAnsi="Tahoma" w:cs="Tahoma"/>
          <w:sz w:val="22"/>
          <w:szCs w:val="22"/>
        </w:rPr>
        <w:t>6</w:t>
      </w:r>
      <w:r>
        <w:rPr>
          <w:rFonts w:ascii="Tahoma" w:hAnsi="Tahoma" w:cs="Tahoma"/>
          <w:sz w:val="22"/>
          <w:szCs w:val="22"/>
        </w:rPr>
        <w:t xml:space="preserve"> años de edad al momento de la entrada en vigencia de dicha disposición normativa (</w:t>
      </w:r>
      <w:proofErr w:type="spellStart"/>
      <w:r>
        <w:rPr>
          <w:rFonts w:ascii="Tahoma" w:hAnsi="Tahoma" w:cs="Tahoma"/>
          <w:sz w:val="22"/>
          <w:szCs w:val="22"/>
        </w:rPr>
        <w:t>fl</w:t>
      </w:r>
      <w:proofErr w:type="spellEnd"/>
      <w:r>
        <w:rPr>
          <w:rFonts w:ascii="Tahoma" w:hAnsi="Tahoma" w:cs="Tahoma"/>
          <w:sz w:val="22"/>
          <w:szCs w:val="22"/>
        </w:rPr>
        <w:t xml:space="preserve">. </w:t>
      </w:r>
      <w:r w:rsidR="001D0620">
        <w:rPr>
          <w:rFonts w:ascii="Tahoma" w:hAnsi="Tahoma" w:cs="Tahoma"/>
          <w:sz w:val="22"/>
          <w:szCs w:val="22"/>
        </w:rPr>
        <w:t>13</w:t>
      </w:r>
      <w:r>
        <w:rPr>
          <w:rFonts w:ascii="Tahoma" w:hAnsi="Tahoma" w:cs="Tahoma"/>
          <w:sz w:val="22"/>
          <w:szCs w:val="22"/>
        </w:rPr>
        <w:t xml:space="preserve">). Asimismo debe decirse que ella no perdió dicha prerrogativa en virtud del Acto Legislativo 01 de 2005, pues cuando entró a regir esa modificación constitucional superaba las 750 cotizadas, cantidad que se percibe en el reporte de semanas cotizadas visible a folio </w:t>
      </w:r>
      <w:r w:rsidR="001D0620">
        <w:rPr>
          <w:rFonts w:ascii="Tahoma" w:hAnsi="Tahoma" w:cs="Tahoma"/>
          <w:sz w:val="22"/>
          <w:szCs w:val="22"/>
        </w:rPr>
        <w:t>116</w:t>
      </w:r>
      <w:r>
        <w:rPr>
          <w:rFonts w:ascii="Tahoma" w:hAnsi="Tahoma" w:cs="Tahoma"/>
          <w:sz w:val="22"/>
          <w:szCs w:val="22"/>
        </w:rPr>
        <w:t>, en el que se plasman 7</w:t>
      </w:r>
      <w:r w:rsidR="001D0620">
        <w:rPr>
          <w:rFonts w:ascii="Tahoma" w:hAnsi="Tahoma" w:cs="Tahoma"/>
          <w:sz w:val="22"/>
          <w:szCs w:val="22"/>
        </w:rPr>
        <w:t>98</w:t>
      </w:r>
      <w:r>
        <w:rPr>
          <w:rFonts w:ascii="Tahoma" w:hAnsi="Tahoma" w:cs="Tahoma"/>
          <w:sz w:val="22"/>
          <w:szCs w:val="22"/>
        </w:rPr>
        <w:t>,</w:t>
      </w:r>
      <w:r w:rsidR="001D0620">
        <w:rPr>
          <w:rFonts w:ascii="Tahoma" w:hAnsi="Tahoma" w:cs="Tahoma"/>
          <w:sz w:val="22"/>
          <w:szCs w:val="22"/>
        </w:rPr>
        <w:t>87</w:t>
      </w:r>
      <w:r>
        <w:rPr>
          <w:rFonts w:ascii="Tahoma" w:hAnsi="Tahoma" w:cs="Tahoma"/>
          <w:sz w:val="22"/>
          <w:szCs w:val="22"/>
        </w:rPr>
        <w:t xml:space="preserve"> semanas</w:t>
      </w:r>
      <w:r w:rsidR="00B01843">
        <w:rPr>
          <w:rFonts w:ascii="Tahoma" w:hAnsi="Tahoma" w:cs="Tahoma"/>
          <w:sz w:val="22"/>
          <w:szCs w:val="22"/>
        </w:rPr>
        <w:t>.</w:t>
      </w:r>
    </w:p>
    <w:p w:rsidR="00B01843" w:rsidRDefault="00B01843" w:rsidP="00BE37ED">
      <w:pPr>
        <w:widowControl w:val="0"/>
        <w:autoSpaceDE w:val="0"/>
        <w:autoSpaceDN w:val="0"/>
        <w:adjustRightInd w:val="0"/>
        <w:spacing w:line="276" w:lineRule="auto"/>
        <w:ind w:firstLine="708"/>
        <w:jc w:val="both"/>
        <w:rPr>
          <w:rFonts w:ascii="Tahoma" w:hAnsi="Tahoma" w:cs="Tahoma"/>
          <w:sz w:val="22"/>
          <w:szCs w:val="22"/>
        </w:rPr>
      </w:pPr>
    </w:p>
    <w:p w:rsidR="00B01843" w:rsidRDefault="00BE37ED" w:rsidP="00BE37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Dicho lo anterior, también se encuentra acertado el discernimiento de la juzgadora de instancia con el cual estimó que la promotora del litigio cumple a cabalidad los requisitos del Decreto 758 de 1990 a efectos de acceder la prestación perseguida, pues alcanzó los 55 años el 2</w:t>
      </w:r>
      <w:r w:rsidR="00B01843">
        <w:rPr>
          <w:rFonts w:ascii="Tahoma" w:hAnsi="Tahoma" w:cs="Tahoma"/>
          <w:sz w:val="22"/>
          <w:szCs w:val="22"/>
        </w:rPr>
        <w:t>8</w:t>
      </w:r>
      <w:r>
        <w:rPr>
          <w:rFonts w:ascii="Tahoma" w:hAnsi="Tahoma" w:cs="Tahoma"/>
          <w:sz w:val="22"/>
          <w:szCs w:val="22"/>
        </w:rPr>
        <w:t xml:space="preserve"> de </w:t>
      </w:r>
      <w:r w:rsidR="00B01843">
        <w:rPr>
          <w:rFonts w:ascii="Tahoma" w:hAnsi="Tahoma" w:cs="Tahoma"/>
          <w:sz w:val="22"/>
          <w:szCs w:val="22"/>
        </w:rPr>
        <w:t>febrero</w:t>
      </w:r>
      <w:r>
        <w:rPr>
          <w:rFonts w:ascii="Tahoma" w:hAnsi="Tahoma" w:cs="Tahoma"/>
          <w:sz w:val="22"/>
          <w:szCs w:val="22"/>
        </w:rPr>
        <w:t xml:space="preserve"> de 201</w:t>
      </w:r>
      <w:r w:rsidR="00B01843">
        <w:rPr>
          <w:rFonts w:ascii="Tahoma" w:hAnsi="Tahoma" w:cs="Tahoma"/>
          <w:sz w:val="22"/>
          <w:szCs w:val="22"/>
        </w:rPr>
        <w:t>3</w:t>
      </w:r>
      <w:r w:rsidR="00221CB9">
        <w:rPr>
          <w:rFonts w:ascii="Tahoma" w:hAnsi="Tahoma" w:cs="Tahoma"/>
          <w:sz w:val="22"/>
          <w:szCs w:val="22"/>
        </w:rPr>
        <w:t xml:space="preserve"> y supera </w:t>
      </w:r>
      <w:r>
        <w:rPr>
          <w:rFonts w:ascii="Tahoma" w:hAnsi="Tahoma" w:cs="Tahoma"/>
          <w:sz w:val="22"/>
          <w:szCs w:val="22"/>
        </w:rPr>
        <w:t xml:space="preserve">las </w:t>
      </w:r>
      <w:r w:rsidR="009043F8">
        <w:rPr>
          <w:rFonts w:ascii="Tahoma" w:hAnsi="Tahoma" w:cs="Tahoma"/>
          <w:sz w:val="22"/>
          <w:szCs w:val="22"/>
        </w:rPr>
        <w:t>500</w:t>
      </w:r>
      <w:r>
        <w:rPr>
          <w:rFonts w:ascii="Tahoma" w:hAnsi="Tahoma" w:cs="Tahoma"/>
          <w:sz w:val="22"/>
          <w:szCs w:val="22"/>
        </w:rPr>
        <w:t xml:space="preserve"> semanas cotizadas</w:t>
      </w:r>
      <w:r w:rsidR="009043F8">
        <w:rPr>
          <w:rFonts w:ascii="Tahoma" w:hAnsi="Tahoma" w:cs="Tahoma"/>
          <w:sz w:val="22"/>
          <w:szCs w:val="22"/>
        </w:rPr>
        <w:t xml:space="preserve"> entre dicha calenda y el 28 de febrero de 1993, según se </w:t>
      </w:r>
      <w:r w:rsidR="00221CB9">
        <w:rPr>
          <w:rFonts w:ascii="Tahoma" w:hAnsi="Tahoma" w:cs="Tahoma"/>
          <w:sz w:val="22"/>
          <w:szCs w:val="22"/>
        </w:rPr>
        <w:t>despre</w:t>
      </w:r>
      <w:r w:rsidR="00154A6B">
        <w:rPr>
          <w:rFonts w:ascii="Tahoma" w:hAnsi="Tahoma" w:cs="Tahoma"/>
          <w:sz w:val="22"/>
          <w:szCs w:val="22"/>
        </w:rPr>
        <w:t>n</w:t>
      </w:r>
      <w:r w:rsidR="00221CB9">
        <w:rPr>
          <w:rFonts w:ascii="Tahoma" w:hAnsi="Tahoma" w:cs="Tahoma"/>
          <w:sz w:val="22"/>
          <w:szCs w:val="22"/>
        </w:rPr>
        <w:t xml:space="preserve">de </w:t>
      </w:r>
      <w:r w:rsidR="009043F8">
        <w:rPr>
          <w:rFonts w:ascii="Tahoma" w:hAnsi="Tahoma" w:cs="Tahoma"/>
          <w:sz w:val="22"/>
          <w:szCs w:val="22"/>
        </w:rPr>
        <w:t xml:space="preserve">del reporte de semanas al que se ha hecho alusión, </w:t>
      </w:r>
      <w:r w:rsidR="00EC6E01">
        <w:rPr>
          <w:rFonts w:ascii="Tahoma" w:hAnsi="Tahoma" w:cs="Tahoma"/>
          <w:sz w:val="22"/>
          <w:szCs w:val="22"/>
        </w:rPr>
        <w:t xml:space="preserve">en el que si bien se perciben </w:t>
      </w:r>
      <w:r w:rsidR="002305B7">
        <w:rPr>
          <w:rFonts w:ascii="Tahoma" w:hAnsi="Tahoma" w:cs="Tahoma"/>
          <w:sz w:val="22"/>
          <w:szCs w:val="22"/>
        </w:rPr>
        <w:t>416,89</w:t>
      </w:r>
      <w:r w:rsidR="00221CB9">
        <w:rPr>
          <w:rFonts w:ascii="Tahoma" w:hAnsi="Tahoma" w:cs="Tahoma"/>
          <w:sz w:val="22"/>
          <w:szCs w:val="22"/>
        </w:rPr>
        <w:t xml:space="preserve"> semanas</w:t>
      </w:r>
      <w:r w:rsidR="002305B7">
        <w:rPr>
          <w:rFonts w:ascii="Tahoma" w:hAnsi="Tahoma" w:cs="Tahoma"/>
          <w:sz w:val="22"/>
          <w:szCs w:val="22"/>
        </w:rPr>
        <w:t xml:space="preserve">, a esa cantidad se deben sumar 92 </w:t>
      </w:r>
      <w:r w:rsidR="00221CB9">
        <w:rPr>
          <w:rFonts w:ascii="Tahoma" w:hAnsi="Tahoma" w:cs="Tahoma"/>
          <w:sz w:val="22"/>
          <w:szCs w:val="22"/>
        </w:rPr>
        <w:t>sem</w:t>
      </w:r>
      <w:r w:rsidR="002305B7">
        <w:rPr>
          <w:rFonts w:ascii="Tahoma" w:hAnsi="Tahoma" w:cs="Tahoma"/>
          <w:sz w:val="22"/>
          <w:szCs w:val="22"/>
        </w:rPr>
        <w:t>anas que no se contabilizan y que fueron efectivamente aportadas a través del régimen subsidiado entre junio de 1998 y abril de 2003</w:t>
      </w:r>
      <w:r w:rsidR="00FE1D84">
        <w:rPr>
          <w:rFonts w:ascii="Tahoma" w:hAnsi="Tahoma" w:cs="Tahoma"/>
          <w:sz w:val="22"/>
          <w:szCs w:val="22"/>
        </w:rPr>
        <w:t>.</w:t>
      </w:r>
    </w:p>
    <w:p w:rsidR="00133EFC" w:rsidRDefault="00133EFC" w:rsidP="00BE37ED">
      <w:pPr>
        <w:widowControl w:val="0"/>
        <w:autoSpaceDE w:val="0"/>
        <w:autoSpaceDN w:val="0"/>
        <w:adjustRightInd w:val="0"/>
        <w:spacing w:line="276" w:lineRule="auto"/>
        <w:ind w:firstLine="708"/>
        <w:jc w:val="both"/>
        <w:rPr>
          <w:rFonts w:ascii="Tahoma" w:hAnsi="Tahoma" w:cs="Tahoma"/>
          <w:sz w:val="22"/>
          <w:szCs w:val="22"/>
        </w:rPr>
      </w:pPr>
    </w:p>
    <w:p w:rsidR="00380D3C" w:rsidRDefault="00133EFC" w:rsidP="00BE37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Al respecto debe precisarse que </w:t>
      </w:r>
      <w:r w:rsidR="008342C6">
        <w:rPr>
          <w:rFonts w:ascii="Tahoma" w:hAnsi="Tahoma" w:cs="Tahoma"/>
          <w:sz w:val="22"/>
          <w:szCs w:val="22"/>
        </w:rPr>
        <w:t xml:space="preserve">no existe una </w:t>
      </w:r>
      <w:r w:rsidR="000B3911">
        <w:rPr>
          <w:rFonts w:ascii="Tahoma" w:hAnsi="Tahoma" w:cs="Tahoma"/>
          <w:sz w:val="22"/>
          <w:szCs w:val="22"/>
        </w:rPr>
        <w:t>justificación</w:t>
      </w:r>
      <w:r w:rsidR="008342C6">
        <w:rPr>
          <w:rFonts w:ascii="Tahoma" w:hAnsi="Tahoma" w:cs="Tahoma"/>
          <w:sz w:val="22"/>
          <w:szCs w:val="22"/>
        </w:rPr>
        <w:t xml:space="preserve"> </w:t>
      </w:r>
      <w:r w:rsidR="000B3911">
        <w:rPr>
          <w:rFonts w:ascii="Tahoma" w:hAnsi="Tahoma" w:cs="Tahoma"/>
          <w:sz w:val="22"/>
          <w:szCs w:val="22"/>
        </w:rPr>
        <w:t xml:space="preserve">válida para que la entidad demandada haya suprimido de la historia laboral distintos periodos cancelados a través del régimen subsidiado, entre ellos, la totalidad del año 2001, pues </w:t>
      </w:r>
      <w:r w:rsidR="00380D3C">
        <w:rPr>
          <w:rFonts w:ascii="Tahoma" w:hAnsi="Tahoma" w:cs="Tahoma"/>
          <w:sz w:val="22"/>
          <w:szCs w:val="22"/>
        </w:rPr>
        <w:t xml:space="preserve">de conformidad con el </w:t>
      </w:r>
      <w:r w:rsidR="00A66873">
        <w:rPr>
          <w:rFonts w:ascii="Tahoma" w:hAnsi="Tahoma" w:cs="Tahoma"/>
          <w:sz w:val="22"/>
          <w:szCs w:val="22"/>
        </w:rPr>
        <w:t xml:space="preserve">literal d del </w:t>
      </w:r>
      <w:r w:rsidR="00380D3C">
        <w:rPr>
          <w:rFonts w:ascii="Tahoma" w:hAnsi="Tahoma" w:cs="Tahoma"/>
          <w:sz w:val="22"/>
          <w:szCs w:val="22"/>
        </w:rPr>
        <w:t>artículo 2</w:t>
      </w:r>
      <w:r w:rsidR="00A66873">
        <w:rPr>
          <w:rFonts w:ascii="Tahoma" w:hAnsi="Tahoma" w:cs="Tahoma"/>
          <w:sz w:val="22"/>
          <w:szCs w:val="22"/>
        </w:rPr>
        <w:t>4</w:t>
      </w:r>
      <w:r w:rsidR="00380D3C">
        <w:rPr>
          <w:rFonts w:ascii="Tahoma" w:hAnsi="Tahoma" w:cs="Tahoma"/>
          <w:sz w:val="22"/>
          <w:szCs w:val="22"/>
        </w:rPr>
        <w:t xml:space="preserve"> del Decreto 3771 de 2007, </w:t>
      </w:r>
      <w:r w:rsidR="00A66873">
        <w:rPr>
          <w:rFonts w:ascii="Tahoma" w:hAnsi="Tahoma" w:cs="Tahoma"/>
          <w:sz w:val="22"/>
          <w:szCs w:val="22"/>
        </w:rPr>
        <w:t xml:space="preserve">la administradora de pensiones debía comunicar a la </w:t>
      </w:r>
      <w:r w:rsidR="00A55A82">
        <w:rPr>
          <w:rFonts w:ascii="Tahoma" w:hAnsi="Tahoma" w:cs="Tahoma"/>
          <w:sz w:val="22"/>
          <w:szCs w:val="22"/>
        </w:rPr>
        <w:t>administradora</w:t>
      </w:r>
      <w:r w:rsidR="00A66873">
        <w:rPr>
          <w:rFonts w:ascii="Tahoma" w:hAnsi="Tahoma" w:cs="Tahoma"/>
          <w:sz w:val="22"/>
          <w:szCs w:val="22"/>
        </w:rPr>
        <w:t xml:space="preserve"> del</w:t>
      </w:r>
      <w:r w:rsidR="00D2327E">
        <w:rPr>
          <w:rFonts w:ascii="Tahoma" w:hAnsi="Tahoma" w:cs="Tahoma"/>
          <w:sz w:val="22"/>
          <w:szCs w:val="22"/>
        </w:rPr>
        <w:t xml:space="preserve"> </w:t>
      </w:r>
      <w:r w:rsidR="00D2327E">
        <w:rPr>
          <w:rFonts w:ascii="Tahoma" w:hAnsi="Tahoma" w:cs="Tahoma"/>
          <w:sz w:val="22"/>
          <w:szCs w:val="22"/>
        </w:rPr>
        <w:lastRenderedPageBreak/>
        <w:t>fondo de solidaridad pensional</w:t>
      </w:r>
      <w:r w:rsidR="00A55A82">
        <w:rPr>
          <w:rFonts w:ascii="Tahoma" w:hAnsi="Tahoma" w:cs="Tahoma"/>
          <w:sz w:val="22"/>
          <w:szCs w:val="22"/>
        </w:rPr>
        <w:t xml:space="preserve"> que la afiliada había dejado de efectuar cotizaciones por 6 meses, </w:t>
      </w:r>
      <w:r w:rsidR="00FA0903">
        <w:rPr>
          <w:rFonts w:ascii="Tahoma" w:hAnsi="Tahoma" w:cs="Tahoma"/>
          <w:sz w:val="22"/>
          <w:szCs w:val="22"/>
        </w:rPr>
        <w:t xml:space="preserve">lo cual </w:t>
      </w:r>
      <w:r w:rsidR="00851FCA">
        <w:rPr>
          <w:rFonts w:ascii="Tahoma" w:hAnsi="Tahoma" w:cs="Tahoma"/>
          <w:sz w:val="22"/>
          <w:szCs w:val="22"/>
        </w:rPr>
        <w:t xml:space="preserve">ocurrió </w:t>
      </w:r>
      <w:r w:rsidR="00FA0903">
        <w:rPr>
          <w:rFonts w:ascii="Tahoma" w:hAnsi="Tahoma" w:cs="Tahoma"/>
          <w:sz w:val="22"/>
          <w:szCs w:val="22"/>
        </w:rPr>
        <w:t xml:space="preserve">en octubre de 2003, de ahí </w:t>
      </w:r>
      <w:r w:rsidR="00851FCA">
        <w:rPr>
          <w:rFonts w:ascii="Tahoma" w:hAnsi="Tahoma" w:cs="Tahoma"/>
          <w:sz w:val="22"/>
          <w:szCs w:val="22"/>
        </w:rPr>
        <w:t>que la demandante fuera desvinculada del régimen subsidiado a partir de mayo de la misma anualidad</w:t>
      </w:r>
      <w:r w:rsidR="00A6386B">
        <w:rPr>
          <w:rFonts w:ascii="Tahoma" w:hAnsi="Tahoma" w:cs="Tahoma"/>
          <w:sz w:val="22"/>
          <w:szCs w:val="22"/>
        </w:rPr>
        <w:t>,</w:t>
      </w:r>
      <w:r w:rsidR="00851FCA">
        <w:rPr>
          <w:rFonts w:ascii="Tahoma" w:hAnsi="Tahoma" w:cs="Tahoma"/>
          <w:sz w:val="22"/>
          <w:szCs w:val="22"/>
        </w:rPr>
        <w:t xml:space="preserve"> </w:t>
      </w:r>
      <w:r w:rsidR="00221CB9">
        <w:rPr>
          <w:rFonts w:ascii="Tahoma" w:hAnsi="Tahoma" w:cs="Tahoma"/>
          <w:sz w:val="22"/>
          <w:szCs w:val="22"/>
        </w:rPr>
        <w:t xml:space="preserve">según se </w:t>
      </w:r>
      <w:r w:rsidR="007A4835">
        <w:rPr>
          <w:rFonts w:ascii="Tahoma" w:hAnsi="Tahoma" w:cs="Tahoma"/>
          <w:sz w:val="22"/>
          <w:szCs w:val="22"/>
        </w:rPr>
        <w:t xml:space="preserve">corrobora </w:t>
      </w:r>
      <w:r w:rsidR="00AC6954">
        <w:rPr>
          <w:rFonts w:ascii="Tahoma" w:hAnsi="Tahoma" w:cs="Tahoma"/>
          <w:sz w:val="22"/>
          <w:szCs w:val="22"/>
        </w:rPr>
        <w:t xml:space="preserve">tanto en </w:t>
      </w:r>
      <w:r w:rsidR="00221CB9">
        <w:rPr>
          <w:rFonts w:ascii="Tahoma" w:hAnsi="Tahoma" w:cs="Tahoma"/>
          <w:sz w:val="22"/>
          <w:szCs w:val="22"/>
        </w:rPr>
        <w:t xml:space="preserve">el </w:t>
      </w:r>
      <w:r w:rsidR="00AC6954">
        <w:rPr>
          <w:rFonts w:ascii="Tahoma" w:hAnsi="Tahoma" w:cs="Tahoma"/>
          <w:sz w:val="22"/>
          <w:szCs w:val="22"/>
        </w:rPr>
        <w:t xml:space="preserve">escrito allegado al proceso por el Coordinador Jurídico del Colombia Mayor </w:t>
      </w:r>
      <w:r w:rsidR="0037069F">
        <w:rPr>
          <w:rFonts w:ascii="Tahoma" w:hAnsi="Tahoma" w:cs="Tahoma"/>
          <w:sz w:val="22"/>
          <w:szCs w:val="22"/>
        </w:rPr>
        <w:t xml:space="preserve">como en </w:t>
      </w:r>
      <w:r w:rsidR="00AC6954">
        <w:rPr>
          <w:rFonts w:ascii="Tahoma" w:hAnsi="Tahoma" w:cs="Tahoma"/>
          <w:sz w:val="22"/>
          <w:szCs w:val="22"/>
        </w:rPr>
        <w:t xml:space="preserve">el detalle de pagos visible a folio 117 vto., </w:t>
      </w:r>
      <w:r w:rsidR="00512D41">
        <w:rPr>
          <w:rFonts w:ascii="Tahoma" w:hAnsi="Tahoma" w:cs="Tahoma"/>
          <w:sz w:val="22"/>
          <w:szCs w:val="22"/>
        </w:rPr>
        <w:t>que guarda</w:t>
      </w:r>
      <w:r w:rsidR="0037069F">
        <w:rPr>
          <w:rFonts w:ascii="Tahoma" w:hAnsi="Tahoma" w:cs="Tahoma"/>
          <w:sz w:val="22"/>
          <w:szCs w:val="22"/>
        </w:rPr>
        <w:t>n</w:t>
      </w:r>
      <w:r w:rsidR="00512D41">
        <w:rPr>
          <w:rFonts w:ascii="Tahoma" w:hAnsi="Tahoma" w:cs="Tahoma"/>
          <w:sz w:val="22"/>
          <w:szCs w:val="22"/>
        </w:rPr>
        <w:t xml:space="preserve"> concordancia con la relación de pagos visible a folio 102.</w:t>
      </w:r>
      <w:r w:rsidR="0037069F">
        <w:rPr>
          <w:rFonts w:ascii="Tahoma" w:hAnsi="Tahoma" w:cs="Tahoma"/>
          <w:sz w:val="22"/>
          <w:szCs w:val="22"/>
        </w:rPr>
        <w:t>, documentos d</w:t>
      </w:r>
      <w:r w:rsidR="00AC6954">
        <w:rPr>
          <w:rFonts w:ascii="Tahoma" w:hAnsi="Tahoma" w:cs="Tahoma"/>
          <w:sz w:val="22"/>
          <w:szCs w:val="22"/>
        </w:rPr>
        <w:t>e lo</w:t>
      </w:r>
      <w:r w:rsidR="0037069F">
        <w:rPr>
          <w:rFonts w:ascii="Tahoma" w:hAnsi="Tahoma" w:cs="Tahoma"/>
          <w:sz w:val="22"/>
          <w:szCs w:val="22"/>
        </w:rPr>
        <w:t>s</w:t>
      </w:r>
      <w:r w:rsidR="00AC6954">
        <w:rPr>
          <w:rFonts w:ascii="Tahoma" w:hAnsi="Tahoma" w:cs="Tahoma"/>
          <w:sz w:val="22"/>
          <w:szCs w:val="22"/>
        </w:rPr>
        <w:t xml:space="preserve"> que se puede deducir que la promotora del litigio</w:t>
      </w:r>
      <w:r w:rsidR="00512D41">
        <w:rPr>
          <w:rFonts w:ascii="Tahoma" w:hAnsi="Tahoma" w:cs="Tahoma"/>
          <w:sz w:val="22"/>
          <w:szCs w:val="22"/>
        </w:rPr>
        <w:t xml:space="preserve"> canceló</w:t>
      </w:r>
      <w:r w:rsidR="0037069F">
        <w:rPr>
          <w:rFonts w:ascii="Tahoma" w:hAnsi="Tahoma" w:cs="Tahoma"/>
          <w:sz w:val="22"/>
          <w:szCs w:val="22"/>
        </w:rPr>
        <w:t xml:space="preserve"> oportunamente el monto que </w:t>
      </w:r>
      <w:r w:rsidR="00512D41">
        <w:rPr>
          <w:rFonts w:ascii="Tahoma" w:hAnsi="Tahoma" w:cs="Tahoma"/>
          <w:sz w:val="22"/>
          <w:szCs w:val="22"/>
        </w:rPr>
        <w:t xml:space="preserve">le correspondía </w:t>
      </w:r>
      <w:r w:rsidR="00A6386B">
        <w:rPr>
          <w:rFonts w:ascii="Tahoma" w:hAnsi="Tahoma" w:cs="Tahoma"/>
          <w:sz w:val="22"/>
          <w:szCs w:val="22"/>
        </w:rPr>
        <w:t>en el interregno comprendido entre junio de 1998 y abril de 2003.</w:t>
      </w:r>
      <w:r w:rsidR="00AC6954">
        <w:rPr>
          <w:rFonts w:ascii="Tahoma" w:hAnsi="Tahoma" w:cs="Tahoma"/>
          <w:sz w:val="22"/>
          <w:szCs w:val="22"/>
        </w:rPr>
        <w:t xml:space="preserve"> </w:t>
      </w:r>
    </w:p>
    <w:p w:rsidR="0037069F" w:rsidRDefault="0037069F" w:rsidP="00BE37ED">
      <w:pPr>
        <w:widowControl w:val="0"/>
        <w:autoSpaceDE w:val="0"/>
        <w:autoSpaceDN w:val="0"/>
        <w:adjustRightInd w:val="0"/>
        <w:spacing w:line="276" w:lineRule="auto"/>
        <w:ind w:firstLine="708"/>
        <w:jc w:val="both"/>
        <w:rPr>
          <w:rFonts w:ascii="Tahoma" w:hAnsi="Tahoma" w:cs="Tahoma"/>
          <w:sz w:val="22"/>
          <w:szCs w:val="22"/>
        </w:rPr>
      </w:pPr>
    </w:p>
    <w:p w:rsidR="004557AF" w:rsidRDefault="00BE37ED" w:rsidP="00BE37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Ahora, si bien en principio se podría pensar que fue atinad</w:t>
      </w:r>
      <w:r w:rsidR="00512D41">
        <w:rPr>
          <w:rFonts w:ascii="Tahoma" w:hAnsi="Tahoma" w:cs="Tahoma"/>
          <w:sz w:val="22"/>
          <w:szCs w:val="22"/>
        </w:rPr>
        <w:t>o</w:t>
      </w:r>
      <w:r>
        <w:rPr>
          <w:rFonts w:ascii="Tahoma" w:hAnsi="Tahoma" w:cs="Tahoma"/>
          <w:sz w:val="22"/>
          <w:szCs w:val="22"/>
        </w:rPr>
        <w:t xml:space="preserve"> </w:t>
      </w:r>
      <w:r w:rsidR="00E247C0">
        <w:rPr>
          <w:rFonts w:ascii="Tahoma" w:hAnsi="Tahoma" w:cs="Tahoma"/>
          <w:sz w:val="22"/>
          <w:szCs w:val="22"/>
        </w:rPr>
        <w:t xml:space="preserve">el momento </w:t>
      </w:r>
      <w:r>
        <w:rPr>
          <w:rFonts w:ascii="Tahoma" w:hAnsi="Tahoma" w:cs="Tahoma"/>
          <w:sz w:val="22"/>
          <w:szCs w:val="22"/>
        </w:rPr>
        <w:t xml:space="preserve">a partir de la cual la Jueza de instancia ordenó reconocer la prestación, </w:t>
      </w:r>
      <w:r w:rsidR="00221CB9">
        <w:rPr>
          <w:rFonts w:ascii="Tahoma" w:hAnsi="Tahoma" w:cs="Tahoma"/>
          <w:sz w:val="22"/>
          <w:szCs w:val="22"/>
        </w:rPr>
        <w:t>dada la continuidad en el pago de cotizaciones</w:t>
      </w:r>
      <w:r>
        <w:rPr>
          <w:rFonts w:ascii="Tahoma" w:hAnsi="Tahoma" w:cs="Tahoma"/>
          <w:sz w:val="22"/>
          <w:szCs w:val="22"/>
        </w:rPr>
        <w:t xml:space="preserve">, a juicio de esta Sala </w:t>
      </w:r>
      <w:r w:rsidR="00512D41">
        <w:rPr>
          <w:rFonts w:ascii="Tahoma" w:hAnsi="Tahoma" w:cs="Tahoma"/>
          <w:sz w:val="22"/>
          <w:szCs w:val="22"/>
        </w:rPr>
        <w:t>la misma debió reconocerse a partir del 1º de julio de 2013</w:t>
      </w:r>
      <w:r w:rsidR="004557AF">
        <w:rPr>
          <w:rFonts w:ascii="Tahoma" w:hAnsi="Tahoma" w:cs="Tahoma"/>
          <w:sz w:val="22"/>
          <w:szCs w:val="22"/>
        </w:rPr>
        <w:t xml:space="preserve"> por las siguientes razones:</w:t>
      </w:r>
    </w:p>
    <w:p w:rsidR="004557AF" w:rsidRDefault="004557AF" w:rsidP="00BE37ED">
      <w:pPr>
        <w:widowControl w:val="0"/>
        <w:autoSpaceDE w:val="0"/>
        <w:autoSpaceDN w:val="0"/>
        <w:adjustRightInd w:val="0"/>
        <w:spacing w:line="276" w:lineRule="auto"/>
        <w:ind w:firstLine="708"/>
        <w:jc w:val="both"/>
        <w:rPr>
          <w:rFonts w:ascii="Tahoma" w:hAnsi="Tahoma" w:cs="Tahoma"/>
          <w:sz w:val="22"/>
          <w:szCs w:val="22"/>
        </w:rPr>
      </w:pPr>
    </w:p>
    <w:p w:rsidR="004557AF" w:rsidRDefault="004557AF" w:rsidP="004557AF">
      <w:pPr>
        <w:pStyle w:val="Paragraphedeliste"/>
        <w:widowControl w:val="0"/>
        <w:numPr>
          <w:ilvl w:val="0"/>
          <w:numId w:val="6"/>
        </w:numPr>
        <w:autoSpaceDE w:val="0"/>
        <w:autoSpaceDN w:val="0"/>
        <w:adjustRightInd w:val="0"/>
        <w:spacing w:line="276" w:lineRule="auto"/>
        <w:jc w:val="both"/>
        <w:rPr>
          <w:rFonts w:ascii="Tahoma" w:hAnsi="Tahoma" w:cs="Tahoma"/>
          <w:sz w:val="22"/>
          <w:szCs w:val="22"/>
        </w:rPr>
      </w:pPr>
      <w:r w:rsidRPr="004557AF">
        <w:rPr>
          <w:rFonts w:ascii="Tahoma" w:hAnsi="Tahoma" w:cs="Tahoma"/>
          <w:sz w:val="22"/>
          <w:szCs w:val="22"/>
        </w:rPr>
        <w:t xml:space="preserve">Existe </w:t>
      </w:r>
      <w:r w:rsidR="0037069F" w:rsidRPr="004557AF">
        <w:rPr>
          <w:rFonts w:ascii="Tahoma" w:hAnsi="Tahoma" w:cs="Tahoma"/>
          <w:sz w:val="22"/>
          <w:szCs w:val="22"/>
        </w:rPr>
        <w:t xml:space="preserve">constancia de que la actora solicitó la pensión el 6 de mayo de </w:t>
      </w:r>
      <w:r w:rsidRPr="004557AF">
        <w:rPr>
          <w:rFonts w:ascii="Tahoma" w:hAnsi="Tahoma" w:cs="Tahoma"/>
          <w:sz w:val="22"/>
          <w:szCs w:val="22"/>
        </w:rPr>
        <w:t xml:space="preserve">esa </w:t>
      </w:r>
      <w:r w:rsidR="0037069F" w:rsidRPr="004557AF">
        <w:rPr>
          <w:rFonts w:ascii="Tahoma" w:hAnsi="Tahoma" w:cs="Tahoma"/>
          <w:sz w:val="22"/>
          <w:szCs w:val="22"/>
        </w:rPr>
        <w:t>anualidad</w:t>
      </w:r>
      <w:r w:rsidR="005029FF" w:rsidRPr="004557AF">
        <w:rPr>
          <w:rFonts w:ascii="Tahoma" w:hAnsi="Tahoma" w:cs="Tahoma"/>
          <w:sz w:val="22"/>
          <w:szCs w:val="22"/>
        </w:rPr>
        <w:t>, esto es, pasados dos meses de haber cumplido los 55 años de edad</w:t>
      </w:r>
      <w:r w:rsidRPr="004557AF">
        <w:rPr>
          <w:rFonts w:ascii="Tahoma" w:hAnsi="Tahoma" w:cs="Tahoma"/>
          <w:sz w:val="22"/>
          <w:szCs w:val="22"/>
        </w:rPr>
        <w:t>,</w:t>
      </w:r>
      <w:r w:rsidR="002F1963" w:rsidRPr="004557AF">
        <w:rPr>
          <w:rFonts w:ascii="Tahoma" w:hAnsi="Tahoma" w:cs="Tahoma"/>
          <w:sz w:val="22"/>
          <w:szCs w:val="22"/>
        </w:rPr>
        <w:t xml:space="preserve"> </w:t>
      </w:r>
      <w:r w:rsidR="00F07414" w:rsidRPr="004557AF">
        <w:rPr>
          <w:rFonts w:ascii="Tahoma" w:hAnsi="Tahoma" w:cs="Tahoma"/>
          <w:sz w:val="22"/>
          <w:szCs w:val="22"/>
        </w:rPr>
        <w:t xml:space="preserve">cuando </w:t>
      </w:r>
      <w:r w:rsidRPr="004557AF">
        <w:rPr>
          <w:rFonts w:ascii="Tahoma" w:hAnsi="Tahoma" w:cs="Tahoma"/>
          <w:sz w:val="22"/>
          <w:szCs w:val="22"/>
        </w:rPr>
        <w:t xml:space="preserve">además </w:t>
      </w:r>
      <w:r w:rsidR="00F07414" w:rsidRPr="004557AF">
        <w:rPr>
          <w:rFonts w:ascii="Tahoma" w:hAnsi="Tahoma" w:cs="Tahoma"/>
          <w:sz w:val="22"/>
          <w:szCs w:val="22"/>
        </w:rPr>
        <w:t xml:space="preserve">contaba con 500 semanas </w:t>
      </w:r>
      <w:r w:rsidR="002F1963" w:rsidRPr="004557AF">
        <w:rPr>
          <w:rFonts w:ascii="Tahoma" w:hAnsi="Tahoma" w:cs="Tahoma"/>
          <w:sz w:val="22"/>
          <w:szCs w:val="22"/>
        </w:rPr>
        <w:t xml:space="preserve">cotizadas </w:t>
      </w:r>
      <w:r w:rsidR="00F07414" w:rsidRPr="004557AF">
        <w:rPr>
          <w:rFonts w:ascii="Tahoma" w:hAnsi="Tahoma" w:cs="Tahoma"/>
          <w:sz w:val="22"/>
          <w:szCs w:val="22"/>
        </w:rPr>
        <w:t xml:space="preserve">en los 20 años </w:t>
      </w:r>
      <w:r w:rsidR="002F1963" w:rsidRPr="004557AF">
        <w:rPr>
          <w:rFonts w:ascii="Tahoma" w:hAnsi="Tahoma" w:cs="Tahoma"/>
          <w:sz w:val="22"/>
          <w:szCs w:val="22"/>
        </w:rPr>
        <w:t>inmediatamente anteriores</w:t>
      </w:r>
      <w:r w:rsidRPr="004557AF">
        <w:rPr>
          <w:rFonts w:ascii="Tahoma" w:hAnsi="Tahoma" w:cs="Tahoma"/>
          <w:sz w:val="22"/>
          <w:szCs w:val="22"/>
        </w:rPr>
        <w:t>;</w:t>
      </w:r>
      <w:r w:rsidR="005029FF" w:rsidRPr="004557AF">
        <w:rPr>
          <w:rFonts w:ascii="Tahoma" w:hAnsi="Tahoma" w:cs="Tahoma"/>
          <w:sz w:val="22"/>
          <w:szCs w:val="22"/>
        </w:rPr>
        <w:t xml:space="preserve"> manifestación expresa de la voluntad que llevaba implícita una solicitud de desafiliación del sistema</w:t>
      </w:r>
      <w:r w:rsidR="00103DBD" w:rsidRPr="004557AF">
        <w:rPr>
          <w:rFonts w:ascii="Tahoma" w:hAnsi="Tahoma" w:cs="Tahoma"/>
          <w:sz w:val="22"/>
          <w:szCs w:val="22"/>
        </w:rPr>
        <w:t xml:space="preserve"> (</w:t>
      </w:r>
      <w:proofErr w:type="spellStart"/>
      <w:r w:rsidR="005029FF" w:rsidRPr="004557AF">
        <w:rPr>
          <w:rFonts w:ascii="Tahoma" w:hAnsi="Tahoma" w:cs="Tahoma"/>
          <w:sz w:val="22"/>
          <w:szCs w:val="22"/>
        </w:rPr>
        <w:t>fl</w:t>
      </w:r>
      <w:proofErr w:type="spellEnd"/>
      <w:r w:rsidR="005029FF" w:rsidRPr="004557AF">
        <w:rPr>
          <w:rFonts w:ascii="Tahoma" w:hAnsi="Tahoma" w:cs="Tahoma"/>
          <w:sz w:val="22"/>
          <w:szCs w:val="22"/>
        </w:rPr>
        <w:t>. 14)</w:t>
      </w:r>
      <w:r>
        <w:rPr>
          <w:rFonts w:ascii="Tahoma" w:hAnsi="Tahoma" w:cs="Tahoma"/>
          <w:sz w:val="22"/>
          <w:szCs w:val="22"/>
        </w:rPr>
        <w:t xml:space="preserve"> y,</w:t>
      </w:r>
    </w:p>
    <w:p w:rsidR="004557AF" w:rsidRDefault="004557AF" w:rsidP="004557AF">
      <w:pPr>
        <w:pStyle w:val="Paragraphedeliste"/>
        <w:widowControl w:val="0"/>
        <w:autoSpaceDE w:val="0"/>
        <w:autoSpaceDN w:val="0"/>
        <w:adjustRightInd w:val="0"/>
        <w:spacing w:line="276" w:lineRule="auto"/>
        <w:ind w:left="1068"/>
        <w:jc w:val="both"/>
        <w:rPr>
          <w:rFonts w:ascii="Tahoma" w:hAnsi="Tahoma" w:cs="Tahoma"/>
          <w:sz w:val="22"/>
          <w:szCs w:val="22"/>
        </w:rPr>
      </w:pPr>
    </w:p>
    <w:p w:rsidR="00512D41" w:rsidRPr="004557AF" w:rsidRDefault="004557AF" w:rsidP="004557AF">
      <w:pPr>
        <w:pStyle w:val="Paragraphedeliste"/>
        <w:widowControl w:val="0"/>
        <w:numPr>
          <w:ilvl w:val="0"/>
          <w:numId w:val="6"/>
        </w:numPr>
        <w:autoSpaceDE w:val="0"/>
        <w:autoSpaceDN w:val="0"/>
        <w:adjustRightInd w:val="0"/>
        <w:spacing w:line="276" w:lineRule="auto"/>
        <w:jc w:val="both"/>
        <w:rPr>
          <w:rFonts w:ascii="Tahoma" w:hAnsi="Tahoma" w:cs="Tahoma"/>
          <w:sz w:val="22"/>
          <w:szCs w:val="22"/>
        </w:rPr>
      </w:pPr>
      <w:r w:rsidRPr="004557AF">
        <w:rPr>
          <w:rFonts w:ascii="Tahoma" w:hAnsi="Tahoma" w:cs="Tahoma"/>
          <w:sz w:val="22"/>
          <w:szCs w:val="22"/>
        </w:rPr>
        <w:t xml:space="preserve">Dejó </w:t>
      </w:r>
      <w:r w:rsidR="005029FF" w:rsidRPr="004557AF">
        <w:rPr>
          <w:rFonts w:ascii="Tahoma" w:hAnsi="Tahoma" w:cs="Tahoma"/>
          <w:sz w:val="22"/>
          <w:szCs w:val="22"/>
        </w:rPr>
        <w:t>de hacer cotizaciones</w:t>
      </w:r>
      <w:r>
        <w:rPr>
          <w:rFonts w:ascii="Tahoma" w:hAnsi="Tahoma" w:cs="Tahoma"/>
          <w:sz w:val="22"/>
          <w:szCs w:val="22"/>
        </w:rPr>
        <w:t xml:space="preserve"> </w:t>
      </w:r>
      <w:r w:rsidR="005029FF" w:rsidRPr="004557AF">
        <w:rPr>
          <w:rFonts w:ascii="Tahoma" w:hAnsi="Tahoma" w:cs="Tahoma"/>
          <w:sz w:val="22"/>
          <w:szCs w:val="22"/>
        </w:rPr>
        <w:t xml:space="preserve">el 30 de junio </w:t>
      </w:r>
      <w:r>
        <w:rPr>
          <w:rFonts w:ascii="Tahoma" w:hAnsi="Tahoma" w:cs="Tahoma"/>
          <w:sz w:val="22"/>
          <w:szCs w:val="22"/>
        </w:rPr>
        <w:t>de 2013</w:t>
      </w:r>
      <w:r w:rsidR="005029FF" w:rsidRPr="004557AF">
        <w:rPr>
          <w:rFonts w:ascii="Tahoma" w:hAnsi="Tahoma" w:cs="Tahoma"/>
          <w:sz w:val="22"/>
          <w:szCs w:val="22"/>
        </w:rPr>
        <w:t xml:space="preserve"> (</w:t>
      </w:r>
      <w:proofErr w:type="spellStart"/>
      <w:r w:rsidR="005029FF" w:rsidRPr="004557AF">
        <w:rPr>
          <w:rFonts w:ascii="Tahoma" w:hAnsi="Tahoma" w:cs="Tahoma"/>
          <w:sz w:val="22"/>
          <w:szCs w:val="22"/>
        </w:rPr>
        <w:t>fl</w:t>
      </w:r>
      <w:proofErr w:type="spellEnd"/>
      <w:r w:rsidR="005029FF" w:rsidRPr="004557AF">
        <w:rPr>
          <w:rFonts w:ascii="Tahoma" w:hAnsi="Tahoma" w:cs="Tahoma"/>
          <w:sz w:val="22"/>
          <w:szCs w:val="22"/>
        </w:rPr>
        <w:t>. 116)</w:t>
      </w:r>
      <w:r w:rsidR="00145502">
        <w:rPr>
          <w:rFonts w:ascii="Tahoma" w:hAnsi="Tahoma" w:cs="Tahoma"/>
          <w:sz w:val="22"/>
          <w:szCs w:val="22"/>
        </w:rPr>
        <w:t>, lo que implica que s</w:t>
      </w:r>
      <w:r w:rsidR="005029FF" w:rsidRPr="004557AF">
        <w:rPr>
          <w:rFonts w:ascii="Tahoma" w:hAnsi="Tahoma" w:cs="Tahoma"/>
          <w:sz w:val="22"/>
          <w:szCs w:val="22"/>
        </w:rPr>
        <w:t xml:space="preserve">i la demandada hubiera reconocido la pensión dentro del término legal, </w:t>
      </w:r>
      <w:r w:rsidR="00145502">
        <w:rPr>
          <w:rFonts w:ascii="Tahoma" w:hAnsi="Tahoma" w:cs="Tahoma"/>
          <w:sz w:val="22"/>
          <w:szCs w:val="22"/>
        </w:rPr>
        <w:t xml:space="preserve">lo habría hecho </w:t>
      </w:r>
      <w:r w:rsidR="005029FF" w:rsidRPr="004557AF">
        <w:rPr>
          <w:rFonts w:ascii="Tahoma" w:hAnsi="Tahoma" w:cs="Tahoma"/>
          <w:sz w:val="22"/>
          <w:szCs w:val="22"/>
        </w:rPr>
        <w:t xml:space="preserve">desde el día siguiente, 1º de julio de 2013; no obstante, sólo se pronunció frente a dicha solicitud el 11 de marzo de 2014, a través de la Resolución GNR 80125, </w:t>
      </w:r>
      <w:r w:rsidR="00145502">
        <w:rPr>
          <w:rFonts w:ascii="Tahoma" w:hAnsi="Tahoma" w:cs="Tahoma"/>
          <w:sz w:val="22"/>
          <w:szCs w:val="22"/>
        </w:rPr>
        <w:t xml:space="preserve">por medio de la cual </w:t>
      </w:r>
      <w:r w:rsidR="005029FF" w:rsidRPr="004557AF">
        <w:rPr>
          <w:rFonts w:ascii="Tahoma" w:hAnsi="Tahoma" w:cs="Tahoma"/>
          <w:sz w:val="22"/>
          <w:szCs w:val="22"/>
        </w:rPr>
        <w:t xml:space="preserve">negó la prestación por un estudio desprevenido que efectuó, en el que no consideró la condición de beneficiaria del régimen de transición, razón por la cual la actora reanudó con sus cotizaciones.  </w:t>
      </w:r>
    </w:p>
    <w:p w:rsidR="005029FF" w:rsidRDefault="005029FF" w:rsidP="00BE37ED">
      <w:pPr>
        <w:widowControl w:val="0"/>
        <w:autoSpaceDE w:val="0"/>
        <w:autoSpaceDN w:val="0"/>
        <w:adjustRightInd w:val="0"/>
        <w:spacing w:line="276" w:lineRule="auto"/>
        <w:ind w:firstLine="708"/>
        <w:jc w:val="both"/>
        <w:rPr>
          <w:rFonts w:ascii="Tahoma" w:hAnsi="Tahoma" w:cs="Tahoma"/>
          <w:sz w:val="22"/>
          <w:szCs w:val="22"/>
        </w:rPr>
      </w:pPr>
    </w:p>
    <w:p w:rsidR="00BE37ED" w:rsidRDefault="00BE37ED" w:rsidP="00BE37ED">
      <w:pPr>
        <w:tabs>
          <w:tab w:val="left" w:pos="748"/>
        </w:tabs>
        <w:spacing w:line="276" w:lineRule="auto"/>
        <w:jc w:val="both"/>
        <w:rPr>
          <w:rFonts w:ascii="Tahoma" w:hAnsi="Tahoma" w:cs="Tahoma"/>
          <w:sz w:val="22"/>
          <w:szCs w:val="22"/>
        </w:rPr>
      </w:pPr>
      <w:r>
        <w:rPr>
          <w:rFonts w:ascii="Tahoma" w:hAnsi="Tahoma" w:cs="Tahoma"/>
          <w:sz w:val="22"/>
          <w:szCs w:val="22"/>
        </w:rPr>
        <w:tab/>
        <w:t xml:space="preserve">Al respecto debe decirse que esta Sala de decisión en sentencia del 22 de mayo de 2015, con ponencia de quien aquí cumple igual encargo, por la mayoría de sus integrantes acogió  la postura asumida por la Sala de Casación Laboral de la Corte Suprema de Justicia en la sentencia del 5 de abril de 2011, proferida dentro del proceso radicado con el número 43564, M.P. Gustavo José </w:t>
      </w:r>
      <w:proofErr w:type="spellStart"/>
      <w:r>
        <w:rPr>
          <w:rFonts w:ascii="Tahoma" w:hAnsi="Tahoma" w:cs="Tahoma"/>
          <w:sz w:val="22"/>
          <w:szCs w:val="22"/>
        </w:rPr>
        <w:t>Gnecco</w:t>
      </w:r>
      <w:proofErr w:type="spellEnd"/>
      <w:r>
        <w:rPr>
          <w:rFonts w:ascii="Tahoma" w:hAnsi="Tahoma" w:cs="Tahoma"/>
          <w:sz w:val="22"/>
          <w:szCs w:val="22"/>
        </w:rPr>
        <w:t xml:space="preserve"> Mendoza, en la que se expuso, respecto a la inducción a error por parte de la entidad demandada, lo siguiente:</w:t>
      </w:r>
    </w:p>
    <w:p w:rsidR="00BE37ED" w:rsidRDefault="00BE37ED" w:rsidP="00BE37ED">
      <w:pPr>
        <w:tabs>
          <w:tab w:val="left" w:pos="748"/>
        </w:tabs>
        <w:spacing w:line="276" w:lineRule="auto"/>
        <w:jc w:val="both"/>
        <w:rPr>
          <w:rFonts w:ascii="Tahoma" w:hAnsi="Tahoma" w:cs="Tahoma"/>
          <w:sz w:val="22"/>
          <w:szCs w:val="22"/>
        </w:rPr>
      </w:pPr>
    </w:p>
    <w:p w:rsidR="00BE37ED" w:rsidRDefault="00BE37ED" w:rsidP="00BE37ED">
      <w:pPr>
        <w:ind w:left="709" w:right="391"/>
        <w:jc w:val="both"/>
        <w:rPr>
          <w:rFonts w:ascii="Arial Narrow" w:hAnsi="Arial Narrow"/>
          <w:sz w:val="22"/>
          <w:szCs w:val="22"/>
        </w:rPr>
      </w:pPr>
      <w:r>
        <w:rPr>
          <w:rFonts w:ascii="Arial Narrow" w:hAnsi="Arial Narrow"/>
          <w:sz w:val="22"/>
          <w:szCs w:val="22"/>
        </w:rPr>
        <w:t>“…Y en esa conclusión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rsidR="00BE37ED" w:rsidRDefault="00BE37ED" w:rsidP="00BE37ED">
      <w:pPr>
        <w:tabs>
          <w:tab w:val="left" w:pos="748"/>
        </w:tabs>
        <w:spacing w:line="276" w:lineRule="auto"/>
        <w:jc w:val="both"/>
        <w:rPr>
          <w:rFonts w:ascii="Arial Narrow" w:hAnsi="Arial Narrow"/>
          <w:b/>
          <w:spacing w:val="14"/>
          <w:sz w:val="22"/>
          <w:szCs w:val="22"/>
        </w:rPr>
      </w:pPr>
    </w:p>
    <w:p w:rsidR="00BE37ED" w:rsidRDefault="00BE37ED" w:rsidP="00BE37ED">
      <w:pPr>
        <w:tabs>
          <w:tab w:val="left" w:pos="748"/>
        </w:tabs>
        <w:spacing w:line="276" w:lineRule="auto"/>
        <w:jc w:val="both"/>
        <w:rPr>
          <w:rFonts w:ascii="Tahoma" w:hAnsi="Tahoma" w:cs="Tahoma"/>
          <w:sz w:val="22"/>
          <w:szCs w:val="22"/>
        </w:rPr>
      </w:pPr>
      <w:r>
        <w:rPr>
          <w:rFonts w:ascii="Tahoma" w:hAnsi="Tahoma" w:cs="Tahoma"/>
          <w:sz w:val="22"/>
          <w:szCs w:val="22"/>
        </w:rPr>
        <w:tab/>
        <w:t xml:space="preserve">Lo expuesto en precedencia tiene plena aplicación en el caso bajo estudio, habida consideración que en la Resolución GNR </w:t>
      </w:r>
      <w:r w:rsidR="005E2BD6">
        <w:rPr>
          <w:rFonts w:ascii="Tahoma" w:hAnsi="Tahoma" w:cs="Tahoma"/>
          <w:sz w:val="22"/>
          <w:szCs w:val="22"/>
        </w:rPr>
        <w:t xml:space="preserve">80125 </w:t>
      </w:r>
      <w:r>
        <w:rPr>
          <w:rFonts w:ascii="Tahoma" w:hAnsi="Tahoma" w:cs="Tahoma"/>
          <w:sz w:val="22"/>
          <w:szCs w:val="22"/>
        </w:rPr>
        <w:t xml:space="preserve">del </w:t>
      </w:r>
      <w:r w:rsidR="005E2BD6">
        <w:rPr>
          <w:rFonts w:ascii="Tahoma" w:hAnsi="Tahoma" w:cs="Tahoma"/>
          <w:sz w:val="22"/>
          <w:szCs w:val="22"/>
        </w:rPr>
        <w:t>11</w:t>
      </w:r>
      <w:r>
        <w:rPr>
          <w:rFonts w:ascii="Tahoma" w:hAnsi="Tahoma" w:cs="Tahoma"/>
          <w:sz w:val="22"/>
          <w:szCs w:val="22"/>
        </w:rPr>
        <w:t xml:space="preserve"> de </w:t>
      </w:r>
      <w:r w:rsidR="005E2BD6">
        <w:rPr>
          <w:rFonts w:ascii="Tahoma" w:hAnsi="Tahoma" w:cs="Tahoma"/>
          <w:sz w:val="22"/>
          <w:szCs w:val="22"/>
        </w:rPr>
        <w:t>marzo</w:t>
      </w:r>
      <w:r>
        <w:rPr>
          <w:rFonts w:ascii="Tahoma" w:hAnsi="Tahoma" w:cs="Tahoma"/>
          <w:sz w:val="22"/>
          <w:szCs w:val="22"/>
        </w:rPr>
        <w:t xml:space="preserve"> de 2014 (</w:t>
      </w:r>
      <w:proofErr w:type="spellStart"/>
      <w:r>
        <w:rPr>
          <w:rFonts w:ascii="Tahoma" w:hAnsi="Tahoma" w:cs="Tahoma"/>
          <w:sz w:val="22"/>
          <w:szCs w:val="22"/>
        </w:rPr>
        <w:t>fl</w:t>
      </w:r>
      <w:proofErr w:type="spellEnd"/>
      <w:r>
        <w:rPr>
          <w:rFonts w:ascii="Tahoma" w:hAnsi="Tahoma" w:cs="Tahoma"/>
          <w:sz w:val="22"/>
          <w:szCs w:val="22"/>
        </w:rPr>
        <w:t xml:space="preserve">. </w:t>
      </w:r>
      <w:r w:rsidR="005E2BD6">
        <w:rPr>
          <w:rFonts w:ascii="Tahoma" w:hAnsi="Tahoma" w:cs="Tahoma"/>
          <w:sz w:val="22"/>
          <w:szCs w:val="22"/>
        </w:rPr>
        <w:t>14</w:t>
      </w:r>
      <w:r>
        <w:rPr>
          <w:rFonts w:ascii="Tahoma" w:hAnsi="Tahoma" w:cs="Tahoma"/>
          <w:sz w:val="22"/>
          <w:szCs w:val="22"/>
        </w:rPr>
        <w:t>), la entidad demandada negó la pensión de vejez solicitada por la señora M</w:t>
      </w:r>
      <w:r w:rsidR="005E2BD6">
        <w:rPr>
          <w:rFonts w:ascii="Tahoma" w:hAnsi="Tahoma" w:cs="Tahoma"/>
          <w:sz w:val="22"/>
          <w:szCs w:val="22"/>
        </w:rPr>
        <w:t xml:space="preserve">aría </w:t>
      </w:r>
      <w:proofErr w:type="spellStart"/>
      <w:r w:rsidR="005E2BD6">
        <w:rPr>
          <w:rFonts w:ascii="Tahoma" w:hAnsi="Tahoma" w:cs="Tahoma"/>
          <w:sz w:val="22"/>
          <w:szCs w:val="22"/>
        </w:rPr>
        <w:t>Esneda</w:t>
      </w:r>
      <w:proofErr w:type="spellEnd"/>
      <w:r w:rsidR="005E2BD6">
        <w:rPr>
          <w:rFonts w:ascii="Tahoma" w:hAnsi="Tahoma" w:cs="Tahoma"/>
          <w:sz w:val="22"/>
          <w:szCs w:val="22"/>
        </w:rPr>
        <w:t xml:space="preserve"> Bedoya </w:t>
      </w:r>
      <w:r>
        <w:rPr>
          <w:rFonts w:ascii="Tahoma" w:hAnsi="Tahoma" w:cs="Tahoma"/>
          <w:sz w:val="22"/>
          <w:szCs w:val="22"/>
        </w:rPr>
        <w:t xml:space="preserve">el </w:t>
      </w:r>
      <w:r w:rsidR="005E2BD6">
        <w:rPr>
          <w:rFonts w:ascii="Tahoma" w:hAnsi="Tahoma" w:cs="Tahoma"/>
          <w:sz w:val="22"/>
          <w:szCs w:val="22"/>
        </w:rPr>
        <w:t>6</w:t>
      </w:r>
      <w:r>
        <w:rPr>
          <w:rFonts w:ascii="Tahoma" w:hAnsi="Tahoma" w:cs="Tahoma"/>
          <w:sz w:val="22"/>
          <w:szCs w:val="22"/>
        </w:rPr>
        <w:t xml:space="preserve"> de </w:t>
      </w:r>
      <w:r w:rsidR="005E2BD6">
        <w:rPr>
          <w:rFonts w:ascii="Tahoma" w:hAnsi="Tahoma" w:cs="Tahoma"/>
          <w:sz w:val="22"/>
          <w:szCs w:val="22"/>
        </w:rPr>
        <w:t>mayo de 2013</w:t>
      </w:r>
      <w:r>
        <w:rPr>
          <w:rFonts w:ascii="Tahoma" w:hAnsi="Tahoma" w:cs="Tahoma"/>
          <w:sz w:val="22"/>
          <w:szCs w:val="22"/>
        </w:rPr>
        <w:t>, aduciendo que carecía de las semanas exigidas para acceder a esa prestación, cuando realmente superaba los requisitos establecidos en el Acuerdo 049 de 1990.</w:t>
      </w:r>
    </w:p>
    <w:p w:rsidR="00BE37ED" w:rsidRDefault="00BE37ED" w:rsidP="00BE37ED">
      <w:pPr>
        <w:widowControl w:val="0"/>
        <w:autoSpaceDE w:val="0"/>
        <w:autoSpaceDN w:val="0"/>
        <w:adjustRightInd w:val="0"/>
        <w:spacing w:line="276" w:lineRule="auto"/>
        <w:ind w:firstLine="708"/>
        <w:jc w:val="both"/>
        <w:rPr>
          <w:rFonts w:ascii="Tahoma" w:hAnsi="Tahoma" w:cs="Tahoma"/>
          <w:sz w:val="22"/>
          <w:szCs w:val="22"/>
        </w:rPr>
      </w:pPr>
    </w:p>
    <w:p w:rsidR="00937C1D" w:rsidRDefault="00BE37ED" w:rsidP="00BE37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Ahora bien, no se ordenará el reconocimiento de la prestación desde </w:t>
      </w:r>
      <w:r w:rsidR="004329F4">
        <w:rPr>
          <w:rFonts w:ascii="Tahoma" w:hAnsi="Tahoma" w:cs="Tahoma"/>
          <w:sz w:val="22"/>
          <w:szCs w:val="22"/>
        </w:rPr>
        <w:t>la fecha a la que se ha hecho alusión -1º de julio de 2013-</w:t>
      </w:r>
      <w:r w:rsidR="007A467B">
        <w:rPr>
          <w:rFonts w:ascii="Tahoma" w:hAnsi="Tahoma" w:cs="Tahoma"/>
          <w:sz w:val="22"/>
          <w:szCs w:val="22"/>
        </w:rPr>
        <w:t>,</w:t>
      </w:r>
      <w:r w:rsidR="004329F4">
        <w:rPr>
          <w:rFonts w:ascii="Tahoma" w:hAnsi="Tahoma" w:cs="Tahoma"/>
          <w:sz w:val="22"/>
          <w:szCs w:val="22"/>
        </w:rPr>
        <w:t xml:space="preserve"> </w:t>
      </w:r>
      <w:r>
        <w:rPr>
          <w:rFonts w:ascii="Tahoma" w:hAnsi="Tahoma" w:cs="Tahoma"/>
          <w:sz w:val="22"/>
          <w:szCs w:val="22"/>
        </w:rPr>
        <w:t>por cuanto</w:t>
      </w:r>
      <w:r w:rsidR="00937C1D">
        <w:rPr>
          <w:rFonts w:ascii="Tahoma" w:hAnsi="Tahoma" w:cs="Tahoma"/>
          <w:sz w:val="22"/>
          <w:szCs w:val="22"/>
        </w:rPr>
        <w:t xml:space="preserve"> en la demanda se solicitó el reconocimiento de la prestación desde el 1º de diciembre de 2014 y, </w:t>
      </w:r>
      <w:r w:rsidR="0025586C">
        <w:rPr>
          <w:rFonts w:ascii="Tahoma" w:hAnsi="Tahoma" w:cs="Tahoma"/>
          <w:sz w:val="22"/>
          <w:szCs w:val="22"/>
        </w:rPr>
        <w:t xml:space="preserve">pese a </w:t>
      </w:r>
      <w:r w:rsidR="00937C1D">
        <w:rPr>
          <w:rFonts w:ascii="Tahoma" w:hAnsi="Tahoma" w:cs="Tahoma"/>
          <w:sz w:val="22"/>
          <w:szCs w:val="22"/>
        </w:rPr>
        <w:t>haberse hecho</w:t>
      </w:r>
      <w:r>
        <w:rPr>
          <w:rFonts w:ascii="Tahoma" w:hAnsi="Tahoma" w:cs="Tahoma"/>
          <w:sz w:val="22"/>
          <w:szCs w:val="22"/>
        </w:rPr>
        <w:t xml:space="preserve"> </w:t>
      </w:r>
      <w:r w:rsidR="0025586C">
        <w:rPr>
          <w:rFonts w:ascii="Tahoma" w:hAnsi="Tahoma" w:cs="Tahoma"/>
          <w:sz w:val="22"/>
          <w:szCs w:val="22"/>
        </w:rPr>
        <w:t xml:space="preserve">el estudio de la prestación por la Jueza de primera instancia por el cumplimiento de las 500 semanas, el apoderado al momento de sustentar la apelación </w:t>
      </w:r>
      <w:r w:rsidR="0025586C" w:rsidRPr="007A467B">
        <w:rPr>
          <w:rFonts w:ascii="Tahoma" w:hAnsi="Tahoma" w:cs="Tahoma"/>
          <w:b/>
          <w:sz w:val="22"/>
          <w:szCs w:val="22"/>
        </w:rPr>
        <w:t>insiste</w:t>
      </w:r>
      <w:r w:rsidR="0025586C">
        <w:rPr>
          <w:rFonts w:ascii="Tahoma" w:hAnsi="Tahoma" w:cs="Tahoma"/>
          <w:sz w:val="22"/>
          <w:szCs w:val="22"/>
        </w:rPr>
        <w:t xml:space="preserve"> en que la prestación se reconozca desde el 1º de diciembre de 2014, </w:t>
      </w:r>
      <w:r w:rsidR="0025586C">
        <w:rPr>
          <w:rFonts w:ascii="Tahoma" w:hAnsi="Tahoma" w:cs="Tahoma"/>
          <w:sz w:val="22"/>
          <w:szCs w:val="22"/>
        </w:rPr>
        <w:lastRenderedPageBreak/>
        <w:t>razón por la cual</w:t>
      </w:r>
      <w:r w:rsidR="007A467B">
        <w:rPr>
          <w:rFonts w:ascii="Tahoma" w:hAnsi="Tahoma" w:cs="Tahoma"/>
          <w:sz w:val="22"/>
          <w:szCs w:val="22"/>
        </w:rPr>
        <w:t xml:space="preserve"> se ordenará el pago </w:t>
      </w:r>
      <w:r w:rsidR="0025586C">
        <w:rPr>
          <w:rFonts w:ascii="Tahoma" w:hAnsi="Tahoma" w:cs="Tahoma"/>
          <w:sz w:val="22"/>
          <w:szCs w:val="22"/>
        </w:rPr>
        <w:t>desde esa fecha</w:t>
      </w:r>
      <w:r w:rsidR="007A467B">
        <w:rPr>
          <w:rFonts w:ascii="Tahoma" w:hAnsi="Tahoma" w:cs="Tahoma"/>
          <w:sz w:val="22"/>
          <w:szCs w:val="22"/>
        </w:rPr>
        <w:t>,</w:t>
      </w:r>
      <w:r w:rsidR="0025586C">
        <w:rPr>
          <w:rFonts w:ascii="Tahoma" w:hAnsi="Tahoma" w:cs="Tahoma"/>
          <w:sz w:val="22"/>
          <w:szCs w:val="22"/>
        </w:rPr>
        <w:t xml:space="preserve"> en virtud del</w:t>
      </w:r>
      <w:r w:rsidR="00E8094B">
        <w:rPr>
          <w:rFonts w:ascii="Tahoma" w:hAnsi="Tahoma" w:cs="Tahoma"/>
          <w:sz w:val="22"/>
          <w:szCs w:val="22"/>
        </w:rPr>
        <w:t xml:space="preserve"> principio de consonancia </w:t>
      </w:r>
      <w:r w:rsidR="0025586C">
        <w:rPr>
          <w:rFonts w:ascii="Tahoma" w:hAnsi="Tahoma" w:cs="Tahoma"/>
          <w:sz w:val="22"/>
          <w:szCs w:val="22"/>
        </w:rPr>
        <w:t>señalad</w:t>
      </w:r>
      <w:r w:rsidR="00E8094B">
        <w:rPr>
          <w:rFonts w:ascii="Tahoma" w:hAnsi="Tahoma" w:cs="Tahoma"/>
          <w:sz w:val="22"/>
          <w:szCs w:val="22"/>
        </w:rPr>
        <w:t>o</w:t>
      </w:r>
      <w:r w:rsidR="0025586C">
        <w:rPr>
          <w:rFonts w:ascii="Tahoma" w:hAnsi="Tahoma" w:cs="Tahoma"/>
          <w:sz w:val="22"/>
          <w:szCs w:val="22"/>
        </w:rPr>
        <w:t xml:space="preserve"> en el artículo 66A del </w:t>
      </w:r>
      <w:r w:rsidR="00996EFB">
        <w:rPr>
          <w:rFonts w:ascii="Tahoma" w:hAnsi="Tahoma" w:cs="Tahoma"/>
          <w:sz w:val="22"/>
          <w:szCs w:val="22"/>
        </w:rPr>
        <w:t>Código</w:t>
      </w:r>
      <w:r w:rsidR="0025586C">
        <w:rPr>
          <w:rFonts w:ascii="Tahoma" w:hAnsi="Tahoma" w:cs="Tahoma"/>
          <w:sz w:val="22"/>
          <w:szCs w:val="22"/>
        </w:rPr>
        <w:t xml:space="preserve"> Procesal del Trabajo y la Seguridad Social</w:t>
      </w:r>
      <w:r w:rsidR="00996EFB">
        <w:rPr>
          <w:rFonts w:ascii="Tahoma" w:hAnsi="Tahoma" w:cs="Tahoma"/>
          <w:sz w:val="22"/>
          <w:szCs w:val="22"/>
        </w:rPr>
        <w:t>; misma suerte que seguirán los intereses moratorios</w:t>
      </w:r>
      <w:r w:rsidR="004E2E42">
        <w:rPr>
          <w:rFonts w:ascii="Tahoma" w:hAnsi="Tahoma" w:cs="Tahoma"/>
          <w:sz w:val="22"/>
          <w:szCs w:val="22"/>
        </w:rPr>
        <w:t xml:space="preserve">, siendo del caso advertir que con las cotizaciones realizadas con posterioridad al 1º de julio de 2013 ni después del 1º de diciembre de 2014, </w:t>
      </w:r>
      <w:r w:rsidR="004E2E42" w:rsidRPr="007A467B">
        <w:rPr>
          <w:rFonts w:ascii="Tahoma" w:hAnsi="Tahoma" w:cs="Tahoma"/>
          <w:b/>
          <w:sz w:val="22"/>
          <w:szCs w:val="22"/>
        </w:rPr>
        <w:t>no se aumenta la cuantía de la mesada</w:t>
      </w:r>
      <w:r w:rsidR="00996EFB" w:rsidRPr="007A467B">
        <w:rPr>
          <w:rFonts w:ascii="Tahoma" w:hAnsi="Tahoma" w:cs="Tahoma"/>
          <w:b/>
          <w:sz w:val="22"/>
          <w:szCs w:val="22"/>
        </w:rPr>
        <w:t>.</w:t>
      </w:r>
    </w:p>
    <w:p w:rsidR="00BE37ED" w:rsidRDefault="00BE37ED" w:rsidP="00BE37ED">
      <w:pPr>
        <w:widowControl w:val="0"/>
        <w:autoSpaceDE w:val="0"/>
        <w:autoSpaceDN w:val="0"/>
        <w:adjustRightInd w:val="0"/>
        <w:spacing w:line="276" w:lineRule="auto"/>
        <w:ind w:firstLine="708"/>
        <w:jc w:val="both"/>
        <w:rPr>
          <w:rFonts w:ascii="Tahoma" w:hAnsi="Tahoma" w:cs="Tahoma"/>
          <w:sz w:val="22"/>
          <w:szCs w:val="22"/>
        </w:rPr>
      </w:pPr>
    </w:p>
    <w:p w:rsidR="00921A67" w:rsidRDefault="00921A67" w:rsidP="00BE37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ese orden de ideas, con el fin de la celeridad en el cumplimiento de la presente decisión, la Sala procedió a calcular el retroactivo adeudado entre el 1º de diciembre de 2014 y el </w:t>
      </w:r>
      <w:r w:rsidR="0065559D">
        <w:rPr>
          <w:rFonts w:ascii="Tahoma" w:hAnsi="Tahoma" w:cs="Tahoma"/>
          <w:sz w:val="22"/>
          <w:szCs w:val="22"/>
        </w:rPr>
        <w:t>30 de abril de 2017</w:t>
      </w:r>
      <w:r w:rsidR="00360251">
        <w:rPr>
          <w:rFonts w:ascii="Tahoma" w:hAnsi="Tahoma" w:cs="Tahoma"/>
          <w:sz w:val="22"/>
          <w:szCs w:val="22"/>
        </w:rPr>
        <w:t xml:space="preserve">, con base en el salario mínimo </w:t>
      </w:r>
      <w:r w:rsidR="00360251" w:rsidRPr="000A0745">
        <w:rPr>
          <w:rFonts w:ascii="Tahoma" w:hAnsi="Tahoma" w:cs="Tahoma"/>
          <w:i/>
          <w:sz w:val="22"/>
          <w:szCs w:val="22"/>
        </w:rPr>
        <w:t>–</w:t>
      </w:r>
      <w:r w:rsidR="000A0745" w:rsidRPr="000A0745">
        <w:rPr>
          <w:rFonts w:ascii="Tahoma" w:hAnsi="Tahoma" w:cs="Tahoma"/>
          <w:i/>
          <w:sz w:val="22"/>
          <w:szCs w:val="22"/>
        </w:rPr>
        <w:t>pues con base en dicho rubro efectuó las cotizaciones en los 10 años anteriores al reconocimiento de la pensión, según se percibe en la historia laboral (</w:t>
      </w:r>
      <w:proofErr w:type="spellStart"/>
      <w:r w:rsidR="000A0745" w:rsidRPr="000A0745">
        <w:rPr>
          <w:rFonts w:ascii="Tahoma" w:hAnsi="Tahoma" w:cs="Tahoma"/>
          <w:i/>
          <w:sz w:val="22"/>
          <w:szCs w:val="22"/>
        </w:rPr>
        <w:t>fl</w:t>
      </w:r>
      <w:proofErr w:type="spellEnd"/>
      <w:r w:rsidR="000A0745" w:rsidRPr="000A0745">
        <w:rPr>
          <w:rFonts w:ascii="Tahoma" w:hAnsi="Tahoma" w:cs="Tahoma"/>
          <w:i/>
          <w:sz w:val="22"/>
          <w:szCs w:val="22"/>
        </w:rPr>
        <w:t>. 116)</w:t>
      </w:r>
      <w:r w:rsidR="003E3F46" w:rsidRPr="000A0745">
        <w:rPr>
          <w:rFonts w:ascii="Tahoma" w:hAnsi="Tahoma" w:cs="Tahoma"/>
          <w:i/>
          <w:sz w:val="22"/>
          <w:szCs w:val="22"/>
        </w:rPr>
        <w:t>-</w:t>
      </w:r>
      <w:r w:rsidR="00360251">
        <w:rPr>
          <w:rFonts w:ascii="Tahoma" w:hAnsi="Tahoma" w:cs="Tahoma"/>
          <w:sz w:val="22"/>
          <w:szCs w:val="22"/>
        </w:rPr>
        <w:t xml:space="preserve"> y por trece mesadas anuales</w:t>
      </w:r>
      <w:r w:rsidR="003E3F46">
        <w:rPr>
          <w:rFonts w:ascii="Tahoma" w:hAnsi="Tahoma" w:cs="Tahoma"/>
          <w:sz w:val="22"/>
          <w:szCs w:val="22"/>
        </w:rPr>
        <w:t>, al haberse causado la pensión con posterioridad al 31 de julio de 2011</w:t>
      </w:r>
      <w:r w:rsidR="0065559D">
        <w:rPr>
          <w:rFonts w:ascii="Tahoma" w:hAnsi="Tahoma" w:cs="Tahoma"/>
          <w:sz w:val="22"/>
          <w:szCs w:val="22"/>
        </w:rPr>
        <w:t>, encontrando que el mismo asciende a $</w:t>
      </w:r>
      <w:r w:rsidR="003E3F46">
        <w:rPr>
          <w:rFonts w:ascii="Tahoma" w:hAnsi="Tahoma" w:cs="Tahoma"/>
          <w:sz w:val="22"/>
          <w:szCs w:val="22"/>
        </w:rPr>
        <w:t>21.522.333</w:t>
      </w:r>
      <w:r w:rsidR="00AA2F5A">
        <w:rPr>
          <w:rFonts w:ascii="Tahoma" w:hAnsi="Tahoma" w:cs="Tahoma"/>
          <w:sz w:val="22"/>
          <w:szCs w:val="22"/>
        </w:rPr>
        <w:t xml:space="preserve"> hasta el 30 de abril de 2017</w:t>
      </w:r>
      <w:r w:rsidR="0065559D">
        <w:rPr>
          <w:rFonts w:ascii="Tahoma" w:hAnsi="Tahoma" w:cs="Tahoma"/>
          <w:sz w:val="22"/>
          <w:szCs w:val="22"/>
        </w:rPr>
        <w:t>, sin perjuicio de las mesadas que se causen con posterioridad</w:t>
      </w:r>
      <w:r w:rsidR="003E3F46">
        <w:rPr>
          <w:rFonts w:ascii="Tahoma" w:hAnsi="Tahoma" w:cs="Tahoma"/>
          <w:sz w:val="22"/>
          <w:szCs w:val="22"/>
        </w:rPr>
        <w:t>.</w:t>
      </w:r>
    </w:p>
    <w:p w:rsidR="00921A67" w:rsidRDefault="00921A67" w:rsidP="00BE37ED">
      <w:pPr>
        <w:widowControl w:val="0"/>
        <w:autoSpaceDE w:val="0"/>
        <w:autoSpaceDN w:val="0"/>
        <w:adjustRightInd w:val="0"/>
        <w:spacing w:line="276" w:lineRule="auto"/>
        <w:ind w:firstLine="708"/>
        <w:jc w:val="both"/>
        <w:rPr>
          <w:rFonts w:ascii="Tahoma" w:hAnsi="Tahoma" w:cs="Tahoma"/>
          <w:sz w:val="22"/>
          <w:szCs w:val="22"/>
        </w:rPr>
      </w:pPr>
    </w:p>
    <w:p w:rsidR="00BE37ED" w:rsidRDefault="00BE37ED" w:rsidP="00BE37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virtud de lo anterior, se </w:t>
      </w:r>
      <w:r w:rsidR="00921A67">
        <w:rPr>
          <w:rFonts w:ascii="Tahoma" w:hAnsi="Tahoma" w:cs="Tahoma"/>
          <w:sz w:val="22"/>
          <w:szCs w:val="22"/>
        </w:rPr>
        <w:t xml:space="preserve">revocará el ordinal quinto y </w:t>
      </w:r>
      <w:r w:rsidR="000A0745">
        <w:rPr>
          <w:rFonts w:ascii="Tahoma" w:hAnsi="Tahoma" w:cs="Tahoma"/>
          <w:sz w:val="22"/>
          <w:szCs w:val="22"/>
        </w:rPr>
        <w:t xml:space="preserve">se </w:t>
      </w:r>
      <w:r>
        <w:rPr>
          <w:rFonts w:ascii="Tahoma" w:hAnsi="Tahoma" w:cs="Tahoma"/>
          <w:sz w:val="22"/>
          <w:szCs w:val="22"/>
        </w:rPr>
        <w:t>modificarán los ordinales se</w:t>
      </w:r>
      <w:r w:rsidR="00921A67">
        <w:rPr>
          <w:rFonts w:ascii="Tahoma" w:hAnsi="Tahoma" w:cs="Tahoma"/>
          <w:sz w:val="22"/>
          <w:szCs w:val="22"/>
        </w:rPr>
        <w:t xml:space="preserve">xto y séptimo </w:t>
      </w:r>
      <w:r>
        <w:rPr>
          <w:rFonts w:ascii="Tahoma" w:hAnsi="Tahoma" w:cs="Tahoma"/>
          <w:sz w:val="22"/>
          <w:szCs w:val="22"/>
        </w:rPr>
        <w:t xml:space="preserve">de la sentencia de primera instancia. </w:t>
      </w:r>
      <w:r w:rsidR="00AA2F5A">
        <w:rPr>
          <w:rFonts w:ascii="Tahoma" w:hAnsi="Tahoma" w:cs="Tahoma"/>
          <w:sz w:val="22"/>
          <w:szCs w:val="22"/>
        </w:rPr>
        <w:t>Sin costas en esta sede por haber prosperado el recurso de apelación</w:t>
      </w:r>
      <w:r>
        <w:rPr>
          <w:rFonts w:ascii="Tahoma" w:hAnsi="Tahoma" w:cs="Tahoma"/>
          <w:sz w:val="22"/>
          <w:szCs w:val="22"/>
        </w:rPr>
        <w:t>.</w:t>
      </w:r>
    </w:p>
    <w:p w:rsidR="00BE37ED" w:rsidRPr="00C4261E" w:rsidRDefault="00BE37ED" w:rsidP="00BE37ED">
      <w:pPr>
        <w:widowControl w:val="0"/>
        <w:autoSpaceDE w:val="0"/>
        <w:autoSpaceDN w:val="0"/>
        <w:adjustRightInd w:val="0"/>
        <w:spacing w:line="276" w:lineRule="auto"/>
        <w:ind w:firstLine="708"/>
        <w:jc w:val="both"/>
        <w:rPr>
          <w:rFonts w:ascii="Tahoma" w:hAnsi="Tahoma" w:cs="Tahoma"/>
          <w:sz w:val="22"/>
          <w:szCs w:val="22"/>
        </w:rPr>
      </w:pPr>
    </w:p>
    <w:p w:rsidR="00BE37ED" w:rsidRPr="00B97C7C" w:rsidRDefault="00BE37ED" w:rsidP="00BE37ED">
      <w:pPr>
        <w:pStyle w:val="Corpsdetexte"/>
        <w:spacing w:after="0" w:line="276" w:lineRule="auto"/>
        <w:ind w:right="51" w:firstLine="708"/>
        <w:jc w:val="both"/>
        <w:rPr>
          <w:rFonts w:ascii="Tahoma" w:hAnsi="Tahoma" w:cs="Tahoma"/>
          <w:sz w:val="22"/>
          <w:szCs w:val="22"/>
        </w:rPr>
      </w:pPr>
      <w:r w:rsidRPr="00B97C7C">
        <w:rPr>
          <w:rFonts w:ascii="Tahoma" w:hAnsi="Tahoma" w:cs="Tahoma"/>
          <w:sz w:val="22"/>
          <w:szCs w:val="22"/>
        </w:rPr>
        <w:t xml:space="preserve">Las costas en primera instancia no se modificarán. </w:t>
      </w:r>
    </w:p>
    <w:p w:rsidR="00BE37ED" w:rsidRPr="00B97C7C" w:rsidRDefault="00BE37ED" w:rsidP="00BE37ED">
      <w:pPr>
        <w:pStyle w:val="Sansinterligne"/>
        <w:rPr>
          <w:sz w:val="22"/>
          <w:szCs w:val="22"/>
        </w:rPr>
      </w:pPr>
    </w:p>
    <w:p w:rsidR="00BE37ED" w:rsidRPr="00B97C7C" w:rsidRDefault="00BE37ED" w:rsidP="00BE37ED">
      <w:pPr>
        <w:pStyle w:val="Retraitcorpsdetexte"/>
        <w:spacing w:line="276" w:lineRule="auto"/>
        <w:rPr>
          <w:sz w:val="22"/>
          <w:szCs w:val="22"/>
        </w:rPr>
      </w:pPr>
      <w:r w:rsidRPr="00B97C7C">
        <w:rPr>
          <w:sz w:val="22"/>
          <w:szCs w:val="22"/>
        </w:rPr>
        <w:t xml:space="preserve">En mérito de lo expuesto, el </w:t>
      </w:r>
      <w:r w:rsidRPr="00B97C7C">
        <w:rPr>
          <w:b/>
          <w:sz w:val="22"/>
          <w:szCs w:val="22"/>
        </w:rPr>
        <w:t>Tribunal Superior del Distrito Judicial de Pereira (Risaralda)</w:t>
      </w:r>
      <w:r w:rsidRPr="00B97C7C">
        <w:rPr>
          <w:sz w:val="22"/>
          <w:szCs w:val="22"/>
        </w:rPr>
        <w:t xml:space="preserve">, </w:t>
      </w:r>
      <w:r w:rsidRPr="00B97C7C">
        <w:rPr>
          <w:b/>
          <w:sz w:val="22"/>
          <w:szCs w:val="22"/>
        </w:rPr>
        <w:t>Sala Laboral No. 1</w:t>
      </w:r>
      <w:r w:rsidRPr="00B97C7C">
        <w:rPr>
          <w:sz w:val="22"/>
          <w:szCs w:val="22"/>
        </w:rPr>
        <w:t>, administrando justicia en nombre de la República y por autoridad de la Ley,</w:t>
      </w:r>
    </w:p>
    <w:p w:rsidR="00BE37ED" w:rsidRPr="00B97C7C" w:rsidRDefault="00BE37ED" w:rsidP="00BE37ED">
      <w:pPr>
        <w:pStyle w:val="Corpsdetexte"/>
        <w:spacing w:after="0"/>
        <w:ind w:right="51"/>
        <w:jc w:val="both"/>
        <w:rPr>
          <w:rFonts w:ascii="Tahoma" w:hAnsi="Tahoma" w:cs="Tahoma"/>
          <w:sz w:val="22"/>
          <w:szCs w:val="22"/>
        </w:rPr>
      </w:pPr>
      <w:r w:rsidRPr="00B97C7C">
        <w:rPr>
          <w:rFonts w:ascii="Tahoma" w:hAnsi="Tahoma" w:cs="Tahoma"/>
          <w:sz w:val="22"/>
          <w:szCs w:val="22"/>
        </w:rPr>
        <w:t xml:space="preserve"> </w:t>
      </w:r>
    </w:p>
    <w:p w:rsidR="00BE37ED" w:rsidRPr="00B97C7C" w:rsidRDefault="00BE37ED" w:rsidP="00BE37ED">
      <w:pPr>
        <w:widowControl w:val="0"/>
        <w:autoSpaceDE w:val="0"/>
        <w:autoSpaceDN w:val="0"/>
        <w:adjustRightInd w:val="0"/>
        <w:spacing w:line="276" w:lineRule="auto"/>
        <w:jc w:val="center"/>
        <w:rPr>
          <w:rFonts w:ascii="Tahoma" w:hAnsi="Tahoma" w:cs="Tahoma"/>
          <w:b/>
          <w:sz w:val="22"/>
          <w:szCs w:val="22"/>
        </w:rPr>
      </w:pPr>
      <w:r w:rsidRPr="00B97C7C">
        <w:rPr>
          <w:rFonts w:ascii="Tahoma" w:hAnsi="Tahoma" w:cs="Tahoma"/>
          <w:b/>
          <w:sz w:val="22"/>
          <w:szCs w:val="22"/>
        </w:rPr>
        <w:t>RESUELVE:</w:t>
      </w:r>
    </w:p>
    <w:p w:rsidR="00BE37ED" w:rsidRPr="00B97C7C" w:rsidRDefault="00BE37ED" w:rsidP="00BE37ED">
      <w:pPr>
        <w:widowControl w:val="0"/>
        <w:autoSpaceDE w:val="0"/>
        <w:autoSpaceDN w:val="0"/>
        <w:adjustRightInd w:val="0"/>
        <w:jc w:val="both"/>
        <w:rPr>
          <w:rFonts w:ascii="Tahoma" w:hAnsi="Tahoma" w:cs="Tahoma"/>
          <w:sz w:val="22"/>
          <w:szCs w:val="22"/>
        </w:rPr>
      </w:pPr>
    </w:p>
    <w:p w:rsidR="00BE37ED" w:rsidRPr="00655916" w:rsidRDefault="00BE37ED" w:rsidP="00BE37ED">
      <w:pPr>
        <w:spacing w:line="276" w:lineRule="auto"/>
        <w:ind w:firstLine="708"/>
        <w:jc w:val="both"/>
        <w:rPr>
          <w:rFonts w:ascii="Tahoma" w:hAnsi="Tahoma" w:cs="Tahoma"/>
          <w:bCs/>
          <w:sz w:val="22"/>
          <w:szCs w:val="22"/>
        </w:rPr>
      </w:pPr>
      <w:r w:rsidRPr="00B97C7C">
        <w:rPr>
          <w:rFonts w:ascii="Tahoma" w:hAnsi="Tahoma" w:cs="Tahoma"/>
          <w:b/>
          <w:sz w:val="22"/>
          <w:szCs w:val="22"/>
          <w:u w:val="single"/>
        </w:rPr>
        <w:t>PRIMERO</w:t>
      </w:r>
      <w:r w:rsidRPr="00B97C7C">
        <w:rPr>
          <w:rFonts w:ascii="Tahoma" w:hAnsi="Tahoma" w:cs="Tahoma"/>
          <w:sz w:val="22"/>
          <w:szCs w:val="22"/>
        </w:rPr>
        <w:t xml:space="preserve">.- </w:t>
      </w:r>
      <w:r w:rsidR="00921A67" w:rsidRPr="00921A67">
        <w:rPr>
          <w:rFonts w:ascii="Tahoma" w:hAnsi="Tahoma" w:cs="Tahoma"/>
          <w:b/>
          <w:sz w:val="22"/>
          <w:szCs w:val="22"/>
        </w:rPr>
        <w:t>REVOCAR</w:t>
      </w:r>
      <w:r w:rsidR="00921A67" w:rsidRPr="00B97C7C">
        <w:rPr>
          <w:rFonts w:ascii="Tahoma" w:hAnsi="Tahoma" w:cs="Tahoma"/>
          <w:sz w:val="22"/>
          <w:szCs w:val="22"/>
        </w:rPr>
        <w:t xml:space="preserve"> </w:t>
      </w:r>
      <w:r w:rsidR="00C30C11">
        <w:rPr>
          <w:rFonts w:ascii="Tahoma" w:hAnsi="Tahoma" w:cs="Tahoma"/>
          <w:sz w:val="22"/>
          <w:szCs w:val="22"/>
        </w:rPr>
        <w:t xml:space="preserve">el ordinal quinto y </w:t>
      </w:r>
      <w:r w:rsidR="00C30C11" w:rsidRPr="00C30C11">
        <w:rPr>
          <w:rFonts w:ascii="Tahoma" w:hAnsi="Tahoma" w:cs="Tahoma"/>
          <w:b/>
          <w:sz w:val="22"/>
          <w:szCs w:val="22"/>
        </w:rPr>
        <w:t>MODIFICAR</w:t>
      </w:r>
      <w:r w:rsidR="00C30C11">
        <w:rPr>
          <w:rFonts w:ascii="Tahoma" w:hAnsi="Tahoma" w:cs="Tahoma"/>
          <w:sz w:val="22"/>
          <w:szCs w:val="22"/>
        </w:rPr>
        <w:t xml:space="preserve"> los ordinales sexto y séptimo </w:t>
      </w:r>
      <w:r w:rsidRPr="00B97C7C">
        <w:rPr>
          <w:rFonts w:ascii="Tahoma" w:hAnsi="Tahoma" w:cs="Tahoma"/>
          <w:sz w:val="22"/>
          <w:szCs w:val="22"/>
        </w:rPr>
        <w:t>de la</w:t>
      </w:r>
      <w:r w:rsidR="000A0745">
        <w:rPr>
          <w:rFonts w:ascii="Tahoma" w:hAnsi="Tahoma" w:cs="Tahoma"/>
          <w:sz w:val="22"/>
          <w:szCs w:val="22"/>
        </w:rPr>
        <w:t xml:space="preserve"> parte resolutiva de la </w:t>
      </w:r>
      <w:r w:rsidRPr="00B97C7C">
        <w:rPr>
          <w:rFonts w:ascii="Tahoma" w:hAnsi="Tahoma" w:cs="Tahoma"/>
          <w:sz w:val="22"/>
          <w:szCs w:val="22"/>
        </w:rPr>
        <w:t xml:space="preserve">sentencia proferida el </w:t>
      </w:r>
      <w:r w:rsidR="00C30C11">
        <w:rPr>
          <w:rFonts w:ascii="Tahoma" w:hAnsi="Tahoma" w:cs="Tahoma"/>
          <w:sz w:val="22"/>
          <w:szCs w:val="22"/>
        </w:rPr>
        <w:t>5</w:t>
      </w:r>
      <w:r>
        <w:rPr>
          <w:rFonts w:ascii="Tahoma" w:hAnsi="Tahoma" w:cs="Tahoma"/>
          <w:sz w:val="22"/>
          <w:szCs w:val="22"/>
        </w:rPr>
        <w:t xml:space="preserve"> de mayo de </w:t>
      </w:r>
      <w:r w:rsidRPr="00655916">
        <w:rPr>
          <w:rFonts w:ascii="Tahoma" w:hAnsi="Tahoma" w:cs="Tahoma"/>
          <w:sz w:val="22"/>
          <w:szCs w:val="22"/>
        </w:rPr>
        <w:t xml:space="preserve">2016 por el Juzgado </w:t>
      </w:r>
      <w:r w:rsidR="004E2E42">
        <w:rPr>
          <w:rFonts w:ascii="Tahoma" w:hAnsi="Tahoma" w:cs="Tahoma"/>
          <w:sz w:val="22"/>
          <w:szCs w:val="22"/>
        </w:rPr>
        <w:t xml:space="preserve">Tercero </w:t>
      </w:r>
      <w:r w:rsidRPr="00655916">
        <w:rPr>
          <w:rFonts w:ascii="Tahoma" w:hAnsi="Tahoma" w:cs="Tahoma"/>
          <w:sz w:val="22"/>
          <w:szCs w:val="22"/>
        </w:rPr>
        <w:t>Laboral del Circuito de Pereira, dentro del proceso ordinario laboral promovido por</w:t>
      </w:r>
      <w:r w:rsidRPr="00655916">
        <w:rPr>
          <w:rFonts w:ascii="Tahoma" w:hAnsi="Tahoma" w:cs="Tahoma"/>
          <w:b/>
          <w:sz w:val="22"/>
          <w:szCs w:val="22"/>
        </w:rPr>
        <w:t xml:space="preserve"> M</w:t>
      </w:r>
      <w:r w:rsidR="004E2E42">
        <w:rPr>
          <w:rFonts w:ascii="Tahoma" w:hAnsi="Tahoma" w:cs="Tahoma"/>
          <w:b/>
          <w:sz w:val="22"/>
          <w:szCs w:val="22"/>
        </w:rPr>
        <w:t xml:space="preserve">aría </w:t>
      </w:r>
      <w:proofErr w:type="spellStart"/>
      <w:r w:rsidR="004E2E42">
        <w:rPr>
          <w:rFonts w:ascii="Tahoma" w:hAnsi="Tahoma" w:cs="Tahoma"/>
          <w:b/>
          <w:sz w:val="22"/>
          <w:szCs w:val="22"/>
        </w:rPr>
        <w:t>Esneda</w:t>
      </w:r>
      <w:proofErr w:type="spellEnd"/>
      <w:r w:rsidR="004E2E42">
        <w:rPr>
          <w:rFonts w:ascii="Tahoma" w:hAnsi="Tahoma" w:cs="Tahoma"/>
          <w:b/>
          <w:sz w:val="22"/>
          <w:szCs w:val="22"/>
        </w:rPr>
        <w:t xml:space="preserve"> Bedoya </w:t>
      </w:r>
      <w:r w:rsidRPr="00655916">
        <w:rPr>
          <w:rFonts w:ascii="Tahoma" w:hAnsi="Tahoma" w:cs="Tahoma"/>
          <w:sz w:val="22"/>
          <w:szCs w:val="22"/>
          <w:lang w:val="es-ES_tradnl"/>
        </w:rPr>
        <w:t>en</w:t>
      </w:r>
      <w:r w:rsidRPr="00655916">
        <w:rPr>
          <w:rFonts w:ascii="Tahoma" w:hAnsi="Tahoma" w:cs="Tahoma"/>
          <w:b/>
          <w:sz w:val="22"/>
          <w:szCs w:val="22"/>
        </w:rPr>
        <w:t xml:space="preserve"> </w:t>
      </w:r>
      <w:r w:rsidRPr="00655916">
        <w:rPr>
          <w:rFonts w:ascii="Tahoma" w:hAnsi="Tahoma" w:cs="Tahoma"/>
          <w:sz w:val="22"/>
          <w:szCs w:val="22"/>
        </w:rPr>
        <w:t xml:space="preserve">contra de </w:t>
      </w:r>
      <w:r w:rsidRPr="00655916">
        <w:rPr>
          <w:rFonts w:ascii="Tahoma" w:hAnsi="Tahoma" w:cs="Tahoma"/>
          <w:b/>
          <w:sz w:val="22"/>
          <w:szCs w:val="22"/>
        </w:rPr>
        <w:t>Colpensiones</w:t>
      </w:r>
      <w:r w:rsidRPr="00655916">
        <w:rPr>
          <w:rFonts w:ascii="Tahoma" w:hAnsi="Tahoma" w:cs="Tahoma"/>
          <w:sz w:val="22"/>
          <w:szCs w:val="22"/>
        </w:rPr>
        <w:t xml:space="preserve">, en el sentido de que esa entidad debe reconocer la pensión de vejez a partir del 1º de </w:t>
      </w:r>
      <w:r w:rsidR="00C30C11">
        <w:rPr>
          <w:rFonts w:ascii="Tahoma" w:hAnsi="Tahoma" w:cs="Tahoma"/>
          <w:sz w:val="22"/>
          <w:szCs w:val="22"/>
        </w:rPr>
        <w:t>diciembre d</w:t>
      </w:r>
      <w:r w:rsidRPr="00655916">
        <w:rPr>
          <w:rFonts w:ascii="Tahoma" w:hAnsi="Tahoma" w:cs="Tahoma"/>
          <w:sz w:val="22"/>
          <w:szCs w:val="22"/>
        </w:rPr>
        <w:t>e 2014</w:t>
      </w:r>
      <w:r w:rsidR="00C30C11">
        <w:rPr>
          <w:rFonts w:ascii="Tahoma" w:hAnsi="Tahoma" w:cs="Tahoma"/>
          <w:sz w:val="22"/>
          <w:szCs w:val="22"/>
        </w:rPr>
        <w:t>;</w:t>
      </w:r>
      <w:r w:rsidRPr="00655916">
        <w:rPr>
          <w:rFonts w:ascii="Tahoma" w:hAnsi="Tahoma" w:cs="Tahoma"/>
          <w:sz w:val="22"/>
          <w:szCs w:val="22"/>
        </w:rPr>
        <w:t xml:space="preserve"> que el retroactivo causado desde dicha calenda hasta el 30 de abril de 2017 asciende a la suma de </w:t>
      </w:r>
      <w:r w:rsidR="00C30C11">
        <w:rPr>
          <w:rFonts w:ascii="Tahoma" w:hAnsi="Tahoma" w:cs="Tahoma"/>
          <w:sz w:val="22"/>
          <w:szCs w:val="22"/>
        </w:rPr>
        <w:t>$21.522.333</w:t>
      </w:r>
      <w:r w:rsidRPr="00655916">
        <w:rPr>
          <w:rFonts w:ascii="Tahoma" w:hAnsi="Tahoma" w:cs="Tahoma"/>
          <w:color w:val="000000"/>
          <w:sz w:val="22"/>
          <w:szCs w:val="22"/>
        </w:rPr>
        <w:t>, sin perjuicio de las mesadas que se causen con posterioridad y de los descuentos legales</w:t>
      </w:r>
      <w:r w:rsidR="00C30C11">
        <w:rPr>
          <w:rFonts w:ascii="Tahoma" w:hAnsi="Tahoma" w:cs="Tahoma"/>
          <w:color w:val="000000"/>
          <w:sz w:val="22"/>
          <w:szCs w:val="22"/>
        </w:rPr>
        <w:t>, y que los intereses moratorios consagrados en el artículo 141 de la Ley 100 de 1993 empiezan a correr desde el 1º de mayo de 2015</w:t>
      </w:r>
      <w:r w:rsidR="000A0745">
        <w:rPr>
          <w:rFonts w:ascii="Tahoma" w:hAnsi="Tahoma" w:cs="Tahoma"/>
          <w:color w:val="000000"/>
          <w:sz w:val="22"/>
          <w:szCs w:val="22"/>
        </w:rPr>
        <w:t>, hasta el pago efectivo de la obligación</w:t>
      </w:r>
      <w:r w:rsidR="00C30C11">
        <w:rPr>
          <w:rFonts w:ascii="Tahoma" w:hAnsi="Tahoma" w:cs="Tahoma"/>
          <w:color w:val="000000"/>
          <w:sz w:val="22"/>
          <w:szCs w:val="22"/>
        </w:rPr>
        <w:t>.</w:t>
      </w:r>
    </w:p>
    <w:p w:rsidR="00BE37ED" w:rsidRPr="00655916" w:rsidRDefault="00BE37ED" w:rsidP="00BE37ED">
      <w:pPr>
        <w:spacing w:line="276" w:lineRule="auto"/>
        <w:ind w:firstLine="708"/>
        <w:jc w:val="both"/>
        <w:rPr>
          <w:rFonts w:ascii="Tahoma" w:hAnsi="Tahoma" w:cs="Tahoma"/>
          <w:bCs/>
          <w:sz w:val="22"/>
          <w:szCs w:val="22"/>
        </w:rPr>
      </w:pPr>
    </w:p>
    <w:p w:rsidR="00BE37ED" w:rsidRPr="00655916" w:rsidRDefault="00BE37ED" w:rsidP="00BE37ED">
      <w:pPr>
        <w:spacing w:line="276" w:lineRule="auto"/>
        <w:ind w:firstLine="709"/>
        <w:jc w:val="both"/>
        <w:rPr>
          <w:rFonts w:ascii="Tahoma" w:hAnsi="Tahoma" w:cs="Tahoma"/>
          <w:sz w:val="22"/>
          <w:szCs w:val="22"/>
        </w:rPr>
      </w:pPr>
      <w:r w:rsidRPr="00655916">
        <w:rPr>
          <w:rFonts w:ascii="Tahoma" w:hAnsi="Tahoma" w:cs="Tahoma"/>
          <w:b/>
          <w:sz w:val="22"/>
          <w:szCs w:val="22"/>
          <w:u w:val="single"/>
        </w:rPr>
        <w:t>SEGUNDO</w:t>
      </w:r>
      <w:r w:rsidRPr="00655916">
        <w:rPr>
          <w:rFonts w:ascii="Tahoma" w:hAnsi="Tahoma" w:cs="Tahoma"/>
          <w:sz w:val="22"/>
          <w:szCs w:val="22"/>
        </w:rPr>
        <w:t>.- Confirmar en todo lo demás la sentencia de primera instancia.</w:t>
      </w:r>
    </w:p>
    <w:p w:rsidR="00BE37ED" w:rsidRPr="00655916" w:rsidRDefault="00BE37ED" w:rsidP="00BE37ED">
      <w:pPr>
        <w:spacing w:line="276" w:lineRule="auto"/>
        <w:ind w:firstLine="709"/>
        <w:jc w:val="both"/>
        <w:rPr>
          <w:rFonts w:ascii="Tahoma" w:hAnsi="Tahoma" w:cs="Tahoma"/>
          <w:sz w:val="22"/>
          <w:szCs w:val="22"/>
        </w:rPr>
      </w:pPr>
    </w:p>
    <w:p w:rsidR="00BE37ED" w:rsidRPr="00655916" w:rsidRDefault="00BE37ED" w:rsidP="00BE37ED">
      <w:pPr>
        <w:spacing w:line="276" w:lineRule="auto"/>
        <w:ind w:firstLine="709"/>
        <w:jc w:val="both"/>
        <w:rPr>
          <w:rFonts w:ascii="Tahoma" w:hAnsi="Tahoma" w:cs="Tahoma"/>
          <w:sz w:val="22"/>
          <w:szCs w:val="22"/>
        </w:rPr>
      </w:pPr>
      <w:r w:rsidRPr="00655916">
        <w:rPr>
          <w:rFonts w:ascii="Tahoma" w:hAnsi="Tahoma" w:cs="Tahoma"/>
          <w:b/>
          <w:sz w:val="22"/>
          <w:szCs w:val="22"/>
          <w:u w:val="single"/>
        </w:rPr>
        <w:t>TERCERO</w:t>
      </w:r>
      <w:r w:rsidRPr="00655916">
        <w:rPr>
          <w:rFonts w:ascii="Tahoma" w:hAnsi="Tahoma" w:cs="Tahoma"/>
          <w:b/>
          <w:sz w:val="22"/>
          <w:szCs w:val="22"/>
        </w:rPr>
        <w:t>.-</w:t>
      </w:r>
      <w:r w:rsidRPr="00655916">
        <w:rPr>
          <w:rFonts w:ascii="Tahoma" w:hAnsi="Tahoma" w:cs="Tahoma"/>
          <w:sz w:val="22"/>
          <w:szCs w:val="22"/>
        </w:rPr>
        <w:t xml:space="preserve"> </w:t>
      </w:r>
      <w:r w:rsidR="00AA2F5A">
        <w:rPr>
          <w:rFonts w:ascii="Tahoma" w:hAnsi="Tahoma" w:cs="Tahoma"/>
          <w:sz w:val="22"/>
          <w:szCs w:val="22"/>
        </w:rPr>
        <w:t>Sin costas en esta instancia</w:t>
      </w:r>
      <w:r w:rsidRPr="00655916">
        <w:rPr>
          <w:rFonts w:ascii="Tahoma" w:hAnsi="Tahoma" w:cs="Tahoma"/>
          <w:sz w:val="22"/>
          <w:szCs w:val="22"/>
        </w:rPr>
        <w:t>.</w:t>
      </w:r>
    </w:p>
    <w:p w:rsidR="00BE37ED" w:rsidRPr="00655916" w:rsidRDefault="00BE37ED" w:rsidP="00BE37ED">
      <w:pPr>
        <w:spacing w:line="276" w:lineRule="auto"/>
        <w:ind w:firstLine="709"/>
        <w:jc w:val="both"/>
        <w:rPr>
          <w:rFonts w:ascii="Tahoma" w:hAnsi="Tahoma" w:cs="Tahoma"/>
          <w:sz w:val="22"/>
          <w:szCs w:val="22"/>
        </w:rPr>
      </w:pPr>
    </w:p>
    <w:p w:rsidR="00BE37ED" w:rsidRPr="00655916" w:rsidRDefault="00BE37ED" w:rsidP="00BE37ED">
      <w:pPr>
        <w:widowControl w:val="0"/>
        <w:autoSpaceDE w:val="0"/>
        <w:autoSpaceDN w:val="0"/>
        <w:adjustRightInd w:val="0"/>
        <w:spacing w:line="276" w:lineRule="auto"/>
        <w:jc w:val="both"/>
        <w:rPr>
          <w:rFonts w:ascii="Tahoma" w:hAnsi="Tahoma" w:cs="Tahoma"/>
          <w:b/>
          <w:bCs/>
          <w:sz w:val="22"/>
          <w:szCs w:val="22"/>
        </w:rPr>
      </w:pPr>
      <w:r w:rsidRPr="00655916">
        <w:rPr>
          <w:rFonts w:ascii="Tahoma" w:hAnsi="Tahoma" w:cs="Tahoma"/>
          <w:sz w:val="22"/>
          <w:szCs w:val="22"/>
        </w:rPr>
        <w:tab/>
      </w:r>
      <w:r w:rsidRPr="00655916">
        <w:rPr>
          <w:rFonts w:ascii="Tahoma" w:hAnsi="Tahoma" w:cs="Tahoma"/>
          <w:b/>
          <w:bCs/>
          <w:sz w:val="22"/>
          <w:szCs w:val="22"/>
        </w:rPr>
        <w:t>Notificación surtida en estrados.</w:t>
      </w:r>
    </w:p>
    <w:p w:rsidR="00BE37ED" w:rsidRPr="00655916" w:rsidRDefault="00BE37ED" w:rsidP="00BE37ED">
      <w:pPr>
        <w:widowControl w:val="0"/>
        <w:autoSpaceDE w:val="0"/>
        <w:autoSpaceDN w:val="0"/>
        <w:adjustRightInd w:val="0"/>
        <w:jc w:val="both"/>
        <w:rPr>
          <w:rFonts w:ascii="Tahoma" w:hAnsi="Tahoma" w:cs="Tahoma"/>
          <w:b/>
          <w:bCs/>
          <w:sz w:val="22"/>
          <w:szCs w:val="22"/>
        </w:rPr>
      </w:pPr>
    </w:p>
    <w:p w:rsidR="00BE37ED" w:rsidRPr="00655916" w:rsidRDefault="00BE37ED" w:rsidP="00BE37ED">
      <w:pPr>
        <w:widowControl w:val="0"/>
        <w:autoSpaceDE w:val="0"/>
        <w:autoSpaceDN w:val="0"/>
        <w:adjustRightInd w:val="0"/>
        <w:spacing w:line="276" w:lineRule="auto"/>
        <w:ind w:firstLine="708"/>
        <w:jc w:val="both"/>
        <w:rPr>
          <w:rFonts w:ascii="Tahoma" w:hAnsi="Tahoma" w:cs="Tahoma"/>
          <w:sz w:val="22"/>
          <w:szCs w:val="22"/>
        </w:rPr>
      </w:pPr>
      <w:r w:rsidRPr="00655916">
        <w:rPr>
          <w:rFonts w:ascii="Tahoma" w:hAnsi="Tahoma" w:cs="Tahoma"/>
          <w:b/>
          <w:sz w:val="22"/>
          <w:szCs w:val="22"/>
        </w:rPr>
        <w:t>Cúmplase</w:t>
      </w:r>
      <w:r w:rsidRPr="00655916">
        <w:rPr>
          <w:rFonts w:ascii="Tahoma" w:hAnsi="Tahoma" w:cs="Tahoma"/>
          <w:sz w:val="22"/>
          <w:szCs w:val="22"/>
        </w:rPr>
        <w:t xml:space="preserve"> y </w:t>
      </w:r>
      <w:r w:rsidRPr="00655916">
        <w:rPr>
          <w:rFonts w:ascii="Tahoma" w:hAnsi="Tahoma" w:cs="Tahoma"/>
          <w:b/>
          <w:sz w:val="22"/>
          <w:szCs w:val="22"/>
        </w:rPr>
        <w:t>devuélvase</w:t>
      </w:r>
      <w:r w:rsidRPr="00655916">
        <w:rPr>
          <w:rFonts w:ascii="Tahoma" w:hAnsi="Tahoma" w:cs="Tahoma"/>
          <w:sz w:val="22"/>
          <w:szCs w:val="22"/>
        </w:rPr>
        <w:t xml:space="preserve"> el expediente al Juzgado de origen.</w:t>
      </w:r>
    </w:p>
    <w:p w:rsidR="00BE37ED" w:rsidRPr="00B97C7C" w:rsidRDefault="00BE37ED" w:rsidP="00BE37ED">
      <w:pPr>
        <w:widowControl w:val="0"/>
        <w:autoSpaceDE w:val="0"/>
        <w:autoSpaceDN w:val="0"/>
        <w:adjustRightInd w:val="0"/>
        <w:spacing w:line="276" w:lineRule="auto"/>
        <w:ind w:firstLine="708"/>
        <w:jc w:val="both"/>
        <w:rPr>
          <w:rFonts w:ascii="Tahoma" w:hAnsi="Tahoma" w:cs="Tahoma"/>
          <w:sz w:val="22"/>
          <w:szCs w:val="22"/>
        </w:rPr>
      </w:pPr>
    </w:p>
    <w:p w:rsidR="00BE37ED" w:rsidRPr="00B97C7C" w:rsidRDefault="00BE37ED" w:rsidP="00BE37ED">
      <w:pPr>
        <w:spacing w:line="276" w:lineRule="auto"/>
        <w:ind w:firstLine="708"/>
        <w:jc w:val="both"/>
        <w:rPr>
          <w:rFonts w:ascii="Tahoma" w:hAnsi="Tahoma" w:cs="Tahoma"/>
          <w:sz w:val="22"/>
          <w:szCs w:val="22"/>
        </w:rPr>
      </w:pPr>
      <w:r w:rsidRPr="00B97C7C">
        <w:rPr>
          <w:rFonts w:ascii="Tahoma" w:hAnsi="Tahoma" w:cs="Tahoma"/>
          <w:sz w:val="22"/>
          <w:szCs w:val="22"/>
        </w:rPr>
        <w:t>La Magistrada,</w:t>
      </w:r>
    </w:p>
    <w:p w:rsidR="00BE37ED" w:rsidRPr="007834F9" w:rsidRDefault="00BE37ED" w:rsidP="00BE37ED">
      <w:pPr>
        <w:tabs>
          <w:tab w:val="left" w:pos="3519"/>
        </w:tabs>
        <w:spacing w:line="276" w:lineRule="auto"/>
        <w:rPr>
          <w:rFonts w:ascii="Tahoma" w:hAnsi="Tahoma" w:cs="Tahoma"/>
          <w:sz w:val="22"/>
          <w:szCs w:val="22"/>
        </w:rPr>
      </w:pPr>
      <w:r>
        <w:rPr>
          <w:rFonts w:ascii="Tahoma" w:hAnsi="Tahoma" w:cs="Tahoma"/>
          <w:sz w:val="22"/>
          <w:szCs w:val="22"/>
        </w:rPr>
        <w:tab/>
      </w:r>
    </w:p>
    <w:p w:rsidR="00BE37ED" w:rsidRPr="007834F9" w:rsidRDefault="00BE37ED" w:rsidP="00BE37ED">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BE37ED" w:rsidRDefault="00BE37ED" w:rsidP="00BE37ED">
      <w:pPr>
        <w:spacing w:line="276" w:lineRule="auto"/>
        <w:ind w:firstLine="708"/>
        <w:jc w:val="both"/>
        <w:rPr>
          <w:rFonts w:ascii="Tahoma" w:hAnsi="Tahoma" w:cs="Tahoma"/>
          <w:sz w:val="22"/>
          <w:szCs w:val="22"/>
        </w:rPr>
      </w:pPr>
    </w:p>
    <w:p w:rsidR="00BE37ED" w:rsidRPr="007834F9" w:rsidRDefault="00BE37ED" w:rsidP="00BE37ED">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BE37ED" w:rsidRPr="007834F9" w:rsidRDefault="00BE37ED" w:rsidP="00BE37ED">
      <w:pPr>
        <w:spacing w:line="276" w:lineRule="auto"/>
        <w:rPr>
          <w:rFonts w:ascii="Tahoma" w:hAnsi="Tahoma" w:cs="Tahoma"/>
          <w:b/>
          <w:sz w:val="22"/>
          <w:szCs w:val="22"/>
        </w:rPr>
      </w:pPr>
    </w:p>
    <w:p w:rsidR="00BE37ED" w:rsidRPr="007834F9" w:rsidRDefault="00BE37ED" w:rsidP="00BE37ED">
      <w:pPr>
        <w:spacing w:line="276" w:lineRule="auto"/>
        <w:rPr>
          <w:rFonts w:ascii="Tahoma" w:hAnsi="Tahoma" w:cs="Tahoma"/>
          <w:b/>
          <w:sz w:val="22"/>
          <w:szCs w:val="22"/>
        </w:rPr>
      </w:pPr>
    </w:p>
    <w:p w:rsidR="00BE37ED" w:rsidRPr="007834F9" w:rsidRDefault="00BE37ED" w:rsidP="00BE37ED">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BE37ED" w:rsidRDefault="00BE37ED" w:rsidP="00BE37ED"/>
    <w:p w:rsidR="007A467B" w:rsidRDefault="007A467B" w:rsidP="00BE37ED"/>
    <w:p w:rsidR="00BE37ED" w:rsidRDefault="00BE37ED" w:rsidP="00BE37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
        <w:gridCol w:w="859"/>
        <w:gridCol w:w="839"/>
        <w:gridCol w:w="1627"/>
        <w:gridCol w:w="1812"/>
      </w:tblGrid>
      <w:tr w:rsidR="00C30C11" w:rsidRPr="00C30C11" w:rsidTr="00C30C11">
        <w:trPr>
          <w:trHeight w:val="20"/>
          <w:jc w:val="center"/>
        </w:trPr>
        <w:tc>
          <w:tcPr>
            <w:tcW w:w="0" w:type="auto"/>
            <w:shd w:val="clear" w:color="000000" w:fill="FFFF99"/>
            <w:vAlign w:val="center"/>
            <w:hideMark/>
          </w:tcPr>
          <w:p w:rsidR="00C30C11" w:rsidRPr="00C30C11" w:rsidRDefault="00C30C11" w:rsidP="00C30C11">
            <w:pPr>
              <w:jc w:val="center"/>
              <w:rPr>
                <w:rFonts w:asciiTheme="minorHAnsi" w:hAnsiTheme="minorHAnsi"/>
                <w:b/>
                <w:bCs/>
                <w:color w:val="000000"/>
                <w:sz w:val="18"/>
                <w:szCs w:val="18"/>
              </w:rPr>
            </w:pPr>
            <w:r w:rsidRPr="00C30C11">
              <w:rPr>
                <w:rFonts w:asciiTheme="minorHAnsi" w:hAnsiTheme="minorHAnsi"/>
                <w:b/>
                <w:bCs/>
                <w:color w:val="000000"/>
                <w:sz w:val="18"/>
                <w:szCs w:val="18"/>
              </w:rPr>
              <w:t>Desde</w:t>
            </w:r>
          </w:p>
        </w:tc>
        <w:tc>
          <w:tcPr>
            <w:tcW w:w="0" w:type="auto"/>
            <w:shd w:val="clear" w:color="000000" w:fill="FFFF99"/>
            <w:vAlign w:val="center"/>
            <w:hideMark/>
          </w:tcPr>
          <w:p w:rsidR="00C30C11" w:rsidRPr="00C30C11" w:rsidRDefault="00C30C11" w:rsidP="00C30C11">
            <w:pPr>
              <w:jc w:val="center"/>
              <w:rPr>
                <w:rFonts w:asciiTheme="minorHAnsi" w:hAnsiTheme="minorHAnsi"/>
                <w:b/>
                <w:bCs/>
                <w:color w:val="000000"/>
                <w:sz w:val="18"/>
                <w:szCs w:val="18"/>
              </w:rPr>
            </w:pPr>
            <w:r w:rsidRPr="00C30C11">
              <w:rPr>
                <w:rFonts w:asciiTheme="minorHAnsi" w:hAnsiTheme="minorHAnsi"/>
                <w:b/>
                <w:bCs/>
                <w:color w:val="000000"/>
                <w:sz w:val="18"/>
                <w:szCs w:val="18"/>
              </w:rPr>
              <w:t>Hasta</w:t>
            </w:r>
          </w:p>
        </w:tc>
        <w:tc>
          <w:tcPr>
            <w:tcW w:w="0" w:type="auto"/>
            <w:shd w:val="clear" w:color="000000" w:fill="FFFF99"/>
            <w:vAlign w:val="center"/>
            <w:hideMark/>
          </w:tcPr>
          <w:p w:rsidR="00C30C11" w:rsidRPr="00C30C11" w:rsidRDefault="00C30C11" w:rsidP="00C30C11">
            <w:pPr>
              <w:jc w:val="center"/>
              <w:rPr>
                <w:rFonts w:asciiTheme="minorHAnsi" w:hAnsiTheme="minorHAnsi"/>
                <w:b/>
                <w:bCs/>
                <w:color w:val="000000"/>
                <w:sz w:val="18"/>
                <w:szCs w:val="18"/>
              </w:rPr>
            </w:pPr>
            <w:r w:rsidRPr="00C30C11">
              <w:rPr>
                <w:rFonts w:asciiTheme="minorHAnsi" w:hAnsiTheme="minorHAnsi"/>
                <w:b/>
                <w:bCs/>
                <w:color w:val="000000"/>
                <w:sz w:val="18"/>
                <w:szCs w:val="18"/>
              </w:rPr>
              <w:t>Causadas</w:t>
            </w:r>
          </w:p>
        </w:tc>
        <w:tc>
          <w:tcPr>
            <w:tcW w:w="0" w:type="auto"/>
            <w:shd w:val="clear" w:color="000000" w:fill="FFFF99"/>
            <w:vAlign w:val="center"/>
            <w:hideMark/>
          </w:tcPr>
          <w:p w:rsidR="00C30C11" w:rsidRPr="00C30C11" w:rsidRDefault="00C30C11" w:rsidP="00C30C11">
            <w:pPr>
              <w:jc w:val="center"/>
              <w:rPr>
                <w:rFonts w:asciiTheme="minorHAnsi" w:hAnsiTheme="minorHAnsi"/>
                <w:b/>
                <w:bCs/>
                <w:color w:val="000000"/>
                <w:sz w:val="18"/>
                <w:szCs w:val="18"/>
              </w:rPr>
            </w:pPr>
            <w:r w:rsidRPr="00C30C11">
              <w:rPr>
                <w:rFonts w:asciiTheme="minorHAnsi" w:hAnsiTheme="minorHAnsi"/>
                <w:b/>
                <w:bCs/>
                <w:color w:val="000000"/>
                <w:sz w:val="18"/>
                <w:szCs w:val="18"/>
              </w:rPr>
              <w:t xml:space="preserve">Mesada </w:t>
            </w:r>
            <w:proofErr w:type="spellStart"/>
            <w:r w:rsidRPr="00C30C11">
              <w:rPr>
                <w:rFonts w:asciiTheme="minorHAnsi" w:hAnsiTheme="minorHAnsi"/>
                <w:b/>
                <w:bCs/>
                <w:color w:val="000000"/>
                <w:sz w:val="18"/>
                <w:szCs w:val="18"/>
              </w:rPr>
              <w:t>reliquidada</w:t>
            </w:r>
            <w:proofErr w:type="spellEnd"/>
          </w:p>
        </w:tc>
        <w:tc>
          <w:tcPr>
            <w:tcW w:w="0" w:type="auto"/>
            <w:shd w:val="clear" w:color="000000" w:fill="FFFF99"/>
            <w:vAlign w:val="center"/>
            <w:hideMark/>
          </w:tcPr>
          <w:p w:rsidR="00C30C11" w:rsidRPr="00C30C11" w:rsidRDefault="00C30C11" w:rsidP="00C30C11">
            <w:pPr>
              <w:jc w:val="center"/>
              <w:rPr>
                <w:rFonts w:asciiTheme="minorHAnsi" w:hAnsiTheme="minorHAnsi"/>
                <w:b/>
                <w:bCs/>
                <w:color w:val="000000"/>
                <w:sz w:val="18"/>
                <w:szCs w:val="18"/>
              </w:rPr>
            </w:pPr>
            <w:r w:rsidRPr="00C30C11">
              <w:rPr>
                <w:rFonts w:asciiTheme="minorHAnsi" w:hAnsiTheme="minorHAnsi"/>
                <w:b/>
                <w:bCs/>
                <w:color w:val="000000"/>
                <w:sz w:val="18"/>
                <w:szCs w:val="18"/>
              </w:rPr>
              <w:t xml:space="preserve"> Diferencias a cancelar </w:t>
            </w:r>
          </w:p>
        </w:tc>
      </w:tr>
      <w:tr w:rsidR="00C30C11" w:rsidRPr="00C30C11" w:rsidTr="00C30C11">
        <w:trPr>
          <w:trHeight w:val="20"/>
          <w:jc w:val="center"/>
        </w:trPr>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01-dic-14</w:t>
            </w:r>
          </w:p>
        </w:tc>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31-dic-14</w:t>
            </w:r>
          </w:p>
        </w:tc>
        <w:tc>
          <w:tcPr>
            <w:tcW w:w="0" w:type="auto"/>
            <w:shd w:val="clear" w:color="000000" w:fill="FFFFCC"/>
            <w:noWrap/>
            <w:vAlign w:val="bottom"/>
            <w:hideMark/>
          </w:tcPr>
          <w:p w:rsidR="00C30C11" w:rsidRPr="00C30C11" w:rsidRDefault="00C30C11" w:rsidP="00C30C11">
            <w:pPr>
              <w:jc w:val="center"/>
              <w:rPr>
                <w:rFonts w:asciiTheme="minorHAnsi" w:hAnsiTheme="minorHAnsi"/>
                <w:sz w:val="18"/>
                <w:szCs w:val="18"/>
              </w:rPr>
            </w:pPr>
            <w:r w:rsidRPr="00C30C11">
              <w:rPr>
                <w:rFonts w:asciiTheme="minorHAnsi" w:hAnsiTheme="minorHAnsi"/>
                <w:sz w:val="18"/>
                <w:szCs w:val="18"/>
              </w:rPr>
              <w:t>2,00</w:t>
            </w:r>
          </w:p>
        </w:tc>
        <w:tc>
          <w:tcPr>
            <w:tcW w:w="0" w:type="auto"/>
            <w:shd w:val="clear" w:color="000000" w:fill="FFFFCC"/>
            <w:vAlign w:val="bottom"/>
            <w:hideMark/>
          </w:tcPr>
          <w:p w:rsidR="00C30C11" w:rsidRPr="00C30C11" w:rsidRDefault="00C30C11" w:rsidP="00C30C11">
            <w:pPr>
              <w:rPr>
                <w:rFonts w:asciiTheme="minorHAnsi" w:hAnsiTheme="minorHAnsi"/>
                <w:sz w:val="18"/>
                <w:szCs w:val="18"/>
              </w:rPr>
            </w:pPr>
            <w:r w:rsidRPr="00C30C11">
              <w:rPr>
                <w:rFonts w:asciiTheme="minorHAnsi" w:hAnsiTheme="minorHAnsi"/>
                <w:sz w:val="18"/>
                <w:szCs w:val="18"/>
              </w:rPr>
              <w:t xml:space="preserve">        616.000 </w:t>
            </w:r>
          </w:p>
        </w:tc>
        <w:tc>
          <w:tcPr>
            <w:tcW w:w="0" w:type="auto"/>
            <w:shd w:val="clear" w:color="000000" w:fill="FFFFCC"/>
            <w:noWrap/>
            <w:vAlign w:val="center"/>
            <w:hideMark/>
          </w:tcPr>
          <w:p w:rsidR="00C30C11" w:rsidRPr="00C30C11" w:rsidRDefault="00C30C11" w:rsidP="00C30C11">
            <w:pPr>
              <w:rPr>
                <w:rFonts w:asciiTheme="minorHAnsi" w:hAnsiTheme="minorHAnsi"/>
                <w:color w:val="000000"/>
                <w:sz w:val="18"/>
                <w:szCs w:val="18"/>
              </w:rPr>
            </w:pPr>
            <w:r w:rsidRPr="00C30C11">
              <w:rPr>
                <w:rFonts w:asciiTheme="minorHAnsi" w:hAnsiTheme="minorHAnsi"/>
                <w:color w:val="000000"/>
                <w:sz w:val="18"/>
                <w:szCs w:val="18"/>
              </w:rPr>
              <w:t xml:space="preserve">        1.232.000 </w:t>
            </w:r>
          </w:p>
        </w:tc>
      </w:tr>
      <w:tr w:rsidR="00C30C11" w:rsidRPr="00C30C11" w:rsidTr="00C30C11">
        <w:trPr>
          <w:trHeight w:val="20"/>
          <w:jc w:val="center"/>
        </w:trPr>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01-ene-15</w:t>
            </w:r>
          </w:p>
        </w:tc>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31-dic-15</w:t>
            </w:r>
          </w:p>
        </w:tc>
        <w:tc>
          <w:tcPr>
            <w:tcW w:w="0" w:type="auto"/>
            <w:shd w:val="clear" w:color="000000" w:fill="FFFFCC"/>
            <w:noWrap/>
            <w:vAlign w:val="bottom"/>
            <w:hideMark/>
          </w:tcPr>
          <w:p w:rsidR="00C30C11" w:rsidRPr="00C30C11" w:rsidRDefault="00C30C11" w:rsidP="00C30C11">
            <w:pPr>
              <w:jc w:val="center"/>
              <w:rPr>
                <w:rFonts w:asciiTheme="minorHAnsi" w:hAnsiTheme="minorHAnsi"/>
                <w:sz w:val="18"/>
                <w:szCs w:val="18"/>
              </w:rPr>
            </w:pPr>
            <w:r w:rsidRPr="00C30C11">
              <w:rPr>
                <w:rFonts w:asciiTheme="minorHAnsi" w:hAnsiTheme="minorHAnsi"/>
                <w:sz w:val="18"/>
                <w:szCs w:val="18"/>
              </w:rPr>
              <w:t>13,00</w:t>
            </w:r>
          </w:p>
        </w:tc>
        <w:tc>
          <w:tcPr>
            <w:tcW w:w="0" w:type="auto"/>
            <w:shd w:val="clear" w:color="000000" w:fill="FFFFCC"/>
            <w:vAlign w:val="bottom"/>
            <w:hideMark/>
          </w:tcPr>
          <w:p w:rsidR="00C30C11" w:rsidRPr="00C30C11" w:rsidRDefault="00C30C11" w:rsidP="00C30C11">
            <w:pPr>
              <w:rPr>
                <w:rFonts w:asciiTheme="minorHAnsi" w:hAnsiTheme="minorHAnsi"/>
                <w:sz w:val="18"/>
                <w:szCs w:val="18"/>
              </w:rPr>
            </w:pPr>
            <w:r w:rsidRPr="00C30C11">
              <w:rPr>
                <w:rFonts w:asciiTheme="minorHAnsi" w:hAnsiTheme="minorHAnsi"/>
                <w:sz w:val="18"/>
                <w:szCs w:val="18"/>
              </w:rPr>
              <w:t xml:space="preserve">        644.350 </w:t>
            </w:r>
          </w:p>
        </w:tc>
        <w:tc>
          <w:tcPr>
            <w:tcW w:w="0" w:type="auto"/>
            <w:shd w:val="clear" w:color="000000" w:fill="FFFFCC"/>
            <w:noWrap/>
            <w:vAlign w:val="center"/>
            <w:hideMark/>
          </w:tcPr>
          <w:p w:rsidR="00C30C11" w:rsidRPr="00C30C11" w:rsidRDefault="00C30C11" w:rsidP="00C30C11">
            <w:pPr>
              <w:rPr>
                <w:rFonts w:asciiTheme="minorHAnsi" w:hAnsiTheme="minorHAnsi"/>
                <w:color w:val="000000"/>
                <w:sz w:val="18"/>
                <w:szCs w:val="18"/>
              </w:rPr>
            </w:pPr>
            <w:r w:rsidRPr="00C30C11">
              <w:rPr>
                <w:rFonts w:asciiTheme="minorHAnsi" w:hAnsiTheme="minorHAnsi"/>
                <w:color w:val="000000"/>
                <w:sz w:val="18"/>
                <w:szCs w:val="18"/>
              </w:rPr>
              <w:t xml:space="preserve">        8.376.550 </w:t>
            </w:r>
          </w:p>
        </w:tc>
      </w:tr>
      <w:tr w:rsidR="00C30C11" w:rsidRPr="00C30C11" w:rsidTr="00C30C11">
        <w:trPr>
          <w:trHeight w:val="20"/>
          <w:jc w:val="center"/>
        </w:trPr>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01-ene-16</w:t>
            </w:r>
          </w:p>
        </w:tc>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31-dic-16</w:t>
            </w:r>
          </w:p>
        </w:tc>
        <w:tc>
          <w:tcPr>
            <w:tcW w:w="0" w:type="auto"/>
            <w:shd w:val="clear" w:color="000000" w:fill="FFFFCC"/>
            <w:noWrap/>
            <w:vAlign w:val="bottom"/>
            <w:hideMark/>
          </w:tcPr>
          <w:p w:rsidR="00C30C11" w:rsidRPr="00C30C11" w:rsidRDefault="00C30C11" w:rsidP="00C30C11">
            <w:pPr>
              <w:jc w:val="center"/>
              <w:rPr>
                <w:rFonts w:asciiTheme="minorHAnsi" w:hAnsiTheme="minorHAnsi"/>
                <w:sz w:val="18"/>
                <w:szCs w:val="18"/>
              </w:rPr>
            </w:pPr>
            <w:r w:rsidRPr="00C30C11">
              <w:rPr>
                <w:rFonts w:asciiTheme="minorHAnsi" w:hAnsiTheme="minorHAnsi"/>
                <w:sz w:val="18"/>
                <w:szCs w:val="18"/>
              </w:rPr>
              <w:t>13,00</w:t>
            </w:r>
          </w:p>
        </w:tc>
        <w:tc>
          <w:tcPr>
            <w:tcW w:w="0" w:type="auto"/>
            <w:shd w:val="clear" w:color="000000" w:fill="FFFFCC"/>
            <w:vAlign w:val="bottom"/>
            <w:hideMark/>
          </w:tcPr>
          <w:p w:rsidR="00C30C11" w:rsidRPr="00C30C11" w:rsidRDefault="00C30C11" w:rsidP="00C30C11">
            <w:pPr>
              <w:rPr>
                <w:rFonts w:asciiTheme="minorHAnsi" w:hAnsiTheme="minorHAnsi"/>
                <w:sz w:val="18"/>
                <w:szCs w:val="18"/>
              </w:rPr>
            </w:pPr>
            <w:r w:rsidRPr="00C30C11">
              <w:rPr>
                <w:rFonts w:asciiTheme="minorHAnsi" w:hAnsiTheme="minorHAnsi"/>
                <w:sz w:val="18"/>
                <w:szCs w:val="18"/>
              </w:rPr>
              <w:t xml:space="preserve">        689.455 </w:t>
            </w:r>
          </w:p>
        </w:tc>
        <w:tc>
          <w:tcPr>
            <w:tcW w:w="0" w:type="auto"/>
            <w:shd w:val="clear" w:color="000000" w:fill="FFFFCC"/>
            <w:noWrap/>
            <w:vAlign w:val="center"/>
            <w:hideMark/>
          </w:tcPr>
          <w:p w:rsidR="00C30C11" w:rsidRPr="00C30C11" w:rsidRDefault="00C30C11" w:rsidP="00C30C11">
            <w:pPr>
              <w:rPr>
                <w:rFonts w:asciiTheme="minorHAnsi" w:hAnsiTheme="minorHAnsi"/>
                <w:color w:val="000000"/>
                <w:sz w:val="18"/>
                <w:szCs w:val="18"/>
              </w:rPr>
            </w:pPr>
            <w:r w:rsidRPr="00C30C11">
              <w:rPr>
                <w:rFonts w:asciiTheme="minorHAnsi" w:hAnsiTheme="minorHAnsi"/>
                <w:color w:val="000000"/>
                <w:sz w:val="18"/>
                <w:szCs w:val="18"/>
              </w:rPr>
              <w:t xml:space="preserve">        8.962.915 </w:t>
            </w:r>
          </w:p>
        </w:tc>
      </w:tr>
      <w:tr w:rsidR="00C30C11" w:rsidRPr="00C30C11" w:rsidTr="00C30C11">
        <w:trPr>
          <w:trHeight w:val="20"/>
          <w:jc w:val="center"/>
        </w:trPr>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01-ene-17</w:t>
            </w:r>
          </w:p>
        </w:tc>
        <w:tc>
          <w:tcPr>
            <w:tcW w:w="0" w:type="auto"/>
            <w:shd w:val="clear" w:color="auto" w:fill="auto"/>
            <w:noWrap/>
            <w:vAlign w:val="center"/>
            <w:hideMark/>
          </w:tcPr>
          <w:p w:rsidR="00C30C11" w:rsidRPr="00C30C11" w:rsidRDefault="00C30C11" w:rsidP="00C30C11">
            <w:pPr>
              <w:jc w:val="right"/>
              <w:rPr>
                <w:rFonts w:asciiTheme="minorHAnsi" w:hAnsiTheme="minorHAnsi"/>
                <w:color w:val="000000"/>
                <w:sz w:val="18"/>
                <w:szCs w:val="18"/>
              </w:rPr>
            </w:pPr>
            <w:r w:rsidRPr="00C30C11">
              <w:rPr>
                <w:rFonts w:asciiTheme="minorHAnsi" w:hAnsiTheme="minorHAnsi"/>
                <w:color w:val="000000"/>
                <w:sz w:val="18"/>
                <w:szCs w:val="18"/>
              </w:rPr>
              <w:t>30-abr-17</w:t>
            </w:r>
          </w:p>
        </w:tc>
        <w:tc>
          <w:tcPr>
            <w:tcW w:w="0" w:type="auto"/>
            <w:shd w:val="clear" w:color="000000" w:fill="FFFFCC"/>
            <w:noWrap/>
            <w:vAlign w:val="bottom"/>
            <w:hideMark/>
          </w:tcPr>
          <w:p w:rsidR="00C30C11" w:rsidRPr="00C30C11" w:rsidRDefault="00C30C11" w:rsidP="00C30C11">
            <w:pPr>
              <w:jc w:val="center"/>
              <w:rPr>
                <w:rFonts w:asciiTheme="minorHAnsi" w:hAnsiTheme="minorHAnsi"/>
                <w:sz w:val="18"/>
                <w:szCs w:val="18"/>
              </w:rPr>
            </w:pPr>
            <w:r w:rsidRPr="00C30C11">
              <w:rPr>
                <w:rFonts w:asciiTheme="minorHAnsi" w:hAnsiTheme="minorHAnsi"/>
                <w:sz w:val="18"/>
                <w:szCs w:val="18"/>
              </w:rPr>
              <w:t>4,00</w:t>
            </w:r>
          </w:p>
        </w:tc>
        <w:tc>
          <w:tcPr>
            <w:tcW w:w="0" w:type="auto"/>
            <w:shd w:val="clear" w:color="000000" w:fill="FFFFCC"/>
            <w:vAlign w:val="bottom"/>
            <w:hideMark/>
          </w:tcPr>
          <w:p w:rsidR="00C30C11" w:rsidRPr="00C30C11" w:rsidRDefault="00C30C11" w:rsidP="00C30C11">
            <w:pPr>
              <w:rPr>
                <w:rFonts w:asciiTheme="minorHAnsi" w:hAnsiTheme="minorHAnsi"/>
                <w:sz w:val="18"/>
                <w:szCs w:val="18"/>
              </w:rPr>
            </w:pPr>
            <w:r w:rsidRPr="00C30C11">
              <w:rPr>
                <w:rFonts w:asciiTheme="minorHAnsi" w:hAnsiTheme="minorHAnsi"/>
                <w:sz w:val="18"/>
                <w:szCs w:val="18"/>
              </w:rPr>
              <w:t xml:space="preserve">        737.717 </w:t>
            </w:r>
          </w:p>
        </w:tc>
        <w:tc>
          <w:tcPr>
            <w:tcW w:w="0" w:type="auto"/>
            <w:shd w:val="clear" w:color="000000" w:fill="FFFFCC"/>
            <w:noWrap/>
            <w:vAlign w:val="center"/>
            <w:hideMark/>
          </w:tcPr>
          <w:p w:rsidR="00C30C11" w:rsidRPr="00C30C11" w:rsidRDefault="00C30C11" w:rsidP="00C30C11">
            <w:pPr>
              <w:rPr>
                <w:rFonts w:asciiTheme="minorHAnsi" w:hAnsiTheme="minorHAnsi"/>
                <w:color w:val="000000"/>
                <w:sz w:val="18"/>
                <w:szCs w:val="18"/>
              </w:rPr>
            </w:pPr>
            <w:r w:rsidRPr="00C30C11">
              <w:rPr>
                <w:rFonts w:asciiTheme="minorHAnsi" w:hAnsiTheme="minorHAnsi"/>
                <w:color w:val="000000"/>
                <w:sz w:val="18"/>
                <w:szCs w:val="18"/>
              </w:rPr>
              <w:t xml:space="preserve">        2.950.868 </w:t>
            </w:r>
          </w:p>
        </w:tc>
      </w:tr>
      <w:tr w:rsidR="00C30C11" w:rsidRPr="00C30C11" w:rsidTr="00C30C11">
        <w:trPr>
          <w:trHeight w:val="20"/>
          <w:jc w:val="center"/>
        </w:trPr>
        <w:tc>
          <w:tcPr>
            <w:tcW w:w="0" w:type="auto"/>
            <w:gridSpan w:val="4"/>
            <w:shd w:val="clear" w:color="000000" w:fill="FFFFCC"/>
            <w:vAlign w:val="bottom"/>
            <w:hideMark/>
          </w:tcPr>
          <w:p w:rsidR="00C30C11" w:rsidRPr="00C30C11" w:rsidRDefault="00C30C11" w:rsidP="00C30C11">
            <w:pPr>
              <w:jc w:val="center"/>
              <w:rPr>
                <w:rFonts w:asciiTheme="minorHAnsi" w:hAnsiTheme="minorHAnsi"/>
                <w:sz w:val="18"/>
                <w:szCs w:val="18"/>
              </w:rPr>
            </w:pPr>
            <w:r w:rsidRPr="00C30C11">
              <w:rPr>
                <w:rFonts w:asciiTheme="minorHAnsi" w:hAnsiTheme="minorHAnsi"/>
                <w:sz w:val="18"/>
                <w:szCs w:val="18"/>
              </w:rPr>
              <w:t>TOTAL</w:t>
            </w:r>
          </w:p>
        </w:tc>
        <w:tc>
          <w:tcPr>
            <w:tcW w:w="0" w:type="auto"/>
            <w:shd w:val="clear" w:color="000000" w:fill="FFFF00"/>
            <w:noWrap/>
            <w:vAlign w:val="center"/>
            <w:hideMark/>
          </w:tcPr>
          <w:p w:rsidR="00C30C11" w:rsidRPr="00C30C11" w:rsidRDefault="00C30C11" w:rsidP="00C30C11">
            <w:pPr>
              <w:rPr>
                <w:rFonts w:asciiTheme="minorHAnsi" w:hAnsiTheme="minorHAnsi"/>
                <w:color w:val="000000"/>
                <w:sz w:val="18"/>
                <w:szCs w:val="18"/>
              </w:rPr>
            </w:pPr>
            <w:r w:rsidRPr="00C30C11">
              <w:rPr>
                <w:rFonts w:asciiTheme="minorHAnsi" w:hAnsiTheme="minorHAnsi"/>
                <w:color w:val="000000"/>
                <w:sz w:val="18"/>
                <w:szCs w:val="18"/>
              </w:rPr>
              <w:t xml:space="preserve">      21.522.333 </w:t>
            </w:r>
          </w:p>
        </w:tc>
      </w:tr>
    </w:tbl>
    <w:p w:rsidR="00BE37ED" w:rsidRDefault="00BE37ED" w:rsidP="00D22100"/>
    <w:sectPr w:rsidR="00BE37ED" w:rsidSect="00B413F5">
      <w:headerReference w:type="default" r:id="rId8"/>
      <w:footerReference w:type="default" r:id="rId9"/>
      <w:footerReference w:type="firs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34" w:rsidRDefault="003E2E34" w:rsidP="00D2586A">
      <w:r>
        <w:separator/>
      </w:r>
    </w:p>
  </w:endnote>
  <w:endnote w:type="continuationSeparator" w:id="0">
    <w:p w:rsidR="003E2E34" w:rsidRDefault="003E2E34"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3312"/>
      <w:docPartObj>
        <w:docPartGallery w:val="Page Numbers (Bottom of Page)"/>
        <w:docPartUnique/>
      </w:docPartObj>
    </w:sdtPr>
    <w:sdtEndPr/>
    <w:sdtContent>
      <w:p w:rsidR="00B20611" w:rsidRPr="00B413F5" w:rsidRDefault="00B20611">
        <w:pPr>
          <w:pStyle w:val="Pieddepage"/>
          <w:jc w:val="right"/>
        </w:pPr>
        <w:r w:rsidRPr="00B413F5">
          <w:fldChar w:fldCharType="begin"/>
        </w:r>
        <w:r w:rsidRPr="00B413F5">
          <w:instrText>PAGE   \* MERGEFORMAT</w:instrText>
        </w:r>
        <w:r w:rsidRPr="00B413F5">
          <w:fldChar w:fldCharType="separate"/>
        </w:r>
        <w:r w:rsidR="00891F96">
          <w:rPr>
            <w:noProof/>
          </w:rPr>
          <w:t>6</w:t>
        </w:r>
        <w:r w:rsidRPr="00B413F5">
          <w:fldChar w:fldCharType="end"/>
        </w:r>
      </w:p>
    </w:sdtContent>
  </w:sdt>
  <w:p w:rsidR="00B20611" w:rsidRDefault="00B206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61771"/>
      <w:docPartObj>
        <w:docPartGallery w:val="Page Numbers (Bottom of Page)"/>
        <w:docPartUnique/>
      </w:docPartObj>
    </w:sdtPr>
    <w:sdtEndPr/>
    <w:sdtContent>
      <w:p w:rsidR="00B20611" w:rsidRDefault="00B20611">
        <w:pPr>
          <w:pStyle w:val="Pieddepage"/>
          <w:jc w:val="right"/>
        </w:pPr>
        <w:r>
          <w:fldChar w:fldCharType="begin"/>
        </w:r>
        <w:r>
          <w:instrText>PAGE   \* MERGEFORMAT</w:instrText>
        </w:r>
        <w:r>
          <w:fldChar w:fldCharType="separate"/>
        </w:r>
        <w:r w:rsidR="00891F96">
          <w:rPr>
            <w:noProof/>
          </w:rPr>
          <w:t>1</w:t>
        </w:r>
        <w:r>
          <w:fldChar w:fldCharType="end"/>
        </w:r>
      </w:p>
    </w:sdtContent>
  </w:sdt>
  <w:p w:rsidR="00B20611" w:rsidRDefault="00B206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34" w:rsidRDefault="003E2E34" w:rsidP="00D2586A">
      <w:r>
        <w:separator/>
      </w:r>
    </w:p>
  </w:footnote>
  <w:footnote w:type="continuationSeparator" w:id="0">
    <w:p w:rsidR="003E2E34" w:rsidRDefault="003E2E34" w:rsidP="00D2586A">
      <w:r>
        <w:continuationSeparator/>
      </w:r>
    </w:p>
  </w:footnote>
  <w:footnote w:id="1">
    <w:p w:rsidR="00E64302" w:rsidRDefault="00E64302" w:rsidP="00E64302">
      <w:pPr>
        <w:pStyle w:val="Notedebasdepage"/>
        <w:jc w:val="both"/>
        <w:rPr>
          <w:lang w:val="es-CO"/>
        </w:rPr>
      </w:pPr>
      <w:r>
        <w:rPr>
          <w:rStyle w:val="Appelnotedebasdep"/>
        </w:rPr>
        <w:footnoteRef/>
      </w:r>
      <w:r>
        <w:t xml:space="preserve"> </w:t>
      </w:r>
      <w:r>
        <w:rPr>
          <w:sz w:val="16"/>
          <w:szCs w:val="16"/>
          <w:lang w:val="es-CO"/>
        </w:rPr>
        <w:t xml:space="preserve">Corte Suprema de Justicia, sentencia del 5 de abril de 2011, Rad. 43564. M.P. </w:t>
      </w:r>
      <w:r>
        <w:rPr>
          <w:bCs/>
          <w:spacing w:val="14"/>
          <w:sz w:val="16"/>
          <w:szCs w:val="16"/>
        </w:rPr>
        <w:t xml:space="preserve">Gustavo José </w:t>
      </w:r>
      <w:proofErr w:type="spellStart"/>
      <w:r>
        <w:rPr>
          <w:bCs/>
          <w:spacing w:val="14"/>
          <w:sz w:val="16"/>
          <w:szCs w:val="16"/>
        </w:rPr>
        <w:t>Gnecco</w:t>
      </w:r>
      <w:proofErr w:type="spellEnd"/>
      <w:r>
        <w:rPr>
          <w:bCs/>
          <w:spacing w:val="14"/>
          <w:sz w:val="16"/>
          <w:szCs w:val="16"/>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83" w:rsidRPr="002F2083" w:rsidRDefault="002F2083" w:rsidP="002F2083">
    <w:pPr>
      <w:pStyle w:val="Titre"/>
      <w:spacing w:line="240" w:lineRule="auto"/>
      <w:jc w:val="both"/>
      <w:rPr>
        <w:rFonts w:ascii="Times New Roman" w:hAnsi="Times New Roman" w:cs="Times New Roman"/>
        <w:b w:val="0"/>
        <w:sz w:val="16"/>
        <w:szCs w:val="16"/>
      </w:rPr>
    </w:pPr>
    <w:r w:rsidRPr="002F208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2F2083">
      <w:rPr>
        <w:rFonts w:ascii="Times New Roman" w:hAnsi="Times New Roman" w:cs="Times New Roman"/>
        <w:b w:val="0"/>
        <w:sz w:val="16"/>
        <w:szCs w:val="16"/>
      </w:rPr>
      <w:t>66001-31-05-003-2015-00420-01</w:t>
    </w:r>
  </w:p>
  <w:p w:rsidR="002F2083" w:rsidRPr="002F2083" w:rsidRDefault="002F2083" w:rsidP="002F2083">
    <w:pPr>
      <w:pStyle w:val="Titre"/>
      <w:spacing w:line="240" w:lineRule="auto"/>
      <w:jc w:val="both"/>
      <w:rPr>
        <w:rFonts w:ascii="Times New Roman" w:hAnsi="Times New Roman" w:cs="Times New Roman"/>
        <w:b w:val="0"/>
        <w:sz w:val="16"/>
        <w:szCs w:val="16"/>
      </w:rPr>
    </w:pPr>
    <w:r w:rsidRPr="002F2083">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2F2083">
      <w:rPr>
        <w:rFonts w:ascii="Times New Roman" w:hAnsi="Times New Roman" w:cs="Times New Roman"/>
        <w:b w:val="0"/>
        <w:sz w:val="16"/>
        <w:szCs w:val="16"/>
      </w:rPr>
      <w:t xml:space="preserve">María </w:t>
    </w:r>
    <w:proofErr w:type="spellStart"/>
    <w:r w:rsidRPr="002F2083">
      <w:rPr>
        <w:rFonts w:ascii="Times New Roman" w:hAnsi="Times New Roman" w:cs="Times New Roman"/>
        <w:b w:val="0"/>
        <w:sz w:val="16"/>
        <w:szCs w:val="16"/>
      </w:rPr>
      <w:t>Esneda</w:t>
    </w:r>
    <w:proofErr w:type="spellEnd"/>
    <w:r w:rsidRPr="002F2083">
      <w:rPr>
        <w:rFonts w:ascii="Times New Roman" w:hAnsi="Times New Roman" w:cs="Times New Roman"/>
        <w:b w:val="0"/>
        <w:sz w:val="16"/>
        <w:szCs w:val="16"/>
      </w:rPr>
      <w:t xml:space="preserve"> Bedoya Figueroa </w:t>
    </w:r>
  </w:p>
  <w:p w:rsidR="002F2083" w:rsidRPr="002F2083" w:rsidRDefault="002F2083" w:rsidP="002F2083">
    <w:pPr>
      <w:pStyle w:val="Titre"/>
      <w:spacing w:line="240" w:lineRule="auto"/>
      <w:ind w:left="708" w:hanging="708"/>
      <w:jc w:val="both"/>
      <w:rPr>
        <w:rFonts w:ascii="Times New Roman" w:hAnsi="Times New Roman" w:cs="Times New Roman"/>
        <w:b w:val="0"/>
        <w:sz w:val="16"/>
        <w:szCs w:val="16"/>
      </w:rPr>
    </w:pPr>
    <w:r w:rsidRPr="002F2083">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2F2083">
      <w:rPr>
        <w:rFonts w:ascii="Times New Roman" w:hAnsi="Times New Roman" w:cs="Times New Roman"/>
        <w:b w:val="0"/>
        <w:sz w:val="16"/>
        <w:szCs w:val="16"/>
      </w:rPr>
      <w:t>Colpensiones</w:t>
    </w:r>
  </w:p>
  <w:p w:rsidR="00B20611" w:rsidRPr="00480896" w:rsidRDefault="00B20611" w:rsidP="006F7BDD">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613"/>
    <w:multiLevelType w:val="hybridMultilevel"/>
    <w:tmpl w:val="B43CE480"/>
    <w:lvl w:ilvl="0" w:tplc="4E64C1B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0599B"/>
    <w:rsid w:val="000375F0"/>
    <w:rsid w:val="00046E89"/>
    <w:rsid w:val="00046EAA"/>
    <w:rsid w:val="000477B5"/>
    <w:rsid w:val="000629BF"/>
    <w:rsid w:val="00063CD2"/>
    <w:rsid w:val="00070732"/>
    <w:rsid w:val="00070B2A"/>
    <w:rsid w:val="00071A80"/>
    <w:rsid w:val="00085590"/>
    <w:rsid w:val="00086089"/>
    <w:rsid w:val="000947ED"/>
    <w:rsid w:val="0009748B"/>
    <w:rsid w:val="000A0745"/>
    <w:rsid w:val="000A4DF2"/>
    <w:rsid w:val="000B3911"/>
    <w:rsid w:val="000B4700"/>
    <w:rsid w:val="000C65B7"/>
    <w:rsid w:val="000C717A"/>
    <w:rsid w:val="000D170F"/>
    <w:rsid w:val="000D1C08"/>
    <w:rsid w:val="000D2488"/>
    <w:rsid w:val="000D433B"/>
    <w:rsid w:val="000D7490"/>
    <w:rsid w:val="000D771D"/>
    <w:rsid w:val="000E0804"/>
    <w:rsid w:val="000E21D3"/>
    <w:rsid w:val="000E3497"/>
    <w:rsid w:val="000E4C86"/>
    <w:rsid w:val="000F50F5"/>
    <w:rsid w:val="00103DBD"/>
    <w:rsid w:val="00104B0A"/>
    <w:rsid w:val="001137D0"/>
    <w:rsid w:val="00117812"/>
    <w:rsid w:val="00124D61"/>
    <w:rsid w:val="00124FE1"/>
    <w:rsid w:val="00125115"/>
    <w:rsid w:val="00133EFC"/>
    <w:rsid w:val="001400BE"/>
    <w:rsid w:val="001407FF"/>
    <w:rsid w:val="00141694"/>
    <w:rsid w:val="00144BED"/>
    <w:rsid w:val="00145502"/>
    <w:rsid w:val="00146856"/>
    <w:rsid w:val="00150005"/>
    <w:rsid w:val="001509FE"/>
    <w:rsid w:val="00154A6B"/>
    <w:rsid w:val="00165630"/>
    <w:rsid w:val="00182A8B"/>
    <w:rsid w:val="00184234"/>
    <w:rsid w:val="0019259D"/>
    <w:rsid w:val="001A0B8C"/>
    <w:rsid w:val="001B050E"/>
    <w:rsid w:val="001B08C2"/>
    <w:rsid w:val="001B2090"/>
    <w:rsid w:val="001B7329"/>
    <w:rsid w:val="001C0865"/>
    <w:rsid w:val="001C1EE7"/>
    <w:rsid w:val="001D0620"/>
    <w:rsid w:val="001D5421"/>
    <w:rsid w:val="001D6AEA"/>
    <w:rsid w:val="001D7AE7"/>
    <w:rsid w:val="001E4C92"/>
    <w:rsid w:val="00200B5A"/>
    <w:rsid w:val="002040F0"/>
    <w:rsid w:val="00207DF2"/>
    <w:rsid w:val="00211799"/>
    <w:rsid w:val="002134E0"/>
    <w:rsid w:val="002164C0"/>
    <w:rsid w:val="00221CB9"/>
    <w:rsid w:val="0022672B"/>
    <w:rsid w:val="00226C95"/>
    <w:rsid w:val="002305B7"/>
    <w:rsid w:val="0024116B"/>
    <w:rsid w:val="00245DBD"/>
    <w:rsid w:val="00250567"/>
    <w:rsid w:val="00251A16"/>
    <w:rsid w:val="00255311"/>
    <w:rsid w:val="0025586C"/>
    <w:rsid w:val="002627BC"/>
    <w:rsid w:val="0026372E"/>
    <w:rsid w:val="002646B0"/>
    <w:rsid w:val="00265189"/>
    <w:rsid w:val="0027748D"/>
    <w:rsid w:val="002808BE"/>
    <w:rsid w:val="0028583E"/>
    <w:rsid w:val="002865FB"/>
    <w:rsid w:val="0029261F"/>
    <w:rsid w:val="00292C55"/>
    <w:rsid w:val="0029467B"/>
    <w:rsid w:val="002955BE"/>
    <w:rsid w:val="00295CFC"/>
    <w:rsid w:val="00297DAF"/>
    <w:rsid w:val="002A05F1"/>
    <w:rsid w:val="002A24DA"/>
    <w:rsid w:val="002A4362"/>
    <w:rsid w:val="002A4AE5"/>
    <w:rsid w:val="002B41B3"/>
    <w:rsid w:val="002B596B"/>
    <w:rsid w:val="002B6860"/>
    <w:rsid w:val="002C21B8"/>
    <w:rsid w:val="002C4328"/>
    <w:rsid w:val="002D04B7"/>
    <w:rsid w:val="002E37CC"/>
    <w:rsid w:val="002E4211"/>
    <w:rsid w:val="002E4D88"/>
    <w:rsid w:val="002E7615"/>
    <w:rsid w:val="002F1963"/>
    <w:rsid w:val="002F2083"/>
    <w:rsid w:val="002F59D6"/>
    <w:rsid w:val="0030380E"/>
    <w:rsid w:val="00307E8C"/>
    <w:rsid w:val="00310F85"/>
    <w:rsid w:val="00311443"/>
    <w:rsid w:val="00312CA3"/>
    <w:rsid w:val="00314369"/>
    <w:rsid w:val="00317112"/>
    <w:rsid w:val="00317607"/>
    <w:rsid w:val="00323C9F"/>
    <w:rsid w:val="00325819"/>
    <w:rsid w:val="0032628D"/>
    <w:rsid w:val="00341794"/>
    <w:rsid w:val="0034289B"/>
    <w:rsid w:val="00342A86"/>
    <w:rsid w:val="00346EE7"/>
    <w:rsid w:val="0035146F"/>
    <w:rsid w:val="003529F4"/>
    <w:rsid w:val="00357670"/>
    <w:rsid w:val="00360251"/>
    <w:rsid w:val="00362FE8"/>
    <w:rsid w:val="00364C20"/>
    <w:rsid w:val="0037069F"/>
    <w:rsid w:val="00372D7A"/>
    <w:rsid w:val="00380D3C"/>
    <w:rsid w:val="00383287"/>
    <w:rsid w:val="00387807"/>
    <w:rsid w:val="003A2C38"/>
    <w:rsid w:val="003A3DD9"/>
    <w:rsid w:val="003A58A7"/>
    <w:rsid w:val="003A6D80"/>
    <w:rsid w:val="003B3B21"/>
    <w:rsid w:val="003B5943"/>
    <w:rsid w:val="003D110F"/>
    <w:rsid w:val="003D11D9"/>
    <w:rsid w:val="003D53FE"/>
    <w:rsid w:val="003E146B"/>
    <w:rsid w:val="003E1ADB"/>
    <w:rsid w:val="003E2E34"/>
    <w:rsid w:val="003E30DD"/>
    <w:rsid w:val="003E3F46"/>
    <w:rsid w:val="003E4DCB"/>
    <w:rsid w:val="003F0A96"/>
    <w:rsid w:val="003F499F"/>
    <w:rsid w:val="003F7434"/>
    <w:rsid w:val="00400368"/>
    <w:rsid w:val="0040234F"/>
    <w:rsid w:val="0040548E"/>
    <w:rsid w:val="00407780"/>
    <w:rsid w:val="004109A3"/>
    <w:rsid w:val="00420FC7"/>
    <w:rsid w:val="0042379F"/>
    <w:rsid w:val="00427966"/>
    <w:rsid w:val="00427CCE"/>
    <w:rsid w:val="004329F4"/>
    <w:rsid w:val="004376EB"/>
    <w:rsid w:val="00437FC2"/>
    <w:rsid w:val="00446ABA"/>
    <w:rsid w:val="00446C84"/>
    <w:rsid w:val="00452B7C"/>
    <w:rsid w:val="00452D4C"/>
    <w:rsid w:val="00454E6A"/>
    <w:rsid w:val="004557AF"/>
    <w:rsid w:val="00460646"/>
    <w:rsid w:val="00461635"/>
    <w:rsid w:val="0046635E"/>
    <w:rsid w:val="00466EFC"/>
    <w:rsid w:val="004709C5"/>
    <w:rsid w:val="004721A6"/>
    <w:rsid w:val="004759B0"/>
    <w:rsid w:val="004804D9"/>
    <w:rsid w:val="004813AB"/>
    <w:rsid w:val="00494A6F"/>
    <w:rsid w:val="00497F35"/>
    <w:rsid w:val="004A47E8"/>
    <w:rsid w:val="004C2AB0"/>
    <w:rsid w:val="004D1985"/>
    <w:rsid w:val="004D573E"/>
    <w:rsid w:val="004E2E42"/>
    <w:rsid w:val="004E34A8"/>
    <w:rsid w:val="004E41B0"/>
    <w:rsid w:val="004F29DA"/>
    <w:rsid w:val="004F622B"/>
    <w:rsid w:val="00500018"/>
    <w:rsid w:val="0050011D"/>
    <w:rsid w:val="005029FF"/>
    <w:rsid w:val="00504A3D"/>
    <w:rsid w:val="00506139"/>
    <w:rsid w:val="00511B63"/>
    <w:rsid w:val="00512D41"/>
    <w:rsid w:val="00522E84"/>
    <w:rsid w:val="005257F1"/>
    <w:rsid w:val="00525D60"/>
    <w:rsid w:val="00526778"/>
    <w:rsid w:val="00530D9D"/>
    <w:rsid w:val="00533347"/>
    <w:rsid w:val="00536761"/>
    <w:rsid w:val="005425FC"/>
    <w:rsid w:val="00542B48"/>
    <w:rsid w:val="005431EC"/>
    <w:rsid w:val="0055496E"/>
    <w:rsid w:val="00556AAD"/>
    <w:rsid w:val="00560E56"/>
    <w:rsid w:val="00572E8E"/>
    <w:rsid w:val="00575BC3"/>
    <w:rsid w:val="0058289A"/>
    <w:rsid w:val="00583F3A"/>
    <w:rsid w:val="005870C3"/>
    <w:rsid w:val="00590806"/>
    <w:rsid w:val="00594DC3"/>
    <w:rsid w:val="00595F3F"/>
    <w:rsid w:val="005A029F"/>
    <w:rsid w:val="005A23B0"/>
    <w:rsid w:val="005C46E4"/>
    <w:rsid w:val="005C523A"/>
    <w:rsid w:val="005C5354"/>
    <w:rsid w:val="005C60B1"/>
    <w:rsid w:val="005D13CC"/>
    <w:rsid w:val="005D5E67"/>
    <w:rsid w:val="005D7411"/>
    <w:rsid w:val="005E0656"/>
    <w:rsid w:val="005E2BD6"/>
    <w:rsid w:val="005E469D"/>
    <w:rsid w:val="005E4C6C"/>
    <w:rsid w:val="005E5157"/>
    <w:rsid w:val="005E7055"/>
    <w:rsid w:val="005F601D"/>
    <w:rsid w:val="00600762"/>
    <w:rsid w:val="00600FA2"/>
    <w:rsid w:val="00603328"/>
    <w:rsid w:val="006050BE"/>
    <w:rsid w:val="00613647"/>
    <w:rsid w:val="00615738"/>
    <w:rsid w:val="0061770A"/>
    <w:rsid w:val="00623AC8"/>
    <w:rsid w:val="00624110"/>
    <w:rsid w:val="00632011"/>
    <w:rsid w:val="006353A8"/>
    <w:rsid w:val="00635B86"/>
    <w:rsid w:val="006377D9"/>
    <w:rsid w:val="006411E6"/>
    <w:rsid w:val="00642280"/>
    <w:rsid w:val="0065559D"/>
    <w:rsid w:val="006558AD"/>
    <w:rsid w:val="006630D7"/>
    <w:rsid w:val="00667264"/>
    <w:rsid w:val="0067330A"/>
    <w:rsid w:val="00673B42"/>
    <w:rsid w:val="00674DE3"/>
    <w:rsid w:val="00696A5C"/>
    <w:rsid w:val="00697B95"/>
    <w:rsid w:val="006A43CC"/>
    <w:rsid w:val="006A4B4A"/>
    <w:rsid w:val="006A7605"/>
    <w:rsid w:val="006A789A"/>
    <w:rsid w:val="006B278C"/>
    <w:rsid w:val="006C696D"/>
    <w:rsid w:val="006D3110"/>
    <w:rsid w:val="006D6EB3"/>
    <w:rsid w:val="006D797F"/>
    <w:rsid w:val="006E5008"/>
    <w:rsid w:val="006E7B3D"/>
    <w:rsid w:val="006F2CB5"/>
    <w:rsid w:val="006F74C2"/>
    <w:rsid w:val="006F7BDD"/>
    <w:rsid w:val="00700BC6"/>
    <w:rsid w:val="00724924"/>
    <w:rsid w:val="00727147"/>
    <w:rsid w:val="00731555"/>
    <w:rsid w:val="00731EAF"/>
    <w:rsid w:val="007367ED"/>
    <w:rsid w:val="00737CE4"/>
    <w:rsid w:val="00740687"/>
    <w:rsid w:val="00742CBE"/>
    <w:rsid w:val="00745300"/>
    <w:rsid w:val="00745C7B"/>
    <w:rsid w:val="00746878"/>
    <w:rsid w:val="007508C1"/>
    <w:rsid w:val="00755706"/>
    <w:rsid w:val="00762C1F"/>
    <w:rsid w:val="00773F85"/>
    <w:rsid w:val="007743E4"/>
    <w:rsid w:val="00774C97"/>
    <w:rsid w:val="0077536F"/>
    <w:rsid w:val="00780753"/>
    <w:rsid w:val="00784BD5"/>
    <w:rsid w:val="00785A72"/>
    <w:rsid w:val="007949D1"/>
    <w:rsid w:val="007A1262"/>
    <w:rsid w:val="007A3FC5"/>
    <w:rsid w:val="007A467B"/>
    <w:rsid w:val="007A4835"/>
    <w:rsid w:val="007A6B25"/>
    <w:rsid w:val="007A7B3D"/>
    <w:rsid w:val="007A7FB8"/>
    <w:rsid w:val="007B06E2"/>
    <w:rsid w:val="007B6449"/>
    <w:rsid w:val="007B6C75"/>
    <w:rsid w:val="007B7B59"/>
    <w:rsid w:val="007C0DDB"/>
    <w:rsid w:val="007C0E45"/>
    <w:rsid w:val="007E052D"/>
    <w:rsid w:val="007E0ED5"/>
    <w:rsid w:val="007E1E74"/>
    <w:rsid w:val="007E29A1"/>
    <w:rsid w:val="007E5723"/>
    <w:rsid w:val="007F361A"/>
    <w:rsid w:val="007F6023"/>
    <w:rsid w:val="007F62EF"/>
    <w:rsid w:val="007F683C"/>
    <w:rsid w:val="007F7A15"/>
    <w:rsid w:val="008052B5"/>
    <w:rsid w:val="00805CE8"/>
    <w:rsid w:val="00806AE9"/>
    <w:rsid w:val="008072B2"/>
    <w:rsid w:val="0081592F"/>
    <w:rsid w:val="0081696C"/>
    <w:rsid w:val="008222B3"/>
    <w:rsid w:val="00827EA8"/>
    <w:rsid w:val="00833ADF"/>
    <w:rsid w:val="008342C6"/>
    <w:rsid w:val="00834315"/>
    <w:rsid w:val="00836337"/>
    <w:rsid w:val="008416FD"/>
    <w:rsid w:val="00845293"/>
    <w:rsid w:val="00851FCA"/>
    <w:rsid w:val="00852626"/>
    <w:rsid w:val="0086023E"/>
    <w:rsid w:val="00863C64"/>
    <w:rsid w:val="008728DB"/>
    <w:rsid w:val="0088483C"/>
    <w:rsid w:val="00891F96"/>
    <w:rsid w:val="0089452D"/>
    <w:rsid w:val="008964CB"/>
    <w:rsid w:val="008970DE"/>
    <w:rsid w:val="008A0899"/>
    <w:rsid w:val="008A170F"/>
    <w:rsid w:val="008A5CDE"/>
    <w:rsid w:val="008A7023"/>
    <w:rsid w:val="008A7574"/>
    <w:rsid w:val="008C103D"/>
    <w:rsid w:val="008C64BE"/>
    <w:rsid w:val="008D0C4A"/>
    <w:rsid w:val="008D656D"/>
    <w:rsid w:val="008D7273"/>
    <w:rsid w:val="008E4678"/>
    <w:rsid w:val="008F1C9C"/>
    <w:rsid w:val="008F26A2"/>
    <w:rsid w:val="009043F8"/>
    <w:rsid w:val="00914C1B"/>
    <w:rsid w:val="00921A67"/>
    <w:rsid w:val="0092491B"/>
    <w:rsid w:val="0092505C"/>
    <w:rsid w:val="00925EAE"/>
    <w:rsid w:val="00934EA3"/>
    <w:rsid w:val="00937C1D"/>
    <w:rsid w:val="00946A14"/>
    <w:rsid w:val="00950A67"/>
    <w:rsid w:val="00960686"/>
    <w:rsid w:val="00960ACC"/>
    <w:rsid w:val="00965343"/>
    <w:rsid w:val="00965D68"/>
    <w:rsid w:val="009739F4"/>
    <w:rsid w:val="009751EC"/>
    <w:rsid w:val="00977175"/>
    <w:rsid w:val="00991DE3"/>
    <w:rsid w:val="00992558"/>
    <w:rsid w:val="00992D74"/>
    <w:rsid w:val="00996EFB"/>
    <w:rsid w:val="009B0E8B"/>
    <w:rsid w:val="009B7238"/>
    <w:rsid w:val="009C1642"/>
    <w:rsid w:val="009C170D"/>
    <w:rsid w:val="009C3E32"/>
    <w:rsid w:val="009D25F4"/>
    <w:rsid w:val="009D4FF7"/>
    <w:rsid w:val="009D628E"/>
    <w:rsid w:val="009E3971"/>
    <w:rsid w:val="009E3D53"/>
    <w:rsid w:val="009F0A9A"/>
    <w:rsid w:val="009F255F"/>
    <w:rsid w:val="009F3F9D"/>
    <w:rsid w:val="009F42B5"/>
    <w:rsid w:val="009F7483"/>
    <w:rsid w:val="00A001B8"/>
    <w:rsid w:val="00A01B35"/>
    <w:rsid w:val="00A022B6"/>
    <w:rsid w:val="00A12ADA"/>
    <w:rsid w:val="00A20F0C"/>
    <w:rsid w:val="00A24570"/>
    <w:rsid w:val="00A25D9E"/>
    <w:rsid w:val="00A33A09"/>
    <w:rsid w:val="00A42FC7"/>
    <w:rsid w:val="00A45DD8"/>
    <w:rsid w:val="00A55A82"/>
    <w:rsid w:val="00A565A8"/>
    <w:rsid w:val="00A61301"/>
    <w:rsid w:val="00A6386B"/>
    <w:rsid w:val="00A63BA9"/>
    <w:rsid w:val="00A64145"/>
    <w:rsid w:val="00A66873"/>
    <w:rsid w:val="00A7207A"/>
    <w:rsid w:val="00A7597E"/>
    <w:rsid w:val="00A87BAA"/>
    <w:rsid w:val="00A90C4A"/>
    <w:rsid w:val="00A9186E"/>
    <w:rsid w:val="00A9625F"/>
    <w:rsid w:val="00AA0629"/>
    <w:rsid w:val="00AA2110"/>
    <w:rsid w:val="00AA2F5A"/>
    <w:rsid w:val="00AA4583"/>
    <w:rsid w:val="00AC1CBF"/>
    <w:rsid w:val="00AC6954"/>
    <w:rsid w:val="00AC6A06"/>
    <w:rsid w:val="00AC6A10"/>
    <w:rsid w:val="00AD1EC5"/>
    <w:rsid w:val="00AD66A5"/>
    <w:rsid w:val="00AE4B7A"/>
    <w:rsid w:val="00B01843"/>
    <w:rsid w:val="00B14E8F"/>
    <w:rsid w:val="00B15402"/>
    <w:rsid w:val="00B15FA6"/>
    <w:rsid w:val="00B20611"/>
    <w:rsid w:val="00B20BC9"/>
    <w:rsid w:val="00B227C7"/>
    <w:rsid w:val="00B26D22"/>
    <w:rsid w:val="00B33033"/>
    <w:rsid w:val="00B3416E"/>
    <w:rsid w:val="00B34754"/>
    <w:rsid w:val="00B36B7A"/>
    <w:rsid w:val="00B3796E"/>
    <w:rsid w:val="00B413F5"/>
    <w:rsid w:val="00B4454A"/>
    <w:rsid w:val="00B46444"/>
    <w:rsid w:val="00B61656"/>
    <w:rsid w:val="00B74410"/>
    <w:rsid w:val="00B7777D"/>
    <w:rsid w:val="00B82128"/>
    <w:rsid w:val="00B830B0"/>
    <w:rsid w:val="00B85148"/>
    <w:rsid w:val="00B933D9"/>
    <w:rsid w:val="00B97C7C"/>
    <w:rsid w:val="00BA448C"/>
    <w:rsid w:val="00BC3252"/>
    <w:rsid w:val="00BC3D37"/>
    <w:rsid w:val="00BD25A0"/>
    <w:rsid w:val="00BD33A6"/>
    <w:rsid w:val="00BD4A51"/>
    <w:rsid w:val="00BE20C6"/>
    <w:rsid w:val="00BE34A3"/>
    <w:rsid w:val="00BE35C7"/>
    <w:rsid w:val="00BE37ED"/>
    <w:rsid w:val="00BE71D6"/>
    <w:rsid w:val="00C05101"/>
    <w:rsid w:val="00C052EF"/>
    <w:rsid w:val="00C158DF"/>
    <w:rsid w:val="00C23BFF"/>
    <w:rsid w:val="00C2430E"/>
    <w:rsid w:val="00C2584F"/>
    <w:rsid w:val="00C271EF"/>
    <w:rsid w:val="00C30C11"/>
    <w:rsid w:val="00C31BB2"/>
    <w:rsid w:val="00C328CD"/>
    <w:rsid w:val="00C4685C"/>
    <w:rsid w:val="00C4759D"/>
    <w:rsid w:val="00C6241A"/>
    <w:rsid w:val="00C64B40"/>
    <w:rsid w:val="00C6667B"/>
    <w:rsid w:val="00C66744"/>
    <w:rsid w:val="00C72D5C"/>
    <w:rsid w:val="00C77E6D"/>
    <w:rsid w:val="00C85CDF"/>
    <w:rsid w:val="00C86711"/>
    <w:rsid w:val="00CB10E5"/>
    <w:rsid w:val="00CC045E"/>
    <w:rsid w:val="00CC39E2"/>
    <w:rsid w:val="00CD46AB"/>
    <w:rsid w:val="00CD6E82"/>
    <w:rsid w:val="00CE162D"/>
    <w:rsid w:val="00CE3938"/>
    <w:rsid w:val="00CE588C"/>
    <w:rsid w:val="00CE6FDA"/>
    <w:rsid w:val="00CF6535"/>
    <w:rsid w:val="00CF7687"/>
    <w:rsid w:val="00D046EA"/>
    <w:rsid w:val="00D04D18"/>
    <w:rsid w:val="00D06012"/>
    <w:rsid w:val="00D110B7"/>
    <w:rsid w:val="00D168E5"/>
    <w:rsid w:val="00D173AF"/>
    <w:rsid w:val="00D22100"/>
    <w:rsid w:val="00D22B0D"/>
    <w:rsid w:val="00D2327E"/>
    <w:rsid w:val="00D2586A"/>
    <w:rsid w:val="00D25970"/>
    <w:rsid w:val="00D25CF0"/>
    <w:rsid w:val="00D4314C"/>
    <w:rsid w:val="00D437A8"/>
    <w:rsid w:val="00D44AB9"/>
    <w:rsid w:val="00D52428"/>
    <w:rsid w:val="00D6018F"/>
    <w:rsid w:val="00D70702"/>
    <w:rsid w:val="00D70F71"/>
    <w:rsid w:val="00D91C73"/>
    <w:rsid w:val="00D923AC"/>
    <w:rsid w:val="00D945F0"/>
    <w:rsid w:val="00D94881"/>
    <w:rsid w:val="00DA7071"/>
    <w:rsid w:val="00DB3291"/>
    <w:rsid w:val="00DB4DAF"/>
    <w:rsid w:val="00DB7764"/>
    <w:rsid w:val="00DB7DB2"/>
    <w:rsid w:val="00DC1D61"/>
    <w:rsid w:val="00DC44E4"/>
    <w:rsid w:val="00DD4093"/>
    <w:rsid w:val="00DE12C7"/>
    <w:rsid w:val="00DE2DCC"/>
    <w:rsid w:val="00DE2E9F"/>
    <w:rsid w:val="00DE490C"/>
    <w:rsid w:val="00DF080F"/>
    <w:rsid w:val="00DF3E6F"/>
    <w:rsid w:val="00E00212"/>
    <w:rsid w:val="00E11CCE"/>
    <w:rsid w:val="00E14E49"/>
    <w:rsid w:val="00E15498"/>
    <w:rsid w:val="00E204F4"/>
    <w:rsid w:val="00E247C0"/>
    <w:rsid w:val="00E3043C"/>
    <w:rsid w:val="00E37E79"/>
    <w:rsid w:val="00E52ED2"/>
    <w:rsid w:val="00E57787"/>
    <w:rsid w:val="00E64302"/>
    <w:rsid w:val="00E66E42"/>
    <w:rsid w:val="00E67E6D"/>
    <w:rsid w:val="00E73A0E"/>
    <w:rsid w:val="00E763A9"/>
    <w:rsid w:val="00E8094B"/>
    <w:rsid w:val="00EA06C8"/>
    <w:rsid w:val="00EA341A"/>
    <w:rsid w:val="00EA4535"/>
    <w:rsid w:val="00EB29C5"/>
    <w:rsid w:val="00EB3A4F"/>
    <w:rsid w:val="00EC0555"/>
    <w:rsid w:val="00EC0C21"/>
    <w:rsid w:val="00EC6E01"/>
    <w:rsid w:val="00ED2110"/>
    <w:rsid w:val="00ED2C72"/>
    <w:rsid w:val="00ED3E1C"/>
    <w:rsid w:val="00EE1645"/>
    <w:rsid w:val="00EE770E"/>
    <w:rsid w:val="00EF3D79"/>
    <w:rsid w:val="00F03C61"/>
    <w:rsid w:val="00F06F45"/>
    <w:rsid w:val="00F07414"/>
    <w:rsid w:val="00F2139C"/>
    <w:rsid w:val="00F23CF4"/>
    <w:rsid w:val="00F3009A"/>
    <w:rsid w:val="00F303BA"/>
    <w:rsid w:val="00F32A70"/>
    <w:rsid w:val="00F32ACB"/>
    <w:rsid w:val="00F331D9"/>
    <w:rsid w:val="00F35106"/>
    <w:rsid w:val="00F42B90"/>
    <w:rsid w:val="00F44384"/>
    <w:rsid w:val="00F52C28"/>
    <w:rsid w:val="00F611B4"/>
    <w:rsid w:val="00F64635"/>
    <w:rsid w:val="00F702C7"/>
    <w:rsid w:val="00F76D60"/>
    <w:rsid w:val="00F811F9"/>
    <w:rsid w:val="00F828AE"/>
    <w:rsid w:val="00F82CB0"/>
    <w:rsid w:val="00F8486A"/>
    <w:rsid w:val="00F877C6"/>
    <w:rsid w:val="00F9161D"/>
    <w:rsid w:val="00F9189A"/>
    <w:rsid w:val="00FA0903"/>
    <w:rsid w:val="00FA266D"/>
    <w:rsid w:val="00FB41AA"/>
    <w:rsid w:val="00FC0D54"/>
    <w:rsid w:val="00FC3AC9"/>
    <w:rsid w:val="00FC45DF"/>
    <w:rsid w:val="00FC68B9"/>
    <w:rsid w:val="00FD400F"/>
    <w:rsid w:val="00FE1D84"/>
    <w:rsid w:val="00FE6B69"/>
    <w:rsid w:val="00FF4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7F62EF"/>
    <w:rPr>
      <w:i/>
      <w:iCs/>
    </w:rPr>
  </w:style>
  <w:style w:type="paragraph" w:customStyle="1" w:styleId="Textoindependiente31">
    <w:name w:val="Texto independiente 31"/>
    <w:basedOn w:val="Normal"/>
    <w:rsid w:val="0089452D"/>
    <w:pPr>
      <w:spacing w:line="360" w:lineRule="auto"/>
      <w:jc w:val="both"/>
    </w:pPr>
    <w:rPr>
      <w:rFonts w:ascii="Arial" w:hAnsi="Arial"/>
      <w:szCs w:val="20"/>
      <w:lang w:val="es-ES_tradnl"/>
    </w:rPr>
  </w:style>
  <w:style w:type="character" w:styleId="Marquedecommentaire">
    <w:name w:val="annotation reference"/>
    <w:basedOn w:val="Policepardfaut"/>
    <w:uiPriority w:val="99"/>
    <w:semiHidden/>
    <w:unhideWhenUsed/>
    <w:rsid w:val="00BE37ED"/>
    <w:rPr>
      <w:sz w:val="16"/>
      <w:szCs w:val="16"/>
    </w:rPr>
  </w:style>
  <w:style w:type="paragraph" w:styleId="Commentaire">
    <w:name w:val="annotation text"/>
    <w:basedOn w:val="Normal"/>
    <w:link w:val="CommentaireCar"/>
    <w:uiPriority w:val="99"/>
    <w:semiHidden/>
    <w:unhideWhenUsed/>
    <w:rsid w:val="00BE37ED"/>
    <w:rPr>
      <w:sz w:val="20"/>
      <w:szCs w:val="20"/>
    </w:rPr>
  </w:style>
  <w:style w:type="character" w:customStyle="1" w:styleId="CommentaireCar">
    <w:name w:val="Commentaire Car"/>
    <w:basedOn w:val="Policepardfaut"/>
    <w:link w:val="Commentaire"/>
    <w:uiPriority w:val="99"/>
    <w:semiHidden/>
    <w:rsid w:val="00BE37ED"/>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BE37ED"/>
    <w:rPr>
      <w:b/>
      <w:bCs/>
    </w:rPr>
  </w:style>
  <w:style w:type="character" w:customStyle="1" w:styleId="ObjetducommentaireCar">
    <w:name w:val="Objet du commentaire Car"/>
    <w:basedOn w:val="CommentaireCar"/>
    <w:link w:val="Objetducommentaire"/>
    <w:uiPriority w:val="99"/>
    <w:semiHidden/>
    <w:rsid w:val="00BE37ED"/>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7F62EF"/>
    <w:rPr>
      <w:i/>
      <w:iCs/>
    </w:rPr>
  </w:style>
  <w:style w:type="paragraph" w:customStyle="1" w:styleId="Textoindependiente31">
    <w:name w:val="Texto independiente 31"/>
    <w:basedOn w:val="Normal"/>
    <w:rsid w:val="0089452D"/>
    <w:pPr>
      <w:spacing w:line="360" w:lineRule="auto"/>
      <w:jc w:val="both"/>
    </w:pPr>
    <w:rPr>
      <w:rFonts w:ascii="Arial" w:hAnsi="Arial"/>
      <w:szCs w:val="20"/>
      <w:lang w:val="es-ES_tradnl"/>
    </w:rPr>
  </w:style>
  <w:style w:type="character" w:styleId="Marquedecommentaire">
    <w:name w:val="annotation reference"/>
    <w:basedOn w:val="Policepardfaut"/>
    <w:uiPriority w:val="99"/>
    <w:semiHidden/>
    <w:unhideWhenUsed/>
    <w:rsid w:val="00BE37ED"/>
    <w:rPr>
      <w:sz w:val="16"/>
      <w:szCs w:val="16"/>
    </w:rPr>
  </w:style>
  <w:style w:type="paragraph" w:styleId="Commentaire">
    <w:name w:val="annotation text"/>
    <w:basedOn w:val="Normal"/>
    <w:link w:val="CommentaireCar"/>
    <w:uiPriority w:val="99"/>
    <w:semiHidden/>
    <w:unhideWhenUsed/>
    <w:rsid w:val="00BE37ED"/>
    <w:rPr>
      <w:sz w:val="20"/>
      <w:szCs w:val="20"/>
    </w:rPr>
  </w:style>
  <w:style w:type="character" w:customStyle="1" w:styleId="CommentaireCar">
    <w:name w:val="Commentaire Car"/>
    <w:basedOn w:val="Policepardfaut"/>
    <w:link w:val="Commentaire"/>
    <w:uiPriority w:val="99"/>
    <w:semiHidden/>
    <w:rsid w:val="00BE37ED"/>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BE37ED"/>
    <w:rPr>
      <w:b/>
      <w:bCs/>
    </w:rPr>
  </w:style>
  <w:style w:type="character" w:customStyle="1" w:styleId="ObjetducommentaireCar">
    <w:name w:val="Objet du commentaire Car"/>
    <w:basedOn w:val="CommentaireCar"/>
    <w:link w:val="Objetducommentaire"/>
    <w:uiPriority w:val="99"/>
    <w:semiHidden/>
    <w:rsid w:val="00BE37E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750392378">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1704</TotalTime>
  <Pages>6</Pages>
  <Words>2665</Words>
  <Characters>14663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54</cp:revision>
  <cp:lastPrinted>2017-05-19T18:37:00Z</cp:lastPrinted>
  <dcterms:created xsi:type="dcterms:W3CDTF">2017-05-11T02:39:00Z</dcterms:created>
  <dcterms:modified xsi:type="dcterms:W3CDTF">2017-06-28T03:29:00Z</dcterms:modified>
</cp:coreProperties>
</file>