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093BE4" w:rsidRPr="00667438" w:rsidRDefault="00093BE4" w:rsidP="00093BE4">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67438">
        <w:rPr>
          <w:rFonts w:ascii="Calibri" w:hAnsi="Calibri" w:cs="Calibri"/>
          <w:color w:val="FF0000"/>
          <w:sz w:val="16"/>
          <w:szCs w:val="16"/>
          <w:lang w:val="es-CO" w:eastAsia="fr-FR"/>
        </w:rPr>
        <w:t>El siguiente e</w:t>
      </w:r>
      <w:r>
        <w:rPr>
          <w:rFonts w:ascii="Calibri" w:hAnsi="Calibri" w:cs="Calibri"/>
          <w:color w:val="FF0000"/>
          <w:sz w:val="16"/>
          <w:szCs w:val="16"/>
          <w:lang w:val="es-CO" w:eastAsia="fr-FR"/>
        </w:rPr>
        <w:t>s el documento presentado por la Magistrada</w:t>
      </w:r>
      <w:r w:rsidRPr="00667438">
        <w:rPr>
          <w:rFonts w:ascii="Calibri" w:hAnsi="Calibri" w:cs="Calibri"/>
          <w:color w:val="FF0000"/>
          <w:sz w:val="16"/>
          <w:szCs w:val="16"/>
          <w:lang w:val="es-CO" w:eastAsia="fr-FR"/>
        </w:rPr>
        <w:t xml:space="preserve"> Ponente que </w:t>
      </w:r>
      <w:r>
        <w:rPr>
          <w:rFonts w:ascii="Calibri" w:hAnsi="Calibri" w:cs="Calibri"/>
          <w:color w:val="FF0000"/>
          <w:sz w:val="16"/>
          <w:szCs w:val="16"/>
          <w:lang w:val="es-CO" w:eastAsia="fr-FR"/>
        </w:rPr>
        <w:t>expresa su salvamento de voto a</w:t>
      </w:r>
      <w:r w:rsidRPr="00667438">
        <w:rPr>
          <w:rFonts w:ascii="Calibri" w:hAnsi="Calibri" w:cs="Calibri"/>
          <w:color w:val="FF0000"/>
          <w:sz w:val="16"/>
          <w:szCs w:val="16"/>
          <w:lang w:val="es-CO" w:eastAsia="fr-FR"/>
        </w:rPr>
        <w:t xml:space="preserve"> la providencia dentro del presente proceso. El contenido total y fiel de la decisión debe ser verificado en la Secretaría de esta Sala.</w:t>
      </w:r>
      <w:r w:rsidRPr="00667438">
        <w:rPr>
          <w:rFonts w:ascii="Calibri" w:hAnsi="Calibri" w:cs="Calibri"/>
          <w:color w:val="222222"/>
          <w:sz w:val="18"/>
          <w:szCs w:val="18"/>
          <w:lang w:val="es-CO" w:eastAsia="fr-FR"/>
        </w:rPr>
        <w:t> </w:t>
      </w:r>
    </w:p>
    <w:p w:rsidR="00802722" w:rsidRDefault="00802722" w:rsidP="008F2D96">
      <w:pPr>
        <w:pStyle w:val="Puesto"/>
        <w:spacing w:line="240" w:lineRule="auto"/>
        <w:jc w:val="both"/>
        <w:rPr>
          <w:rFonts w:ascii="Tahoma" w:hAnsi="Tahoma" w:cs="Tahoma"/>
          <w:sz w:val="18"/>
          <w:szCs w:val="18"/>
          <w:lang w:val="es-CO"/>
        </w:rPr>
      </w:pPr>
      <w:bookmarkStart w:id="0" w:name="_GoBack"/>
      <w:bookmarkEnd w:id="0"/>
    </w:p>
    <w:p w:rsidR="008F2D96" w:rsidRPr="00FF0A79" w:rsidRDefault="008F2D96" w:rsidP="008F2D96">
      <w:pPr>
        <w:pStyle w:val="Puesto"/>
        <w:spacing w:line="240" w:lineRule="auto"/>
        <w:jc w:val="both"/>
        <w:rPr>
          <w:rFonts w:ascii="Tahoma" w:hAnsi="Tahoma" w:cs="Tahoma"/>
          <w:b w:val="0"/>
          <w:sz w:val="18"/>
          <w:szCs w:val="18"/>
          <w:u w:val="single"/>
        </w:rPr>
      </w:pPr>
      <w:r w:rsidRPr="0084707C">
        <w:rPr>
          <w:rFonts w:ascii="Tahoma" w:hAnsi="Tahoma" w:cs="Tahoma"/>
          <w:sz w:val="18"/>
          <w:szCs w:val="18"/>
        </w:rPr>
        <w:t>Providencia:</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r>
      <w:r w:rsidR="00802722">
        <w:rPr>
          <w:rFonts w:ascii="Tahoma" w:hAnsi="Tahoma" w:cs="Tahoma"/>
          <w:b w:val="0"/>
          <w:sz w:val="18"/>
          <w:szCs w:val="18"/>
        </w:rPr>
        <w:t>Salvamento de voto</w:t>
      </w:r>
    </w:p>
    <w:p w:rsidR="00802722" w:rsidRPr="00FF0A79" w:rsidRDefault="00802722" w:rsidP="00802722">
      <w:pPr>
        <w:pStyle w:val="Puesto"/>
        <w:spacing w:line="240" w:lineRule="auto"/>
        <w:ind w:left="2805" w:hanging="2805"/>
        <w:jc w:val="both"/>
        <w:rPr>
          <w:rFonts w:ascii="Tahoma" w:hAnsi="Tahoma" w:cs="Tahoma"/>
          <w:b w:val="0"/>
          <w:sz w:val="18"/>
          <w:szCs w:val="18"/>
        </w:rPr>
      </w:pPr>
      <w:r w:rsidRPr="0084707C">
        <w:rPr>
          <w:rFonts w:ascii="Tahoma" w:hAnsi="Tahoma" w:cs="Tahoma"/>
          <w:sz w:val="18"/>
          <w:szCs w:val="18"/>
        </w:rPr>
        <w:t>Magistrada que salva voto:</w:t>
      </w:r>
      <w:r w:rsidRPr="00FF0A79">
        <w:rPr>
          <w:rFonts w:ascii="Tahoma" w:hAnsi="Tahoma" w:cs="Tahoma"/>
          <w:b w:val="0"/>
          <w:sz w:val="18"/>
          <w:szCs w:val="18"/>
        </w:rPr>
        <w:tab/>
        <w:t>Dra. Ana Lucia Caicedo Calderón</w:t>
      </w:r>
    </w:p>
    <w:p w:rsidR="00CE651D" w:rsidRPr="00BF4F59" w:rsidRDefault="00CE651D" w:rsidP="00CE651D">
      <w:pPr>
        <w:pStyle w:val="Puesto"/>
        <w:spacing w:line="240" w:lineRule="auto"/>
        <w:jc w:val="both"/>
        <w:rPr>
          <w:rFonts w:ascii="Tahoma" w:hAnsi="Tahoma" w:cs="Tahoma"/>
          <w:b w:val="0"/>
          <w:sz w:val="18"/>
          <w:szCs w:val="18"/>
        </w:rPr>
      </w:pPr>
      <w:r w:rsidRPr="00BF4F59">
        <w:rPr>
          <w:rFonts w:ascii="Tahoma" w:hAnsi="Tahoma" w:cs="Tahoma"/>
          <w:sz w:val="18"/>
          <w:szCs w:val="18"/>
        </w:rPr>
        <w:t>Radicación No.:</w:t>
      </w:r>
      <w:r w:rsidRPr="00BF4F59">
        <w:rPr>
          <w:rFonts w:ascii="Tahoma" w:hAnsi="Tahoma" w:cs="Tahoma"/>
          <w:b w:val="0"/>
          <w:sz w:val="18"/>
          <w:szCs w:val="18"/>
        </w:rPr>
        <w:tab/>
      </w:r>
      <w:r w:rsidRPr="00BF4F59">
        <w:rPr>
          <w:rFonts w:ascii="Tahoma" w:hAnsi="Tahoma" w:cs="Tahoma"/>
          <w:b w:val="0"/>
          <w:sz w:val="18"/>
          <w:szCs w:val="18"/>
        </w:rPr>
        <w:tab/>
      </w:r>
      <w:r>
        <w:rPr>
          <w:rFonts w:ascii="Tahoma" w:hAnsi="Tahoma" w:cs="Tahoma"/>
          <w:b w:val="0"/>
          <w:sz w:val="18"/>
          <w:szCs w:val="18"/>
        </w:rPr>
        <w:tab/>
      </w:r>
      <w:r w:rsidRPr="00BF4F59">
        <w:rPr>
          <w:rFonts w:ascii="Tahoma" w:hAnsi="Tahoma" w:cs="Tahoma"/>
          <w:b w:val="0"/>
          <w:sz w:val="18"/>
          <w:szCs w:val="18"/>
        </w:rPr>
        <w:t>66001-31-05</w:t>
      </w:r>
      <w:r w:rsidRPr="00BD4A51">
        <w:rPr>
          <w:rFonts w:ascii="Tahoma" w:hAnsi="Tahoma" w:cs="Tahoma"/>
          <w:b w:val="0"/>
          <w:sz w:val="18"/>
          <w:szCs w:val="18"/>
        </w:rPr>
        <w:t>-005-2015-00</w:t>
      </w:r>
      <w:r w:rsidR="007C6201">
        <w:rPr>
          <w:rFonts w:ascii="Tahoma" w:hAnsi="Tahoma" w:cs="Tahoma"/>
          <w:b w:val="0"/>
          <w:sz w:val="18"/>
          <w:szCs w:val="18"/>
        </w:rPr>
        <w:t>370</w:t>
      </w:r>
      <w:r w:rsidRPr="00BD4A51">
        <w:rPr>
          <w:rFonts w:ascii="Tahoma" w:hAnsi="Tahoma" w:cs="Tahoma"/>
          <w:b w:val="0"/>
          <w:sz w:val="18"/>
          <w:szCs w:val="18"/>
        </w:rPr>
        <w:t>-01</w:t>
      </w:r>
    </w:p>
    <w:p w:rsidR="00CE651D" w:rsidRPr="00BF4F59" w:rsidRDefault="00CE651D" w:rsidP="00CE651D">
      <w:pPr>
        <w:pStyle w:val="Puesto"/>
        <w:spacing w:line="240" w:lineRule="auto"/>
        <w:jc w:val="both"/>
        <w:rPr>
          <w:rFonts w:ascii="Tahoma" w:hAnsi="Tahoma" w:cs="Tahoma"/>
          <w:b w:val="0"/>
          <w:sz w:val="18"/>
          <w:szCs w:val="18"/>
        </w:rPr>
      </w:pPr>
      <w:r w:rsidRPr="00BF4F59">
        <w:rPr>
          <w:rFonts w:ascii="Tahoma" w:hAnsi="Tahoma" w:cs="Tahoma"/>
          <w:sz w:val="18"/>
          <w:szCs w:val="18"/>
        </w:rPr>
        <w:t>Proceso:</w:t>
      </w:r>
      <w:r w:rsidRPr="00BF4F59">
        <w:rPr>
          <w:rFonts w:ascii="Tahoma" w:hAnsi="Tahoma" w:cs="Tahoma"/>
          <w:b w:val="0"/>
          <w:sz w:val="18"/>
          <w:szCs w:val="18"/>
        </w:rPr>
        <w:tab/>
      </w:r>
      <w:r w:rsidRPr="00BF4F59">
        <w:rPr>
          <w:rFonts w:ascii="Tahoma" w:hAnsi="Tahoma" w:cs="Tahoma"/>
          <w:b w:val="0"/>
          <w:sz w:val="18"/>
          <w:szCs w:val="18"/>
        </w:rPr>
        <w:tab/>
      </w:r>
      <w:r>
        <w:rPr>
          <w:rFonts w:ascii="Tahoma" w:hAnsi="Tahoma" w:cs="Tahoma"/>
          <w:b w:val="0"/>
          <w:sz w:val="18"/>
          <w:szCs w:val="18"/>
        </w:rPr>
        <w:tab/>
      </w:r>
      <w:r w:rsidRPr="00BF4F59">
        <w:rPr>
          <w:rFonts w:ascii="Tahoma" w:hAnsi="Tahoma" w:cs="Tahoma"/>
          <w:b w:val="0"/>
          <w:sz w:val="18"/>
          <w:szCs w:val="18"/>
        </w:rPr>
        <w:t xml:space="preserve">Ordinario laboral </w:t>
      </w:r>
      <w:r w:rsidR="00802722">
        <w:rPr>
          <w:rFonts w:ascii="Tahoma" w:hAnsi="Tahoma" w:cs="Tahoma"/>
          <w:b w:val="0"/>
          <w:sz w:val="18"/>
          <w:szCs w:val="18"/>
        </w:rPr>
        <w:t xml:space="preserve">- </w:t>
      </w:r>
      <w:r w:rsidR="00802722" w:rsidRPr="00FF0A79">
        <w:rPr>
          <w:rFonts w:ascii="Tahoma" w:hAnsi="Tahoma" w:cs="Tahoma"/>
          <w:b w:val="0"/>
          <w:sz w:val="18"/>
          <w:szCs w:val="18"/>
        </w:rPr>
        <w:t xml:space="preserve">Sentencia del </w:t>
      </w:r>
      <w:r w:rsidR="00802722">
        <w:rPr>
          <w:rFonts w:ascii="Tahoma" w:hAnsi="Tahoma" w:cs="Tahoma"/>
          <w:b w:val="0"/>
          <w:sz w:val="18"/>
          <w:szCs w:val="18"/>
        </w:rPr>
        <w:t>30 junio de 2017</w:t>
      </w:r>
    </w:p>
    <w:p w:rsidR="00CE651D" w:rsidRPr="00BF4F59" w:rsidRDefault="00CE651D" w:rsidP="00CE651D">
      <w:pPr>
        <w:pStyle w:val="Puesto"/>
        <w:spacing w:line="240" w:lineRule="auto"/>
        <w:jc w:val="both"/>
        <w:rPr>
          <w:rFonts w:ascii="Tahoma" w:hAnsi="Tahoma" w:cs="Tahoma"/>
          <w:b w:val="0"/>
          <w:sz w:val="18"/>
          <w:szCs w:val="18"/>
        </w:rPr>
      </w:pPr>
      <w:r w:rsidRPr="00BF4F59">
        <w:rPr>
          <w:rFonts w:ascii="Tahoma" w:hAnsi="Tahoma" w:cs="Tahoma"/>
          <w:sz w:val="18"/>
          <w:szCs w:val="18"/>
        </w:rPr>
        <w:t>Demandante:</w:t>
      </w:r>
      <w:r w:rsidRPr="00BF4F59">
        <w:rPr>
          <w:rFonts w:ascii="Tahoma" w:hAnsi="Tahoma" w:cs="Tahoma"/>
          <w:b w:val="0"/>
          <w:sz w:val="18"/>
          <w:szCs w:val="18"/>
        </w:rPr>
        <w:tab/>
      </w:r>
      <w:r w:rsidRPr="00BF4F59">
        <w:rPr>
          <w:rFonts w:ascii="Tahoma" w:hAnsi="Tahoma" w:cs="Tahoma"/>
          <w:b w:val="0"/>
          <w:sz w:val="18"/>
          <w:szCs w:val="18"/>
        </w:rPr>
        <w:tab/>
      </w:r>
      <w:r>
        <w:rPr>
          <w:rFonts w:ascii="Tahoma" w:hAnsi="Tahoma" w:cs="Tahoma"/>
          <w:b w:val="0"/>
          <w:sz w:val="18"/>
          <w:szCs w:val="18"/>
        </w:rPr>
        <w:tab/>
      </w:r>
      <w:r w:rsidR="007C6201">
        <w:rPr>
          <w:rFonts w:ascii="Tahoma" w:hAnsi="Tahoma" w:cs="Tahoma"/>
          <w:b w:val="0"/>
          <w:sz w:val="18"/>
          <w:szCs w:val="18"/>
        </w:rPr>
        <w:t xml:space="preserve">José Efraín Hernández y otro </w:t>
      </w:r>
    </w:p>
    <w:p w:rsidR="00CE651D" w:rsidRPr="00BF4F59" w:rsidRDefault="00CE651D" w:rsidP="00CE651D">
      <w:pPr>
        <w:pStyle w:val="Puesto"/>
        <w:spacing w:line="240" w:lineRule="auto"/>
        <w:ind w:left="708" w:hanging="708"/>
        <w:jc w:val="both"/>
        <w:rPr>
          <w:rFonts w:ascii="Tahoma" w:hAnsi="Tahoma" w:cs="Tahoma"/>
          <w:b w:val="0"/>
          <w:sz w:val="18"/>
          <w:szCs w:val="18"/>
        </w:rPr>
      </w:pPr>
      <w:r w:rsidRPr="00BF4F59">
        <w:rPr>
          <w:rFonts w:ascii="Tahoma" w:hAnsi="Tahoma" w:cs="Tahoma"/>
          <w:sz w:val="18"/>
          <w:szCs w:val="18"/>
        </w:rPr>
        <w:t>Demandado:</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t xml:space="preserve">Colpensiones </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Magistrad</w:t>
      </w:r>
      <w:r w:rsidR="00CE651D">
        <w:rPr>
          <w:rFonts w:ascii="Tahoma" w:hAnsi="Tahoma" w:cs="Tahoma"/>
          <w:sz w:val="18"/>
          <w:szCs w:val="18"/>
        </w:rPr>
        <w:t>o</w:t>
      </w:r>
      <w:r w:rsidRPr="0084707C">
        <w:rPr>
          <w:rFonts w:ascii="Tahoma" w:hAnsi="Tahoma" w:cs="Tahoma"/>
          <w:sz w:val="18"/>
          <w:szCs w:val="18"/>
        </w:rPr>
        <w:t xml:space="preserve"> </w:t>
      </w:r>
      <w:r w:rsidR="00CE6C1D" w:rsidRPr="0084707C">
        <w:rPr>
          <w:rFonts w:ascii="Tahoma" w:hAnsi="Tahoma" w:cs="Tahoma"/>
          <w:sz w:val="18"/>
          <w:szCs w:val="18"/>
        </w:rPr>
        <w:t>ponente</w:t>
      </w:r>
      <w:r w:rsidRPr="0084707C">
        <w:rPr>
          <w:rFonts w:ascii="Tahoma" w:hAnsi="Tahoma" w:cs="Tahoma"/>
          <w:sz w:val="18"/>
          <w:szCs w:val="18"/>
        </w:rPr>
        <w:t>:</w:t>
      </w:r>
      <w:r w:rsidRPr="00FF0A79">
        <w:rPr>
          <w:rFonts w:ascii="Tahoma" w:hAnsi="Tahoma" w:cs="Tahoma"/>
          <w:b w:val="0"/>
          <w:sz w:val="18"/>
          <w:szCs w:val="18"/>
        </w:rPr>
        <w:tab/>
      </w:r>
      <w:r w:rsidRPr="00FF0A79">
        <w:rPr>
          <w:rFonts w:ascii="Tahoma" w:hAnsi="Tahoma" w:cs="Tahoma"/>
          <w:b w:val="0"/>
          <w:sz w:val="18"/>
          <w:szCs w:val="18"/>
        </w:rPr>
        <w:tab/>
        <w:t>Dr</w:t>
      </w:r>
      <w:r w:rsidR="002E6083" w:rsidRPr="00FF0A79">
        <w:rPr>
          <w:rFonts w:ascii="Tahoma" w:hAnsi="Tahoma" w:cs="Tahoma"/>
          <w:b w:val="0"/>
          <w:sz w:val="18"/>
          <w:szCs w:val="18"/>
        </w:rPr>
        <w:t>.</w:t>
      </w:r>
      <w:r w:rsidRPr="00FF0A79">
        <w:rPr>
          <w:rFonts w:ascii="Tahoma" w:hAnsi="Tahoma" w:cs="Tahoma"/>
          <w:b w:val="0"/>
          <w:sz w:val="18"/>
          <w:szCs w:val="18"/>
        </w:rPr>
        <w:t xml:space="preserve"> </w:t>
      </w:r>
      <w:r w:rsidR="00CE651D">
        <w:rPr>
          <w:rFonts w:ascii="Tahoma" w:hAnsi="Tahoma" w:cs="Tahoma"/>
          <w:b w:val="0"/>
          <w:sz w:val="18"/>
          <w:szCs w:val="18"/>
        </w:rPr>
        <w:t>Julio César Salazar Muñoz</w:t>
      </w:r>
    </w:p>
    <w:p w:rsidR="0084707C" w:rsidRDefault="008F2D96" w:rsidP="008F2D96">
      <w:pPr>
        <w:pStyle w:val="Puesto"/>
        <w:spacing w:line="240" w:lineRule="auto"/>
        <w:ind w:left="2805" w:hanging="2805"/>
        <w:jc w:val="both"/>
        <w:rPr>
          <w:rFonts w:ascii="Tahoma" w:hAnsi="Tahoma" w:cs="Tahoma"/>
          <w:sz w:val="18"/>
          <w:szCs w:val="18"/>
        </w:rPr>
      </w:pPr>
      <w:r w:rsidRPr="00FF0A79">
        <w:rPr>
          <w:rFonts w:ascii="Tahoma" w:hAnsi="Tahoma" w:cs="Tahoma"/>
          <w:sz w:val="18"/>
          <w:szCs w:val="18"/>
        </w:rPr>
        <w:tab/>
      </w:r>
    </w:p>
    <w:p w:rsidR="00721756" w:rsidRDefault="00721756" w:rsidP="008F2D96">
      <w:pPr>
        <w:rPr>
          <w:lang w:val="es-CO" w:eastAsia="es-MX"/>
        </w:rPr>
      </w:pPr>
    </w:p>
    <w:p w:rsidR="00FF0A79" w:rsidRPr="00C76801" w:rsidRDefault="00FF0A79" w:rsidP="008F2D96">
      <w:pPr>
        <w:rPr>
          <w:lang w:val="es-CO" w:eastAsia="es-MX"/>
        </w:rPr>
      </w:pPr>
    </w:p>
    <w:p w:rsidR="008F2D96" w:rsidRPr="0084707C" w:rsidRDefault="008F2D96" w:rsidP="0084707C">
      <w:pPr>
        <w:pStyle w:val="Ttulo1"/>
        <w:widowControl/>
        <w:autoSpaceDE/>
        <w:autoSpaceDN/>
        <w:adjustRightInd/>
        <w:spacing w:line="276" w:lineRule="auto"/>
        <w:rPr>
          <w:rFonts w:ascii="Tahoma" w:hAnsi="Tahoma" w:cs="Tahoma"/>
          <w:bCs/>
          <w:sz w:val="22"/>
          <w:szCs w:val="22"/>
          <w:u w:val="single"/>
        </w:rPr>
      </w:pPr>
      <w:r w:rsidRPr="0084707C">
        <w:rPr>
          <w:rFonts w:ascii="Tahoma" w:hAnsi="Tahoma" w:cs="Tahoma"/>
          <w:bCs/>
          <w:sz w:val="22"/>
          <w:szCs w:val="22"/>
          <w:u w:val="single"/>
        </w:rPr>
        <w:t>SALVAMENTO DE VOTO</w:t>
      </w:r>
    </w:p>
    <w:p w:rsidR="008F2D96" w:rsidRPr="0084707C" w:rsidRDefault="008F2D96" w:rsidP="0084707C">
      <w:pPr>
        <w:spacing w:line="276" w:lineRule="auto"/>
        <w:ind w:firstLine="709"/>
        <w:jc w:val="both"/>
        <w:rPr>
          <w:rFonts w:ascii="Tahoma" w:hAnsi="Tahoma" w:cs="Tahoma"/>
          <w:b/>
          <w:bCs/>
          <w:sz w:val="22"/>
          <w:szCs w:val="22"/>
        </w:rPr>
      </w:pPr>
    </w:p>
    <w:p w:rsidR="00C55682" w:rsidRDefault="00342326" w:rsidP="007C6201">
      <w:pPr>
        <w:spacing w:line="276" w:lineRule="auto"/>
        <w:ind w:firstLine="709"/>
        <w:jc w:val="both"/>
        <w:rPr>
          <w:rFonts w:ascii="Tahoma" w:hAnsi="Tahoma" w:cs="Tahoma"/>
          <w:sz w:val="22"/>
          <w:szCs w:val="22"/>
        </w:rPr>
      </w:pPr>
      <w:r w:rsidRPr="007C6201">
        <w:rPr>
          <w:rFonts w:ascii="Tahoma" w:hAnsi="Tahoma" w:cs="Tahoma"/>
          <w:sz w:val="22"/>
          <w:szCs w:val="22"/>
        </w:rPr>
        <w:t>Con mi acostumbrado respeto</w:t>
      </w:r>
      <w:r w:rsidR="008F2D96" w:rsidRPr="007C6201">
        <w:rPr>
          <w:rFonts w:ascii="Tahoma" w:hAnsi="Tahoma" w:cs="Tahoma"/>
          <w:sz w:val="22"/>
          <w:szCs w:val="22"/>
        </w:rPr>
        <w:t xml:space="preserve"> manifiesto mi inconformidad</w:t>
      </w:r>
      <w:r w:rsidR="00756D08" w:rsidRPr="007C6201">
        <w:rPr>
          <w:rFonts w:ascii="Tahoma" w:hAnsi="Tahoma" w:cs="Tahoma"/>
          <w:sz w:val="22"/>
          <w:szCs w:val="22"/>
        </w:rPr>
        <w:t xml:space="preserve"> </w:t>
      </w:r>
      <w:r w:rsidR="008F2D96" w:rsidRPr="007C6201">
        <w:rPr>
          <w:rFonts w:ascii="Tahoma" w:hAnsi="Tahoma" w:cs="Tahoma"/>
          <w:sz w:val="22"/>
          <w:szCs w:val="22"/>
        </w:rPr>
        <w:t>frente a la sentencia mayoritaria</w:t>
      </w:r>
      <w:r w:rsidR="007C6201" w:rsidRPr="007C6201">
        <w:rPr>
          <w:rFonts w:ascii="Tahoma" w:hAnsi="Tahoma" w:cs="Tahoma"/>
          <w:sz w:val="22"/>
          <w:szCs w:val="22"/>
        </w:rPr>
        <w:t xml:space="preserve">, </w:t>
      </w:r>
      <w:r w:rsidR="00C55682">
        <w:rPr>
          <w:rFonts w:ascii="Tahoma" w:hAnsi="Tahoma" w:cs="Tahoma"/>
          <w:sz w:val="22"/>
          <w:szCs w:val="22"/>
        </w:rPr>
        <w:t xml:space="preserve">pues </w:t>
      </w:r>
      <w:r w:rsidR="007C6201">
        <w:rPr>
          <w:rFonts w:ascii="Tahoma" w:hAnsi="Tahoma" w:cs="Tahoma"/>
          <w:sz w:val="22"/>
          <w:szCs w:val="22"/>
        </w:rPr>
        <w:t>c</w:t>
      </w:r>
      <w:r w:rsidR="007C6201" w:rsidRPr="007C6201">
        <w:rPr>
          <w:rFonts w:ascii="Tahoma" w:hAnsi="Tahoma" w:cs="Tahoma"/>
          <w:sz w:val="22"/>
          <w:szCs w:val="22"/>
        </w:rPr>
        <w:t>onsidero que en el presente caso ha</w:t>
      </w:r>
      <w:r w:rsidR="007C6201">
        <w:rPr>
          <w:rFonts w:ascii="Tahoma" w:hAnsi="Tahoma" w:cs="Tahoma"/>
          <w:sz w:val="22"/>
          <w:szCs w:val="22"/>
        </w:rPr>
        <w:t>bía</w:t>
      </w:r>
      <w:r w:rsidR="007C6201" w:rsidRPr="007C6201">
        <w:rPr>
          <w:rFonts w:ascii="Tahoma" w:hAnsi="Tahoma" w:cs="Tahoma"/>
          <w:sz w:val="22"/>
          <w:szCs w:val="22"/>
        </w:rPr>
        <w:t xml:space="preserve"> lugar a confirmar la decisión de primer grado</w:t>
      </w:r>
      <w:r w:rsidR="00C55682">
        <w:rPr>
          <w:rFonts w:ascii="Tahoma" w:hAnsi="Tahoma" w:cs="Tahoma"/>
          <w:sz w:val="22"/>
          <w:szCs w:val="22"/>
        </w:rPr>
        <w:t xml:space="preserve"> </w:t>
      </w:r>
      <w:r w:rsidR="007C6201" w:rsidRPr="007C6201">
        <w:rPr>
          <w:rFonts w:ascii="Tahoma" w:hAnsi="Tahoma" w:cs="Tahoma"/>
          <w:sz w:val="22"/>
          <w:szCs w:val="22"/>
        </w:rPr>
        <w:t>a pesar de la postura adoptada por la Sala de Casación Laboral de la Corte Suprema de Justicia en la sentencia SL 2358 del 25 de enero de 2017 (radicado 44596), la cual respeto pero no comparto</w:t>
      </w:r>
      <w:r w:rsidR="00C55682">
        <w:rPr>
          <w:rFonts w:ascii="Tahoma" w:hAnsi="Tahoma" w:cs="Tahoma"/>
          <w:sz w:val="22"/>
          <w:szCs w:val="22"/>
        </w:rPr>
        <w:t xml:space="preserve"> por las siguientes razones:</w:t>
      </w:r>
      <w:r w:rsidR="007C6201" w:rsidRPr="007C6201">
        <w:rPr>
          <w:rFonts w:ascii="Tahoma" w:hAnsi="Tahoma" w:cs="Tahoma"/>
          <w:sz w:val="22"/>
          <w:szCs w:val="22"/>
        </w:rPr>
        <w:t xml:space="preserve"> </w:t>
      </w:r>
    </w:p>
    <w:p w:rsidR="00C55682" w:rsidRDefault="00C55682" w:rsidP="007C6201">
      <w:pPr>
        <w:spacing w:line="276" w:lineRule="auto"/>
        <w:ind w:firstLine="709"/>
        <w:jc w:val="both"/>
        <w:rPr>
          <w:rFonts w:ascii="Tahoma" w:hAnsi="Tahoma" w:cs="Tahoma"/>
          <w:sz w:val="22"/>
          <w:szCs w:val="22"/>
        </w:rPr>
      </w:pPr>
    </w:p>
    <w:p w:rsidR="00C55682" w:rsidRPr="00044F54" w:rsidRDefault="00C55682" w:rsidP="00C55682">
      <w:pPr>
        <w:spacing w:line="276" w:lineRule="auto"/>
        <w:ind w:firstLine="708"/>
        <w:jc w:val="both"/>
        <w:rPr>
          <w:rFonts w:ascii="Tahoma" w:hAnsi="Tahoma" w:cs="Tahoma"/>
          <w:sz w:val="22"/>
          <w:szCs w:val="22"/>
        </w:rPr>
      </w:pPr>
      <w:r w:rsidRPr="00044F54">
        <w:rPr>
          <w:rFonts w:ascii="Tahoma" w:hAnsi="Tahoma" w:cs="Tahoma"/>
          <w:sz w:val="22"/>
          <w:szCs w:val="22"/>
        </w:rPr>
        <w:t xml:space="preserve">Antes de ese cambio de precedente, el órgano de cierre de la jurisdicción laboral era del criterio de que el principio de la condición más beneficiosa frente a casos gobernados por </w:t>
      </w:r>
      <w:smartTag w:uri="urn:schemas-microsoft-com:office:smarttags" w:element="PersonName">
        <w:smartTagPr>
          <w:attr w:name="ProductID" w:val="la Ley"/>
        </w:smartTagPr>
        <w:r w:rsidRPr="00044F54">
          <w:rPr>
            <w:rFonts w:ascii="Tahoma" w:hAnsi="Tahoma" w:cs="Tahoma"/>
            <w:sz w:val="22"/>
            <w:szCs w:val="22"/>
          </w:rPr>
          <w:t>la Ley</w:t>
        </w:r>
      </w:smartTag>
      <w:r w:rsidRPr="00044F54">
        <w:rPr>
          <w:rFonts w:ascii="Tahoma" w:hAnsi="Tahoma" w:cs="Tahoma"/>
          <w:sz w:val="22"/>
          <w:szCs w:val="22"/>
        </w:rPr>
        <w:t xml:space="preserve"> 860 de 2003 o por la 797 del mismo año, en virtud del principio de progresividad y en atención a que no existe un régimen de transición en materia de pensiones de sobrevivientes e invalidez, suponía </w:t>
      </w:r>
      <w:r w:rsidRPr="00044F54">
        <w:rPr>
          <w:rFonts w:ascii="Tahoma" w:hAnsi="Tahoma" w:cs="Tahoma"/>
          <w:i/>
          <w:sz w:val="22"/>
          <w:szCs w:val="22"/>
        </w:rPr>
        <w:t>“(…)</w:t>
      </w:r>
      <w:r w:rsidRPr="00044F54">
        <w:rPr>
          <w:rFonts w:ascii="Tahoma" w:hAnsi="Tahoma" w:cs="Tahoma"/>
          <w:sz w:val="22"/>
          <w:szCs w:val="22"/>
        </w:rPr>
        <w:t xml:space="preserve"> </w:t>
      </w:r>
      <w:r w:rsidRPr="00044F54">
        <w:rPr>
          <w:rFonts w:ascii="Tahoma" w:hAnsi="Tahoma" w:cs="Tahoma"/>
          <w:i/>
          <w:sz w:val="22"/>
          <w:szCs w:val="22"/>
        </w:rPr>
        <w:t>aplicar la condición más beneficiosa contenida en la norma inmediatamente derogada (…)”</w:t>
      </w:r>
      <w:r w:rsidRPr="00044F54">
        <w:rPr>
          <w:rStyle w:val="Refdenotaalpie"/>
          <w:rFonts w:ascii="Tahoma" w:hAnsi="Tahoma" w:cs="Tahoma"/>
          <w:i/>
          <w:sz w:val="22"/>
          <w:szCs w:val="22"/>
        </w:rPr>
        <w:footnoteReference w:id="1"/>
      </w:r>
      <w:r w:rsidRPr="00044F54">
        <w:rPr>
          <w:rFonts w:ascii="Tahoma" w:hAnsi="Tahoma" w:cs="Tahoma"/>
          <w:i/>
          <w:sz w:val="22"/>
          <w:szCs w:val="22"/>
        </w:rPr>
        <w:t xml:space="preserve">, </w:t>
      </w:r>
      <w:r w:rsidRPr="00044F54">
        <w:rPr>
          <w:rFonts w:ascii="Tahoma" w:hAnsi="Tahoma" w:cs="Tahoma"/>
          <w:sz w:val="22"/>
          <w:szCs w:val="22"/>
        </w:rPr>
        <w:t xml:space="preserve">es decir, el artículo 39 de </w:t>
      </w:r>
      <w:smartTag w:uri="urn:schemas-microsoft-com:office:smarttags" w:element="PersonName">
        <w:smartTagPr>
          <w:attr w:name="ProductID" w:val="la Ley"/>
        </w:smartTagPr>
        <w:r w:rsidRPr="00044F54">
          <w:rPr>
            <w:rFonts w:ascii="Tahoma" w:hAnsi="Tahoma" w:cs="Tahoma"/>
            <w:sz w:val="22"/>
            <w:szCs w:val="22"/>
          </w:rPr>
          <w:t>la Ley</w:t>
        </w:r>
      </w:smartTag>
      <w:r w:rsidRPr="00044F54">
        <w:rPr>
          <w:rFonts w:ascii="Tahoma" w:hAnsi="Tahoma" w:cs="Tahoma"/>
          <w:sz w:val="22"/>
          <w:szCs w:val="22"/>
        </w:rPr>
        <w:t xml:space="preserve"> 100 de 1993, en su texto original, para pensiones de invalidez o el artículo 46 ídem (original), en el caso de pensión de sobrevivientes.</w:t>
      </w:r>
    </w:p>
    <w:p w:rsidR="00C55682" w:rsidRPr="00044F54" w:rsidRDefault="00C55682" w:rsidP="00C55682">
      <w:pPr>
        <w:spacing w:line="276" w:lineRule="auto"/>
        <w:ind w:firstLine="708"/>
        <w:jc w:val="both"/>
        <w:rPr>
          <w:rFonts w:ascii="Tahoma" w:hAnsi="Tahoma" w:cs="Tahoma"/>
          <w:sz w:val="22"/>
          <w:szCs w:val="22"/>
        </w:rPr>
      </w:pPr>
    </w:p>
    <w:p w:rsidR="00C55682" w:rsidRPr="00044F54" w:rsidRDefault="00C55682" w:rsidP="00C55682">
      <w:pPr>
        <w:spacing w:line="276" w:lineRule="auto"/>
        <w:ind w:firstLine="708"/>
        <w:jc w:val="both"/>
        <w:rPr>
          <w:rFonts w:ascii="Tahoma" w:hAnsi="Tahoma" w:cs="Tahoma"/>
          <w:sz w:val="22"/>
          <w:szCs w:val="22"/>
        </w:rPr>
      </w:pPr>
      <w:r w:rsidRPr="00044F54">
        <w:rPr>
          <w:rFonts w:ascii="Tahoma" w:hAnsi="Tahoma" w:cs="Tahoma"/>
          <w:sz w:val="22"/>
          <w:szCs w:val="22"/>
        </w:rPr>
        <w:t>Para hacer efectiva la aplicación de dicho principio, señalaba la Corte Suprema que resultaba necesaria la acreditación de que el cotizante siniestrado -por invalidez o muerte- en vigencia de cualquiera de las normas modificatorias de la Ley 100 de 1993, en su texto original, reunía los requisitos en cuanto a densidad de semanas que exigía el texto modificado.</w:t>
      </w:r>
    </w:p>
    <w:p w:rsidR="00C55682" w:rsidRPr="00044F54" w:rsidRDefault="00C55682" w:rsidP="00C55682">
      <w:pPr>
        <w:spacing w:line="276" w:lineRule="auto"/>
        <w:ind w:firstLine="708"/>
        <w:jc w:val="both"/>
        <w:rPr>
          <w:rFonts w:ascii="Tahoma" w:hAnsi="Tahoma" w:cs="Tahoma"/>
          <w:sz w:val="22"/>
          <w:szCs w:val="22"/>
        </w:rPr>
      </w:pPr>
    </w:p>
    <w:p w:rsidR="00C55682" w:rsidRPr="00044F54" w:rsidRDefault="00C55682" w:rsidP="00C55682">
      <w:pPr>
        <w:spacing w:line="276" w:lineRule="auto"/>
        <w:ind w:firstLine="708"/>
        <w:jc w:val="both"/>
        <w:rPr>
          <w:rFonts w:ascii="Tahoma" w:hAnsi="Tahoma" w:cs="Tahoma"/>
          <w:sz w:val="22"/>
          <w:szCs w:val="22"/>
        </w:rPr>
      </w:pPr>
      <w:r w:rsidRPr="00044F54">
        <w:rPr>
          <w:rFonts w:ascii="Tahoma" w:hAnsi="Tahoma" w:cs="Tahoma"/>
          <w:sz w:val="22"/>
          <w:szCs w:val="22"/>
        </w:rPr>
        <w:t>Dicho texto, exigía, para aquellos que no estaban activos cotizando, una densidad de 26 semanas de cotización en el año inmediatamente anterior a la fecha en que se consolidó la discapacidad o la muerte, o 26 semanas en cualquier tiempo, para quienes sí estaban cotizando activamente al momento del siniestro.</w:t>
      </w:r>
    </w:p>
    <w:p w:rsidR="00C55682" w:rsidRPr="00044F54" w:rsidRDefault="00C55682" w:rsidP="00C55682">
      <w:pPr>
        <w:spacing w:line="276" w:lineRule="auto"/>
        <w:ind w:firstLine="708"/>
        <w:jc w:val="both"/>
        <w:rPr>
          <w:rFonts w:ascii="Bookman Old Style" w:hAnsi="Bookman Old Style"/>
          <w:sz w:val="22"/>
          <w:szCs w:val="22"/>
        </w:rPr>
      </w:pPr>
    </w:p>
    <w:p w:rsidR="00C55682" w:rsidRPr="00361BCC" w:rsidRDefault="00C55682" w:rsidP="00C55682">
      <w:pPr>
        <w:spacing w:line="276" w:lineRule="auto"/>
        <w:ind w:firstLine="708"/>
        <w:jc w:val="both"/>
        <w:rPr>
          <w:rFonts w:ascii="Tahoma" w:hAnsi="Tahoma" w:cs="Tahoma"/>
          <w:color w:val="000000"/>
          <w:sz w:val="22"/>
          <w:szCs w:val="22"/>
          <w:shd w:val="clear" w:color="auto" w:fill="FEFEFE"/>
        </w:rPr>
      </w:pPr>
      <w:r w:rsidRPr="00361BCC">
        <w:rPr>
          <w:rFonts w:ascii="Tahoma" w:hAnsi="Tahoma" w:cs="Tahoma"/>
          <w:color w:val="000000"/>
          <w:sz w:val="22"/>
          <w:szCs w:val="22"/>
        </w:rPr>
        <w:t xml:space="preserve">La variación jurisprudencial incorpora una sub-regla de adjudicación que hace aún más gravosa la aplicación del principio de la condición más beneficiosa, pues limita su aplicabilidad en el tiempo. Hasta antes de dicho cambio, la aplicación del principio </w:t>
      </w:r>
      <w:r w:rsidR="00262823">
        <w:rPr>
          <w:rFonts w:ascii="Tahoma" w:hAnsi="Tahoma" w:cs="Tahoma"/>
          <w:color w:val="000000"/>
          <w:sz w:val="22"/>
          <w:szCs w:val="22"/>
        </w:rPr>
        <w:t>de la condición más beneficiosa</w:t>
      </w:r>
      <w:r w:rsidRPr="00361BCC">
        <w:rPr>
          <w:rFonts w:ascii="Tahoma" w:hAnsi="Tahoma" w:cs="Tahoma"/>
          <w:color w:val="000000"/>
          <w:sz w:val="22"/>
          <w:szCs w:val="22"/>
        </w:rPr>
        <w:t xml:space="preserve"> ofrecía la virtualidad de darle efectos ultra-activos a la normativa anterior, para así proteger las expectativas legítimas del asegurado que no alcanzó a consolidar el derecho a la pensión (de invalidez o sobrevivientes) bajo la égida de una nueva norma. Para aplicar dicho principio, la</w:t>
      </w:r>
      <w:r w:rsidR="00262823">
        <w:rPr>
          <w:rFonts w:ascii="Tahoma" w:hAnsi="Tahoma" w:cs="Tahoma"/>
          <w:color w:val="000000"/>
          <w:sz w:val="22"/>
          <w:szCs w:val="22"/>
        </w:rPr>
        <w:t>s</w:t>
      </w:r>
      <w:r w:rsidRPr="00361BCC">
        <w:rPr>
          <w:rFonts w:ascii="Tahoma" w:hAnsi="Tahoma" w:cs="Tahoma"/>
          <w:color w:val="000000"/>
          <w:sz w:val="22"/>
          <w:szCs w:val="22"/>
        </w:rPr>
        <w:t xml:space="preserve"> Corte</w:t>
      </w:r>
      <w:r w:rsidR="00262823">
        <w:rPr>
          <w:rFonts w:ascii="Tahoma" w:hAnsi="Tahoma" w:cs="Tahoma"/>
          <w:color w:val="000000"/>
          <w:sz w:val="22"/>
          <w:szCs w:val="22"/>
        </w:rPr>
        <w:t>s</w:t>
      </w:r>
      <w:r w:rsidRPr="00361BCC">
        <w:rPr>
          <w:rFonts w:ascii="Tahoma" w:hAnsi="Tahoma" w:cs="Tahoma"/>
          <w:color w:val="000000"/>
          <w:sz w:val="22"/>
          <w:szCs w:val="22"/>
        </w:rPr>
        <w:t>, tanto Constitucional como Suprema, partían</w:t>
      </w:r>
      <w:r w:rsidRPr="00361BCC">
        <w:rPr>
          <w:rFonts w:ascii="Tahoma" w:hAnsi="Tahoma" w:cs="Tahoma"/>
          <w:color w:val="000000"/>
          <w:sz w:val="22"/>
          <w:szCs w:val="22"/>
          <w:shd w:val="clear" w:color="auto" w:fill="F1F1F1"/>
        </w:rPr>
        <w:t xml:space="preserve"> </w:t>
      </w:r>
      <w:r w:rsidRPr="00C55682">
        <w:rPr>
          <w:rFonts w:ascii="Tahoma" w:hAnsi="Tahoma" w:cs="Tahoma"/>
          <w:color w:val="000000"/>
          <w:sz w:val="22"/>
          <w:szCs w:val="22"/>
        </w:rPr>
        <w:t>de la base de que las expectativas leg</w:t>
      </w:r>
      <w:r w:rsidR="00262823">
        <w:rPr>
          <w:rFonts w:ascii="Tahoma" w:hAnsi="Tahoma" w:cs="Tahoma"/>
          <w:color w:val="000000"/>
          <w:sz w:val="22"/>
          <w:szCs w:val="22"/>
        </w:rPr>
        <w:t>í</w:t>
      </w:r>
      <w:r w:rsidRPr="00C55682">
        <w:rPr>
          <w:rFonts w:ascii="Tahoma" w:hAnsi="Tahoma" w:cs="Tahoma"/>
          <w:color w:val="000000"/>
          <w:sz w:val="22"/>
          <w:szCs w:val="22"/>
        </w:rPr>
        <w:t xml:space="preserve">timas (o las reglas juego para decirlo en otras palabras) se veían afectadas por un tránsito legislativo en el tiempo. Esto </w:t>
      </w:r>
      <w:r w:rsidRPr="00C55682">
        <w:rPr>
          <w:rFonts w:ascii="Tahoma" w:hAnsi="Tahoma" w:cs="Tahoma"/>
          <w:color w:val="000000"/>
          <w:sz w:val="22"/>
          <w:szCs w:val="22"/>
        </w:rPr>
        <w:lastRenderedPageBreak/>
        <w:t>se presenta cuando la persona reúne los requisitos de una norma anterior, mas no los de la norma vigente. Es decir, de no haberse producido un tránsito legislativo, la persona hubiera podido obtener su pensión ya que reunía los requisitos legales anteriores, dado que los nuevos</w:t>
      </w:r>
      <w:r w:rsidRPr="00361BCC">
        <w:rPr>
          <w:rFonts w:ascii="Tahoma" w:hAnsi="Tahoma" w:cs="Tahoma"/>
          <w:color w:val="000000"/>
          <w:sz w:val="22"/>
          <w:szCs w:val="22"/>
          <w:shd w:val="clear" w:color="auto" w:fill="FEFEFE"/>
        </w:rPr>
        <w:t xml:space="preserve"> </w:t>
      </w:r>
      <w:r w:rsidRPr="00C55682">
        <w:rPr>
          <w:rFonts w:ascii="Tahoma" w:hAnsi="Tahoma" w:cs="Tahoma"/>
          <w:color w:val="000000"/>
          <w:sz w:val="22"/>
          <w:szCs w:val="22"/>
        </w:rPr>
        <w:t>resultan más gravosos. En ese sentido, el principio propende por la conservación de los requisitos de la norma anterior, para aquellos afiliados que antes de la entrada en vigencia de las leyes modificatorias del sentido original de la Ley 100 de 1993, reunían los requisitos que en cuanto a densidad de semanas exigía dicha disposición.</w:t>
      </w:r>
      <w:r w:rsidRPr="00361BCC">
        <w:rPr>
          <w:rFonts w:ascii="Tahoma" w:hAnsi="Tahoma" w:cs="Tahoma"/>
          <w:color w:val="000000"/>
          <w:sz w:val="22"/>
          <w:szCs w:val="22"/>
          <w:shd w:val="clear" w:color="auto" w:fill="F1F1F1"/>
        </w:rPr>
        <w:t xml:space="preserve"> </w:t>
      </w:r>
    </w:p>
    <w:p w:rsidR="00C55682" w:rsidRPr="00361BCC" w:rsidRDefault="00C55682" w:rsidP="00C55682">
      <w:pPr>
        <w:widowControl w:val="0"/>
        <w:autoSpaceDE w:val="0"/>
        <w:autoSpaceDN w:val="0"/>
        <w:adjustRightInd w:val="0"/>
        <w:spacing w:line="276" w:lineRule="auto"/>
        <w:jc w:val="both"/>
        <w:rPr>
          <w:rFonts w:ascii="Tahoma" w:hAnsi="Tahoma" w:cs="Tahoma"/>
          <w:color w:val="000000"/>
          <w:sz w:val="22"/>
          <w:szCs w:val="22"/>
        </w:rPr>
      </w:pPr>
    </w:p>
    <w:p w:rsidR="00C55682" w:rsidRPr="00361BCC" w:rsidRDefault="00C55682" w:rsidP="00C55682">
      <w:pPr>
        <w:spacing w:line="276" w:lineRule="auto"/>
        <w:ind w:firstLine="708"/>
        <w:jc w:val="both"/>
        <w:rPr>
          <w:rFonts w:ascii="Tahoma" w:hAnsi="Tahoma" w:cs="Tahoma"/>
          <w:color w:val="000000"/>
          <w:sz w:val="22"/>
          <w:szCs w:val="22"/>
          <w:shd w:val="clear" w:color="auto" w:fill="FFFFFF"/>
        </w:rPr>
      </w:pPr>
      <w:r w:rsidRPr="00C55682">
        <w:rPr>
          <w:rFonts w:ascii="Tahoma" w:hAnsi="Tahoma" w:cs="Tahoma"/>
          <w:color w:val="000000"/>
          <w:sz w:val="22"/>
          <w:szCs w:val="22"/>
        </w:rPr>
        <w:t xml:space="preserve">Así las cosas, para esta </w:t>
      </w:r>
      <w:r w:rsidR="00262823">
        <w:rPr>
          <w:rFonts w:ascii="Tahoma" w:hAnsi="Tahoma" w:cs="Tahoma"/>
          <w:color w:val="000000"/>
          <w:sz w:val="22"/>
          <w:szCs w:val="22"/>
        </w:rPr>
        <w:t>Magistrada</w:t>
      </w:r>
      <w:r w:rsidRPr="00C55682">
        <w:rPr>
          <w:rFonts w:ascii="Tahoma" w:hAnsi="Tahoma" w:cs="Tahoma"/>
          <w:color w:val="000000"/>
          <w:sz w:val="22"/>
          <w:szCs w:val="22"/>
        </w:rPr>
        <w:t>, la operatividad de la condición más beneficiosa es procedente en los casos en que se ha cumplido la condición exigida por el régimen anterior, pues lo que se busca impedir con este principio es impedir la afectación de expectativas legítimas y ha señalado la Corte Constitucional, que una vez la jurisprudencia ha interpretado que la condición más beneficiosa admite sujetar la pensión de invalidez a reglas bajo cuya vigencia se contrajo una expectativa legítima, ninguna decisión judicial puede apartarse de esa orientación en un sentido restrictivo, a menos que se ofrezcan razones poderosas suficientes que muestren que: (i) la nueva posición tiene mejor sustento en el orden legal y constitucional, (ii) los argumentos para apartarse priman sobre los principios de seguridad jurídica, confianza legítima e igualdad de trato que están a la base del respeto al precedente constitucional, y (iii) está en condiciones de desvirtuar la prohibición de retroceso injustificado en materia de derechos sociales fundamentales, establecida en los tratados internacionales de derechos humanos ratificados por Colombia (Sentencia SU-442 de 2016) y en mi humilde, en el cambio de precedente no se aportan razones de esa naturaleza, en razón de lo cual me mantengo en la interpretación que he defendido hasta la fecha.</w:t>
      </w:r>
    </w:p>
    <w:p w:rsidR="00C55682" w:rsidRDefault="00C55682" w:rsidP="007C6201">
      <w:pPr>
        <w:spacing w:line="276" w:lineRule="auto"/>
        <w:ind w:firstLine="709"/>
        <w:jc w:val="both"/>
        <w:rPr>
          <w:rFonts w:ascii="Tahoma" w:hAnsi="Tahoma" w:cs="Tahoma"/>
          <w:sz w:val="22"/>
          <w:szCs w:val="22"/>
        </w:rPr>
      </w:pPr>
    </w:p>
    <w:p w:rsidR="007C6201" w:rsidRPr="007C6201" w:rsidRDefault="007C6201" w:rsidP="007C6201">
      <w:pPr>
        <w:spacing w:line="276" w:lineRule="auto"/>
        <w:jc w:val="both"/>
        <w:rPr>
          <w:rFonts w:ascii="Tahoma" w:hAnsi="Tahoma" w:cs="Tahoma"/>
          <w:sz w:val="22"/>
          <w:szCs w:val="22"/>
        </w:rPr>
      </w:pPr>
      <w:r w:rsidRPr="007C6201">
        <w:rPr>
          <w:rFonts w:ascii="Tahoma" w:hAnsi="Tahoma" w:cs="Tahoma"/>
          <w:sz w:val="22"/>
          <w:szCs w:val="22"/>
        </w:rPr>
        <w:tab/>
        <w:t>En el caso de marras se dan los presupuestos objetivos y subjetivos para ordenar el reconocimiento de la prestación reclamada, pues al momento del deceso la señora Pastora Emilia Cardona se encontraba afiliada al sistema de pensiones, por lo que podía acreditar 26 semanas en cualquier momento para dejar causado el derecho, lo cual efectivamente ocurrió, según da cuenta la historia laboral visible a folio 39; por otra parte, quedó acreditada la calidad de hijo de Juan Camilo Hernández y que el señor José Efraín Hernández, como compañero permanente, convivió con aquella en los 5 años anteriores a la muerte.</w:t>
      </w:r>
    </w:p>
    <w:p w:rsidR="007C6201" w:rsidRPr="007C6201" w:rsidRDefault="007C6201" w:rsidP="007C6201">
      <w:pPr>
        <w:spacing w:line="276" w:lineRule="auto"/>
        <w:jc w:val="both"/>
        <w:rPr>
          <w:rFonts w:ascii="Tahoma" w:hAnsi="Tahoma" w:cs="Tahoma"/>
          <w:sz w:val="22"/>
          <w:szCs w:val="22"/>
        </w:rPr>
      </w:pPr>
    </w:p>
    <w:p w:rsidR="007C6201" w:rsidRPr="007C6201" w:rsidRDefault="007C6201" w:rsidP="007C6201">
      <w:pPr>
        <w:spacing w:line="276" w:lineRule="auto"/>
        <w:jc w:val="both"/>
        <w:rPr>
          <w:rFonts w:ascii="Tahoma" w:hAnsi="Tahoma" w:cs="Tahoma"/>
          <w:sz w:val="22"/>
          <w:szCs w:val="22"/>
        </w:rPr>
      </w:pPr>
      <w:r w:rsidRPr="007C6201">
        <w:rPr>
          <w:rFonts w:ascii="Tahoma" w:hAnsi="Tahoma" w:cs="Tahoma"/>
          <w:sz w:val="22"/>
          <w:szCs w:val="22"/>
        </w:rPr>
        <w:t xml:space="preserve"> </w:t>
      </w:r>
      <w:r w:rsidRPr="007C6201">
        <w:rPr>
          <w:rFonts w:ascii="Tahoma" w:hAnsi="Tahoma" w:cs="Tahoma"/>
          <w:sz w:val="22"/>
          <w:szCs w:val="22"/>
        </w:rPr>
        <w:tab/>
        <w:t xml:space="preserve">Es del caso precisar que en el </w:t>
      </w:r>
      <w:r w:rsidRPr="007C6201">
        <w:rPr>
          <w:rFonts w:ascii="Tahoma" w:hAnsi="Tahoma" w:cs="Tahoma"/>
          <w:i/>
          <w:sz w:val="22"/>
          <w:szCs w:val="22"/>
        </w:rPr>
        <w:t>sub exámine</w:t>
      </w:r>
      <w:r w:rsidRPr="007C6201">
        <w:rPr>
          <w:rFonts w:ascii="Tahoma" w:hAnsi="Tahoma" w:cs="Tahoma"/>
          <w:sz w:val="22"/>
          <w:szCs w:val="22"/>
        </w:rPr>
        <w:t xml:space="preserve"> no e</w:t>
      </w:r>
      <w:r w:rsidR="00262823">
        <w:rPr>
          <w:rFonts w:ascii="Tahoma" w:hAnsi="Tahoma" w:cs="Tahoma"/>
          <w:sz w:val="22"/>
          <w:szCs w:val="22"/>
        </w:rPr>
        <w:t>ra</w:t>
      </w:r>
      <w:r w:rsidRPr="007C6201">
        <w:rPr>
          <w:rFonts w:ascii="Tahoma" w:hAnsi="Tahoma" w:cs="Tahoma"/>
          <w:sz w:val="22"/>
          <w:szCs w:val="22"/>
        </w:rPr>
        <w:t xml:space="preserve"> posible remitirse al contenido del Acuerdo 049 de 1990 con ocasión del aludido principio</w:t>
      </w:r>
      <w:r w:rsidR="00262823">
        <w:rPr>
          <w:rFonts w:ascii="Tahoma" w:hAnsi="Tahoma" w:cs="Tahoma"/>
          <w:sz w:val="22"/>
          <w:szCs w:val="22"/>
        </w:rPr>
        <w:t>,</w:t>
      </w:r>
      <w:r w:rsidRPr="007C6201">
        <w:rPr>
          <w:rFonts w:ascii="Tahoma" w:hAnsi="Tahoma" w:cs="Tahoma"/>
          <w:sz w:val="22"/>
          <w:szCs w:val="22"/>
        </w:rPr>
        <w:t xml:space="preserve"> por cuanto la de cujus carecía de 300 semanas antes del 1º de abril de 1994, o de 150 semanas en los 6 años anteriores a esa misma calenda.</w:t>
      </w:r>
    </w:p>
    <w:p w:rsidR="00264A90" w:rsidRPr="007C6201" w:rsidRDefault="00264A90" w:rsidP="007C6201">
      <w:pPr>
        <w:spacing w:line="276" w:lineRule="auto"/>
        <w:ind w:firstLine="709"/>
        <w:jc w:val="both"/>
        <w:rPr>
          <w:rFonts w:ascii="Tahoma" w:hAnsi="Tahoma" w:cs="Tahoma"/>
          <w:sz w:val="22"/>
          <w:szCs w:val="22"/>
        </w:rPr>
      </w:pPr>
    </w:p>
    <w:p w:rsidR="008F2D96" w:rsidRPr="007C6201" w:rsidRDefault="00F9458A" w:rsidP="007C6201">
      <w:pPr>
        <w:pStyle w:val="Textoindependiente"/>
        <w:spacing w:line="276" w:lineRule="auto"/>
        <w:ind w:firstLine="709"/>
        <w:rPr>
          <w:rFonts w:ascii="Tahoma" w:hAnsi="Tahoma" w:cs="Tahoma"/>
          <w:sz w:val="22"/>
          <w:szCs w:val="22"/>
          <w:lang w:val="es-ES"/>
        </w:rPr>
      </w:pPr>
      <w:r w:rsidRPr="007C6201">
        <w:rPr>
          <w:rFonts w:ascii="Tahoma" w:hAnsi="Tahoma" w:cs="Tahoma"/>
          <w:sz w:val="22"/>
          <w:szCs w:val="22"/>
          <w:lang w:val="es-ES"/>
        </w:rPr>
        <w:t>En estos</w:t>
      </w:r>
      <w:r w:rsidR="004208BE" w:rsidRPr="007C6201">
        <w:rPr>
          <w:rFonts w:ascii="Tahoma" w:hAnsi="Tahoma" w:cs="Tahoma"/>
          <w:sz w:val="22"/>
          <w:szCs w:val="22"/>
          <w:lang w:val="es-ES"/>
        </w:rPr>
        <w:t xml:space="preserve"> </w:t>
      </w:r>
      <w:r w:rsidR="008F2D96" w:rsidRPr="007C6201">
        <w:rPr>
          <w:rFonts w:ascii="Tahoma" w:hAnsi="Tahoma" w:cs="Tahoma"/>
          <w:sz w:val="22"/>
          <w:szCs w:val="22"/>
          <w:lang w:val="es-ES"/>
        </w:rPr>
        <w:t>términos sustento mi salvamento</w:t>
      </w:r>
      <w:r w:rsidR="00756D08" w:rsidRPr="007C6201">
        <w:rPr>
          <w:rFonts w:ascii="Tahoma" w:hAnsi="Tahoma" w:cs="Tahoma"/>
          <w:sz w:val="22"/>
          <w:szCs w:val="22"/>
          <w:lang w:val="es-ES"/>
        </w:rPr>
        <w:t xml:space="preserve"> </w:t>
      </w:r>
      <w:r w:rsidR="008F2D96" w:rsidRPr="007C6201">
        <w:rPr>
          <w:rFonts w:ascii="Tahoma" w:hAnsi="Tahoma" w:cs="Tahoma"/>
          <w:sz w:val="22"/>
          <w:szCs w:val="22"/>
          <w:lang w:val="es-ES"/>
        </w:rPr>
        <w:t>de voto.</w:t>
      </w:r>
    </w:p>
    <w:p w:rsidR="008F2D96" w:rsidRPr="007C6201" w:rsidRDefault="008F2D96" w:rsidP="007C6201">
      <w:pPr>
        <w:pStyle w:val="Textoindependiente"/>
        <w:autoSpaceDE/>
        <w:autoSpaceDN/>
        <w:adjustRightInd/>
        <w:spacing w:line="276" w:lineRule="auto"/>
        <w:ind w:firstLine="709"/>
        <w:rPr>
          <w:rFonts w:ascii="Tahoma" w:hAnsi="Tahoma" w:cs="Tahoma"/>
          <w:sz w:val="22"/>
          <w:szCs w:val="22"/>
          <w:lang w:val="es-ES"/>
        </w:rPr>
      </w:pPr>
    </w:p>
    <w:p w:rsidR="00344350" w:rsidRDefault="00344350" w:rsidP="007C6201">
      <w:pPr>
        <w:widowControl w:val="0"/>
        <w:autoSpaceDE w:val="0"/>
        <w:autoSpaceDN w:val="0"/>
        <w:adjustRightInd w:val="0"/>
        <w:spacing w:line="276" w:lineRule="auto"/>
        <w:ind w:firstLine="709"/>
        <w:jc w:val="both"/>
        <w:rPr>
          <w:rFonts w:ascii="Tahoma" w:hAnsi="Tahoma" w:cs="Tahoma"/>
          <w:sz w:val="22"/>
          <w:szCs w:val="22"/>
        </w:rPr>
      </w:pPr>
    </w:p>
    <w:p w:rsidR="00262823" w:rsidRPr="007C6201" w:rsidRDefault="00262823" w:rsidP="007C6201">
      <w:pPr>
        <w:widowControl w:val="0"/>
        <w:autoSpaceDE w:val="0"/>
        <w:autoSpaceDN w:val="0"/>
        <w:adjustRightInd w:val="0"/>
        <w:spacing w:line="276" w:lineRule="auto"/>
        <w:ind w:firstLine="709"/>
        <w:jc w:val="both"/>
        <w:rPr>
          <w:rFonts w:ascii="Tahoma" w:hAnsi="Tahoma" w:cs="Tahoma"/>
          <w:sz w:val="22"/>
          <w:szCs w:val="22"/>
        </w:rPr>
      </w:pPr>
    </w:p>
    <w:p w:rsidR="008F2D96" w:rsidRPr="007C6201" w:rsidRDefault="008F2D96" w:rsidP="007C6201">
      <w:pPr>
        <w:widowControl w:val="0"/>
        <w:autoSpaceDE w:val="0"/>
        <w:autoSpaceDN w:val="0"/>
        <w:adjustRightInd w:val="0"/>
        <w:spacing w:line="276" w:lineRule="auto"/>
        <w:ind w:firstLine="709"/>
        <w:jc w:val="both"/>
        <w:rPr>
          <w:rFonts w:ascii="Tahoma" w:hAnsi="Tahoma" w:cs="Tahoma"/>
          <w:sz w:val="22"/>
          <w:szCs w:val="22"/>
        </w:rPr>
      </w:pPr>
    </w:p>
    <w:p w:rsidR="008F2D96" w:rsidRPr="007C6201" w:rsidRDefault="008F2D96" w:rsidP="007C6201">
      <w:pPr>
        <w:pStyle w:val="Ttulo3"/>
        <w:spacing w:line="276" w:lineRule="auto"/>
        <w:ind w:firstLine="709"/>
        <w:rPr>
          <w:rFonts w:ascii="Tahoma" w:hAnsi="Tahoma" w:cs="Tahoma"/>
          <w:sz w:val="22"/>
          <w:szCs w:val="22"/>
        </w:rPr>
      </w:pPr>
      <w:r w:rsidRPr="007C6201">
        <w:rPr>
          <w:rFonts w:ascii="Tahoma" w:hAnsi="Tahoma" w:cs="Tahoma"/>
          <w:sz w:val="22"/>
          <w:szCs w:val="22"/>
        </w:rPr>
        <w:t>ANA LUCÍA CAICEDO CALDERÓN</w:t>
      </w:r>
    </w:p>
    <w:p w:rsidR="008F2D96" w:rsidRDefault="008F2D96"/>
    <w:sectPr w:rsidR="008F2D96" w:rsidSect="004208BE">
      <w:footerReference w:type="even" r:id="rId8"/>
      <w:footerReference w:type="default" r:id="rId9"/>
      <w:pgSz w:w="12242" w:h="18722" w:code="14"/>
      <w:pgMar w:top="1701" w:right="1701" w:bottom="1701"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38B" w:rsidRDefault="00DE738B">
      <w:r>
        <w:separator/>
      </w:r>
    </w:p>
  </w:endnote>
  <w:endnote w:type="continuationSeparator" w:id="0">
    <w:p w:rsidR="00DE738B" w:rsidRDefault="00DE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DE738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93BE4">
      <w:rPr>
        <w:rStyle w:val="Nmerodepgina"/>
        <w:noProof/>
      </w:rPr>
      <w:t>2</w:t>
    </w:r>
    <w:r>
      <w:rPr>
        <w:rStyle w:val="Nmerodepgina"/>
      </w:rPr>
      <w:fldChar w:fldCharType="end"/>
    </w:r>
  </w:p>
  <w:p w:rsidR="00F0306B" w:rsidRDefault="00DE73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38B" w:rsidRDefault="00DE738B">
      <w:r>
        <w:separator/>
      </w:r>
    </w:p>
  </w:footnote>
  <w:footnote w:type="continuationSeparator" w:id="0">
    <w:p w:rsidR="00DE738B" w:rsidRDefault="00DE738B">
      <w:r>
        <w:continuationSeparator/>
      </w:r>
    </w:p>
  </w:footnote>
  <w:footnote w:id="1">
    <w:p w:rsidR="00C55682" w:rsidRPr="00361BCC" w:rsidRDefault="00C55682" w:rsidP="00C55682">
      <w:pPr>
        <w:spacing w:line="360" w:lineRule="auto"/>
        <w:jc w:val="both"/>
        <w:rPr>
          <w:rFonts w:ascii="Helvetica" w:hAnsi="Helvetica" w:cs="Helvetica"/>
          <w:color w:val="000000"/>
          <w:sz w:val="18"/>
          <w:szCs w:val="18"/>
          <w:shd w:val="clear" w:color="auto" w:fill="F1F1F1"/>
        </w:rPr>
      </w:pPr>
      <w:r>
        <w:rPr>
          <w:rStyle w:val="Refdenotaalpie"/>
        </w:rPr>
        <w:footnoteRef/>
      </w:r>
      <w:r>
        <w:t xml:space="preserve"> </w:t>
      </w:r>
      <w:r w:rsidRPr="00361BCC">
        <w:rPr>
          <w:color w:val="000000"/>
          <w:highlight w:val="lightGray"/>
        </w:rPr>
        <w:t xml:space="preserve">Sentencia </w:t>
      </w:r>
      <w:hyperlink r:id="rId1" w:anchor="Inicio" w:history="1">
        <w:r w:rsidRPr="00361BCC">
          <w:rPr>
            <w:rStyle w:val="Hipervnculo"/>
            <w:rFonts w:ascii="Helvetica" w:hAnsi="Helvetica" w:cs="Helvetica"/>
            <w:color w:val="000000"/>
            <w:sz w:val="18"/>
            <w:szCs w:val="18"/>
            <w:highlight w:val="lightGray"/>
            <w:shd w:val="clear" w:color="auto" w:fill="F1F1F1"/>
          </w:rPr>
          <w:t>44999</w:t>
        </w:r>
      </w:hyperlink>
      <w:r w:rsidRPr="00361BCC">
        <w:rPr>
          <w:rFonts w:ascii="Helvetica" w:hAnsi="Helvetica" w:cs="Helvetica"/>
          <w:color w:val="000000"/>
          <w:sz w:val="18"/>
          <w:szCs w:val="18"/>
          <w:highlight w:val="lightGray"/>
          <w:shd w:val="clear" w:color="auto" w:fill="F1F1F1"/>
        </w:rPr>
        <w:t> de 2012, M.P. Jorge Mauricio Burgos Ruiz</w:t>
      </w:r>
    </w:p>
    <w:p w:rsidR="00C55682" w:rsidRPr="003F6FC1" w:rsidRDefault="00C55682" w:rsidP="00C55682">
      <w:pPr>
        <w:pStyle w:val="Textonotapie"/>
        <w:rPr>
          <w:lang w:val="es-C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2">
    <w:nsid w:val="47820F96"/>
    <w:multiLevelType w:val="hybridMultilevel"/>
    <w:tmpl w:val="642ECE02"/>
    <w:lvl w:ilvl="0" w:tplc="D1C4F450">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66602B43"/>
    <w:multiLevelType w:val="multilevel"/>
    <w:tmpl w:val="7C08B5C6"/>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4">
    <w:nsid w:val="68FE16C6"/>
    <w:multiLevelType w:val="multilevel"/>
    <w:tmpl w:val="D80CCCD4"/>
    <w:lvl w:ilvl="0">
      <w:start w:val="4"/>
      <w:numFmt w:val="decimal"/>
      <w:lvlText w:val="%1"/>
      <w:lvlJc w:val="left"/>
      <w:pPr>
        <w:ind w:left="375" w:hanging="3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5">
    <w:nsid w:val="7C2A1F1D"/>
    <w:multiLevelType w:val="hybridMultilevel"/>
    <w:tmpl w:val="E7786998"/>
    <w:lvl w:ilvl="0" w:tplc="2DEAC728">
      <w:start w:val="1"/>
      <w:numFmt w:val="decimal"/>
      <w:lvlText w:val="%1."/>
      <w:lvlJc w:val="left"/>
      <w:pPr>
        <w:ind w:left="1108" w:hanging="360"/>
      </w:pPr>
      <w:rPr>
        <w:rFonts w:hint="default"/>
      </w:rPr>
    </w:lvl>
    <w:lvl w:ilvl="1" w:tplc="0C0A0019">
      <w:start w:val="1"/>
      <w:numFmt w:val="lowerLetter"/>
      <w:lvlText w:val="%2."/>
      <w:lvlJc w:val="left"/>
      <w:pPr>
        <w:ind w:left="1828" w:hanging="360"/>
      </w:pPr>
    </w:lvl>
    <w:lvl w:ilvl="2" w:tplc="0C0A001B" w:tentative="1">
      <w:start w:val="1"/>
      <w:numFmt w:val="lowerRoman"/>
      <w:lvlText w:val="%3."/>
      <w:lvlJc w:val="right"/>
      <w:pPr>
        <w:ind w:left="2548" w:hanging="180"/>
      </w:pPr>
    </w:lvl>
    <w:lvl w:ilvl="3" w:tplc="0C0A000F" w:tentative="1">
      <w:start w:val="1"/>
      <w:numFmt w:val="decimal"/>
      <w:lvlText w:val="%4."/>
      <w:lvlJc w:val="left"/>
      <w:pPr>
        <w:ind w:left="3268" w:hanging="360"/>
      </w:pPr>
    </w:lvl>
    <w:lvl w:ilvl="4" w:tplc="0C0A0019" w:tentative="1">
      <w:start w:val="1"/>
      <w:numFmt w:val="lowerLetter"/>
      <w:lvlText w:val="%5."/>
      <w:lvlJc w:val="left"/>
      <w:pPr>
        <w:ind w:left="3988" w:hanging="360"/>
      </w:pPr>
    </w:lvl>
    <w:lvl w:ilvl="5" w:tplc="0C0A001B" w:tentative="1">
      <w:start w:val="1"/>
      <w:numFmt w:val="lowerRoman"/>
      <w:lvlText w:val="%6."/>
      <w:lvlJc w:val="right"/>
      <w:pPr>
        <w:ind w:left="4708" w:hanging="180"/>
      </w:pPr>
    </w:lvl>
    <w:lvl w:ilvl="6" w:tplc="0C0A000F" w:tentative="1">
      <w:start w:val="1"/>
      <w:numFmt w:val="decimal"/>
      <w:lvlText w:val="%7."/>
      <w:lvlJc w:val="left"/>
      <w:pPr>
        <w:ind w:left="5428" w:hanging="360"/>
      </w:pPr>
    </w:lvl>
    <w:lvl w:ilvl="7" w:tplc="0C0A0019" w:tentative="1">
      <w:start w:val="1"/>
      <w:numFmt w:val="lowerLetter"/>
      <w:lvlText w:val="%8."/>
      <w:lvlJc w:val="left"/>
      <w:pPr>
        <w:ind w:left="6148" w:hanging="360"/>
      </w:pPr>
    </w:lvl>
    <w:lvl w:ilvl="8" w:tplc="0C0A001B" w:tentative="1">
      <w:start w:val="1"/>
      <w:numFmt w:val="lowerRoman"/>
      <w:lvlText w:val="%9."/>
      <w:lvlJc w:val="right"/>
      <w:pPr>
        <w:ind w:left="6868"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96"/>
    <w:rsid w:val="00093BE4"/>
    <w:rsid w:val="000D2162"/>
    <w:rsid w:val="000D4908"/>
    <w:rsid w:val="00131AD3"/>
    <w:rsid w:val="00151F61"/>
    <w:rsid w:val="00262823"/>
    <w:rsid w:val="00264A90"/>
    <w:rsid w:val="002D63EE"/>
    <w:rsid w:val="002E6083"/>
    <w:rsid w:val="00342326"/>
    <w:rsid w:val="00344350"/>
    <w:rsid w:val="00347152"/>
    <w:rsid w:val="00371E6A"/>
    <w:rsid w:val="00380143"/>
    <w:rsid w:val="004208BE"/>
    <w:rsid w:val="004213A7"/>
    <w:rsid w:val="004634CD"/>
    <w:rsid w:val="004E3A76"/>
    <w:rsid w:val="00521F8D"/>
    <w:rsid w:val="0055223C"/>
    <w:rsid w:val="00573265"/>
    <w:rsid w:val="005A51BF"/>
    <w:rsid w:val="006437E3"/>
    <w:rsid w:val="00692C42"/>
    <w:rsid w:val="006E285D"/>
    <w:rsid w:val="00714061"/>
    <w:rsid w:val="00721756"/>
    <w:rsid w:val="00756D08"/>
    <w:rsid w:val="00792FA9"/>
    <w:rsid w:val="007A1DFB"/>
    <w:rsid w:val="007C6201"/>
    <w:rsid w:val="007E5E88"/>
    <w:rsid w:val="00802722"/>
    <w:rsid w:val="0084707C"/>
    <w:rsid w:val="0089179B"/>
    <w:rsid w:val="008B4BD9"/>
    <w:rsid w:val="008F2D96"/>
    <w:rsid w:val="009119E0"/>
    <w:rsid w:val="00940A76"/>
    <w:rsid w:val="00941F67"/>
    <w:rsid w:val="00963A10"/>
    <w:rsid w:val="00972239"/>
    <w:rsid w:val="0099090E"/>
    <w:rsid w:val="009C2F50"/>
    <w:rsid w:val="00A462A2"/>
    <w:rsid w:val="00A6571B"/>
    <w:rsid w:val="00AF0F47"/>
    <w:rsid w:val="00B37A3B"/>
    <w:rsid w:val="00B54081"/>
    <w:rsid w:val="00B97D7F"/>
    <w:rsid w:val="00BC578E"/>
    <w:rsid w:val="00C01A75"/>
    <w:rsid w:val="00C55682"/>
    <w:rsid w:val="00CE651D"/>
    <w:rsid w:val="00CE6C1D"/>
    <w:rsid w:val="00D04492"/>
    <w:rsid w:val="00D0563A"/>
    <w:rsid w:val="00D1601F"/>
    <w:rsid w:val="00D24DC4"/>
    <w:rsid w:val="00D60231"/>
    <w:rsid w:val="00D62D12"/>
    <w:rsid w:val="00DB18DF"/>
    <w:rsid w:val="00DB4674"/>
    <w:rsid w:val="00DD7149"/>
    <w:rsid w:val="00DE738B"/>
    <w:rsid w:val="00DF032A"/>
    <w:rsid w:val="00E33B5B"/>
    <w:rsid w:val="00E709F2"/>
    <w:rsid w:val="00EC63E3"/>
    <w:rsid w:val="00F74BEC"/>
    <w:rsid w:val="00F77521"/>
    <w:rsid w:val="00F9458A"/>
    <w:rsid w:val="00FF0A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0503F603-4324-427D-8179-CD71A242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F2D96"/>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2D96"/>
    <w:rPr>
      <w:rFonts w:ascii="Arial" w:eastAsia="Times New Roman" w:hAnsi="Arial" w:cs="Arial"/>
      <w:b/>
      <w:sz w:val="28"/>
      <w:szCs w:val="24"/>
      <w:lang w:eastAsia="es-ES"/>
    </w:rPr>
  </w:style>
  <w:style w:type="character" w:customStyle="1" w:styleId="Ttulo3Car">
    <w:name w:val="Título 3 Car"/>
    <w:basedOn w:val="Fuentedeprrafopredeter"/>
    <w:link w:val="Ttulo3"/>
    <w:rsid w:val="008F2D96"/>
    <w:rPr>
      <w:rFonts w:ascii="Arial" w:eastAsia="Times New Roman" w:hAnsi="Arial" w:cs="Arial"/>
      <w:b/>
      <w:sz w:val="24"/>
      <w:szCs w:val="24"/>
      <w:lang w:eastAsia="es-ES"/>
    </w:rPr>
  </w:style>
  <w:style w:type="paragraph" w:styleId="Textoindependiente">
    <w:name w:val="Body Text"/>
    <w:basedOn w:val="Normal"/>
    <w:link w:val="TextoindependienteCar"/>
    <w:rsid w:val="008F2D96"/>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8F2D96"/>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8F2D96"/>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8F2D96"/>
    <w:rPr>
      <w:rFonts w:ascii="Arial" w:eastAsia="Times New Roman" w:hAnsi="Arial" w:cs="Arial"/>
      <w:b/>
      <w:sz w:val="24"/>
      <w:szCs w:val="24"/>
      <w:lang w:eastAsia="es-ES"/>
    </w:rPr>
  </w:style>
  <w:style w:type="paragraph" w:styleId="Piedepgina">
    <w:name w:val="footer"/>
    <w:basedOn w:val="Normal"/>
    <w:link w:val="PiedepginaCar"/>
    <w:rsid w:val="008F2D96"/>
    <w:pPr>
      <w:tabs>
        <w:tab w:val="center" w:pos="4419"/>
        <w:tab w:val="right" w:pos="8838"/>
      </w:tabs>
    </w:pPr>
  </w:style>
  <w:style w:type="character" w:customStyle="1" w:styleId="PiedepginaCar">
    <w:name w:val="Pie de página Car"/>
    <w:basedOn w:val="Fuentedeprrafopredeter"/>
    <w:link w:val="Piedepgina"/>
    <w:rsid w:val="008F2D96"/>
    <w:rPr>
      <w:rFonts w:ascii="Times New Roman" w:eastAsia="Times New Roman" w:hAnsi="Times New Roman" w:cs="Times New Roman"/>
      <w:sz w:val="24"/>
      <w:szCs w:val="24"/>
      <w:lang w:eastAsia="es-ES"/>
    </w:rPr>
  </w:style>
  <w:style w:type="character" w:styleId="Nmerodepgina">
    <w:name w:val="page number"/>
    <w:basedOn w:val="Fuentedeprrafopredeter"/>
    <w:rsid w:val="008F2D96"/>
  </w:style>
  <w:style w:type="paragraph" w:styleId="Prrafodelista">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inespaciado">
    <w:name w:val="No Spacing"/>
    <w:link w:val="SinespaciadoCar"/>
    <w:uiPriority w:val="1"/>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odeglobo">
    <w:name w:val="Balloon Text"/>
    <w:basedOn w:val="Normal"/>
    <w:link w:val="TextodegloboCar"/>
    <w:uiPriority w:val="99"/>
    <w:semiHidden/>
    <w:unhideWhenUsed/>
    <w:rsid w:val="008F2D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Fuentedeprrafopredeter"/>
    <w:rsid w:val="00D1601F"/>
  </w:style>
  <w:style w:type="character" w:styleId="Textoennegrita">
    <w:name w:val="Strong"/>
    <w:basedOn w:val="Fuentedeprrafopredeter"/>
    <w:uiPriority w:val="22"/>
    <w:qFormat/>
    <w:rsid w:val="00D1601F"/>
    <w:rPr>
      <w:b/>
      <w:bCs/>
    </w:rPr>
  </w:style>
  <w:style w:type="character" w:styleId="Hipervnculo">
    <w:name w:val="Hyperlink"/>
    <w:basedOn w:val="Fuentedeprrafopredeter"/>
    <w:uiPriority w:val="99"/>
    <w:semiHidden/>
    <w:unhideWhenUsed/>
    <w:rsid w:val="00D1601F"/>
    <w:rPr>
      <w:color w:val="0000FF"/>
      <w:u w:val="single"/>
    </w:rPr>
  </w:style>
  <w:style w:type="paragraph" w:styleId="Encabezado">
    <w:name w:val="header"/>
    <w:basedOn w:val="Normal"/>
    <w:link w:val="EncabezadoCar"/>
    <w:uiPriority w:val="99"/>
    <w:unhideWhenUsed/>
    <w:rsid w:val="00344350"/>
    <w:pPr>
      <w:tabs>
        <w:tab w:val="center" w:pos="4252"/>
        <w:tab w:val="right" w:pos="8504"/>
      </w:tabs>
    </w:pPr>
  </w:style>
  <w:style w:type="character" w:customStyle="1" w:styleId="EncabezadoCar">
    <w:name w:val="Encabezado Car"/>
    <w:basedOn w:val="Fuentedeprrafopredeter"/>
    <w:link w:val="Encabezado"/>
    <w:uiPriority w:val="99"/>
    <w:rsid w:val="00344350"/>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99"/>
    <w:locked/>
    <w:rsid w:val="00F9458A"/>
    <w:rPr>
      <w:lang w:val="es-ES_tradnl"/>
    </w:rPr>
  </w:style>
  <w:style w:type="paragraph" w:customStyle="1" w:styleId="Textoindependiente21">
    <w:name w:val="Texto independiente 21"/>
    <w:basedOn w:val="Normal"/>
    <w:link w:val="BodyText2Car1"/>
    <w:uiPriority w:val="99"/>
    <w:rsid w:val="00714061"/>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714061"/>
    <w:rPr>
      <w:rFonts w:ascii="Arial Narrow" w:eastAsia="Times New Roman" w:hAnsi="Arial Narrow" w:cs="Arial Narrow"/>
      <w:sz w:val="30"/>
      <w:szCs w:val="30"/>
      <w:lang w:val="es-CO" w:eastAsia="es-ES"/>
    </w:rPr>
  </w:style>
  <w:style w:type="character" w:styleId="Refdenotaalpie">
    <w:name w:val="footnote reference"/>
    <w:rsid w:val="00714061"/>
    <w:rPr>
      <w:vertAlign w:val="superscript"/>
    </w:rPr>
  </w:style>
  <w:style w:type="paragraph" w:styleId="Textonotapie">
    <w:name w:val="footnote text"/>
    <w:basedOn w:val="Normal"/>
    <w:link w:val="TextonotapieCar"/>
    <w:rsid w:val="00714061"/>
    <w:rPr>
      <w:sz w:val="20"/>
      <w:szCs w:val="20"/>
    </w:rPr>
  </w:style>
  <w:style w:type="character" w:customStyle="1" w:styleId="TextonotapieCar">
    <w:name w:val="Texto nota pie Car"/>
    <w:basedOn w:val="Fuentedeprrafopredeter"/>
    <w:link w:val="Textonotapie"/>
    <w:rsid w:val="00714061"/>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7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normativa.colpensiones.gov.co/colpens/docs/f_csj_scl_44999(17_07_12)_2012.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55A21-23D4-4DE2-B99A-D3D3AF95F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932</Words>
  <Characters>5132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23</cp:revision>
  <cp:lastPrinted>2017-07-11T18:34:00Z</cp:lastPrinted>
  <dcterms:created xsi:type="dcterms:W3CDTF">2017-03-06T19:53:00Z</dcterms:created>
  <dcterms:modified xsi:type="dcterms:W3CDTF">2017-09-11T20:11:00Z</dcterms:modified>
</cp:coreProperties>
</file>